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C1DA7AA" w14:textId="77777777" w:rsidR="009D036D" w:rsidRDefault="00A31005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31005">
        <w:rPr>
          <w:rFonts w:ascii="Times New Roman" w:hAnsi="Times New Roman" w:cs="Times New Roman"/>
          <w:b/>
          <w:sz w:val="28"/>
          <w:szCs w:val="28"/>
        </w:rPr>
        <w:t>HRVATSKA REGULATORNA AGENCIJA ZA MREŽNE DJELATNOSTI</w:t>
      </w:r>
    </w:p>
    <w:p w14:paraId="38B5F35C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745D8A7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D955C68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606BE2D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BBA8742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DE3D0AE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7C99E05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CBFF490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B1634D7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DF6181C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507DBAF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983CFE5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0CB5FD4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5282779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07F3689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B5BD6B3" w14:textId="77777777" w:rsidR="00244041" w:rsidRPr="00ED56D3" w:rsidRDefault="003E7A09" w:rsidP="00E13058">
      <w:pPr>
        <w:spacing w:after="0" w:line="240" w:lineRule="auto"/>
        <w:jc w:val="center"/>
        <w:rPr>
          <w:rFonts w:ascii="Times New Roman" w:hAnsi="Times New Roman" w:cs="Times New Roman"/>
          <w:b/>
          <w:i/>
          <w:color w:val="FF0000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NACRT PRIJEDLOGA </w:t>
      </w:r>
      <w:r w:rsidR="00E13058" w:rsidRPr="00E13058">
        <w:rPr>
          <w:rFonts w:ascii="Times New Roman" w:hAnsi="Times New Roman" w:cs="Times New Roman"/>
          <w:b/>
          <w:sz w:val="28"/>
          <w:szCs w:val="28"/>
        </w:rPr>
        <w:t>TABLICE NAMJENE RADIOFREKVENCIJSKOG SPEKTRA</w:t>
      </w:r>
    </w:p>
    <w:p w14:paraId="1D485BF5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BFC920E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37C0AF0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8BC69BC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F313541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DD4BDEE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5871999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AEDB6A8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C852E17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C45E0C7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FCD0383" w14:textId="77777777" w:rsidR="00244041" w:rsidRPr="00824F3C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70CB4E5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D849C25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36700F3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19C2506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E451A3D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C0C85CE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775FC30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4589ACD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6376A63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6F92F7B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09F6185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6CEB01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6806E56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815C570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6443E9E" w14:textId="77777777" w:rsidR="006C4637" w:rsidRPr="00ED56D3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166CFF">
        <w:rPr>
          <w:rFonts w:ascii="Times New Roman" w:hAnsi="Times New Roman" w:cs="Times New Roman"/>
          <w:b/>
          <w:sz w:val="24"/>
          <w:szCs w:val="24"/>
        </w:rPr>
        <w:t>Zagreb,</w:t>
      </w:r>
      <w:r w:rsidR="00E13058">
        <w:rPr>
          <w:rFonts w:ascii="Times New Roman" w:hAnsi="Times New Roman" w:cs="Times New Roman"/>
          <w:b/>
          <w:sz w:val="24"/>
          <w:szCs w:val="24"/>
        </w:rPr>
        <w:t xml:space="preserve"> prosinac 2016.</w:t>
      </w:r>
    </w:p>
    <w:p w14:paraId="23230094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0D9E4B1" w14:textId="49C8224B" w:rsidR="009E2193" w:rsidRPr="00297C09" w:rsidRDefault="00297C09" w:rsidP="00297C0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I. </w:t>
      </w:r>
      <w:r w:rsidR="009E2193" w:rsidRPr="00297C09">
        <w:rPr>
          <w:rFonts w:ascii="Times New Roman" w:hAnsi="Times New Roman" w:cs="Times New Roman"/>
          <w:b/>
          <w:sz w:val="24"/>
          <w:szCs w:val="24"/>
        </w:rPr>
        <w:t xml:space="preserve">OSNOVA ZA DONOŠENJE </w:t>
      </w:r>
    </w:p>
    <w:p w14:paraId="12271340" w14:textId="77777777" w:rsidR="006C4637" w:rsidRDefault="006C4637" w:rsidP="006C46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1A3387" w14:textId="77777777" w:rsidR="00E13058" w:rsidRDefault="00E13058" w:rsidP="00E130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Člankom 12. stavkom 1. točkom 9. Zakona o elektroničkim komunikacijama (NN br. 73/08, 90/11, 133/12, 80/13 i 71/14; dalje: ZEK) </w:t>
      </w:r>
      <w:r w:rsidRPr="008B6B95">
        <w:rPr>
          <w:rFonts w:ascii="Times New Roman" w:hAnsi="Times New Roman" w:cs="Times New Roman"/>
          <w:sz w:val="24"/>
          <w:szCs w:val="24"/>
        </w:rPr>
        <w:t>propisana je ovlast Hrvatske regulatorne agencij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8B6B95">
        <w:rPr>
          <w:rFonts w:ascii="Times New Roman" w:hAnsi="Times New Roman" w:cs="Times New Roman"/>
          <w:sz w:val="24"/>
          <w:szCs w:val="24"/>
        </w:rPr>
        <w:t xml:space="preserve"> za mrežne djelatnosti (dalje: HAKOM) za </w:t>
      </w:r>
      <w:r>
        <w:rPr>
          <w:rFonts w:ascii="Times New Roman" w:hAnsi="Times New Roman" w:cs="Times New Roman"/>
          <w:sz w:val="24"/>
          <w:szCs w:val="24"/>
        </w:rPr>
        <w:t>utvrđivanje prijedloga Tablice namjene radiofrekvencijskog spektra.</w:t>
      </w:r>
    </w:p>
    <w:p w14:paraId="08377B24" w14:textId="77777777" w:rsidR="00E13058" w:rsidRDefault="00E13058" w:rsidP="00E13058">
      <w:pPr>
        <w:pStyle w:val="Tekst"/>
        <w:rPr>
          <w:lang w:val="hr-HR"/>
        </w:rPr>
      </w:pPr>
    </w:p>
    <w:p w14:paraId="537BD74A" w14:textId="77777777" w:rsidR="00E13058" w:rsidRDefault="00580E51" w:rsidP="00E13058">
      <w:pPr>
        <w:pStyle w:val="Tekst"/>
        <w:rPr>
          <w:lang w:val="hr-HR"/>
        </w:rPr>
      </w:pPr>
      <w:r w:rsidRPr="00580E51">
        <w:rPr>
          <w:lang w:val="hr-HR"/>
        </w:rPr>
        <w:t xml:space="preserve">Sukladno članku </w:t>
      </w:r>
      <w:r w:rsidR="00E13058">
        <w:rPr>
          <w:lang w:val="hr-HR"/>
        </w:rPr>
        <w:t>81. st. 1. ZEK-a, Tablica namjene radiofrekvencijskog spektra je sastavni dio Pravilnika o namjeni radiofrekvencijskog spektra,</w:t>
      </w:r>
      <w:r w:rsidR="00CE6620">
        <w:rPr>
          <w:lang w:val="hr-HR"/>
        </w:rPr>
        <w:t xml:space="preserve"> koji na prijedlog Vijeća Agencije donosi ministar</w:t>
      </w:r>
      <w:r w:rsidR="00E13058">
        <w:rPr>
          <w:lang w:val="hr-HR"/>
        </w:rPr>
        <w:t xml:space="preserve"> </w:t>
      </w:r>
      <w:r w:rsidRPr="00580E51">
        <w:rPr>
          <w:lang w:val="hr-HR"/>
        </w:rPr>
        <w:t>mora, prometa i infrastrukture. Trenutno je na snazi Pravilnik o namjeni radiofrekvencijskog spektra (NN br. 107/13 i 94/15). Tablica namjene radiofrekvencijskog spektra je Dodatak 2 predmetnog Pravilnika.</w:t>
      </w:r>
    </w:p>
    <w:p w14:paraId="50FF177A" w14:textId="77777777" w:rsidR="00580E51" w:rsidRDefault="00580E51" w:rsidP="00E13058">
      <w:pPr>
        <w:pStyle w:val="Tekst"/>
        <w:rPr>
          <w:lang w:val="hr-HR"/>
        </w:rPr>
      </w:pPr>
    </w:p>
    <w:p w14:paraId="65347990" w14:textId="77777777" w:rsidR="00E13058" w:rsidRDefault="003225C0" w:rsidP="00E13058">
      <w:pPr>
        <w:pStyle w:val="Tekst"/>
        <w:rPr>
          <w:lang w:val="hr-HR"/>
        </w:rPr>
      </w:pPr>
      <w:r w:rsidRPr="003225C0">
        <w:rPr>
          <w:lang w:val="hr-HR"/>
        </w:rPr>
        <w:t>Sukladno članku 85. ZEK-a, HAKOM je ovlašten za provjeru načina upravljanja radiofrekvencijskim spektrom i njegove djelotvorne uporabe. Navedeni postupak provjere, koji se provodi po službenoj dužnosti, uključuje i prijedloge izmjena i dopuna Tablice namjene radiofrekvencijskog spektra, a o čemu je sukladno članku 22. stavku 5. alineji 4. i članku 85. stavku 4. ZEK-a potrebno provesti postupak javne rasprave.</w:t>
      </w:r>
    </w:p>
    <w:p w14:paraId="292865C7" w14:textId="77777777" w:rsidR="00E13058" w:rsidRDefault="00E13058" w:rsidP="00E13058">
      <w:pPr>
        <w:pStyle w:val="Tekst"/>
        <w:rPr>
          <w:lang w:val="hr-HR"/>
        </w:rPr>
      </w:pPr>
    </w:p>
    <w:p w14:paraId="0DD53C51" w14:textId="77777777" w:rsidR="009954F3" w:rsidRDefault="009954F3" w:rsidP="006C46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77ABAB" w14:textId="77777777" w:rsidR="009954F3" w:rsidRPr="00297C09" w:rsidRDefault="00297C09" w:rsidP="00297C0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II. </w:t>
      </w:r>
      <w:r w:rsidR="009954F3" w:rsidRPr="00297C09">
        <w:rPr>
          <w:rFonts w:ascii="Times New Roman" w:hAnsi="Times New Roman" w:cs="Times New Roman"/>
          <w:b/>
          <w:sz w:val="24"/>
          <w:szCs w:val="24"/>
        </w:rPr>
        <w:t xml:space="preserve">OCJENA STANJA I </w:t>
      </w:r>
      <w:r w:rsidR="003F44AE" w:rsidRPr="00297C09">
        <w:rPr>
          <w:rFonts w:ascii="Times New Roman" w:hAnsi="Times New Roman" w:cs="Times New Roman"/>
          <w:b/>
          <w:sz w:val="24"/>
          <w:szCs w:val="24"/>
        </w:rPr>
        <w:t>O</w:t>
      </w:r>
      <w:r w:rsidR="0013058E" w:rsidRPr="00297C09">
        <w:rPr>
          <w:rFonts w:ascii="Times New Roman" w:hAnsi="Times New Roman" w:cs="Times New Roman"/>
          <w:b/>
          <w:sz w:val="24"/>
          <w:szCs w:val="24"/>
        </w:rPr>
        <w:t>BR</w:t>
      </w:r>
      <w:r w:rsidR="00107285" w:rsidRPr="00297C09">
        <w:rPr>
          <w:rFonts w:ascii="Times New Roman" w:hAnsi="Times New Roman" w:cs="Times New Roman"/>
          <w:b/>
          <w:sz w:val="24"/>
          <w:szCs w:val="24"/>
        </w:rPr>
        <w:t>AZLOŽENJE</w:t>
      </w:r>
      <w:r w:rsidR="003F44AE" w:rsidRPr="00297C09">
        <w:rPr>
          <w:rFonts w:ascii="Times New Roman" w:hAnsi="Times New Roman" w:cs="Times New Roman"/>
          <w:b/>
          <w:sz w:val="24"/>
          <w:szCs w:val="24"/>
        </w:rPr>
        <w:t xml:space="preserve"> IZMJENA </w:t>
      </w:r>
    </w:p>
    <w:p w14:paraId="32019A76" w14:textId="77777777" w:rsidR="009954F3" w:rsidRDefault="009954F3" w:rsidP="009954F3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28F6475" w14:textId="77777777" w:rsidR="00A00DAB" w:rsidRPr="00D01118" w:rsidRDefault="009954F3" w:rsidP="007C34AA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01118">
        <w:rPr>
          <w:rFonts w:ascii="Times New Roman" w:hAnsi="Times New Roman" w:cs="Times New Roman"/>
          <w:b/>
          <w:sz w:val="24"/>
          <w:szCs w:val="24"/>
          <w:u w:val="single"/>
        </w:rPr>
        <w:t>Ocjena stanja</w:t>
      </w:r>
    </w:p>
    <w:p w14:paraId="520D89D6" w14:textId="77777777" w:rsidR="00140221" w:rsidRDefault="00140221" w:rsidP="009954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6DAC76" w14:textId="77777777" w:rsidR="009C5447" w:rsidRPr="007B72DE" w:rsidRDefault="009C5447" w:rsidP="009C54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2DE">
        <w:rPr>
          <w:rFonts w:ascii="Times New Roman" w:hAnsi="Times New Roman" w:cs="Times New Roman"/>
          <w:sz w:val="24"/>
          <w:szCs w:val="24"/>
        </w:rPr>
        <w:t xml:space="preserve">HAKOM je sukladno ZEK-u nadležan za poticanje učinkovite uporabe i osiguravanje djelotvornog upravljanja radiofrekvencijskim spektrom, što ima za cilj nesmetan rad radiokomunikacijskih službi, brigu o zaštiti zdravlja i sigurnosti korisnika te drugih osoba. </w:t>
      </w:r>
    </w:p>
    <w:p w14:paraId="467E13EB" w14:textId="77777777" w:rsidR="00D73E33" w:rsidRDefault="00D73E33" w:rsidP="00D73E3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DCEEB52" w14:textId="77777777" w:rsidR="00D73E33" w:rsidRPr="007B72DE" w:rsidRDefault="00D73E33" w:rsidP="00D73E3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2DE">
        <w:rPr>
          <w:rFonts w:ascii="Times New Roman" w:hAnsi="Times New Roman" w:cs="Times New Roman"/>
          <w:sz w:val="24"/>
          <w:szCs w:val="24"/>
        </w:rPr>
        <w:t>U sklopu djelotvornog upravljanja radiofrekvencijskim spektrom, izrađen je prijedlog Tablice namjene radiofrekvencijskog spektra.</w:t>
      </w:r>
    </w:p>
    <w:p w14:paraId="36269789" w14:textId="77777777" w:rsidR="00FC31AD" w:rsidRDefault="00FC31AD" w:rsidP="009C54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CCF5D6" w14:textId="77777777" w:rsidR="009C5447" w:rsidRPr="007B72DE" w:rsidRDefault="009C5447" w:rsidP="009C54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2DE">
        <w:rPr>
          <w:rFonts w:ascii="Times New Roman" w:hAnsi="Times New Roman" w:cs="Times New Roman"/>
          <w:sz w:val="24"/>
          <w:szCs w:val="24"/>
        </w:rPr>
        <w:t>U razvijanju Tablice namjene radiofrekvencijskog spektra kao referentni dokument korištena je ECA (</w:t>
      </w:r>
      <w:r w:rsidRPr="007B72DE">
        <w:rPr>
          <w:rFonts w:ascii="Times New Roman" w:hAnsi="Times New Roman" w:cs="Times New Roman"/>
          <w:i/>
          <w:sz w:val="24"/>
          <w:szCs w:val="24"/>
        </w:rPr>
        <w:t>European Common Allocation</w:t>
      </w:r>
      <w:r w:rsidRPr="007B72DE">
        <w:rPr>
          <w:rFonts w:ascii="Times New Roman" w:hAnsi="Times New Roman" w:cs="Times New Roman"/>
          <w:sz w:val="24"/>
          <w:szCs w:val="24"/>
        </w:rPr>
        <w:t>) tablica, koja je sastavni dio ERC izvještaja 25.</w:t>
      </w:r>
    </w:p>
    <w:p w14:paraId="3D000921" w14:textId="77777777" w:rsidR="009C5447" w:rsidRPr="007B72DE" w:rsidRDefault="009C5447" w:rsidP="009C54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56B1087" w14:textId="77777777" w:rsidR="009C5447" w:rsidRPr="007B72DE" w:rsidRDefault="009C5447" w:rsidP="009C54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2DE">
        <w:rPr>
          <w:rFonts w:ascii="Times New Roman" w:hAnsi="Times New Roman" w:cs="Times New Roman"/>
          <w:sz w:val="24"/>
          <w:szCs w:val="24"/>
        </w:rPr>
        <w:t>ECA tablica je usklađena europska tablica namjene i primjene spektra. ECA ima za cilj razvijanje zajedničkih pozicija i prijedloga uporabe radi budućeg planiranja i daljnjeg usklađivanja i učinkovite uporabe radiofrekvencijskog spektra unutar Europe, uz istovremeno udovoljavanje zahtjevima korisnika i industrije.</w:t>
      </w:r>
    </w:p>
    <w:p w14:paraId="3765E735" w14:textId="77777777" w:rsidR="009C5447" w:rsidRPr="007B72DE" w:rsidRDefault="009C5447" w:rsidP="009C54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7EFA4D" w14:textId="77777777" w:rsidR="009C5447" w:rsidRDefault="009C5447" w:rsidP="009C54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Sukladno članku 22. stavku 5.  i članka 85. stavka 4. ZEK-a, o prijedlogu </w:t>
      </w:r>
      <w:r w:rsidRPr="008F6C93">
        <w:rPr>
          <w:rFonts w:ascii="Times New Roman" w:hAnsi="Times New Roman" w:cs="Times New Roman"/>
          <w:sz w:val="24"/>
          <w:szCs w:val="24"/>
        </w:rPr>
        <w:t>Tablice namjene radiofrekvencijskog spektra</w:t>
      </w:r>
      <w:r>
        <w:rPr>
          <w:rFonts w:ascii="Times New Roman" w:hAnsi="Times New Roman" w:cs="Times New Roman"/>
          <w:sz w:val="24"/>
          <w:szCs w:val="24"/>
        </w:rPr>
        <w:t xml:space="preserve"> potrebno je provesti postupak javne rasprave sa zainteresiranom javnošću. </w:t>
      </w:r>
    </w:p>
    <w:p w14:paraId="64552DA5" w14:textId="77777777" w:rsidR="007C7270" w:rsidRDefault="007C7270" w:rsidP="009954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8137B8" w14:textId="77777777" w:rsidR="002D26F5" w:rsidRDefault="002D26F5" w:rsidP="009954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438354" w14:textId="77777777" w:rsidR="002D26F5" w:rsidRDefault="002D26F5" w:rsidP="009954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6122686" w14:textId="77777777" w:rsidR="002D26F5" w:rsidRDefault="002D26F5" w:rsidP="009954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5CC9EF" w14:textId="77777777" w:rsidR="002D26F5" w:rsidRDefault="002D26F5" w:rsidP="009954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FBB94FD" w14:textId="77777777" w:rsidR="002D26F5" w:rsidRDefault="002D26F5" w:rsidP="009954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4F8C78" w14:textId="77777777" w:rsidR="002D26F5" w:rsidRDefault="002D26F5" w:rsidP="009954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C4EC55" w14:textId="77777777" w:rsidR="00316B99" w:rsidRPr="00D01118" w:rsidRDefault="00A30ED4" w:rsidP="00A30ED4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01118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Obrazloženje izmjena</w:t>
      </w:r>
    </w:p>
    <w:p w14:paraId="47AB471B" w14:textId="77777777" w:rsid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10D3A290" w14:textId="77777777" w:rsidR="00212AB8" w:rsidRDefault="00212AB8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Općenito</w:t>
      </w:r>
    </w:p>
    <w:p w14:paraId="22103A4B" w14:textId="77777777" w:rsidR="00212AB8" w:rsidRDefault="00212AB8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011878BA" w14:textId="2D7D3FD4" w:rsidR="009C5447" w:rsidRPr="007B72DE" w:rsidRDefault="006E4DAD" w:rsidP="009C5447">
      <w:pPr>
        <w:jc w:val="both"/>
        <w:rPr>
          <w:rFonts w:ascii="Times New Roman" w:hAnsi="Times New Roman" w:cs="Times New Roman"/>
          <w:sz w:val="24"/>
          <w:szCs w:val="24"/>
        </w:rPr>
      </w:pPr>
      <w:r w:rsidRPr="006E4DAD">
        <w:rPr>
          <w:rFonts w:ascii="Times New Roman" w:hAnsi="Times New Roman" w:cs="Times New Roman"/>
          <w:sz w:val="24"/>
          <w:szCs w:val="24"/>
        </w:rPr>
        <w:t>Tablica namjene je mijenjana prvenstveno radi usklađenja s europskom tablicom namjene spektra, izmjenama s konferencije WRC-1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6E4DAD">
        <w:rPr>
          <w:rFonts w:ascii="Times New Roman" w:hAnsi="Times New Roman" w:cs="Times New Roman"/>
          <w:sz w:val="24"/>
          <w:szCs w:val="24"/>
        </w:rPr>
        <w:t xml:space="preserve"> te sa ciljem osiguranja djelotvornog upravljanja radiofrekvencijskim spektrom. </w:t>
      </w:r>
      <w:r w:rsidR="00FC31AD">
        <w:rPr>
          <w:rFonts w:ascii="Times New Roman" w:hAnsi="Times New Roman" w:cs="Times New Roman"/>
          <w:sz w:val="24"/>
          <w:szCs w:val="24"/>
        </w:rPr>
        <w:t>P</w:t>
      </w:r>
      <w:r w:rsidR="009C5447" w:rsidRPr="007B72DE">
        <w:rPr>
          <w:rFonts w:ascii="Times New Roman" w:hAnsi="Times New Roman" w:cs="Times New Roman"/>
          <w:sz w:val="24"/>
          <w:szCs w:val="24"/>
        </w:rPr>
        <w:t xml:space="preserve">rijedlog izmjena Tablice namjene usklađen </w:t>
      </w:r>
      <w:r w:rsidR="00FC31AD">
        <w:rPr>
          <w:rFonts w:ascii="Times New Roman" w:hAnsi="Times New Roman" w:cs="Times New Roman"/>
          <w:sz w:val="24"/>
          <w:szCs w:val="24"/>
        </w:rPr>
        <w:t>je</w:t>
      </w:r>
      <w:r w:rsidR="009C5447" w:rsidRPr="007B72DE">
        <w:rPr>
          <w:rFonts w:ascii="Times New Roman" w:hAnsi="Times New Roman" w:cs="Times New Roman"/>
          <w:sz w:val="24"/>
          <w:szCs w:val="24"/>
        </w:rPr>
        <w:t xml:space="preserve"> </w:t>
      </w:r>
      <w:r w:rsidR="00FC31AD">
        <w:rPr>
          <w:rFonts w:ascii="Times New Roman" w:hAnsi="Times New Roman" w:cs="Times New Roman"/>
          <w:sz w:val="24"/>
          <w:szCs w:val="24"/>
        </w:rPr>
        <w:t xml:space="preserve">sa </w:t>
      </w:r>
      <w:r w:rsidR="009C5447" w:rsidRPr="007B72DE">
        <w:rPr>
          <w:rFonts w:ascii="Times New Roman" w:hAnsi="Times New Roman" w:cs="Times New Roman"/>
          <w:sz w:val="24"/>
          <w:szCs w:val="24"/>
        </w:rPr>
        <w:t>svi</w:t>
      </w:r>
      <w:r w:rsidR="00FC31AD">
        <w:rPr>
          <w:rFonts w:ascii="Times New Roman" w:hAnsi="Times New Roman" w:cs="Times New Roman"/>
          <w:sz w:val="24"/>
          <w:szCs w:val="24"/>
        </w:rPr>
        <w:t>m</w:t>
      </w:r>
      <w:r w:rsidR="009C5447" w:rsidRPr="007B72DE">
        <w:rPr>
          <w:rFonts w:ascii="Times New Roman" w:hAnsi="Times New Roman" w:cs="Times New Roman"/>
          <w:sz w:val="24"/>
          <w:szCs w:val="24"/>
        </w:rPr>
        <w:t xml:space="preserve"> v</w:t>
      </w:r>
      <w:r w:rsidR="00FC31AD">
        <w:rPr>
          <w:rFonts w:ascii="Times New Roman" w:hAnsi="Times New Roman" w:cs="Times New Roman"/>
          <w:sz w:val="24"/>
          <w:szCs w:val="24"/>
        </w:rPr>
        <w:t>a</w:t>
      </w:r>
      <w:r w:rsidR="009C5447" w:rsidRPr="007B72DE">
        <w:rPr>
          <w:rFonts w:ascii="Times New Roman" w:hAnsi="Times New Roman" w:cs="Times New Roman"/>
          <w:sz w:val="24"/>
          <w:szCs w:val="24"/>
        </w:rPr>
        <w:t>žeći</w:t>
      </w:r>
      <w:r w:rsidR="00FC31AD">
        <w:rPr>
          <w:rFonts w:ascii="Times New Roman" w:hAnsi="Times New Roman" w:cs="Times New Roman"/>
          <w:sz w:val="24"/>
          <w:szCs w:val="24"/>
        </w:rPr>
        <w:t>m</w:t>
      </w:r>
      <w:r w:rsidR="009C5447" w:rsidRPr="007B72DE">
        <w:rPr>
          <w:rFonts w:ascii="Times New Roman" w:hAnsi="Times New Roman" w:cs="Times New Roman"/>
          <w:sz w:val="24"/>
          <w:szCs w:val="24"/>
        </w:rPr>
        <w:t xml:space="preserve"> CEPT-ovi</w:t>
      </w:r>
      <w:r w:rsidR="00212AB8">
        <w:rPr>
          <w:rFonts w:ascii="Times New Roman" w:hAnsi="Times New Roman" w:cs="Times New Roman"/>
          <w:sz w:val="24"/>
          <w:szCs w:val="24"/>
        </w:rPr>
        <w:t>m</w:t>
      </w:r>
      <w:r w:rsidR="009C5447" w:rsidRPr="007B72DE">
        <w:rPr>
          <w:rFonts w:ascii="Times New Roman" w:hAnsi="Times New Roman" w:cs="Times New Roman"/>
          <w:sz w:val="24"/>
          <w:szCs w:val="24"/>
        </w:rPr>
        <w:t xml:space="preserve"> (</w:t>
      </w:r>
      <w:r w:rsidR="009C5447" w:rsidRPr="002D26F5">
        <w:rPr>
          <w:rFonts w:ascii="Times New Roman" w:hAnsi="Times New Roman" w:cs="Times New Roman"/>
          <w:i/>
          <w:sz w:val="24"/>
          <w:szCs w:val="24"/>
          <w:lang w:val="en-GB"/>
        </w:rPr>
        <w:t>European Conference of Postal and Telecommunications Administrations</w:t>
      </w:r>
      <w:r w:rsidR="009C5447" w:rsidRPr="007B72DE">
        <w:rPr>
          <w:rFonts w:ascii="Times New Roman" w:hAnsi="Times New Roman" w:cs="Times New Roman"/>
          <w:sz w:val="24"/>
          <w:szCs w:val="24"/>
        </w:rPr>
        <w:t>) dokumenti</w:t>
      </w:r>
      <w:r w:rsidR="00FC31AD">
        <w:rPr>
          <w:rFonts w:ascii="Times New Roman" w:hAnsi="Times New Roman" w:cs="Times New Roman"/>
          <w:sz w:val="24"/>
          <w:szCs w:val="24"/>
        </w:rPr>
        <w:t>ma</w:t>
      </w:r>
      <w:r w:rsidR="009C5447" w:rsidRPr="007B72DE">
        <w:rPr>
          <w:rFonts w:ascii="Times New Roman" w:hAnsi="Times New Roman" w:cs="Times New Roman"/>
          <w:sz w:val="24"/>
          <w:szCs w:val="24"/>
        </w:rPr>
        <w:t xml:space="preserve"> te su dodane reference na </w:t>
      </w:r>
      <w:r w:rsidR="00FC31AD">
        <w:rPr>
          <w:rFonts w:ascii="Times New Roman" w:hAnsi="Times New Roman" w:cs="Times New Roman"/>
          <w:sz w:val="24"/>
          <w:szCs w:val="24"/>
        </w:rPr>
        <w:t xml:space="preserve">odgovarajuće </w:t>
      </w:r>
      <w:r w:rsidR="009C5447" w:rsidRPr="007B72DE">
        <w:rPr>
          <w:rFonts w:ascii="Times New Roman" w:hAnsi="Times New Roman" w:cs="Times New Roman"/>
          <w:sz w:val="24"/>
          <w:szCs w:val="24"/>
        </w:rPr>
        <w:t>CEPT odluke i preporuke</w:t>
      </w:r>
      <w:r w:rsidR="00FC31AD">
        <w:rPr>
          <w:rFonts w:ascii="Times New Roman" w:hAnsi="Times New Roman" w:cs="Times New Roman"/>
          <w:sz w:val="24"/>
          <w:szCs w:val="24"/>
        </w:rPr>
        <w:t>.</w:t>
      </w:r>
    </w:p>
    <w:p w14:paraId="22DC26DA" w14:textId="77777777" w:rsidR="00816947" w:rsidRDefault="009C5447" w:rsidP="004D467B">
      <w:pPr>
        <w:spacing w:after="240"/>
        <w:jc w:val="both"/>
        <w:rPr>
          <w:rFonts w:ascii="Times New Roman" w:hAnsi="Times New Roman" w:cs="Times New Roman"/>
          <w:sz w:val="24"/>
          <w:szCs w:val="24"/>
        </w:rPr>
      </w:pPr>
      <w:r w:rsidRPr="007B72DE">
        <w:rPr>
          <w:rFonts w:ascii="Times New Roman" w:hAnsi="Times New Roman" w:cs="Times New Roman"/>
          <w:sz w:val="24"/>
          <w:szCs w:val="24"/>
        </w:rPr>
        <w:t>U prijedlogu izmjena Tablice namjene napravljene su izmjene potrebne za implementaciju provedbenih odluka Europske komisije:</w:t>
      </w:r>
    </w:p>
    <w:p w14:paraId="72CB4446" w14:textId="77777777" w:rsidR="009F6E38" w:rsidRPr="004D467B" w:rsidRDefault="00402042" w:rsidP="004D467B">
      <w:pPr>
        <w:pStyle w:val="ListParagraph"/>
        <w:numPr>
          <w:ilvl w:val="0"/>
          <w:numId w:val="7"/>
        </w:numPr>
        <w:spacing w:before="240" w:after="0" w:line="240" w:lineRule="auto"/>
        <w:ind w:left="714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D467B">
        <w:rPr>
          <w:rFonts w:ascii="Times New Roman" w:hAnsi="Times New Roman" w:cs="Times New Roman"/>
          <w:sz w:val="24"/>
          <w:szCs w:val="24"/>
        </w:rPr>
        <w:t xml:space="preserve">Provedbena odluka Komisije (EU) </w:t>
      </w:r>
      <w:r w:rsidRPr="004D467B">
        <w:rPr>
          <w:rFonts w:ascii="Times New Roman" w:hAnsi="Times New Roman" w:cs="Times New Roman"/>
          <w:b/>
          <w:sz w:val="24"/>
          <w:szCs w:val="24"/>
        </w:rPr>
        <w:t>2016/687</w:t>
      </w:r>
      <w:r w:rsidRPr="004D467B">
        <w:rPr>
          <w:rFonts w:ascii="Times New Roman" w:hAnsi="Times New Roman" w:cs="Times New Roman"/>
          <w:sz w:val="24"/>
          <w:szCs w:val="24"/>
        </w:rPr>
        <w:t xml:space="preserve"> оd 28. travnja 2016. o usklađivanju frekvencijskog pojasa 694–790 MHz za zemaljske sustave koji se upotrebljavaju za pružanje usluga bežičnih širokopojasnih elektroničkih komunikacija i fleksibilnu nacionalnu upotrebu u Uniji</w:t>
      </w:r>
    </w:p>
    <w:p w14:paraId="7B0716EB" w14:textId="77777777" w:rsidR="004D467B" w:rsidRPr="004D467B" w:rsidRDefault="004D467B" w:rsidP="004D467B">
      <w:pPr>
        <w:pStyle w:val="ListParagraph"/>
        <w:numPr>
          <w:ilvl w:val="0"/>
          <w:numId w:val="7"/>
        </w:numPr>
        <w:spacing w:before="240" w:after="0" w:line="240" w:lineRule="auto"/>
        <w:ind w:left="714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D467B">
        <w:rPr>
          <w:rFonts w:ascii="Times New Roman" w:hAnsi="Times New Roman" w:cs="Times New Roman"/>
          <w:sz w:val="24"/>
          <w:szCs w:val="24"/>
        </w:rPr>
        <w:t xml:space="preserve">Provedbena odluka Komisije (EU) </w:t>
      </w:r>
      <w:r w:rsidRPr="004D467B">
        <w:rPr>
          <w:rFonts w:ascii="Times New Roman" w:hAnsi="Times New Roman" w:cs="Times New Roman"/>
          <w:b/>
          <w:sz w:val="24"/>
          <w:szCs w:val="24"/>
        </w:rPr>
        <w:t>2016/339</w:t>
      </w:r>
      <w:r w:rsidRPr="004D467B">
        <w:rPr>
          <w:rFonts w:ascii="Times New Roman" w:hAnsi="Times New Roman" w:cs="Times New Roman"/>
          <w:sz w:val="24"/>
          <w:szCs w:val="24"/>
        </w:rPr>
        <w:t xml:space="preserve"> оd 8. ožujka 2016. o usklađivanju frekvencijskog pojasa 2 010–2 025 MHz za prijenosne i mobilne bežične videoveze te bežične kamere koje se upotrebljavaju za proizvodnju programa i posebne događaje</w:t>
      </w:r>
    </w:p>
    <w:p w14:paraId="5A0723BD" w14:textId="390671E5" w:rsidR="004D467B" w:rsidRPr="004D467B" w:rsidRDefault="004D467B" w:rsidP="004D467B">
      <w:pPr>
        <w:pStyle w:val="ListParagraph"/>
        <w:numPr>
          <w:ilvl w:val="0"/>
          <w:numId w:val="7"/>
        </w:numPr>
        <w:spacing w:before="240" w:after="0" w:line="240" w:lineRule="auto"/>
        <w:ind w:left="714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D467B">
        <w:rPr>
          <w:rFonts w:ascii="Times New Roman" w:hAnsi="Times New Roman" w:cs="Times New Roman"/>
          <w:sz w:val="24"/>
          <w:szCs w:val="24"/>
        </w:rPr>
        <w:t xml:space="preserve">Provedbena odluka </w:t>
      </w:r>
      <w:r w:rsidR="00212AB8">
        <w:rPr>
          <w:rFonts w:ascii="Times New Roman" w:hAnsi="Times New Roman" w:cs="Times New Roman"/>
          <w:sz w:val="24"/>
          <w:szCs w:val="24"/>
        </w:rPr>
        <w:t>K</w:t>
      </w:r>
      <w:r w:rsidRPr="004D467B">
        <w:rPr>
          <w:rFonts w:ascii="Times New Roman" w:hAnsi="Times New Roman" w:cs="Times New Roman"/>
          <w:sz w:val="24"/>
          <w:szCs w:val="24"/>
        </w:rPr>
        <w:t xml:space="preserve">omisije (EU) </w:t>
      </w:r>
      <w:r w:rsidRPr="004D467B">
        <w:rPr>
          <w:rFonts w:ascii="Times New Roman" w:hAnsi="Times New Roman" w:cs="Times New Roman"/>
          <w:b/>
          <w:sz w:val="24"/>
          <w:szCs w:val="24"/>
        </w:rPr>
        <w:t>2014/276</w:t>
      </w:r>
      <w:r w:rsidRPr="004D467B">
        <w:rPr>
          <w:rFonts w:ascii="Times New Roman" w:hAnsi="Times New Roman" w:cs="Times New Roman"/>
          <w:sz w:val="24"/>
          <w:szCs w:val="24"/>
        </w:rPr>
        <w:t xml:space="preserve"> оd 2. svibnja 2014. o izmjeni Odluke 2008/411/EZ o usklađivanju frekvencijskog pojasa 3 400 – 3 800 MHz za zemaljske sustave koji pružaju usluge elektroničkih komunikacija u Zajednici</w:t>
      </w:r>
    </w:p>
    <w:p w14:paraId="5EF2F8ED" w14:textId="77777777" w:rsidR="004D467B" w:rsidRPr="004D467B" w:rsidRDefault="004D467B" w:rsidP="004D467B">
      <w:pPr>
        <w:pStyle w:val="ListParagraph"/>
        <w:numPr>
          <w:ilvl w:val="0"/>
          <w:numId w:val="7"/>
        </w:numPr>
        <w:spacing w:before="240" w:after="0" w:line="240" w:lineRule="auto"/>
        <w:ind w:left="714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D467B">
        <w:rPr>
          <w:rFonts w:ascii="Times New Roman" w:hAnsi="Times New Roman" w:cs="Times New Roman"/>
          <w:sz w:val="24"/>
          <w:szCs w:val="24"/>
        </w:rPr>
        <w:t xml:space="preserve">Odluka Komisije </w:t>
      </w:r>
      <w:r w:rsidRPr="004D467B">
        <w:rPr>
          <w:rFonts w:ascii="Times New Roman" w:hAnsi="Times New Roman" w:cs="Times New Roman"/>
          <w:b/>
          <w:sz w:val="24"/>
          <w:szCs w:val="24"/>
        </w:rPr>
        <w:t>2008/477/EZ</w:t>
      </w:r>
      <w:r w:rsidRPr="004D467B">
        <w:rPr>
          <w:rFonts w:ascii="Times New Roman" w:hAnsi="Times New Roman" w:cs="Times New Roman"/>
          <w:sz w:val="24"/>
          <w:szCs w:val="24"/>
        </w:rPr>
        <w:t xml:space="preserve"> od 13. lipnja 2008. o usklađivanju frekvencijskog pojasa 2 500-2 690 MHz za zemaljske sustave koji pružaju usluge elektroničkih komunikacija u Zajednici</w:t>
      </w:r>
    </w:p>
    <w:p w14:paraId="2A449230" w14:textId="77777777" w:rsidR="00402042" w:rsidRDefault="00402042" w:rsidP="009F6E3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3A8F91B" w14:textId="77777777" w:rsidR="00212AB8" w:rsidRPr="00212AB8" w:rsidRDefault="00212AB8" w:rsidP="009F6E38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212AB8">
        <w:rPr>
          <w:rFonts w:ascii="Times New Roman" w:hAnsi="Times New Roman" w:cs="Times New Roman"/>
          <w:sz w:val="24"/>
          <w:szCs w:val="24"/>
          <w:u w:val="single"/>
        </w:rPr>
        <w:t>Izmjene</w:t>
      </w:r>
    </w:p>
    <w:p w14:paraId="24694718" w14:textId="77777777" w:rsidR="00A84D36" w:rsidRDefault="009C5447" w:rsidP="009C54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2DE">
        <w:rPr>
          <w:rFonts w:ascii="Times New Roman" w:hAnsi="Times New Roman" w:cs="Times New Roman"/>
          <w:sz w:val="24"/>
          <w:szCs w:val="24"/>
        </w:rPr>
        <w:t>U prijedlogu izmjena Tablice namjene radiofrekvencijskog spektra predložene su konkretno sljedeće izmjene:</w:t>
      </w:r>
    </w:p>
    <w:p w14:paraId="75D925BA" w14:textId="77777777" w:rsidR="009A0B3D" w:rsidRPr="0017172A" w:rsidRDefault="009A0B3D" w:rsidP="0017172A">
      <w:pPr>
        <w:spacing w:after="0" w:line="240" w:lineRule="auto"/>
        <w:jc w:val="both"/>
        <w:rPr>
          <w:rFonts w:ascii="Times New Roman" w:eastAsia="Times New Roman" w:hAnsi="Times New Roman" w:cs="Times New Roman"/>
          <w:color w:val="1F497D"/>
          <w:sz w:val="24"/>
          <w:szCs w:val="24"/>
        </w:rPr>
      </w:pPr>
    </w:p>
    <w:p w14:paraId="268951C0" w14:textId="77777777" w:rsidR="009A0B3D" w:rsidRPr="00FE7A33" w:rsidRDefault="009A0B3D" w:rsidP="0017172A">
      <w:pPr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Kao posljedica izmjena u Radijskim propisima usvojenim nakon Svjetske radiokomunikacijske konferencije 2015., u Tablicu namjene unesene su sljedeće izmjene:</w:t>
      </w:r>
    </w:p>
    <w:p w14:paraId="7D11EBEB" w14:textId="77777777" w:rsidR="003C2D36" w:rsidRPr="00984380" w:rsidRDefault="009A0B3D" w:rsidP="00984380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 frekvencijskim pojasevima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1</w:t>
      </w:r>
      <w:r w:rsidR="00FF33F8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63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5 – 1800 kHz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i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1850 – 2000 kHz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dodaje se namjena za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amatersku službu</w:t>
      </w:r>
      <w:r w:rsidR="00F30492"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na sekundarnoj osnovi uz fusnotu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5.96</w:t>
      </w:r>
    </w:p>
    <w:p w14:paraId="339486EA" w14:textId="77777777" w:rsidR="009A0B3D" w:rsidRPr="00FE7A33" w:rsidRDefault="009A0B3D" w:rsidP="0017172A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 frekvencijskim pojasevima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47</w:t>
      </w:r>
      <w:r w:rsidR="00F30492"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MHz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F30492"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–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68 MHz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uz namjenu spektra za kopnenu pokretnu službu dodaje se fusnota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5.164</w:t>
      </w:r>
    </w:p>
    <w:p w14:paraId="64089240" w14:textId="77777777" w:rsidR="009A0B3D" w:rsidRPr="00FE7A33" w:rsidRDefault="009A0B3D" w:rsidP="0017172A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Frekvencijski pojas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161,475</w:t>
      </w:r>
      <w:r w:rsidR="00F30492"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MHz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– 161,9625 MHz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razdvaja se na dva frekvencijska pojasa: 161,475</w:t>
      </w:r>
      <w:r w:rsidR="00F30492"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MHz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30492"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–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161,9375 MHz i 161,9375</w:t>
      </w:r>
      <w:r w:rsidR="00F30492"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MHz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30492"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–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161,9625 MHz. U pojasu 161,9375</w:t>
      </w:r>
      <w:r w:rsidR="00F30492"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MHz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- 161,9625 MHz dodaje se namjena za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pomorsku pokretnu satelitsku službu (Zemlja - svemir)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na sekundarnoj osnovi uz fusnotu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5.228AA</w:t>
      </w:r>
    </w:p>
    <w:p w14:paraId="37DF99E3" w14:textId="77777777" w:rsidR="009A0B3D" w:rsidRPr="00FE7A33" w:rsidRDefault="009A0B3D" w:rsidP="0017172A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 frekvencijskom pojasu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161,9875</w:t>
      </w:r>
      <w:r w:rsidR="00F30492"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MHz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 – 162,0125 MHz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dodaje se namjena za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pomorsku pokretnu satelitsku službu (Zemlja - svemir)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na primarnoj osnovi uz fusnotu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5.228AA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81F5DE1" w14:textId="77777777" w:rsidR="009A0B3D" w:rsidRPr="00FE7A33" w:rsidRDefault="009A0B3D" w:rsidP="0017172A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lastRenderedPageBreak/>
        <w:t xml:space="preserve">U frekvencijskim pojasevima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403</w:t>
      </w:r>
      <w:r w:rsidR="00F30492"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MHz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F30492"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–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405 MHz, 405</w:t>
      </w:r>
      <w:r w:rsidR="00F30492"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MHz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– 406 MHz, 406</w:t>
      </w:r>
      <w:r w:rsidR="00F30492"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MHz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– 406,1 MHz, 406,1</w:t>
      </w:r>
      <w:r w:rsidR="00F30492"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MHz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– 410 MHz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dodaje se ispod svih namjena općenita fusnota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5.265</w:t>
      </w:r>
    </w:p>
    <w:p w14:paraId="06612E00" w14:textId="77777777" w:rsidR="009A0B3D" w:rsidRPr="00FE7A33" w:rsidRDefault="009A0B3D" w:rsidP="0017172A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 frekvencijskom pojasu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960</w:t>
      </w:r>
      <w:r w:rsidR="0017172A"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MHz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– 1164 MHz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dodaje se namjena za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zrakoplovnu pokretnu (R) službu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na primarnoj osnovi uz fusnotu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5.327A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Također uz postojeću namjenu za zrakoplovnu radionavigaciju dodaje se fusnota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5.328AA</w:t>
      </w:r>
      <w:r w:rsidR="00F30492"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92E5E63" w14:textId="77777777" w:rsidR="009A0B3D" w:rsidRDefault="009A0B3D" w:rsidP="0017172A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 frekvencijskom pojasu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4200</w:t>
      </w:r>
      <w:r w:rsidR="00F30492"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MHz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– 4400 MHz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dodaje se namjena za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zrakoplovnu pokretnu (R) službu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na primarnoj osnovi uz fusnotu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5.436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te se dodaje općenita fusnota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5.437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Također, dodaje se </w:t>
      </w:r>
      <w:r w:rsidRPr="00FF33F8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primjena</w:t>
      </w:r>
      <w:r w:rsidR="00FF33F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'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WAIC</w:t>
      </w:r>
      <w:r w:rsidR="00FF33F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'; način izdavanja: Opća dozvola</w:t>
      </w:r>
    </w:p>
    <w:p w14:paraId="62E7D221" w14:textId="77777777" w:rsidR="001577B9" w:rsidRDefault="001577B9" w:rsidP="001577B9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B641C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Frekvencijski pojas </w:t>
      </w:r>
      <w:r w:rsidRPr="00B641C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5030 MHz – 5150 MHz</w:t>
      </w:r>
      <w:r w:rsidRPr="00B641C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dijeli se na pojaseve </w:t>
      </w:r>
      <w:r w:rsidRPr="00B641C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5030 MHz – 5091 MHz </w:t>
      </w:r>
      <w:r w:rsidRPr="00B641C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</w:t>
      </w:r>
      <w:r w:rsidRPr="00B641C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5091 MHz – 5150 MHz</w:t>
      </w:r>
      <w:r w:rsidRPr="00B641C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</w:t>
      </w:r>
      <w:r w:rsidRPr="003C2D3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 frekvencijskom pojasu </w:t>
      </w:r>
      <w:r w:rsidRPr="003C2D3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5091 MHz – 5150 MHz</w:t>
      </w:r>
      <w:r w:rsidRPr="003C2D3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dodaje se </w:t>
      </w:r>
      <w:r w:rsidRPr="00B641C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namjena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:</w:t>
      </w:r>
      <w:r w:rsidRPr="003C2D3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za </w:t>
      </w:r>
      <w:r w:rsidRPr="003C2D36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nepokretnu satelitsku službu</w:t>
      </w:r>
      <w:r w:rsidRPr="003C2D3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na primarnoj osnovi</w:t>
      </w:r>
    </w:p>
    <w:p w14:paraId="727537D8" w14:textId="77777777" w:rsidR="001577B9" w:rsidRPr="003C2D36" w:rsidRDefault="001577B9" w:rsidP="001577B9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C2D3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Frekvencijski pojas </w:t>
      </w:r>
      <w:r w:rsidRPr="003C2D3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7145 MHz – 7235 MHz</w:t>
      </w:r>
      <w:r w:rsidRPr="003C2D3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dijeli se na dva pojasa 7415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MHz</w:t>
      </w:r>
      <w:r w:rsidRPr="003C2D3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– 7190 MHz i 7190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MHz</w:t>
      </w:r>
      <w:r w:rsidRPr="003C2D3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– 7235 MHz. Iz pojasa 7415 – 7190 MHz briše se istraživanje Zemlje satelitsko (Zemlja – svemir) na sekundarnoj osnovi, a u pojas 7190 – 7235 MHz se dodaje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3C2D36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istraživanje Zemlje satelitsko (Zemlja – svemir)</w:t>
      </w:r>
      <w:r w:rsidRPr="003C2D3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na primarnoj osnovi uz fusnote </w:t>
      </w:r>
      <w:r w:rsidRPr="003C2D36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5.460A i 5.460B</w:t>
      </w:r>
    </w:p>
    <w:p w14:paraId="15EC3CFA" w14:textId="77777777" w:rsidR="001577B9" w:rsidRPr="003C2D36" w:rsidRDefault="001577B9" w:rsidP="001577B9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C2D3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 frekvencijskom pojasu </w:t>
      </w:r>
      <w:r w:rsidRPr="003C2D3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7235 MHz – 7250 MHz</w:t>
      </w:r>
      <w:r w:rsidRPr="003C2D3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3C2D36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istraživanje Zemlje satelitsko (Zemlja – svemir)</w:t>
      </w:r>
      <w:r w:rsidRPr="003C2D3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prelazi sa sekundarne na primarnu osnovu i dodaje se fusnota </w:t>
      </w:r>
      <w:r w:rsidRPr="003C2D36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5.460A</w:t>
      </w:r>
    </w:p>
    <w:p w14:paraId="22EBFEB1" w14:textId="77777777" w:rsidR="001577B9" w:rsidRPr="003C2D36" w:rsidRDefault="001577B9" w:rsidP="001577B9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C2D3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Frekvencijski pojasevi </w:t>
      </w:r>
      <w:r w:rsidRPr="003C2D3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7375 MHz – 7425 MHz </w:t>
      </w:r>
      <w:r w:rsidRPr="003C2D3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</w:t>
      </w:r>
      <w:r w:rsidRPr="003C2D3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7425 – 7450 MHz</w:t>
      </w:r>
      <w:r w:rsidRPr="003C2D3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objedinjuju se u jedan pojas </w:t>
      </w:r>
      <w:r w:rsidRPr="003C2D3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7375 MHz – 7450 MHz</w:t>
      </w:r>
      <w:r w:rsidRPr="003C2D3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u koji se dodaje namjena za </w:t>
      </w:r>
      <w:r w:rsidRPr="003C2D36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pomorsku pokretnu satelitsku službu (Zemlja – svemir)</w:t>
      </w:r>
      <w:r w:rsidRPr="003C2D3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uz fusnote </w:t>
      </w:r>
      <w:r w:rsidRPr="003C2D36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5.461AA </w:t>
      </w:r>
      <w:r w:rsidRPr="003C2D3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</w:t>
      </w:r>
      <w:r w:rsidRPr="003C2D36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 5.461AB</w:t>
      </w:r>
    </w:p>
    <w:p w14:paraId="529684CC" w14:textId="77777777" w:rsidR="001577B9" w:rsidRPr="003C2D36" w:rsidRDefault="001577B9" w:rsidP="001577B9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C2D3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 frekvencijski pojas </w:t>
      </w:r>
      <w:r w:rsidRPr="003C2D3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9200 MHz – 9300 MHz</w:t>
      </w:r>
      <w:r w:rsidRPr="003C2D3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dodaje se </w:t>
      </w:r>
      <w:r w:rsidRPr="003C2D36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istraživanje Zemlje satelitsko (aktivno)</w:t>
      </w:r>
      <w:r w:rsidRPr="003C2D3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na primarnoj osnovi uz fusnote </w:t>
      </w:r>
      <w:r w:rsidRPr="003C2D36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5.474</w:t>
      </w:r>
      <w:r w:rsidRPr="003C2D3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i </w:t>
      </w:r>
      <w:r w:rsidRPr="003C2D36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5.474D</w:t>
      </w:r>
    </w:p>
    <w:p w14:paraId="73715E4C" w14:textId="77777777" w:rsidR="00251EFF" w:rsidRDefault="00251EFF" w:rsidP="00251EFF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 frekvencijskom pojasu </w:t>
      </w:r>
      <w:r w:rsidRPr="00251EF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9200 MHz – 9300 MHz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dodaju </w:t>
      </w:r>
      <w:r w:rsidRPr="00251EF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e</w:t>
      </w:r>
      <w:r w:rsidRPr="00251EF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fusnote </w:t>
      </w:r>
      <w:r w:rsidRPr="00251EFF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5.474A</w:t>
      </w:r>
      <w:r w:rsidRPr="00251EF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</w:t>
      </w:r>
      <w:r w:rsidRPr="00251EFF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 5.474B </w:t>
      </w:r>
      <w:r w:rsidRPr="00251EF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</w:t>
      </w:r>
      <w:r w:rsidRPr="00251EFF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 5.474C</w:t>
      </w:r>
    </w:p>
    <w:p w14:paraId="5F3B81CB" w14:textId="77777777" w:rsidR="001577B9" w:rsidRPr="001577B9" w:rsidRDefault="001577B9" w:rsidP="001577B9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C2D3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Frekvencijski pojas </w:t>
      </w:r>
      <w:r w:rsidRPr="003C2D3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9800 MHz – 10 000 MHz</w:t>
      </w:r>
      <w:r w:rsidRPr="003C2D3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dijeli se na dva pojasa 9800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MHz</w:t>
      </w:r>
      <w:r w:rsidRPr="003C2D3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– 9900 MHz i 9900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MHz</w:t>
      </w:r>
      <w:r w:rsidRPr="003C2D3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– 10 000 MHz. U frekvencijskom pojasu </w:t>
      </w:r>
      <w:r w:rsidRPr="003C2D3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9900 MHz – 10 000 MHz</w:t>
      </w:r>
      <w:r w:rsidRPr="003C2D3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84380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istraživanje Zemlje satelitsko (aktivno)</w:t>
      </w:r>
      <w:r w:rsidRPr="003C2D3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prelazi na primarnu osnovu uz fusnote </w:t>
      </w:r>
      <w:r w:rsidRPr="00984380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5.474A</w:t>
      </w:r>
      <w:r w:rsidRPr="0098438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</w:t>
      </w:r>
      <w:r w:rsidRPr="00984380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 5.474B </w:t>
      </w:r>
      <w:r w:rsidRPr="0098438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</w:t>
      </w:r>
      <w:r w:rsidRPr="00984380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 5.474C</w:t>
      </w:r>
    </w:p>
    <w:p w14:paraId="08EF3013" w14:textId="77777777" w:rsidR="009A0B3D" w:rsidRPr="00FE7A33" w:rsidRDefault="009A0B3D" w:rsidP="0017172A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 frekvencijskim pojasevima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19,7</w:t>
      </w:r>
      <w:r w:rsidR="00F30492"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MHz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– 20,1 GHz 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20,1 – 20,2 GHz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uz namjenu za nepokretnu satelitsku službu (svemir – Zemlja) i postojeće fusnote, dodaje se i fusnota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5.527A</w:t>
      </w:r>
    </w:p>
    <w:p w14:paraId="5B140EE2" w14:textId="77777777" w:rsidR="009A0B3D" w:rsidRPr="00FE7A33" w:rsidRDefault="009A0B3D" w:rsidP="0017172A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 frekvencijskim pojasevima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29,5</w:t>
      </w:r>
      <w:r w:rsidR="00F30492"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GHz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– 29,9 GHz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i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29,9 – 30,0 GHz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uz namjenu za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nepokretnu satelitsku službu (svemir – Zemlja)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i postojeće fusnote, dodaje se i fusnota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5.527A</w:t>
      </w:r>
    </w:p>
    <w:p w14:paraId="2B8BE6F8" w14:textId="77777777" w:rsidR="009A0B3D" w:rsidRPr="00FE7A33" w:rsidRDefault="009A0B3D" w:rsidP="0017172A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 frekvencijskom pojasu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77,5 – 78 GHz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dodaje se namjena za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radiolokaciju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na primarnoj osnovi uz fusnotu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5.559B</w:t>
      </w:r>
    </w:p>
    <w:p w14:paraId="31287D07" w14:textId="77777777" w:rsidR="009A0B3D" w:rsidRPr="00FE7A33" w:rsidRDefault="009A0B3D" w:rsidP="0017172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9515393" w14:textId="529E161C" w:rsidR="00291060" w:rsidRPr="00FE7A33" w:rsidRDefault="00291060" w:rsidP="004F2D7B">
      <w:pPr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Kao posljedica izmjena postojećih i </w:t>
      </w:r>
      <w:r w:rsidR="00A4402B"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usvojenih 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novih ECC/ERC odluka i preporuka, implementacije provedbenih </w:t>
      </w:r>
      <w:r w:rsidR="00212AB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dluka Europske komisije o usklađivanju uporabe radiofrekvencijskog spektra za radiokomunikacijske sustave, te usklađivanja s ECA tablicom, u </w:t>
      </w:r>
      <w:r w:rsidR="004F2D7B"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prijedlog nove 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Tablic</w:t>
      </w:r>
      <w:r w:rsidR="004F2D7B"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e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namjene unesene su sljedeće izmjene:</w:t>
      </w:r>
    </w:p>
    <w:p w14:paraId="40002D08" w14:textId="77777777" w:rsidR="004F2D7B" w:rsidRPr="00FE7A33" w:rsidRDefault="004F2D7B" w:rsidP="00623467">
      <w:pPr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Unutar frekvencijskog pojasa </w:t>
      </w:r>
      <w:r w:rsidRPr="00FE7A3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5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250 kHz – 5450 kHz</w:t>
      </w:r>
      <w:r w:rsidR="00623467"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mijenja se namjena za </w:t>
      </w:r>
      <w:r w:rsidR="00623467"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amatersku službu</w:t>
      </w:r>
      <w:r w:rsidR="00623467"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na sekundarnoj osnovi 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za frekvencijski pojas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5351.5 kHz </w:t>
      </w:r>
      <w:r w:rsidR="00956FAE"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–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5366.5 kHz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1CC64D8" w14:textId="77777777" w:rsidR="006E4DAD" w:rsidRPr="00FE7A33" w:rsidRDefault="006E4DAD" w:rsidP="00623467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 frekvencijskim pojasevima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87,5 MHz – 108 MHz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mijenja se naziv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primjene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Bežične audio/multimedijske primjene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; mijenja se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opća bilješka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Unutar pojasa 87,5 – 108 MHz</w:t>
      </w:r>
    </w:p>
    <w:p w14:paraId="7945A39B" w14:textId="77777777" w:rsidR="00D436A8" w:rsidRPr="00FE7A33" w:rsidRDefault="006E4DAD" w:rsidP="004B5E79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lastRenderedPageBreak/>
        <w:t xml:space="preserve">U frekvencijskim pojasevima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169,7125 MHz – 169,8125 MHz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povlači se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primjena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: Praćenje i pronalaženje dobara. Za uporabu radiofrekvencijskog spektra za primjene praćenja i pronalaženja dobara bila je potrebna pojedinačna dozvola i ista dosad nije izdana. Odlukom 2013/752/EU ukinuta je Odluka 2005/928/EZ koja je harmonizirala spektar za tu primjenu. U izmijenjenim ERC preporuci 70-03 i ECC odluci (05)02 više se ne referencira posebno na tu primjenu već je ista referencirana unutar kategorije nespecifičnih uređaja malog dometa (SRD)</w:t>
      </w:r>
    </w:p>
    <w:p w14:paraId="0CF9023D" w14:textId="77777777" w:rsidR="003D3BC4" w:rsidRPr="003D3BC4" w:rsidRDefault="00D436A8" w:rsidP="00623467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 frekvencijskim pojasevima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173,965 MHz – 216 MHz 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dodaje se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primjena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Radiomikrofoni i slušna pomagala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;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dokument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ERC/REC 70-03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;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opća bilješka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Ugađanje frekvencije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;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način izdavanja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Na zahtjev/Opća dozvola</w:t>
      </w:r>
    </w:p>
    <w:p w14:paraId="7FA27C26" w14:textId="46B7FEBD" w:rsidR="006E4DAD" w:rsidRPr="003D3BC4" w:rsidRDefault="003D3BC4" w:rsidP="00623467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 frekvencijskom pojasu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446,0 MHz – 446,2 MHz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mijenja se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dokument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ECC/DEC/(15)05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FE7A3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(briše se</w:t>
      </w:r>
      <w:r w:rsidR="00D436A8"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FE7A3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ERC/DEC/(98)25 i ECC/DEC/(05)12); mijenja se </w:t>
      </w:r>
      <w:r w:rsidRPr="00FE7A3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opća bilješka</w:t>
      </w:r>
      <w:r w:rsidRPr="00FE7A3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: </w:t>
      </w:r>
      <w:r w:rsidRPr="00FE7A33">
        <w:rPr>
          <w:rFonts w:ascii="Times New Roman" w:hAnsi="Times New Roman" w:cs="Times New Roman"/>
          <w:bCs/>
          <w:i/>
          <w:color w:val="000000" w:themeColor="text1"/>
          <w:sz w:val="24"/>
          <w:szCs w:val="24"/>
        </w:rPr>
        <w:t>Unutar pojasa 446,0–446,2 MHz</w:t>
      </w:r>
      <w:bookmarkStart w:id="0" w:name="_GoBack"/>
      <w:bookmarkEnd w:id="0"/>
    </w:p>
    <w:p w14:paraId="329E91B7" w14:textId="3AFBAA40" w:rsidR="006E4DAD" w:rsidRPr="003D3BC4" w:rsidRDefault="003D3BC4" w:rsidP="00CC245A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D3B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 frekvencijskim pojasevima </w:t>
      </w:r>
      <w:r w:rsidRPr="003D3BC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380 MHz – 399,9 MHz</w:t>
      </w:r>
      <w:r w:rsidRPr="003D3B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mijenja se Uporaba: </w:t>
      </w:r>
      <w:r w:rsidRPr="003D3BC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Civ/Voj</w:t>
      </w:r>
    </w:p>
    <w:p w14:paraId="0848E024" w14:textId="77777777" w:rsidR="006E4DAD" w:rsidRPr="00FE7A33" w:rsidRDefault="006E4DAD" w:rsidP="004B5E79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 frekvencijskim pojasevima </w:t>
      </w:r>
      <w:r w:rsidRPr="00FE7A3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863 MHz – 876 MHz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dodaje se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primjena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Nespecifični uređaji malog dometa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; dokument: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ERC/REC 70-03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; opća bilješka: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Unutar pojasa 863-876 MHz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; način izdavanja: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Opća dozvola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;</w:t>
      </w:r>
    </w:p>
    <w:p w14:paraId="6ECB8391" w14:textId="77777777" w:rsidR="006E4DAD" w:rsidRPr="00FE7A33" w:rsidRDefault="006E4DAD" w:rsidP="004B5E79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 frekvencijskom pojasu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870 MHz – 875,8 MHz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dodaje se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primjena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Telematika u prijevozu i prometu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;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dokument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ERC/REC 70-03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;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opća bilješka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Unutar pojasa 870-875,8 MHz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;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način izdavanja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Opća dozvola</w:t>
      </w:r>
    </w:p>
    <w:p w14:paraId="10833E40" w14:textId="77777777" w:rsidR="006E4DAD" w:rsidRPr="00FE7A33" w:rsidRDefault="006E4DAD" w:rsidP="007E6854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 frekvencijskim pojasevima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870 MHz – 875,8 MHz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dodaje se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primjena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Praćenje, pronalaženje i prikupljanje podataka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;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dokument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ERC/REC 70-03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; mijenja se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opća bilješka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Unutar pojasa 870– 875,6 MHz za mreže gradskog/ruralnog područja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; mijenja se </w:t>
      </w:r>
      <w:r w:rsidRPr="00FE7A3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način izdavanja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FE7A33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>Na zahtjev / Opća dozvola</w:t>
      </w:r>
    </w:p>
    <w:p w14:paraId="15F7D85F" w14:textId="77777777" w:rsidR="00F66C05" w:rsidRPr="00FE7A33" w:rsidRDefault="006E4DAD" w:rsidP="004B5E79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 frekvencijskim pojasevima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863 MHz – 865 MHz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mijenja se naziv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primjene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Bežične audio/multimedijske primjene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; mijenja se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opća bilješka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Unutar pojasa 863 – 865 MHz. Uskopojasni analogni uređaji za  prijenos glas</w:t>
      </w:r>
      <w:r w:rsidR="007E6854"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a unutar pojasa 864,8-865,0 MHz</w:t>
      </w:r>
    </w:p>
    <w:p w14:paraId="6034740D" w14:textId="77777777" w:rsidR="006E4DAD" w:rsidRPr="00FE7A33" w:rsidRDefault="006E4DAD" w:rsidP="004B5E79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 frekvencijskim pojasevima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915 MHz – 921 MHz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dodaje se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primjena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Nespecifični </w:t>
      </w:r>
      <w:r w:rsid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uređaji malog dometa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;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dokument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ERC/REC 70-03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;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opća bilješka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Unutar pojasa 915-921 MHz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;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način izdavanja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Opća dozvola</w:t>
      </w:r>
      <w:r w:rsidR="009A0B3D"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754F1C2" w14:textId="77777777" w:rsidR="006E4DAD" w:rsidRPr="00FE7A33" w:rsidRDefault="006E4DAD" w:rsidP="007E6854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 frekvencijskim pojasevima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915 MHz – 921 MHz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dodaje se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primjena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RFID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;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dokument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ERC/REC 70-03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;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opća bilješka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Unutar pojasa 915-921 MHz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;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način izdavanja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Opća dozvola</w:t>
      </w:r>
    </w:p>
    <w:p w14:paraId="70CB93EA" w14:textId="77777777" w:rsidR="00FE7A33" w:rsidRPr="00FE7A33" w:rsidRDefault="00956FAE" w:rsidP="00956FAE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Frekvencijski pojas </w:t>
      </w:r>
      <w:r w:rsidRPr="00FE7A3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614 MHz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- 790 MHz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razdvaja se na dva frekvencijska pojasa </w:t>
      </w:r>
      <w:r w:rsidRPr="0064267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614 MHz – 690 MHz i 690 MHz – 790 MHz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U frekvencijskom pojasu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694 MHz – 790 MHz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dodaje se primjena '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MFCN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' i dokumenti: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ECC/DEC/(15)01, ECC/REC/(15)01</w:t>
      </w:r>
    </w:p>
    <w:p w14:paraId="4CF65C30" w14:textId="77777777" w:rsidR="0064267F" w:rsidRDefault="00FE7A33" w:rsidP="00956FAE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 frekvencijskom pojasu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694 MHz – 790 MHz</w:t>
      </w:r>
      <w:r w:rsidR="00956FAE"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dodaje se primjena: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'</w:t>
      </w:r>
      <w:r w:rsidR="00956FAE"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PPDR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'</w:t>
      </w:r>
      <w:r w:rsidR="00956FAE"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i dokumenti: </w:t>
      </w:r>
      <w:r w:rsidR="00956FAE"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ECC/DEC/(16)02, ECC/REC/(16)03</w:t>
      </w:r>
      <w:r w:rsidR="00956FAE"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14:paraId="223B71BC" w14:textId="77777777" w:rsidR="00956FAE" w:rsidRPr="00FE7A33" w:rsidRDefault="00956FAE" w:rsidP="00956FAE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 frekvencijskom pojasu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694</w:t>
      </w:r>
      <w:r w:rsidR="00FE7A33"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MHz–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790 MHz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dodane su fusnote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5.312A 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 5.317A</w:t>
      </w:r>
    </w:p>
    <w:p w14:paraId="5D86FA09" w14:textId="77777777" w:rsidR="00956FAE" w:rsidRPr="00FE7A33" w:rsidRDefault="00956FAE" w:rsidP="00956FAE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 frekvencijskom pojasu </w:t>
      </w:r>
      <w:r w:rsidRPr="00FE7A3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790 MHz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- 862 MHz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mijenja se naziv primjene iz 'IMT' u '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MFCN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' i dodaje nova primjena: </w:t>
      </w:r>
      <w:r w:rsid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'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PMSE</w:t>
      </w:r>
      <w:r w:rsid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'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Izbrisana fusnota </w:t>
      </w:r>
      <w:r w:rsidRPr="00FE7A33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5.316</w:t>
      </w:r>
    </w:p>
    <w:p w14:paraId="1E3302B7" w14:textId="77777777" w:rsidR="00956FAE" w:rsidRPr="00FE7A33" w:rsidRDefault="00956FAE" w:rsidP="00956FAE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 frekvencijskim pojasevima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880 MHz – 915 MHz 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i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925 MHz – 960 MHz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uz primjenu: 'GSM' dodan je dokument: </w:t>
      </w:r>
      <w:r w:rsidRPr="00802475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ECC/REC/(08)02</w:t>
      </w:r>
    </w:p>
    <w:p w14:paraId="25FBD8FC" w14:textId="77777777" w:rsidR="00956FAE" w:rsidRPr="00FE7A33" w:rsidRDefault="00956FAE" w:rsidP="00956FAE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 frekvencijskom pojasu </w:t>
      </w:r>
      <w:r w:rsidRPr="00FE7A3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1452 MHz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- 1492 MHz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za primjenu 'MFCN' dodan je dokument: </w:t>
      </w:r>
      <w:r w:rsidRPr="00802475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ECC/REC/(15)01</w:t>
      </w:r>
    </w:p>
    <w:p w14:paraId="49BFFF5B" w14:textId="77777777" w:rsidR="00956FAE" w:rsidRPr="00FE7A33" w:rsidRDefault="00956FAE" w:rsidP="00956FAE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 frekvencijskom pojasu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1710 MHz – 1785 MHz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dodaje se fusnota </w:t>
      </w:r>
      <w:r w:rsidRPr="00802475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5.341</w:t>
      </w:r>
    </w:p>
    <w:p w14:paraId="65B42EA8" w14:textId="77777777" w:rsidR="00956FAE" w:rsidRPr="00FE7A33" w:rsidRDefault="00956FAE" w:rsidP="00956FAE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 frekvencijskom pojasu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1805 MHz – 1880 MHz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dodaje se fusnota </w:t>
      </w:r>
      <w:r w:rsidRPr="00802475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5.384A</w:t>
      </w:r>
    </w:p>
    <w:p w14:paraId="4C6ED2C0" w14:textId="77777777" w:rsidR="00956FAE" w:rsidRPr="00FE7A33" w:rsidRDefault="00956FAE" w:rsidP="00956FAE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 pojasevima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1900-1980 MHz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2110 – 2170 MHz 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2500 – 2690 MHz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mijenja se naziv primjene 'IMT' u '</w:t>
      </w:r>
      <w:r w:rsidRPr="00802475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MFCN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' </w:t>
      </w:r>
    </w:p>
    <w:p w14:paraId="5297E2EB" w14:textId="77777777" w:rsidR="00956FAE" w:rsidRPr="00FE7A33" w:rsidRDefault="00956FAE" w:rsidP="00D01F7F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lastRenderedPageBreak/>
        <w:t xml:space="preserve">U frekvencijskim pojasevima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1900 MHz – 1980 MHz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2110 MHz – 2170 MHz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i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2500 MHz – 2690 MHz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dodaje se primjena za pokretne komunikacijske usluge na brodu ('</w:t>
      </w:r>
      <w:r w:rsidRPr="00802475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MCV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'), dokument: </w:t>
      </w:r>
      <w:r w:rsidRPr="00802475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ECC/DEC/(08)08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i način izdavanja: </w:t>
      </w:r>
      <w:r w:rsidRPr="00802475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Opća dozvola</w:t>
      </w:r>
    </w:p>
    <w:p w14:paraId="27E9430A" w14:textId="77777777" w:rsidR="00956FAE" w:rsidRPr="00FE7A33" w:rsidRDefault="00956FAE" w:rsidP="00956FAE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 frekvencijskom pojasu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2010 MHz – 2025 MHz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dodana je primjena: '</w:t>
      </w:r>
      <w:r w:rsidRPr="00802475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PMSE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' u skladu sa provedbenom odlukom Europske komisije br. 2016/339/EU</w:t>
      </w:r>
    </w:p>
    <w:p w14:paraId="3ABD9F2A" w14:textId="77777777" w:rsidR="00F66C05" w:rsidRPr="00FE7A33" w:rsidRDefault="006E4DAD" w:rsidP="008C0ED0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 frekvencijskim pojasevima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2400 MHz – 2483,5 MHz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briše se dokument: ERC/DEC/(01)07 iz razloga jer je </w:t>
      </w:r>
      <w:r w:rsidR="00F66C05"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navedena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66C05"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dluka povučena ECC odlukom (11)05</w:t>
      </w:r>
    </w:p>
    <w:p w14:paraId="178FE182" w14:textId="77777777" w:rsidR="006E4DAD" w:rsidRPr="00FE7A33" w:rsidRDefault="006E4DAD" w:rsidP="008C0ED0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 frekvencijskim pojasevima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2400 MHz – 2483,5 MHz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briše se primjena: SRD za primjene u željezničkom prometu </w:t>
      </w:r>
      <w:r w:rsidR="0080247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i </w:t>
      </w:r>
      <w:r w:rsidR="00802475" w:rsidRPr="0080247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dokument</w:t>
      </w:r>
      <w:r w:rsidR="0080247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ERC/DEC/(01)07 iz razloga jer je ta odluka povučena ECC odlukom (11)05</w:t>
      </w:r>
    </w:p>
    <w:p w14:paraId="05CAE423" w14:textId="77777777" w:rsidR="00956FAE" w:rsidRPr="00FE7A33" w:rsidRDefault="00956FAE" w:rsidP="008C0ED0">
      <w:pPr>
        <w:pStyle w:val="ListParagraph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S ciljem namjene novih pojaseva za 'MFCN', a u svjetlu uvođenja 5G tehnologija, predlaže se prenamjena pojasa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3400 MHz – 3410 MHz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te se umjesto radiolokacijske službe na primarnoj osnovi stavlja </w:t>
      </w:r>
      <w:r w:rsidRPr="00802475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nepokretna i pokretna služba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na primarnoj osnovi uz fusnotu </w:t>
      </w:r>
      <w:r w:rsidRPr="00802475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5.430A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 Također navodi se primjena '</w:t>
      </w:r>
      <w:r w:rsidRPr="00802475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MFCN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' uz navođenje dokumenata: </w:t>
      </w:r>
      <w:r w:rsidRPr="00802475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ECC/DEC/(11)06, ECC/DEC/(07)02, ECC/REC/(04)05 </w:t>
      </w:r>
      <w:r w:rsidRPr="0080247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</w:t>
      </w:r>
      <w:r w:rsidRPr="00802475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 ERC/REC 14-03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U rubrici 'Način izdavanja' navodi se </w:t>
      </w:r>
      <w:r w:rsidRPr="0080247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'</w:t>
      </w:r>
      <w:r w:rsidRPr="00802475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Javni poziv/ Natječaj/ Javna dražba</w:t>
      </w:r>
      <w:r w:rsidRPr="0080247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'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39ED720" w14:textId="77777777" w:rsidR="007E6854" w:rsidRPr="009D029A" w:rsidRDefault="00956FAE" w:rsidP="008C0ED0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Nastavno na izmjene u frekvencijskom pojasu 3400 – 3410 MHz, a s istim ciljem, u frekvencijskim pojasevima </w:t>
      </w:r>
      <w:r w:rsidRPr="0080247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3410 MHz – 3500 MHz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80247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3500 MHz – 3600 MHz </w:t>
      </w:r>
      <w:r w:rsidRPr="0080247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</w:t>
      </w:r>
      <w:r w:rsidRPr="0080247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3600 MHz – 3800 MHz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mijenja se primjena 'IMT' u '</w:t>
      </w:r>
      <w:r w:rsidRPr="00802475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MFCN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' i dodaje dokument: </w:t>
      </w:r>
      <w:r w:rsidRPr="00802475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ECC/DEC/(11)06</w:t>
      </w:r>
    </w:p>
    <w:p w14:paraId="0FAFBA40" w14:textId="77777777" w:rsidR="009D029A" w:rsidRPr="009D029A" w:rsidRDefault="009D029A" w:rsidP="008C0ED0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9D02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 frekvencijskom pojasu </w:t>
      </w:r>
      <w:r w:rsidRPr="009D029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3400 MHz – 3410 MHz</w:t>
      </w:r>
      <w:r w:rsidRPr="009D02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dodaje se namjena: </w:t>
      </w:r>
      <w:r w:rsidRPr="009D029A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NEPOKRETNA SATELITSKA (</w:t>
      </w:r>
      <w:proofErr w:type="spellStart"/>
      <w:r w:rsidRPr="009D029A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sv</w:t>
      </w:r>
      <w:proofErr w:type="spellEnd"/>
      <w:r w:rsidRPr="009D029A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-Z)</w:t>
      </w:r>
      <w:r w:rsidRPr="009D02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; dodaje se </w:t>
      </w:r>
      <w:r w:rsidRPr="009D029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primjena</w:t>
      </w:r>
      <w:r w:rsidRPr="009D02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9D029A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Prijamni satelitski terminali</w:t>
      </w:r>
      <w:r w:rsidRPr="009D02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; dodaje se </w:t>
      </w:r>
      <w:r w:rsidRPr="009D029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dokument</w:t>
      </w:r>
      <w:r w:rsidRPr="009D02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9D029A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ERC/DEC/(99)26</w:t>
      </w:r>
      <w:r w:rsidRPr="009D02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; dodaje se </w:t>
      </w:r>
      <w:r w:rsidRPr="009D029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opća bilješka</w:t>
      </w:r>
      <w:r w:rsidRPr="009D02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9D029A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ROES</w:t>
      </w:r>
      <w:r w:rsidRPr="009D02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; dodaje se </w:t>
      </w:r>
      <w:r w:rsidRPr="009D029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način izdavanja</w:t>
      </w:r>
      <w:r w:rsidRPr="009D02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9D029A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Opća dozvola</w:t>
      </w:r>
    </w:p>
    <w:p w14:paraId="6388D1A2" w14:textId="77777777" w:rsidR="009D029A" w:rsidRPr="008C0ED0" w:rsidRDefault="009D029A" w:rsidP="008C0ED0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U frekvencijski</w:t>
      </w:r>
      <w:r w:rsidRPr="009D02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m pojas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evima</w:t>
      </w:r>
      <w:r w:rsidRPr="009D02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D029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3410 MHz – 3500 MHz</w:t>
      </w:r>
      <w:r w:rsidRPr="009D02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9D029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3500 MHz – 3600 MHz</w:t>
      </w:r>
      <w:r w:rsidRPr="009D02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</w:t>
      </w:r>
      <w:r w:rsidRPr="009D029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3600 MHz – 3800 MHz </w:t>
      </w:r>
      <w:r w:rsidRPr="009D02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</w:t>
      </w:r>
      <w:r w:rsidRPr="009D029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3800 MHz – 4200 MHz</w:t>
      </w:r>
      <w:r w:rsidRPr="009D02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dodaje se </w:t>
      </w:r>
      <w:r w:rsidRPr="009D029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primjena</w:t>
      </w:r>
      <w:r w:rsidRPr="009D02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9D029A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Prijamni satelitski terminali</w:t>
      </w:r>
      <w:r w:rsidRPr="009D02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; dodaje se </w:t>
      </w:r>
      <w:r w:rsidRPr="009D029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dokument</w:t>
      </w:r>
      <w:r w:rsidRPr="009D02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9D029A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ERC/DEC/(99)26</w:t>
      </w:r>
      <w:r w:rsidRPr="009D02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; dodaje se </w:t>
      </w:r>
      <w:r w:rsidRPr="009D029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opća bilješka</w:t>
      </w:r>
      <w:r w:rsidRPr="009D02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9D029A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ROES</w:t>
      </w:r>
      <w:r w:rsidRPr="009D02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; dodaje se </w:t>
      </w:r>
      <w:r w:rsidRPr="009D029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način izdavanja</w:t>
      </w:r>
      <w:r w:rsidRPr="009D029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9D029A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Opća dozvola</w:t>
      </w:r>
    </w:p>
    <w:p w14:paraId="12DF3063" w14:textId="77777777" w:rsidR="00984380" w:rsidRPr="00984380" w:rsidRDefault="00984380" w:rsidP="008C0ED0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 frekvencijskim pojasevima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5150</w:t>
      </w:r>
      <w:r w:rsidR="00B641C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MHz </w:t>
      </w:r>
      <w:r w:rsidR="00B641CF" w:rsidRPr="00B641C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–</w:t>
      </w:r>
      <w:r w:rsidR="00B641C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5350</w:t>
      </w:r>
      <w:r w:rsidR="00B641C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MHz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i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5470</w:t>
      </w:r>
      <w:r w:rsidR="00B641C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MHz </w:t>
      </w:r>
      <w:r w:rsidR="00B641CF" w:rsidRPr="00B641C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–</w:t>
      </w:r>
      <w:r w:rsidR="00B641C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5725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MHz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mijenja se naziv kategorije SRD WAS/RLAN u </w:t>
      </w:r>
      <w:r w:rsidRPr="00B641CF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WAS/RLAN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iz razloga što radi o primjeni u pokretnoj radiokomunikacijskoj službi i ista nije pod opsegom ERC preporuke 70-03 odnosno ne radi se o primjeni koja je pod regulatornim okvirom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za 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uređaj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e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malog dometa (SRD); mijenja se </w:t>
      </w:r>
      <w:r w:rsidRPr="00802475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opća bilješka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802475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WAS/RLAN unutar pojasa 5150-5350 MHz i 5470-5725 MHz</w:t>
      </w:r>
    </w:p>
    <w:p w14:paraId="174FF519" w14:textId="77777777" w:rsidR="00AF1FB6" w:rsidRDefault="00AF1FB6" w:rsidP="008C0ED0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F1FB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 frekvencijskom pojasu </w:t>
      </w:r>
      <w:r w:rsidRPr="00AF1FB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10,7 GHz – 11,7 GHz</w:t>
      </w:r>
      <w:r w:rsidRPr="00AF1FB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mijenja se dio </w:t>
      </w:r>
      <w:r w:rsidRPr="00AF1FB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opće bilješke</w:t>
      </w:r>
      <w:r w:rsidRPr="00AF1FB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pod Satelitski nepokretni sustavi tako da se briše riječ: EUTELTRACK</w:t>
      </w:r>
    </w:p>
    <w:p w14:paraId="717A7D39" w14:textId="77777777" w:rsidR="006A4ED0" w:rsidRPr="006A4ED0" w:rsidRDefault="006A4ED0" w:rsidP="008C0ED0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A4E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 frekvencijskim pojasevima </w:t>
      </w:r>
      <w:r w:rsidRPr="006A4ED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10,7 GHz – 12,75 GHz</w:t>
      </w:r>
      <w:r w:rsidRPr="006A4E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dodaje se </w:t>
      </w:r>
      <w:r w:rsidRPr="006A4ED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primjena</w:t>
      </w:r>
      <w:r w:rsidRPr="006A4E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6A4ED0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Prijamni satelitski terminali</w:t>
      </w:r>
      <w:r w:rsidRPr="006A4E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; dodaje se </w:t>
      </w:r>
      <w:r w:rsidRPr="006A4ED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dokument</w:t>
      </w:r>
      <w:r w:rsidRPr="006A4E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6A4ED0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ERC/DEC/(99)26</w:t>
      </w:r>
      <w:r w:rsidRPr="006A4E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; dodaje se </w:t>
      </w:r>
      <w:r w:rsidRPr="006A4ED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opća bilješka</w:t>
      </w:r>
      <w:r w:rsidRPr="006A4E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6A4ED0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ROES</w:t>
      </w:r>
      <w:r w:rsidRPr="006A4E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; dodaje se način izdavanja: </w:t>
      </w:r>
      <w:r w:rsidRPr="006A4ED0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Opća dozvola</w:t>
      </w:r>
    </w:p>
    <w:p w14:paraId="0322D5F1" w14:textId="77777777" w:rsidR="006A4ED0" w:rsidRPr="006A4ED0" w:rsidRDefault="006A4ED0" w:rsidP="008C0ED0">
      <w:pPr>
        <w:pStyle w:val="ListParagraph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6645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 frekvencijskom pojasu </w:t>
      </w:r>
      <w:r w:rsidRPr="00A6645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13,75 GHz – 14 GHz</w:t>
      </w:r>
      <w:r w:rsidRPr="00A6645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dodaje se </w:t>
      </w:r>
      <w:r w:rsidRPr="00A6645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opća bilješka</w:t>
      </w:r>
      <w:r w:rsidRPr="00A6645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pod Satelitske nepokretne sustave: </w:t>
      </w:r>
      <w:r w:rsidRPr="00A6645A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SNG</w:t>
      </w:r>
      <w:r w:rsidRPr="00A6645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; mijenja se </w:t>
      </w:r>
      <w:r w:rsidRPr="00A6645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način izdavanja</w:t>
      </w:r>
      <w:r w:rsidRPr="00A6645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A6645A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Na zahtjev / Opća dozvola</w:t>
      </w:r>
    </w:p>
    <w:p w14:paraId="6A76371F" w14:textId="77777777" w:rsidR="006A4ED0" w:rsidRPr="006A4ED0" w:rsidRDefault="006A4ED0" w:rsidP="008C0ED0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A4E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 frekvencijskim pojasevima </w:t>
      </w:r>
      <w:r w:rsidRPr="006A4ED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17,7 GHz – 20,2 GHz</w:t>
      </w:r>
      <w:r w:rsidRPr="006A4E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dodaje se </w:t>
      </w:r>
      <w:r w:rsidRPr="006A4ED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primjena</w:t>
      </w:r>
      <w:r w:rsidRPr="006A4E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6A4ED0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Prijamni satelitski terminali</w:t>
      </w:r>
      <w:r w:rsidRPr="006A4E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; dodaje se </w:t>
      </w:r>
      <w:r w:rsidRPr="006A4ED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dokument</w:t>
      </w:r>
      <w:r w:rsidRPr="006A4E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6A4ED0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ERC/DEC/(99)26</w:t>
      </w:r>
      <w:r w:rsidRPr="006A4E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; dodaje se </w:t>
      </w:r>
      <w:r w:rsidRPr="006A4ED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opća bilješka</w:t>
      </w:r>
      <w:r w:rsidRPr="006A4E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6A4ED0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ROES</w:t>
      </w:r>
      <w:r w:rsidRPr="006A4E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; dodaje se </w:t>
      </w:r>
      <w:r w:rsidRPr="006A4ED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način izdavanja</w:t>
      </w:r>
      <w:r w:rsidRPr="006A4E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6A4ED0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Opća dozvola</w:t>
      </w:r>
    </w:p>
    <w:p w14:paraId="542D7F6C" w14:textId="77777777" w:rsidR="00613110" w:rsidRPr="00613110" w:rsidRDefault="006A4ED0" w:rsidP="008C0ED0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1311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 frekvencijskim pojasevima </w:t>
      </w:r>
      <w:r w:rsidRPr="0061311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17,3 GHz – 20,2 GHz</w:t>
      </w:r>
      <w:r w:rsidRPr="0061311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mijenja se </w:t>
      </w:r>
      <w:r w:rsidRPr="0061311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primjena</w:t>
      </w:r>
      <w:r w:rsidRPr="0061311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tako da sada glasi: </w:t>
      </w:r>
      <w:r w:rsidRPr="00613110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GSO ESOMP/ESIM; </w:t>
      </w:r>
      <w:r w:rsidRPr="0061311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te se</w:t>
      </w:r>
      <w:r w:rsidRPr="00613110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r w:rsidRPr="0061311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dodaje </w:t>
      </w:r>
      <w:r w:rsidRPr="0061311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primjena</w:t>
      </w:r>
      <w:r w:rsidRPr="0061311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613110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NGSO ESOMP/ESIM</w:t>
      </w:r>
      <w:r w:rsidRPr="0061311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; dodaje se </w:t>
      </w:r>
      <w:r w:rsidRPr="0061311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dokument</w:t>
      </w:r>
      <w:r w:rsidRPr="0061311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613110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ECC/DEC/(15)04</w:t>
      </w:r>
      <w:r w:rsidRPr="0061311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; dodaje se </w:t>
      </w:r>
      <w:r w:rsidRPr="0061311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opća bilješka</w:t>
      </w:r>
      <w:r w:rsidRPr="0061311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613110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17,3-20,2 GHz i 27,5-29,1</w:t>
      </w:r>
      <w:r w:rsidRPr="0061311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613110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GHz</w:t>
      </w:r>
      <w:r w:rsidRPr="0061311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te </w:t>
      </w:r>
      <w:r w:rsidRPr="00613110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29,5-30 GHz</w:t>
      </w:r>
      <w:r w:rsidRPr="0061311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; dodaje se </w:t>
      </w:r>
      <w:r w:rsidRPr="0061311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način izdavanja</w:t>
      </w:r>
      <w:r w:rsidRPr="0061311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613110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Opća dozvola</w:t>
      </w:r>
    </w:p>
    <w:p w14:paraId="707E36EF" w14:textId="77777777" w:rsidR="00613110" w:rsidRPr="00613110" w:rsidRDefault="00613110" w:rsidP="008C0ED0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1311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lastRenderedPageBreak/>
        <w:t xml:space="preserve">U frekvencijskim pojasevima </w:t>
      </w:r>
      <w:r w:rsidRPr="0061311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17,7 GHz – 19,7 GHz</w:t>
      </w:r>
      <w:r w:rsidRPr="0061311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mijenja se </w:t>
      </w:r>
      <w:r w:rsidRPr="0061311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opća bilješka</w:t>
      </w:r>
      <w:r w:rsidRPr="0061311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613110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>Namijenjeno za koordinirane i nekoordinirane zemaljske postaje. Prioritet za civilne sustave</w:t>
      </w:r>
      <w:r w:rsidRPr="0061311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; mijenja se </w:t>
      </w:r>
      <w:r w:rsidRPr="00613110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način izdavanja</w:t>
      </w:r>
      <w:r w:rsidRPr="0061311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613110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>Na zahtjev / Opća dozvola</w:t>
      </w:r>
    </w:p>
    <w:p w14:paraId="350E73D3" w14:textId="77777777" w:rsidR="006A4ED0" w:rsidRPr="006A4ED0" w:rsidRDefault="006A4ED0" w:rsidP="008C0ED0">
      <w:pPr>
        <w:pStyle w:val="ListParagraph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A4E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 frekvencijskim pojasevima </w:t>
      </w:r>
      <w:r w:rsidRPr="006A4ED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27,5 GHz – 30 GHz</w:t>
      </w:r>
      <w:r w:rsidRPr="006A4E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mijenja se </w:t>
      </w:r>
      <w:r w:rsidRPr="006A4ED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primjena</w:t>
      </w:r>
      <w:r w:rsidRPr="006A4E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tako da sada glasi: </w:t>
      </w:r>
      <w:r w:rsidRPr="006A4ED0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GSO ESOMP/ESIM</w:t>
      </w:r>
      <w:r w:rsidRPr="006A4E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;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6A4E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te se</w:t>
      </w:r>
      <w:r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r w:rsidRPr="006A4E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dodaje </w:t>
      </w:r>
      <w:r w:rsidRPr="006A4ED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primjena</w:t>
      </w:r>
      <w:r w:rsidRPr="006A4E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6A4ED0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NGSO ESOMP/ESIM</w:t>
      </w:r>
      <w:r w:rsidRPr="006A4E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; dodaje se </w:t>
      </w:r>
      <w:r w:rsidRPr="006A4ED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dokument</w:t>
      </w:r>
      <w:r w:rsidRPr="006A4E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6A4ED0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ECC/DEC/(15)04</w:t>
      </w:r>
      <w:r w:rsidRPr="006A4E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; dodaje se </w:t>
      </w:r>
      <w:r w:rsidRPr="006A4ED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opća bilješka</w:t>
      </w:r>
      <w:r w:rsidRPr="006A4E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6A4ED0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17,3-20,2 GHz i 27,5-29,1 GHz te 29,5-30 GHz</w:t>
      </w:r>
      <w:r w:rsidRPr="006A4E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; dodaje se </w:t>
      </w:r>
      <w:r w:rsidRPr="006A4ED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način izdavanja</w:t>
      </w:r>
      <w:r w:rsidRPr="006A4E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6A4ED0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Opća dozvola</w:t>
      </w:r>
    </w:p>
    <w:p w14:paraId="30F83D3F" w14:textId="77777777" w:rsidR="00956FAE" w:rsidRPr="00FE7A33" w:rsidRDefault="00956FAE" w:rsidP="007E6854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 frekvencijskom pojasu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29,9 GHz – 30,0 GHz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namjena za </w:t>
      </w:r>
      <w:r w:rsidRPr="00802475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istraživanje zemlje satelitsko (Zemlja – svemir)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se iz sekundarne osnove prebacuje u primarnu zbog usklađivanja sa Europskom tablicom namjene (ECA)</w:t>
      </w:r>
    </w:p>
    <w:p w14:paraId="3E52559B" w14:textId="77777777" w:rsidR="006E4DAD" w:rsidRDefault="006E4DAD" w:rsidP="00E718BD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 frekvencijskim pojasevima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76 GHz – 77 GHz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za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primjenu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Telematika u prijevozu i prometu; dodaje se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dokument</w:t>
      </w:r>
      <w:r w:rsidR="00F66C05"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: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802475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ECC/DEC/(16)01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; mijenja se </w:t>
      </w:r>
      <w:r w:rsidRPr="00FE7A33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opća bilješka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802475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Unutar pojasa 76-766 GHz. Radari vozila i infrastruktura na zemlji. Radari za otkrivanje prepreka za uporabu helikoptera.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7AAEC3A" w14:textId="77777777" w:rsidR="008C0ED0" w:rsidRPr="008C0ED0" w:rsidRDefault="008C0ED0" w:rsidP="008C0ED0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8C0E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U frekvencijsk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</w:t>
      </w:r>
      <w:r w:rsidRPr="008C0E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m pojas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evima</w:t>
      </w:r>
      <w:r w:rsidRPr="008C0E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8C0ED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47,5 GHz – 47,9 GHz</w:t>
      </w:r>
      <w:r w:rsidRPr="008C0E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</w:t>
      </w:r>
      <w:r w:rsidRPr="008C0ED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48,2 GHz – 48,54 GHz </w:t>
      </w:r>
      <w:r w:rsidRPr="008C0E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</w:t>
      </w:r>
      <w:r w:rsidRPr="008C0ED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49,44 GHz – 50,2 GHz</w:t>
      </w:r>
      <w:r w:rsidRPr="008C0E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dodaje se </w:t>
      </w:r>
      <w:r w:rsidRPr="008C0ED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opća bilješka</w:t>
      </w:r>
      <w:r w:rsidRPr="008C0ED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8C0ED0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HDFSS</w:t>
      </w:r>
    </w:p>
    <w:p w14:paraId="733573DD" w14:textId="77777777" w:rsidR="00E718BD" w:rsidRPr="00E718BD" w:rsidRDefault="00A6645A" w:rsidP="00E718BD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Mijenja se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naziv </w:t>
      </w:r>
      <w:r w:rsidR="006B2CE8" w:rsidRPr="006B2CE8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primjene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B2C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'</w:t>
      </w:r>
      <w:r w:rsidRPr="006B2C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SRD za primjene u cestovnom prometu</w:t>
      </w:r>
      <w:r w:rsidR="006B2CE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'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u </w:t>
      </w:r>
      <w:r w:rsidR="006B2CE8">
        <w:rPr>
          <w:rFonts w:ascii="Times New Roman" w:hAnsi="Times New Roman" w:cs="Times New Roman"/>
          <w:sz w:val="24"/>
          <w:szCs w:val="24"/>
        </w:rPr>
        <w:t>'</w:t>
      </w:r>
      <w:r w:rsidRPr="00802475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Telematika u prijevozu i prometu</w:t>
      </w:r>
      <w:r w:rsidR="006B2CE8">
        <w:rPr>
          <w:rFonts w:ascii="Times New Roman" w:hAnsi="Times New Roman" w:cs="Times New Roman"/>
          <w:sz w:val="24"/>
          <w:szCs w:val="24"/>
        </w:rPr>
        <w:t>'</w:t>
      </w:r>
      <w:r w:rsidRPr="00FE7A3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iz razloga jer se navedena kategorija uređaja malog dometa ne odnosi samo na cestovne pr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imjene</w:t>
      </w:r>
    </w:p>
    <w:p w14:paraId="64AADCCB" w14:textId="77777777" w:rsidR="00E718BD" w:rsidRDefault="00E718BD" w:rsidP="00A6645A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Mijenja se </w:t>
      </w:r>
      <w:r w:rsidRPr="004B5E79">
        <w:rPr>
          <w:rFonts w:ascii="Times New Roman" w:hAnsi="Times New Roman" w:cs="Times New Roman"/>
          <w:sz w:val="24"/>
          <w:szCs w:val="24"/>
        </w:rPr>
        <w:t>naziv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B2CE8">
        <w:rPr>
          <w:rFonts w:ascii="Times New Roman" w:hAnsi="Times New Roman" w:cs="Times New Roman"/>
          <w:b/>
          <w:sz w:val="24"/>
          <w:szCs w:val="24"/>
        </w:rPr>
        <w:t>primjene</w:t>
      </w:r>
      <w:r w:rsidRPr="004B5E79">
        <w:rPr>
          <w:rFonts w:ascii="Times New Roman" w:hAnsi="Times New Roman" w:cs="Times New Roman"/>
          <w:sz w:val="24"/>
          <w:szCs w:val="24"/>
        </w:rPr>
        <w:t xml:space="preserve"> </w:t>
      </w:r>
      <w:r w:rsidR="006B2CE8">
        <w:rPr>
          <w:rFonts w:ascii="Times New Roman" w:hAnsi="Times New Roman" w:cs="Times New Roman"/>
          <w:sz w:val="24"/>
          <w:szCs w:val="24"/>
        </w:rPr>
        <w:t>'</w:t>
      </w:r>
      <w:r w:rsidRPr="004B5E79">
        <w:rPr>
          <w:rFonts w:ascii="Times New Roman" w:hAnsi="Times New Roman" w:cs="Times New Roman"/>
          <w:sz w:val="24"/>
          <w:szCs w:val="24"/>
        </w:rPr>
        <w:t>SRD različite namjene</w:t>
      </w:r>
      <w:r w:rsidR="006B2CE8">
        <w:rPr>
          <w:rFonts w:ascii="Times New Roman" w:hAnsi="Times New Roman" w:cs="Times New Roman"/>
          <w:sz w:val="24"/>
          <w:szCs w:val="24"/>
        </w:rPr>
        <w:t>'</w:t>
      </w:r>
      <w:r w:rsidRPr="004B5E79">
        <w:rPr>
          <w:rFonts w:ascii="Times New Roman" w:hAnsi="Times New Roman" w:cs="Times New Roman"/>
          <w:sz w:val="24"/>
          <w:szCs w:val="24"/>
        </w:rPr>
        <w:t xml:space="preserve"> u </w:t>
      </w:r>
      <w:r w:rsidR="006B2CE8">
        <w:rPr>
          <w:rFonts w:ascii="Times New Roman" w:hAnsi="Times New Roman" w:cs="Times New Roman"/>
          <w:sz w:val="24"/>
          <w:szCs w:val="24"/>
        </w:rPr>
        <w:t>'</w:t>
      </w:r>
      <w:r w:rsidRPr="006B2CE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Nespecifični uređaji malog dometa</w:t>
      </w:r>
      <w:r w:rsidR="006B2CE8">
        <w:rPr>
          <w:rFonts w:ascii="Times New Roman" w:hAnsi="Times New Roman" w:cs="Times New Roman"/>
          <w:sz w:val="24"/>
          <w:szCs w:val="24"/>
        </w:rPr>
        <w:t>'</w:t>
      </w:r>
      <w:r w:rsidRPr="00E718B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4B5E79">
        <w:rPr>
          <w:rFonts w:ascii="Times New Roman" w:hAnsi="Times New Roman" w:cs="Times New Roman"/>
          <w:sz w:val="24"/>
          <w:szCs w:val="24"/>
        </w:rPr>
        <w:t>iz razloga usklađivanja terminologije sa provedbenom odlukom Europske komisije br. 2013/752/EU o izmjeni Odluke 2006/771/EZ o usklađivanju radijskog spektra za uporabu uređaja malog dometa i ukidanju Odluke 2005/928/EZ</w:t>
      </w:r>
    </w:p>
    <w:p w14:paraId="09E54D2A" w14:textId="77777777" w:rsidR="006E4DAD" w:rsidRPr="004B5E79" w:rsidRDefault="006E4DAD" w:rsidP="004B5E7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3CCDE993" w14:textId="77777777" w:rsidR="00A84D36" w:rsidRPr="004B5E79" w:rsidRDefault="00A84D36" w:rsidP="004B5E7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42867169" w14:textId="77777777" w:rsidR="00B1537A" w:rsidRPr="00B1537A" w:rsidRDefault="00B1537A" w:rsidP="00D126E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1537A">
        <w:rPr>
          <w:rFonts w:ascii="Times New Roman" w:hAnsi="Times New Roman" w:cs="Times New Roman"/>
          <w:b/>
          <w:sz w:val="24"/>
          <w:szCs w:val="24"/>
        </w:rPr>
        <w:t xml:space="preserve">III.  PRIJEDLOG </w:t>
      </w:r>
      <w:r w:rsidR="00D126EF">
        <w:rPr>
          <w:rFonts w:ascii="Times New Roman" w:hAnsi="Times New Roman" w:cs="Times New Roman"/>
          <w:b/>
          <w:sz w:val="24"/>
          <w:szCs w:val="24"/>
        </w:rPr>
        <w:t xml:space="preserve">TABLICE NAMJENE RADIOFREKVENCIJSKOG SPEKTRA </w:t>
      </w:r>
    </w:p>
    <w:p w14:paraId="3AB9AE26" w14:textId="77777777" w:rsidR="00B1537A" w:rsidRP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B1537A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14:paraId="005ABBF4" w14:textId="77777777" w:rsidR="00B1537A" w:rsidRP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537A">
        <w:rPr>
          <w:rFonts w:ascii="Times New Roman" w:hAnsi="Times New Roman" w:cs="Times New Roman"/>
          <w:sz w:val="24"/>
          <w:szCs w:val="24"/>
        </w:rPr>
        <w:t xml:space="preserve">Prilaže se </w:t>
      </w:r>
      <w:r w:rsidR="00D126EF">
        <w:rPr>
          <w:rFonts w:ascii="Times New Roman" w:hAnsi="Times New Roman" w:cs="Times New Roman"/>
          <w:sz w:val="24"/>
          <w:szCs w:val="24"/>
        </w:rPr>
        <w:t>prijedlog Tablice namjene radiofrekvencijskog spektra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1537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3E93271" w14:textId="77777777" w:rsidR="00B1537A" w:rsidRP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sectPr w:rsidR="00B1537A" w:rsidRPr="00B153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A31CD2"/>
    <w:multiLevelType w:val="hybridMultilevel"/>
    <w:tmpl w:val="A4E2E7AA"/>
    <w:lvl w:ilvl="0" w:tplc="596E68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685125"/>
    <w:multiLevelType w:val="hybridMultilevel"/>
    <w:tmpl w:val="9D3464A0"/>
    <w:lvl w:ilvl="0" w:tplc="C708F77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CD0726"/>
    <w:multiLevelType w:val="hybridMultilevel"/>
    <w:tmpl w:val="1A92CDAC"/>
    <w:lvl w:ilvl="0" w:tplc="0E4E4C28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0BC26B1"/>
    <w:multiLevelType w:val="hybridMultilevel"/>
    <w:tmpl w:val="3FECC69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0C7A72"/>
    <w:multiLevelType w:val="hybridMultilevel"/>
    <w:tmpl w:val="7804AA4A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9414FC"/>
    <w:multiLevelType w:val="multilevel"/>
    <w:tmpl w:val="9E3CE3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D893B76"/>
    <w:multiLevelType w:val="hybridMultilevel"/>
    <w:tmpl w:val="2062D31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0FA45B4"/>
    <w:multiLevelType w:val="hybridMultilevel"/>
    <w:tmpl w:val="BBD8018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EDB1820"/>
    <w:multiLevelType w:val="hybridMultilevel"/>
    <w:tmpl w:val="66FA0AC6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0"/>
  </w:num>
  <w:num w:numId="3">
    <w:abstractNumId w:val="4"/>
  </w:num>
  <w:num w:numId="4">
    <w:abstractNumId w:val="1"/>
  </w:num>
  <w:num w:numId="5">
    <w:abstractNumId w:val="5"/>
  </w:num>
  <w:num w:numId="6">
    <w:abstractNumId w:val="2"/>
  </w:num>
  <w:num w:numId="7">
    <w:abstractNumId w:val="6"/>
  </w:num>
  <w:num w:numId="8">
    <w:abstractNumId w:val="3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3678"/>
    <w:rsid w:val="00042C0A"/>
    <w:rsid w:val="000865E8"/>
    <w:rsid w:val="00095DD9"/>
    <w:rsid w:val="000F527B"/>
    <w:rsid w:val="00107285"/>
    <w:rsid w:val="00116826"/>
    <w:rsid w:val="0013058E"/>
    <w:rsid w:val="00140221"/>
    <w:rsid w:val="001577B9"/>
    <w:rsid w:val="00166CFF"/>
    <w:rsid w:val="0017172A"/>
    <w:rsid w:val="001A1F6E"/>
    <w:rsid w:val="001C62DF"/>
    <w:rsid w:val="002063EE"/>
    <w:rsid w:val="00212AB8"/>
    <w:rsid w:val="002272B3"/>
    <w:rsid w:val="00233D91"/>
    <w:rsid w:val="002342F8"/>
    <w:rsid w:val="00244041"/>
    <w:rsid w:val="00251EFF"/>
    <w:rsid w:val="002830D9"/>
    <w:rsid w:val="00291060"/>
    <w:rsid w:val="00297C09"/>
    <w:rsid w:val="002D26F5"/>
    <w:rsid w:val="00316B99"/>
    <w:rsid w:val="003225C0"/>
    <w:rsid w:val="003B3678"/>
    <w:rsid w:val="003B658F"/>
    <w:rsid w:val="003C2D36"/>
    <w:rsid w:val="003D3BC4"/>
    <w:rsid w:val="003D4592"/>
    <w:rsid w:val="003E7A09"/>
    <w:rsid w:val="003F44AE"/>
    <w:rsid w:val="00402042"/>
    <w:rsid w:val="00492C0B"/>
    <w:rsid w:val="004949BE"/>
    <w:rsid w:val="004B5E79"/>
    <w:rsid w:val="004D467B"/>
    <w:rsid w:val="004D5A29"/>
    <w:rsid w:val="004F2D7B"/>
    <w:rsid w:val="00580E51"/>
    <w:rsid w:val="00613110"/>
    <w:rsid w:val="00623467"/>
    <w:rsid w:val="0064267F"/>
    <w:rsid w:val="006A4ED0"/>
    <w:rsid w:val="006B2CE8"/>
    <w:rsid w:val="006C4637"/>
    <w:rsid w:val="006E4DAD"/>
    <w:rsid w:val="0071280D"/>
    <w:rsid w:val="007C34AA"/>
    <w:rsid w:val="007C7270"/>
    <w:rsid w:val="007E6854"/>
    <w:rsid w:val="00802475"/>
    <w:rsid w:val="00816947"/>
    <w:rsid w:val="00824F3C"/>
    <w:rsid w:val="008B6B95"/>
    <w:rsid w:val="008C0ED0"/>
    <w:rsid w:val="008D643D"/>
    <w:rsid w:val="008E5470"/>
    <w:rsid w:val="00956FAE"/>
    <w:rsid w:val="00970883"/>
    <w:rsid w:val="00984380"/>
    <w:rsid w:val="0099258A"/>
    <w:rsid w:val="009954F3"/>
    <w:rsid w:val="009A0B3D"/>
    <w:rsid w:val="009C5447"/>
    <w:rsid w:val="009D029A"/>
    <w:rsid w:val="009D036D"/>
    <w:rsid w:val="009D59E8"/>
    <w:rsid w:val="009E2193"/>
    <w:rsid w:val="009F6E38"/>
    <w:rsid w:val="00A00DAB"/>
    <w:rsid w:val="00A179CC"/>
    <w:rsid w:val="00A30ED4"/>
    <w:rsid w:val="00A31005"/>
    <w:rsid w:val="00A4402B"/>
    <w:rsid w:val="00A6645A"/>
    <w:rsid w:val="00A84D36"/>
    <w:rsid w:val="00AE29ED"/>
    <w:rsid w:val="00AF1FB6"/>
    <w:rsid w:val="00B04758"/>
    <w:rsid w:val="00B1537A"/>
    <w:rsid w:val="00B4347F"/>
    <w:rsid w:val="00B641CF"/>
    <w:rsid w:val="00BF7A74"/>
    <w:rsid w:val="00CD6B4C"/>
    <w:rsid w:val="00CE6620"/>
    <w:rsid w:val="00D01118"/>
    <w:rsid w:val="00D126EF"/>
    <w:rsid w:val="00D436A8"/>
    <w:rsid w:val="00D73E33"/>
    <w:rsid w:val="00DC269D"/>
    <w:rsid w:val="00DE2FDF"/>
    <w:rsid w:val="00E13058"/>
    <w:rsid w:val="00E718BD"/>
    <w:rsid w:val="00EB7334"/>
    <w:rsid w:val="00ED56D3"/>
    <w:rsid w:val="00EE55BB"/>
    <w:rsid w:val="00F30492"/>
    <w:rsid w:val="00F6349F"/>
    <w:rsid w:val="00F66C05"/>
    <w:rsid w:val="00FC31AD"/>
    <w:rsid w:val="00FE7A33"/>
    <w:rsid w:val="00FF33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2FF4E1"/>
  <w15:docId w15:val="{4BE9D959-3CE0-4326-9150-3439B1FE83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E2193"/>
    <w:pPr>
      <w:ind w:left="720"/>
      <w:contextualSpacing/>
    </w:pPr>
  </w:style>
  <w:style w:type="paragraph" w:customStyle="1" w:styleId="Tekst">
    <w:name w:val="Tekst"/>
    <w:rsid w:val="00E13058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val="en-US" w:eastAsia="hr-HR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436A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436A8"/>
    <w:rPr>
      <w:rFonts w:ascii="Segoe UI" w:hAnsi="Segoe UI" w:cs="Segoe UI"/>
      <w:sz w:val="18"/>
      <w:szCs w:val="18"/>
    </w:rPr>
  </w:style>
  <w:style w:type="paragraph" w:customStyle="1" w:styleId="doc-ti">
    <w:name w:val="doc-ti"/>
    <w:basedOn w:val="Normal"/>
    <w:rsid w:val="008169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italic">
    <w:name w:val="italic"/>
    <w:basedOn w:val="DefaultParagraphFont"/>
    <w:rsid w:val="00816947"/>
  </w:style>
  <w:style w:type="character" w:styleId="CommentReference">
    <w:name w:val="annotation reference"/>
    <w:basedOn w:val="DefaultParagraphFont"/>
    <w:uiPriority w:val="99"/>
    <w:semiHidden/>
    <w:unhideWhenUsed/>
    <w:rsid w:val="00212AB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12AB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12AB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12AB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12AB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9998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70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7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4FEC01C8A75F14CB8D15BE56415D5AA" ma:contentTypeVersion="0" ma:contentTypeDescription="Stvaranje novog dokumenta." ma:contentTypeScope="" ma:versionID="f432a128e48c44768812ef64fc85a94d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3a97e57f17dc6da829d89cd5bbcb0bb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sadržaja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F6BAFE9-F10F-4490-A21C-A82C1D1AEA6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5379EA2-A70A-4684-98D3-DD403F7D878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95C8902-2E99-4375-ABAF-872F1187E1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7</Pages>
  <Words>2460</Words>
  <Characters>14022</Characters>
  <Application>Microsoft Office Word</Application>
  <DocSecurity>0</DocSecurity>
  <Lines>116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Obrazac izmjena propisa</vt:lpstr>
    </vt:vector>
  </TitlesOfParts>
  <Company>HAKOM</Company>
  <LinksUpToDate>false</LinksUpToDate>
  <CharactersWithSpaces>16450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Obrazac izmjena propisa</dc:title>
  <dc:subject/>
  <dc:creator>Natalija Boltužić</dc:creator>
  <cp:keywords/>
  <dc:description/>
  <cp:lastModifiedBy>Tomislav Bartolec</cp:lastModifiedBy>
  <cp:revision>6</cp:revision>
  <cp:lastPrinted>2016-12-09T09:07:00Z</cp:lastPrinted>
  <dcterms:created xsi:type="dcterms:W3CDTF">2016-12-09T08:56:00Z</dcterms:created>
  <dcterms:modified xsi:type="dcterms:W3CDTF">2016-12-12T12:35:00Z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0x010100A4FEC01C8A75F14CB8D15BE56415D5AA</vt:lpwstr>
  </property>
</Properties>
</file>