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B2661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A31005">
        <w:rPr>
          <w:rFonts w:ascii="Times New Roman" w:hAnsi="Times New Roman"/>
          <w:b/>
          <w:sz w:val="28"/>
          <w:szCs w:val="28"/>
        </w:rPr>
        <w:t>HRVATSKA REGULATORNA AGENCIJA ZA MREŽNE DJELATNOSTI</w:t>
      </w:r>
    </w:p>
    <w:p w14:paraId="1704125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24183F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6FFF6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1A520F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EEF0A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793551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3346B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C2CB6A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679B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3C93D9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A4D5B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4B8F84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71A996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27C192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DDDB5F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9BE6C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NACRT PRIJEDLOGA </w:t>
      </w:r>
    </w:p>
    <w:p w14:paraId="00F0624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0F6909D" w14:textId="0810E419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B5341">
        <w:rPr>
          <w:rFonts w:ascii="Times New Roman" w:hAnsi="Times New Roman"/>
          <w:b/>
          <w:sz w:val="28"/>
          <w:szCs w:val="28"/>
        </w:rPr>
        <w:t>Plan</w:t>
      </w:r>
      <w:r>
        <w:rPr>
          <w:rFonts w:ascii="Times New Roman" w:hAnsi="Times New Roman"/>
          <w:b/>
          <w:sz w:val="28"/>
          <w:szCs w:val="28"/>
        </w:rPr>
        <w:t>a</w:t>
      </w:r>
      <w:r w:rsidRPr="00FB5341">
        <w:rPr>
          <w:rFonts w:ascii="Times New Roman" w:hAnsi="Times New Roman"/>
          <w:b/>
          <w:sz w:val="28"/>
          <w:szCs w:val="28"/>
        </w:rPr>
        <w:t xml:space="preserve"> dodjele za </w:t>
      </w:r>
      <w:r w:rsidR="0094351C">
        <w:rPr>
          <w:rFonts w:ascii="Times New Roman" w:hAnsi="Times New Roman"/>
          <w:b/>
          <w:sz w:val="28"/>
          <w:szCs w:val="28"/>
        </w:rPr>
        <w:t>sustave točka – više točaka</w:t>
      </w:r>
    </w:p>
    <w:p w14:paraId="2E169C9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48161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289F08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0DD47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402EFBD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FB3F3D0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59D375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B61216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84C597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41128A3" w14:textId="77777777" w:rsidR="00E73E93" w:rsidRPr="00824F3C" w:rsidRDefault="00E73E93" w:rsidP="00E73E9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50B91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0D9E3A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FF42F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B94B5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8BE5E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CFFC09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A8C030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5CD0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B4B7D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EFEAA9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AE284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05A8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141104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7DD8CA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96A10CC" w14:textId="77777777" w:rsidR="00E73E93" w:rsidRPr="00ED56D3" w:rsidRDefault="00E73E93" w:rsidP="00E73E93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166CFF">
        <w:rPr>
          <w:rFonts w:ascii="Times New Roman" w:hAnsi="Times New Roman"/>
          <w:b/>
          <w:sz w:val="24"/>
          <w:szCs w:val="24"/>
        </w:rPr>
        <w:t xml:space="preserve">Zagreb, </w:t>
      </w:r>
      <w:r>
        <w:rPr>
          <w:rFonts w:ascii="Times New Roman" w:hAnsi="Times New Roman"/>
          <w:b/>
          <w:sz w:val="24"/>
          <w:szCs w:val="24"/>
        </w:rPr>
        <w:t xml:space="preserve">studeni 2016. </w:t>
      </w:r>
    </w:p>
    <w:p w14:paraId="7513676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472E005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I. </w:t>
      </w:r>
      <w:r w:rsidRPr="00297C09">
        <w:rPr>
          <w:rFonts w:ascii="Times New Roman" w:hAnsi="Times New Roman"/>
          <w:b/>
          <w:sz w:val="24"/>
          <w:szCs w:val="24"/>
        </w:rPr>
        <w:t xml:space="preserve">OSNOVA ZA DONOŠENJE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4608CE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DB3EB6" w14:textId="0EBBD836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Člankom 12. stavkom 1. točkom 9. i člankom </w:t>
      </w:r>
      <w:r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Zakona o elektroničkim komunikacijama (NN br. 73/08, 90/11, 133/12, 80/13 i 71/14; dalje: ZEK) </w:t>
      </w:r>
      <w:r w:rsidRPr="008B6B95">
        <w:rPr>
          <w:rFonts w:ascii="Times New Roman" w:hAnsi="Times New Roman"/>
          <w:sz w:val="24"/>
          <w:szCs w:val="24"/>
        </w:rPr>
        <w:t>propisana je ovlast Hrvatske regulatorne agencij</w:t>
      </w:r>
      <w:r>
        <w:rPr>
          <w:rFonts w:ascii="Times New Roman" w:hAnsi="Times New Roman"/>
          <w:sz w:val="24"/>
          <w:szCs w:val="24"/>
        </w:rPr>
        <w:t>e</w:t>
      </w:r>
      <w:r w:rsidRPr="008B6B95">
        <w:rPr>
          <w:rFonts w:ascii="Times New Roman" w:hAnsi="Times New Roman"/>
          <w:sz w:val="24"/>
          <w:szCs w:val="24"/>
        </w:rPr>
        <w:t xml:space="preserve"> za mrežne djelatnosti (dalje: HAKOM) za donošenje </w:t>
      </w:r>
      <w:r w:rsidRPr="00A81A92">
        <w:rPr>
          <w:rFonts w:ascii="Times New Roman" w:hAnsi="Times New Roman"/>
          <w:sz w:val="24"/>
          <w:szCs w:val="24"/>
        </w:rPr>
        <w:t>planova dodjele i uporabe radijskih frekvencija u okviru pojedinih radiofrekvencijskih pojasa</w:t>
      </w:r>
      <w:r>
        <w:rPr>
          <w:rFonts w:ascii="Times New Roman" w:hAnsi="Times New Roman"/>
          <w:sz w:val="24"/>
          <w:szCs w:val="24"/>
        </w:rPr>
        <w:t>. U konkretnom slučaju predmet javne rasprave je prijedlog Plana dodjele</w:t>
      </w:r>
      <w:r w:rsidR="000C247E">
        <w:rPr>
          <w:rFonts w:ascii="Times New Roman" w:hAnsi="Times New Roman"/>
          <w:sz w:val="24"/>
          <w:szCs w:val="24"/>
        </w:rPr>
        <w:t xml:space="preserve"> </w:t>
      </w:r>
      <w:r w:rsidR="0094351C" w:rsidRPr="0094351C">
        <w:rPr>
          <w:rFonts w:ascii="Times New Roman" w:hAnsi="Times New Roman"/>
          <w:sz w:val="24"/>
          <w:szCs w:val="24"/>
        </w:rPr>
        <w:t>za sustave točka – više točaka</w:t>
      </w:r>
      <w:r>
        <w:rPr>
          <w:rFonts w:ascii="Times New Roman" w:hAnsi="Times New Roman"/>
          <w:sz w:val="24"/>
          <w:szCs w:val="24"/>
        </w:rPr>
        <w:t>.</w:t>
      </w:r>
    </w:p>
    <w:p w14:paraId="2801B1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F7A6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B2C6D7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II. </w:t>
      </w:r>
      <w:r w:rsidRPr="00297C09">
        <w:rPr>
          <w:rFonts w:ascii="Times New Roman" w:hAnsi="Times New Roman"/>
          <w:b/>
          <w:sz w:val="24"/>
          <w:szCs w:val="24"/>
        </w:rPr>
        <w:t xml:space="preserve">OCJENA STANJA I OBRAZLOŽENJE IZMJENA </w:t>
      </w:r>
    </w:p>
    <w:p w14:paraId="1B82DFCE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FAE60DA" w14:textId="77777777" w:rsidR="0094351C" w:rsidRPr="0094351C" w:rsidRDefault="0094351C" w:rsidP="0094351C">
      <w:pPr>
        <w:pStyle w:val="Tekst"/>
        <w:rPr>
          <w:lang w:val="hr-HR"/>
        </w:rPr>
      </w:pPr>
      <w:r w:rsidRPr="0094351C">
        <w:rPr>
          <w:lang w:val="hr-HR"/>
        </w:rPr>
        <w:t>Trenutno je na snazi Plan dodjele za sustave točka – više točaka (NN br. 39/11). Izmjene trenutno vrijedećeg Plana dodjele predložene su zbog sljedećih razloga.</w:t>
      </w:r>
    </w:p>
    <w:p w14:paraId="1FC659CC" w14:textId="77777777" w:rsidR="0094351C" w:rsidRPr="0094351C" w:rsidRDefault="0094351C" w:rsidP="0094351C">
      <w:pPr>
        <w:pStyle w:val="Tekst"/>
        <w:rPr>
          <w:lang w:val="hr-HR"/>
        </w:rPr>
      </w:pPr>
    </w:p>
    <w:p w14:paraId="176FBACF" w14:textId="77777777" w:rsidR="0094351C" w:rsidRPr="0094351C" w:rsidRDefault="0094351C" w:rsidP="0094351C">
      <w:pPr>
        <w:pStyle w:val="Tekst"/>
        <w:rPr>
          <w:lang w:val="hr-HR"/>
        </w:rPr>
      </w:pPr>
      <w:r w:rsidRPr="0094351C">
        <w:rPr>
          <w:lang w:val="hr-HR"/>
        </w:rPr>
        <w:t xml:space="preserve">U tijeku je i postupak donošenja Plana dodjele za frekvencijski pojas 3400 – 3800 MHz, slijedom čega je iz postojećeg Plana dodjele za sustave točka – više točaka potrebno izbrisati frekvencijski pojas 3410 – 3600 MHz. </w:t>
      </w:r>
    </w:p>
    <w:p w14:paraId="345E468E" w14:textId="77777777" w:rsidR="0094351C" w:rsidRPr="0094351C" w:rsidRDefault="0094351C" w:rsidP="0094351C">
      <w:pPr>
        <w:pStyle w:val="Tekst"/>
        <w:rPr>
          <w:lang w:val="hr-HR"/>
        </w:rPr>
      </w:pPr>
    </w:p>
    <w:p w14:paraId="1FC587A2" w14:textId="77777777" w:rsidR="0094351C" w:rsidRPr="0094351C" w:rsidRDefault="0094351C" w:rsidP="0094351C">
      <w:pPr>
        <w:pStyle w:val="Tekst"/>
        <w:rPr>
          <w:lang w:val="hr-HR"/>
        </w:rPr>
      </w:pPr>
      <w:r w:rsidRPr="0094351C">
        <w:rPr>
          <w:lang w:val="hr-HR"/>
        </w:rPr>
        <w:t>Također, potrebno je izbrisati i frekvencijski pojas 26 GHz jer se spomenuti frekvencijski pojas više ne koristi za sustave točka – više točaka, a na razini Europske unije se razmatra njegova skora harmonizacija za 5G sustave.</w:t>
      </w:r>
    </w:p>
    <w:p w14:paraId="77F127B7" w14:textId="77777777" w:rsidR="0094351C" w:rsidRPr="0094351C" w:rsidRDefault="0094351C" w:rsidP="0094351C">
      <w:pPr>
        <w:pStyle w:val="Tekst"/>
        <w:rPr>
          <w:lang w:val="hr-HR"/>
        </w:rPr>
      </w:pPr>
    </w:p>
    <w:p w14:paraId="5A8C645B" w14:textId="798D9DD3" w:rsidR="00E73E93" w:rsidRDefault="0094351C" w:rsidP="0094351C">
      <w:pPr>
        <w:pStyle w:val="Tekst"/>
        <w:rPr>
          <w:lang w:val="hr-HR"/>
        </w:rPr>
      </w:pPr>
      <w:r w:rsidRPr="0094351C">
        <w:rPr>
          <w:lang w:val="hr-HR"/>
        </w:rPr>
        <w:t>Stručna služba predlaže donošenje novog Plana dodjele za sustave točka – više točaka, umjesto izmjena postojećeg, radi preciznosti teksta.</w:t>
      </w:r>
    </w:p>
    <w:p w14:paraId="3F6F74C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31DF04A1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3C159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B8AA287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5089F58D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1537A">
        <w:rPr>
          <w:rFonts w:ascii="Times New Roman" w:hAnsi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579DFA43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B1537A">
        <w:rPr>
          <w:rFonts w:ascii="Times New Roman" w:hAnsi="Times New Roman"/>
          <w:sz w:val="24"/>
          <w:szCs w:val="24"/>
          <w:u w:val="single"/>
        </w:rPr>
        <w:t xml:space="preserve"> </w:t>
      </w:r>
    </w:p>
    <w:p w14:paraId="6296C696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1537A">
        <w:rPr>
          <w:rFonts w:ascii="Times New Roman" w:hAnsi="Times New Roman"/>
          <w:sz w:val="24"/>
          <w:szCs w:val="24"/>
        </w:rPr>
        <w:t>Prilaže se tekst Nacrta P</w:t>
      </w:r>
      <w:r>
        <w:rPr>
          <w:rFonts w:ascii="Times New Roman" w:hAnsi="Times New Roman"/>
          <w:sz w:val="24"/>
          <w:szCs w:val="24"/>
        </w:rPr>
        <w:t>lana dodjele.</w:t>
      </w:r>
      <w:r w:rsidRPr="00B1537A">
        <w:rPr>
          <w:rFonts w:ascii="Times New Roman" w:hAnsi="Times New Roman"/>
          <w:sz w:val="24"/>
          <w:szCs w:val="24"/>
        </w:rPr>
        <w:t xml:space="preserve"> </w:t>
      </w:r>
    </w:p>
    <w:p w14:paraId="4D4D580F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185AAC1" w14:textId="77777777" w:rsidR="00E73E93" w:rsidRDefault="00E73E93">
      <w:pPr>
        <w:spacing w:after="0" w:line="240" w:lineRule="auto"/>
        <w:rPr>
          <w:rFonts w:ascii="Times New Roman" w:eastAsia="Times New Roman" w:hAnsi="Times New Roman"/>
          <w:b/>
          <w:sz w:val="40"/>
          <w:szCs w:val="40"/>
          <w:lang w:eastAsia="hr-HR"/>
        </w:rPr>
      </w:pPr>
      <w:r>
        <w:rPr>
          <w:rFonts w:ascii="Times New Roman" w:hAnsi="Times New Roman"/>
          <w:b/>
          <w:sz w:val="40"/>
          <w:szCs w:val="40"/>
        </w:rPr>
        <w:br w:type="page"/>
      </w:r>
    </w:p>
    <w:p w14:paraId="224657E0" w14:textId="77777777" w:rsidR="0021179B" w:rsidRDefault="0021179B" w:rsidP="00315CDF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  <w:sectPr w:rsidR="0021179B" w:rsidSect="000C247E">
          <w:headerReference w:type="default" r:id="rId8"/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14:paraId="7DC89928" w14:textId="29326CB6" w:rsidR="0094351C" w:rsidRPr="000774A9" w:rsidRDefault="0094351C" w:rsidP="0094351C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14:paraId="13A89D41" w14:textId="77777777" w:rsidR="0094351C" w:rsidRPr="000774A9" w:rsidRDefault="0094351C" w:rsidP="0094351C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6A574B2" w14:textId="77777777" w:rsidR="0094351C" w:rsidRPr="000774A9" w:rsidRDefault="0094351C" w:rsidP="0094351C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547A9F56" w14:textId="77777777" w:rsidR="0094351C" w:rsidRDefault="0094351C" w:rsidP="0094351C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73/08, 90/11, 133/12, 80/13 i 71/14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7F3F9BCD" w14:textId="77777777" w:rsidR="0094351C" w:rsidRDefault="0094351C" w:rsidP="0094351C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6490773" w14:textId="77777777" w:rsidR="0094351C" w:rsidRPr="000774A9" w:rsidRDefault="0094351C" w:rsidP="0094351C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7AAFA9E7" w14:textId="77777777" w:rsidR="0094351C" w:rsidRDefault="0094351C" w:rsidP="0094351C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SUSTAVE TOČKA – VIŠE TOČAKA</w:t>
      </w:r>
    </w:p>
    <w:p w14:paraId="40160F09" w14:textId="77777777" w:rsidR="0094351C" w:rsidRDefault="0094351C" w:rsidP="0094351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294B9986" w14:textId="77777777" w:rsidR="0094351C" w:rsidRDefault="0094351C" w:rsidP="0094351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44D6792" w14:textId="77777777" w:rsidR="0094351C" w:rsidRPr="004A4345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14:paraId="388B273A" w14:textId="77777777" w:rsidR="0094351C" w:rsidRPr="004A4345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D6CB815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Plan dodjele</w:t>
      </w:r>
      <w:r w:rsidRPr="004A4345">
        <w:t xml:space="preserve"> </w:t>
      </w:r>
      <w:r>
        <w:rPr>
          <w:rFonts w:ascii="Times New Roman" w:eastAsia="Times New Roman" w:hAnsi="Times New Roman"/>
          <w:sz w:val="24"/>
          <w:szCs w:val="24"/>
        </w:rPr>
        <w:t>za sustave točka – više točaka, je kako slijedi:</w:t>
      </w:r>
    </w:p>
    <w:p w14:paraId="5EDED990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14:paraId="264D64A5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proofErr w:type="spellStart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>Tablica</w:t>
      </w:r>
      <w:proofErr w:type="spellEnd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1.</w:t>
      </w:r>
      <w:r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Širokopojasni bežični pristup,</w:t>
      </w:r>
      <w:r w:rsidRPr="001B07A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</w:t>
      </w:r>
      <w:r w:rsidRPr="001B07A3">
        <w:rPr>
          <w:rFonts w:ascii="Times New Roman" w:hAnsi="Times New Roman"/>
          <w:sz w:val="24"/>
          <w:szCs w:val="24"/>
        </w:rPr>
        <w:t>rekvencijsko područje 10 GHz</w:t>
      </w:r>
    </w:p>
    <w:p w14:paraId="021AE709" w14:textId="77777777" w:rsidR="0094351C" w:rsidRPr="00F36E9D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94351C" w:rsidRPr="001B07A3" w14:paraId="2EA4F77C" w14:textId="77777777" w:rsidTr="00E15981">
        <w:tc>
          <w:tcPr>
            <w:tcW w:w="2943" w:type="dxa"/>
          </w:tcPr>
          <w:p w14:paraId="5D1DF69F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Frekvencijski raspon:</w:t>
            </w:r>
          </w:p>
        </w:tc>
        <w:tc>
          <w:tcPr>
            <w:tcW w:w="6299" w:type="dxa"/>
          </w:tcPr>
          <w:p w14:paraId="618B0E00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10000 - 10300 MHz</w:t>
            </w:r>
          </w:p>
        </w:tc>
      </w:tr>
      <w:tr w:rsidR="0094351C" w:rsidRPr="001B07A3" w14:paraId="2D62D77C" w14:textId="77777777" w:rsidTr="00E15981">
        <w:tc>
          <w:tcPr>
            <w:tcW w:w="2943" w:type="dxa"/>
          </w:tcPr>
          <w:p w14:paraId="09B70F97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Kanalni raspored:</w:t>
            </w:r>
          </w:p>
        </w:tc>
        <w:tc>
          <w:tcPr>
            <w:tcW w:w="6299" w:type="dxa"/>
          </w:tcPr>
          <w:p w14:paraId="4EDDC888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4351C" w:rsidRPr="001B07A3" w14:paraId="35C4B3FF" w14:textId="77777777" w:rsidTr="00E15981">
        <w:tc>
          <w:tcPr>
            <w:tcW w:w="2943" w:type="dxa"/>
          </w:tcPr>
          <w:p w14:paraId="43F16DDD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ETSI norma:</w:t>
            </w:r>
          </w:p>
        </w:tc>
        <w:tc>
          <w:tcPr>
            <w:tcW w:w="6299" w:type="dxa"/>
          </w:tcPr>
          <w:p w14:paraId="20108B82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EN 302 326</w:t>
            </w:r>
          </w:p>
        </w:tc>
      </w:tr>
      <w:tr w:rsidR="0094351C" w:rsidRPr="001B07A3" w14:paraId="3B1F9126" w14:textId="77777777" w:rsidTr="00E15981">
        <w:tc>
          <w:tcPr>
            <w:tcW w:w="2943" w:type="dxa"/>
          </w:tcPr>
          <w:p w14:paraId="563A1933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Ostale ETSI norme:</w:t>
            </w:r>
          </w:p>
        </w:tc>
        <w:tc>
          <w:tcPr>
            <w:tcW w:w="6299" w:type="dxa"/>
          </w:tcPr>
          <w:p w14:paraId="0DE59205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4351C" w:rsidRPr="001B07A3" w14:paraId="4A7D4BCC" w14:textId="77777777" w:rsidTr="00E15981">
        <w:tc>
          <w:tcPr>
            <w:tcW w:w="2943" w:type="dxa"/>
          </w:tcPr>
          <w:p w14:paraId="451035A6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Napomene:</w:t>
            </w:r>
          </w:p>
        </w:tc>
        <w:tc>
          <w:tcPr>
            <w:tcW w:w="6299" w:type="dxa"/>
          </w:tcPr>
          <w:p w14:paraId="19E6E8CA" w14:textId="77777777" w:rsidR="0094351C" w:rsidRPr="001B07A3" w:rsidRDefault="0094351C" w:rsidP="00E1598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 xml:space="preserve">Dodjeljuje se 1 blok od 300 MHz. </w:t>
            </w:r>
          </w:p>
        </w:tc>
      </w:tr>
      <w:tr w:rsidR="0094351C" w:rsidRPr="001B07A3" w14:paraId="4C251D80" w14:textId="77777777" w:rsidTr="00E15981">
        <w:tc>
          <w:tcPr>
            <w:tcW w:w="2943" w:type="dxa"/>
          </w:tcPr>
          <w:p w14:paraId="43D1B6B6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Mogući kanalni rasporedi:</w:t>
            </w:r>
          </w:p>
        </w:tc>
        <w:tc>
          <w:tcPr>
            <w:tcW w:w="6299" w:type="dxa"/>
          </w:tcPr>
          <w:p w14:paraId="5F5B49A5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4351C" w:rsidRPr="001B07A3" w14:paraId="6AE2B447" w14:textId="77777777" w:rsidTr="00E15981">
        <w:tc>
          <w:tcPr>
            <w:tcW w:w="2943" w:type="dxa"/>
          </w:tcPr>
          <w:p w14:paraId="46E99A2E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Dupleksni razmak:</w:t>
            </w:r>
          </w:p>
        </w:tc>
        <w:tc>
          <w:tcPr>
            <w:tcW w:w="6299" w:type="dxa"/>
          </w:tcPr>
          <w:p w14:paraId="0ACCB905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4351C" w:rsidRPr="001B07A3" w14:paraId="499DFD40" w14:textId="77777777" w:rsidTr="00E15981">
        <w:tc>
          <w:tcPr>
            <w:tcW w:w="2943" w:type="dxa"/>
          </w:tcPr>
          <w:p w14:paraId="162B023B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Centralna frekvencija f</w:t>
            </w:r>
            <w:r w:rsidRPr="001B07A3">
              <w:rPr>
                <w:rFonts w:ascii="Times New Roman" w:hAnsi="Times New Roman"/>
                <w:sz w:val="24"/>
                <w:szCs w:val="24"/>
                <w:vertAlign w:val="subscript"/>
              </w:rPr>
              <w:t>0</w:t>
            </w:r>
            <w:r w:rsidRPr="001B07A3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299" w:type="dxa"/>
          </w:tcPr>
          <w:p w14:paraId="0B013D6C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4351C" w:rsidRPr="001B07A3" w14:paraId="5768C35C" w14:textId="77777777" w:rsidTr="00E15981">
        <w:tc>
          <w:tcPr>
            <w:tcW w:w="2943" w:type="dxa"/>
          </w:tcPr>
          <w:p w14:paraId="4D094FC0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Područje dodjele:</w:t>
            </w:r>
          </w:p>
        </w:tc>
        <w:tc>
          <w:tcPr>
            <w:tcW w:w="6299" w:type="dxa"/>
          </w:tcPr>
          <w:p w14:paraId="794547DF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Prema slici 1.</w:t>
            </w:r>
          </w:p>
          <w:p w14:paraId="71E32F05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Regija 1: Međimurska, Varaždinska, Koprivničko-križevačka, Bjelovarsko-bilogorska, Krapinsko-zagorska, Zagrebačka, Sisačko-moslavačka i Karlovačka županija te Grad Zagreb</w:t>
            </w:r>
          </w:p>
          <w:p w14:paraId="338FBA25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BE4E380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Regija 2: Brodsko-posavska, Požeško-slavonska, Virovitičko-podravska, Osječko-baranjska i Vukovarsko-srijemska županija</w:t>
            </w:r>
          </w:p>
          <w:p w14:paraId="06F878F9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545A946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Regija 3: Istarska, Primorsko-goranska i Ličko-senjska županija</w:t>
            </w:r>
          </w:p>
          <w:p w14:paraId="5C7B9A7A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CE20F11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Regija 4: Zadarska, Šibensko-kninska, Splitsko-dalmatinska i Dubrovačko-neretvanska županija</w:t>
            </w:r>
          </w:p>
        </w:tc>
      </w:tr>
      <w:tr w:rsidR="0094351C" w:rsidRPr="001B07A3" w14:paraId="49EA0E14" w14:textId="77777777" w:rsidTr="00E15981">
        <w:tc>
          <w:tcPr>
            <w:tcW w:w="2943" w:type="dxa"/>
          </w:tcPr>
          <w:p w14:paraId="691B857F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Rok na koji se dodjeljuje spektar:</w:t>
            </w:r>
          </w:p>
        </w:tc>
        <w:tc>
          <w:tcPr>
            <w:tcW w:w="6299" w:type="dxa"/>
          </w:tcPr>
          <w:p w14:paraId="5FDD5A9C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12 godina</w:t>
            </w:r>
          </w:p>
        </w:tc>
      </w:tr>
      <w:tr w:rsidR="0094351C" w:rsidRPr="001B07A3" w14:paraId="620A8CFF" w14:textId="77777777" w:rsidTr="00E15981">
        <w:tc>
          <w:tcPr>
            <w:tcW w:w="2943" w:type="dxa"/>
          </w:tcPr>
          <w:p w14:paraId="332AF553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Frekvencijski raspored:</w:t>
            </w:r>
          </w:p>
        </w:tc>
        <w:tc>
          <w:tcPr>
            <w:tcW w:w="6299" w:type="dxa"/>
          </w:tcPr>
          <w:p w14:paraId="121245C0" w14:textId="77777777" w:rsidR="0094351C" w:rsidRPr="001B07A3" w:rsidRDefault="0094351C" w:rsidP="00E15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B07A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49CFFFF5" w14:textId="77777777" w:rsidR="0094351C" w:rsidRDefault="0094351C" w:rsidP="0094351C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4B9B345E" w14:textId="77777777" w:rsidR="0094351C" w:rsidRPr="00FE6C14" w:rsidRDefault="0094351C" w:rsidP="0094351C">
      <w:pPr>
        <w:spacing w:after="0" w:line="240" w:lineRule="auto"/>
        <w:rPr>
          <w:b/>
        </w:rPr>
      </w:pPr>
    </w:p>
    <w:p w14:paraId="1C34D63D" w14:textId="77777777" w:rsidR="0094351C" w:rsidRDefault="0094351C" w:rsidP="0094351C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320B9EB4" w14:textId="77777777" w:rsidR="0094351C" w:rsidRDefault="0094351C" w:rsidP="0094351C">
      <w:pPr>
        <w:spacing w:after="0" w:line="240" w:lineRule="auto"/>
        <w:rPr>
          <w:rFonts w:ascii="Times New Roman" w:hAnsi="Times New Roman"/>
        </w:rPr>
        <w:sectPr w:rsidR="0094351C">
          <w:head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2D4303E" w14:textId="77777777" w:rsidR="0094351C" w:rsidRDefault="0094351C" w:rsidP="0094351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lastRenderedPageBreak/>
        <w:t>Slika</w:t>
      </w:r>
      <w:r w:rsidRPr="001B4ABA"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1</w:t>
      </w:r>
      <w:r>
        <w:rPr>
          <w:rFonts w:ascii="Times New Roman" w:hAnsi="Times New Roman"/>
        </w:rPr>
        <w:t xml:space="preserve">. </w:t>
      </w:r>
      <w:r>
        <w:rPr>
          <w:rFonts w:ascii="Times New Roman" w:hAnsi="Times New Roman"/>
          <w:sz w:val="24"/>
          <w:szCs w:val="24"/>
        </w:rPr>
        <w:t>Područja dodjele – regije</w:t>
      </w:r>
    </w:p>
    <w:p w14:paraId="214B6DA0" w14:textId="77777777" w:rsidR="0094351C" w:rsidRDefault="0094351C" w:rsidP="0094351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5B96852" w14:textId="77777777" w:rsidR="0094351C" w:rsidRPr="00FE6C14" w:rsidRDefault="0094351C" w:rsidP="0094351C">
      <w:pPr>
        <w:spacing w:after="0" w:line="240" w:lineRule="auto"/>
        <w:rPr>
          <w:rFonts w:ascii="Times New Roman" w:hAnsi="Times New Roman"/>
        </w:rPr>
      </w:pPr>
      <w:r>
        <w:rPr>
          <w:noProof/>
          <w:lang w:eastAsia="hr-HR"/>
        </w:rPr>
        <w:drawing>
          <wp:inline distT="0" distB="0" distL="0" distR="0" wp14:anchorId="6239B70C" wp14:editId="5B3028FD">
            <wp:extent cx="5759450" cy="4342322"/>
            <wp:effectExtent l="0" t="0" r="0" b="1270"/>
            <wp:docPr id="1" name="Picture 1" descr="Hrvat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vatsk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342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3F06D" w14:textId="77777777" w:rsidR="0094351C" w:rsidRPr="00FE6C14" w:rsidRDefault="0094351C" w:rsidP="0094351C">
      <w:pPr>
        <w:spacing w:after="0" w:line="240" w:lineRule="auto"/>
      </w:pPr>
    </w:p>
    <w:p w14:paraId="078B48E3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  <w:sectPr w:rsidR="0094351C" w:rsidSect="001B07A3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0577E44A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37DAAB8" w14:textId="77777777" w:rsidR="0094351C" w:rsidRPr="0042559D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2559D">
        <w:rPr>
          <w:rFonts w:ascii="Times New Roman" w:eastAsia="Times New Roman" w:hAnsi="Times New Roman"/>
          <w:sz w:val="24"/>
          <w:szCs w:val="24"/>
        </w:rPr>
        <w:t>Članak 2.</w:t>
      </w:r>
    </w:p>
    <w:p w14:paraId="670B4BC1" w14:textId="77777777" w:rsidR="0094351C" w:rsidRPr="0042559D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37660F12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2559D">
        <w:rPr>
          <w:rFonts w:ascii="Times New Roman" w:eastAsia="Times New Roman" w:hAnsi="Times New Roman"/>
          <w:sz w:val="24"/>
          <w:szCs w:val="24"/>
        </w:rPr>
        <w:t xml:space="preserve">Stupanjem na snagu ovog Plana dodjele prestaje vrijediti </w:t>
      </w:r>
      <w:r w:rsidRPr="004A2997">
        <w:rPr>
          <w:rFonts w:ascii="Times New Roman" w:eastAsia="Times New Roman" w:hAnsi="Times New Roman"/>
          <w:sz w:val="24"/>
          <w:szCs w:val="24"/>
        </w:rPr>
        <w:t>Plan dodjele za sustave točka - više točaka (N</w:t>
      </w:r>
      <w:r>
        <w:rPr>
          <w:rFonts w:ascii="Times New Roman" w:eastAsia="Times New Roman" w:hAnsi="Times New Roman"/>
          <w:sz w:val="24"/>
          <w:szCs w:val="24"/>
        </w:rPr>
        <w:t>arodne novine br.</w:t>
      </w:r>
      <w:r w:rsidRPr="004A2997">
        <w:rPr>
          <w:rFonts w:ascii="Times New Roman" w:eastAsia="Times New Roman" w:hAnsi="Times New Roman"/>
          <w:sz w:val="24"/>
          <w:szCs w:val="24"/>
        </w:rPr>
        <w:t xml:space="preserve"> 39/11)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14:paraId="615CE4DA" w14:textId="77777777" w:rsidR="0094351C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3C46BB1" w14:textId="77777777" w:rsidR="0094351C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3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14:paraId="61643FBD" w14:textId="77777777" w:rsidR="0094351C" w:rsidRPr="004A4345" w:rsidRDefault="0094351C" w:rsidP="0094351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5DEE18B7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Ovaj Plan dodjele stupa na snagu osmi dan od dana objave u „Narodnim novinama“.</w:t>
      </w:r>
    </w:p>
    <w:p w14:paraId="12370345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38518EC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41A120B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 </w:t>
      </w:r>
      <w:r w:rsidRPr="004A2997">
        <w:rPr>
          <w:rFonts w:ascii="Times New Roman" w:eastAsia="Times New Roman" w:hAnsi="Times New Roman"/>
          <w:sz w:val="24"/>
          <w:szCs w:val="24"/>
        </w:rPr>
        <w:t>011-02/16-02/11</w:t>
      </w:r>
    </w:p>
    <w:p w14:paraId="7732F095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URBROJ: 376-03-16-1 </w:t>
      </w:r>
    </w:p>
    <w:p w14:paraId="784473FE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</w:p>
    <w:p w14:paraId="7522DED1" w14:textId="77777777" w:rsidR="0094351C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94351C" w:rsidRPr="001C5615" w14:paraId="02A7DC93" w14:textId="77777777" w:rsidTr="00E15981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94351C" w:rsidRPr="001268FF" w14:paraId="644236E4" w14:textId="77777777" w:rsidTr="00E15981">
              <w:tc>
                <w:tcPr>
                  <w:tcW w:w="4927" w:type="dxa"/>
                  <w:shd w:val="clear" w:color="auto" w:fill="auto"/>
                </w:tcPr>
                <w:p w14:paraId="55CAE864" w14:textId="77777777" w:rsidR="0094351C" w:rsidRPr="001268FF" w:rsidRDefault="0094351C" w:rsidP="00E15981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94351C" w:rsidRPr="001268FF" w14:paraId="5DDD7B8E" w14:textId="77777777" w:rsidTr="00E15981">
              <w:tc>
                <w:tcPr>
                  <w:tcW w:w="4927" w:type="dxa"/>
                  <w:shd w:val="clear" w:color="auto" w:fill="auto"/>
                </w:tcPr>
                <w:p w14:paraId="5B40BE9D" w14:textId="77777777" w:rsidR="0094351C" w:rsidRPr="001268FF" w:rsidRDefault="0094351C" w:rsidP="00E15981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dr. sc. Dražen Lučić</w:t>
                  </w:r>
                </w:p>
              </w:tc>
            </w:tr>
          </w:tbl>
          <w:p w14:paraId="14D9CD5B" w14:textId="77777777" w:rsidR="0094351C" w:rsidRPr="001C5615" w:rsidRDefault="0094351C" w:rsidP="00E15981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  <w:tr w:rsidR="0094351C" w:rsidRPr="001C5615" w14:paraId="47E19D6B" w14:textId="77777777" w:rsidTr="00E15981">
        <w:tc>
          <w:tcPr>
            <w:tcW w:w="4927" w:type="dxa"/>
            <w:shd w:val="clear" w:color="auto" w:fill="auto"/>
          </w:tcPr>
          <w:p w14:paraId="7CC5B5EF" w14:textId="77777777" w:rsidR="0094351C" w:rsidRPr="001C5615" w:rsidRDefault="0094351C" w:rsidP="00E15981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szCs w:val="24"/>
                <w:lang w:eastAsia="hr-HR"/>
              </w:rPr>
            </w:pPr>
          </w:p>
        </w:tc>
      </w:tr>
    </w:tbl>
    <w:p w14:paraId="3560EB90" w14:textId="77777777" w:rsidR="0094351C" w:rsidRPr="004A4345" w:rsidRDefault="0094351C" w:rsidP="0094351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D0DCFF9" w14:textId="77777777" w:rsidR="008A3F90" w:rsidRPr="00BA46B6" w:rsidRDefault="008A3F90" w:rsidP="0094351C">
      <w:pPr>
        <w:pStyle w:val="BodyText21"/>
        <w:overflowPunct/>
        <w:autoSpaceDE/>
        <w:autoSpaceDN/>
        <w:adjustRightInd/>
        <w:jc w:val="center"/>
        <w:textAlignment w:val="auto"/>
      </w:pPr>
    </w:p>
    <w:sectPr w:rsidR="008A3F90" w:rsidRPr="00BA46B6" w:rsidSect="001B4AB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BA8C84" w14:textId="77777777" w:rsidR="002301A6" w:rsidRDefault="002301A6" w:rsidP="004053A2">
      <w:pPr>
        <w:spacing w:after="0" w:line="240" w:lineRule="auto"/>
      </w:pPr>
      <w:r>
        <w:separator/>
      </w:r>
    </w:p>
  </w:endnote>
  <w:endnote w:type="continuationSeparator" w:id="0">
    <w:p w14:paraId="3A4A4E40" w14:textId="77777777" w:rsidR="002301A6" w:rsidRDefault="002301A6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C4AB2B" w14:textId="77777777" w:rsidR="002301A6" w:rsidRDefault="002301A6" w:rsidP="004053A2">
      <w:pPr>
        <w:spacing w:after="0" w:line="240" w:lineRule="auto"/>
      </w:pPr>
      <w:r>
        <w:separator/>
      </w:r>
    </w:p>
  </w:footnote>
  <w:footnote w:type="continuationSeparator" w:id="0">
    <w:p w14:paraId="5D8978D9" w14:textId="77777777" w:rsidR="002301A6" w:rsidRDefault="002301A6" w:rsidP="00405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C5124" w14:textId="0E0B93FE" w:rsidR="00495D6B" w:rsidRPr="00E00B2E" w:rsidRDefault="00495D6B">
    <w:pPr>
      <w:pStyle w:val="Header"/>
      <w:rPr>
        <w:b/>
      </w:rPr>
    </w:pPr>
    <w:r w:rsidRPr="00E00B2E">
      <w:rPr>
        <w:b/>
      </w:rPr>
      <w:t>PRIJEDLOG ZA JAVNU RASPRAVU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701EBD" w14:textId="50174EAF" w:rsidR="0094351C" w:rsidRPr="00986971" w:rsidRDefault="0094351C">
    <w:pPr>
      <w:pStyle w:val="Header"/>
      <w:rPr>
        <w:b/>
      </w:rPr>
    </w:pPr>
    <w:r w:rsidRPr="00986971">
      <w:rPr>
        <w:b/>
      </w:rPr>
      <w:t>PRIJEDLOG ZA JAVNU RASPRAVU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DEA"/>
    <w:rsid w:val="000545D0"/>
    <w:rsid w:val="000920EC"/>
    <w:rsid w:val="000A7273"/>
    <w:rsid w:val="000C247E"/>
    <w:rsid w:val="000E3ED5"/>
    <w:rsid w:val="0010107E"/>
    <w:rsid w:val="00143E10"/>
    <w:rsid w:val="00153AD2"/>
    <w:rsid w:val="001A6B07"/>
    <w:rsid w:val="001C7037"/>
    <w:rsid w:val="00203246"/>
    <w:rsid w:val="002060CE"/>
    <w:rsid w:val="0021179B"/>
    <w:rsid w:val="002301A6"/>
    <w:rsid w:val="00235F84"/>
    <w:rsid w:val="002876B4"/>
    <w:rsid w:val="00292CAD"/>
    <w:rsid w:val="002C3695"/>
    <w:rsid w:val="002F2AFB"/>
    <w:rsid w:val="0030519C"/>
    <w:rsid w:val="00315CDF"/>
    <w:rsid w:val="0031645C"/>
    <w:rsid w:val="00352BFB"/>
    <w:rsid w:val="0035647F"/>
    <w:rsid w:val="00393DEF"/>
    <w:rsid w:val="003B3FB5"/>
    <w:rsid w:val="003C3A08"/>
    <w:rsid w:val="003D4EC2"/>
    <w:rsid w:val="003E1B2D"/>
    <w:rsid w:val="003E6F69"/>
    <w:rsid w:val="004053A2"/>
    <w:rsid w:val="00495D6B"/>
    <w:rsid w:val="0049769C"/>
    <w:rsid w:val="004D31D3"/>
    <w:rsid w:val="00522B9F"/>
    <w:rsid w:val="005864D6"/>
    <w:rsid w:val="00586973"/>
    <w:rsid w:val="005C1A0F"/>
    <w:rsid w:val="005E3D14"/>
    <w:rsid w:val="005E4777"/>
    <w:rsid w:val="00611B85"/>
    <w:rsid w:val="006638BF"/>
    <w:rsid w:val="006802EE"/>
    <w:rsid w:val="0069327E"/>
    <w:rsid w:val="006E381A"/>
    <w:rsid w:val="006F0F7D"/>
    <w:rsid w:val="00711F33"/>
    <w:rsid w:val="00717BDC"/>
    <w:rsid w:val="007412BF"/>
    <w:rsid w:val="00763004"/>
    <w:rsid w:val="00793DCC"/>
    <w:rsid w:val="007A0350"/>
    <w:rsid w:val="008720F2"/>
    <w:rsid w:val="00886D59"/>
    <w:rsid w:val="008A3F90"/>
    <w:rsid w:val="008C1A02"/>
    <w:rsid w:val="008E21E8"/>
    <w:rsid w:val="009421E2"/>
    <w:rsid w:val="0094351C"/>
    <w:rsid w:val="00950B42"/>
    <w:rsid w:val="009915C6"/>
    <w:rsid w:val="00A1067B"/>
    <w:rsid w:val="00A2417F"/>
    <w:rsid w:val="00A43FBA"/>
    <w:rsid w:val="00A60C01"/>
    <w:rsid w:val="00A638B9"/>
    <w:rsid w:val="00AB1169"/>
    <w:rsid w:val="00AB508C"/>
    <w:rsid w:val="00AC541A"/>
    <w:rsid w:val="00AD2685"/>
    <w:rsid w:val="00B13694"/>
    <w:rsid w:val="00B15497"/>
    <w:rsid w:val="00B2013D"/>
    <w:rsid w:val="00B31891"/>
    <w:rsid w:val="00B47FC2"/>
    <w:rsid w:val="00B60C71"/>
    <w:rsid w:val="00B74EB1"/>
    <w:rsid w:val="00BA1DAD"/>
    <w:rsid w:val="00BA46B6"/>
    <w:rsid w:val="00BA6A6E"/>
    <w:rsid w:val="00BC1267"/>
    <w:rsid w:val="00BD1BBF"/>
    <w:rsid w:val="00BE4AC2"/>
    <w:rsid w:val="00C20D7F"/>
    <w:rsid w:val="00C5717F"/>
    <w:rsid w:val="00C74AA6"/>
    <w:rsid w:val="00C85D44"/>
    <w:rsid w:val="00CB637C"/>
    <w:rsid w:val="00CB74B8"/>
    <w:rsid w:val="00CC762F"/>
    <w:rsid w:val="00CF4F0E"/>
    <w:rsid w:val="00D23470"/>
    <w:rsid w:val="00D40A16"/>
    <w:rsid w:val="00D62682"/>
    <w:rsid w:val="00DA3866"/>
    <w:rsid w:val="00DB6F57"/>
    <w:rsid w:val="00E00B2E"/>
    <w:rsid w:val="00E073DD"/>
    <w:rsid w:val="00E578C8"/>
    <w:rsid w:val="00E57BCA"/>
    <w:rsid w:val="00E73E93"/>
    <w:rsid w:val="00EA3D7C"/>
    <w:rsid w:val="00EC3A05"/>
    <w:rsid w:val="00EC795A"/>
    <w:rsid w:val="00F123E8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E4D6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C81154-5940-4762-93C3-67FFE12F5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495</Words>
  <Characters>2827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2016-11-30T12:22:00Z</dcterms:created>
  <dcterms:modified xsi:type="dcterms:W3CDTF">2016-11-30T12:22:00Z</dcterms:modified>
</cp:coreProperties>
</file>