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B2661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A31005">
        <w:rPr>
          <w:rFonts w:ascii="Times New Roman" w:hAnsi="Times New Roman"/>
          <w:b/>
          <w:sz w:val="28"/>
          <w:szCs w:val="28"/>
        </w:rPr>
        <w:t>HRVATSKA REGULATORNA AGENCIJA ZA MREŽNE DJELATNOSTI</w:t>
      </w:r>
    </w:p>
    <w:p w14:paraId="1704125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24183F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6FFF6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1A520F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EEF0A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793551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3346B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C2CB6A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679B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3C93D9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A4D5B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4B8F84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71A996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27C192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DDDB5F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D9BE6C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NACRT PRIJEDLOGA </w:t>
      </w:r>
    </w:p>
    <w:p w14:paraId="00F0624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0F6909D" w14:textId="5B0A9C6F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B5341">
        <w:rPr>
          <w:rFonts w:ascii="Times New Roman" w:hAnsi="Times New Roman"/>
          <w:b/>
          <w:sz w:val="28"/>
          <w:szCs w:val="28"/>
        </w:rPr>
        <w:t>Plan</w:t>
      </w:r>
      <w:r>
        <w:rPr>
          <w:rFonts w:ascii="Times New Roman" w:hAnsi="Times New Roman"/>
          <w:b/>
          <w:sz w:val="28"/>
          <w:szCs w:val="28"/>
        </w:rPr>
        <w:t>a</w:t>
      </w:r>
      <w:r w:rsidRPr="00FB5341">
        <w:rPr>
          <w:rFonts w:ascii="Times New Roman" w:hAnsi="Times New Roman"/>
          <w:b/>
          <w:sz w:val="28"/>
          <w:szCs w:val="28"/>
        </w:rPr>
        <w:t xml:space="preserve"> dodjele za </w:t>
      </w:r>
      <w:r w:rsidR="000C247E" w:rsidRPr="000C247E">
        <w:rPr>
          <w:rFonts w:ascii="Times New Roman" w:hAnsi="Times New Roman"/>
          <w:b/>
          <w:sz w:val="28"/>
          <w:szCs w:val="28"/>
        </w:rPr>
        <w:t>frekvencijski pojas 3400-3800 MHz</w:t>
      </w:r>
    </w:p>
    <w:p w14:paraId="2E169C9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48161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289F08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0DD47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402EFBD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FB3F3D0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59D375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B61216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84C597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41128A3" w14:textId="77777777" w:rsidR="00E73E93" w:rsidRPr="00824F3C" w:rsidRDefault="00E73E93" w:rsidP="00E73E9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50B91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0D9E3A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FF42F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B94B5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78BE5E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CFFC09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A8C030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85CD0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B4B7D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EFEAA9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AE284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05A8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7141104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7DD8CA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96A10CC" w14:textId="77777777" w:rsidR="00E73E93" w:rsidRPr="00ED56D3" w:rsidRDefault="00E73E93" w:rsidP="00E73E93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166CFF">
        <w:rPr>
          <w:rFonts w:ascii="Times New Roman" w:hAnsi="Times New Roman"/>
          <w:b/>
          <w:sz w:val="24"/>
          <w:szCs w:val="24"/>
        </w:rPr>
        <w:t xml:space="preserve">Zagreb, </w:t>
      </w:r>
      <w:r>
        <w:rPr>
          <w:rFonts w:ascii="Times New Roman" w:hAnsi="Times New Roman"/>
          <w:b/>
          <w:sz w:val="24"/>
          <w:szCs w:val="24"/>
        </w:rPr>
        <w:t xml:space="preserve">studeni 2016. </w:t>
      </w:r>
    </w:p>
    <w:p w14:paraId="7513676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472E005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I. </w:t>
      </w:r>
      <w:r w:rsidRPr="00297C09">
        <w:rPr>
          <w:rFonts w:ascii="Times New Roman" w:hAnsi="Times New Roman"/>
          <w:b/>
          <w:sz w:val="24"/>
          <w:szCs w:val="24"/>
        </w:rPr>
        <w:t xml:space="preserve">OSNOVA ZA DONOŠENJE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4608CE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ADB3EB6" w14:textId="073249E4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Člankom 12. stavkom 1. točkom 9. i člankom </w:t>
      </w:r>
      <w:r w:rsidRPr="006B5A01">
        <w:rPr>
          <w:rFonts w:ascii="Times New Roman" w:eastAsia="Times New Roman" w:hAnsi="Times New Roman"/>
          <w:sz w:val="24"/>
          <w:szCs w:val="24"/>
          <w:lang w:eastAsia="hr-HR"/>
        </w:rPr>
        <w:t>82.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Zakona o elektroničkim komunikacijama (NN br. 73/08, 90/11, 133/12, 80/13 i 71/14; dalje: ZEK) </w:t>
      </w:r>
      <w:r w:rsidRPr="008B6B95">
        <w:rPr>
          <w:rFonts w:ascii="Times New Roman" w:hAnsi="Times New Roman"/>
          <w:sz w:val="24"/>
          <w:szCs w:val="24"/>
        </w:rPr>
        <w:t>propisana je ovlast Hrvatske regulatorne agencij</w:t>
      </w:r>
      <w:r>
        <w:rPr>
          <w:rFonts w:ascii="Times New Roman" w:hAnsi="Times New Roman"/>
          <w:sz w:val="24"/>
          <w:szCs w:val="24"/>
        </w:rPr>
        <w:t>e</w:t>
      </w:r>
      <w:r w:rsidRPr="008B6B95">
        <w:rPr>
          <w:rFonts w:ascii="Times New Roman" w:hAnsi="Times New Roman"/>
          <w:sz w:val="24"/>
          <w:szCs w:val="24"/>
        </w:rPr>
        <w:t xml:space="preserve"> za mrežne djelatnosti (dalje: HAKOM) za donošenje </w:t>
      </w:r>
      <w:r w:rsidRPr="00A81A92">
        <w:rPr>
          <w:rFonts w:ascii="Times New Roman" w:hAnsi="Times New Roman"/>
          <w:sz w:val="24"/>
          <w:szCs w:val="24"/>
        </w:rPr>
        <w:t>planova dodjele i uporabe radijskih frekvencija u okviru pojedinih radiofrekvencijskih pojasa</w:t>
      </w:r>
      <w:r>
        <w:rPr>
          <w:rFonts w:ascii="Times New Roman" w:hAnsi="Times New Roman"/>
          <w:sz w:val="24"/>
          <w:szCs w:val="24"/>
        </w:rPr>
        <w:t>. U konkretnom slučaju predmet javne rasprave je prijedlog Plana dodjele</w:t>
      </w:r>
      <w:r w:rsidR="000C247E">
        <w:rPr>
          <w:rFonts w:ascii="Times New Roman" w:hAnsi="Times New Roman"/>
          <w:sz w:val="24"/>
          <w:szCs w:val="24"/>
        </w:rPr>
        <w:t xml:space="preserve"> za</w:t>
      </w:r>
      <w:r>
        <w:rPr>
          <w:rFonts w:ascii="Times New Roman" w:hAnsi="Times New Roman"/>
          <w:sz w:val="24"/>
          <w:szCs w:val="24"/>
        </w:rPr>
        <w:t xml:space="preserve"> </w:t>
      </w:r>
      <w:r w:rsidR="000C247E" w:rsidRPr="000C247E">
        <w:rPr>
          <w:rFonts w:ascii="Times New Roman" w:hAnsi="Times New Roman"/>
          <w:sz w:val="24"/>
          <w:szCs w:val="24"/>
        </w:rPr>
        <w:t>frekvencijski pojas 3400-3800 MHz</w:t>
      </w:r>
      <w:r>
        <w:rPr>
          <w:rFonts w:ascii="Times New Roman" w:hAnsi="Times New Roman"/>
          <w:sz w:val="24"/>
          <w:szCs w:val="24"/>
        </w:rPr>
        <w:t>.</w:t>
      </w:r>
    </w:p>
    <w:p w14:paraId="2801B1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F7A6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B2C6D7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II. </w:t>
      </w:r>
      <w:r w:rsidRPr="00297C09">
        <w:rPr>
          <w:rFonts w:ascii="Times New Roman" w:hAnsi="Times New Roman"/>
          <w:b/>
          <w:sz w:val="24"/>
          <w:szCs w:val="24"/>
        </w:rPr>
        <w:t xml:space="preserve">OCJENA STANJA I OBRAZLOŽENJE IZMJENA </w:t>
      </w:r>
    </w:p>
    <w:p w14:paraId="1B82DFCE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E4B5D23" w14:textId="77777777" w:rsidR="000C247E" w:rsidRDefault="000C247E" w:rsidP="000C247E">
      <w:pPr>
        <w:pStyle w:val="Tekst"/>
        <w:rPr>
          <w:lang w:val="hr-HR"/>
        </w:rPr>
      </w:pPr>
      <w:r w:rsidRPr="00FC6A79">
        <w:rPr>
          <w:lang w:val="hr-HR"/>
        </w:rPr>
        <w:t xml:space="preserve">Frekvencijski pojas 3400 – 3600 MHz trenutno se u Republici Hrvatskoj koristi za bežični </w:t>
      </w:r>
      <w:r>
        <w:rPr>
          <w:lang w:val="hr-HR"/>
        </w:rPr>
        <w:t xml:space="preserve">širokopojasni pristup u frekvencijskom podpojasu 3410 – 3600 MHz, te za prenosive mikrovalne veze i pokretne kamere (ENG/OB) u frekvencijskom pojasu 3600 – 3800 MHz. </w:t>
      </w:r>
    </w:p>
    <w:p w14:paraId="4C40D245" w14:textId="77777777" w:rsidR="000C247E" w:rsidRDefault="000C247E" w:rsidP="000C247E">
      <w:pPr>
        <w:pStyle w:val="Tekst"/>
        <w:rPr>
          <w:lang w:val="hr-HR"/>
        </w:rPr>
      </w:pPr>
    </w:p>
    <w:p w14:paraId="6DCF70A3" w14:textId="77777777" w:rsidR="000C247E" w:rsidRDefault="000C247E" w:rsidP="000C247E">
      <w:pPr>
        <w:pStyle w:val="Tekst"/>
        <w:rPr>
          <w:lang w:val="hr-HR"/>
        </w:rPr>
      </w:pPr>
      <w:r>
        <w:rPr>
          <w:lang w:val="hr-HR"/>
        </w:rPr>
        <w:t xml:space="preserve">Istovremeno, Republika Hrvatska mora usvojiti provedbenu odluku Europske komisije 2014/276/EU koja nalaže usklađivanje frekvencijskog pojasa 3400 – 3800 MHz za potrebe </w:t>
      </w:r>
      <w:r w:rsidRPr="00FC6A79">
        <w:rPr>
          <w:lang w:val="hr-HR"/>
        </w:rPr>
        <w:t>zemaljsk</w:t>
      </w:r>
      <w:r>
        <w:rPr>
          <w:lang w:val="hr-HR"/>
        </w:rPr>
        <w:t xml:space="preserve">ih sustava koji pružaju elektroničke komunikacije na razini čitave EU. </w:t>
      </w:r>
    </w:p>
    <w:p w14:paraId="4A2119AC" w14:textId="77777777" w:rsidR="000C247E" w:rsidRDefault="000C247E" w:rsidP="000C247E">
      <w:pPr>
        <w:pStyle w:val="Tekst"/>
        <w:rPr>
          <w:lang w:val="hr-HR"/>
        </w:rPr>
      </w:pPr>
    </w:p>
    <w:p w14:paraId="72E2AA15" w14:textId="77777777" w:rsidR="000C247E" w:rsidRPr="00FC6A79" w:rsidRDefault="000C247E" w:rsidP="000C247E">
      <w:pPr>
        <w:pStyle w:val="Tekst"/>
        <w:rPr>
          <w:lang w:val="hr-HR"/>
        </w:rPr>
      </w:pPr>
      <w:r>
        <w:rPr>
          <w:lang w:val="hr-HR"/>
        </w:rPr>
        <w:t xml:space="preserve">Imajući u vidu prethodno rečeno, ali i činjenicu da je navedeni frekvencijski pojas jedan od glavnih pojaseva za uvođenje 5G tehnologija u razdoblju od sljedećih nekoliko godina, potrebno je donijeti Plan dodjele za frekvencijski pojas 3400 – 3800 MHz. </w:t>
      </w:r>
    </w:p>
    <w:p w14:paraId="5A8C645B" w14:textId="77777777" w:rsidR="00E73E93" w:rsidRDefault="00E73E93" w:rsidP="00E73E93">
      <w:pPr>
        <w:pStyle w:val="Tekst"/>
        <w:rPr>
          <w:lang w:val="hr-HR"/>
        </w:rPr>
      </w:pPr>
    </w:p>
    <w:p w14:paraId="3F6F74C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Sukladno članku 22. stavku 5. ZEK-a, o prijedlogu Pravilnika potrebno je provesti postupak javne rasprave sa zainteresiranom javnošću. </w:t>
      </w:r>
    </w:p>
    <w:p w14:paraId="31DF04A1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3C159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3B8AA287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5089F58D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1537A">
        <w:rPr>
          <w:rFonts w:ascii="Times New Roman" w:hAnsi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579DFA43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B1537A">
        <w:rPr>
          <w:rFonts w:ascii="Times New Roman" w:hAnsi="Times New Roman"/>
          <w:sz w:val="24"/>
          <w:szCs w:val="24"/>
          <w:u w:val="single"/>
        </w:rPr>
        <w:t xml:space="preserve"> </w:t>
      </w:r>
    </w:p>
    <w:p w14:paraId="6296C696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1537A">
        <w:rPr>
          <w:rFonts w:ascii="Times New Roman" w:hAnsi="Times New Roman"/>
          <w:sz w:val="24"/>
          <w:szCs w:val="24"/>
        </w:rPr>
        <w:t>Prilaže se tekst Nacrta P</w:t>
      </w:r>
      <w:r>
        <w:rPr>
          <w:rFonts w:ascii="Times New Roman" w:hAnsi="Times New Roman"/>
          <w:sz w:val="24"/>
          <w:szCs w:val="24"/>
        </w:rPr>
        <w:t>lana dodjele.</w:t>
      </w:r>
      <w:r w:rsidRPr="00B1537A">
        <w:rPr>
          <w:rFonts w:ascii="Times New Roman" w:hAnsi="Times New Roman"/>
          <w:sz w:val="24"/>
          <w:szCs w:val="24"/>
        </w:rPr>
        <w:t xml:space="preserve"> </w:t>
      </w:r>
    </w:p>
    <w:p w14:paraId="4D4D580F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7185AAC1" w14:textId="77777777" w:rsidR="00E73E93" w:rsidRDefault="00E73E93">
      <w:pPr>
        <w:spacing w:after="0" w:line="240" w:lineRule="auto"/>
        <w:rPr>
          <w:rFonts w:ascii="Times New Roman" w:eastAsia="Times New Roman" w:hAnsi="Times New Roman"/>
          <w:b/>
          <w:sz w:val="40"/>
          <w:szCs w:val="40"/>
          <w:lang w:eastAsia="hr-HR"/>
        </w:rPr>
      </w:pPr>
      <w:r>
        <w:rPr>
          <w:rFonts w:ascii="Times New Roman" w:hAnsi="Times New Roman"/>
          <w:b/>
          <w:sz w:val="40"/>
          <w:szCs w:val="40"/>
        </w:rPr>
        <w:br w:type="page"/>
      </w:r>
    </w:p>
    <w:p w14:paraId="224657E0" w14:textId="77777777" w:rsidR="0021179B" w:rsidRDefault="0021179B" w:rsidP="00315CDF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  <w:sectPr w:rsidR="0021179B" w:rsidSect="000C247E">
          <w:headerReference w:type="default" r:id="rId8"/>
          <w:pgSz w:w="11906" w:h="16838"/>
          <w:pgMar w:top="1440" w:right="851" w:bottom="1440" w:left="851" w:header="709" w:footer="709" w:gutter="0"/>
          <w:cols w:space="708"/>
          <w:docGrid w:linePitch="360"/>
        </w:sectPr>
      </w:pPr>
    </w:p>
    <w:p w14:paraId="4FBCA607" w14:textId="77777777" w:rsidR="00B47FC2" w:rsidRPr="000774A9" w:rsidRDefault="00B47FC2" w:rsidP="00B47FC2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lastRenderedPageBreak/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MREŽNE DJELATNOSTI </w:t>
      </w:r>
    </w:p>
    <w:p w14:paraId="133A40E6" w14:textId="77777777" w:rsidR="00B47FC2" w:rsidRPr="000774A9" w:rsidRDefault="00B47FC2" w:rsidP="00B47FC2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3CD86FAD" w14:textId="77777777" w:rsidR="00B47FC2" w:rsidRPr="000774A9" w:rsidRDefault="00B47FC2" w:rsidP="00B47FC2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56411B8F" w14:textId="77777777" w:rsidR="00B47FC2" w:rsidRDefault="00B47FC2" w:rsidP="00B47FC2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(Narodne novine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73/08, 90/11, 133/12, 80/13 i 71/14</w:t>
      </w:r>
      <w:r w:rsidRPr="000774A9">
        <w:rPr>
          <w:rFonts w:ascii="Times New Roman" w:hAnsi="Times New Roman"/>
          <w:szCs w:val="24"/>
          <w:lang w:val="hr-HR"/>
        </w:rPr>
        <w:t>)</w:t>
      </w:r>
      <w:r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14:paraId="1ACB2361" w14:textId="77777777" w:rsidR="00B47FC2" w:rsidRDefault="00B47FC2" w:rsidP="00B47FC2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7E18FF53" w14:textId="77777777" w:rsidR="00B47FC2" w:rsidRPr="000774A9" w:rsidRDefault="00B47FC2" w:rsidP="00B47FC2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2008111C" w14:textId="77777777" w:rsidR="00B47FC2" w:rsidRPr="00104C1F" w:rsidRDefault="00B47FC2" w:rsidP="00B47FC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PLAN DODJELE ZA FREKVENCIJSKI POJAS</w:t>
      </w:r>
    </w:p>
    <w:p w14:paraId="70851FAF" w14:textId="77777777" w:rsidR="00B47FC2" w:rsidRPr="00104C1F" w:rsidRDefault="00B47FC2" w:rsidP="00B47FC2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3400 -3800 MHz</w:t>
      </w:r>
      <w:r w:rsidRPr="00104C1F">
        <w:rPr>
          <w:rFonts w:ascii="Times New Roman" w:hAnsi="Times New Roman"/>
          <w:b/>
          <w:sz w:val="32"/>
          <w:szCs w:val="32"/>
        </w:rPr>
        <w:t xml:space="preserve"> </w:t>
      </w:r>
    </w:p>
    <w:p w14:paraId="3E1D6579" w14:textId="77777777" w:rsidR="00B47FC2" w:rsidRDefault="00B47FC2" w:rsidP="00B47FC2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08CAB830" w14:textId="77777777" w:rsidR="00B47FC2" w:rsidRDefault="00B47FC2" w:rsidP="00B47FC2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408CC1F" w14:textId="77777777" w:rsidR="00B47FC2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Opći uvjeti</w:t>
      </w:r>
    </w:p>
    <w:p w14:paraId="408BB46D" w14:textId="77777777" w:rsidR="00B47FC2" w:rsidRPr="00981C48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</w:p>
    <w:p w14:paraId="4A959A68" w14:textId="77777777" w:rsidR="00B47FC2" w:rsidRPr="004A4345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Članak 1.</w:t>
      </w:r>
    </w:p>
    <w:p w14:paraId="68515554" w14:textId="77777777" w:rsidR="00B47FC2" w:rsidRPr="004A4345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134377A5" w14:textId="77777777" w:rsidR="00B47FC2" w:rsidRDefault="00B47FC2" w:rsidP="00B47FC2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981C48">
        <w:rPr>
          <w:rFonts w:ascii="Times New Roman" w:eastAsia="Times New Roman" w:hAnsi="Times New Roman"/>
          <w:sz w:val="24"/>
          <w:szCs w:val="24"/>
        </w:rPr>
        <w:t xml:space="preserve">(1)  Opći uvjeti </w:t>
      </w:r>
      <w:r>
        <w:rPr>
          <w:rFonts w:ascii="Times New Roman" w:eastAsia="Times New Roman" w:hAnsi="Times New Roman"/>
          <w:sz w:val="24"/>
          <w:szCs w:val="24"/>
        </w:rPr>
        <w:t xml:space="preserve">Plana </w:t>
      </w:r>
      <w:r w:rsidRPr="00981C48">
        <w:rPr>
          <w:rFonts w:ascii="Times New Roman" w:eastAsia="Times New Roman" w:hAnsi="Times New Roman"/>
          <w:sz w:val="24"/>
          <w:szCs w:val="24"/>
        </w:rPr>
        <w:t xml:space="preserve">dodjele za frekvencijski pojas </w:t>
      </w:r>
      <w:r>
        <w:rPr>
          <w:rFonts w:ascii="Times New Roman" w:eastAsia="Times New Roman" w:hAnsi="Times New Roman"/>
          <w:sz w:val="24"/>
          <w:szCs w:val="24"/>
        </w:rPr>
        <w:t>3400 – 3800 MHz</w:t>
      </w:r>
      <w:r w:rsidRPr="00981C48">
        <w:rPr>
          <w:rFonts w:ascii="Times New Roman" w:eastAsia="Times New Roman" w:hAnsi="Times New Roman"/>
          <w:sz w:val="24"/>
          <w:szCs w:val="24"/>
        </w:rPr>
        <w:t xml:space="preserve"> određuju se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981C48">
        <w:rPr>
          <w:rFonts w:ascii="Times New Roman" w:eastAsia="Times New Roman" w:hAnsi="Times New Roman"/>
          <w:sz w:val="24"/>
          <w:szCs w:val="24"/>
        </w:rPr>
        <w:t>Tablicom 1.</w:t>
      </w:r>
    </w:p>
    <w:p w14:paraId="1E51BFA6" w14:textId="77777777" w:rsidR="00B47FC2" w:rsidRDefault="00B47FC2" w:rsidP="00B47FC2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  <w:proofErr w:type="spellStart"/>
      <w:proofErr w:type="gramStart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>Tablica</w:t>
      </w:r>
      <w:proofErr w:type="spellEnd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1.</w:t>
      </w:r>
      <w:proofErr w:type="gramEnd"/>
    </w:p>
    <w:tbl>
      <w:tblPr>
        <w:tblStyle w:val="TableGrid"/>
        <w:tblW w:w="9322" w:type="dxa"/>
        <w:tblLayout w:type="fixed"/>
        <w:tblLook w:val="04A0" w:firstRow="1" w:lastRow="0" w:firstColumn="1" w:lastColumn="0" w:noHBand="0" w:noVBand="1"/>
      </w:tblPr>
      <w:tblGrid>
        <w:gridCol w:w="1668"/>
        <w:gridCol w:w="2693"/>
        <w:gridCol w:w="1843"/>
        <w:gridCol w:w="3118"/>
      </w:tblGrid>
      <w:tr w:rsidR="00B47FC2" w:rsidRPr="00F80948" w14:paraId="36327910" w14:textId="77777777" w:rsidTr="00E15981">
        <w:tc>
          <w:tcPr>
            <w:tcW w:w="1668" w:type="dxa"/>
            <w:vAlign w:val="center"/>
          </w:tcPr>
          <w:p w14:paraId="4131FA74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Frekvencijski pojas (MHz)</w:t>
            </w:r>
          </w:p>
        </w:tc>
        <w:tc>
          <w:tcPr>
            <w:tcW w:w="2693" w:type="dxa"/>
            <w:vAlign w:val="center"/>
          </w:tcPr>
          <w:p w14:paraId="356201FE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Područje uporabe</w:t>
            </w:r>
          </w:p>
        </w:tc>
        <w:tc>
          <w:tcPr>
            <w:tcW w:w="1843" w:type="dxa"/>
            <w:vAlign w:val="center"/>
          </w:tcPr>
          <w:p w14:paraId="0BF33C8D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Vremensko ograničenje</w:t>
            </w:r>
          </w:p>
        </w:tc>
        <w:tc>
          <w:tcPr>
            <w:tcW w:w="3118" w:type="dxa"/>
            <w:vAlign w:val="center"/>
          </w:tcPr>
          <w:p w14:paraId="0D66A772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Primjena</w:t>
            </w:r>
          </w:p>
        </w:tc>
      </w:tr>
      <w:tr w:rsidR="00B47FC2" w:rsidRPr="00F80948" w14:paraId="43B4B7A1" w14:textId="77777777" w:rsidTr="00E15981">
        <w:trPr>
          <w:trHeight w:val="521"/>
        </w:trPr>
        <w:tc>
          <w:tcPr>
            <w:tcW w:w="1668" w:type="dxa"/>
            <w:vAlign w:val="center"/>
          </w:tcPr>
          <w:p w14:paraId="495B1A94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3400 – 3450 / 3500 - 3550</w:t>
            </w:r>
          </w:p>
        </w:tc>
        <w:tc>
          <w:tcPr>
            <w:tcW w:w="2693" w:type="dxa"/>
            <w:vAlign w:val="center"/>
          </w:tcPr>
          <w:p w14:paraId="47176958" w14:textId="77777777" w:rsidR="00B47FC2" w:rsidRPr="00F80948" w:rsidRDefault="00B47FC2" w:rsidP="00E1598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Republika Hrvatska osim Međimurske i Varaždinske županije </w:t>
            </w:r>
          </w:p>
        </w:tc>
        <w:tc>
          <w:tcPr>
            <w:tcW w:w="1843" w:type="dxa"/>
            <w:vAlign w:val="center"/>
          </w:tcPr>
          <w:p w14:paraId="68313D0B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</w:t>
            </w:r>
          </w:p>
        </w:tc>
        <w:tc>
          <w:tcPr>
            <w:tcW w:w="3118" w:type="dxa"/>
            <w:vAlign w:val="center"/>
          </w:tcPr>
          <w:p w14:paraId="43FFB44D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Pokretne i nepokretne komunikacijske mreže u skladu s ECC/DEC/(11)06</w:t>
            </w:r>
          </w:p>
        </w:tc>
      </w:tr>
      <w:tr w:rsidR="00B47FC2" w:rsidRPr="00F80948" w14:paraId="578D3CC6" w14:textId="77777777" w:rsidTr="00E15981">
        <w:trPr>
          <w:trHeight w:val="521"/>
        </w:trPr>
        <w:tc>
          <w:tcPr>
            <w:tcW w:w="1668" w:type="dxa"/>
            <w:vAlign w:val="center"/>
          </w:tcPr>
          <w:p w14:paraId="06F5642C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3400 – 3450 / 3500 - 3550</w:t>
            </w:r>
          </w:p>
        </w:tc>
        <w:tc>
          <w:tcPr>
            <w:tcW w:w="2693" w:type="dxa"/>
            <w:vAlign w:val="center"/>
          </w:tcPr>
          <w:p w14:paraId="0F10A6CE" w14:textId="77777777" w:rsidR="00B47FC2" w:rsidRPr="00F80948" w:rsidRDefault="00B47FC2" w:rsidP="00E1598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Republika Hrvatska</w:t>
            </w:r>
          </w:p>
        </w:tc>
        <w:tc>
          <w:tcPr>
            <w:tcW w:w="1843" w:type="dxa"/>
            <w:vAlign w:val="center"/>
          </w:tcPr>
          <w:p w14:paraId="0CDBF6DE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Raspoloživo nakon 04.11.2023.</w:t>
            </w:r>
          </w:p>
        </w:tc>
        <w:tc>
          <w:tcPr>
            <w:tcW w:w="3118" w:type="dxa"/>
            <w:vAlign w:val="center"/>
          </w:tcPr>
          <w:p w14:paraId="6D9A67CE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Pokretne i nepokretne komunikacijske mreže u skladu s ECC/DEC/(11)06</w:t>
            </w:r>
          </w:p>
        </w:tc>
      </w:tr>
      <w:tr w:rsidR="00B47FC2" w:rsidRPr="00F80948" w14:paraId="08E24491" w14:textId="77777777" w:rsidTr="00E15981">
        <w:trPr>
          <w:trHeight w:val="521"/>
        </w:trPr>
        <w:tc>
          <w:tcPr>
            <w:tcW w:w="1668" w:type="dxa"/>
            <w:vAlign w:val="center"/>
          </w:tcPr>
          <w:p w14:paraId="60616A58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3450 – 3500 / 3550 - 3590</w:t>
            </w:r>
          </w:p>
        </w:tc>
        <w:tc>
          <w:tcPr>
            <w:tcW w:w="2693" w:type="dxa"/>
            <w:vAlign w:val="center"/>
          </w:tcPr>
          <w:p w14:paraId="143999D3" w14:textId="77777777" w:rsidR="00B47FC2" w:rsidRPr="00F80948" w:rsidRDefault="00B47FC2" w:rsidP="00E1598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Republika Hrvatska</w:t>
            </w:r>
          </w:p>
        </w:tc>
        <w:tc>
          <w:tcPr>
            <w:tcW w:w="1843" w:type="dxa"/>
            <w:vAlign w:val="center"/>
          </w:tcPr>
          <w:p w14:paraId="00CEDDB1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18" w:type="dxa"/>
            <w:vAlign w:val="center"/>
          </w:tcPr>
          <w:p w14:paraId="1B1B7EF5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Pokretne i nepokretne komunikacijske mreže u skladu s ECC/DEC/(11)06</w:t>
            </w:r>
          </w:p>
        </w:tc>
      </w:tr>
      <w:tr w:rsidR="00B47FC2" w:rsidRPr="00F80948" w14:paraId="4ADFF7C7" w14:textId="77777777" w:rsidTr="00E15981">
        <w:trPr>
          <w:trHeight w:val="521"/>
        </w:trPr>
        <w:tc>
          <w:tcPr>
            <w:tcW w:w="1668" w:type="dxa"/>
            <w:vAlign w:val="center"/>
          </w:tcPr>
          <w:p w14:paraId="6B6D1932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3590 - 3800</w:t>
            </w:r>
          </w:p>
        </w:tc>
        <w:tc>
          <w:tcPr>
            <w:tcW w:w="2693" w:type="dxa"/>
            <w:vAlign w:val="center"/>
          </w:tcPr>
          <w:p w14:paraId="536C834B" w14:textId="77777777" w:rsidR="00B47FC2" w:rsidRPr="00F80948" w:rsidRDefault="00B47FC2" w:rsidP="00E1598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Republika Hrvatska</w:t>
            </w:r>
          </w:p>
        </w:tc>
        <w:tc>
          <w:tcPr>
            <w:tcW w:w="1843" w:type="dxa"/>
            <w:vAlign w:val="center"/>
          </w:tcPr>
          <w:p w14:paraId="04F5BAAD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Raspoloživo nakon 31.12.2020</w:t>
            </w:r>
          </w:p>
        </w:tc>
        <w:tc>
          <w:tcPr>
            <w:tcW w:w="3118" w:type="dxa"/>
            <w:vAlign w:val="center"/>
          </w:tcPr>
          <w:p w14:paraId="62073DEF" w14:textId="77777777" w:rsidR="00B47FC2" w:rsidRPr="00F80948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0948">
              <w:rPr>
                <w:rFonts w:ascii="Times New Roman" w:eastAsia="Times New Roman" w:hAnsi="Times New Roman" w:cs="Times New Roman"/>
                <w:sz w:val="24"/>
                <w:szCs w:val="24"/>
              </w:rPr>
              <w:t>Pokretne i nepokretne komunikacijske mreže u skladu s ECC/DEC/(11)06</w:t>
            </w:r>
          </w:p>
        </w:tc>
      </w:tr>
    </w:tbl>
    <w:p w14:paraId="0D317419" w14:textId="77777777" w:rsidR="00B47FC2" w:rsidRDefault="00B47FC2" w:rsidP="00B47FC2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</w:p>
    <w:p w14:paraId="3D3F9EA7" w14:textId="77777777" w:rsidR="00B47FC2" w:rsidRPr="002C2026" w:rsidRDefault="00B47FC2" w:rsidP="00B47FC2">
      <w:pPr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981C48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2</w:t>
      </w:r>
      <w:r w:rsidRPr="00981C48">
        <w:rPr>
          <w:rFonts w:ascii="Times New Roman" w:eastAsia="Times New Roman" w:hAnsi="Times New Roman"/>
          <w:sz w:val="24"/>
          <w:szCs w:val="24"/>
        </w:rPr>
        <w:t xml:space="preserve">)  </w:t>
      </w:r>
      <w:r>
        <w:rPr>
          <w:rFonts w:ascii="Times New Roman" w:eastAsia="Times New Roman" w:hAnsi="Times New Roman"/>
          <w:sz w:val="24"/>
          <w:szCs w:val="24"/>
        </w:rPr>
        <w:t>U frekvencijskom pojasu 3400 – 3800 MHz širina dodijeljenog spektra je višekratnik bloka frekvencija širine 5 MHz.</w:t>
      </w:r>
    </w:p>
    <w:p w14:paraId="4CB62FA7" w14:textId="77777777" w:rsidR="00B47FC2" w:rsidRPr="002C2026" w:rsidRDefault="00B47FC2" w:rsidP="00B47FC2">
      <w:pPr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981C48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3</w:t>
      </w:r>
      <w:r w:rsidRPr="00981C48">
        <w:rPr>
          <w:rFonts w:ascii="Times New Roman" w:eastAsia="Times New Roman" w:hAnsi="Times New Roman"/>
          <w:sz w:val="24"/>
          <w:szCs w:val="24"/>
        </w:rPr>
        <w:t xml:space="preserve">)  </w:t>
      </w:r>
      <w:r>
        <w:rPr>
          <w:rFonts w:ascii="Times New Roman" w:eastAsia="Times New Roman" w:hAnsi="Times New Roman"/>
          <w:sz w:val="24"/>
          <w:szCs w:val="24"/>
        </w:rPr>
        <w:t>U frekvencijskom pojasu 3400 – 3800 MHz koristi se vremenski dupleks (TDD).</w:t>
      </w:r>
    </w:p>
    <w:p w14:paraId="040C9E4D" w14:textId="3A99B55F" w:rsidR="00B47FC2" w:rsidRDefault="00B47FC2" w:rsidP="00B47FC2">
      <w:pPr>
        <w:rPr>
          <w:rFonts w:ascii="Times New Roman" w:hAnsi="Times New Roman"/>
        </w:rPr>
      </w:pPr>
    </w:p>
    <w:p w14:paraId="73219549" w14:textId="77777777" w:rsidR="00B47FC2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lastRenderedPageBreak/>
        <w:t>Tehnički uvjeti za bazne postaje</w:t>
      </w:r>
    </w:p>
    <w:p w14:paraId="6A68FCE4" w14:textId="77777777" w:rsidR="00B47FC2" w:rsidRPr="00981C48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</w:p>
    <w:p w14:paraId="58BA9BE8" w14:textId="77777777" w:rsidR="00B47FC2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>
        <w:rPr>
          <w:rFonts w:ascii="Times New Roman" w:eastAsia="Times New Roman" w:hAnsi="Times New Roman"/>
          <w:sz w:val="24"/>
          <w:szCs w:val="24"/>
        </w:rPr>
        <w:t>2.</w:t>
      </w:r>
    </w:p>
    <w:p w14:paraId="09FBEE66" w14:textId="77777777" w:rsidR="00B47FC2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20F56DBD" w14:textId="77777777" w:rsidR="00B47FC2" w:rsidRPr="00415A06" w:rsidRDefault="00B47FC2" w:rsidP="00B47FC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Pr="00415A06">
        <w:rPr>
          <w:rFonts w:ascii="Times New Roman" w:hAnsi="Times New Roman"/>
          <w:sz w:val="24"/>
          <w:szCs w:val="24"/>
        </w:rPr>
        <w:t xml:space="preserve">S ciljem neometanog rada različitih pokretnih i nepokretnih komunikacijskih mreža u frekvencijskom pojasu 3400 – 3800 MHz definira se maska ruba kanala </w:t>
      </w:r>
      <w:r>
        <w:rPr>
          <w:rFonts w:ascii="Times New Roman" w:hAnsi="Times New Roman"/>
          <w:sz w:val="24"/>
          <w:szCs w:val="24"/>
        </w:rPr>
        <w:t xml:space="preserve">(BEM), </w:t>
      </w:r>
      <w:r w:rsidRPr="00415A06">
        <w:rPr>
          <w:rFonts w:ascii="Times New Roman" w:hAnsi="Times New Roman"/>
          <w:sz w:val="24"/>
          <w:szCs w:val="24"/>
        </w:rPr>
        <w:t xml:space="preserve">koja je određena emisijom unutar bloka, emisijom u prijelaznim </w:t>
      </w:r>
      <w:r>
        <w:rPr>
          <w:rFonts w:ascii="Times New Roman" w:hAnsi="Times New Roman"/>
          <w:sz w:val="24"/>
          <w:szCs w:val="24"/>
        </w:rPr>
        <w:t>frekvencijama</w:t>
      </w:r>
      <w:r w:rsidRPr="00415A0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kako je propisano u </w:t>
      </w:r>
      <w:r w:rsidRPr="00415A06">
        <w:rPr>
          <w:rFonts w:ascii="Times New Roman" w:hAnsi="Times New Roman"/>
          <w:sz w:val="24"/>
          <w:szCs w:val="24"/>
        </w:rPr>
        <w:t>Tablic</w:t>
      </w:r>
      <w:r>
        <w:rPr>
          <w:rFonts w:ascii="Times New Roman" w:hAnsi="Times New Roman"/>
          <w:sz w:val="24"/>
          <w:szCs w:val="24"/>
        </w:rPr>
        <w:t>i</w:t>
      </w:r>
      <w:r w:rsidRPr="00415A06">
        <w:rPr>
          <w:rFonts w:ascii="Times New Roman" w:hAnsi="Times New Roman"/>
          <w:sz w:val="24"/>
          <w:szCs w:val="24"/>
        </w:rPr>
        <w:t xml:space="preserve"> 2.</w:t>
      </w:r>
      <w:r>
        <w:rPr>
          <w:rFonts w:ascii="Times New Roman" w:hAnsi="Times New Roman"/>
          <w:sz w:val="24"/>
          <w:szCs w:val="24"/>
        </w:rPr>
        <w:t>ovog Plana dodjele</w:t>
      </w:r>
      <w:r w:rsidRPr="00415A06">
        <w:rPr>
          <w:rFonts w:ascii="Times New Roman" w:hAnsi="Times New Roman"/>
          <w:sz w:val="24"/>
          <w:szCs w:val="24"/>
        </w:rPr>
        <w:t xml:space="preserve"> i emisijom izvan bloka </w:t>
      </w:r>
      <w:r w:rsidRPr="00253845">
        <w:rPr>
          <w:rFonts w:ascii="Times New Roman" w:hAnsi="Times New Roman"/>
          <w:sz w:val="24"/>
          <w:szCs w:val="24"/>
        </w:rPr>
        <w:t>kako je propisano u</w:t>
      </w:r>
      <w:r w:rsidRPr="00253845" w:rsidDel="00253845">
        <w:rPr>
          <w:rFonts w:ascii="Times New Roman" w:hAnsi="Times New Roman"/>
          <w:sz w:val="24"/>
          <w:szCs w:val="24"/>
        </w:rPr>
        <w:t xml:space="preserve"> </w:t>
      </w:r>
      <w:r w:rsidRPr="00415A06">
        <w:rPr>
          <w:rFonts w:ascii="Times New Roman" w:hAnsi="Times New Roman"/>
          <w:sz w:val="24"/>
          <w:szCs w:val="24"/>
        </w:rPr>
        <w:t>Tablic</w:t>
      </w:r>
      <w:r>
        <w:rPr>
          <w:rFonts w:ascii="Times New Roman" w:hAnsi="Times New Roman"/>
          <w:sz w:val="24"/>
          <w:szCs w:val="24"/>
        </w:rPr>
        <w:t>i</w:t>
      </w:r>
      <w:r w:rsidRPr="00415A06">
        <w:rPr>
          <w:rFonts w:ascii="Times New Roman" w:hAnsi="Times New Roman"/>
          <w:sz w:val="24"/>
          <w:szCs w:val="24"/>
        </w:rPr>
        <w:t xml:space="preserve"> 3</w:t>
      </w:r>
      <w:r>
        <w:rPr>
          <w:rFonts w:ascii="Times New Roman" w:hAnsi="Times New Roman"/>
          <w:sz w:val="24"/>
          <w:szCs w:val="24"/>
        </w:rPr>
        <w:t xml:space="preserve">. ovog Plana dodjele. </w:t>
      </w:r>
    </w:p>
    <w:p w14:paraId="027FA55C" w14:textId="77777777" w:rsidR="00B47FC2" w:rsidRPr="00D64A8A" w:rsidRDefault="00B47FC2" w:rsidP="00B47FC2">
      <w:pPr>
        <w:jc w:val="both"/>
        <w:rPr>
          <w:rFonts w:ascii="Times New Roman" w:hAnsi="Times New Roman"/>
          <w:sz w:val="24"/>
          <w:szCs w:val="24"/>
        </w:rPr>
      </w:pPr>
      <w:r w:rsidRPr="00D64A8A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 xml:space="preserve">2)  </w:t>
      </w:r>
      <w:r w:rsidRPr="00D64A8A">
        <w:rPr>
          <w:rFonts w:ascii="Times New Roman" w:hAnsi="Times New Roman"/>
          <w:sz w:val="24"/>
          <w:szCs w:val="24"/>
        </w:rPr>
        <w:t xml:space="preserve">Unutar dodijeljenog bloka, osim u prvih 5 MHz i zadnjih 5 MHz dodijeljenog bloka kod nesinkroniziranih TDD mreža, maksimalna snaga ne smije prijeći 68 dBm po anteni mjereno unutar 5 MHz. </w:t>
      </w:r>
    </w:p>
    <w:p w14:paraId="75F768A6" w14:textId="77777777" w:rsidR="00B47FC2" w:rsidRPr="00D64A8A" w:rsidRDefault="00B47FC2" w:rsidP="00B47FC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(3)  </w:t>
      </w:r>
      <w:r w:rsidRPr="00D64A8A">
        <w:rPr>
          <w:rFonts w:ascii="Times New Roman" w:hAnsi="Times New Roman"/>
          <w:sz w:val="24"/>
          <w:szCs w:val="24"/>
        </w:rPr>
        <w:t>Za femto bazne postaje obavezno je korištenje kontrole snage.</w:t>
      </w:r>
    </w:p>
    <w:p w14:paraId="2F76AB48" w14:textId="77777777" w:rsidR="00B47FC2" w:rsidRDefault="00B47FC2" w:rsidP="00B47FC2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FD69B4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 w:rsidRPr="00FD69B4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 U slučaju nesinkroniziranih TDD mreža, u prvih, odnosno zadnjih 5 MHz u dodijeljenom bloku koji su susjedni bloku frekvencija druge nesinkronizirane mreže, </w:t>
      </w:r>
      <w:r w:rsidRPr="00FD69B4">
        <w:rPr>
          <w:rFonts w:ascii="Times New Roman" w:eastAsia="Times New Roman" w:hAnsi="Times New Roman"/>
          <w:sz w:val="24"/>
          <w:szCs w:val="24"/>
        </w:rPr>
        <w:t>maksimalna snaga ne smije prijeći</w:t>
      </w:r>
      <w:r>
        <w:rPr>
          <w:rFonts w:ascii="Times New Roman" w:eastAsia="Times New Roman" w:hAnsi="Times New Roman"/>
          <w:sz w:val="24"/>
          <w:szCs w:val="24"/>
        </w:rPr>
        <w:t xml:space="preserve"> 4 dBm po ćeliji mjereno unutar 5 MHz.</w:t>
      </w:r>
    </w:p>
    <w:p w14:paraId="7695C730" w14:textId="77777777" w:rsidR="00B47FC2" w:rsidRDefault="00B47FC2" w:rsidP="00B47FC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 w:rsidRPr="00E21009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E21009">
        <w:rPr>
          <w:rFonts w:ascii="Times New Roman" w:hAnsi="Times New Roman"/>
          <w:sz w:val="24"/>
          <w:szCs w:val="24"/>
        </w:rPr>
        <w:t xml:space="preserve"> U slučaju sinkroniziranih TDD mreža, </w:t>
      </w:r>
      <w:r>
        <w:rPr>
          <w:rFonts w:ascii="Times New Roman" w:hAnsi="Times New Roman"/>
          <w:sz w:val="24"/>
          <w:szCs w:val="24"/>
        </w:rPr>
        <w:t>maska ruba kanala (BEM)</w:t>
      </w:r>
      <w:r w:rsidRPr="00E21009">
        <w:rPr>
          <w:rFonts w:ascii="Times New Roman" w:hAnsi="Times New Roman"/>
          <w:sz w:val="24"/>
          <w:szCs w:val="24"/>
        </w:rPr>
        <w:t xml:space="preserve"> u prijelaznim frekvencijama</w:t>
      </w:r>
      <w:r>
        <w:rPr>
          <w:rFonts w:ascii="Times New Roman" w:hAnsi="Times New Roman"/>
          <w:sz w:val="24"/>
          <w:szCs w:val="24"/>
        </w:rPr>
        <w:t xml:space="preserve"> definirana</w:t>
      </w:r>
      <w:r w:rsidRPr="00E2100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 u Tablici 2.</w:t>
      </w:r>
    </w:p>
    <w:p w14:paraId="6B077B10" w14:textId="77777777" w:rsidR="00B47FC2" w:rsidRPr="000D55EA" w:rsidRDefault="00B47FC2" w:rsidP="00B47FC2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>Tablica 2.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>BEM u prijelaznim frekvencijama između sinkroniziranih TDD mreža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52"/>
        <w:gridCol w:w="3934"/>
      </w:tblGrid>
      <w:tr w:rsidR="00B47FC2" w14:paraId="492BEA32" w14:textId="77777777" w:rsidTr="00E15981">
        <w:tc>
          <w:tcPr>
            <w:tcW w:w="5353" w:type="dxa"/>
            <w:vAlign w:val="center"/>
          </w:tcPr>
          <w:p w14:paraId="1909141E" w14:textId="77777777" w:rsidR="00B47FC2" w:rsidRPr="000D55EA" w:rsidRDefault="00B47FC2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D55E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Frekvencijski pojas</w:t>
            </w:r>
          </w:p>
        </w:tc>
        <w:tc>
          <w:tcPr>
            <w:tcW w:w="3935" w:type="dxa"/>
          </w:tcPr>
          <w:p w14:paraId="0C558DC1" w14:textId="77777777" w:rsidR="00B47FC2" w:rsidRPr="000D55EA" w:rsidRDefault="00B47FC2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Ograničenje ekvivalentne izotropno izračene snage po anteni, mjereno unutar 5 MHz</w:t>
            </w:r>
          </w:p>
        </w:tc>
      </w:tr>
      <w:tr w:rsidR="00B47FC2" w14:paraId="1D4A96C4" w14:textId="77777777" w:rsidTr="00E15981">
        <w:trPr>
          <w:trHeight w:val="685"/>
        </w:trPr>
        <w:tc>
          <w:tcPr>
            <w:tcW w:w="5353" w:type="dxa"/>
            <w:vAlign w:val="center"/>
          </w:tcPr>
          <w:p w14:paraId="34C46C23" w14:textId="77777777" w:rsidR="00B47FC2" w:rsidRPr="000D55EA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>-5 do 0 MHz od donjeg ruba dodijeljenog bloka ili</w:t>
            </w:r>
          </w:p>
          <w:p w14:paraId="6E754ABC" w14:textId="77777777" w:rsidR="00B47FC2" w:rsidRPr="000D55EA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>0 do 5 MHz od gornjeg ruba dodijeljenog bloka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(1)</w:t>
            </w:r>
          </w:p>
        </w:tc>
        <w:tc>
          <w:tcPr>
            <w:tcW w:w="3935" w:type="dxa"/>
            <w:vAlign w:val="center"/>
          </w:tcPr>
          <w:p w14:paraId="24C10E34" w14:textId="77777777" w:rsidR="00B47FC2" w:rsidRPr="000D55EA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MIN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(2)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(P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max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-40; 21) dBm / 5 MHz</w:t>
            </w:r>
          </w:p>
        </w:tc>
      </w:tr>
      <w:tr w:rsidR="00B47FC2" w14:paraId="6AC42D3F" w14:textId="77777777" w:rsidTr="00E15981">
        <w:trPr>
          <w:trHeight w:val="695"/>
        </w:trPr>
        <w:tc>
          <w:tcPr>
            <w:tcW w:w="5353" w:type="dxa"/>
            <w:vAlign w:val="center"/>
          </w:tcPr>
          <w:p w14:paraId="5186A7AE" w14:textId="77777777" w:rsidR="00B47FC2" w:rsidRPr="000D55EA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do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-5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MHz od donjeg ruba dodijeljenog bloka ili</w:t>
            </w:r>
          </w:p>
          <w:p w14:paraId="35DBAD2E" w14:textId="77777777" w:rsidR="00B47FC2" w:rsidRPr="000D55EA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do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MHz od gornjeg ruba dodijeljenog bloka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(1)</w:t>
            </w:r>
          </w:p>
        </w:tc>
        <w:tc>
          <w:tcPr>
            <w:tcW w:w="3935" w:type="dxa"/>
            <w:vAlign w:val="center"/>
          </w:tcPr>
          <w:p w14:paraId="478F97ED" w14:textId="77777777" w:rsidR="00B47FC2" w:rsidRPr="000D55EA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MIN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(2)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(P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max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-43; 15) dBm / 5 MHz</w:t>
            </w:r>
          </w:p>
        </w:tc>
      </w:tr>
      <w:tr w:rsidR="00B47FC2" w14:paraId="0015EA5F" w14:textId="77777777" w:rsidTr="00E15981">
        <w:trPr>
          <w:trHeight w:val="705"/>
        </w:trPr>
        <w:tc>
          <w:tcPr>
            <w:tcW w:w="9288" w:type="dxa"/>
            <w:gridSpan w:val="2"/>
            <w:vAlign w:val="center"/>
          </w:tcPr>
          <w:p w14:paraId="0308B50A" w14:textId="77777777" w:rsidR="00B47FC2" w:rsidRPr="000D55EA" w:rsidRDefault="00B47FC2" w:rsidP="00E15981"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(1)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>– unutar bloka dodijeljenog susjednoj sinkroniziranoj TDD mreži u ovisnosti o tome da li se on nalazi ispod ili iznad dodijeljenog bloka</w:t>
            </w:r>
          </w:p>
        </w:tc>
      </w:tr>
      <w:tr w:rsidR="00B47FC2" w14:paraId="496C3412" w14:textId="77777777" w:rsidTr="00E15981">
        <w:trPr>
          <w:trHeight w:val="404"/>
        </w:trPr>
        <w:tc>
          <w:tcPr>
            <w:tcW w:w="9288" w:type="dxa"/>
            <w:gridSpan w:val="2"/>
            <w:vAlign w:val="center"/>
          </w:tcPr>
          <w:p w14:paraId="63CCF8A8" w14:textId="77777777" w:rsidR="00B47FC2" w:rsidRPr="000D55EA" w:rsidRDefault="00B47FC2" w:rsidP="00E15981">
            <w:pP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</w:pPr>
            <w:r w:rsidRPr="000D55EA">
              <w:rPr>
                <w:rFonts w:ascii="Times New Roman" w:hAnsi="Times New Roman" w:cs="Times New Roman"/>
                <w:sz w:val="24"/>
                <w:vertAlign w:val="superscript"/>
              </w:rPr>
              <w:t>(2)</w:t>
            </w:r>
            <w:r>
              <w:rPr>
                <w:rFonts w:ascii="Times New Roman" w:hAnsi="Times New Roman" w:cs="Times New Roman"/>
                <w:sz w:val="24"/>
              </w:rPr>
              <w:t xml:space="preserve"> – funkcija čiji je rezultat manji od dva broja, argumenta funkcije</w:t>
            </w:r>
          </w:p>
        </w:tc>
      </w:tr>
      <w:tr w:rsidR="00B47FC2" w14:paraId="11721B78" w14:textId="77777777" w:rsidTr="00E15981">
        <w:trPr>
          <w:trHeight w:val="607"/>
        </w:trPr>
        <w:tc>
          <w:tcPr>
            <w:tcW w:w="9288" w:type="dxa"/>
            <w:gridSpan w:val="2"/>
            <w:vAlign w:val="center"/>
          </w:tcPr>
          <w:p w14:paraId="571666C9" w14:textId="77777777" w:rsidR="00B47FC2" w:rsidRPr="000D55EA" w:rsidRDefault="00B47FC2" w:rsidP="00E15981">
            <w:pPr>
              <w:rPr>
                <w:rFonts w:ascii="Times New Roman" w:hAnsi="Times New Roman" w:cs="Times New Roman"/>
                <w:sz w:val="24"/>
                <w:vertAlign w:val="superscript"/>
              </w:rPr>
            </w:pP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51649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max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je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maksimaln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snag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nosioca bazne postaje mjerene kao maksimalna dozvoljena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ekvivalentna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izotropno izračena snaga (EIRP).</w:t>
            </w:r>
          </w:p>
        </w:tc>
      </w:tr>
    </w:tbl>
    <w:p w14:paraId="61947407" w14:textId="77777777" w:rsidR="00B47FC2" w:rsidRDefault="00B47FC2" w:rsidP="00B47FC2">
      <w:pPr>
        <w:rPr>
          <w:rFonts w:ascii="Times New Roman" w:eastAsia="Times New Roman" w:hAnsi="Times New Roman"/>
          <w:sz w:val="24"/>
          <w:szCs w:val="24"/>
        </w:rPr>
      </w:pPr>
    </w:p>
    <w:p w14:paraId="17341B8B" w14:textId="77777777" w:rsidR="00B47FC2" w:rsidRDefault="00B47FC2" w:rsidP="00B47FC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 w:rsidRPr="00E21009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E2100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Maska ruba kanala (BEM) u prijelaznim frekvencijama ne primjenjuje se za susjedne nesinkronizirane TDD mreže, niti ispod 3400 MHz odnosno iznad 3800 MHz. </w:t>
      </w:r>
    </w:p>
    <w:p w14:paraId="451165A8" w14:textId="77777777" w:rsidR="00B47FC2" w:rsidRDefault="00B47FC2" w:rsidP="00B47FC2">
      <w:pPr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(</w:t>
      </w:r>
      <w:r>
        <w:rPr>
          <w:rFonts w:ascii="Times New Roman" w:hAnsi="Times New Roman"/>
          <w:sz w:val="24"/>
          <w:szCs w:val="24"/>
        </w:rPr>
        <w:t>7</w:t>
      </w:r>
      <w:r w:rsidRPr="00E21009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E2100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Maska ruba kanala (BEM) izvan dodijeljenog bloka definirana je u Tablici 3.</w:t>
      </w:r>
    </w:p>
    <w:p w14:paraId="4775C6C8" w14:textId="77777777" w:rsidR="00B47FC2" w:rsidRDefault="00B47FC2" w:rsidP="00B47FC2">
      <w:pPr>
        <w:spacing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 xml:space="preserve">Tablica </w:t>
      </w:r>
      <w:r>
        <w:rPr>
          <w:rFonts w:ascii="Times New Roman" w:eastAsia="Times New Roman" w:hAnsi="Times New Roman"/>
          <w:i/>
          <w:sz w:val="24"/>
          <w:szCs w:val="24"/>
        </w:rPr>
        <w:t>3</w:t>
      </w:r>
      <w:r w:rsidRPr="000D55EA">
        <w:rPr>
          <w:rFonts w:ascii="Times New Roman" w:eastAsia="Times New Roman" w:hAnsi="Times New Roman"/>
          <w:i/>
          <w:sz w:val="24"/>
          <w:szCs w:val="24"/>
        </w:rPr>
        <w:t>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BEM </w:t>
      </w:r>
      <w:r>
        <w:rPr>
          <w:rFonts w:ascii="Times New Roman" w:eastAsia="Times New Roman" w:hAnsi="Times New Roman"/>
          <w:sz w:val="24"/>
          <w:szCs w:val="24"/>
        </w:rPr>
        <w:t>izvan dodijeljenog bloka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51"/>
        <w:gridCol w:w="5635"/>
      </w:tblGrid>
      <w:tr w:rsidR="00B47FC2" w14:paraId="443F634E" w14:textId="77777777" w:rsidTr="00E15981">
        <w:trPr>
          <w:trHeight w:val="662"/>
        </w:trPr>
        <w:tc>
          <w:tcPr>
            <w:tcW w:w="3652" w:type="dxa"/>
            <w:vAlign w:val="center"/>
          </w:tcPr>
          <w:p w14:paraId="0C57BDF4" w14:textId="77777777" w:rsidR="00B47FC2" w:rsidRPr="00667D74" w:rsidRDefault="00B47FC2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667D74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Vrsta susjednih TDD mreža</w:t>
            </w:r>
          </w:p>
        </w:tc>
        <w:tc>
          <w:tcPr>
            <w:tcW w:w="5636" w:type="dxa"/>
            <w:vAlign w:val="center"/>
          </w:tcPr>
          <w:p w14:paraId="1D1EDE35" w14:textId="77777777" w:rsidR="00B47FC2" w:rsidRDefault="00B47FC2" w:rsidP="00E15981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Ograničenje ekvivalentne izotropno izračene snage, mjereno unutar 5 MHz</w:t>
            </w:r>
          </w:p>
        </w:tc>
      </w:tr>
      <w:tr w:rsidR="00B47FC2" w14:paraId="33B38BC3" w14:textId="77777777" w:rsidTr="00E15981">
        <w:trPr>
          <w:trHeight w:val="416"/>
        </w:trPr>
        <w:tc>
          <w:tcPr>
            <w:tcW w:w="3652" w:type="dxa"/>
            <w:vAlign w:val="center"/>
          </w:tcPr>
          <w:p w14:paraId="4ED18F30" w14:textId="77777777" w:rsidR="00B47FC2" w:rsidRPr="00667D74" w:rsidRDefault="00B47FC2" w:rsidP="00E1598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Sinkronizirane</w:t>
            </w:r>
          </w:p>
        </w:tc>
        <w:tc>
          <w:tcPr>
            <w:tcW w:w="5636" w:type="dxa"/>
            <w:vAlign w:val="center"/>
          </w:tcPr>
          <w:p w14:paraId="586EF4D6" w14:textId="77777777" w:rsidR="00B47FC2" w:rsidRDefault="00B47FC2" w:rsidP="00E15981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MIN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1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t>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(P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max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-43; 13) dBm / 5 MHz, po anteni</w:t>
            </w:r>
          </w:p>
        </w:tc>
      </w:tr>
      <w:tr w:rsidR="00B47FC2" w14:paraId="4C76772B" w14:textId="77777777" w:rsidTr="00E15981">
        <w:trPr>
          <w:trHeight w:val="394"/>
        </w:trPr>
        <w:tc>
          <w:tcPr>
            <w:tcW w:w="3652" w:type="dxa"/>
            <w:vAlign w:val="center"/>
          </w:tcPr>
          <w:p w14:paraId="0A057F66" w14:textId="77777777" w:rsidR="00B47FC2" w:rsidRPr="00667D74" w:rsidRDefault="00B47FC2" w:rsidP="00E1598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Nesinkronizirane</w:t>
            </w:r>
          </w:p>
        </w:tc>
        <w:tc>
          <w:tcPr>
            <w:tcW w:w="5636" w:type="dxa"/>
            <w:vAlign w:val="center"/>
          </w:tcPr>
          <w:p w14:paraId="0FF53171" w14:textId="77777777" w:rsidR="00B47FC2" w:rsidRPr="00667D74" w:rsidRDefault="00B47FC2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-34 dBm / 5 MHz, po ćeliji</w:t>
            </w:r>
          </w:p>
        </w:tc>
      </w:tr>
      <w:tr w:rsidR="00B47FC2" w14:paraId="17EFF9B8" w14:textId="77777777" w:rsidTr="00E15981">
        <w:trPr>
          <w:trHeight w:val="394"/>
        </w:trPr>
        <w:tc>
          <w:tcPr>
            <w:tcW w:w="9288" w:type="dxa"/>
            <w:gridSpan w:val="2"/>
            <w:vAlign w:val="center"/>
          </w:tcPr>
          <w:p w14:paraId="77C69285" w14:textId="77777777" w:rsidR="00B47FC2" w:rsidRPr="00667D74" w:rsidRDefault="00B47FC2" w:rsidP="00E15981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55EA">
              <w:rPr>
                <w:rFonts w:ascii="Times New Roman" w:hAnsi="Times New Roman" w:cs="Times New Roman"/>
                <w:sz w:val="24"/>
                <w:vertAlign w:val="superscript"/>
              </w:rPr>
              <w:t>(</w:t>
            </w:r>
            <w:r>
              <w:rPr>
                <w:rFonts w:ascii="Times New Roman" w:hAnsi="Times New Roman" w:cs="Times New Roman"/>
                <w:sz w:val="24"/>
                <w:vertAlign w:val="superscript"/>
              </w:rPr>
              <w:t>1</w:t>
            </w:r>
            <w:r w:rsidRPr="000D55EA">
              <w:rPr>
                <w:rFonts w:ascii="Times New Roman" w:hAnsi="Times New Roman" w:cs="Times New Roman"/>
                <w:sz w:val="24"/>
                <w:vertAlign w:val="superscript"/>
              </w:rPr>
              <w:t>)</w:t>
            </w:r>
            <w:r>
              <w:rPr>
                <w:rFonts w:ascii="Times New Roman" w:hAnsi="Times New Roman" w:cs="Times New Roman"/>
                <w:sz w:val="24"/>
              </w:rPr>
              <w:t xml:space="preserve"> – funkcija čiji je rezultat manji od dva broja, argumenta funkcije</w:t>
            </w:r>
          </w:p>
        </w:tc>
      </w:tr>
      <w:tr w:rsidR="00B47FC2" w14:paraId="345D5C6C" w14:textId="77777777" w:rsidTr="00E15981">
        <w:trPr>
          <w:trHeight w:val="394"/>
        </w:trPr>
        <w:tc>
          <w:tcPr>
            <w:tcW w:w="9288" w:type="dxa"/>
            <w:gridSpan w:val="2"/>
            <w:vAlign w:val="center"/>
          </w:tcPr>
          <w:p w14:paraId="6C4BD5FE" w14:textId="77777777" w:rsidR="00B47FC2" w:rsidRPr="000D55EA" w:rsidRDefault="00B47FC2" w:rsidP="00E15981">
            <w:pPr>
              <w:jc w:val="both"/>
              <w:rPr>
                <w:rFonts w:ascii="Times New Roman" w:hAnsi="Times New Roman" w:cs="Times New Roman"/>
                <w:sz w:val="24"/>
                <w:vertAlign w:val="superscript"/>
              </w:rPr>
            </w:pP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51649B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max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je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maksimaln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snag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nosioca bazne postaje mjerene kao maksimalna dozvoljena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ekvivalentna</w:t>
            </w:r>
            <w:r w:rsidRPr="00415A06">
              <w:rPr>
                <w:rFonts w:ascii="Times New Roman" w:hAnsi="Times New Roman" w:cs="Times New Roman"/>
                <w:sz w:val="24"/>
                <w:szCs w:val="24"/>
              </w:rPr>
              <w:t xml:space="preserve"> izotropno izračena snaga (EIRP).</w:t>
            </w:r>
          </w:p>
        </w:tc>
      </w:tr>
    </w:tbl>
    <w:p w14:paraId="7CAF6B7B" w14:textId="77777777" w:rsidR="00B47FC2" w:rsidRDefault="00B47FC2" w:rsidP="00B47FC2">
      <w:pPr>
        <w:jc w:val="both"/>
        <w:rPr>
          <w:rFonts w:ascii="Times New Roman" w:eastAsia="Times New Roman" w:hAnsi="Times New Roman"/>
          <w:sz w:val="24"/>
          <w:szCs w:val="24"/>
        </w:rPr>
      </w:pPr>
    </w:p>
    <w:p w14:paraId="70BB3C20" w14:textId="77777777" w:rsidR="00B47FC2" w:rsidRDefault="00B47FC2" w:rsidP="00B47FC2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(8)  Operatori kojima su dodijeljeni susjedni blokovi mogu, uz prethodno odobrenje </w:t>
      </w:r>
      <w:r w:rsidRPr="00C63729">
        <w:rPr>
          <w:rFonts w:ascii="Times New Roman" w:eastAsia="Times New Roman" w:hAnsi="Times New Roman"/>
          <w:sz w:val="24"/>
          <w:szCs w:val="24"/>
        </w:rPr>
        <w:t>Hrvatsk</w:t>
      </w:r>
      <w:r>
        <w:rPr>
          <w:rFonts w:ascii="Times New Roman" w:eastAsia="Times New Roman" w:hAnsi="Times New Roman"/>
          <w:sz w:val="24"/>
          <w:szCs w:val="24"/>
        </w:rPr>
        <w:t>e</w:t>
      </w:r>
      <w:r w:rsidRPr="00C63729">
        <w:rPr>
          <w:rFonts w:ascii="Times New Roman" w:eastAsia="Times New Roman" w:hAnsi="Times New Roman"/>
          <w:sz w:val="24"/>
          <w:szCs w:val="24"/>
        </w:rPr>
        <w:t xml:space="preserve"> regulatorn</w:t>
      </w:r>
      <w:r>
        <w:rPr>
          <w:rFonts w:ascii="Times New Roman" w:eastAsia="Times New Roman" w:hAnsi="Times New Roman"/>
          <w:sz w:val="24"/>
          <w:szCs w:val="24"/>
        </w:rPr>
        <w:t>e agencije</w:t>
      </w:r>
      <w:r w:rsidRPr="00C63729">
        <w:rPr>
          <w:rFonts w:ascii="Times New Roman" w:eastAsia="Times New Roman" w:hAnsi="Times New Roman"/>
          <w:sz w:val="24"/>
          <w:szCs w:val="24"/>
        </w:rPr>
        <w:t xml:space="preserve"> za mrežne djelatnosti </w:t>
      </w:r>
      <w:r>
        <w:rPr>
          <w:rFonts w:ascii="Times New Roman" w:eastAsia="Times New Roman" w:hAnsi="Times New Roman"/>
          <w:sz w:val="24"/>
          <w:szCs w:val="24"/>
        </w:rPr>
        <w:t>, dogovoriti korištenje drugačije maske ruba kanala (BEM) od one definirane stavcima 3., 4. i 6. ovog članka.</w:t>
      </w:r>
    </w:p>
    <w:p w14:paraId="59FE8DEF" w14:textId="77777777" w:rsidR="00B47FC2" w:rsidRDefault="00B47FC2" w:rsidP="00B47FC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9</w:t>
      </w:r>
      <w:r w:rsidRPr="00E21009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 Hrvatska regulatorna agencija za mrežne djelatnosti će po potrebi provoditi koordinaciju s nepokretnom satelitskom službom i mikrovalnim vezama u susjednom radiofrekvencijskom pojasu.</w:t>
      </w:r>
    </w:p>
    <w:p w14:paraId="159802D6" w14:textId="77777777" w:rsidR="00B47FC2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Tehnički uvjeti za krajnje postaje</w:t>
      </w:r>
    </w:p>
    <w:p w14:paraId="03B18CA2" w14:textId="77777777" w:rsidR="00B47FC2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D6CE1DE" w14:textId="77777777" w:rsidR="00B47FC2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Članak 3.</w:t>
      </w:r>
    </w:p>
    <w:p w14:paraId="6521D245" w14:textId="77777777" w:rsidR="00B47FC2" w:rsidRDefault="00B47FC2" w:rsidP="00B47FC2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5D8C8BFD" w14:textId="77777777" w:rsidR="00B47FC2" w:rsidRPr="003E4336" w:rsidRDefault="00B47FC2" w:rsidP="00B47FC2">
      <w:pPr>
        <w:rPr>
          <w:rFonts w:ascii="Times New Roman" w:eastAsia="Times New Roman" w:hAnsi="Times New Roman"/>
          <w:sz w:val="24"/>
          <w:szCs w:val="24"/>
        </w:rPr>
      </w:pPr>
      <w:r w:rsidRPr="003E4336">
        <w:rPr>
          <w:rFonts w:ascii="Times New Roman" w:eastAsia="Times New Roman" w:hAnsi="Times New Roman"/>
          <w:sz w:val="24"/>
          <w:szCs w:val="24"/>
        </w:rPr>
        <w:t>(1</w:t>
      </w:r>
      <w:r>
        <w:rPr>
          <w:rFonts w:ascii="Times New Roman" w:eastAsia="Times New Roman" w:hAnsi="Times New Roman"/>
          <w:sz w:val="24"/>
          <w:szCs w:val="24"/>
        </w:rPr>
        <w:t xml:space="preserve">)  </w:t>
      </w:r>
      <w:r w:rsidRPr="003E4336">
        <w:rPr>
          <w:rFonts w:ascii="Times New Roman" w:eastAsia="Times New Roman" w:hAnsi="Times New Roman"/>
          <w:sz w:val="24"/>
          <w:szCs w:val="24"/>
        </w:rPr>
        <w:t>Maksimalna vrijednost unutarpojasne emisije za krajnje postaje iznosi 25 dBm</w:t>
      </w:r>
    </w:p>
    <w:p w14:paraId="73E34A77" w14:textId="77777777" w:rsidR="00B47FC2" w:rsidRPr="003E4336" w:rsidRDefault="00B47FC2" w:rsidP="00B47FC2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3E4336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2)  Ograničenje snage iz stavka 1. ovog članka za nepokretne i postavljene krajnje postaje je definirana kao ekvivalentna izotropno izračena snaga (EIRP), a za pokretne i prenosive krajnje postaje kao ukupna izračena snaga (TRP)</w:t>
      </w:r>
    </w:p>
    <w:p w14:paraId="71ACA419" w14:textId="77777777" w:rsidR="00B47FC2" w:rsidRPr="00015063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Stupanje na snagu</w:t>
      </w:r>
    </w:p>
    <w:p w14:paraId="07205071" w14:textId="77777777" w:rsidR="00B47FC2" w:rsidRDefault="00B47FC2" w:rsidP="00B47FC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7DBAAE2D" w14:textId="77777777" w:rsidR="00B47FC2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>
        <w:rPr>
          <w:rFonts w:ascii="Times New Roman" w:eastAsia="Times New Roman" w:hAnsi="Times New Roman"/>
          <w:sz w:val="24"/>
          <w:szCs w:val="24"/>
        </w:rPr>
        <w:t>4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14:paraId="7DB8FE36" w14:textId="77777777" w:rsidR="00B47FC2" w:rsidRPr="004A4345" w:rsidRDefault="00B47FC2" w:rsidP="00B47FC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3CFD6636" w14:textId="77777777" w:rsidR="00B47FC2" w:rsidRDefault="00B47FC2" w:rsidP="00B47FC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Ovaj Plan dodjele stupa na snagu osmi dan od dana objave u „Narodnim novinama“.</w:t>
      </w:r>
    </w:p>
    <w:p w14:paraId="6047048D" w14:textId="77777777" w:rsidR="00B47FC2" w:rsidRDefault="00B47FC2" w:rsidP="00B47FC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F867462" w14:textId="77777777" w:rsidR="00B47FC2" w:rsidRDefault="00B47FC2" w:rsidP="00B47FC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KLASA:   </w:t>
      </w:r>
      <w:r w:rsidRPr="003849EC">
        <w:rPr>
          <w:rFonts w:ascii="Times New Roman" w:eastAsia="Times New Roman" w:hAnsi="Times New Roman"/>
          <w:sz w:val="24"/>
          <w:szCs w:val="24"/>
        </w:rPr>
        <w:t>011-02/16-02/12</w:t>
      </w:r>
    </w:p>
    <w:p w14:paraId="042BA14E" w14:textId="77777777" w:rsidR="00B47FC2" w:rsidRDefault="00B47FC2" w:rsidP="00B47FC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URBROJ: 376-03-16-1 </w:t>
      </w:r>
    </w:p>
    <w:p w14:paraId="18D7EEAD" w14:textId="77777777" w:rsidR="00B47FC2" w:rsidRDefault="00B47FC2" w:rsidP="00B47FC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Zagreb, </w:t>
      </w: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B47FC2" w:rsidRPr="001C5615" w14:paraId="7D9FD921" w14:textId="77777777" w:rsidTr="00E15981">
        <w:tc>
          <w:tcPr>
            <w:tcW w:w="4927" w:type="dxa"/>
            <w:shd w:val="clear" w:color="auto" w:fill="auto"/>
          </w:tcPr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4711"/>
            </w:tblGrid>
            <w:tr w:rsidR="00B47FC2" w:rsidRPr="001268FF" w14:paraId="346025F6" w14:textId="77777777" w:rsidTr="00E15981">
              <w:tc>
                <w:tcPr>
                  <w:tcW w:w="4927" w:type="dxa"/>
                  <w:shd w:val="clear" w:color="auto" w:fill="auto"/>
                </w:tcPr>
                <w:p w14:paraId="2EEC254F" w14:textId="77777777" w:rsidR="00B47FC2" w:rsidRPr="001268FF" w:rsidRDefault="00B47FC2" w:rsidP="00E15981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Predsjednik Vijeća</w:t>
                  </w:r>
                </w:p>
              </w:tc>
            </w:tr>
            <w:tr w:rsidR="00B47FC2" w:rsidRPr="001268FF" w14:paraId="10422BC7" w14:textId="77777777" w:rsidTr="00E15981">
              <w:tc>
                <w:tcPr>
                  <w:tcW w:w="4927" w:type="dxa"/>
                  <w:shd w:val="clear" w:color="auto" w:fill="auto"/>
                </w:tcPr>
                <w:p w14:paraId="679D152C" w14:textId="77777777" w:rsidR="00B47FC2" w:rsidRPr="001268FF" w:rsidRDefault="00B47FC2" w:rsidP="00E15981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lastRenderedPageBreak/>
                    <w:t>dr. sc. Dražen Lučić</w:t>
                  </w:r>
                </w:p>
              </w:tc>
            </w:tr>
          </w:tbl>
          <w:p w14:paraId="55962F42" w14:textId="77777777" w:rsidR="00B47FC2" w:rsidRPr="001C5615" w:rsidRDefault="00B47FC2" w:rsidP="00E15981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caps/>
                <w:sz w:val="20"/>
                <w:szCs w:val="24"/>
                <w:lang w:eastAsia="hr-HR"/>
              </w:rPr>
            </w:pPr>
          </w:p>
        </w:tc>
      </w:tr>
      <w:tr w:rsidR="00B47FC2" w:rsidRPr="001C5615" w14:paraId="26F0B7E9" w14:textId="77777777" w:rsidTr="00E15981">
        <w:tc>
          <w:tcPr>
            <w:tcW w:w="4927" w:type="dxa"/>
            <w:shd w:val="clear" w:color="auto" w:fill="auto"/>
          </w:tcPr>
          <w:p w14:paraId="7859C53D" w14:textId="77777777" w:rsidR="00B47FC2" w:rsidRPr="001C5615" w:rsidRDefault="00B47FC2" w:rsidP="00E15981">
            <w:pPr>
              <w:tabs>
                <w:tab w:val="center" w:pos="7655"/>
              </w:tabs>
              <w:spacing w:after="600" w:line="240" w:lineRule="auto"/>
              <w:rPr>
                <w:rFonts w:ascii="Times New Roman" w:eastAsia="Times New Roman" w:hAnsi="Times New Roman"/>
                <w:b/>
                <w:i/>
                <w:szCs w:val="24"/>
                <w:lang w:eastAsia="hr-HR"/>
              </w:rPr>
            </w:pPr>
          </w:p>
        </w:tc>
      </w:tr>
    </w:tbl>
    <w:p w14:paraId="7BCC3E22" w14:textId="77777777" w:rsidR="00B47FC2" w:rsidRPr="004A4345" w:rsidRDefault="00B47FC2" w:rsidP="00B47FC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D0DCFF9" w14:textId="77777777" w:rsidR="008A3F90" w:rsidRPr="00BA46B6" w:rsidRDefault="008A3F90" w:rsidP="0010107E">
      <w:pPr>
        <w:tabs>
          <w:tab w:val="left" w:pos="2552"/>
        </w:tabs>
        <w:spacing w:after="0" w:line="240" w:lineRule="auto"/>
      </w:pPr>
    </w:p>
    <w:sectPr w:rsidR="008A3F90" w:rsidRPr="00BA46B6" w:rsidSect="001B4ABA">
      <w:head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2C3E3E" w14:textId="77777777" w:rsidR="00B95174" w:rsidRDefault="00B95174" w:rsidP="004053A2">
      <w:pPr>
        <w:spacing w:after="0" w:line="240" w:lineRule="auto"/>
      </w:pPr>
      <w:r>
        <w:separator/>
      </w:r>
    </w:p>
  </w:endnote>
  <w:endnote w:type="continuationSeparator" w:id="0">
    <w:p w14:paraId="40540B38" w14:textId="77777777" w:rsidR="00B95174" w:rsidRDefault="00B95174" w:rsidP="00405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RTimes">
    <w:altName w:val="Arial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8023EE" w14:textId="77777777" w:rsidR="00B95174" w:rsidRDefault="00B95174" w:rsidP="004053A2">
      <w:pPr>
        <w:spacing w:after="0" w:line="240" w:lineRule="auto"/>
      </w:pPr>
      <w:r>
        <w:separator/>
      </w:r>
    </w:p>
  </w:footnote>
  <w:footnote w:type="continuationSeparator" w:id="0">
    <w:p w14:paraId="4472FC4E" w14:textId="77777777" w:rsidR="00B95174" w:rsidRDefault="00B95174" w:rsidP="004053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DC5124" w14:textId="0E0B93FE" w:rsidR="00495D6B" w:rsidRPr="00E00B2E" w:rsidRDefault="00495D6B">
    <w:pPr>
      <w:pStyle w:val="Header"/>
      <w:rPr>
        <w:b/>
      </w:rPr>
    </w:pPr>
    <w:r w:rsidRPr="00E00B2E">
      <w:rPr>
        <w:b/>
      </w:rPr>
      <w:t>PRIJEDLOG ZA JAVNU RASPRAVU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8C0B" w14:textId="77777777" w:rsidR="005F1F9A" w:rsidRPr="00F80948" w:rsidRDefault="009F3CC9">
    <w:pPr>
      <w:pStyle w:val="Header"/>
      <w:rPr>
        <w:b/>
      </w:rPr>
    </w:pPr>
    <w:r w:rsidRPr="00F80948">
      <w:rPr>
        <w:b/>
      </w:rPr>
      <w:t>PRIJEDLOG ZA JAVNU RASPRAVU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6B6"/>
    <w:rsid w:val="00023072"/>
    <w:rsid w:val="000354CE"/>
    <w:rsid w:val="00053DEA"/>
    <w:rsid w:val="000920EC"/>
    <w:rsid w:val="000A7273"/>
    <w:rsid w:val="000C247E"/>
    <w:rsid w:val="0010107E"/>
    <w:rsid w:val="00143E10"/>
    <w:rsid w:val="00153AD2"/>
    <w:rsid w:val="001A6B07"/>
    <w:rsid w:val="001C7037"/>
    <w:rsid w:val="00203246"/>
    <w:rsid w:val="002060CE"/>
    <w:rsid w:val="0021179B"/>
    <w:rsid w:val="00235F84"/>
    <w:rsid w:val="002876B4"/>
    <w:rsid w:val="00292CAD"/>
    <w:rsid w:val="002C3695"/>
    <w:rsid w:val="002F2AFB"/>
    <w:rsid w:val="0030519C"/>
    <w:rsid w:val="00315CDF"/>
    <w:rsid w:val="0031645C"/>
    <w:rsid w:val="00352BFB"/>
    <w:rsid w:val="0035647F"/>
    <w:rsid w:val="00393DEF"/>
    <w:rsid w:val="003B3FB5"/>
    <w:rsid w:val="003C3A08"/>
    <w:rsid w:val="003D4EC2"/>
    <w:rsid w:val="003E6F69"/>
    <w:rsid w:val="004053A2"/>
    <w:rsid w:val="00495D6B"/>
    <w:rsid w:val="0049769C"/>
    <w:rsid w:val="004D31D3"/>
    <w:rsid w:val="00522B9F"/>
    <w:rsid w:val="005864D6"/>
    <w:rsid w:val="00586973"/>
    <w:rsid w:val="005C1A0F"/>
    <w:rsid w:val="005E3D14"/>
    <w:rsid w:val="005E4777"/>
    <w:rsid w:val="00611B85"/>
    <w:rsid w:val="006638BF"/>
    <w:rsid w:val="006802EE"/>
    <w:rsid w:val="0069327E"/>
    <w:rsid w:val="006E381A"/>
    <w:rsid w:val="006F0F7D"/>
    <w:rsid w:val="00711F33"/>
    <w:rsid w:val="00717BDC"/>
    <w:rsid w:val="007412BF"/>
    <w:rsid w:val="00763004"/>
    <w:rsid w:val="00793DCC"/>
    <w:rsid w:val="007A0350"/>
    <w:rsid w:val="008720F2"/>
    <w:rsid w:val="00886D59"/>
    <w:rsid w:val="008A3F90"/>
    <w:rsid w:val="008C1A02"/>
    <w:rsid w:val="009421E2"/>
    <w:rsid w:val="00950B42"/>
    <w:rsid w:val="009915C6"/>
    <w:rsid w:val="009F3CC9"/>
    <w:rsid w:val="00A1067B"/>
    <w:rsid w:val="00A2417F"/>
    <w:rsid w:val="00A43FBA"/>
    <w:rsid w:val="00A60C01"/>
    <w:rsid w:val="00A638B9"/>
    <w:rsid w:val="00AB1169"/>
    <w:rsid w:val="00AB508C"/>
    <w:rsid w:val="00AC541A"/>
    <w:rsid w:val="00AD2685"/>
    <w:rsid w:val="00B15497"/>
    <w:rsid w:val="00B2013D"/>
    <w:rsid w:val="00B47FC2"/>
    <w:rsid w:val="00B60C71"/>
    <w:rsid w:val="00B74EB1"/>
    <w:rsid w:val="00B95174"/>
    <w:rsid w:val="00BA1DAD"/>
    <w:rsid w:val="00BA46B6"/>
    <w:rsid w:val="00BA6A6E"/>
    <w:rsid w:val="00BC1267"/>
    <w:rsid w:val="00BD1BBF"/>
    <w:rsid w:val="00BE4AC2"/>
    <w:rsid w:val="00C20D7F"/>
    <w:rsid w:val="00C5717F"/>
    <w:rsid w:val="00C74AA6"/>
    <w:rsid w:val="00C85D44"/>
    <w:rsid w:val="00CB637C"/>
    <w:rsid w:val="00CB74B8"/>
    <w:rsid w:val="00CF4F0E"/>
    <w:rsid w:val="00D23470"/>
    <w:rsid w:val="00D40A16"/>
    <w:rsid w:val="00D62682"/>
    <w:rsid w:val="00DA3866"/>
    <w:rsid w:val="00DB6F57"/>
    <w:rsid w:val="00E00B2E"/>
    <w:rsid w:val="00E073DD"/>
    <w:rsid w:val="00E578C8"/>
    <w:rsid w:val="00E57BCA"/>
    <w:rsid w:val="00E73E93"/>
    <w:rsid w:val="00EA3D7C"/>
    <w:rsid w:val="00EC3A05"/>
    <w:rsid w:val="00EC795A"/>
    <w:rsid w:val="00F147D8"/>
    <w:rsid w:val="00F34E4E"/>
    <w:rsid w:val="00F60187"/>
    <w:rsid w:val="00F90877"/>
    <w:rsid w:val="00FC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EE4D6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  <w:style w:type="table" w:styleId="TableGrid">
    <w:name w:val="Table Grid"/>
    <w:basedOn w:val="TableNormal"/>
    <w:uiPriority w:val="59"/>
    <w:rsid w:val="00B47FC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  <w:style w:type="table" w:styleId="TableGrid">
    <w:name w:val="Table Grid"/>
    <w:basedOn w:val="TableNormal"/>
    <w:uiPriority w:val="59"/>
    <w:rsid w:val="00B47FC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F0D70D-9411-4EA1-BDA0-07D031E94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969</Words>
  <Characters>5524</Characters>
  <Application>Microsoft Office Word</Application>
  <DocSecurity>0</DocSecurity>
  <Lines>46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Katalinić Mucalo</dc:creator>
  <cp:lastModifiedBy>Krunoslav Bejuk</cp:lastModifiedBy>
  <cp:revision>2</cp:revision>
  <cp:lastPrinted>2015-02-04T11:43:00Z</cp:lastPrinted>
  <dcterms:created xsi:type="dcterms:W3CDTF">2016-11-30T12:23:00Z</dcterms:created>
  <dcterms:modified xsi:type="dcterms:W3CDTF">2016-11-30T12:23:00Z</dcterms:modified>
</cp:coreProperties>
</file>