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B2661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 w:rsidRPr="00A31005">
        <w:rPr>
          <w:rFonts w:ascii="Times New Roman" w:hAnsi="Times New Roman"/>
          <w:b/>
          <w:sz w:val="28"/>
          <w:szCs w:val="28"/>
        </w:rPr>
        <w:t>HRVATSKA REGULATORNA AGENCIJA ZA MREŽNE DJELATNOSTI</w:t>
      </w:r>
    </w:p>
    <w:p w14:paraId="1704125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24183F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6FFF6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1A520F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6EEF0A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793551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3346B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C2CB6A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A679B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73C93D9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A4D5B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4B8F84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71A996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27C192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DDDB5F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D9BE6C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NACRT PRIJEDLOGA </w:t>
      </w:r>
    </w:p>
    <w:p w14:paraId="00F06245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0F6909D" w14:textId="3F1C87C0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B5341">
        <w:rPr>
          <w:rFonts w:ascii="Times New Roman" w:hAnsi="Times New Roman"/>
          <w:b/>
          <w:sz w:val="28"/>
          <w:szCs w:val="28"/>
        </w:rPr>
        <w:t>Plan</w:t>
      </w:r>
      <w:r>
        <w:rPr>
          <w:rFonts w:ascii="Times New Roman" w:hAnsi="Times New Roman"/>
          <w:b/>
          <w:sz w:val="28"/>
          <w:szCs w:val="28"/>
        </w:rPr>
        <w:t>a</w:t>
      </w:r>
      <w:r w:rsidRPr="00FB5341">
        <w:rPr>
          <w:rFonts w:ascii="Times New Roman" w:hAnsi="Times New Roman"/>
          <w:b/>
          <w:sz w:val="28"/>
          <w:szCs w:val="28"/>
        </w:rPr>
        <w:t xml:space="preserve"> dodjele za </w:t>
      </w:r>
      <w:r w:rsidR="000C247E" w:rsidRPr="000C247E">
        <w:rPr>
          <w:rFonts w:ascii="Times New Roman" w:hAnsi="Times New Roman"/>
          <w:b/>
          <w:sz w:val="28"/>
          <w:szCs w:val="28"/>
        </w:rPr>
        <w:t xml:space="preserve">frekvencijski pojas </w:t>
      </w:r>
      <w:r w:rsidR="008E21E8" w:rsidRPr="008E21E8">
        <w:rPr>
          <w:rFonts w:ascii="Times New Roman" w:hAnsi="Times New Roman"/>
          <w:b/>
          <w:sz w:val="28"/>
          <w:szCs w:val="28"/>
        </w:rPr>
        <w:t>2500 -2690 MHz</w:t>
      </w:r>
    </w:p>
    <w:p w14:paraId="2E169C92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348161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289F08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0DD47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402EFBD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FB3F3D0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559D375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B61216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284C597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141128A3" w14:textId="77777777" w:rsidR="00E73E93" w:rsidRPr="00824F3C" w:rsidRDefault="00E73E93" w:rsidP="00E73E9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7150B91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0D9E3A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1FF42FB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B94B5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78BE5E8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CFFC09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A8C0306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85CD06C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B4B7DF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EFEAA91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AE28499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05A83E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7141104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7DD8CAA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96A10CC" w14:textId="77777777" w:rsidR="00E73E93" w:rsidRPr="00ED56D3" w:rsidRDefault="00E73E93" w:rsidP="00E73E93">
      <w:pPr>
        <w:spacing w:after="0" w:line="24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166CFF">
        <w:rPr>
          <w:rFonts w:ascii="Times New Roman" w:hAnsi="Times New Roman"/>
          <w:b/>
          <w:sz w:val="24"/>
          <w:szCs w:val="24"/>
        </w:rPr>
        <w:t xml:space="preserve">Zagreb, </w:t>
      </w:r>
      <w:r>
        <w:rPr>
          <w:rFonts w:ascii="Times New Roman" w:hAnsi="Times New Roman"/>
          <w:b/>
          <w:sz w:val="24"/>
          <w:szCs w:val="24"/>
        </w:rPr>
        <w:t xml:space="preserve">studeni 2016. </w:t>
      </w:r>
    </w:p>
    <w:p w14:paraId="75136767" w14:textId="77777777" w:rsidR="00E73E93" w:rsidRDefault="00E73E93" w:rsidP="00E73E9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472E005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 xml:space="preserve">I. </w:t>
      </w:r>
      <w:r w:rsidRPr="00297C09">
        <w:rPr>
          <w:rFonts w:ascii="Times New Roman" w:hAnsi="Times New Roman"/>
          <w:b/>
          <w:sz w:val="24"/>
          <w:szCs w:val="24"/>
        </w:rPr>
        <w:t xml:space="preserve">OSNOVA ZA DONOŠENJE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4608CE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ADB3EB6" w14:textId="2FF5680E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Člankom 12. stavkom 1. točkom 9. i člankom </w:t>
      </w:r>
      <w:r w:rsidRPr="006B5A01">
        <w:rPr>
          <w:rFonts w:ascii="Times New Roman" w:eastAsia="Times New Roman" w:hAnsi="Times New Roman"/>
          <w:sz w:val="24"/>
          <w:szCs w:val="24"/>
          <w:lang w:eastAsia="hr-HR"/>
        </w:rPr>
        <w:t>82.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Zakona o elektroničkim komunikacijama (NN br. 73/08, 90/11, 133/12, 80/13 i 71/14; dalje: ZEK) </w:t>
      </w:r>
      <w:r w:rsidRPr="008B6B95">
        <w:rPr>
          <w:rFonts w:ascii="Times New Roman" w:hAnsi="Times New Roman"/>
          <w:sz w:val="24"/>
          <w:szCs w:val="24"/>
        </w:rPr>
        <w:t>propisana je ovlast Hrvatske regulatorne agencij</w:t>
      </w:r>
      <w:r>
        <w:rPr>
          <w:rFonts w:ascii="Times New Roman" w:hAnsi="Times New Roman"/>
          <w:sz w:val="24"/>
          <w:szCs w:val="24"/>
        </w:rPr>
        <w:t>e</w:t>
      </w:r>
      <w:r w:rsidRPr="008B6B95">
        <w:rPr>
          <w:rFonts w:ascii="Times New Roman" w:hAnsi="Times New Roman"/>
          <w:sz w:val="24"/>
          <w:szCs w:val="24"/>
        </w:rPr>
        <w:t xml:space="preserve"> za mrežne djelatnosti (dalje: HAKOM) za donošenje </w:t>
      </w:r>
      <w:r w:rsidRPr="00A81A92">
        <w:rPr>
          <w:rFonts w:ascii="Times New Roman" w:hAnsi="Times New Roman"/>
          <w:sz w:val="24"/>
          <w:szCs w:val="24"/>
        </w:rPr>
        <w:t>planova dodjele i uporabe radijskih frekvencija u okviru pojedinih radiofrekvencijskih pojasa</w:t>
      </w:r>
      <w:r>
        <w:rPr>
          <w:rFonts w:ascii="Times New Roman" w:hAnsi="Times New Roman"/>
          <w:sz w:val="24"/>
          <w:szCs w:val="24"/>
        </w:rPr>
        <w:t>. U konkretnom slučaju predmet javne rasprave je prijedlog Plana dodjele</w:t>
      </w:r>
      <w:r w:rsidR="000C247E">
        <w:rPr>
          <w:rFonts w:ascii="Times New Roman" w:hAnsi="Times New Roman"/>
          <w:sz w:val="24"/>
          <w:szCs w:val="24"/>
        </w:rPr>
        <w:t xml:space="preserve"> za</w:t>
      </w:r>
      <w:r>
        <w:rPr>
          <w:rFonts w:ascii="Times New Roman" w:hAnsi="Times New Roman"/>
          <w:sz w:val="24"/>
          <w:szCs w:val="24"/>
        </w:rPr>
        <w:t xml:space="preserve"> </w:t>
      </w:r>
      <w:r w:rsidR="000C247E" w:rsidRPr="000C247E">
        <w:rPr>
          <w:rFonts w:ascii="Times New Roman" w:hAnsi="Times New Roman"/>
          <w:sz w:val="24"/>
          <w:szCs w:val="24"/>
        </w:rPr>
        <w:t xml:space="preserve">frekvencijski pojas </w:t>
      </w:r>
      <w:r w:rsidR="008E21E8" w:rsidRPr="008E21E8">
        <w:rPr>
          <w:rFonts w:ascii="Times New Roman" w:hAnsi="Times New Roman"/>
          <w:sz w:val="24"/>
          <w:szCs w:val="24"/>
        </w:rPr>
        <w:t>2500 -2690 MHz</w:t>
      </w:r>
      <w:r>
        <w:rPr>
          <w:rFonts w:ascii="Times New Roman" w:hAnsi="Times New Roman"/>
          <w:sz w:val="24"/>
          <w:szCs w:val="24"/>
        </w:rPr>
        <w:t>.</w:t>
      </w:r>
    </w:p>
    <w:p w14:paraId="2801B13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F7A6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EB2C6D7" w14:textId="77777777" w:rsidR="00E73E93" w:rsidRPr="00297C09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II. </w:t>
      </w:r>
      <w:r w:rsidRPr="00297C09">
        <w:rPr>
          <w:rFonts w:ascii="Times New Roman" w:hAnsi="Times New Roman"/>
          <w:b/>
          <w:sz w:val="24"/>
          <w:szCs w:val="24"/>
        </w:rPr>
        <w:t xml:space="preserve">OCJENA STANJA I OBRAZLOŽENJE IZMJENA </w:t>
      </w:r>
    </w:p>
    <w:p w14:paraId="1B82DFCE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14:paraId="0827C4AF" w14:textId="77777777" w:rsidR="008E21E8" w:rsidRPr="00FC6A79" w:rsidRDefault="008E21E8" w:rsidP="008E21E8">
      <w:pPr>
        <w:pStyle w:val="Tekst"/>
        <w:rPr>
          <w:lang w:val="hr-HR"/>
        </w:rPr>
      </w:pPr>
      <w:r w:rsidRPr="00FC6A79">
        <w:rPr>
          <w:lang w:val="hr-HR"/>
        </w:rPr>
        <w:t xml:space="preserve">Frekvencijski pojas </w:t>
      </w:r>
      <w:r>
        <w:rPr>
          <w:lang w:val="hr-HR"/>
        </w:rPr>
        <w:t>2500</w:t>
      </w:r>
      <w:r w:rsidRPr="00FC6A79">
        <w:rPr>
          <w:lang w:val="hr-HR"/>
        </w:rPr>
        <w:t xml:space="preserve"> – </w:t>
      </w:r>
      <w:r>
        <w:rPr>
          <w:lang w:val="hr-HR"/>
        </w:rPr>
        <w:t>2690</w:t>
      </w:r>
      <w:r w:rsidRPr="00FC6A79">
        <w:rPr>
          <w:lang w:val="hr-HR"/>
        </w:rPr>
        <w:t xml:space="preserve"> MHz u Republici Hrvatskoj </w:t>
      </w:r>
      <w:r>
        <w:rPr>
          <w:lang w:val="hr-HR"/>
        </w:rPr>
        <w:t xml:space="preserve">trenutno nije u uporabi. Stoga se predlaže donošenje navedenog Plana dodjele, koji je izrađen uzimajući u obzir tehničke specifikacije propisane Odlukom </w:t>
      </w:r>
      <w:r w:rsidRPr="001208DE">
        <w:rPr>
          <w:szCs w:val="24"/>
          <w:lang w:val="hr-HR"/>
        </w:rPr>
        <w:t>Odbora za elektroničke komunikacije ECC/DEC/(</w:t>
      </w:r>
      <w:r>
        <w:rPr>
          <w:szCs w:val="24"/>
          <w:lang w:val="hr-HR"/>
        </w:rPr>
        <w:t>05</w:t>
      </w:r>
      <w:r w:rsidRPr="001208DE">
        <w:rPr>
          <w:szCs w:val="24"/>
          <w:lang w:val="hr-HR"/>
        </w:rPr>
        <w:t>)</w:t>
      </w:r>
      <w:r>
        <w:rPr>
          <w:szCs w:val="24"/>
          <w:lang w:val="hr-HR"/>
        </w:rPr>
        <w:t>05</w:t>
      </w:r>
      <w:r w:rsidRPr="001208DE">
        <w:rPr>
          <w:szCs w:val="24"/>
          <w:lang w:val="hr-HR"/>
        </w:rPr>
        <w:t xml:space="preserve"> (izmijenjena </w:t>
      </w:r>
      <w:r>
        <w:rPr>
          <w:szCs w:val="24"/>
          <w:lang w:val="hr-HR"/>
        </w:rPr>
        <w:t>18</w:t>
      </w:r>
      <w:r w:rsidRPr="001208DE">
        <w:rPr>
          <w:szCs w:val="24"/>
          <w:lang w:val="hr-HR"/>
        </w:rPr>
        <w:t xml:space="preserve">. </w:t>
      </w:r>
      <w:r>
        <w:rPr>
          <w:szCs w:val="24"/>
          <w:lang w:val="hr-HR"/>
        </w:rPr>
        <w:t>ožujka</w:t>
      </w:r>
      <w:r w:rsidRPr="001208DE">
        <w:rPr>
          <w:szCs w:val="24"/>
          <w:lang w:val="hr-HR"/>
        </w:rPr>
        <w:t xml:space="preserve"> 201</w:t>
      </w:r>
      <w:r>
        <w:rPr>
          <w:szCs w:val="24"/>
          <w:lang w:val="hr-HR"/>
        </w:rPr>
        <w:t>5</w:t>
      </w:r>
      <w:r w:rsidRPr="001208DE">
        <w:rPr>
          <w:szCs w:val="24"/>
          <w:lang w:val="hr-HR"/>
        </w:rPr>
        <w:t>.)</w:t>
      </w:r>
      <w:r>
        <w:rPr>
          <w:szCs w:val="24"/>
          <w:lang w:val="hr-HR"/>
        </w:rPr>
        <w:t xml:space="preserve">, a usporedive tehničke specifikacije propisane su i </w:t>
      </w:r>
      <w:r>
        <w:rPr>
          <w:lang w:val="hr-HR"/>
        </w:rPr>
        <w:t>Odlukom Europske komisije 2008/477/EU. Drugim riječima, radi potpune implementacije navedenih odluka potrebno je donijeti Plan dodjele za frekvencijski pojas 2500 – 2690 MHz. Time bi se indirektno trebala potaknuti dodjela ovog dijela radiofrekvencijskog spektra.</w:t>
      </w:r>
    </w:p>
    <w:p w14:paraId="72E2AA15" w14:textId="042E8818" w:rsidR="000C247E" w:rsidRPr="00FC6A79" w:rsidRDefault="000C247E" w:rsidP="000C247E">
      <w:pPr>
        <w:pStyle w:val="Tekst"/>
        <w:rPr>
          <w:lang w:val="hr-HR"/>
        </w:rPr>
      </w:pPr>
      <w:r>
        <w:rPr>
          <w:lang w:val="hr-HR"/>
        </w:rPr>
        <w:t xml:space="preserve"> </w:t>
      </w:r>
    </w:p>
    <w:p w14:paraId="5A8C645B" w14:textId="77777777" w:rsidR="00E73E93" w:rsidRDefault="00E73E93" w:rsidP="00E73E93">
      <w:pPr>
        <w:pStyle w:val="Tekst"/>
        <w:rPr>
          <w:lang w:val="hr-HR"/>
        </w:rPr>
      </w:pPr>
    </w:p>
    <w:p w14:paraId="3F6F74C2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Sukladno članku 22. stavku 5. ZEK-a, o prijedlogu Pravilnika potrebno je provesti postupak javne rasprave sa zainteresiranom javnošću. </w:t>
      </w:r>
    </w:p>
    <w:p w14:paraId="31DF04A1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3C15946" w14:textId="77777777" w:rsidR="00E73E93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3B8AA287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5089F58D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1537A">
        <w:rPr>
          <w:rFonts w:ascii="Times New Roman" w:hAnsi="Times New Roman"/>
          <w:b/>
          <w:sz w:val="24"/>
          <w:szCs w:val="24"/>
        </w:rPr>
        <w:t xml:space="preserve">III.  TEKST NACRTA PRIJEDLOGA </w:t>
      </w:r>
      <w:r>
        <w:rPr>
          <w:rFonts w:ascii="Times New Roman" w:hAnsi="Times New Roman"/>
          <w:b/>
          <w:sz w:val="24"/>
          <w:szCs w:val="24"/>
        </w:rPr>
        <w:t>PLANA DODJELE</w:t>
      </w:r>
    </w:p>
    <w:p w14:paraId="579DFA43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B1537A">
        <w:rPr>
          <w:rFonts w:ascii="Times New Roman" w:hAnsi="Times New Roman"/>
          <w:sz w:val="24"/>
          <w:szCs w:val="24"/>
          <w:u w:val="single"/>
        </w:rPr>
        <w:t xml:space="preserve"> </w:t>
      </w:r>
    </w:p>
    <w:p w14:paraId="6296C696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B1537A">
        <w:rPr>
          <w:rFonts w:ascii="Times New Roman" w:hAnsi="Times New Roman"/>
          <w:sz w:val="24"/>
          <w:szCs w:val="24"/>
        </w:rPr>
        <w:t>Prilaže se tekst Nacrta P</w:t>
      </w:r>
      <w:r>
        <w:rPr>
          <w:rFonts w:ascii="Times New Roman" w:hAnsi="Times New Roman"/>
          <w:sz w:val="24"/>
          <w:szCs w:val="24"/>
        </w:rPr>
        <w:t>lana dodjele.</w:t>
      </w:r>
      <w:r w:rsidRPr="00B1537A">
        <w:rPr>
          <w:rFonts w:ascii="Times New Roman" w:hAnsi="Times New Roman"/>
          <w:sz w:val="24"/>
          <w:szCs w:val="24"/>
        </w:rPr>
        <w:t xml:space="preserve"> </w:t>
      </w:r>
    </w:p>
    <w:p w14:paraId="4D4D580F" w14:textId="77777777" w:rsidR="00E73E93" w:rsidRPr="00B1537A" w:rsidRDefault="00E73E93" w:rsidP="00E73E93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7185AAC1" w14:textId="77777777" w:rsidR="00E73E93" w:rsidRDefault="00E73E93">
      <w:pPr>
        <w:spacing w:after="0" w:line="240" w:lineRule="auto"/>
        <w:rPr>
          <w:rFonts w:ascii="Times New Roman" w:eastAsia="Times New Roman" w:hAnsi="Times New Roman"/>
          <w:b/>
          <w:sz w:val="40"/>
          <w:szCs w:val="40"/>
          <w:lang w:eastAsia="hr-HR"/>
        </w:rPr>
      </w:pPr>
      <w:r>
        <w:rPr>
          <w:rFonts w:ascii="Times New Roman" w:hAnsi="Times New Roman"/>
          <w:b/>
          <w:sz w:val="40"/>
          <w:szCs w:val="40"/>
        </w:rPr>
        <w:br w:type="page"/>
      </w:r>
    </w:p>
    <w:p w14:paraId="224657E0" w14:textId="77777777" w:rsidR="0021179B" w:rsidRDefault="0021179B" w:rsidP="00315CDF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  <w:sectPr w:rsidR="0021179B" w:rsidSect="000C247E">
          <w:headerReference w:type="default" r:id="rId8"/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14:paraId="757756D1" w14:textId="77777777" w:rsidR="008E21E8" w:rsidRPr="000774A9" w:rsidRDefault="008E21E8" w:rsidP="008E21E8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lastRenderedPageBreak/>
        <w:t xml:space="preserve">HRVATSKA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14:paraId="7E4A8902" w14:textId="77777777" w:rsidR="008E21E8" w:rsidRPr="000774A9" w:rsidRDefault="008E21E8" w:rsidP="008E21E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0C76FFF3" w14:textId="77777777" w:rsidR="008E21E8" w:rsidRPr="000774A9" w:rsidRDefault="008E21E8" w:rsidP="008E21E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4C45C83F" w14:textId="77777777" w:rsidR="008E21E8" w:rsidRDefault="008E21E8" w:rsidP="008E21E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(Narodne novine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73/08, 90/11, 133/12, 80/13 i 71/14</w:t>
      </w:r>
      <w:r w:rsidRPr="000774A9">
        <w:rPr>
          <w:rFonts w:ascii="Times New Roman" w:hAnsi="Times New Roman"/>
          <w:szCs w:val="24"/>
          <w:lang w:val="hr-HR"/>
        </w:rPr>
        <w:t>)</w:t>
      </w:r>
      <w:r>
        <w:rPr>
          <w:rFonts w:ascii="Times New Roman" w:hAnsi="Times New Roman"/>
          <w:szCs w:val="24"/>
          <w:lang w:val="hr-HR"/>
        </w:rPr>
        <w:t>,</w:t>
      </w:r>
      <w:r w:rsidRPr="000774A9">
        <w:rPr>
          <w:rFonts w:ascii="Times New Roman" w:hAnsi="Times New Roman"/>
          <w:szCs w:val="24"/>
          <w:lang w:val="hr-HR"/>
        </w:rPr>
        <w:t xml:space="preserve">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14:paraId="2C1FF0DB" w14:textId="77777777" w:rsidR="008E21E8" w:rsidRDefault="008E21E8" w:rsidP="008E21E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6067BE79" w14:textId="77777777" w:rsidR="008E21E8" w:rsidRPr="000774A9" w:rsidRDefault="008E21E8" w:rsidP="008E21E8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14:paraId="07031BA6" w14:textId="77777777" w:rsidR="008E21E8" w:rsidRPr="00104C1F" w:rsidRDefault="008E21E8" w:rsidP="008E21E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FREKVENCIJSKI POJAS</w:t>
      </w:r>
    </w:p>
    <w:p w14:paraId="1D48742B" w14:textId="77777777" w:rsidR="008E21E8" w:rsidRPr="00104C1F" w:rsidRDefault="008E21E8" w:rsidP="008E21E8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2500 -2690 MHz</w:t>
      </w:r>
      <w:r w:rsidRPr="00104C1F">
        <w:rPr>
          <w:rFonts w:ascii="Times New Roman" w:hAnsi="Times New Roman"/>
          <w:b/>
          <w:sz w:val="32"/>
          <w:szCs w:val="32"/>
        </w:rPr>
        <w:t xml:space="preserve"> </w:t>
      </w:r>
    </w:p>
    <w:p w14:paraId="7F9D4652" w14:textId="77777777" w:rsidR="008E21E8" w:rsidRDefault="008E21E8" w:rsidP="008E21E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4F9FBA8A" w14:textId="77777777" w:rsidR="008E21E8" w:rsidRDefault="008E21E8" w:rsidP="008E21E8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DC418A0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Opći uvjeti</w:t>
      </w:r>
    </w:p>
    <w:p w14:paraId="26F17975" w14:textId="77777777" w:rsidR="008E21E8" w:rsidRPr="00981C4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18CD5459" w14:textId="77777777" w:rsidR="008E21E8" w:rsidRPr="004A4345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14:paraId="1829A1D1" w14:textId="77777777" w:rsidR="008E21E8" w:rsidRPr="004A4345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10318D58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(1)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 Opći uvjeti </w:t>
      </w:r>
      <w:r>
        <w:rPr>
          <w:rFonts w:ascii="Times New Roman" w:eastAsia="Times New Roman" w:hAnsi="Times New Roman"/>
          <w:sz w:val="24"/>
          <w:szCs w:val="24"/>
        </w:rPr>
        <w:t xml:space="preserve">Plana 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dodjele za frekvencijski pojas </w:t>
      </w:r>
      <w:r>
        <w:rPr>
          <w:rFonts w:ascii="Times New Roman" w:eastAsia="Times New Roman" w:hAnsi="Times New Roman"/>
          <w:sz w:val="24"/>
          <w:szCs w:val="24"/>
        </w:rPr>
        <w:t>2500 – 2690 MHz</w:t>
      </w:r>
      <w:r w:rsidRPr="00981C48">
        <w:rPr>
          <w:rFonts w:ascii="Times New Roman" w:eastAsia="Times New Roman" w:hAnsi="Times New Roman"/>
          <w:sz w:val="24"/>
          <w:szCs w:val="24"/>
        </w:rPr>
        <w:t xml:space="preserve"> određuju se</w:t>
      </w:r>
      <w:r>
        <w:rPr>
          <w:rFonts w:ascii="Times New Roman" w:eastAsia="Times New Roman" w:hAnsi="Times New Roman"/>
          <w:sz w:val="24"/>
          <w:szCs w:val="24"/>
        </w:rPr>
        <w:t xml:space="preserve"> </w:t>
      </w:r>
      <w:r w:rsidRPr="00981C48">
        <w:rPr>
          <w:rFonts w:ascii="Times New Roman" w:eastAsia="Times New Roman" w:hAnsi="Times New Roman"/>
          <w:sz w:val="24"/>
          <w:szCs w:val="24"/>
        </w:rPr>
        <w:t>Tablicom 1.</w:t>
      </w:r>
    </w:p>
    <w:p w14:paraId="58082835" w14:textId="77777777" w:rsidR="008E21E8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  <w:proofErr w:type="spellStart"/>
      <w:proofErr w:type="gramStart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>Tablica</w:t>
      </w:r>
      <w:proofErr w:type="spellEnd"/>
      <w:r w:rsidRPr="00F36E9D">
        <w:rPr>
          <w:rFonts w:ascii="Times New Roman" w:eastAsia="Times New Roman" w:hAnsi="Times New Roman"/>
          <w:i/>
          <w:sz w:val="24"/>
          <w:szCs w:val="24"/>
          <w:lang w:val="en-US"/>
        </w:rPr>
        <w:t xml:space="preserve"> 1.</w:t>
      </w:r>
      <w:proofErr w:type="gramEnd"/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405"/>
        <w:gridCol w:w="2552"/>
        <w:gridCol w:w="4110"/>
      </w:tblGrid>
      <w:tr w:rsidR="008E21E8" w14:paraId="4A497AB3" w14:textId="77777777" w:rsidTr="00E15981">
        <w:tc>
          <w:tcPr>
            <w:tcW w:w="2405" w:type="dxa"/>
            <w:vAlign w:val="center"/>
          </w:tcPr>
          <w:p w14:paraId="4BFB5EC8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Frekvencijski</w:t>
            </w:r>
            <w:proofErr w:type="spellEnd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pojas</w:t>
            </w:r>
            <w:proofErr w:type="spellEnd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 xml:space="preserve"> (MHz)</w:t>
            </w:r>
          </w:p>
        </w:tc>
        <w:tc>
          <w:tcPr>
            <w:tcW w:w="2552" w:type="dxa"/>
            <w:vAlign w:val="center"/>
          </w:tcPr>
          <w:p w14:paraId="056FFD38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Područje</w:t>
            </w:r>
            <w:proofErr w:type="spellEnd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6A2FCF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uporabe</w:t>
            </w:r>
            <w:proofErr w:type="spellEnd"/>
          </w:p>
        </w:tc>
        <w:tc>
          <w:tcPr>
            <w:tcW w:w="4110" w:type="dxa"/>
            <w:vAlign w:val="center"/>
          </w:tcPr>
          <w:p w14:paraId="345209A9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  <w:t>Primjena</w:t>
            </w:r>
            <w:proofErr w:type="spellEnd"/>
          </w:p>
        </w:tc>
      </w:tr>
      <w:tr w:rsidR="008E21E8" w14:paraId="45C58632" w14:textId="77777777" w:rsidTr="00E15981">
        <w:trPr>
          <w:trHeight w:val="521"/>
        </w:trPr>
        <w:tc>
          <w:tcPr>
            <w:tcW w:w="2405" w:type="dxa"/>
            <w:vAlign w:val="center"/>
          </w:tcPr>
          <w:p w14:paraId="7FF50ADA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2500-2690</w:t>
            </w:r>
          </w:p>
        </w:tc>
        <w:tc>
          <w:tcPr>
            <w:tcW w:w="2552" w:type="dxa"/>
            <w:vAlign w:val="center"/>
          </w:tcPr>
          <w:p w14:paraId="76AE47A0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Republika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Hrvatska</w:t>
            </w:r>
            <w:proofErr w:type="spellEnd"/>
          </w:p>
        </w:tc>
        <w:tc>
          <w:tcPr>
            <w:tcW w:w="4110" w:type="dxa"/>
            <w:vAlign w:val="center"/>
          </w:tcPr>
          <w:p w14:paraId="16FEBDD6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Pokretne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nepokretne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komunikacijske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mreže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u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skladu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s ECC/DEC/(05)05</w:t>
            </w:r>
          </w:p>
        </w:tc>
      </w:tr>
    </w:tbl>
    <w:p w14:paraId="45BA02A2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i/>
          <w:sz w:val="24"/>
          <w:szCs w:val="24"/>
          <w:lang w:val="en-US"/>
        </w:rPr>
      </w:pPr>
    </w:p>
    <w:p w14:paraId="0C03CBDC" w14:textId="77777777" w:rsidR="008E21E8" w:rsidRPr="002C2026" w:rsidRDefault="008E21E8" w:rsidP="008E21E8">
      <w:pPr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2) U frekvencijskom pojasu 2500 – 2690 MHz širina dodijeljenog spektra je višekratnik bloka frekvencija širine 5 MHz.</w:t>
      </w:r>
    </w:p>
    <w:p w14:paraId="08B06395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3) Frekvencijski pojas 2500 – 2570 MHz uparen je s pojasom 2620 – 2690 MHz i koristi se kao frekvencijski dupleks (FDD) gdje je</w:t>
      </w:r>
      <w:r w:rsidRPr="00CC54AC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 xml:space="preserve">2500 – 2570 MHz </w:t>
      </w:r>
      <w:r w:rsidRPr="00407937">
        <w:rPr>
          <w:rFonts w:ascii="Times New Roman" w:eastAsia="Times New Roman" w:hAnsi="Times New Roman"/>
          <w:sz w:val="24"/>
          <w:szCs w:val="24"/>
        </w:rPr>
        <w:t>frekvencijsk</w:t>
      </w:r>
      <w:r>
        <w:rPr>
          <w:rFonts w:ascii="Times New Roman" w:eastAsia="Times New Roman" w:hAnsi="Times New Roman"/>
          <w:sz w:val="24"/>
          <w:szCs w:val="24"/>
        </w:rPr>
        <w:t>i</w:t>
      </w:r>
      <w:r w:rsidRPr="00407937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pojas</w:t>
      </w:r>
      <w:r w:rsidRPr="00407937">
        <w:rPr>
          <w:rFonts w:ascii="Times New Roman" w:eastAsia="Times New Roman" w:hAnsi="Times New Roman"/>
          <w:sz w:val="24"/>
          <w:szCs w:val="24"/>
        </w:rPr>
        <w:t xml:space="preserve"> uzlazne veze, a </w:t>
      </w:r>
      <w:r>
        <w:rPr>
          <w:rFonts w:ascii="Times New Roman" w:eastAsia="Times New Roman" w:hAnsi="Times New Roman"/>
          <w:sz w:val="24"/>
          <w:szCs w:val="24"/>
        </w:rPr>
        <w:t>2620 – 2690 MHz</w:t>
      </w:r>
      <w:r w:rsidRPr="00407937">
        <w:rPr>
          <w:rFonts w:ascii="Times New Roman" w:eastAsia="Times New Roman" w:hAnsi="Times New Roman"/>
          <w:sz w:val="24"/>
          <w:szCs w:val="24"/>
        </w:rPr>
        <w:t xml:space="preserve"> frekvencijsk</w:t>
      </w:r>
      <w:r>
        <w:rPr>
          <w:rFonts w:ascii="Times New Roman" w:eastAsia="Times New Roman" w:hAnsi="Times New Roman"/>
          <w:sz w:val="24"/>
          <w:szCs w:val="24"/>
        </w:rPr>
        <w:t>i</w:t>
      </w:r>
      <w:r w:rsidRPr="00407937">
        <w:rPr>
          <w:rFonts w:ascii="Times New Roman" w:eastAsia="Times New Roman" w:hAnsi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sz w:val="24"/>
          <w:szCs w:val="24"/>
        </w:rPr>
        <w:t>pojas</w:t>
      </w:r>
      <w:r w:rsidRPr="00407937">
        <w:rPr>
          <w:rFonts w:ascii="Times New Roman" w:eastAsia="Times New Roman" w:hAnsi="Times New Roman"/>
          <w:sz w:val="24"/>
          <w:szCs w:val="24"/>
        </w:rPr>
        <w:t xml:space="preserve"> silazne veze.</w:t>
      </w:r>
    </w:p>
    <w:p w14:paraId="71E9087E" w14:textId="77777777" w:rsidR="008E21E8" w:rsidRPr="002C2026" w:rsidRDefault="008E21E8" w:rsidP="008E21E8">
      <w:pPr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  <w:r w:rsidRPr="00981C48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4) Frekvencijski pojas 2570 – 2620 MHz može se koristiti kao vremenski dupleks (TDD) ili kao dodatna silazna veza SDL (</w:t>
      </w:r>
      <w:r w:rsidRPr="00E521EB">
        <w:rPr>
          <w:rFonts w:ascii="Times New Roman" w:eastAsia="Times New Roman" w:hAnsi="Times New Roman"/>
          <w:sz w:val="24"/>
          <w:szCs w:val="24"/>
        </w:rPr>
        <w:t>Supplemental Downlink)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14:paraId="13F7C0EA" w14:textId="77777777" w:rsidR="008E21E8" w:rsidRDefault="008E21E8" w:rsidP="008E21E8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22B07D4B" w14:textId="77777777" w:rsidR="008E21E8" w:rsidRPr="00407937" w:rsidRDefault="008E21E8" w:rsidP="008E21E8">
      <w:pPr>
        <w:jc w:val="center"/>
        <w:rPr>
          <w:rFonts w:ascii="Times New Roman" w:hAnsi="Times New Roman"/>
        </w:rPr>
      </w:pPr>
      <w:r>
        <w:rPr>
          <w:rFonts w:ascii="Times New Roman" w:eastAsia="Times New Roman" w:hAnsi="Times New Roman"/>
          <w:i/>
          <w:sz w:val="24"/>
          <w:szCs w:val="24"/>
        </w:rPr>
        <w:t>Tehnički uvjeti za bazne postaje</w:t>
      </w:r>
    </w:p>
    <w:p w14:paraId="67C36722" w14:textId="77777777" w:rsidR="008E21E8" w:rsidRPr="00981C4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4E5868BB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2.</w:t>
      </w:r>
    </w:p>
    <w:p w14:paraId="30B69E8F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68ED9882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(1) </w:t>
      </w:r>
      <w:r w:rsidRPr="00415A06">
        <w:rPr>
          <w:rFonts w:ascii="Times New Roman" w:hAnsi="Times New Roman"/>
          <w:sz w:val="24"/>
          <w:szCs w:val="24"/>
        </w:rPr>
        <w:t xml:space="preserve">S ciljem neometanog rada različitih pokretnih i nepokretnih komunikacijskih mreža u frekvencijskom pojasu </w:t>
      </w:r>
      <w:r>
        <w:rPr>
          <w:rFonts w:ascii="Times New Roman" w:hAnsi="Times New Roman"/>
          <w:sz w:val="24"/>
          <w:szCs w:val="24"/>
        </w:rPr>
        <w:t>2500</w:t>
      </w:r>
      <w:r w:rsidRPr="00415A06">
        <w:rPr>
          <w:rFonts w:ascii="Times New Roman" w:hAnsi="Times New Roman"/>
          <w:sz w:val="24"/>
          <w:szCs w:val="24"/>
        </w:rPr>
        <w:t xml:space="preserve"> – </w:t>
      </w:r>
      <w:r>
        <w:rPr>
          <w:rFonts w:ascii="Times New Roman" w:hAnsi="Times New Roman"/>
          <w:sz w:val="24"/>
          <w:szCs w:val="24"/>
        </w:rPr>
        <w:t xml:space="preserve">2690 MHz, definira se </w:t>
      </w:r>
      <w:r w:rsidRPr="00415A06">
        <w:rPr>
          <w:rFonts w:ascii="Times New Roman" w:hAnsi="Times New Roman"/>
          <w:sz w:val="24"/>
          <w:szCs w:val="24"/>
        </w:rPr>
        <w:t xml:space="preserve">maska ruba kanala </w:t>
      </w:r>
      <w:r>
        <w:rPr>
          <w:rFonts w:ascii="Times New Roman" w:hAnsi="Times New Roman"/>
          <w:sz w:val="24"/>
          <w:szCs w:val="24"/>
        </w:rPr>
        <w:t xml:space="preserve">(BEM) </w:t>
      </w:r>
      <w:r w:rsidRPr="00415A06">
        <w:rPr>
          <w:rFonts w:ascii="Times New Roman" w:hAnsi="Times New Roman"/>
          <w:sz w:val="24"/>
          <w:szCs w:val="24"/>
        </w:rPr>
        <w:t xml:space="preserve">koja je određena emisijom unutar bloka, emisijom u prijelaznim </w:t>
      </w:r>
      <w:r>
        <w:rPr>
          <w:rFonts w:ascii="Times New Roman" w:hAnsi="Times New Roman"/>
          <w:sz w:val="24"/>
          <w:szCs w:val="24"/>
        </w:rPr>
        <w:t xml:space="preserve">frekvencijama kako je propisano u </w:t>
      </w:r>
      <w:r w:rsidRPr="00415A06">
        <w:rPr>
          <w:rFonts w:ascii="Times New Roman" w:hAnsi="Times New Roman"/>
          <w:sz w:val="24"/>
          <w:szCs w:val="24"/>
        </w:rPr>
        <w:t xml:space="preserve"> </w:t>
      </w:r>
      <w:r w:rsidRPr="00415A06">
        <w:rPr>
          <w:rFonts w:ascii="Times New Roman" w:hAnsi="Times New Roman"/>
          <w:sz w:val="24"/>
          <w:szCs w:val="24"/>
        </w:rPr>
        <w:lastRenderedPageBreak/>
        <w:t>Tablici 2.</w:t>
      </w:r>
      <w:r>
        <w:rPr>
          <w:rFonts w:ascii="Times New Roman" w:hAnsi="Times New Roman"/>
          <w:sz w:val="24"/>
          <w:szCs w:val="24"/>
        </w:rPr>
        <w:t xml:space="preserve"> ovog Plana dodjele</w:t>
      </w:r>
      <w:r w:rsidRPr="00415A06">
        <w:rPr>
          <w:rFonts w:ascii="Times New Roman" w:hAnsi="Times New Roman"/>
          <w:sz w:val="24"/>
          <w:szCs w:val="24"/>
        </w:rPr>
        <w:t xml:space="preserve"> i emisijom izvan bloka</w:t>
      </w:r>
      <w:r>
        <w:rPr>
          <w:rFonts w:ascii="Times New Roman" w:hAnsi="Times New Roman"/>
          <w:sz w:val="24"/>
          <w:szCs w:val="24"/>
        </w:rPr>
        <w:t xml:space="preserve"> kako je propisano u </w:t>
      </w:r>
      <w:r w:rsidRPr="00415A06">
        <w:rPr>
          <w:rFonts w:ascii="Times New Roman" w:hAnsi="Times New Roman"/>
          <w:sz w:val="24"/>
          <w:szCs w:val="24"/>
        </w:rPr>
        <w:t xml:space="preserve"> Tablici 3</w:t>
      </w:r>
      <w:r>
        <w:rPr>
          <w:rFonts w:ascii="Times New Roman" w:hAnsi="Times New Roman"/>
          <w:sz w:val="24"/>
          <w:szCs w:val="24"/>
        </w:rPr>
        <w:t xml:space="preserve">. ovog Plana dodjele. </w:t>
      </w:r>
    </w:p>
    <w:p w14:paraId="7E0094C8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2) Neograničavajuća maska ruba kanala (BEM) određena je u Tablicama 2., 3. i 4. ovog Plana dodjele na način da granična vrijednost za pojedinu frekvenciju odgovara većoj vrijednosti od vrijednosti propisane za emisije izvan bloka i vrijednosti propisane za pojedini frekvencijski blok.</w:t>
      </w:r>
    </w:p>
    <w:p w14:paraId="7758A986" w14:textId="77777777" w:rsidR="008E21E8" w:rsidRPr="009D6877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>Tablica 2.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emisije unutar bloka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4531"/>
        <w:gridCol w:w="4678"/>
      </w:tblGrid>
      <w:tr w:rsidR="008E21E8" w14:paraId="13294159" w14:textId="77777777" w:rsidTr="00E15981">
        <w:tc>
          <w:tcPr>
            <w:tcW w:w="4531" w:type="dxa"/>
            <w:vAlign w:val="center"/>
          </w:tcPr>
          <w:p w14:paraId="1F6C7709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4678" w:type="dxa"/>
            <w:vAlign w:val="center"/>
          </w:tcPr>
          <w:p w14:paraId="1F1F69C4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Ograničenje ekvivalentne izotropno izračene snage </w:t>
            </w:r>
            <w:r w:rsidRPr="001D4E6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(EIRP)</w:t>
            </w:r>
          </w:p>
        </w:tc>
      </w:tr>
      <w:tr w:rsidR="008E21E8" w14:paraId="1F59AC28" w14:textId="77777777" w:rsidTr="00E15981">
        <w:trPr>
          <w:trHeight w:val="521"/>
        </w:trPr>
        <w:tc>
          <w:tcPr>
            <w:tcW w:w="4531" w:type="dxa"/>
            <w:vAlign w:val="center"/>
          </w:tcPr>
          <w:p w14:paraId="30BCAF33" w14:textId="77777777" w:rsidR="008E21E8" w:rsidRPr="00417C93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C93">
              <w:rPr>
                <w:rFonts w:ascii="Times New Roman" w:eastAsia="Times New Roman" w:hAnsi="Times New Roman" w:cs="Times New Roman"/>
                <w:sz w:val="24"/>
                <w:szCs w:val="24"/>
              </w:rPr>
              <w:t>Blok dod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Pr="00417C93">
              <w:rPr>
                <w:rFonts w:ascii="Times New Roman" w:eastAsia="Times New Roman" w:hAnsi="Times New Roman" w:cs="Times New Roman"/>
                <w:sz w:val="24"/>
                <w:szCs w:val="24"/>
              </w:rPr>
              <w:t>jeljen operatoru</w:t>
            </w:r>
          </w:p>
        </w:tc>
        <w:tc>
          <w:tcPr>
            <w:tcW w:w="4678" w:type="dxa"/>
            <w:vAlign w:val="center"/>
          </w:tcPr>
          <w:p w14:paraId="519A1663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+61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</w:tbl>
    <w:p w14:paraId="4E2E4C5A" w14:textId="77777777" w:rsidR="008E21E8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61340005" w14:textId="77777777" w:rsidR="008E21E8" w:rsidRPr="009D6877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>
        <w:rPr>
          <w:rFonts w:ascii="Times New Roman" w:eastAsia="Times New Roman" w:hAnsi="Times New Roman"/>
          <w:i/>
          <w:sz w:val="24"/>
          <w:szCs w:val="24"/>
        </w:rPr>
        <w:t>3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emisije izvan bloka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5382"/>
        <w:gridCol w:w="3827"/>
      </w:tblGrid>
      <w:tr w:rsidR="008E21E8" w14:paraId="763F64C5" w14:textId="77777777" w:rsidTr="00E15981">
        <w:tc>
          <w:tcPr>
            <w:tcW w:w="5382" w:type="dxa"/>
            <w:vAlign w:val="center"/>
          </w:tcPr>
          <w:p w14:paraId="22F1AC2A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3827" w:type="dxa"/>
            <w:vAlign w:val="center"/>
          </w:tcPr>
          <w:p w14:paraId="2C6693C3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Maksimalna srednja ekvivalentna izotropno izračena snaga </w:t>
            </w:r>
            <w:r w:rsidRPr="001D4E6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(EIRP)</w:t>
            </w:r>
          </w:p>
        </w:tc>
      </w:tr>
      <w:tr w:rsidR="008E21E8" w14:paraId="16BC0360" w14:textId="77777777" w:rsidTr="00E15981">
        <w:trPr>
          <w:trHeight w:val="521"/>
        </w:trPr>
        <w:tc>
          <w:tcPr>
            <w:tcW w:w="5382" w:type="dxa"/>
            <w:vAlign w:val="center"/>
          </w:tcPr>
          <w:p w14:paraId="7909DDF6" w14:textId="77777777" w:rsidR="008E21E8" w:rsidRPr="00417C93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2615 – 2620 MHz odnosno FDD blokovi silazne veze (uključujući i SDL blokove), TDD blokovi sinkronizirani s TDD blokom koji je uzrok smetnje ili oni TDD blokovi koji se koriste isključivo za silaznu vezu. </w:t>
            </w:r>
          </w:p>
        </w:tc>
        <w:tc>
          <w:tcPr>
            <w:tcW w:w="3827" w:type="dxa"/>
            <w:vAlign w:val="center"/>
          </w:tcPr>
          <w:p w14:paraId="0A952513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+4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  <w:tr w:rsidR="008E21E8" w14:paraId="109906B8" w14:textId="77777777" w:rsidTr="00E15981">
        <w:trPr>
          <w:trHeight w:val="521"/>
        </w:trPr>
        <w:tc>
          <w:tcPr>
            <w:tcW w:w="5382" w:type="dxa"/>
            <w:vAlign w:val="center"/>
          </w:tcPr>
          <w:p w14:paraId="45DA3990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Frekvencije u pojasu 2500 – 2690 MHz koje nisu obuhvaćene definicijom iz prethodnog retka. </w:t>
            </w:r>
          </w:p>
        </w:tc>
        <w:tc>
          <w:tcPr>
            <w:tcW w:w="3827" w:type="dxa"/>
            <w:vAlign w:val="center"/>
          </w:tcPr>
          <w:p w14:paraId="5FDF3249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-45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</w:tbl>
    <w:p w14:paraId="59A37F68" w14:textId="77777777" w:rsidR="008E21E8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</w:p>
    <w:p w14:paraId="705BAC51" w14:textId="77777777" w:rsidR="008E21E8" w:rsidRPr="009D6877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>
        <w:rPr>
          <w:rFonts w:ascii="Times New Roman" w:eastAsia="Times New Roman" w:hAnsi="Times New Roman"/>
          <w:i/>
          <w:sz w:val="24"/>
          <w:szCs w:val="24"/>
        </w:rPr>
        <w:t>4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 xml:space="preserve">emisije u </w:t>
      </w:r>
      <w:r w:rsidRPr="00415A06">
        <w:rPr>
          <w:rFonts w:ascii="Times New Roman" w:hAnsi="Times New Roman"/>
          <w:sz w:val="24"/>
          <w:szCs w:val="24"/>
        </w:rPr>
        <w:t xml:space="preserve">prijelaznim </w:t>
      </w:r>
      <w:r>
        <w:rPr>
          <w:rFonts w:ascii="Times New Roman" w:hAnsi="Times New Roman"/>
          <w:sz w:val="24"/>
          <w:szCs w:val="24"/>
        </w:rPr>
        <w:t>frekvencijama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5382"/>
        <w:gridCol w:w="3827"/>
      </w:tblGrid>
      <w:tr w:rsidR="008E21E8" w14:paraId="4AD2A620" w14:textId="77777777" w:rsidTr="00E15981">
        <w:tc>
          <w:tcPr>
            <w:tcW w:w="5382" w:type="dxa"/>
            <w:vAlign w:val="center"/>
          </w:tcPr>
          <w:p w14:paraId="07EEA314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3827" w:type="dxa"/>
            <w:vAlign w:val="center"/>
          </w:tcPr>
          <w:p w14:paraId="68F2EF49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Maksimalna srednja ekvivalentna izotropno izračena snaga </w:t>
            </w:r>
            <w:r w:rsidRPr="001D4E6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(EIRP)</w:t>
            </w:r>
          </w:p>
        </w:tc>
      </w:tr>
      <w:tr w:rsidR="008E21E8" w14:paraId="5BEED61F" w14:textId="77777777" w:rsidTr="00E15981">
        <w:trPr>
          <w:trHeight w:val="521"/>
        </w:trPr>
        <w:tc>
          <w:tcPr>
            <w:tcW w:w="5382" w:type="dxa"/>
            <w:vAlign w:val="center"/>
          </w:tcPr>
          <w:p w14:paraId="0E3BF4F7" w14:textId="77777777" w:rsidR="008E21E8" w:rsidRPr="00417C93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-5 do 0 MHz 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od donjeg ruba dodijeljenog bloka</w:t>
            </w:r>
          </w:p>
        </w:tc>
        <w:tc>
          <w:tcPr>
            <w:tcW w:w="3827" w:type="dxa"/>
            <w:vAlign w:val="center"/>
          </w:tcPr>
          <w:p w14:paraId="2D316B51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+16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  <w:tr w:rsidR="008E21E8" w14:paraId="6B86F860" w14:textId="77777777" w:rsidTr="00E15981">
        <w:trPr>
          <w:trHeight w:val="521"/>
        </w:trPr>
        <w:tc>
          <w:tcPr>
            <w:tcW w:w="5382" w:type="dxa"/>
            <w:vAlign w:val="center"/>
          </w:tcPr>
          <w:p w14:paraId="749938FA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0 do +5 MHz 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od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gor</w:t>
            </w:r>
            <w:r w:rsidRPr="000D55EA">
              <w:rPr>
                <w:rFonts w:ascii="Times New Roman" w:eastAsia="Times New Roman" w:hAnsi="Times New Roman" w:cs="Times New Roman"/>
                <w:sz w:val="24"/>
                <w:szCs w:val="24"/>
              </w:rPr>
              <w:t>njeg ruba dodijeljenog bloka</w:t>
            </w:r>
          </w:p>
        </w:tc>
        <w:tc>
          <w:tcPr>
            <w:tcW w:w="3827" w:type="dxa"/>
            <w:vAlign w:val="center"/>
          </w:tcPr>
          <w:p w14:paraId="352BC73B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+16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</w:tbl>
    <w:p w14:paraId="33F361D4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1AFCCBAC" w14:textId="77777777" w:rsidR="008E21E8" w:rsidRPr="00B603C3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3) Iznimno, Hrvatska regulatorna agencija za mrežne djelatnosti može, na zahtjev operatora, dozvoliti rad s ograničenjem </w:t>
      </w:r>
      <w:r w:rsidRPr="009B638A">
        <w:rPr>
          <w:rFonts w:ascii="Times New Roman" w:hAnsi="Times New Roman"/>
          <w:sz w:val="24"/>
          <w:szCs w:val="24"/>
        </w:rPr>
        <w:t>ekvivalentne izotropn</w:t>
      </w:r>
      <w:r>
        <w:rPr>
          <w:rFonts w:ascii="Times New Roman" w:hAnsi="Times New Roman"/>
          <w:sz w:val="24"/>
          <w:szCs w:val="24"/>
        </w:rPr>
        <w:t>e</w:t>
      </w:r>
      <w:r w:rsidRPr="009B638A">
        <w:rPr>
          <w:rFonts w:ascii="Times New Roman" w:hAnsi="Times New Roman"/>
          <w:sz w:val="24"/>
          <w:szCs w:val="24"/>
        </w:rPr>
        <w:t xml:space="preserve"> izračene snage (EIRP)</w:t>
      </w:r>
      <w:r>
        <w:rPr>
          <w:rFonts w:ascii="Times New Roman" w:hAnsi="Times New Roman"/>
          <w:sz w:val="24"/>
          <w:szCs w:val="24"/>
        </w:rPr>
        <w:t xml:space="preserve"> od 68 dBm/5 MHz, u opravdanim slučajevima.</w:t>
      </w:r>
      <w:r w:rsidRPr="00B603C3">
        <w:rPr>
          <w:rFonts w:cs="Arial"/>
          <w:lang w:val="en-GB"/>
        </w:rPr>
        <w:t xml:space="preserve"> </w:t>
      </w:r>
    </w:p>
    <w:p w14:paraId="6F1E4E2A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4) Sinkronizirani način rada podrazumijeva rad dvije različite TDD mreže kod kojih nema istovremene transmisije uzlazne i silazne veze.</w:t>
      </w:r>
    </w:p>
    <w:p w14:paraId="78A98270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lastRenderedPageBreak/>
        <w:t>(</w:t>
      </w:r>
      <w:r>
        <w:rPr>
          <w:rFonts w:ascii="Times New Roman" w:hAnsi="Times New Roman"/>
          <w:sz w:val="24"/>
          <w:szCs w:val="24"/>
        </w:rPr>
        <w:t>5) Ograničavajuća maska ruba kanala (BEM) određena je Tablicama 3. i 5. ovog Plana dodjele na način da granična vrijednost za pojedinu frekvenciju odgovara većoj vrijednosti od vrijednosti propisane za emisije izvan bloka i vrijednosti propisane za pojedini frekvencijski blok.</w:t>
      </w:r>
    </w:p>
    <w:p w14:paraId="19FDF328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  <w:r w:rsidRPr="00D64A8A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>6) Ograničavajuća maska ruba kanala (BEM) primjenjuje se za svaki blok širine 5 MHz u slučaju nesinkroniziranog načina rada između TDD mreža odnosno za blok 2570 – 2575 MHz osim kada se taj blok koristi za uzlaznu vezu.</w:t>
      </w:r>
    </w:p>
    <w:p w14:paraId="3E6611BC" w14:textId="77777777" w:rsidR="008E21E8" w:rsidRDefault="008E21E8" w:rsidP="008E21E8">
      <w:pPr>
        <w:jc w:val="both"/>
        <w:rPr>
          <w:rFonts w:ascii="Times New Roman" w:hAnsi="Times New Roman"/>
          <w:sz w:val="24"/>
          <w:szCs w:val="24"/>
        </w:rPr>
      </w:pPr>
    </w:p>
    <w:p w14:paraId="6CC328B8" w14:textId="77777777" w:rsidR="008E21E8" w:rsidRPr="009D6877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>
        <w:rPr>
          <w:rFonts w:ascii="Times New Roman" w:eastAsia="Times New Roman" w:hAnsi="Times New Roman"/>
          <w:i/>
          <w:sz w:val="24"/>
          <w:szCs w:val="24"/>
        </w:rPr>
        <w:t>5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 xml:space="preserve">BEM </w:t>
      </w:r>
      <w:r>
        <w:rPr>
          <w:rFonts w:ascii="Times New Roman" w:eastAsia="Times New Roman" w:hAnsi="Times New Roman"/>
          <w:sz w:val="24"/>
          <w:szCs w:val="24"/>
        </w:rPr>
        <w:t>emisije unutar bloka s ograničenjem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4531"/>
        <w:gridCol w:w="4678"/>
      </w:tblGrid>
      <w:tr w:rsidR="008E21E8" w14:paraId="755CE6F8" w14:textId="77777777" w:rsidTr="00E15981">
        <w:tc>
          <w:tcPr>
            <w:tcW w:w="4531" w:type="dxa"/>
            <w:vAlign w:val="center"/>
          </w:tcPr>
          <w:p w14:paraId="15FE095E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 w:rsidRPr="000D55E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Frekvencijski pojas</w:t>
            </w:r>
          </w:p>
        </w:tc>
        <w:tc>
          <w:tcPr>
            <w:tcW w:w="4678" w:type="dxa"/>
            <w:vAlign w:val="center"/>
          </w:tcPr>
          <w:p w14:paraId="4DBA0BA0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Ograničenje ekvivalentne izotropno izračene </w:t>
            </w:r>
            <w:r w:rsidRPr="001D4E60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snage (EIRP)</w:t>
            </w:r>
          </w:p>
        </w:tc>
      </w:tr>
      <w:tr w:rsidR="008E21E8" w14:paraId="0BFDD870" w14:textId="77777777" w:rsidTr="00E15981">
        <w:trPr>
          <w:trHeight w:val="521"/>
        </w:trPr>
        <w:tc>
          <w:tcPr>
            <w:tcW w:w="4531" w:type="dxa"/>
            <w:vAlign w:val="center"/>
          </w:tcPr>
          <w:p w14:paraId="08159CE0" w14:textId="77777777" w:rsidR="008E21E8" w:rsidRPr="00417C93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7C93">
              <w:rPr>
                <w:rFonts w:ascii="Times New Roman" w:eastAsia="Times New Roman" w:hAnsi="Times New Roman" w:cs="Times New Roman"/>
                <w:sz w:val="24"/>
                <w:szCs w:val="24"/>
              </w:rPr>
              <w:t>Blok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ovi s ograničenje sukladno članku 5.</w:t>
            </w:r>
          </w:p>
        </w:tc>
        <w:tc>
          <w:tcPr>
            <w:tcW w:w="4678" w:type="dxa"/>
            <w:vAlign w:val="center"/>
          </w:tcPr>
          <w:p w14:paraId="402FFCB1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+25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</w:tbl>
    <w:p w14:paraId="2464F4C4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</w:p>
    <w:p w14:paraId="500EBFE5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(7) Operatori kojima su dodijeljeni susjedni blokovi mogu, uz prethodno odobrenje Hrvatske regulatorne agencije za mrežne djelatnosti , dogovoriti korištenje drugačije maske ruba kanala (BEM) od one definirane stavcima 2. i 5. ovog članka.</w:t>
      </w:r>
    </w:p>
    <w:p w14:paraId="60E492F9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</w:p>
    <w:p w14:paraId="3BE7520B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t>Tehnički uvjeti za krajnje postaje</w:t>
      </w:r>
    </w:p>
    <w:p w14:paraId="344345F1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13DEEF24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Članak 3.</w:t>
      </w:r>
    </w:p>
    <w:p w14:paraId="6A890195" w14:textId="77777777" w:rsidR="008E21E8" w:rsidRDefault="008E21E8" w:rsidP="008E21E8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14:paraId="250E923D" w14:textId="77777777" w:rsidR="008E21E8" w:rsidRPr="00F64685" w:rsidRDefault="008E21E8" w:rsidP="008E21E8">
      <w:pPr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(1) </w:t>
      </w:r>
      <w:r w:rsidRPr="00F64685">
        <w:rPr>
          <w:rFonts w:ascii="Times New Roman" w:eastAsia="Times New Roman" w:hAnsi="Times New Roman"/>
          <w:sz w:val="24"/>
          <w:szCs w:val="24"/>
        </w:rPr>
        <w:t>Granične vrijednosti emisij</w:t>
      </w:r>
      <w:r>
        <w:rPr>
          <w:rFonts w:ascii="Times New Roman" w:eastAsia="Times New Roman" w:hAnsi="Times New Roman"/>
          <w:sz w:val="24"/>
          <w:szCs w:val="24"/>
        </w:rPr>
        <w:t>a unutar bloka</w:t>
      </w:r>
      <w:r w:rsidRPr="00F64685">
        <w:rPr>
          <w:rFonts w:ascii="Times New Roman" w:eastAsia="Times New Roman" w:hAnsi="Times New Roman"/>
          <w:sz w:val="24"/>
          <w:szCs w:val="24"/>
        </w:rPr>
        <w:t xml:space="preserve"> za krajnje postaje određene su </w:t>
      </w:r>
      <w:r>
        <w:rPr>
          <w:rFonts w:ascii="Times New Roman" w:eastAsia="Times New Roman" w:hAnsi="Times New Roman"/>
          <w:sz w:val="24"/>
          <w:szCs w:val="24"/>
        </w:rPr>
        <w:t xml:space="preserve">u </w:t>
      </w:r>
      <w:r w:rsidRPr="00F64685">
        <w:rPr>
          <w:rFonts w:ascii="Times New Roman" w:eastAsia="Times New Roman" w:hAnsi="Times New Roman"/>
          <w:sz w:val="24"/>
          <w:szCs w:val="24"/>
        </w:rPr>
        <w:t>Tablic</w:t>
      </w:r>
      <w:r>
        <w:rPr>
          <w:rFonts w:ascii="Times New Roman" w:eastAsia="Times New Roman" w:hAnsi="Times New Roman"/>
          <w:sz w:val="24"/>
          <w:szCs w:val="24"/>
        </w:rPr>
        <w:t>i</w:t>
      </w:r>
      <w:r w:rsidRPr="00F64685">
        <w:rPr>
          <w:rFonts w:ascii="Times New Roman" w:eastAsia="Times New Roman" w:hAnsi="Times New Roman"/>
          <w:sz w:val="24"/>
          <w:szCs w:val="24"/>
        </w:rPr>
        <w:t xml:space="preserve"> 6.</w:t>
      </w:r>
    </w:p>
    <w:p w14:paraId="3B0CF139" w14:textId="77777777" w:rsidR="008E21E8" w:rsidRPr="009D6877" w:rsidRDefault="008E21E8" w:rsidP="008E21E8">
      <w:pPr>
        <w:spacing w:line="240" w:lineRule="auto"/>
        <w:jc w:val="both"/>
        <w:rPr>
          <w:rFonts w:ascii="Times New Roman" w:eastAsia="Times New Roman" w:hAnsi="Times New Roman"/>
          <w:i/>
          <w:sz w:val="24"/>
          <w:szCs w:val="24"/>
        </w:rPr>
      </w:pPr>
      <w:r w:rsidRPr="000D55EA">
        <w:rPr>
          <w:rFonts w:ascii="Times New Roman" w:eastAsia="Times New Roman" w:hAnsi="Times New Roman"/>
          <w:i/>
          <w:sz w:val="24"/>
          <w:szCs w:val="24"/>
        </w:rPr>
        <w:t xml:space="preserve">Tablica </w:t>
      </w:r>
      <w:r>
        <w:rPr>
          <w:rFonts w:ascii="Times New Roman" w:eastAsia="Times New Roman" w:hAnsi="Times New Roman"/>
          <w:i/>
          <w:sz w:val="24"/>
          <w:szCs w:val="24"/>
        </w:rPr>
        <w:t>6</w:t>
      </w:r>
      <w:r w:rsidRPr="000D55EA">
        <w:rPr>
          <w:rFonts w:ascii="Times New Roman" w:eastAsia="Times New Roman" w:hAnsi="Times New Roman"/>
          <w:i/>
          <w:sz w:val="24"/>
          <w:szCs w:val="24"/>
        </w:rPr>
        <w:t>.</w:t>
      </w:r>
      <w:r>
        <w:rPr>
          <w:rFonts w:ascii="Times New Roman" w:eastAsia="Times New Roman" w:hAnsi="Times New Roman"/>
          <w:i/>
          <w:sz w:val="24"/>
          <w:szCs w:val="24"/>
        </w:rPr>
        <w:t xml:space="preserve"> </w:t>
      </w:r>
      <w:r w:rsidRPr="000D55EA">
        <w:rPr>
          <w:rFonts w:ascii="Times New Roman" w:eastAsia="Times New Roman" w:hAnsi="Times New Roman"/>
          <w:sz w:val="24"/>
          <w:szCs w:val="24"/>
        </w:rPr>
        <w:t>BEM</w:t>
      </w:r>
      <w:r>
        <w:rPr>
          <w:rFonts w:ascii="Times New Roman" w:eastAsia="Times New Roman" w:hAnsi="Times New Roman"/>
          <w:sz w:val="24"/>
          <w:szCs w:val="24"/>
        </w:rPr>
        <w:t xml:space="preserve"> emisije unutar bloka za krajnje postaje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3539"/>
        <w:gridCol w:w="5670"/>
      </w:tblGrid>
      <w:tr w:rsidR="008E21E8" w14:paraId="590F2608" w14:textId="77777777" w:rsidTr="00E15981">
        <w:trPr>
          <w:trHeight w:val="756"/>
        </w:trPr>
        <w:tc>
          <w:tcPr>
            <w:tcW w:w="3539" w:type="dxa"/>
            <w:vAlign w:val="center"/>
          </w:tcPr>
          <w:p w14:paraId="7A8EE0FC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5670" w:type="dxa"/>
            <w:vAlign w:val="center"/>
          </w:tcPr>
          <w:p w14:paraId="565A161C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Maksimalna srednja snaga (uključujući )</w:t>
            </w:r>
          </w:p>
        </w:tc>
      </w:tr>
      <w:tr w:rsidR="008E21E8" w14:paraId="0940F17F" w14:textId="77777777" w:rsidTr="00E15981">
        <w:trPr>
          <w:trHeight w:val="521"/>
        </w:trPr>
        <w:tc>
          <w:tcPr>
            <w:tcW w:w="3539" w:type="dxa"/>
            <w:vAlign w:val="center"/>
          </w:tcPr>
          <w:p w14:paraId="3532F665" w14:textId="77777777" w:rsidR="008E21E8" w:rsidRPr="00417C93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Ukupna izračena snaga (TRP)</w:t>
            </w:r>
          </w:p>
        </w:tc>
        <w:tc>
          <w:tcPr>
            <w:tcW w:w="5670" w:type="dxa"/>
            <w:vAlign w:val="center"/>
          </w:tcPr>
          <w:p w14:paraId="7F235355" w14:textId="77777777" w:rsidR="008E21E8" w:rsidRPr="006A2FCF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31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  <w:tr w:rsidR="008E21E8" w14:paraId="5ADA0016" w14:textId="77777777" w:rsidTr="00E15981">
        <w:trPr>
          <w:trHeight w:val="521"/>
        </w:trPr>
        <w:tc>
          <w:tcPr>
            <w:tcW w:w="3539" w:type="dxa"/>
            <w:vAlign w:val="center"/>
          </w:tcPr>
          <w:p w14:paraId="1B7D544E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EIRP</w:t>
            </w:r>
          </w:p>
        </w:tc>
        <w:tc>
          <w:tcPr>
            <w:tcW w:w="5670" w:type="dxa"/>
            <w:vAlign w:val="center"/>
          </w:tcPr>
          <w:p w14:paraId="3217EC89" w14:textId="77777777" w:rsidR="008E21E8" w:rsidRDefault="008E21E8" w:rsidP="00E15981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35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dBm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/5 MHz</w:t>
            </w:r>
          </w:p>
        </w:tc>
      </w:tr>
    </w:tbl>
    <w:p w14:paraId="78422E4C" w14:textId="77777777" w:rsidR="008E21E8" w:rsidRPr="00F64685" w:rsidRDefault="008E21E8" w:rsidP="008E21E8">
      <w:pPr>
        <w:rPr>
          <w:rFonts w:ascii="Times New Roman" w:eastAsia="Times New Roman" w:hAnsi="Times New Roman"/>
          <w:sz w:val="24"/>
          <w:szCs w:val="24"/>
        </w:rPr>
      </w:pPr>
    </w:p>
    <w:p w14:paraId="1DF6FF70" w14:textId="77777777" w:rsidR="008E21E8" w:rsidRDefault="008E21E8" w:rsidP="008E21E8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3E4336">
        <w:rPr>
          <w:rFonts w:ascii="Times New Roman" w:eastAsia="Times New Roman" w:hAnsi="Times New Roman"/>
          <w:sz w:val="24"/>
          <w:szCs w:val="24"/>
        </w:rPr>
        <w:t>(</w:t>
      </w:r>
      <w:r>
        <w:rPr>
          <w:rFonts w:ascii="Times New Roman" w:eastAsia="Times New Roman" w:hAnsi="Times New Roman"/>
          <w:sz w:val="24"/>
          <w:szCs w:val="24"/>
        </w:rPr>
        <w:t>2) Ograničenje ekvivalentne izotropno izračene snage (EIRP) primjenjuje se za nepokretne i postavljene krajnje postaje, a ograničenje ukupne izračene snage (TRP) se primjenjuje za pokretne i prenosive krajnje postaje.</w:t>
      </w:r>
    </w:p>
    <w:p w14:paraId="27B23FD5" w14:textId="77777777" w:rsidR="008E21E8" w:rsidRDefault="008E21E8" w:rsidP="008E21E8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</w:p>
    <w:p w14:paraId="78B11762" w14:textId="77777777" w:rsidR="008E21E8" w:rsidRDefault="008E21E8" w:rsidP="008E21E8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</w:p>
    <w:p w14:paraId="3CDAF214" w14:textId="77777777" w:rsidR="008E21E8" w:rsidRPr="00E8780B" w:rsidRDefault="008E21E8" w:rsidP="008E21E8">
      <w:pPr>
        <w:spacing w:line="240" w:lineRule="auto"/>
        <w:jc w:val="both"/>
        <w:rPr>
          <w:rFonts w:ascii="Times New Roman" w:eastAsia="Times New Roman" w:hAnsi="Times New Roman"/>
          <w:sz w:val="24"/>
          <w:szCs w:val="24"/>
          <w:lang w:val="en-US"/>
        </w:rPr>
      </w:pPr>
    </w:p>
    <w:p w14:paraId="7C47A78A" w14:textId="77777777" w:rsidR="008E21E8" w:rsidRPr="00015063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i/>
          <w:sz w:val="24"/>
          <w:szCs w:val="24"/>
        </w:rPr>
      </w:pPr>
      <w:r>
        <w:rPr>
          <w:rFonts w:ascii="Times New Roman" w:eastAsia="Times New Roman" w:hAnsi="Times New Roman"/>
          <w:i/>
          <w:sz w:val="24"/>
          <w:szCs w:val="24"/>
        </w:rPr>
        <w:lastRenderedPageBreak/>
        <w:t>Stupanje na snagu</w:t>
      </w:r>
    </w:p>
    <w:p w14:paraId="63F35F2D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A973FE8" w14:textId="77777777" w:rsidR="008E21E8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>
        <w:rPr>
          <w:rFonts w:ascii="Times New Roman" w:eastAsia="Times New Roman" w:hAnsi="Times New Roman"/>
          <w:sz w:val="24"/>
          <w:szCs w:val="24"/>
        </w:rPr>
        <w:t>4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14:paraId="677B52BD" w14:textId="77777777" w:rsidR="008E21E8" w:rsidRPr="004A4345" w:rsidRDefault="008E21E8" w:rsidP="008E21E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012203FE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Ovaj Plan dodjele stupa na snagu osmi dan od dana objave u „Narodnim novinama“.</w:t>
      </w:r>
    </w:p>
    <w:p w14:paraId="10FFC6E5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3F7E0BB2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1937C19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Pr="004E17B5">
        <w:rPr>
          <w:rFonts w:ascii="Times New Roman" w:eastAsia="Times New Roman" w:hAnsi="Times New Roman"/>
          <w:sz w:val="24"/>
          <w:szCs w:val="24"/>
        </w:rPr>
        <w:t>011-02/16-02/14</w:t>
      </w:r>
    </w:p>
    <w:p w14:paraId="720CB7BA" w14:textId="182EF0B2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URBROJ: 376-03-16-1 </w:t>
      </w:r>
    </w:p>
    <w:p w14:paraId="6CF142F1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</w:p>
    <w:p w14:paraId="7EA218CC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2B9E570D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747E5AD2" w14:textId="77777777" w:rsidR="008E21E8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8E21E8" w:rsidRPr="001C5615" w14:paraId="6EE55ED4" w14:textId="77777777" w:rsidTr="00E15981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8E21E8" w:rsidRPr="001268FF" w14:paraId="7936DB85" w14:textId="77777777" w:rsidTr="00E15981">
              <w:tc>
                <w:tcPr>
                  <w:tcW w:w="4927" w:type="dxa"/>
                  <w:shd w:val="clear" w:color="auto" w:fill="auto"/>
                </w:tcPr>
                <w:p w14:paraId="2E6F26F9" w14:textId="77777777" w:rsidR="008E21E8" w:rsidRPr="001268FF" w:rsidRDefault="008E21E8" w:rsidP="00E15981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8E21E8" w:rsidRPr="001268FF" w14:paraId="6A62C6AE" w14:textId="77777777" w:rsidTr="00E15981">
              <w:tc>
                <w:tcPr>
                  <w:tcW w:w="4927" w:type="dxa"/>
                  <w:shd w:val="clear" w:color="auto" w:fill="auto"/>
                </w:tcPr>
                <w:p w14:paraId="48907EF1" w14:textId="77777777" w:rsidR="008E21E8" w:rsidRPr="001268FF" w:rsidRDefault="008E21E8" w:rsidP="00E15981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dr. sc. Dražen Lučić</w:t>
                  </w:r>
                </w:p>
              </w:tc>
            </w:tr>
          </w:tbl>
          <w:p w14:paraId="6A6CE6F6" w14:textId="77777777" w:rsidR="008E21E8" w:rsidRPr="001C5615" w:rsidRDefault="008E21E8" w:rsidP="00E15981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  <w:tr w:rsidR="008E21E8" w:rsidRPr="001C5615" w14:paraId="298C7B18" w14:textId="77777777" w:rsidTr="00E15981">
        <w:tc>
          <w:tcPr>
            <w:tcW w:w="4927" w:type="dxa"/>
            <w:shd w:val="clear" w:color="auto" w:fill="auto"/>
          </w:tcPr>
          <w:p w14:paraId="7073E7B2" w14:textId="77777777" w:rsidR="008E21E8" w:rsidRPr="001C5615" w:rsidRDefault="008E21E8" w:rsidP="00E15981">
            <w:pPr>
              <w:tabs>
                <w:tab w:val="center" w:pos="7655"/>
              </w:tabs>
              <w:spacing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szCs w:val="24"/>
                <w:lang w:eastAsia="hr-HR"/>
              </w:rPr>
            </w:pPr>
          </w:p>
        </w:tc>
      </w:tr>
    </w:tbl>
    <w:p w14:paraId="0D5B230F" w14:textId="77777777" w:rsidR="008E21E8" w:rsidRPr="004A4345" w:rsidRDefault="008E21E8" w:rsidP="008E21E8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6D0DCFF9" w14:textId="77777777" w:rsidR="008A3F90" w:rsidRPr="00BA46B6" w:rsidRDefault="008A3F90" w:rsidP="008E21E8">
      <w:pPr>
        <w:pStyle w:val="BodyText21"/>
        <w:overflowPunct/>
        <w:autoSpaceDE/>
        <w:autoSpaceDN/>
        <w:adjustRightInd/>
        <w:jc w:val="center"/>
        <w:textAlignment w:val="auto"/>
      </w:pPr>
    </w:p>
    <w:sectPr w:rsidR="008A3F90" w:rsidRPr="00BA46B6" w:rsidSect="001B4ABA">
      <w:head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CB3D1E7" w14:textId="77777777" w:rsidR="00692D64" w:rsidRDefault="00692D64" w:rsidP="004053A2">
      <w:pPr>
        <w:spacing w:after="0" w:line="240" w:lineRule="auto"/>
      </w:pPr>
      <w:r>
        <w:separator/>
      </w:r>
    </w:p>
  </w:endnote>
  <w:endnote w:type="continuationSeparator" w:id="0">
    <w:p w14:paraId="4F12C938" w14:textId="77777777" w:rsidR="00692D64" w:rsidRDefault="00692D64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58502F" w14:textId="77777777" w:rsidR="00692D64" w:rsidRDefault="00692D64" w:rsidP="004053A2">
      <w:pPr>
        <w:spacing w:after="0" w:line="240" w:lineRule="auto"/>
      </w:pPr>
      <w:r>
        <w:separator/>
      </w:r>
    </w:p>
  </w:footnote>
  <w:footnote w:type="continuationSeparator" w:id="0">
    <w:p w14:paraId="07D1C9EF" w14:textId="77777777" w:rsidR="00692D64" w:rsidRDefault="00692D64" w:rsidP="004053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DDC5124" w14:textId="0E0B93FE" w:rsidR="00495D6B" w:rsidRPr="00E00B2E" w:rsidRDefault="00495D6B">
    <w:pPr>
      <w:pStyle w:val="Header"/>
      <w:rPr>
        <w:b/>
      </w:rPr>
    </w:pPr>
    <w:r w:rsidRPr="00E00B2E">
      <w:rPr>
        <w:b/>
      </w:rPr>
      <w:t>PRIJEDLOG ZA JAVNU RASPRAVU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5CBA08" w14:textId="77777777" w:rsidR="007B6F25" w:rsidRPr="008C4002" w:rsidRDefault="00E67AAA">
    <w:pPr>
      <w:pStyle w:val="Header"/>
      <w:rPr>
        <w:b/>
      </w:rPr>
    </w:pPr>
    <w:r w:rsidRPr="008C4002">
      <w:rPr>
        <w:b/>
      </w:rPr>
      <w:t>PRIJEDLOG ZA JAVNU RASPRAVU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6"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920EC"/>
    <w:rsid w:val="000A7273"/>
    <w:rsid w:val="000C247E"/>
    <w:rsid w:val="0010107E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C3695"/>
    <w:rsid w:val="002F2AFB"/>
    <w:rsid w:val="0030519C"/>
    <w:rsid w:val="00315CDF"/>
    <w:rsid w:val="0031645C"/>
    <w:rsid w:val="00352BFB"/>
    <w:rsid w:val="0035647F"/>
    <w:rsid w:val="00393DEF"/>
    <w:rsid w:val="003B3FB5"/>
    <w:rsid w:val="003C3A08"/>
    <w:rsid w:val="003D4EC2"/>
    <w:rsid w:val="003E6F69"/>
    <w:rsid w:val="004053A2"/>
    <w:rsid w:val="00495D6B"/>
    <w:rsid w:val="0049769C"/>
    <w:rsid w:val="004D31D3"/>
    <w:rsid w:val="00522B9F"/>
    <w:rsid w:val="005864D6"/>
    <w:rsid w:val="00586973"/>
    <w:rsid w:val="005C1A0F"/>
    <w:rsid w:val="005E3D14"/>
    <w:rsid w:val="005E4777"/>
    <w:rsid w:val="00611B85"/>
    <w:rsid w:val="006638BF"/>
    <w:rsid w:val="006802EE"/>
    <w:rsid w:val="00692D64"/>
    <w:rsid w:val="0069327E"/>
    <w:rsid w:val="006C007B"/>
    <w:rsid w:val="006E381A"/>
    <w:rsid w:val="006F0F7D"/>
    <w:rsid w:val="00711F33"/>
    <w:rsid w:val="00717BDC"/>
    <w:rsid w:val="007412BF"/>
    <w:rsid w:val="00763004"/>
    <w:rsid w:val="00793DCC"/>
    <w:rsid w:val="007A0350"/>
    <w:rsid w:val="008720F2"/>
    <w:rsid w:val="00886D59"/>
    <w:rsid w:val="008A3F90"/>
    <w:rsid w:val="008C1A02"/>
    <w:rsid w:val="008E21E8"/>
    <w:rsid w:val="009421E2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541A"/>
    <w:rsid w:val="00AD2685"/>
    <w:rsid w:val="00B15497"/>
    <w:rsid w:val="00B2013D"/>
    <w:rsid w:val="00B47FC2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74AA6"/>
    <w:rsid w:val="00C85D44"/>
    <w:rsid w:val="00CB637C"/>
    <w:rsid w:val="00CB74B8"/>
    <w:rsid w:val="00CC762F"/>
    <w:rsid w:val="00CF4F0E"/>
    <w:rsid w:val="00D23470"/>
    <w:rsid w:val="00D40A16"/>
    <w:rsid w:val="00D62682"/>
    <w:rsid w:val="00DA3866"/>
    <w:rsid w:val="00DB6F57"/>
    <w:rsid w:val="00E00B2E"/>
    <w:rsid w:val="00E073DD"/>
    <w:rsid w:val="00E578C8"/>
    <w:rsid w:val="00E57BCA"/>
    <w:rsid w:val="00E67AAA"/>
    <w:rsid w:val="00E73E93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EE4D6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  <w:style w:type="character" w:styleId="CommentReference">
    <w:name w:val="annotation reference"/>
    <w:basedOn w:val="DefaultParagraphFont"/>
    <w:uiPriority w:val="99"/>
    <w:semiHidden/>
    <w:unhideWhenUsed/>
    <w:rsid w:val="00E07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7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73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7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73DD"/>
    <w:rPr>
      <w:b/>
      <w:bCs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73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73DD"/>
    <w:rPr>
      <w:rFonts w:ascii="Segoe UI" w:hAnsi="Segoe UI" w:cs="Segoe UI"/>
      <w:sz w:val="18"/>
      <w:szCs w:val="18"/>
      <w:lang w:eastAsia="en-US"/>
    </w:rPr>
  </w:style>
  <w:style w:type="paragraph" w:customStyle="1" w:styleId="Tekst">
    <w:name w:val="Tekst"/>
    <w:rsid w:val="00E73E93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eastAsia="Times New Roman" w:hAnsi="Times New Roman"/>
      <w:sz w:val="24"/>
      <w:lang w:val="en-US"/>
    </w:rPr>
  </w:style>
  <w:style w:type="table" w:styleId="TableGrid">
    <w:name w:val="Table Grid"/>
    <w:basedOn w:val="TableNormal"/>
    <w:uiPriority w:val="59"/>
    <w:rsid w:val="00B47FC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E963D6-A4F2-48B4-A619-D741B4FB2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930</Words>
  <Characters>5305</Characters>
  <Application>Microsoft Office Word</Application>
  <DocSecurity>0</DocSecurity>
  <Lines>44</Lines>
  <Paragraphs>12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2</cp:revision>
  <cp:lastPrinted>2015-02-04T11:43:00Z</cp:lastPrinted>
  <dcterms:created xsi:type="dcterms:W3CDTF">2016-11-30T12:25:00Z</dcterms:created>
  <dcterms:modified xsi:type="dcterms:W3CDTF">2016-11-30T12:25:00Z</dcterms:modified>
</cp:coreProperties>
</file>