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37D1" w:rsidRPr="002C37D1" w:rsidRDefault="002C37D1" w:rsidP="002C37D1">
      <w:pPr>
        <w:spacing w:after="0" w:line="240" w:lineRule="auto"/>
        <w:rPr>
          <w:rFonts w:ascii="Times New Roman" w:eastAsia="Times New Roman" w:hAnsi="Times New Roman" w:cs="Times New Roman"/>
          <w:sz w:val="24"/>
          <w:szCs w:val="24"/>
          <w:lang w:eastAsia="hr-HR"/>
        </w:rPr>
      </w:pPr>
      <w:bookmarkStart w:id="0" w:name="_GoBack"/>
      <w:bookmarkEnd w:id="0"/>
      <w:r w:rsidRPr="002C37D1">
        <w:rPr>
          <w:rFonts w:ascii="Times New Roman" w:eastAsia="Times New Roman" w:hAnsi="Times New Roman" w:cs="Times New Roman"/>
          <w:sz w:val="24"/>
          <w:szCs w:val="24"/>
          <w:lang w:eastAsia="hr-HR"/>
        </w:rPr>
        <w:t>KLASA: UP/I-344-01/18-03/03</w:t>
      </w:r>
    </w:p>
    <w:p w:rsidR="002C37D1" w:rsidRPr="002C37D1" w:rsidRDefault="002C37D1" w:rsidP="002C37D1">
      <w:pPr>
        <w:spacing w:after="0" w:line="240" w:lineRule="auto"/>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URBROJ: 376-11-18-1</w:t>
      </w:r>
    </w:p>
    <w:p w:rsidR="002C37D1" w:rsidRPr="002C37D1" w:rsidRDefault="002C37D1" w:rsidP="002C37D1">
      <w:pPr>
        <w:spacing w:after="240" w:line="240" w:lineRule="auto"/>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 xml:space="preserve">Zagreb, 27. rujna 2018. </w:t>
      </w: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autoSpaceDE w:val="0"/>
        <w:autoSpaceDN w:val="0"/>
        <w:adjustRightInd w:val="0"/>
        <w:spacing w:after="12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 xml:space="preserve">Na temelju članka 12. stavka 1. točke 3. i članka 52. Zakona o elektroničkim komunikacijama (NN br. 73/08, 90/11, 133/12, 80/13, 71/14 i 72/17) u postupku analize tržišta veleprodajnog završavanja glasovnih poziva u vlastitoj mobilnoj mreži, Vijeće Hrvatske regulatorne agencije za mrežne djelatnosti na sjednici održanoj 27. rujna 2018. donosi </w:t>
      </w:r>
    </w:p>
    <w:p w:rsidR="002C37D1" w:rsidRPr="002C37D1" w:rsidRDefault="002C37D1" w:rsidP="002C37D1">
      <w:pPr>
        <w:spacing w:before="360" w:after="480" w:line="240" w:lineRule="auto"/>
        <w:jc w:val="center"/>
        <w:rPr>
          <w:rFonts w:ascii="Times New Roman" w:eastAsia="Times New Roman" w:hAnsi="Times New Roman" w:cs="Times New Roman"/>
          <w:b/>
          <w:color w:val="000000"/>
          <w:sz w:val="24"/>
          <w:szCs w:val="24"/>
          <w:lang w:eastAsia="hr-HR"/>
        </w:rPr>
      </w:pPr>
      <w:r w:rsidRPr="002C37D1">
        <w:rPr>
          <w:rFonts w:ascii="Times New Roman" w:eastAsia="Times New Roman" w:hAnsi="Times New Roman" w:cs="Times New Roman"/>
          <w:b/>
          <w:color w:val="000000"/>
          <w:sz w:val="24"/>
          <w:szCs w:val="24"/>
          <w:lang w:eastAsia="hr-HR"/>
        </w:rPr>
        <w:t>ODLUKU</w:t>
      </w:r>
    </w:p>
    <w:p w:rsidR="002C37D1" w:rsidRPr="002C37D1" w:rsidRDefault="002C37D1" w:rsidP="002C37D1">
      <w:pPr>
        <w:numPr>
          <w:ilvl w:val="0"/>
          <w:numId w:val="30"/>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Utvrđuje se da je mjerodavno tržište veleprodajnog završavanja glasovnih poziva u vlastitoj mobilnoj mreži, podložno prethodnoj regulaciji.</w:t>
      </w:r>
    </w:p>
    <w:p w:rsidR="002C37D1" w:rsidRPr="002C37D1" w:rsidRDefault="002C37D1" w:rsidP="002C37D1">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2C37D1" w:rsidRPr="002C37D1" w:rsidRDefault="002C37D1" w:rsidP="002C37D1">
      <w:pPr>
        <w:numPr>
          <w:ilvl w:val="0"/>
          <w:numId w:val="30"/>
        </w:numPr>
        <w:spacing w:after="0" w:line="240" w:lineRule="auto"/>
        <w:contextualSpacing/>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Trgovačka društva Hrvatski Telekom d.d., Zagreb, Roberta Frangeša Mihanovića 9, Tele2 d.o.o., Ulica grada Vukovara 269 d i Vipnet d.o.o., Vrtni put 1, određuju se operatorima sa značajnom tržišnom snagom na tržištu veleprodajnog završavanja glasovnih poziva u vlastitoj mobilnoj mreži.</w:t>
      </w:r>
    </w:p>
    <w:p w:rsidR="002C37D1" w:rsidRPr="002C37D1" w:rsidRDefault="002C37D1" w:rsidP="002C37D1">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2C37D1" w:rsidRPr="002C37D1" w:rsidRDefault="002C37D1" w:rsidP="002C37D1">
      <w:pPr>
        <w:numPr>
          <w:ilvl w:val="0"/>
          <w:numId w:val="30"/>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Društvima iz točke II. ove odluke određuju se sljedeće regulatorne obveze: obveza pristupa i korištenja posebnih dijelova mreže, obveza nediskriminacije, obveza transparentnosti i obveza nadzora cijena.</w:t>
      </w:r>
    </w:p>
    <w:p w:rsidR="002C37D1" w:rsidRPr="002C37D1" w:rsidRDefault="002C37D1" w:rsidP="002C37D1">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2C37D1" w:rsidRPr="002C37D1" w:rsidRDefault="002C37D1" w:rsidP="002C37D1">
      <w:pPr>
        <w:numPr>
          <w:ilvl w:val="0"/>
          <w:numId w:val="30"/>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lastRenderedPageBreak/>
        <w:t>Način, uvjeti i rokovi provođenja regulatornih obveza iz točke III. ove odluke propisani su dokumentom Hrvatske regulatorne agencije za mrežne djelatnosti „</w:t>
      </w:r>
      <w:r w:rsidRPr="002C37D1">
        <w:rPr>
          <w:rFonts w:ascii="Times New Roman" w:eastAsia="Times New Roman" w:hAnsi="Times New Roman" w:cs="Times New Roman"/>
          <w:i/>
          <w:sz w:val="24"/>
          <w:szCs w:val="24"/>
          <w:lang w:eastAsia="hr-HR"/>
        </w:rPr>
        <w:t>Tržište veleprodajnog završavanja glasovnih poziva u vlastitoj mobilnoj mreži</w:t>
      </w:r>
      <w:r w:rsidRPr="002C37D1">
        <w:rPr>
          <w:rFonts w:ascii="Times New Roman" w:eastAsia="Times New Roman" w:hAnsi="Times New Roman" w:cs="Times New Roman"/>
          <w:sz w:val="24"/>
          <w:szCs w:val="24"/>
          <w:lang w:eastAsia="hr-HR"/>
        </w:rPr>
        <w:t>“ koji je u cijelosti sastavni dio ove odluke, a trgovačka društva iz točke II. izreke ove odluke obvezna su u potpunosti izvršavati sve određene im regulatorne obveze.</w:t>
      </w:r>
    </w:p>
    <w:p w:rsidR="002C37D1" w:rsidRPr="002C37D1" w:rsidRDefault="002C37D1" w:rsidP="002C37D1">
      <w:pPr>
        <w:autoSpaceDE w:val="0"/>
        <w:autoSpaceDN w:val="0"/>
        <w:adjustRightInd w:val="0"/>
        <w:spacing w:after="0" w:line="240" w:lineRule="auto"/>
        <w:ind w:left="1080"/>
        <w:jc w:val="both"/>
        <w:rPr>
          <w:rFonts w:ascii="Times New Roman" w:eastAsia="Times New Roman" w:hAnsi="Times New Roman" w:cs="Times New Roman"/>
          <w:sz w:val="24"/>
          <w:szCs w:val="24"/>
          <w:lang w:eastAsia="hr-HR"/>
        </w:rPr>
      </w:pPr>
    </w:p>
    <w:p w:rsidR="002C37D1" w:rsidRPr="002C37D1" w:rsidRDefault="002C37D1" w:rsidP="002C37D1">
      <w:pPr>
        <w:numPr>
          <w:ilvl w:val="0"/>
          <w:numId w:val="30"/>
        </w:numPr>
        <w:spacing w:after="0" w:line="240" w:lineRule="auto"/>
        <w:contextualSpacing/>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Ukidaju se regulatorne obveze određene odlukom o analizi tržišta veleprodajnog završavanja glasovnih poziva u vlastitoj mobilnoj mreži (KLASA: UP/I-344-01/14-03/08, URBROJ: 376-11-15-16 od 30. ožujka 2015.) kao i svim njezinim izmjenama i dopunama.</w:t>
      </w:r>
    </w:p>
    <w:p w:rsidR="002C37D1" w:rsidRPr="002C37D1" w:rsidRDefault="002C37D1" w:rsidP="002C37D1">
      <w:pPr>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spacing w:before="120" w:after="120" w:line="240" w:lineRule="auto"/>
        <w:jc w:val="center"/>
        <w:rPr>
          <w:rFonts w:ascii="Times New Roman" w:eastAsia="Times New Roman" w:hAnsi="Times New Roman" w:cs="Times New Roman"/>
          <w:b/>
          <w:i/>
          <w:sz w:val="24"/>
          <w:szCs w:val="24"/>
          <w:lang w:eastAsia="hr-HR"/>
        </w:rPr>
      </w:pPr>
      <w:r w:rsidRPr="002C37D1">
        <w:rPr>
          <w:rFonts w:ascii="Times New Roman" w:eastAsia="Times New Roman" w:hAnsi="Times New Roman" w:cs="Times New Roman"/>
          <w:b/>
          <w:i/>
          <w:sz w:val="24"/>
          <w:szCs w:val="24"/>
          <w:lang w:eastAsia="hr-HR"/>
        </w:rPr>
        <w:t>Obrazloženje</w:t>
      </w:r>
    </w:p>
    <w:p w:rsidR="002C37D1" w:rsidRPr="002C37D1" w:rsidRDefault="002C37D1" w:rsidP="002C37D1">
      <w:pPr>
        <w:spacing w:before="120" w:after="120" w:line="240" w:lineRule="auto"/>
        <w:jc w:val="center"/>
        <w:rPr>
          <w:rFonts w:ascii="Times New Roman" w:eastAsia="Times New Roman" w:hAnsi="Times New Roman" w:cs="Times New Roman"/>
          <w:b/>
          <w:i/>
          <w:sz w:val="24"/>
          <w:szCs w:val="24"/>
          <w:lang w:eastAsia="hr-HR"/>
        </w:rPr>
      </w:pPr>
    </w:p>
    <w:p w:rsidR="002C37D1" w:rsidRPr="002C37D1" w:rsidRDefault="002C37D1" w:rsidP="002C37D1">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 xml:space="preserve">Hrvatska regulatorna agencija za mrežne djelatnosti (dalje: HAKOM) pokrenula je, u skladu s člankom 53. stavka 1. Zakona o elektroničkim komunikacijama (NN br. 73/08, 90/11, 133/12, 80/13, 71/14 i 72/17, dalje: ZEK) postupak utvrđivanja mjerodavnog tržišta veleprodajnog završavanja glasovnih poziva u vlastitoj mobilnoj mreži, budući da su od zadnje analize ovog tržišta prošle tri godine. </w:t>
      </w:r>
    </w:p>
    <w:p w:rsidR="002C37D1" w:rsidRPr="002C37D1" w:rsidRDefault="002C37D1" w:rsidP="002C37D1">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U provedbi postupka analize tržišta, HAKOM je sukladno članku 53. stavku 1. ZEK-a u svezi s člankom 52. stavkom 6. ZEK-a osobito vodio računa o primjeni mjerodavne Preporuke Europske komisije o mjerodavnim tržištima podložnima prethodnoj (</w:t>
      </w:r>
      <w:r w:rsidRPr="002C37D1">
        <w:rPr>
          <w:rFonts w:ascii="Times New Roman" w:eastAsia="Times New Roman" w:hAnsi="Times New Roman" w:cs="Times New Roman"/>
          <w:i/>
          <w:iCs/>
          <w:sz w:val="24"/>
          <w:szCs w:val="24"/>
          <w:lang w:eastAsia="hr-HR"/>
        </w:rPr>
        <w:t>ex ante</w:t>
      </w:r>
      <w:r w:rsidRPr="002C37D1">
        <w:rPr>
          <w:rFonts w:ascii="Times New Roman" w:eastAsia="Times New Roman" w:hAnsi="Times New Roman" w:cs="Times New Roman"/>
          <w:sz w:val="24"/>
          <w:szCs w:val="24"/>
          <w:lang w:eastAsia="hr-HR"/>
        </w:rPr>
        <w:t xml:space="preserve">) regulaciji (dalje: Preporuka EK) i mjerodavnim Smjernicama Europske komisije za analizu tržišta i ocjenu značajne tržišne snage na temelju regulatornog okvira EU-a za elektroničke komunikacijske mreže i usluge. S </w:t>
      </w:r>
      <w:r w:rsidRPr="002C37D1">
        <w:rPr>
          <w:rFonts w:ascii="Times New Roman" w:eastAsia="Times New Roman" w:hAnsi="Times New Roman" w:cs="Times New Roman"/>
          <w:sz w:val="24"/>
          <w:szCs w:val="24"/>
          <w:lang w:eastAsia="hr-HR"/>
        </w:rPr>
        <w:lastRenderedPageBreak/>
        <w:t>obzirom da se ovo mjerodavno tržište, prema Preporuci EK, nalazi na popisu tržišta podložnih prethodnoj regulaciji, HAKOM je, uzevši u obzir stanje na domaćem tržištu elektroničkih komunikacijskih mreža i usluga odlučio kao u točki I. izreke ove odluke.</w:t>
      </w:r>
    </w:p>
    <w:p w:rsidR="002C37D1" w:rsidRPr="002C37D1" w:rsidRDefault="002C37D1" w:rsidP="002C37D1">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 xml:space="preserve">U postupku određivanja mjerodavnog tržišta, HAKOM je, sukladno članku 54. stavku 3. ZEK-a, odredio dimenziju usluga i zemljopisnu dimenziju mjerodavnog tržišta. Temeljem provedene analize, HAKOM je zaključio da mjerodavno tržište veleprodajnog završavanja glasovnih poziva u vlastitoj mobilnoj mreži obuhvaća sljedeće usluge: </w:t>
      </w:r>
    </w:p>
    <w:p w:rsidR="002C37D1" w:rsidRPr="002C37D1" w:rsidRDefault="002C37D1" w:rsidP="002C37D1">
      <w:pPr>
        <w:numPr>
          <w:ilvl w:val="0"/>
          <w:numId w:val="32"/>
        </w:num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 xml:space="preserve">završavanje glasovnih poziva u mreži operatora Hrvatski Telekom d.d. (dalje: HT), </w:t>
      </w:r>
    </w:p>
    <w:p w:rsidR="002C37D1" w:rsidRPr="002C37D1" w:rsidRDefault="002C37D1" w:rsidP="002C37D1">
      <w:pPr>
        <w:numPr>
          <w:ilvl w:val="0"/>
          <w:numId w:val="32"/>
        </w:num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 xml:space="preserve">završavanje glasovnih poziva u mreži operatora Tele2 d.o.o. (dalje: Tele2), </w:t>
      </w:r>
    </w:p>
    <w:p w:rsidR="002C37D1" w:rsidRPr="002C37D1" w:rsidRDefault="002C37D1" w:rsidP="002C37D1">
      <w:pPr>
        <w:numPr>
          <w:ilvl w:val="0"/>
          <w:numId w:val="32"/>
        </w:num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završavanje glasovnih poziva u mreži operatora Vipnet d.o.o. (dalje: Vipnet),</w:t>
      </w:r>
    </w:p>
    <w:p w:rsidR="002C37D1" w:rsidRPr="002C37D1" w:rsidRDefault="002C37D1" w:rsidP="002C37D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i to neovisno o elektroničkoj komunikacijskoj mreži u kojoj je poziv započeo i korištenoj tehnologiji.</w:t>
      </w:r>
    </w:p>
    <w:p w:rsidR="002C37D1" w:rsidRPr="002C37D1" w:rsidRDefault="002C37D1" w:rsidP="002C37D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Nadalje, HAKOM je odredio da je mjerodavno tržište u zemljopisnoj dimenziji nacionalni teritorij Republike Hrvatske.</w:t>
      </w:r>
    </w:p>
    <w:p w:rsidR="002C37D1" w:rsidRPr="002C37D1" w:rsidRDefault="002C37D1" w:rsidP="002C37D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Nakon što je odredio mjerodavno tržište, HAKOM je, na temelju određenih mjerila iz članka 55. stavka 3. ZEK-a, utvrdio operatore iz točke II. izreke ove odluke operatorima sa značajnom tržišnom snagom na tržištu veleprodajnog završavanja glasovnih poziva u vlastitoj mobilnoj mreži.</w:t>
      </w:r>
    </w:p>
    <w:p w:rsidR="002C37D1" w:rsidRPr="002C37D1" w:rsidRDefault="002C37D1" w:rsidP="002C37D1">
      <w:pPr>
        <w:tabs>
          <w:tab w:val="left"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Nastavno na navedeno, na temelju prepreka razvoju tržišnog natjecanja koje se mogu pojaviti na mjerodavnom tržištu, HAKOM je operatorima iz točke II. izreke ove odluke odredio sljedeće regulatorne obveze:</w:t>
      </w:r>
    </w:p>
    <w:p w:rsidR="002C37D1" w:rsidRPr="002C37D1" w:rsidRDefault="002C37D1" w:rsidP="002C37D1">
      <w:pPr>
        <w:numPr>
          <w:ilvl w:val="0"/>
          <w:numId w:val="31"/>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obvezu pristupa i korištenja posebnih dijelova mreže (članak 61. ZEK-a);</w:t>
      </w:r>
    </w:p>
    <w:p w:rsidR="002C37D1" w:rsidRPr="002C37D1" w:rsidRDefault="002C37D1" w:rsidP="002C37D1">
      <w:pPr>
        <w:numPr>
          <w:ilvl w:val="0"/>
          <w:numId w:val="31"/>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obvezu nediskriminacije (članak 59. ZEK-a);</w:t>
      </w:r>
    </w:p>
    <w:p w:rsidR="002C37D1" w:rsidRPr="002C37D1" w:rsidRDefault="002C37D1" w:rsidP="002C37D1">
      <w:pPr>
        <w:numPr>
          <w:ilvl w:val="0"/>
          <w:numId w:val="31"/>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lastRenderedPageBreak/>
        <w:t xml:space="preserve">obvezu transparentnosti uz objavu standardne ponude međupovezivanja (članak 58. ZEK-a); </w:t>
      </w:r>
    </w:p>
    <w:p w:rsidR="002C37D1" w:rsidRPr="002C37D1" w:rsidRDefault="002C37D1" w:rsidP="002C37D1">
      <w:pPr>
        <w:numPr>
          <w:ilvl w:val="0"/>
          <w:numId w:val="31"/>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obvezu nadzora cijena (članak 62. ZEK-a),</w:t>
      </w: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pa je odlučeno kao u točki III. izreke ove odluke.</w:t>
      </w: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Trgovačka društva koja su određena operatorima sa značajnom tržišnom snagom obvezna su izvršavati sve regulatorne obveze na način, pod uvjetima i u rokovima kako je to propisano u dokumentu „</w:t>
      </w:r>
      <w:r w:rsidRPr="002C37D1">
        <w:rPr>
          <w:rFonts w:ascii="Times New Roman" w:eastAsia="Times New Roman" w:hAnsi="Times New Roman" w:cs="Times New Roman"/>
          <w:i/>
          <w:sz w:val="24"/>
          <w:szCs w:val="24"/>
          <w:lang w:eastAsia="hr-HR"/>
        </w:rPr>
        <w:t>Tržište veleprodajnog završavanja glasovnih poziva u vlastitoj mobilnoj mreži</w:t>
      </w:r>
      <w:r w:rsidRPr="002C37D1">
        <w:rPr>
          <w:rFonts w:ascii="Times New Roman" w:eastAsia="Times New Roman" w:hAnsi="Times New Roman" w:cs="Times New Roman"/>
          <w:sz w:val="24"/>
          <w:szCs w:val="24"/>
          <w:lang w:eastAsia="hr-HR"/>
        </w:rPr>
        <w:t xml:space="preserve">“ koji je u cijelosti sastavni dio ove odluke. Slijedom navedenog, HAKOM je odlučio kao u točki IV. izreke ove odluke. </w:t>
      </w:r>
      <w:r w:rsidRPr="002C37D1">
        <w:rPr>
          <w:rFonts w:ascii="Times New Roman" w:eastAsia="Times New Roman" w:hAnsi="Times New Roman" w:cs="Times New Roman"/>
          <w:sz w:val="24"/>
          <w:szCs w:val="24"/>
          <w:lang w:eastAsia="hr-HR"/>
        </w:rPr>
        <w:cr/>
      </w: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Regulatorne obveze, određene odlukom o analizi tržišta veleprodajnog završavanja glasovnih poziva u vlastitoj mobilnoj mreži (KLASA: UP/I-344-01/14-03/08, URBROJ: 376-11-15-16 od 30. ožujka 2015.) te odlukom o izmjeni analize tržišta veleprodajnog završavanja glasovnih poziva u vlastitoj mobilnoj mreži (KLASA: UP/I-344-01/14-03/08, URBROJ: 376-11-17-20 od 23. studenoga 2017.) se ukidaju, pa je slijedom toga odlučeno kao u točki V. izreke ove odluke.</w:t>
      </w: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 xml:space="preserve">Sukladno članku 54. stavku 5. ZEK-a, HAKOM će zatražiti mišljenje Agencije za zaštitu tržišnog natjecanja o načinu na koji je HAKOM odredio mjerodavno tržište i utvrdio operatore sa značajnom tržišnom snagom. </w:t>
      </w: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2C37D1">
        <w:rPr>
          <w:rFonts w:ascii="Times New Roman" w:eastAsia="Times New Roman" w:hAnsi="Times New Roman" w:cs="Times New Roman"/>
          <w:sz w:val="24"/>
          <w:szCs w:val="24"/>
          <w:lang w:eastAsia="hr-HR"/>
        </w:rPr>
        <w:t xml:space="preserve">Sukladno članku 22. ZEK-a o ovom prijedlogu provest će se javna rasprava. </w:t>
      </w: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2C37D1" w:rsidRPr="002C37D1" w:rsidRDefault="002C37D1" w:rsidP="002C37D1">
      <w:pPr>
        <w:autoSpaceDE w:val="0"/>
        <w:autoSpaceDN w:val="0"/>
        <w:adjustRightInd w:val="0"/>
        <w:spacing w:after="0" w:line="240" w:lineRule="auto"/>
        <w:jc w:val="both"/>
        <w:rPr>
          <w:rFonts w:ascii="Times New Roman" w:eastAsia="Times New Roman" w:hAnsi="Times New Roman" w:cs="Times New Roman"/>
          <w:sz w:val="24"/>
          <w:szCs w:val="24"/>
          <w:lang w:eastAsia="hr-HR"/>
        </w:rPr>
      </w:pPr>
    </w:p>
    <w:tbl>
      <w:tblPr>
        <w:tblW w:w="9854" w:type="dxa"/>
        <w:tblLook w:val="01E0" w:firstRow="1" w:lastRow="1" w:firstColumn="1" w:lastColumn="1" w:noHBand="0" w:noVBand="0"/>
      </w:tblPr>
      <w:tblGrid>
        <w:gridCol w:w="4927"/>
        <w:gridCol w:w="4927"/>
      </w:tblGrid>
      <w:tr w:rsidR="002C37D1" w:rsidRPr="002C37D1" w:rsidTr="002D06ED">
        <w:tc>
          <w:tcPr>
            <w:tcW w:w="4927" w:type="dxa"/>
            <w:shd w:val="clear" w:color="auto" w:fill="auto"/>
          </w:tcPr>
          <w:p w:rsidR="002C37D1" w:rsidRPr="002C37D1" w:rsidRDefault="002C37D1" w:rsidP="002C37D1">
            <w:pPr>
              <w:spacing w:after="0" w:line="240" w:lineRule="auto"/>
              <w:rPr>
                <w:rFonts w:ascii="Times New Roman" w:eastAsia="Times New Roman" w:hAnsi="Times New Roman" w:cs="Times New Roman"/>
                <w:sz w:val="24"/>
                <w:szCs w:val="24"/>
                <w:lang w:eastAsia="hr-HR"/>
              </w:rPr>
            </w:pPr>
          </w:p>
          <w:p w:rsidR="002C37D1" w:rsidRPr="002C37D1" w:rsidRDefault="002C37D1" w:rsidP="002C37D1">
            <w:pPr>
              <w:spacing w:after="0" w:line="240" w:lineRule="auto"/>
              <w:rPr>
                <w:rFonts w:ascii="Times New Roman" w:eastAsia="Times New Roman" w:hAnsi="Times New Roman" w:cs="Times New Roman"/>
                <w:sz w:val="24"/>
                <w:szCs w:val="24"/>
                <w:lang w:eastAsia="hr-HR"/>
              </w:rPr>
            </w:pPr>
          </w:p>
          <w:p w:rsidR="002C37D1" w:rsidRPr="002C37D1" w:rsidRDefault="002C37D1" w:rsidP="002C37D1">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rsidR="002C37D1" w:rsidRPr="002C37D1" w:rsidRDefault="002C37D1" w:rsidP="002C37D1">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2C37D1">
              <w:rPr>
                <w:rFonts w:ascii="Times New Roman" w:eastAsia="Times New Roman" w:hAnsi="Times New Roman" w:cs="Times New Roman"/>
                <w:b/>
                <w:i/>
                <w:caps/>
                <w:sz w:val="20"/>
                <w:szCs w:val="24"/>
                <w:lang w:eastAsia="hr-HR"/>
              </w:rPr>
              <w:t>Predsjednik Vijeća</w:t>
            </w:r>
          </w:p>
        </w:tc>
      </w:tr>
      <w:tr w:rsidR="002C37D1" w:rsidRPr="002C37D1" w:rsidTr="002D06ED">
        <w:tc>
          <w:tcPr>
            <w:tcW w:w="4927" w:type="dxa"/>
            <w:shd w:val="clear" w:color="auto" w:fill="auto"/>
          </w:tcPr>
          <w:p w:rsidR="002C37D1" w:rsidRPr="002C37D1" w:rsidRDefault="002C37D1" w:rsidP="002C37D1">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rsidR="002C37D1" w:rsidRPr="002C37D1" w:rsidRDefault="002C37D1" w:rsidP="002C37D1">
            <w:pPr>
              <w:tabs>
                <w:tab w:val="center" w:pos="7655"/>
              </w:tabs>
              <w:spacing w:after="600" w:line="240" w:lineRule="auto"/>
              <w:jc w:val="center"/>
              <w:rPr>
                <w:rFonts w:ascii="Times New Roman" w:eastAsia="Times New Roman" w:hAnsi="Times New Roman" w:cs="Times New Roman"/>
                <w:b/>
                <w:i/>
                <w:szCs w:val="24"/>
                <w:lang w:eastAsia="hr-HR"/>
              </w:rPr>
            </w:pPr>
            <w:r w:rsidRPr="002C37D1">
              <w:rPr>
                <w:rFonts w:ascii="Times New Roman" w:eastAsia="Times New Roman" w:hAnsi="Times New Roman" w:cs="Times New Roman"/>
                <w:b/>
                <w:i/>
                <w:szCs w:val="24"/>
                <w:lang w:eastAsia="hr-HR"/>
              </w:rPr>
              <w:t>Tonko Obuljen</w:t>
            </w:r>
          </w:p>
        </w:tc>
      </w:tr>
    </w:tbl>
    <w:p w:rsidR="002C37D1" w:rsidRPr="002C37D1" w:rsidRDefault="002C37D1" w:rsidP="002C37D1">
      <w:pPr>
        <w:spacing w:after="0" w:line="240" w:lineRule="auto"/>
        <w:rPr>
          <w:rFonts w:ascii="Times New Roman" w:eastAsia="Times New Roman" w:hAnsi="Times New Roman" w:cs="Times New Roman"/>
          <w:sz w:val="20"/>
          <w:szCs w:val="20"/>
          <w:lang w:eastAsia="hr-HR"/>
        </w:rPr>
      </w:pPr>
    </w:p>
    <w:p w:rsidR="004729FF" w:rsidRDefault="004729FF" w:rsidP="00083A62">
      <w:pPr>
        <w:pStyle w:val="Heading1"/>
        <w:numPr>
          <w:ilvl w:val="0"/>
          <w:numId w:val="0"/>
        </w:numPr>
        <w:rPr>
          <w:highlight w:val="yellow"/>
        </w:rPr>
      </w:pPr>
    </w:p>
    <w:p w:rsidR="004729FF" w:rsidRPr="004729FF" w:rsidRDefault="004729FF" w:rsidP="000D029E">
      <w:pPr>
        <w:rPr>
          <w:highlight w:val="yellow"/>
        </w:rPr>
      </w:pPr>
    </w:p>
    <w:p w:rsidR="004729FF" w:rsidRPr="00347BEB" w:rsidRDefault="004729FF" w:rsidP="000D029E">
      <w:pPr>
        <w:rPr>
          <w:highlight w:val="yellow"/>
        </w:rPr>
      </w:pPr>
    </w:p>
    <w:p w:rsidR="004729FF" w:rsidRPr="007013AC" w:rsidRDefault="004729FF" w:rsidP="000D029E">
      <w:pPr>
        <w:rPr>
          <w:highlight w:val="yellow"/>
        </w:rPr>
      </w:pPr>
    </w:p>
    <w:p w:rsidR="004729FF" w:rsidRPr="000D029E" w:rsidRDefault="004729FF" w:rsidP="000D029E">
      <w:pPr>
        <w:rPr>
          <w:highlight w:val="yellow"/>
        </w:rPr>
      </w:pPr>
    </w:p>
    <w:p w:rsidR="004729FF" w:rsidRPr="000D029E" w:rsidRDefault="004729FF" w:rsidP="000D029E">
      <w:pPr>
        <w:rPr>
          <w:highlight w:val="yellow"/>
        </w:rPr>
      </w:pPr>
    </w:p>
    <w:p w:rsidR="004729FF" w:rsidRDefault="004729FF" w:rsidP="004729FF">
      <w:pPr>
        <w:rPr>
          <w:highlight w:val="yellow"/>
        </w:rPr>
      </w:pPr>
    </w:p>
    <w:p w:rsidR="004729FF" w:rsidRDefault="004729FF" w:rsidP="004729FF">
      <w:pPr>
        <w:rPr>
          <w:highlight w:val="yellow"/>
        </w:rPr>
      </w:pPr>
    </w:p>
    <w:p w:rsidR="002C37D1" w:rsidRDefault="002C37D1" w:rsidP="004729FF">
      <w:pPr>
        <w:rPr>
          <w:highlight w:val="yellow"/>
        </w:rPr>
        <w:sectPr w:rsidR="002C37D1" w:rsidSect="002C37D1">
          <w:headerReference w:type="first" r:id="rId8"/>
          <w:footerReference w:type="first" r:id="rId9"/>
          <w:pgSz w:w="11906" w:h="16838"/>
          <w:pgMar w:top="1417" w:right="1417" w:bottom="1417" w:left="1417" w:header="708" w:footer="708" w:gutter="0"/>
          <w:pgNumType w:start="1"/>
          <w:cols w:space="708"/>
          <w:titlePg/>
          <w:docGrid w:linePitch="360"/>
        </w:sectPr>
      </w:pPr>
    </w:p>
    <w:p w:rsidR="004729FF" w:rsidRDefault="004729FF" w:rsidP="004729FF">
      <w:pPr>
        <w:rPr>
          <w:highlight w:val="yellow"/>
        </w:r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321"/>
        <w:gridCol w:w="1017"/>
        <w:gridCol w:w="1950"/>
      </w:tblGrid>
      <w:tr w:rsidR="002C37D1" w:rsidRPr="00A052D4" w:rsidTr="002D06ED">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rsidR="002C37D1" w:rsidRDefault="002C37D1" w:rsidP="002D06ED">
            <w:pPr>
              <w:rPr>
                <w:rFonts w:cs="Times New Roman"/>
                <w:sz w:val="44"/>
                <w:szCs w:val="44"/>
              </w:rPr>
            </w:pPr>
            <w:r w:rsidRPr="00A052D4">
              <w:rPr>
                <w:rFonts w:cs="Times New Roman"/>
                <w:sz w:val="44"/>
                <w:szCs w:val="44"/>
              </w:rPr>
              <w:t xml:space="preserve">TRŽIŠTE </w:t>
            </w:r>
            <w:r>
              <w:rPr>
                <w:rFonts w:cs="Times New Roman"/>
                <w:sz w:val="44"/>
                <w:szCs w:val="44"/>
              </w:rPr>
              <w:t xml:space="preserve">VELEPRODAJNOG </w:t>
            </w:r>
            <w:r w:rsidRPr="00A052D4">
              <w:rPr>
                <w:rFonts w:cs="Times New Roman"/>
                <w:sz w:val="44"/>
                <w:szCs w:val="44"/>
              </w:rPr>
              <w:t>ZAVRŠAVANJA GLASOVNIH POZIVA U VLASTITOJ MOBILNOJ MREŽI</w:t>
            </w:r>
          </w:p>
          <w:p w:rsidR="002C37D1" w:rsidRDefault="002C37D1" w:rsidP="002D06ED">
            <w:pPr>
              <w:rPr>
                <w:rFonts w:cs="Times New Roman"/>
                <w:sz w:val="44"/>
                <w:szCs w:val="44"/>
              </w:rPr>
            </w:pPr>
          </w:p>
          <w:p w:rsidR="002C37D1" w:rsidRPr="00A052D4" w:rsidRDefault="002C37D1" w:rsidP="002D06ED">
            <w:pPr>
              <w:rPr>
                <w:rFonts w:ascii="Times New Roman" w:hAnsi="Times New Roman" w:cs="Times New Roman"/>
                <w:i/>
                <w:sz w:val="26"/>
                <w:szCs w:val="26"/>
              </w:rPr>
            </w:pPr>
            <w:r>
              <w:rPr>
                <w:rFonts w:cs="Times New Roman"/>
                <w:i/>
                <w:sz w:val="32"/>
                <w:szCs w:val="32"/>
              </w:rPr>
              <w:t>Prijedlog za javnu raspravu</w:t>
            </w:r>
          </w:p>
        </w:tc>
        <w:tc>
          <w:tcPr>
            <w:tcW w:w="2967" w:type="dxa"/>
            <w:gridSpan w:val="2"/>
            <w:shd w:val="clear" w:color="auto" w:fill="auto"/>
          </w:tcPr>
          <w:p w:rsidR="002C37D1" w:rsidRPr="00A052D4" w:rsidRDefault="002C37D1" w:rsidP="002D06E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rsidR="002C37D1" w:rsidRPr="00A052D4" w:rsidRDefault="002C37D1" w:rsidP="002D06ED">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A052D4">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201</w:t>
            </w: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8</w:t>
            </w:r>
          </w:p>
        </w:tc>
      </w:tr>
      <w:tr w:rsidR="002C37D1" w:rsidRPr="00A052D4" w:rsidTr="002D06ED">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rsidR="002C37D1" w:rsidRPr="00A052D4" w:rsidRDefault="002C37D1" w:rsidP="002D06ED">
            <w:pPr>
              <w:pStyle w:val="Subtitle"/>
              <w:rPr>
                <w:rFonts w:eastAsiaTheme="minorEastAsia"/>
                <w:sz w:val="28"/>
                <w:szCs w:val="28"/>
                <w:highlight w:val="yellow"/>
                <w:lang w:eastAsia="hr-HR"/>
              </w:rPr>
            </w:pPr>
            <w:r w:rsidRPr="00A052D4">
              <w:rPr>
                <w:rFonts w:eastAsiaTheme="minorEastAsia"/>
                <w:sz w:val="28"/>
                <w:szCs w:val="28"/>
                <w:lang w:eastAsia="hr-HR"/>
              </w:rPr>
              <w:t>Hrvatska regulatorna agencija za mrežne djelatnosti</w:t>
            </w:r>
          </w:p>
        </w:tc>
        <w:tc>
          <w:tcPr>
            <w:tcW w:w="1950" w:type="dxa"/>
            <w:vAlign w:val="center"/>
          </w:tcPr>
          <w:p w:rsidR="002C37D1" w:rsidRPr="00A052D4" w:rsidRDefault="002C37D1" w:rsidP="002D06ED">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highlight w:val="yellow"/>
                <w:lang w:eastAsia="hr-HR"/>
              </w:rPr>
            </w:pPr>
            <w:r w:rsidRPr="00A052D4">
              <w:rPr>
                <w:rFonts w:eastAsia="Times New Roman"/>
                <w:bCs/>
                <w:noProof/>
                <w:sz w:val="20"/>
                <w:highlight w:val="yellow"/>
                <w:lang w:eastAsia="hr-HR"/>
              </w:rPr>
              <w:drawing>
                <wp:anchor distT="0" distB="0" distL="114300" distR="114300" simplePos="0" relativeHeight="251661312" behindDoc="1" locked="0" layoutInCell="1" allowOverlap="1" wp14:anchorId="77F6F9A0" wp14:editId="58D35421">
                  <wp:simplePos x="0" y="0"/>
                  <wp:positionH relativeFrom="column">
                    <wp:posOffset>342265</wp:posOffset>
                  </wp:positionH>
                  <wp:positionV relativeFrom="paragraph">
                    <wp:posOffset>-4445</wp:posOffset>
                  </wp:positionV>
                  <wp:extent cx="342900" cy="224790"/>
                  <wp:effectExtent l="0" t="0" r="0" b="381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D66F9F" w:rsidRPr="000D029E" w:rsidRDefault="00D66F9F" w:rsidP="000D029E">
      <w:pPr>
        <w:rPr>
          <w:highlight w:val="yellow"/>
        </w:rPr>
        <w:sectPr w:rsidR="00D66F9F" w:rsidRPr="000D029E" w:rsidSect="002554C1">
          <w:footerReference w:type="default" r:id="rId11"/>
          <w:pgSz w:w="11906" w:h="16838"/>
          <w:pgMar w:top="1417" w:right="1417" w:bottom="1417" w:left="1417" w:header="708" w:footer="708" w:gutter="0"/>
          <w:pgNumType w:start="1"/>
          <w:cols w:space="708"/>
          <w:docGrid w:linePitch="360"/>
        </w:sectPr>
      </w:pPr>
    </w:p>
    <w:sdt>
      <w:sdtPr>
        <w:rPr>
          <w:rFonts w:asciiTheme="minorHAnsi" w:eastAsiaTheme="minorHAnsi" w:hAnsiTheme="minorHAnsi" w:cstheme="minorBidi"/>
          <w:b w:val="0"/>
          <w:bCs w:val="0"/>
          <w:color w:val="auto"/>
          <w:sz w:val="22"/>
          <w:szCs w:val="22"/>
          <w:highlight w:val="yellow"/>
          <w:lang w:eastAsia="en-US"/>
        </w:rPr>
        <w:id w:val="-684133499"/>
        <w:docPartObj>
          <w:docPartGallery w:val="Table of Contents"/>
          <w:docPartUnique/>
        </w:docPartObj>
      </w:sdtPr>
      <w:sdtEndPr/>
      <w:sdtContent>
        <w:p w:rsidR="00207E91" w:rsidRDefault="00207E91" w:rsidP="0023730C">
          <w:pPr>
            <w:pStyle w:val="TOCHeading"/>
            <w:spacing w:after="240"/>
          </w:pPr>
          <w:r w:rsidRPr="003A079A">
            <w:t>Sadržaj</w:t>
          </w:r>
        </w:p>
        <w:p w:rsidR="00FE0B2B" w:rsidRDefault="006D1FCE">
          <w:pPr>
            <w:pStyle w:val="TOC1"/>
            <w:tabs>
              <w:tab w:val="left" w:pos="332"/>
              <w:tab w:val="right" w:pos="9062"/>
            </w:tabs>
            <w:rPr>
              <w:rFonts w:eastAsiaTheme="minorEastAsia" w:cstheme="minorBidi"/>
              <w:b w:val="0"/>
              <w:bCs w:val="0"/>
              <w:caps w:val="0"/>
              <w:noProof/>
              <w:u w:val="none"/>
              <w:lang w:eastAsia="hr-HR"/>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525816328" w:history="1">
            <w:r w:rsidR="00FE0B2B" w:rsidRPr="00B11ADF">
              <w:rPr>
                <w:rStyle w:val="Hyperlink"/>
                <w:noProof/>
              </w:rPr>
              <w:t>1</w:t>
            </w:r>
            <w:r w:rsidR="00FE0B2B">
              <w:rPr>
                <w:rFonts w:eastAsiaTheme="minorEastAsia" w:cstheme="minorBidi"/>
                <w:b w:val="0"/>
                <w:bCs w:val="0"/>
                <w:caps w:val="0"/>
                <w:noProof/>
                <w:u w:val="none"/>
                <w:lang w:eastAsia="hr-HR"/>
              </w:rPr>
              <w:tab/>
            </w:r>
            <w:r w:rsidR="00FE0B2B" w:rsidRPr="00B11ADF">
              <w:rPr>
                <w:rStyle w:val="Hyperlink"/>
                <w:noProof/>
              </w:rPr>
              <w:t>Sažeti pregled dokumenta</w:t>
            </w:r>
            <w:r w:rsidR="00FE0B2B">
              <w:rPr>
                <w:noProof/>
                <w:webHidden/>
              </w:rPr>
              <w:tab/>
            </w:r>
            <w:r w:rsidR="00FE0B2B">
              <w:rPr>
                <w:noProof/>
                <w:webHidden/>
              </w:rPr>
              <w:fldChar w:fldCharType="begin"/>
            </w:r>
            <w:r w:rsidR="00FE0B2B">
              <w:rPr>
                <w:noProof/>
                <w:webHidden/>
              </w:rPr>
              <w:instrText xml:space="preserve"> PAGEREF _Toc525816328 \h </w:instrText>
            </w:r>
            <w:r w:rsidR="00FE0B2B">
              <w:rPr>
                <w:noProof/>
                <w:webHidden/>
              </w:rPr>
            </w:r>
            <w:r w:rsidR="00FE0B2B">
              <w:rPr>
                <w:noProof/>
                <w:webHidden/>
              </w:rPr>
              <w:fldChar w:fldCharType="separate"/>
            </w:r>
            <w:r w:rsidR="002C37D1">
              <w:rPr>
                <w:noProof/>
                <w:webHidden/>
              </w:rPr>
              <w:t>1</w:t>
            </w:r>
            <w:r w:rsidR="00FE0B2B">
              <w:rPr>
                <w:noProof/>
                <w:webHidden/>
              </w:rPr>
              <w:fldChar w:fldCharType="end"/>
            </w:r>
          </w:hyperlink>
        </w:p>
        <w:p w:rsidR="00FE0B2B" w:rsidRDefault="00D91467">
          <w:pPr>
            <w:pStyle w:val="TOC1"/>
            <w:tabs>
              <w:tab w:val="left" w:pos="332"/>
              <w:tab w:val="right" w:pos="9062"/>
            </w:tabs>
            <w:rPr>
              <w:rFonts w:eastAsiaTheme="minorEastAsia" w:cstheme="minorBidi"/>
              <w:b w:val="0"/>
              <w:bCs w:val="0"/>
              <w:caps w:val="0"/>
              <w:noProof/>
              <w:u w:val="none"/>
              <w:lang w:eastAsia="hr-HR"/>
            </w:rPr>
          </w:pPr>
          <w:hyperlink w:anchor="_Toc525816329" w:history="1">
            <w:r w:rsidR="00FE0B2B" w:rsidRPr="00B11ADF">
              <w:rPr>
                <w:rStyle w:val="Hyperlink"/>
                <w:noProof/>
              </w:rPr>
              <w:t>2</w:t>
            </w:r>
            <w:r w:rsidR="00FE0B2B">
              <w:rPr>
                <w:rFonts w:eastAsiaTheme="minorEastAsia" w:cstheme="minorBidi"/>
                <w:b w:val="0"/>
                <w:bCs w:val="0"/>
                <w:caps w:val="0"/>
                <w:noProof/>
                <w:u w:val="none"/>
                <w:lang w:eastAsia="hr-HR"/>
              </w:rPr>
              <w:tab/>
            </w:r>
            <w:r w:rsidR="00FE0B2B" w:rsidRPr="00B11ADF">
              <w:rPr>
                <w:rStyle w:val="Hyperlink"/>
                <w:noProof/>
              </w:rPr>
              <w:t>Uvod</w:t>
            </w:r>
            <w:r w:rsidR="00FE0B2B">
              <w:rPr>
                <w:noProof/>
                <w:webHidden/>
              </w:rPr>
              <w:tab/>
            </w:r>
            <w:r w:rsidR="00FE0B2B">
              <w:rPr>
                <w:noProof/>
                <w:webHidden/>
              </w:rPr>
              <w:fldChar w:fldCharType="begin"/>
            </w:r>
            <w:r w:rsidR="00FE0B2B">
              <w:rPr>
                <w:noProof/>
                <w:webHidden/>
              </w:rPr>
              <w:instrText xml:space="preserve"> PAGEREF _Toc525816329 \h </w:instrText>
            </w:r>
            <w:r w:rsidR="00FE0B2B">
              <w:rPr>
                <w:noProof/>
                <w:webHidden/>
              </w:rPr>
            </w:r>
            <w:r w:rsidR="00FE0B2B">
              <w:rPr>
                <w:noProof/>
                <w:webHidden/>
              </w:rPr>
              <w:fldChar w:fldCharType="separate"/>
            </w:r>
            <w:r w:rsidR="002C37D1">
              <w:rPr>
                <w:noProof/>
                <w:webHidden/>
              </w:rPr>
              <w:t>3</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30" w:history="1">
            <w:r w:rsidR="00FE0B2B" w:rsidRPr="00B11ADF">
              <w:rPr>
                <w:rStyle w:val="Hyperlink"/>
                <w:noProof/>
              </w:rPr>
              <w:t>2.1</w:t>
            </w:r>
            <w:r w:rsidR="00FE0B2B">
              <w:rPr>
                <w:rFonts w:eastAsiaTheme="minorEastAsia" w:cstheme="minorBidi"/>
                <w:b w:val="0"/>
                <w:bCs w:val="0"/>
                <w:smallCaps w:val="0"/>
                <w:noProof/>
                <w:lang w:eastAsia="hr-HR"/>
              </w:rPr>
              <w:tab/>
            </w:r>
            <w:r w:rsidR="00FE0B2B" w:rsidRPr="00B11ADF">
              <w:rPr>
                <w:rStyle w:val="Hyperlink"/>
                <w:noProof/>
              </w:rPr>
              <w:t>Europski regulatorni okvir za elektroničke komunikacije</w:t>
            </w:r>
            <w:r w:rsidR="00FE0B2B">
              <w:rPr>
                <w:noProof/>
                <w:webHidden/>
              </w:rPr>
              <w:tab/>
            </w:r>
            <w:r w:rsidR="00FE0B2B">
              <w:rPr>
                <w:noProof/>
                <w:webHidden/>
              </w:rPr>
              <w:fldChar w:fldCharType="begin"/>
            </w:r>
            <w:r w:rsidR="00FE0B2B">
              <w:rPr>
                <w:noProof/>
                <w:webHidden/>
              </w:rPr>
              <w:instrText xml:space="preserve"> PAGEREF _Toc525816330 \h </w:instrText>
            </w:r>
            <w:r w:rsidR="00FE0B2B">
              <w:rPr>
                <w:noProof/>
                <w:webHidden/>
              </w:rPr>
            </w:r>
            <w:r w:rsidR="00FE0B2B">
              <w:rPr>
                <w:noProof/>
                <w:webHidden/>
              </w:rPr>
              <w:fldChar w:fldCharType="separate"/>
            </w:r>
            <w:r w:rsidR="002C37D1">
              <w:rPr>
                <w:noProof/>
                <w:webHidden/>
              </w:rPr>
              <w:t>3</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31" w:history="1">
            <w:r w:rsidR="00FE0B2B" w:rsidRPr="00B11ADF">
              <w:rPr>
                <w:rStyle w:val="Hyperlink"/>
                <w:noProof/>
              </w:rPr>
              <w:t>2.2</w:t>
            </w:r>
            <w:r w:rsidR="00FE0B2B">
              <w:rPr>
                <w:rFonts w:eastAsiaTheme="minorEastAsia" w:cstheme="minorBidi"/>
                <w:b w:val="0"/>
                <w:bCs w:val="0"/>
                <w:smallCaps w:val="0"/>
                <w:noProof/>
                <w:lang w:eastAsia="hr-HR"/>
              </w:rPr>
              <w:tab/>
            </w:r>
            <w:r w:rsidR="00FE0B2B" w:rsidRPr="00B11ADF">
              <w:rPr>
                <w:rStyle w:val="Hyperlink"/>
                <w:noProof/>
              </w:rPr>
              <w:t>Zakon o elektroničkim komunikacijama</w:t>
            </w:r>
            <w:r w:rsidR="00FE0B2B">
              <w:rPr>
                <w:noProof/>
                <w:webHidden/>
              </w:rPr>
              <w:tab/>
            </w:r>
            <w:r w:rsidR="00FE0B2B">
              <w:rPr>
                <w:noProof/>
                <w:webHidden/>
              </w:rPr>
              <w:fldChar w:fldCharType="begin"/>
            </w:r>
            <w:r w:rsidR="00FE0B2B">
              <w:rPr>
                <w:noProof/>
                <w:webHidden/>
              </w:rPr>
              <w:instrText xml:space="preserve"> PAGEREF _Toc525816331 \h </w:instrText>
            </w:r>
            <w:r w:rsidR="00FE0B2B">
              <w:rPr>
                <w:noProof/>
                <w:webHidden/>
              </w:rPr>
            </w:r>
            <w:r w:rsidR="00FE0B2B">
              <w:rPr>
                <w:noProof/>
                <w:webHidden/>
              </w:rPr>
              <w:fldChar w:fldCharType="separate"/>
            </w:r>
            <w:r w:rsidR="002C37D1">
              <w:rPr>
                <w:noProof/>
                <w:webHidden/>
              </w:rPr>
              <w:t>4</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32" w:history="1">
            <w:r w:rsidR="00FE0B2B" w:rsidRPr="00B11ADF">
              <w:rPr>
                <w:rStyle w:val="Hyperlink"/>
                <w:noProof/>
              </w:rPr>
              <w:t>2.3</w:t>
            </w:r>
            <w:r w:rsidR="00FE0B2B">
              <w:rPr>
                <w:rFonts w:eastAsiaTheme="minorEastAsia" w:cstheme="minorBidi"/>
                <w:b w:val="0"/>
                <w:bCs w:val="0"/>
                <w:smallCaps w:val="0"/>
                <w:noProof/>
                <w:lang w:eastAsia="hr-HR"/>
              </w:rPr>
              <w:tab/>
            </w:r>
            <w:r w:rsidR="00FE0B2B" w:rsidRPr="00B11ADF">
              <w:rPr>
                <w:rStyle w:val="Hyperlink"/>
                <w:noProof/>
              </w:rPr>
              <w:t>Odnos prema drugim zakonima</w:t>
            </w:r>
            <w:r w:rsidR="00FE0B2B">
              <w:rPr>
                <w:noProof/>
                <w:webHidden/>
              </w:rPr>
              <w:tab/>
            </w:r>
            <w:r w:rsidR="00FE0B2B">
              <w:rPr>
                <w:noProof/>
                <w:webHidden/>
              </w:rPr>
              <w:fldChar w:fldCharType="begin"/>
            </w:r>
            <w:r w:rsidR="00FE0B2B">
              <w:rPr>
                <w:noProof/>
                <w:webHidden/>
              </w:rPr>
              <w:instrText xml:space="preserve"> PAGEREF _Toc525816332 \h </w:instrText>
            </w:r>
            <w:r w:rsidR="00FE0B2B">
              <w:rPr>
                <w:noProof/>
                <w:webHidden/>
              </w:rPr>
            </w:r>
            <w:r w:rsidR="00FE0B2B">
              <w:rPr>
                <w:noProof/>
                <w:webHidden/>
              </w:rPr>
              <w:fldChar w:fldCharType="separate"/>
            </w:r>
            <w:r w:rsidR="002C37D1">
              <w:rPr>
                <w:noProof/>
                <w:webHidden/>
              </w:rPr>
              <w:t>5</w:t>
            </w:r>
            <w:r w:rsidR="00FE0B2B">
              <w:rPr>
                <w:noProof/>
                <w:webHidden/>
              </w:rPr>
              <w:fldChar w:fldCharType="end"/>
            </w:r>
          </w:hyperlink>
        </w:p>
        <w:p w:rsidR="00FE0B2B" w:rsidRDefault="00D91467">
          <w:pPr>
            <w:pStyle w:val="TOC2"/>
            <w:tabs>
              <w:tab w:val="left" w:pos="492"/>
              <w:tab w:val="right" w:pos="9062"/>
            </w:tabs>
            <w:rPr>
              <w:rFonts w:eastAsiaTheme="minorEastAsia" w:cstheme="minorBidi"/>
              <w:b w:val="0"/>
              <w:bCs w:val="0"/>
              <w:smallCaps w:val="0"/>
              <w:noProof/>
              <w:lang w:eastAsia="hr-HR"/>
            </w:rPr>
          </w:pPr>
          <w:hyperlink w:anchor="_Toc525816333" w:history="1">
            <w:r w:rsidR="00FE0B2B" w:rsidRPr="00B11ADF">
              <w:rPr>
                <w:rStyle w:val="Hyperlink"/>
                <w:rFonts w:asciiTheme="majorHAnsi" w:eastAsiaTheme="majorEastAsia" w:hAnsiTheme="majorHAnsi" w:cstheme="majorBidi"/>
                <w:noProof/>
              </w:rPr>
              <w:t>2.4</w:t>
            </w:r>
            <w:r w:rsidR="00FE0B2B">
              <w:rPr>
                <w:rFonts w:eastAsiaTheme="minorEastAsia" w:cstheme="minorBidi"/>
                <w:b w:val="0"/>
                <w:bCs w:val="0"/>
                <w:smallCaps w:val="0"/>
                <w:noProof/>
                <w:lang w:eastAsia="hr-HR"/>
              </w:rPr>
              <w:tab/>
            </w:r>
            <w:r w:rsidR="00FE0B2B" w:rsidRPr="00B11ADF">
              <w:rPr>
                <w:rStyle w:val="Hyperlink"/>
                <w:rFonts w:asciiTheme="majorHAnsi" w:eastAsiaTheme="majorEastAsia" w:hAnsiTheme="majorHAnsi" w:cstheme="majorBidi"/>
                <w:noProof/>
              </w:rPr>
              <w:t>Osvrt na odluku o analizi tržišta veleprodajnog završavanja glasovnih poziva u vlastitoj mobilnoj mreži i s njom povezane odluke</w:t>
            </w:r>
            <w:r w:rsidR="00FE0B2B">
              <w:rPr>
                <w:noProof/>
                <w:webHidden/>
              </w:rPr>
              <w:tab/>
            </w:r>
            <w:r w:rsidR="00FE0B2B">
              <w:rPr>
                <w:noProof/>
                <w:webHidden/>
              </w:rPr>
              <w:fldChar w:fldCharType="begin"/>
            </w:r>
            <w:r w:rsidR="00FE0B2B">
              <w:rPr>
                <w:noProof/>
                <w:webHidden/>
              </w:rPr>
              <w:instrText xml:space="preserve"> PAGEREF _Toc525816333 \h </w:instrText>
            </w:r>
            <w:r w:rsidR="00FE0B2B">
              <w:rPr>
                <w:noProof/>
                <w:webHidden/>
              </w:rPr>
            </w:r>
            <w:r w:rsidR="00FE0B2B">
              <w:rPr>
                <w:noProof/>
                <w:webHidden/>
              </w:rPr>
              <w:fldChar w:fldCharType="separate"/>
            </w:r>
            <w:r w:rsidR="002C37D1">
              <w:rPr>
                <w:noProof/>
                <w:webHidden/>
              </w:rPr>
              <w:t>5</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34" w:history="1">
            <w:r w:rsidR="00FE0B2B" w:rsidRPr="00B11ADF">
              <w:rPr>
                <w:rStyle w:val="Hyperlink"/>
                <w:noProof/>
              </w:rPr>
              <w:t>2.5</w:t>
            </w:r>
            <w:r w:rsidR="00FE0B2B">
              <w:rPr>
                <w:rFonts w:eastAsiaTheme="minorEastAsia" w:cstheme="minorBidi"/>
                <w:b w:val="0"/>
                <w:bCs w:val="0"/>
                <w:smallCaps w:val="0"/>
                <w:noProof/>
                <w:lang w:eastAsia="hr-HR"/>
              </w:rPr>
              <w:tab/>
            </w:r>
            <w:r w:rsidR="00FE0B2B" w:rsidRPr="00B11ADF">
              <w:rPr>
                <w:rStyle w:val="Hyperlink"/>
                <w:noProof/>
              </w:rPr>
              <w:t>Kronološki slijed aktivnosti</w:t>
            </w:r>
            <w:r w:rsidR="00FE0B2B">
              <w:rPr>
                <w:noProof/>
                <w:webHidden/>
              </w:rPr>
              <w:tab/>
            </w:r>
            <w:r w:rsidR="00FE0B2B">
              <w:rPr>
                <w:noProof/>
                <w:webHidden/>
              </w:rPr>
              <w:fldChar w:fldCharType="begin"/>
            </w:r>
            <w:r w:rsidR="00FE0B2B">
              <w:rPr>
                <w:noProof/>
                <w:webHidden/>
              </w:rPr>
              <w:instrText xml:space="preserve"> PAGEREF _Toc525816334 \h </w:instrText>
            </w:r>
            <w:r w:rsidR="00FE0B2B">
              <w:rPr>
                <w:noProof/>
                <w:webHidden/>
              </w:rPr>
            </w:r>
            <w:r w:rsidR="00FE0B2B">
              <w:rPr>
                <w:noProof/>
                <w:webHidden/>
              </w:rPr>
              <w:fldChar w:fldCharType="separate"/>
            </w:r>
            <w:r w:rsidR="002C37D1">
              <w:rPr>
                <w:noProof/>
                <w:webHidden/>
              </w:rPr>
              <w:t>6</w:t>
            </w:r>
            <w:r w:rsidR="00FE0B2B">
              <w:rPr>
                <w:noProof/>
                <w:webHidden/>
              </w:rPr>
              <w:fldChar w:fldCharType="end"/>
            </w:r>
          </w:hyperlink>
        </w:p>
        <w:p w:rsidR="00FE0B2B" w:rsidRDefault="00D91467">
          <w:pPr>
            <w:pStyle w:val="TOC1"/>
            <w:tabs>
              <w:tab w:val="left" w:pos="332"/>
              <w:tab w:val="right" w:pos="9062"/>
            </w:tabs>
            <w:rPr>
              <w:rFonts w:eastAsiaTheme="minorEastAsia" w:cstheme="minorBidi"/>
              <w:b w:val="0"/>
              <w:bCs w:val="0"/>
              <w:caps w:val="0"/>
              <w:noProof/>
              <w:u w:val="none"/>
              <w:lang w:eastAsia="hr-HR"/>
            </w:rPr>
          </w:pPr>
          <w:hyperlink w:anchor="_Toc525816335" w:history="1">
            <w:r w:rsidR="00FE0B2B" w:rsidRPr="00B11ADF">
              <w:rPr>
                <w:rStyle w:val="Hyperlink"/>
                <w:noProof/>
              </w:rPr>
              <w:t>3</w:t>
            </w:r>
            <w:r w:rsidR="00FE0B2B">
              <w:rPr>
                <w:rFonts w:eastAsiaTheme="minorEastAsia" w:cstheme="minorBidi"/>
                <w:b w:val="0"/>
                <w:bCs w:val="0"/>
                <w:caps w:val="0"/>
                <w:noProof/>
                <w:u w:val="none"/>
                <w:lang w:eastAsia="hr-HR"/>
              </w:rPr>
              <w:tab/>
            </w:r>
            <w:r w:rsidR="00FE0B2B" w:rsidRPr="00B11ADF">
              <w:rPr>
                <w:rStyle w:val="Hyperlink"/>
                <w:noProof/>
              </w:rPr>
              <w:t>Utvrđivanje mjerodavnog tržišta</w:t>
            </w:r>
            <w:r w:rsidR="00FE0B2B">
              <w:rPr>
                <w:noProof/>
                <w:webHidden/>
              </w:rPr>
              <w:tab/>
            </w:r>
            <w:r w:rsidR="00FE0B2B">
              <w:rPr>
                <w:noProof/>
                <w:webHidden/>
              </w:rPr>
              <w:fldChar w:fldCharType="begin"/>
            </w:r>
            <w:r w:rsidR="00FE0B2B">
              <w:rPr>
                <w:noProof/>
                <w:webHidden/>
              </w:rPr>
              <w:instrText xml:space="preserve"> PAGEREF _Toc525816335 \h </w:instrText>
            </w:r>
            <w:r w:rsidR="00FE0B2B">
              <w:rPr>
                <w:noProof/>
                <w:webHidden/>
              </w:rPr>
            </w:r>
            <w:r w:rsidR="00FE0B2B">
              <w:rPr>
                <w:noProof/>
                <w:webHidden/>
              </w:rPr>
              <w:fldChar w:fldCharType="separate"/>
            </w:r>
            <w:r w:rsidR="002C37D1">
              <w:rPr>
                <w:noProof/>
                <w:webHidden/>
              </w:rPr>
              <w:t>8</w:t>
            </w:r>
            <w:r w:rsidR="00FE0B2B">
              <w:rPr>
                <w:noProof/>
                <w:webHidden/>
              </w:rPr>
              <w:fldChar w:fldCharType="end"/>
            </w:r>
          </w:hyperlink>
        </w:p>
        <w:p w:rsidR="00FE0B2B" w:rsidRDefault="00D91467">
          <w:pPr>
            <w:pStyle w:val="TOC1"/>
            <w:tabs>
              <w:tab w:val="left" w:pos="332"/>
              <w:tab w:val="right" w:pos="9062"/>
            </w:tabs>
            <w:rPr>
              <w:rFonts w:eastAsiaTheme="minorEastAsia" w:cstheme="minorBidi"/>
              <w:b w:val="0"/>
              <w:bCs w:val="0"/>
              <w:caps w:val="0"/>
              <w:noProof/>
              <w:u w:val="none"/>
              <w:lang w:eastAsia="hr-HR"/>
            </w:rPr>
          </w:pPr>
          <w:hyperlink w:anchor="_Toc525816336" w:history="1">
            <w:r w:rsidR="00FE0B2B" w:rsidRPr="00B11ADF">
              <w:rPr>
                <w:rStyle w:val="Hyperlink"/>
                <w:noProof/>
              </w:rPr>
              <w:t>4</w:t>
            </w:r>
            <w:r w:rsidR="00FE0B2B">
              <w:rPr>
                <w:rFonts w:eastAsiaTheme="minorEastAsia" w:cstheme="minorBidi"/>
                <w:b w:val="0"/>
                <w:bCs w:val="0"/>
                <w:caps w:val="0"/>
                <w:noProof/>
                <w:u w:val="none"/>
                <w:lang w:eastAsia="hr-HR"/>
              </w:rPr>
              <w:tab/>
            </w:r>
            <w:r w:rsidR="00FE0B2B" w:rsidRPr="00B11ADF">
              <w:rPr>
                <w:rStyle w:val="Hyperlink"/>
                <w:noProof/>
              </w:rPr>
              <w:t>Određivanje granica mjerodavnog tržišta</w:t>
            </w:r>
            <w:r w:rsidR="00FE0B2B">
              <w:rPr>
                <w:noProof/>
                <w:webHidden/>
              </w:rPr>
              <w:tab/>
            </w:r>
            <w:r w:rsidR="00FE0B2B">
              <w:rPr>
                <w:noProof/>
                <w:webHidden/>
              </w:rPr>
              <w:fldChar w:fldCharType="begin"/>
            </w:r>
            <w:r w:rsidR="00FE0B2B">
              <w:rPr>
                <w:noProof/>
                <w:webHidden/>
              </w:rPr>
              <w:instrText xml:space="preserve"> PAGEREF _Toc525816336 \h </w:instrText>
            </w:r>
            <w:r w:rsidR="00FE0B2B">
              <w:rPr>
                <w:noProof/>
                <w:webHidden/>
              </w:rPr>
            </w:r>
            <w:r w:rsidR="00FE0B2B">
              <w:rPr>
                <w:noProof/>
                <w:webHidden/>
              </w:rPr>
              <w:fldChar w:fldCharType="separate"/>
            </w:r>
            <w:r w:rsidR="002C37D1">
              <w:rPr>
                <w:noProof/>
                <w:webHidden/>
              </w:rPr>
              <w:t>8</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37" w:history="1">
            <w:r w:rsidR="00FE0B2B" w:rsidRPr="00B11ADF">
              <w:rPr>
                <w:rStyle w:val="Hyperlink"/>
                <w:rFonts w:eastAsia="Times New Roman"/>
                <w:noProof/>
                <w:lang w:eastAsia="hr-HR"/>
              </w:rPr>
              <w:t>4.1</w:t>
            </w:r>
            <w:r w:rsidR="00FE0B2B">
              <w:rPr>
                <w:rFonts w:eastAsiaTheme="minorEastAsia" w:cstheme="minorBidi"/>
                <w:b w:val="0"/>
                <w:bCs w:val="0"/>
                <w:smallCaps w:val="0"/>
                <w:noProof/>
                <w:lang w:eastAsia="hr-HR"/>
              </w:rPr>
              <w:tab/>
            </w:r>
            <w:r w:rsidR="00FE0B2B" w:rsidRPr="00B11ADF">
              <w:rPr>
                <w:rStyle w:val="Hyperlink"/>
                <w:rFonts w:eastAsia="Times New Roman"/>
                <w:noProof/>
                <w:lang w:eastAsia="hr-HR"/>
              </w:rPr>
              <w:t>Karakteristike tržišta pokretne javne komunikacijske mreže u Republici Hrvatskoj</w:t>
            </w:r>
            <w:r w:rsidR="00FE0B2B">
              <w:rPr>
                <w:noProof/>
                <w:webHidden/>
              </w:rPr>
              <w:tab/>
            </w:r>
            <w:r w:rsidR="00FE0B2B">
              <w:rPr>
                <w:noProof/>
                <w:webHidden/>
              </w:rPr>
              <w:fldChar w:fldCharType="begin"/>
            </w:r>
            <w:r w:rsidR="00FE0B2B">
              <w:rPr>
                <w:noProof/>
                <w:webHidden/>
              </w:rPr>
              <w:instrText xml:space="preserve"> PAGEREF _Toc525816337 \h </w:instrText>
            </w:r>
            <w:r w:rsidR="00FE0B2B">
              <w:rPr>
                <w:noProof/>
                <w:webHidden/>
              </w:rPr>
            </w:r>
            <w:r w:rsidR="00FE0B2B">
              <w:rPr>
                <w:noProof/>
                <w:webHidden/>
              </w:rPr>
              <w:fldChar w:fldCharType="separate"/>
            </w:r>
            <w:r w:rsidR="002C37D1">
              <w:rPr>
                <w:noProof/>
                <w:webHidden/>
              </w:rPr>
              <w:t>9</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38" w:history="1">
            <w:r w:rsidR="00FE0B2B" w:rsidRPr="00B11ADF">
              <w:rPr>
                <w:rStyle w:val="Hyperlink"/>
                <w:noProof/>
              </w:rPr>
              <w:t>4.2</w:t>
            </w:r>
            <w:r w:rsidR="00FE0B2B">
              <w:rPr>
                <w:rFonts w:eastAsiaTheme="minorEastAsia" w:cstheme="minorBidi"/>
                <w:b w:val="0"/>
                <w:bCs w:val="0"/>
                <w:smallCaps w:val="0"/>
                <w:noProof/>
                <w:lang w:eastAsia="hr-HR"/>
              </w:rPr>
              <w:tab/>
            </w:r>
            <w:r w:rsidR="00FE0B2B" w:rsidRPr="00B11ADF">
              <w:rPr>
                <w:rStyle w:val="Hyperlink"/>
                <w:noProof/>
              </w:rPr>
              <w:t>Mjerodavno tržište u dimenziji usluga</w:t>
            </w:r>
            <w:r w:rsidR="00FE0B2B">
              <w:rPr>
                <w:noProof/>
                <w:webHidden/>
              </w:rPr>
              <w:tab/>
            </w:r>
            <w:r w:rsidR="00FE0B2B">
              <w:rPr>
                <w:noProof/>
                <w:webHidden/>
              </w:rPr>
              <w:fldChar w:fldCharType="begin"/>
            </w:r>
            <w:r w:rsidR="00FE0B2B">
              <w:rPr>
                <w:noProof/>
                <w:webHidden/>
              </w:rPr>
              <w:instrText xml:space="preserve"> PAGEREF _Toc525816338 \h </w:instrText>
            </w:r>
            <w:r w:rsidR="00FE0B2B">
              <w:rPr>
                <w:noProof/>
                <w:webHidden/>
              </w:rPr>
            </w:r>
            <w:r w:rsidR="00FE0B2B">
              <w:rPr>
                <w:noProof/>
                <w:webHidden/>
              </w:rPr>
              <w:fldChar w:fldCharType="separate"/>
            </w:r>
            <w:r w:rsidR="002C37D1">
              <w:rPr>
                <w:noProof/>
                <w:webHidden/>
              </w:rPr>
              <w:t>11</w:t>
            </w:r>
            <w:r w:rsidR="00FE0B2B">
              <w:rPr>
                <w:noProof/>
                <w:webHidden/>
              </w:rPr>
              <w:fldChar w:fldCharType="end"/>
            </w:r>
          </w:hyperlink>
        </w:p>
        <w:p w:rsidR="00FE0B2B" w:rsidRDefault="00D91467">
          <w:pPr>
            <w:pStyle w:val="TOC3"/>
            <w:tabs>
              <w:tab w:val="left" w:pos="666"/>
              <w:tab w:val="right" w:pos="9062"/>
            </w:tabs>
            <w:rPr>
              <w:rFonts w:eastAsiaTheme="minorEastAsia" w:cstheme="minorBidi"/>
              <w:smallCaps w:val="0"/>
              <w:noProof/>
              <w:lang w:eastAsia="hr-HR"/>
            </w:rPr>
          </w:pPr>
          <w:hyperlink w:anchor="_Toc525816339" w:history="1">
            <w:r w:rsidR="00FE0B2B" w:rsidRPr="00B11ADF">
              <w:rPr>
                <w:rStyle w:val="Hyperlink"/>
                <w:noProof/>
              </w:rPr>
              <w:t>4.2.1</w:t>
            </w:r>
            <w:r w:rsidR="00FE0B2B">
              <w:rPr>
                <w:rFonts w:eastAsiaTheme="minorEastAsia" w:cstheme="minorBidi"/>
                <w:smallCaps w:val="0"/>
                <w:noProof/>
                <w:lang w:eastAsia="hr-HR"/>
              </w:rPr>
              <w:tab/>
            </w:r>
            <w:r w:rsidR="00FE0B2B" w:rsidRPr="00B11ADF">
              <w:rPr>
                <w:rStyle w:val="Hyperlink"/>
                <w:noProof/>
              </w:rPr>
              <w:t>Zamjenjivost na strani potražnje – maloprodajna razina</w:t>
            </w:r>
            <w:r w:rsidR="00FE0B2B">
              <w:rPr>
                <w:noProof/>
                <w:webHidden/>
              </w:rPr>
              <w:tab/>
            </w:r>
            <w:r w:rsidR="00FE0B2B">
              <w:rPr>
                <w:noProof/>
                <w:webHidden/>
              </w:rPr>
              <w:fldChar w:fldCharType="begin"/>
            </w:r>
            <w:r w:rsidR="00FE0B2B">
              <w:rPr>
                <w:noProof/>
                <w:webHidden/>
              </w:rPr>
              <w:instrText xml:space="preserve"> PAGEREF _Toc525816339 \h </w:instrText>
            </w:r>
            <w:r w:rsidR="00FE0B2B">
              <w:rPr>
                <w:noProof/>
                <w:webHidden/>
              </w:rPr>
            </w:r>
            <w:r w:rsidR="00FE0B2B">
              <w:rPr>
                <w:noProof/>
                <w:webHidden/>
              </w:rPr>
              <w:fldChar w:fldCharType="separate"/>
            </w:r>
            <w:r w:rsidR="002C37D1">
              <w:rPr>
                <w:noProof/>
                <w:webHidden/>
              </w:rPr>
              <w:t>12</w:t>
            </w:r>
            <w:r w:rsidR="00FE0B2B">
              <w:rPr>
                <w:noProof/>
                <w:webHidden/>
              </w:rPr>
              <w:fldChar w:fldCharType="end"/>
            </w:r>
          </w:hyperlink>
        </w:p>
        <w:p w:rsidR="00FE0B2B" w:rsidRDefault="00D91467">
          <w:pPr>
            <w:pStyle w:val="TOC3"/>
            <w:tabs>
              <w:tab w:val="left" w:pos="666"/>
              <w:tab w:val="right" w:pos="9062"/>
            </w:tabs>
            <w:rPr>
              <w:rFonts w:eastAsiaTheme="minorEastAsia" w:cstheme="minorBidi"/>
              <w:smallCaps w:val="0"/>
              <w:noProof/>
              <w:lang w:eastAsia="hr-HR"/>
            </w:rPr>
          </w:pPr>
          <w:hyperlink w:anchor="_Toc525816340" w:history="1">
            <w:r w:rsidR="00FE0B2B" w:rsidRPr="00B11ADF">
              <w:rPr>
                <w:rStyle w:val="Hyperlink"/>
                <w:noProof/>
              </w:rPr>
              <w:t>4.2.2</w:t>
            </w:r>
            <w:r w:rsidR="00FE0B2B">
              <w:rPr>
                <w:rFonts w:eastAsiaTheme="minorEastAsia" w:cstheme="minorBidi"/>
                <w:smallCaps w:val="0"/>
                <w:noProof/>
                <w:lang w:eastAsia="hr-HR"/>
              </w:rPr>
              <w:tab/>
            </w:r>
            <w:r w:rsidR="00FE0B2B" w:rsidRPr="00B11ADF">
              <w:rPr>
                <w:rStyle w:val="Hyperlink"/>
                <w:noProof/>
              </w:rPr>
              <w:t>Zamjenjivost na strani ponude i potražnje - veleprodajna razina</w:t>
            </w:r>
            <w:r w:rsidR="00FE0B2B">
              <w:rPr>
                <w:noProof/>
                <w:webHidden/>
              </w:rPr>
              <w:tab/>
            </w:r>
            <w:r w:rsidR="00FE0B2B">
              <w:rPr>
                <w:noProof/>
                <w:webHidden/>
              </w:rPr>
              <w:fldChar w:fldCharType="begin"/>
            </w:r>
            <w:r w:rsidR="00FE0B2B">
              <w:rPr>
                <w:noProof/>
                <w:webHidden/>
              </w:rPr>
              <w:instrText xml:space="preserve"> PAGEREF _Toc525816340 \h </w:instrText>
            </w:r>
            <w:r w:rsidR="00FE0B2B">
              <w:rPr>
                <w:noProof/>
                <w:webHidden/>
              </w:rPr>
            </w:r>
            <w:r w:rsidR="00FE0B2B">
              <w:rPr>
                <w:noProof/>
                <w:webHidden/>
              </w:rPr>
              <w:fldChar w:fldCharType="separate"/>
            </w:r>
            <w:r w:rsidR="002C37D1">
              <w:rPr>
                <w:noProof/>
                <w:webHidden/>
              </w:rPr>
              <w:t>15</w:t>
            </w:r>
            <w:r w:rsidR="00FE0B2B">
              <w:rPr>
                <w:noProof/>
                <w:webHidden/>
              </w:rPr>
              <w:fldChar w:fldCharType="end"/>
            </w:r>
          </w:hyperlink>
        </w:p>
        <w:p w:rsidR="00FE0B2B" w:rsidRDefault="00D91467">
          <w:pPr>
            <w:pStyle w:val="TOC3"/>
            <w:tabs>
              <w:tab w:val="left" w:pos="666"/>
              <w:tab w:val="right" w:pos="9062"/>
            </w:tabs>
            <w:rPr>
              <w:rFonts w:eastAsiaTheme="minorEastAsia" w:cstheme="minorBidi"/>
              <w:smallCaps w:val="0"/>
              <w:noProof/>
              <w:lang w:eastAsia="hr-HR"/>
            </w:rPr>
          </w:pPr>
          <w:hyperlink w:anchor="_Toc525816341" w:history="1">
            <w:r w:rsidR="00FE0B2B" w:rsidRPr="00B11ADF">
              <w:rPr>
                <w:rStyle w:val="Hyperlink"/>
                <w:noProof/>
              </w:rPr>
              <w:t>4.2.3</w:t>
            </w:r>
            <w:r w:rsidR="00FE0B2B">
              <w:rPr>
                <w:rFonts w:eastAsiaTheme="minorEastAsia" w:cstheme="minorBidi"/>
                <w:smallCaps w:val="0"/>
                <w:noProof/>
                <w:lang w:eastAsia="hr-HR"/>
              </w:rPr>
              <w:tab/>
            </w:r>
            <w:r w:rsidR="00FE0B2B" w:rsidRPr="00B11ADF">
              <w:rPr>
                <w:rStyle w:val="Hyperlink"/>
                <w:noProof/>
              </w:rPr>
              <w:t>Zaključak o mjerodavnom tržištu u dimenziji usluga</w:t>
            </w:r>
            <w:r w:rsidR="00FE0B2B">
              <w:rPr>
                <w:noProof/>
                <w:webHidden/>
              </w:rPr>
              <w:tab/>
            </w:r>
            <w:r w:rsidR="00FE0B2B">
              <w:rPr>
                <w:noProof/>
                <w:webHidden/>
              </w:rPr>
              <w:fldChar w:fldCharType="begin"/>
            </w:r>
            <w:r w:rsidR="00FE0B2B">
              <w:rPr>
                <w:noProof/>
                <w:webHidden/>
              </w:rPr>
              <w:instrText xml:space="preserve"> PAGEREF _Toc525816341 \h </w:instrText>
            </w:r>
            <w:r w:rsidR="00FE0B2B">
              <w:rPr>
                <w:noProof/>
                <w:webHidden/>
              </w:rPr>
            </w:r>
            <w:r w:rsidR="00FE0B2B">
              <w:rPr>
                <w:noProof/>
                <w:webHidden/>
              </w:rPr>
              <w:fldChar w:fldCharType="separate"/>
            </w:r>
            <w:r w:rsidR="002C37D1">
              <w:rPr>
                <w:noProof/>
                <w:webHidden/>
              </w:rPr>
              <w:t>16</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42" w:history="1">
            <w:r w:rsidR="00FE0B2B" w:rsidRPr="00B11ADF">
              <w:rPr>
                <w:rStyle w:val="Hyperlink"/>
                <w:noProof/>
              </w:rPr>
              <w:t>4.3</w:t>
            </w:r>
            <w:r w:rsidR="00FE0B2B">
              <w:rPr>
                <w:rFonts w:eastAsiaTheme="minorEastAsia" w:cstheme="minorBidi"/>
                <w:b w:val="0"/>
                <w:bCs w:val="0"/>
                <w:smallCaps w:val="0"/>
                <w:noProof/>
                <w:lang w:eastAsia="hr-HR"/>
              </w:rPr>
              <w:tab/>
            </w:r>
            <w:r w:rsidR="00FE0B2B" w:rsidRPr="00B11ADF">
              <w:rPr>
                <w:rStyle w:val="Hyperlink"/>
                <w:noProof/>
              </w:rPr>
              <w:t>Mjerodavno tržište u zemljopisnoj dimenziji</w:t>
            </w:r>
            <w:r w:rsidR="00FE0B2B">
              <w:rPr>
                <w:noProof/>
                <w:webHidden/>
              </w:rPr>
              <w:tab/>
            </w:r>
            <w:r w:rsidR="00FE0B2B">
              <w:rPr>
                <w:noProof/>
                <w:webHidden/>
              </w:rPr>
              <w:fldChar w:fldCharType="begin"/>
            </w:r>
            <w:r w:rsidR="00FE0B2B">
              <w:rPr>
                <w:noProof/>
                <w:webHidden/>
              </w:rPr>
              <w:instrText xml:space="preserve"> PAGEREF _Toc525816342 \h </w:instrText>
            </w:r>
            <w:r w:rsidR="00FE0B2B">
              <w:rPr>
                <w:noProof/>
                <w:webHidden/>
              </w:rPr>
            </w:r>
            <w:r w:rsidR="00FE0B2B">
              <w:rPr>
                <w:noProof/>
                <w:webHidden/>
              </w:rPr>
              <w:fldChar w:fldCharType="separate"/>
            </w:r>
            <w:r w:rsidR="002C37D1">
              <w:rPr>
                <w:noProof/>
                <w:webHidden/>
              </w:rPr>
              <w:t>16</w:t>
            </w:r>
            <w:r w:rsidR="00FE0B2B">
              <w:rPr>
                <w:noProof/>
                <w:webHidden/>
              </w:rPr>
              <w:fldChar w:fldCharType="end"/>
            </w:r>
          </w:hyperlink>
        </w:p>
        <w:p w:rsidR="00FE0B2B" w:rsidRDefault="00D91467">
          <w:pPr>
            <w:pStyle w:val="TOC1"/>
            <w:tabs>
              <w:tab w:val="left" w:pos="332"/>
              <w:tab w:val="right" w:pos="9062"/>
            </w:tabs>
            <w:rPr>
              <w:rFonts w:eastAsiaTheme="minorEastAsia" w:cstheme="minorBidi"/>
              <w:b w:val="0"/>
              <w:bCs w:val="0"/>
              <w:caps w:val="0"/>
              <w:noProof/>
              <w:u w:val="none"/>
              <w:lang w:eastAsia="hr-HR"/>
            </w:rPr>
          </w:pPr>
          <w:hyperlink w:anchor="_Toc525816343" w:history="1">
            <w:r w:rsidR="00FE0B2B" w:rsidRPr="00B11ADF">
              <w:rPr>
                <w:rStyle w:val="Hyperlink"/>
                <w:noProof/>
              </w:rPr>
              <w:t>5</w:t>
            </w:r>
            <w:r w:rsidR="00FE0B2B">
              <w:rPr>
                <w:rFonts w:eastAsiaTheme="minorEastAsia" w:cstheme="minorBidi"/>
                <w:b w:val="0"/>
                <w:bCs w:val="0"/>
                <w:caps w:val="0"/>
                <w:noProof/>
                <w:u w:val="none"/>
                <w:lang w:eastAsia="hr-HR"/>
              </w:rPr>
              <w:tab/>
            </w:r>
            <w:r w:rsidR="00FE0B2B" w:rsidRPr="00B11ADF">
              <w:rPr>
                <w:rStyle w:val="Hyperlink"/>
                <w:noProof/>
              </w:rPr>
              <w:t>Procjena postojanja operatora sa značajnom tržišnom snagom</w:t>
            </w:r>
            <w:r w:rsidR="00FE0B2B">
              <w:rPr>
                <w:noProof/>
                <w:webHidden/>
              </w:rPr>
              <w:tab/>
            </w:r>
            <w:r w:rsidR="00FE0B2B">
              <w:rPr>
                <w:noProof/>
                <w:webHidden/>
              </w:rPr>
              <w:fldChar w:fldCharType="begin"/>
            </w:r>
            <w:r w:rsidR="00FE0B2B">
              <w:rPr>
                <w:noProof/>
                <w:webHidden/>
              </w:rPr>
              <w:instrText xml:space="preserve"> PAGEREF _Toc525816343 \h </w:instrText>
            </w:r>
            <w:r w:rsidR="00FE0B2B">
              <w:rPr>
                <w:noProof/>
                <w:webHidden/>
              </w:rPr>
            </w:r>
            <w:r w:rsidR="00FE0B2B">
              <w:rPr>
                <w:noProof/>
                <w:webHidden/>
              </w:rPr>
              <w:fldChar w:fldCharType="separate"/>
            </w:r>
            <w:r w:rsidR="002C37D1">
              <w:rPr>
                <w:noProof/>
                <w:webHidden/>
              </w:rPr>
              <w:t>18</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44" w:history="1">
            <w:r w:rsidR="00FE0B2B" w:rsidRPr="00B11ADF">
              <w:rPr>
                <w:rStyle w:val="Hyperlink"/>
                <w:noProof/>
              </w:rPr>
              <w:t>5.1</w:t>
            </w:r>
            <w:r w:rsidR="00FE0B2B">
              <w:rPr>
                <w:rFonts w:eastAsiaTheme="minorEastAsia" w:cstheme="minorBidi"/>
                <w:b w:val="0"/>
                <w:bCs w:val="0"/>
                <w:smallCaps w:val="0"/>
                <w:noProof/>
                <w:lang w:eastAsia="hr-HR"/>
              </w:rPr>
              <w:tab/>
            </w:r>
            <w:r w:rsidR="00FE0B2B" w:rsidRPr="00B11ADF">
              <w:rPr>
                <w:rStyle w:val="Hyperlink"/>
                <w:noProof/>
              </w:rPr>
              <w:t>Cilj i predmet analize mjerodavnog tržišta</w:t>
            </w:r>
            <w:r w:rsidR="00FE0B2B">
              <w:rPr>
                <w:noProof/>
                <w:webHidden/>
              </w:rPr>
              <w:tab/>
            </w:r>
            <w:r w:rsidR="00FE0B2B">
              <w:rPr>
                <w:noProof/>
                <w:webHidden/>
              </w:rPr>
              <w:fldChar w:fldCharType="begin"/>
            </w:r>
            <w:r w:rsidR="00FE0B2B">
              <w:rPr>
                <w:noProof/>
                <w:webHidden/>
              </w:rPr>
              <w:instrText xml:space="preserve"> PAGEREF _Toc525816344 \h </w:instrText>
            </w:r>
            <w:r w:rsidR="00FE0B2B">
              <w:rPr>
                <w:noProof/>
                <w:webHidden/>
              </w:rPr>
            </w:r>
            <w:r w:rsidR="00FE0B2B">
              <w:rPr>
                <w:noProof/>
                <w:webHidden/>
              </w:rPr>
              <w:fldChar w:fldCharType="separate"/>
            </w:r>
            <w:r w:rsidR="002C37D1">
              <w:rPr>
                <w:noProof/>
                <w:webHidden/>
              </w:rPr>
              <w:t>18</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45" w:history="1">
            <w:r w:rsidR="00FE0B2B" w:rsidRPr="00B11ADF">
              <w:rPr>
                <w:rStyle w:val="Hyperlink"/>
                <w:noProof/>
              </w:rPr>
              <w:t>5.2</w:t>
            </w:r>
            <w:r w:rsidR="00FE0B2B">
              <w:rPr>
                <w:rFonts w:eastAsiaTheme="minorEastAsia" w:cstheme="minorBidi"/>
                <w:b w:val="0"/>
                <w:bCs w:val="0"/>
                <w:smallCaps w:val="0"/>
                <w:noProof/>
                <w:lang w:eastAsia="hr-HR"/>
              </w:rPr>
              <w:tab/>
            </w:r>
            <w:r w:rsidR="00FE0B2B" w:rsidRPr="00B11ADF">
              <w:rPr>
                <w:rStyle w:val="Hyperlink"/>
                <w:noProof/>
              </w:rPr>
              <w:t>Analiza podataka na tržištu veleprodajnog završavanja poziva u vlastitoj mobilnoj mreži</w:t>
            </w:r>
            <w:r w:rsidR="00FE0B2B">
              <w:rPr>
                <w:noProof/>
                <w:webHidden/>
              </w:rPr>
              <w:tab/>
            </w:r>
            <w:r w:rsidR="00FE0B2B">
              <w:rPr>
                <w:noProof/>
                <w:webHidden/>
              </w:rPr>
              <w:fldChar w:fldCharType="begin"/>
            </w:r>
            <w:r w:rsidR="00FE0B2B">
              <w:rPr>
                <w:noProof/>
                <w:webHidden/>
              </w:rPr>
              <w:instrText xml:space="preserve"> PAGEREF _Toc525816345 \h </w:instrText>
            </w:r>
            <w:r w:rsidR="00FE0B2B">
              <w:rPr>
                <w:noProof/>
                <w:webHidden/>
              </w:rPr>
            </w:r>
            <w:r w:rsidR="00FE0B2B">
              <w:rPr>
                <w:noProof/>
                <w:webHidden/>
              </w:rPr>
              <w:fldChar w:fldCharType="separate"/>
            </w:r>
            <w:r w:rsidR="002C37D1">
              <w:rPr>
                <w:noProof/>
                <w:webHidden/>
              </w:rPr>
              <w:t>18</w:t>
            </w:r>
            <w:r w:rsidR="00FE0B2B">
              <w:rPr>
                <w:noProof/>
                <w:webHidden/>
              </w:rPr>
              <w:fldChar w:fldCharType="end"/>
            </w:r>
          </w:hyperlink>
        </w:p>
        <w:p w:rsidR="00FE0B2B" w:rsidRDefault="00D91467">
          <w:pPr>
            <w:pStyle w:val="TOC3"/>
            <w:tabs>
              <w:tab w:val="left" w:pos="666"/>
              <w:tab w:val="right" w:pos="9062"/>
            </w:tabs>
            <w:rPr>
              <w:rFonts w:eastAsiaTheme="minorEastAsia" w:cstheme="minorBidi"/>
              <w:smallCaps w:val="0"/>
              <w:noProof/>
              <w:lang w:eastAsia="hr-HR"/>
            </w:rPr>
          </w:pPr>
          <w:hyperlink w:anchor="_Toc525816346" w:history="1">
            <w:r w:rsidR="00FE0B2B" w:rsidRPr="00B11ADF">
              <w:rPr>
                <w:rStyle w:val="Hyperlink"/>
                <w:noProof/>
              </w:rPr>
              <w:t>5.2.1</w:t>
            </w:r>
            <w:r w:rsidR="00FE0B2B">
              <w:rPr>
                <w:rFonts w:eastAsiaTheme="minorEastAsia" w:cstheme="minorBidi"/>
                <w:smallCaps w:val="0"/>
                <w:noProof/>
                <w:lang w:eastAsia="hr-HR"/>
              </w:rPr>
              <w:tab/>
            </w:r>
            <w:r w:rsidR="00FE0B2B" w:rsidRPr="00B11ADF">
              <w:rPr>
                <w:rStyle w:val="Hyperlink"/>
                <w:noProof/>
              </w:rPr>
              <w:t>Tržišni udjeli operatora na tržištu veleprodajnog završavanja glasovnih poziva u vlastitoj mobilnoj mreži</w:t>
            </w:r>
            <w:r w:rsidR="00FE0B2B">
              <w:rPr>
                <w:noProof/>
                <w:webHidden/>
              </w:rPr>
              <w:tab/>
            </w:r>
            <w:r w:rsidR="00FE0B2B">
              <w:rPr>
                <w:noProof/>
                <w:webHidden/>
              </w:rPr>
              <w:fldChar w:fldCharType="begin"/>
            </w:r>
            <w:r w:rsidR="00FE0B2B">
              <w:rPr>
                <w:noProof/>
                <w:webHidden/>
              </w:rPr>
              <w:instrText xml:space="preserve"> PAGEREF _Toc525816346 \h </w:instrText>
            </w:r>
            <w:r w:rsidR="00FE0B2B">
              <w:rPr>
                <w:noProof/>
                <w:webHidden/>
              </w:rPr>
            </w:r>
            <w:r w:rsidR="00FE0B2B">
              <w:rPr>
                <w:noProof/>
                <w:webHidden/>
              </w:rPr>
              <w:fldChar w:fldCharType="separate"/>
            </w:r>
            <w:r w:rsidR="002C37D1">
              <w:rPr>
                <w:noProof/>
                <w:webHidden/>
              </w:rPr>
              <w:t>18</w:t>
            </w:r>
            <w:r w:rsidR="00FE0B2B">
              <w:rPr>
                <w:noProof/>
                <w:webHidden/>
              </w:rPr>
              <w:fldChar w:fldCharType="end"/>
            </w:r>
          </w:hyperlink>
        </w:p>
        <w:p w:rsidR="00FE0B2B" w:rsidRDefault="00D91467">
          <w:pPr>
            <w:pStyle w:val="TOC3"/>
            <w:tabs>
              <w:tab w:val="left" w:pos="666"/>
              <w:tab w:val="right" w:pos="9062"/>
            </w:tabs>
            <w:rPr>
              <w:rFonts w:eastAsiaTheme="minorEastAsia" w:cstheme="minorBidi"/>
              <w:smallCaps w:val="0"/>
              <w:noProof/>
              <w:lang w:eastAsia="hr-HR"/>
            </w:rPr>
          </w:pPr>
          <w:hyperlink w:anchor="_Toc525816347" w:history="1">
            <w:r w:rsidR="00FE0B2B" w:rsidRPr="00B11ADF">
              <w:rPr>
                <w:rStyle w:val="Hyperlink"/>
                <w:noProof/>
              </w:rPr>
              <w:t>5.2.2</w:t>
            </w:r>
            <w:r w:rsidR="00FE0B2B">
              <w:rPr>
                <w:rFonts w:eastAsiaTheme="minorEastAsia" w:cstheme="minorBidi"/>
                <w:smallCaps w:val="0"/>
                <w:noProof/>
                <w:lang w:eastAsia="hr-HR"/>
              </w:rPr>
              <w:tab/>
            </w:r>
            <w:r w:rsidR="00FE0B2B" w:rsidRPr="00B11ADF">
              <w:rPr>
                <w:rStyle w:val="Hyperlink"/>
                <w:noProof/>
              </w:rPr>
              <w:t>Nedostatak protutežne kupovne moći</w:t>
            </w:r>
            <w:r w:rsidR="00FE0B2B">
              <w:rPr>
                <w:noProof/>
                <w:webHidden/>
              </w:rPr>
              <w:tab/>
            </w:r>
            <w:r w:rsidR="00FE0B2B">
              <w:rPr>
                <w:noProof/>
                <w:webHidden/>
              </w:rPr>
              <w:fldChar w:fldCharType="begin"/>
            </w:r>
            <w:r w:rsidR="00FE0B2B">
              <w:rPr>
                <w:noProof/>
                <w:webHidden/>
              </w:rPr>
              <w:instrText xml:space="preserve"> PAGEREF _Toc525816347 \h </w:instrText>
            </w:r>
            <w:r w:rsidR="00FE0B2B">
              <w:rPr>
                <w:noProof/>
                <w:webHidden/>
              </w:rPr>
            </w:r>
            <w:r w:rsidR="00FE0B2B">
              <w:rPr>
                <w:noProof/>
                <w:webHidden/>
              </w:rPr>
              <w:fldChar w:fldCharType="separate"/>
            </w:r>
            <w:r w:rsidR="002C37D1">
              <w:rPr>
                <w:noProof/>
                <w:webHidden/>
              </w:rPr>
              <w:t>19</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48" w:history="1">
            <w:r w:rsidR="00FE0B2B" w:rsidRPr="00B11ADF">
              <w:rPr>
                <w:rStyle w:val="Hyperlink"/>
                <w:noProof/>
              </w:rPr>
              <w:t>5.3</w:t>
            </w:r>
            <w:r w:rsidR="00FE0B2B">
              <w:rPr>
                <w:rFonts w:eastAsiaTheme="minorEastAsia" w:cstheme="minorBidi"/>
                <w:b w:val="0"/>
                <w:bCs w:val="0"/>
                <w:smallCaps w:val="0"/>
                <w:noProof/>
                <w:lang w:eastAsia="hr-HR"/>
              </w:rPr>
              <w:tab/>
            </w:r>
            <w:r w:rsidR="00FE0B2B" w:rsidRPr="00B11ADF">
              <w:rPr>
                <w:rStyle w:val="Hyperlink"/>
                <w:noProof/>
              </w:rPr>
              <w:t>Zaključak o procjeni postojanja operatora sa značajnom tržišnom snagom i ocjena djelotvornosti tržišnog natjecanja</w:t>
            </w:r>
            <w:r w:rsidR="00FE0B2B">
              <w:rPr>
                <w:noProof/>
                <w:webHidden/>
              </w:rPr>
              <w:tab/>
            </w:r>
            <w:r w:rsidR="00FE0B2B">
              <w:rPr>
                <w:noProof/>
                <w:webHidden/>
              </w:rPr>
              <w:fldChar w:fldCharType="begin"/>
            </w:r>
            <w:r w:rsidR="00FE0B2B">
              <w:rPr>
                <w:noProof/>
                <w:webHidden/>
              </w:rPr>
              <w:instrText xml:space="preserve"> PAGEREF _Toc525816348 \h </w:instrText>
            </w:r>
            <w:r w:rsidR="00FE0B2B">
              <w:rPr>
                <w:noProof/>
                <w:webHidden/>
              </w:rPr>
            </w:r>
            <w:r w:rsidR="00FE0B2B">
              <w:rPr>
                <w:noProof/>
                <w:webHidden/>
              </w:rPr>
              <w:fldChar w:fldCharType="separate"/>
            </w:r>
            <w:r w:rsidR="002C37D1">
              <w:rPr>
                <w:noProof/>
                <w:webHidden/>
              </w:rPr>
              <w:t>21</w:t>
            </w:r>
            <w:r w:rsidR="00FE0B2B">
              <w:rPr>
                <w:noProof/>
                <w:webHidden/>
              </w:rPr>
              <w:fldChar w:fldCharType="end"/>
            </w:r>
          </w:hyperlink>
        </w:p>
        <w:p w:rsidR="00FE0B2B" w:rsidRDefault="00D91467">
          <w:pPr>
            <w:pStyle w:val="TOC1"/>
            <w:tabs>
              <w:tab w:val="left" w:pos="332"/>
              <w:tab w:val="right" w:pos="9062"/>
            </w:tabs>
            <w:rPr>
              <w:rFonts w:eastAsiaTheme="minorEastAsia" w:cstheme="minorBidi"/>
              <w:b w:val="0"/>
              <w:bCs w:val="0"/>
              <w:caps w:val="0"/>
              <w:noProof/>
              <w:u w:val="none"/>
              <w:lang w:eastAsia="hr-HR"/>
            </w:rPr>
          </w:pPr>
          <w:hyperlink w:anchor="_Toc525816349" w:history="1">
            <w:r w:rsidR="00FE0B2B" w:rsidRPr="00B11ADF">
              <w:rPr>
                <w:rStyle w:val="Hyperlink"/>
                <w:noProof/>
              </w:rPr>
              <w:t>6</w:t>
            </w:r>
            <w:r w:rsidR="00FE0B2B">
              <w:rPr>
                <w:rFonts w:eastAsiaTheme="minorEastAsia" w:cstheme="minorBidi"/>
                <w:b w:val="0"/>
                <w:bCs w:val="0"/>
                <w:caps w:val="0"/>
                <w:noProof/>
                <w:u w:val="none"/>
                <w:lang w:eastAsia="hr-HR"/>
              </w:rPr>
              <w:tab/>
            </w:r>
            <w:r w:rsidR="00FE0B2B" w:rsidRPr="00B11ADF">
              <w:rPr>
                <w:rStyle w:val="Hyperlink"/>
                <w:noProof/>
              </w:rPr>
              <w:t>Prepreke razvoju djelotvornog tržišnog natjecanja</w:t>
            </w:r>
            <w:r w:rsidR="00FE0B2B">
              <w:rPr>
                <w:noProof/>
                <w:webHidden/>
              </w:rPr>
              <w:tab/>
            </w:r>
            <w:r w:rsidR="00FE0B2B">
              <w:rPr>
                <w:noProof/>
                <w:webHidden/>
              </w:rPr>
              <w:fldChar w:fldCharType="begin"/>
            </w:r>
            <w:r w:rsidR="00FE0B2B">
              <w:rPr>
                <w:noProof/>
                <w:webHidden/>
              </w:rPr>
              <w:instrText xml:space="preserve"> PAGEREF _Toc525816349 \h </w:instrText>
            </w:r>
            <w:r w:rsidR="00FE0B2B">
              <w:rPr>
                <w:noProof/>
                <w:webHidden/>
              </w:rPr>
            </w:r>
            <w:r w:rsidR="00FE0B2B">
              <w:rPr>
                <w:noProof/>
                <w:webHidden/>
              </w:rPr>
              <w:fldChar w:fldCharType="separate"/>
            </w:r>
            <w:r w:rsidR="002C37D1">
              <w:rPr>
                <w:noProof/>
                <w:webHidden/>
              </w:rPr>
              <w:t>22</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0" w:history="1">
            <w:r w:rsidR="00FE0B2B" w:rsidRPr="00B11ADF">
              <w:rPr>
                <w:rStyle w:val="Hyperlink"/>
                <w:noProof/>
              </w:rPr>
              <w:t>6.1</w:t>
            </w:r>
            <w:r w:rsidR="00FE0B2B">
              <w:rPr>
                <w:rFonts w:eastAsiaTheme="minorEastAsia" w:cstheme="minorBidi"/>
                <w:b w:val="0"/>
                <w:bCs w:val="0"/>
                <w:smallCaps w:val="0"/>
                <w:noProof/>
                <w:lang w:eastAsia="hr-HR"/>
              </w:rPr>
              <w:tab/>
            </w:r>
            <w:r w:rsidR="00FE0B2B" w:rsidRPr="00B11ADF">
              <w:rPr>
                <w:rStyle w:val="Hyperlink"/>
                <w:noProof/>
              </w:rPr>
              <w:t>Odbijanje dogovora /uskraćivanje međupovezivanja</w:t>
            </w:r>
            <w:r w:rsidR="00FE0B2B">
              <w:rPr>
                <w:noProof/>
                <w:webHidden/>
              </w:rPr>
              <w:tab/>
            </w:r>
            <w:r w:rsidR="00FE0B2B">
              <w:rPr>
                <w:noProof/>
                <w:webHidden/>
              </w:rPr>
              <w:fldChar w:fldCharType="begin"/>
            </w:r>
            <w:r w:rsidR="00FE0B2B">
              <w:rPr>
                <w:noProof/>
                <w:webHidden/>
              </w:rPr>
              <w:instrText xml:space="preserve"> PAGEREF _Toc525816350 \h </w:instrText>
            </w:r>
            <w:r w:rsidR="00FE0B2B">
              <w:rPr>
                <w:noProof/>
                <w:webHidden/>
              </w:rPr>
            </w:r>
            <w:r w:rsidR="00FE0B2B">
              <w:rPr>
                <w:noProof/>
                <w:webHidden/>
              </w:rPr>
              <w:fldChar w:fldCharType="separate"/>
            </w:r>
            <w:r w:rsidR="002C37D1">
              <w:rPr>
                <w:noProof/>
                <w:webHidden/>
              </w:rPr>
              <w:t>22</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1" w:history="1">
            <w:r w:rsidR="00FE0B2B" w:rsidRPr="00B11ADF">
              <w:rPr>
                <w:rStyle w:val="Hyperlink"/>
                <w:noProof/>
              </w:rPr>
              <w:t>6.2</w:t>
            </w:r>
            <w:r w:rsidR="00FE0B2B">
              <w:rPr>
                <w:rFonts w:eastAsiaTheme="minorEastAsia" w:cstheme="minorBidi"/>
                <w:b w:val="0"/>
                <w:bCs w:val="0"/>
                <w:smallCaps w:val="0"/>
                <w:noProof/>
                <w:lang w:eastAsia="hr-HR"/>
              </w:rPr>
              <w:tab/>
            </w:r>
            <w:r w:rsidR="00FE0B2B" w:rsidRPr="00B11ADF">
              <w:rPr>
                <w:rStyle w:val="Hyperlink"/>
                <w:noProof/>
              </w:rPr>
              <w:t>Prenošenje značajne tržišne snage na osnovama nevezanim uz cijene</w:t>
            </w:r>
            <w:r w:rsidR="00FE0B2B">
              <w:rPr>
                <w:noProof/>
                <w:webHidden/>
              </w:rPr>
              <w:tab/>
            </w:r>
            <w:r w:rsidR="00FE0B2B">
              <w:rPr>
                <w:noProof/>
                <w:webHidden/>
              </w:rPr>
              <w:fldChar w:fldCharType="begin"/>
            </w:r>
            <w:r w:rsidR="00FE0B2B">
              <w:rPr>
                <w:noProof/>
                <w:webHidden/>
              </w:rPr>
              <w:instrText xml:space="preserve"> PAGEREF _Toc525816351 \h </w:instrText>
            </w:r>
            <w:r w:rsidR="00FE0B2B">
              <w:rPr>
                <w:noProof/>
                <w:webHidden/>
              </w:rPr>
            </w:r>
            <w:r w:rsidR="00FE0B2B">
              <w:rPr>
                <w:noProof/>
                <w:webHidden/>
              </w:rPr>
              <w:fldChar w:fldCharType="separate"/>
            </w:r>
            <w:r w:rsidR="002C37D1">
              <w:rPr>
                <w:noProof/>
                <w:webHidden/>
              </w:rPr>
              <w:t>22</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2" w:history="1">
            <w:r w:rsidR="00FE0B2B" w:rsidRPr="00B11ADF">
              <w:rPr>
                <w:rStyle w:val="Hyperlink"/>
                <w:noProof/>
              </w:rPr>
              <w:t>6.3</w:t>
            </w:r>
            <w:r w:rsidR="00FE0B2B">
              <w:rPr>
                <w:rFonts w:eastAsiaTheme="minorEastAsia" w:cstheme="minorBidi"/>
                <w:b w:val="0"/>
                <w:bCs w:val="0"/>
                <w:smallCaps w:val="0"/>
                <w:noProof/>
                <w:lang w:eastAsia="hr-HR"/>
              </w:rPr>
              <w:tab/>
            </w:r>
            <w:r w:rsidR="00FE0B2B" w:rsidRPr="00B11ADF">
              <w:rPr>
                <w:rStyle w:val="Hyperlink"/>
                <w:noProof/>
              </w:rPr>
              <w:t>Prenošenje značajne tržišne snage na osnovama vezanim uz cijene</w:t>
            </w:r>
            <w:r w:rsidR="00FE0B2B">
              <w:rPr>
                <w:noProof/>
                <w:webHidden/>
              </w:rPr>
              <w:tab/>
            </w:r>
            <w:r w:rsidR="00FE0B2B">
              <w:rPr>
                <w:noProof/>
                <w:webHidden/>
              </w:rPr>
              <w:fldChar w:fldCharType="begin"/>
            </w:r>
            <w:r w:rsidR="00FE0B2B">
              <w:rPr>
                <w:noProof/>
                <w:webHidden/>
              </w:rPr>
              <w:instrText xml:space="preserve"> PAGEREF _Toc525816352 \h </w:instrText>
            </w:r>
            <w:r w:rsidR="00FE0B2B">
              <w:rPr>
                <w:noProof/>
                <w:webHidden/>
              </w:rPr>
            </w:r>
            <w:r w:rsidR="00FE0B2B">
              <w:rPr>
                <w:noProof/>
                <w:webHidden/>
              </w:rPr>
              <w:fldChar w:fldCharType="separate"/>
            </w:r>
            <w:r w:rsidR="002C37D1">
              <w:rPr>
                <w:noProof/>
                <w:webHidden/>
              </w:rPr>
              <w:t>24</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3" w:history="1">
            <w:r w:rsidR="00FE0B2B" w:rsidRPr="00B11ADF">
              <w:rPr>
                <w:rStyle w:val="Hyperlink"/>
                <w:noProof/>
              </w:rPr>
              <w:t>6.4</w:t>
            </w:r>
            <w:r w:rsidR="00FE0B2B">
              <w:rPr>
                <w:rFonts w:eastAsiaTheme="minorEastAsia" w:cstheme="minorBidi"/>
                <w:b w:val="0"/>
                <w:bCs w:val="0"/>
                <w:smallCaps w:val="0"/>
                <w:noProof/>
                <w:lang w:eastAsia="hr-HR"/>
              </w:rPr>
              <w:tab/>
            </w:r>
            <w:r w:rsidR="00FE0B2B" w:rsidRPr="00B11ADF">
              <w:rPr>
                <w:rStyle w:val="Hyperlink"/>
                <w:noProof/>
              </w:rPr>
              <w:t>Neravnopravni položaj hrvatskih operatora pokretnih mreža u odnosu na operatore izvan EEA zemalja</w:t>
            </w:r>
            <w:r w:rsidR="00FE0B2B">
              <w:rPr>
                <w:noProof/>
                <w:webHidden/>
              </w:rPr>
              <w:tab/>
            </w:r>
            <w:r w:rsidR="00FE0B2B">
              <w:rPr>
                <w:noProof/>
                <w:webHidden/>
              </w:rPr>
              <w:fldChar w:fldCharType="begin"/>
            </w:r>
            <w:r w:rsidR="00FE0B2B">
              <w:rPr>
                <w:noProof/>
                <w:webHidden/>
              </w:rPr>
              <w:instrText xml:space="preserve"> PAGEREF _Toc525816353 \h </w:instrText>
            </w:r>
            <w:r w:rsidR="00FE0B2B">
              <w:rPr>
                <w:noProof/>
                <w:webHidden/>
              </w:rPr>
            </w:r>
            <w:r w:rsidR="00FE0B2B">
              <w:rPr>
                <w:noProof/>
                <w:webHidden/>
              </w:rPr>
              <w:fldChar w:fldCharType="separate"/>
            </w:r>
            <w:r w:rsidR="002C37D1">
              <w:rPr>
                <w:noProof/>
                <w:webHidden/>
              </w:rPr>
              <w:t>26</w:t>
            </w:r>
            <w:r w:rsidR="00FE0B2B">
              <w:rPr>
                <w:noProof/>
                <w:webHidden/>
              </w:rPr>
              <w:fldChar w:fldCharType="end"/>
            </w:r>
          </w:hyperlink>
        </w:p>
        <w:p w:rsidR="00FE0B2B" w:rsidRDefault="00D91467">
          <w:pPr>
            <w:pStyle w:val="TOC1"/>
            <w:tabs>
              <w:tab w:val="left" w:pos="332"/>
              <w:tab w:val="right" w:pos="9062"/>
            </w:tabs>
            <w:rPr>
              <w:rFonts w:eastAsiaTheme="minorEastAsia" w:cstheme="minorBidi"/>
              <w:b w:val="0"/>
              <w:bCs w:val="0"/>
              <w:caps w:val="0"/>
              <w:noProof/>
              <w:u w:val="none"/>
              <w:lang w:eastAsia="hr-HR"/>
            </w:rPr>
          </w:pPr>
          <w:hyperlink w:anchor="_Toc525816354" w:history="1">
            <w:r w:rsidR="00FE0B2B" w:rsidRPr="00B11ADF">
              <w:rPr>
                <w:rStyle w:val="Hyperlink"/>
                <w:noProof/>
              </w:rPr>
              <w:t>7</w:t>
            </w:r>
            <w:r w:rsidR="00FE0B2B">
              <w:rPr>
                <w:rFonts w:eastAsiaTheme="minorEastAsia" w:cstheme="minorBidi"/>
                <w:b w:val="0"/>
                <w:bCs w:val="0"/>
                <w:caps w:val="0"/>
                <w:noProof/>
                <w:u w:val="none"/>
                <w:lang w:eastAsia="hr-HR"/>
              </w:rPr>
              <w:tab/>
            </w:r>
            <w:r w:rsidR="00FE0B2B" w:rsidRPr="00B11ADF">
              <w:rPr>
                <w:rStyle w:val="Hyperlink"/>
                <w:noProof/>
              </w:rPr>
              <w:t>Regulatorne obveze operatora sa značajnom tržišnom snagom na tržištu veleprodajnog završavanja glasovnih poziva u vlastitoj mobilnoj mreži</w:t>
            </w:r>
            <w:r w:rsidR="00FE0B2B">
              <w:rPr>
                <w:noProof/>
                <w:webHidden/>
              </w:rPr>
              <w:tab/>
            </w:r>
            <w:r w:rsidR="00FE0B2B">
              <w:rPr>
                <w:noProof/>
                <w:webHidden/>
              </w:rPr>
              <w:fldChar w:fldCharType="begin"/>
            </w:r>
            <w:r w:rsidR="00FE0B2B">
              <w:rPr>
                <w:noProof/>
                <w:webHidden/>
              </w:rPr>
              <w:instrText xml:space="preserve"> PAGEREF _Toc525816354 \h </w:instrText>
            </w:r>
            <w:r w:rsidR="00FE0B2B">
              <w:rPr>
                <w:noProof/>
                <w:webHidden/>
              </w:rPr>
            </w:r>
            <w:r w:rsidR="00FE0B2B">
              <w:rPr>
                <w:noProof/>
                <w:webHidden/>
              </w:rPr>
              <w:fldChar w:fldCharType="separate"/>
            </w:r>
            <w:r w:rsidR="002C37D1">
              <w:rPr>
                <w:noProof/>
                <w:webHidden/>
              </w:rPr>
              <w:t>28</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5" w:history="1">
            <w:r w:rsidR="00FE0B2B" w:rsidRPr="00B11ADF">
              <w:rPr>
                <w:rStyle w:val="Hyperlink"/>
                <w:noProof/>
              </w:rPr>
              <w:t>7.1</w:t>
            </w:r>
            <w:r w:rsidR="00FE0B2B">
              <w:rPr>
                <w:rFonts w:eastAsiaTheme="minorEastAsia" w:cstheme="minorBidi"/>
                <w:b w:val="0"/>
                <w:bCs w:val="0"/>
                <w:smallCaps w:val="0"/>
                <w:noProof/>
                <w:lang w:eastAsia="hr-HR"/>
              </w:rPr>
              <w:tab/>
            </w:r>
            <w:r w:rsidR="00FE0B2B" w:rsidRPr="00B11ADF">
              <w:rPr>
                <w:rStyle w:val="Hyperlink"/>
                <w:noProof/>
              </w:rPr>
              <w:t>Obveza pristupa i korištenja posebnih dijelova mreže</w:t>
            </w:r>
            <w:r w:rsidR="00FE0B2B">
              <w:rPr>
                <w:noProof/>
                <w:webHidden/>
              </w:rPr>
              <w:tab/>
            </w:r>
            <w:r w:rsidR="00FE0B2B">
              <w:rPr>
                <w:noProof/>
                <w:webHidden/>
              </w:rPr>
              <w:fldChar w:fldCharType="begin"/>
            </w:r>
            <w:r w:rsidR="00FE0B2B">
              <w:rPr>
                <w:noProof/>
                <w:webHidden/>
              </w:rPr>
              <w:instrText xml:space="preserve"> PAGEREF _Toc525816355 \h </w:instrText>
            </w:r>
            <w:r w:rsidR="00FE0B2B">
              <w:rPr>
                <w:noProof/>
                <w:webHidden/>
              </w:rPr>
            </w:r>
            <w:r w:rsidR="00FE0B2B">
              <w:rPr>
                <w:noProof/>
                <w:webHidden/>
              </w:rPr>
              <w:fldChar w:fldCharType="separate"/>
            </w:r>
            <w:r w:rsidR="002C37D1">
              <w:rPr>
                <w:noProof/>
                <w:webHidden/>
              </w:rPr>
              <w:t>28</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6" w:history="1">
            <w:r w:rsidR="00FE0B2B" w:rsidRPr="00B11ADF">
              <w:rPr>
                <w:rStyle w:val="Hyperlink"/>
                <w:noProof/>
              </w:rPr>
              <w:t>7.2</w:t>
            </w:r>
            <w:r w:rsidR="00FE0B2B">
              <w:rPr>
                <w:rFonts w:eastAsiaTheme="minorEastAsia" w:cstheme="minorBidi"/>
                <w:b w:val="0"/>
                <w:bCs w:val="0"/>
                <w:smallCaps w:val="0"/>
                <w:noProof/>
                <w:lang w:eastAsia="hr-HR"/>
              </w:rPr>
              <w:tab/>
            </w:r>
            <w:r w:rsidR="00FE0B2B" w:rsidRPr="00B11ADF">
              <w:rPr>
                <w:rStyle w:val="Hyperlink"/>
                <w:noProof/>
              </w:rPr>
              <w:t>Obveza nediskriminacije</w:t>
            </w:r>
            <w:r w:rsidR="00FE0B2B">
              <w:rPr>
                <w:noProof/>
                <w:webHidden/>
              </w:rPr>
              <w:tab/>
            </w:r>
            <w:r w:rsidR="00FE0B2B">
              <w:rPr>
                <w:noProof/>
                <w:webHidden/>
              </w:rPr>
              <w:fldChar w:fldCharType="begin"/>
            </w:r>
            <w:r w:rsidR="00FE0B2B">
              <w:rPr>
                <w:noProof/>
                <w:webHidden/>
              </w:rPr>
              <w:instrText xml:space="preserve"> PAGEREF _Toc525816356 \h </w:instrText>
            </w:r>
            <w:r w:rsidR="00FE0B2B">
              <w:rPr>
                <w:noProof/>
                <w:webHidden/>
              </w:rPr>
            </w:r>
            <w:r w:rsidR="00FE0B2B">
              <w:rPr>
                <w:noProof/>
                <w:webHidden/>
              </w:rPr>
              <w:fldChar w:fldCharType="separate"/>
            </w:r>
            <w:r w:rsidR="002C37D1">
              <w:rPr>
                <w:noProof/>
                <w:webHidden/>
              </w:rPr>
              <w:t>31</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7" w:history="1">
            <w:r w:rsidR="00FE0B2B" w:rsidRPr="00B11ADF">
              <w:rPr>
                <w:rStyle w:val="Hyperlink"/>
                <w:noProof/>
              </w:rPr>
              <w:t>7.3</w:t>
            </w:r>
            <w:r w:rsidR="00FE0B2B">
              <w:rPr>
                <w:rFonts w:eastAsiaTheme="minorEastAsia" w:cstheme="minorBidi"/>
                <w:b w:val="0"/>
                <w:bCs w:val="0"/>
                <w:smallCaps w:val="0"/>
                <w:noProof/>
                <w:lang w:eastAsia="hr-HR"/>
              </w:rPr>
              <w:tab/>
            </w:r>
            <w:r w:rsidR="00FE0B2B" w:rsidRPr="00B11ADF">
              <w:rPr>
                <w:rStyle w:val="Hyperlink"/>
                <w:noProof/>
              </w:rPr>
              <w:t>Obveza transparentnosti</w:t>
            </w:r>
            <w:r w:rsidR="00FE0B2B">
              <w:rPr>
                <w:noProof/>
                <w:webHidden/>
              </w:rPr>
              <w:tab/>
            </w:r>
            <w:r w:rsidR="00FE0B2B">
              <w:rPr>
                <w:noProof/>
                <w:webHidden/>
              </w:rPr>
              <w:fldChar w:fldCharType="begin"/>
            </w:r>
            <w:r w:rsidR="00FE0B2B">
              <w:rPr>
                <w:noProof/>
                <w:webHidden/>
              </w:rPr>
              <w:instrText xml:space="preserve"> PAGEREF _Toc525816357 \h </w:instrText>
            </w:r>
            <w:r w:rsidR="00FE0B2B">
              <w:rPr>
                <w:noProof/>
                <w:webHidden/>
              </w:rPr>
            </w:r>
            <w:r w:rsidR="00FE0B2B">
              <w:rPr>
                <w:noProof/>
                <w:webHidden/>
              </w:rPr>
              <w:fldChar w:fldCharType="separate"/>
            </w:r>
            <w:r w:rsidR="002C37D1">
              <w:rPr>
                <w:noProof/>
                <w:webHidden/>
              </w:rPr>
              <w:t>33</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8" w:history="1">
            <w:r w:rsidR="00FE0B2B" w:rsidRPr="00B11ADF">
              <w:rPr>
                <w:rStyle w:val="Hyperlink"/>
                <w:noProof/>
              </w:rPr>
              <w:t>7.4</w:t>
            </w:r>
            <w:r w:rsidR="00FE0B2B">
              <w:rPr>
                <w:rFonts w:eastAsiaTheme="minorEastAsia" w:cstheme="minorBidi"/>
                <w:b w:val="0"/>
                <w:bCs w:val="0"/>
                <w:smallCaps w:val="0"/>
                <w:noProof/>
                <w:lang w:eastAsia="hr-HR"/>
              </w:rPr>
              <w:tab/>
            </w:r>
            <w:r w:rsidR="00FE0B2B" w:rsidRPr="00B11ADF">
              <w:rPr>
                <w:rStyle w:val="Hyperlink"/>
                <w:noProof/>
              </w:rPr>
              <w:t>Obveza nadzora cijena</w:t>
            </w:r>
            <w:r w:rsidR="00FE0B2B">
              <w:rPr>
                <w:noProof/>
                <w:webHidden/>
              </w:rPr>
              <w:tab/>
            </w:r>
            <w:r w:rsidR="00FE0B2B">
              <w:rPr>
                <w:noProof/>
                <w:webHidden/>
              </w:rPr>
              <w:fldChar w:fldCharType="begin"/>
            </w:r>
            <w:r w:rsidR="00FE0B2B">
              <w:rPr>
                <w:noProof/>
                <w:webHidden/>
              </w:rPr>
              <w:instrText xml:space="preserve"> PAGEREF _Toc525816358 \h </w:instrText>
            </w:r>
            <w:r w:rsidR="00FE0B2B">
              <w:rPr>
                <w:noProof/>
                <w:webHidden/>
              </w:rPr>
            </w:r>
            <w:r w:rsidR="00FE0B2B">
              <w:rPr>
                <w:noProof/>
                <w:webHidden/>
              </w:rPr>
              <w:fldChar w:fldCharType="separate"/>
            </w:r>
            <w:r w:rsidR="002C37D1">
              <w:rPr>
                <w:noProof/>
                <w:webHidden/>
              </w:rPr>
              <w:t>37</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59" w:history="1">
            <w:r w:rsidR="00FE0B2B" w:rsidRPr="00B11ADF">
              <w:rPr>
                <w:rStyle w:val="Hyperlink"/>
                <w:noProof/>
              </w:rPr>
              <w:t>7.5</w:t>
            </w:r>
            <w:r w:rsidR="00FE0B2B">
              <w:rPr>
                <w:rFonts w:eastAsiaTheme="minorEastAsia" w:cstheme="minorBidi"/>
                <w:b w:val="0"/>
                <w:bCs w:val="0"/>
                <w:smallCaps w:val="0"/>
                <w:noProof/>
                <w:lang w:eastAsia="hr-HR"/>
              </w:rPr>
              <w:tab/>
            </w:r>
            <w:r w:rsidR="00FE0B2B" w:rsidRPr="00B11ADF">
              <w:rPr>
                <w:rStyle w:val="Hyperlink"/>
                <w:noProof/>
              </w:rPr>
              <w:t>Ostale regulatorne obveze koje bi HAKOM, na temelju ZEK-a, mogao propisati na tržištu veleprodajnog završavanja glasovnih poziva u vlastitoj mobilnoj mreži</w:t>
            </w:r>
            <w:r w:rsidR="00FE0B2B">
              <w:rPr>
                <w:noProof/>
                <w:webHidden/>
              </w:rPr>
              <w:tab/>
            </w:r>
            <w:r w:rsidR="00FE0B2B">
              <w:rPr>
                <w:noProof/>
                <w:webHidden/>
              </w:rPr>
              <w:fldChar w:fldCharType="begin"/>
            </w:r>
            <w:r w:rsidR="00FE0B2B">
              <w:rPr>
                <w:noProof/>
                <w:webHidden/>
              </w:rPr>
              <w:instrText xml:space="preserve"> PAGEREF _Toc525816359 \h </w:instrText>
            </w:r>
            <w:r w:rsidR="00FE0B2B">
              <w:rPr>
                <w:noProof/>
                <w:webHidden/>
              </w:rPr>
            </w:r>
            <w:r w:rsidR="00FE0B2B">
              <w:rPr>
                <w:noProof/>
                <w:webHidden/>
              </w:rPr>
              <w:fldChar w:fldCharType="separate"/>
            </w:r>
            <w:r w:rsidR="002C37D1">
              <w:rPr>
                <w:noProof/>
                <w:webHidden/>
              </w:rPr>
              <w:t>40</w:t>
            </w:r>
            <w:r w:rsidR="00FE0B2B">
              <w:rPr>
                <w:noProof/>
                <w:webHidden/>
              </w:rPr>
              <w:fldChar w:fldCharType="end"/>
            </w:r>
          </w:hyperlink>
        </w:p>
        <w:p w:rsidR="00FE0B2B" w:rsidRDefault="00D91467">
          <w:pPr>
            <w:pStyle w:val="TOC1"/>
            <w:tabs>
              <w:tab w:val="left" w:pos="332"/>
              <w:tab w:val="right" w:pos="9062"/>
            </w:tabs>
            <w:rPr>
              <w:rFonts w:eastAsiaTheme="minorEastAsia" w:cstheme="minorBidi"/>
              <w:b w:val="0"/>
              <w:bCs w:val="0"/>
              <w:caps w:val="0"/>
              <w:noProof/>
              <w:u w:val="none"/>
              <w:lang w:eastAsia="hr-HR"/>
            </w:rPr>
          </w:pPr>
          <w:hyperlink w:anchor="_Toc525816360" w:history="1">
            <w:r w:rsidR="00FE0B2B" w:rsidRPr="00B11ADF">
              <w:rPr>
                <w:rStyle w:val="Hyperlink"/>
                <w:noProof/>
              </w:rPr>
              <w:t>8</w:t>
            </w:r>
            <w:r w:rsidR="00FE0B2B">
              <w:rPr>
                <w:rFonts w:eastAsiaTheme="minorEastAsia" w:cstheme="minorBidi"/>
                <w:b w:val="0"/>
                <w:bCs w:val="0"/>
                <w:caps w:val="0"/>
                <w:noProof/>
                <w:u w:val="none"/>
                <w:lang w:eastAsia="hr-HR"/>
              </w:rPr>
              <w:tab/>
            </w:r>
            <w:r w:rsidR="00FE0B2B" w:rsidRPr="00B11ADF">
              <w:rPr>
                <w:rStyle w:val="Hyperlink"/>
                <w:noProof/>
              </w:rPr>
              <w:t>Prilozi</w:t>
            </w:r>
            <w:r w:rsidR="00FE0B2B">
              <w:rPr>
                <w:noProof/>
                <w:webHidden/>
              </w:rPr>
              <w:tab/>
            </w:r>
            <w:r w:rsidR="00FE0B2B">
              <w:rPr>
                <w:noProof/>
                <w:webHidden/>
              </w:rPr>
              <w:fldChar w:fldCharType="begin"/>
            </w:r>
            <w:r w:rsidR="00FE0B2B">
              <w:rPr>
                <w:noProof/>
                <w:webHidden/>
              </w:rPr>
              <w:instrText xml:space="preserve"> PAGEREF _Toc525816360 \h </w:instrText>
            </w:r>
            <w:r w:rsidR="00FE0B2B">
              <w:rPr>
                <w:noProof/>
                <w:webHidden/>
              </w:rPr>
            </w:r>
            <w:r w:rsidR="00FE0B2B">
              <w:rPr>
                <w:noProof/>
                <w:webHidden/>
              </w:rPr>
              <w:fldChar w:fldCharType="separate"/>
            </w:r>
            <w:r w:rsidR="002C37D1">
              <w:rPr>
                <w:noProof/>
                <w:webHidden/>
              </w:rPr>
              <w:t>41</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61" w:history="1">
            <w:r w:rsidR="00FE0B2B" w:rsidRPr="00B11ADF">
              <w:rPr>
                <w:rStyle w:val="Hyperlink"/>
                <w:noProof/>
              </w:rPr>
              <w:t>8.1</w:t>
            </w:r>
            <w:r w:rsidR="00FE0B2B">
              <w:rPr>
                <w:rFonts w:eastAsiaTheme="minorEastAsia" w:cstheme="minorBidi"/>
                <w:b w:val="0"/>
                <w:bCs w:val="0"/>
                <w:smallCaps w:val="0"/>
                <w:noProof/>
                <w:lang w:eastAsia="hr-HR"/>
              </w:rPr>
              <w:tab/>
            </w:r>
            <w:r w:rsidR="00FE0B2B" w:rsidRPr="00B11ADF">
              <w:rPr>
                <w:rStyle w:val="Hyperlink"/>
                <w:noProof/>
              </w:rPr>
              <w:t>Prilog 1– Pregled regulatornih obveza</w:t>
            </w:r>
            <w:r w:rsidR="00FE0B2B">
              <w:rPr>
                <w:noProof/>
                <w:webHidden/>
              </w:rPr>
              <w:tab/>
            </w:r>
            <w:r w:rsidR="00FE0B2B">
              <w:rPr>
                <w:noProof/>
                <w:webHidden/>
              </w:rPr>
              <w:fldChar w:fldCharType="begin"/>
            </w:r>
            <w:r w:rsidR="00FE0B2B">
              <w:rPr>
                <w:noProof/>
                <w:webHidden/>
              </w:rPr>
              <w:instrText xml:space="preserve"> PAGEREF _Toc525816361 \h </w:instrText>
            </w:r>
            <w:r w:rsidR="00FE0B2B">
              <w:rPr>
                <w:noProof/>
                <w:webHidden/>
              </w:rPr>
            </w:r>
            <w:r w:rsidR="00FE0B2B">
              <w:rPr>
                <w:noProof/>
                <w:webHidden/>
              </w:rPr>
              <w:fldChar w:fldCharType="separate"/>
            </w:r>
            <w:r w:rsidR="002C37D1">
              <w:rPr>
                <w:noProof/>
                <w:webHidden/>
              </w:rPr>
              <w:t>41</w:t>
            </w:r>
            <w:r w:rsidR="00FE0B2B">
              <w:rPr>
                <w:noProof/>
                <w:webHidden/>
              </w:rPr>
              <w:fldChar w:fldCharType="end"/>
            </w:r>
          </w:hyperlink>
        </w:p>
        <w:p w:rsidR="00FE0B2B" w:rsidRDefault="00D91467">
          <w:pPr>
            <w:pStyle w:val="TOC2"/>
            <w:tabs>
              <w:tab w:val="right" w:pos="9062"/>
            </w:tabs>
            <w:rPr>
              <w:rFonts w:eastAsiaTheme="minorEastAsia" w:cstheme="minorBidi"/>
              <w:b w:val="0"/>
              <w:bCs w:val="0"/>
              <w:smallCaps w:val="0"/>
              <w:noProof/>
              <w:lang w:eastAsia="hr-HR"/>
            </w:rPr>
          </w:pPr>
          <w:hyperlink w:anchor="_Toc525816362" w:history="1">
            <w:r w:rsidR="00FE0B2B" w:rsidRPr="00B11ADF">
              <w:rPr>
                <w:rStyle w:val="Hyperlink"/>
                <w:noProof/>
              </w:rPr>
              <w:t>Prilog 2– mišljenje Agencije za zaštitu tržišnog natjecanja</w:t>
            </w:r>
            <w:r w:rsidR="00FE0B2B">
              <w:rPr>
                <w:noProof/>
                <w:webHidden/>
              </w:rPr>
              <w:tab/>
            </w:r>
            <w:r w:rsidR="00FE0B2B">
              <w:rPr>
                <w:noProof/>
                <w:webHidden/>
              </w:rPr>
              <w:fldChar w:fldCharType="begin"/>
            </w:r>
            <w:r w:rsidR="00FE0B2B">
              <w:rPr>
                <w:noProof/>
                <w:webHidden/>
              </w:rPr>
              <w:instrText xml:space="preserve"> PAGEREF _Toc525816362 \h </w:instrText>
            </w:r>
            <w:r w:rsidR="00FE0B2B">
              <w:rPr>
                <w:noProof/>
                <w:webHidden/>
              </w:rPr>
            </w:r>
            <w:r w:rsidR="00FE0B2B">
              <w:rPr>
                <w:noProof/>
                <w:webHidden/>
              </w:rPr>
              <w:fldChar w:fldCharType="separate"/>
            </w:r>
            <w:r w:rsidR="002C37D1">
              <w:rPr>
                <w:noProof/>
                <w:webHidden/>
              </w:rPr>
              <w:t>42</w:t>
            </w:r>
            <w:r w:rsidR="00FE0B2B">
              <w:rPr>
                <w:noProof/>
                <w:webHidden/>
              </w:rPr>
              <w:fldChar w:fldCharType="end"/>
            </w:r>
          </w:hyperlink>
        </w:p>
        <w:p w:rsidR="00FE0B2B" w:rsidRDefault="00D91467">
          <w:pPr>
            <w:pStyle w:val="TOC2"/>
            <w:tabs>
              <w:tab w:val="left" w:pos="502"/>
              <w:tab w:val="right" w:pos="9062"/>
            </w:tabs>
            <w:rPr>
              <w:rFonts w:eastAsiaTheme="minorEastAsia" w:cstheme="minorBidi"/>
              <w:b w:val="0"/>
              <w:bCs w:val="0"/>
              <w:smallCaps w:val="0"/>
              <w:noProof/>
              <w:lang w:eastAsia="hr-HR"/>
            </w:rPr>
          </w:pPr>
          <w:hyperlink w:anchor="_Toc525816363" w:history="1">
            <w:r w:rsidR="00FE0B2B" w:rsidRPr="00B11ADF">
              <w:rPr>
                <w:rStyle w:val="Hyperlink"/>
                <w:noProof/>
              </w:rPr>
              <w:t>8.2</w:t>
            </w:r>
            <w:r w:rsidR="00FE0B2B">
              <w:rPr>
                <w:rFonts w:eastAsiaTheme="minorEastAsia" w:cstheme="minorBidi"/>
                <w:b w:val="0"/>
                <w:bCs w:val="0"/>
                <w:smallCaps w:val="0"/>
                <w:noProof/>
                <w:lang w:eastAsia="hr-HR"/>
              </w:rPr>
              <w:tab/>
            </w:r>
            <w:r w:rsidR="00FE0B2B" w:rsidRPr="00B11ADF">
              <w:rPr>
                <w:rStyle w:val="Hyperlink"/>
                <w:noProof/>
              </w:rPr>
              <w:t>Prilog 3 – Komentari na dokument analize</w:t>
            </w:r>
            <w:r w:rsidR="00FE0B2B">
              <w:rPr>
                <w:noProof/>
                <w:webHidden/>
              </w:rPr>
              <w:tab/>
            </w:r>
            <w:r w:rsidR="00FE0B2B">
              <w:rPr>
                <w:noProof/>
                <w:webHidden/>
              </w:rPr>
              <w:fldChar w:fldCharType="begin"/>
            </w:r>
            <w:r w:rsidR="00FE0B2B">
              <w:rPr>
                <w:noProof/>
                <w:webHidden/>
              </w:rPr>
              <w:instrText xml:space="preserve"> PAGEREF _Toc525816363 \h </w:instrText>
            </w:r>
            <w:r w:rsidR="00FE0B2B">
              <w:rPr>
                <w:noProof/>
                <w:webHidden/>
              </w:rPr>
            </w:r>
            <w:r w:rsidR="00FE0B2B">
              <w:rPr>
                <w:noProof/>
                <w:webHidden/>
              </w:rPr>
              <w:fldChar w:fldCharType="separate"/>
            </w:r>
            <w:r w:rsidR="002C37D1">
              <w:rPr>
                <w:noProof/>
                <w:webHidden/>
              </w:rPr>
              <w:t>43</w:t>
            </w:r>
            <w:r w:rsidR="00FE0B2B">
              <w:rPr>
                <w:noProof/>
                <w:webHidden/>
              </w:rPr>
              <w:fldChar w:fldCharType="end"/>
            </w:r>
          </w:hyperlink>
        </w:p>
        <w:p w:rsidR="00FE0B2B" w:rsidRDefault="00D91467">
          <w:pPr>
            <w:pStyle w:val="TOC1"/>
            <w:tabs>
              <w:tab w:val="left" w:pos="332"/>
              <w:tab w:val="right" w:pos="9062"/>
            </w:tabs>
            <w:rPr>
              <w:rFonts w:eastAsiaTheme="minorEastAsia" w:cstheme="minorBidi"/>
              <w:b w:val="0"/>
              <w:bCs w:val="0"/>
              <w:caps w:val="0"/>
              <w:noProof/>
              <w:u w:val="none"/>
              <w:lang w:eastAsia="hr-HR"/>
            </w:rPr>
          </w:pPr>
          <w:hyperlink w:anchor="_Toc525816364" w:history="1">
            <w:r w:rsidR="00FE0B2B" w:rsidRPr="00B11ADF">
              <w:rPr>
                <w:rStyle w:val="Hyperlink"/>
                <w:noProof/>
              </w:rPr>
              <w:t>9</w:t>
            </w:r>
            <w:r w:rsidR="00FE0B2B">
              <w:rPr>
                <w:rFonts w:eastAsiaTheme="minorEastAsia" w:cstheme="minorBidi"/>
                <w:b w:val="0"/>
                <w:bCs w:val="0"/>
                <w:caps w:val="0"/>
                <w:noProof/>
                <w:u w:val="none"/>
                <w:lang w:eastAsia="hr-HR"/>
              </w:rPr>
              <w:tab/>
            </w:r>
            <w:r w:rsidR="00FE0B2B" w:rsidRPr="00B11ADF">
              <w:rPr>
                <w:rStyle w:val="Hyperlink"/>
                <w:noProof/>
              </w:rPr>
              <w:t>Popis slika</w:t>
            </w:r>
            <w:r w:rsidR="00FE0B2B">
              <w:rPr>
                <w:noProof/>
                <w:webHidden/>
              </w:rPr>
              <w:tab/>
            </w:r>
            <w:r w:rsidR="00FE0B2B">
              <w:rPr>
                <w:noProof/>
                <w:webHidden/>
              </w:rPr>
              <w:fldChar w:fldCharType="begin"/>
            </w:r>
            <w:r w:rsidR="00FE0B2B">
              <w:rPr>
                <w:noProof/>
                <w:webHidden/>
              </w:rPr>
              <w:instrText xml:space="preserve"> PAGEREF _Toc525816364 \h </w:instrText>
            </w:r>
            <w:r w:rsidR="00FE0B2B">
              <w:rPr>
                <w:noProof/>
                <w:webHidden/>
              </w:rPr>
            </w:r>
            <w:r w:rsidR="00FE0B2B">
              <w:rPr>
                <w:noProof/>
                <w:webHidden/>
              </w:rPr>
              <w:fldChar w:fldCharType="separate"/>
            </w:r>
            <w:r w:rsidR="002C37D1">
              <w:rPr>
                <w:noProof/>
                <w:webHidden/>
              </w:rPr>
              <w:t>44</w:t>
            </w:r>
            <w:r w:rsidR="00FE0B2B">
              <w:rPr>
                <w:noProof/>
                <w:webHidden/>
              </w:rPr>
              <w:fldChar w:fldCharType="end"/>
            </w:r>
          </w:hyperlink>
        </w:p>
        <w:p w:rsidR="00207E91" w:rsidRPr="00A052D4" w:rsidRDefault="006D1FCE" w:rsidP="00BB7F55">
          <w:pPr>
            <w:spacing w:line="240" w:lineRule="auto"/>
            <w:rPr>
              <w:highlight w:val="yellow"/>
            </w:rPr>
          </w:pPr>
          <w:r>
            <w:rPr>
              <w:rFonts w:cstheme="minorHAnsi"/>
              <w:b/>
              <w:bCs/>
              <w:caps/>
              <w:u w:val="single"/>
            </w:rPr>
            <w:fldChar w:fldCharType="end"/>
          </w:r>
        </w:p>
      </w:sdtContent>
    </w:sdt>
    <w:p w:rsidR="00414E4A" w:rsidRPr="00A052D4" w:rsidRDefault="00414E4A" w:rsidP="00083A62">
      <w:pPr>
        <w:pStyle w:val="Heading1"/>
        <w:numPr>
          <w:ilvl w:val="0"/>
          <w:numId w:val="0"/>
        </w:numPr>
        <w:rPr>
          <w:highlight w:val="yellow"/>
        </w:rPr>
        <w:sectPr w:rsidR="00414E4A" w:rsidRPr="00A052D4" w:rsidSect="002554C1">
          <w:headerReference w:type="default" r:id="rId12"/>
          <w:footerReference w:type="default" r:id="rId13"/>
          <w:pgSz w:w="11906" w:h="16838"/>
          <w:pgMar w:top="1417" w:right="1417" w:bottom="1417" w:left="1417" w:header="708" w:footer="708" w:gutter="0"/>
          <w:pgNumType w:start="1"/>
          <w:cols w:space="708"/>
          <w:docGrid w:linePitch="360"/>
        </w:sectPr>
      </w:pPr>
    </w:p>
    <w:p w:rsidR="000E4ECF" w:rsidRPr="00391F9C" w:rsidRDefault="000E4ECF" w:rsidP="0061086C">
      <w:pPr>
        <w:pStyle w:val="Heading1"/>
        <w:spacing w:before="240"/>
        <w:ind w:left="431" w:hanging="431"/>
      </w:pPr>
      <w:bookmarkStart w:id="1" w:name="_Toc525816328"/>
      <w:r w:rsidRPr="00391F9C">
        <w:lastRenderedPageBreak/>
        <w:t>Sažeti pregled dokumenta</w:t>
      </w:r>
      <w:bookmarkEnd w:id="1"/>
      <w:r w:rsidRPr="00391F9C">
        <w:t xml:space="preserve"> </w:t>
      </w:r>
    </w:p>
    <w:p w:rsidR="000E4ECF" w:rsidRPr="00A052D4" w:rsidRDefault="000E4ECF" w:rsidP="00BB7F55">
      <w:pPr>
        <w:spacing w:after="0" w:line="240" w:lineRule="auto"/>
        <w:jc w:val="both"/>
        <w:rPr>
          <w:sz w:val="24"/>
          <w:szCs w:val="24"/>
          <w:highlight w:val="yellow"/>
        </w:rPr>
      </w:pPr>
    </w:p>
    <w:p w:rsidR="001831C3" w:rsidRDefault="007A00A0" w:rsidP="00BB7F55">
      <w:pPr>
        <w:spacing w:after="0" w:line="240" w:lineRule="auto"/>
        <w:jc w:val="both"/>
        <w:rPr>
          <w:sz w:val="24"/>
          <w:szCs w:val="24"/>
        </w:rPr>
      </w:pPr>
      <w:r>
        <w:rPr>
          <w:sz w:val="24"/>
          <w:szCs w:val="24"/>
        </w:rPr>
        <w:t>HAKOM</w:t>
      </w:r>
      <w:r>
        <w:rPr>
          <w:rStyle w:val="FootnoteReference"/>
          <w:sz w:val="24"/>
          <w:szCs w:val="24"/>
        </w:rPr>
        <w:footnoteReference w:id="1"/>
      </w:r>
      <w:r w:rsidR="00F91F43" w:rsidRPr="00F91F43">
        <w:rPr>
          <w:sz w:val="24"/>
          <w:szCs w:val="24"/>
        </w:rPr>
        <w:t xml:space="preserve"> je nacionalna regulatorna agencija za obavljanje regulatornih i drugih poslova u okviru djelokruga i nadležnosti određenih</w:t>
      </w:r>
      <w:r>
        <w:rPr>
          <w:sz w:val="24"/>
          <w:szCs w:val="24"/>
        </w:rPr>
        <w:t xml:space="preserve"> </w:t>
      </w:r>
      <w:r w:rsidRPr="007A00A0">
        <w:rPr>
          <w:sz w:val="24"/>
          <w:szCs w:val="24"/>
        </w:rPr>
        <w:t>ZEK</w:t>
      </w:r>
      <w:r>
        <w:rPr>
          <w:sz w:val="24"/>
          <w:szCs w:val="24"/>
        </w:rPr>
        <w:t>-om</w:t>
      </w:r>
      <w:r>
        <w:rPr>
          <w:rStyle w:val="FootnoteReference"/>
          <w:sz w:val="24"/>
          <w:szCs w:val="24"/>
        </w:rPr>
        <w:footnoteReference w:id="2"/>
      </w:r>
      <w:r w:rsidR="0042485D">
        <w:rPr>
          <w:sz w:val="24"/>
          <w:szCs w:val="24"/>
        </w:rPr>
        <w:t xml:space="preserve">. </w:t>
      </w:r>
      <w:r w:rsidR="00F91F43" w:rsidRPr="00F91F43">
        <w:rPr>
          <w:sz w:val="24"/>
          <w:szCs w:val="24"/>
        </w:rPr>
        <w:t xml:space="preserve">U okviru svojih nadležnosti, HAKOM je zadužen za područje tržišnog natjecanja u elektroničkim komunikacijama te </w:t>
      </w:r>
      <w:r w:rsidR="001831C3">
        <w:rPr>
          <w:sz w:val="24"/>
          <w:szCs w:val="24"/>
        </w:rPr>
        <w:t xml:space="preserve">sukladno članku 52. </w:t>
      </w:r>
      <w:r w:rsidR="001A4A87">
        <w:rPr>
          <w:sz w:val="24"/>
          <w:szCs w:val="24"/>
        </w:rPr>
        <w:t>ZEK-a</w:t>
      </w:r>
      <w:r w:rsidR="001831C3">
        <w:rPr>
          <w:sz w:val="24"/>
          <w:szCs w:val="24"/>
        </w:rPr>
        <w:t xml:space="preserve"> HAKOM provodi postupak analize tržišta.</w:t>
      </w:r>
    </w:p>
    <w:p w:rsidR="001831C3" w:rsidRDefault="001831C3" w:rsidP="00BB7F55">
      <w:pPr>
        <w:spacing w:after="0" w:line="240" w:lineRule="auto"/>
        <w:jc w:val="both"/>
        <w:rPr>
          <w:sz w:val="24"/>
          <w:szCs w:val="24"/>
        </w:rPr>
      </w:pPr>
    </w:p>
    <w:p w:rsidR="001831C3" w:rsidRDefault="001831C3" w:rsidP="001831C3">
      <w:pPr>
        <w:spacing w:after="0" w:line="240" w:lineRule="auto"/>
        <w:jc w:val="both"/>
        <w:rPr>
          <w:sz w:val="24"/>
          <w:szCs w:val="24"/>
        </w:rPr>
      </w:pPr>
      <w:r>
        <w:rPr>
          <w:sz w:val="24"/>
          <w:szCs w:val="24"/>
        </w:rPr>
        <w:t xml:space="preserve">U provedbi postupka analize tržišta, HAKOM najprije </w:t>
      </w:r>
      <w:r w:rsidRPr="001831C3">
        <w:rPr>
          <w:sz w:val="24"/>
          <w:szCs w:val="24"/>
        </w:rPr>
        <w:t xml:space="preserve">utvrđuje mjerodavna tržišta podložna prethodnoj (ex-ante) regulaciji u skladu sa člankom 53. </w:t>
      </w:r>
      <w:r>
        <w:rPr>
          <w:sz w:val="24"/>
          <w:szCs w:val="24"/>
        </w:rPr>
        <w:t>ZEK-a. Potom,</w:t>
      </w:r>
      <w:r w:rsidRPr="001831C3">
        <w:rPr>
          <w:sz w:val="24"/>
          <w:szCs w:val="24"/>
        </w:rPr>
        <w:t xml:space="preserve"> </w:t>
      </w:r>
      <w:r w:rsidR="001A4A87" w:rsidRPr="001831C3">
        <w:rPr>
          <w:sz w:val="24"/>
          <w:szCs w:val="24"/>
        </w:rPr>
        <w:t xml:space="preserve">u skladu sa člankom 54. </w:t>
      </w:r>
      <w:r w:rsidR="001A4A87">
        <w:rPr>
          <w:sz w:val="24"/>
          <w:szCs w:val="24"/>
        </w:rPr>
        <w:t xml:space="preserve">ZEK-a, </w:t>
      </w:r>
      <w:r w:rsidRPr="001831C3">
        <w:rPr>
          <w:sz w:val="24"/>
          <w:szCs w:val="24"/>
        </w:rPr>
        <w:t>određ</w:t>
      </w:r>
      <w:r>
        <w:rPr>
          <w:sz w:val="24"/>
          <w:szCs w:val="24"/>
        </w:rPr>
        <w:t xml:space="preserve">uje mjerodavna </w:t>
      </w:r>
      <w:r w:rsidRPr="001831C3">
        <w:rPr>
          <w:sz w:val="24"/>
          <w:szCs w:val="24"/>
        </w:rPr>
        <w:t>tržišta</w:t>
      </w:r>
      <w:r>
        <w:rPr>
          <w:sz w:val="24"/>
          <w:szCs w:val="24"/>
        </w:rPr>
        <w:t xml:space="preserve"> i </w:t>
      </w:r>
      <w:r w:rsidRPr="001831C3">
        <w:rPr>
          <w:sz w:val="24"/>
          <w:szCs w:val="24"/>
        </w:rPr>
        <w:t>procjenjuje pos</w:t>
      </w:r>
      <w:r>
        <w:rPr>
          <w:sz w:val="24"/>
          <w:szCs w:val="24"/>
        </w:rPr>
        <w:t xml:space="preserve">tojanje jednog ili više operatora sa </w:t>
      </w:r>
      <w:r w:rsidRPr="001831C3">
        <w:rPr>
          <w:sz w:val="24"/>
          <w:szCs w:val="24"/>
        </w:rPr>
        <w:t xml:space="preserve">značajnom </w:t>
      </w:r>
      <w:r>
        <w:rPr>
          <w:sz w:val="24"/>
          <w:szCs w:val="24"/>
        </w:rPr>
        <w:t xml:space="preserve">tržišnom snagom na tom </w:t>
      </w:r>
      <w:r w:rsidRPr="001831C3">
        <w:rPr>
          <w:sz w:val="24"/>
          <w:szCs w:val="24"/>
        </w:rPr>
        <w:t xml:space="preserve">tržištu, </w:t>
      </w:r>
      <w:r>
        <w:rPr>
          <w:sz w:val="24"/>
          <w:szCs w:val="24"/>
        </w:rPr>
        <w:t xml:space="preserve">u </w:t>
      </w:r>
      <w:r w:rsidRPr="001831C3">
        <w:rPr>
          <w:sz w:val="24"/>
          <w:szCs w:val="24"/>
        </w:rPr>
        <w:t xml:space="preserve">svrhu </w:t>
      </w:r>
      <w:r>
        <w:rPr>
          <w:sz w:val="24"/>
          <w:szCs w:val="24"/>
        </w:rPr>
        <w:t xml:space="preserve">ocjene </w:t>
      </w:r>
      <w:r w:rsidRPr="001831C3">
        <w:rPr>
          <w:sz w:val="24"/>
          <w:szCs w:val="24"/>
        </w:rPr>
        <w:t>djelotvornosti</w:t>
      </w:r>
      <w:r>
        <w:rPr>
          <w:sz w:val="24"/>
          <w:szCs w:val="24"/>
        </w:rPr>
        <w:t xml:space="preserve"> tržišnog natjecanja na </w:t>
      </w:r>
      <w:r w:rsidRPr="001831C3">
        <w:rPr>
          <w:sz w:val="24"/>
          <w:szCs w:val="24"/>
        </w:rPr>
        <w:t>mjerodavnom tržištu</w:t>
      </w:r>
      <w:r>
        <w:rPr>
          <w:sz w:val="24"/>
          <w:szCs w:val="24"/>
        </w:rPr>
        <w:t xml:space="preserve">. </w:t>
      </w:r>
      <w:r w:rsidRPr="00760BEA">
        <w:rPr>
          <w:sz w:val="24"/>
          <w:szCs w:val="24"/>
        </w:rPr>
        <w:t>Na temelju rezultata provedene analize bit će određene, izmijenjene, zadržane ili ukinute regulatorne obveze navedene u člancima od 58. do 65. ZEK-a.</w:t>
      </w:r>
    </w:p>
    <w:p w:rsidR="001831C3" w:rsidRDefault="001831C3" w:rsidP="001831C3">
      <w:pPr>
        <w:spacing w:after="0" w:line="240" w:lineRule="auto"/>
        <w:jc w:val="both"/>
        <w:rPr>
          <w:sz w:val="24"/>
          <w:szCs w:val="24"/>
        </w:rPr>
      </w:pPr>
    </w:p>
    <w:p w:rsidR="005166E9" w:rsidRDefault="005166E9" w:rsidP="005166E9">
      <w:pPr>
        <w:spacing w:after="0" w:line="240" w:lineRule="auto"/>
        <w:jc w:val="both"/>
        <w:rPr>
          <w:sz w:val="24"/>
          <w:szCs w:val="24"/>
        </w:rPr>
      </w:pPr>
      <w:r w:rsidRPr="00CB22FE">
        <w:rPr>
          <w:sz w:val="24"/>
          <w:szCs w:val="24"/>
        </w:rPr>
        <w:lastRenderedPageBreak/>
        <w:t xml:space="preserve">HAKOM je u provedbi </w:t>
      </w:r>
      <w:r w:rsidR="00784D5B">
        <w:rPr>
          <w:sz w:val="24"/>
          <w:szCs w:val="24"/>
        </w:rPr>
        <w:t xml:space="preserve">predmetnog </w:t>
      </w:r>
      <w:r w:rsidRPr="00CB22FE">
        <w:rPr>
          <w:sz w:val="24"/>
          <w:szCs w:val="24"/>
        </w:rPr>
        <w:t>postupka analize tržišta, koji je propisan člankom 52. ZEK-a, osobito vodio računa o primjeni</w:t>
      </w:r>
      <w:r w:rsidRPr="00F91F43">
        <w:rPr>
          <w:sz w:val="24"/>
          <w:szCs w:val="24"/>
        </w:rPr>
        <w:t xml:space="preserve"> Preporuke (2014/710/EU) od 9. listopada 2014. o mjerodavnim tržištima proizvoda i usluga u sektoru elektroničkih komunikacija podložnima prethodnoj regulaciji</w:t>
      </w:r>
      <w:r w:rsidRPr="00F91F43">
        <w:rPr>
          <w:sz w:val="24"/>
          <w:szCs w:val="24"/>
          <w:vertAlign w:val="superscript"/>
        </w:rPr>
        <w:footnoteReference w:id="3"/>
      </w:r>
      <w:r w:rsidRPr="00F91F43">
        <w:rPr>
          <w:sz w:val="24"/>
          <w:szCs w:val="24"/>
        </w:rPr>
        <w:t xml:space="preserve"> (dalje: Preporuka)</w:t>
      </w:r>
      <w:r>
        <w:rPr>
          <w:sz w:val="24"/>
          <w:szCs w:val="24"/>
        </w:rPr>
        <w:t xml:space="preserve"> </w:t>
      </w:r>
      <w:r w:rsidRPr="00CB22FE">
        <w:rPr>
          <w:sz w:val="24"/>
          <w:szCs w:val="24"/>
        </w:rPr>
        <w:t xml:space="preserve">i o mjerodavnim </w:t>
      </w:r>
      <w:r w:rsidRPr="00167E1B">
        <w:rPr>
          <w:sz w:val="24"/>
          <w:szCs w:val="24"/>
        </w:rPr>
        <w:t>Smjernic</w:t>
      </w:r>
      <w:r>
        <w:rPr>
          <w:sz w:val="24"/>
          <w:szCs w:val="24"/>
        </w:rPr>
        <w:t>ama</w:t>
      </w:r>
      <w:r w:rsidRPr="00167E1B">
        <w:rPr>
          <w:sz w:val="24"/>
          <w:szCs w:val="24"/>
        </w:rPr>
        <w:t xml:space="preserve"> za analizu tržišta i ocjenu značajne tržišne snage</w:t>
      </w:r>
      <w:r w:rsidRPr="00CB22FE">
        <w:rPr>
          <w:sz w:val="24"/>
          <w:szCs w:val="24"/>
          <w:vertAlign w:val="superscript"/>
        </w:rPr>
        <w:footnoteReference w:id="4"/>
      </w:r>
      <w:r w:rsidRPr="00CB22FE">
        <w:rPr>
          <w:sz w:val="24"/>
          <w:szCs w:val="24"/>
        </w:rPr>
        <w:t>.</w:t>
      </w:r>
    </w:p>
    <w:p w:rsidR="005166E9" w:rsidRPr="00CB22FE" w:rsidRDefault="005166E9" w:rsidP="005166E9">
      <w:pPr>
        <w:spacing w:after="0" w:line="240" w:lineRule="auto"/>
        <w:jc w:val="both"/>
        <w:rPr>
          <w:sz w:val="24"/>
          <w:szCs w:val="24"/>
        </w:rPr>
      </w:pPr>
    </w:p>
    <w:p w:rsidR="00760BEA" w:rsidRPr="00760BEA" w:rsidRDefault="00784D5B" w:rsidP="00760BEA">
      <w:pPr>
        <w:spacing w:after="0" w:line="240" w:lineRule="auto"/>
        <w:jc w:val="both"/>
        <w:rPr>
          <w:sz w:val="24"/>
          <w:szCs w:val="24"/>
        </w:rPr>
      </w:pPr>
      <w:r>
        <w:rPr>
          <w:sz w:val="24"/>
          <w:szCs w:val="24"/>
        </w:rPr>
        <w:t xml:space="preserve">Uzimajući u obzir da </w:t>
      </w:r>
      <w:r w:rsidR="00760BEA" w:rsidRPr="00760BEA">
        <w:rPr>
          <w:sz w:val="24"/>
          <w:szCs w:val="24"/>
        </w:rPr>
        <w:t xml:space="preserve">je </w:t>
      </w:r>
      <w:r>
        <w:rPr>
          <w:sz w:val="24"/>
          <w:szCs w:val="24"/>
        </w:rPr>
        <w:t xml:space="preserve">predmetno </w:t>
      </w:r>
      <w:r w:rsidR="00760BEA" w:rsidRPr="00760BEA">
        <w:rPr>
          <w:sz w:val="24"/>
          <w:szCs w:val="24"/>
        </w:rPr>
        <w:t xml:space="preserve">mjerodavno tržište prepoznato unutar mjerodavne Preporuke Europske komisije, </w:t>
      </w:r>
      <w:r>
        <w:rPr>
          <w:sz w:val="24"/>
          <w:szCs w:val="24"/>
        </w:rPr>
        <w:t>nije bilo</w:t>
      </w:r>
      <w:r w:rsidR="00760BEA" w:rsidRPr="00760BEA">
        <w:rPr>
          <w:sz w:val="24"/>
          <w:szCs w:val="24"/>
        </w:rPr>
        <w:t xml:space="preserve"> potrebe za provođenjem postupka iz članka 53. stavka 2. ZEK-a (Test tri mjerila) kako bi utvrdio je li ono podložno prethodnoj regulaciji. </w:t>
      </w:r>
    </w:p>
    <w:p w:rsidR="00760BEA" w:rsidRDefault="00760BEA" w:rsidP="00BB7F55">
      <w:pPr>
        <w:spacing w:after="0" w:line="240" w:lineRule="auto"/>
        <w:jc w:val="both"/>
        <w:rPr>
          <w:sz w:val="24"/>
          <w:szCs w:val="24"/>
        </w:rPr>
      </w:pPr>
    </w:p>
    <w:p w:rsidR="00F91F43" w:rsidRDefault="00F91F43" w:rsidP="00BB7F55">
      <w:pPr>
        <w:spacing w:after="0" w:line="240" w:lineRule="auto"/>
        <w:jc w:val="both"/>
        <w:rPr>
          <w:sz w:val="24"/>
          <w:szCs w:val="24"/>
        </w:rPr>
      </w:pPr>
      <w:r w:rsidRPr="00F91F43">
        <w:rPr>
          <w:sz w:val="24"/>
          <w:szCs w:val="24"/>
        </w:rPr>
        <w:t xml:space="preserve">U procesu određivanja mjerodavnog tržišta, HAKOM je odredio dimenziju usluga i zemljopisnu dimenziju te na temelju rezultata provedene analize odredio tri mjerodavna tržišta </w:t>
      </w:r>
      <w:r w:rsidR="008E2690">
        <w:rPr>
          <w:sz w:val="24"/>
          <w:szCs w:val="24"/>
        </w:rPr>
        <w:t xml:space="preserve">veleprodajnog </w:t>
      </w:r>
      <w:r w:rsidRPr="00F91F43">
        <w:rPr>
          <w:sz w:val="24"/>
          <w:szCs w:val="24"/>
        </w:rPr>
        <w:t>završavanja glasovnih poziva u vlastitoj mobilnoj mreži i to kako slijedi:</w:t>
      </w:r>
    </w:p>
    <w:p w:rsidR="00E13640" w:rsidRPr="00E13640" w:rsidRDefault="008E2690" w:rsidP="00536EC7">
      <w:pPr>
        <w:numPr>
          <w:ilvl w:val="0"/>
          <w:numId w:val="13"/>
        </w:numPr>
        <w:spacing w:after="0" w:line="240" w:lineRule="auto"/>
        <w:jc w:val="both"/>
        <w:rPr>
          <w:sz w:val="24"/>
          <w:szCs w:val="24"/>
        </w:rPr>
      </w:pPr>
      <w:r>
        <w:rPr>
          <w:sz w:val="24"/>
          <w:szCs w:val="24"/>
        </w:rPr>
        <w:t xml:space="preserve">veleprodajno </w:t>
      </w:r>
      <w:r w:rsidR="00E13640" w:rsidRPr="00E13640">
        <w:rPr>
          <w:sz w:val="24"/>
          <w:szCs w:val="24"/>
        </w:rPr>
        <w:t xml:space="preserve">završavanje glasovnih poziva u mreži operatora HT, </w:t>
      </w:r>
    </w:p>
    <w:p w:rsidR="00E13640" w:rsidRPr="00E13640" w:rsidRDefault="008E2690" w:rsidP="00536EC7">
      <w:pPr>
        <w:numPr>
          <w:ilvl w:val="0"/>
          <w:numId w:val="13"/>
        </w:numPr>
        <w:spacing w:after="0" w:line="240" w:lineRule="auto"/>
        <w:jc w:val="both"/>
        <w:rPr>
          <w:sz w:val="24"/>
          <w:szCs w:val="24"/>
        </w:rPr>
      </w:pPr>
      <w:r>
        <w:rPr>
          <w:sz w:val="24"/>
          <w:szCs w:val="24"/>
        </w:rPr>
        <w:t>veleprodajno</w:t>
      </w:r>
      <w:r w:rsidRPr="00E13640">
        <w:rPr>
          <w:sz w:val="24"/>
          <w:szCs w:val="24"/>
        </w:rPr>
        <w:t xml:space="preserve"> </w:t>
      </w:r>
      <w:r w:rsidR="00E13640" w:rsidRPr="00E13640">
        <w:rPr>
          <w:sz w:val="24"/>
          <w:szCs w:val="24"/>
        </w:rPr>
        <w:t xml:space="preserve">završavanje glasovnih poziva u mreži operatora </w:t>
      </w:r>
      <w:r w:rsidR="00374E27">
        <w:rPr>
          <w:sz w:val="24"/>
          <w:szCs w:val="24"/>
        </w:rPr>
        <w:t>Tele2</w:t>
      </w:r>
      <w:r w:rsidR="00E13640" w:rsidRPr="00E13640">
        <w:rPr>
          <w:sz w:val="24"/>
          <w:szCs w:val="24"/>
        </w:rPr>
        <w:t xml:space="preserve">, </w:t>
      </w:r>
    </w:p>
    <w:p w:rsidR="00E13640" w:rsidRPr="006D1144" w:rsidRDefault="008E2690" w:rsidP="00BB7F55">
      <w:pPr>
        <w:numPr>
          <w:ilvl w:val="0"/>
          <w:numId w:val="13"/>
        </w:numPr>
        <w:spacing w:after="0" w:line="240" w:lineRule="auto"/>
        <w:jc w:val="both"/>
        <w:rPr>
          <w:sz w:val="24"/>
          <w:szCs w:val="24"/>
        </w:rPr>
      </w:pPr>
      <w:r>
        <w:rPr>
          <w:sz w:val="24"/>
          <w:szCs w:val="24"/>
        </w:rPr>
        <w:t>veleprodajno</w:t>
      </w:r>
      <w:r w:rsidRPr="00E13640">
        <w:rPr>
          <w:sz w:val="24"/>
          <w:szCs w:val="24"/>
        </w:rPr>
        <w:t xml:space="preserve"> </w:t>
      </w:r>
      <w:r w:rsidR="00E13640" w:rsidRPr="00E13640">
        <w:rPr>
          <w:sz w:val="24"/>
          <w:szCs w:val="24"/>
        </w:rPr>
        <w:t>završavanje glasovnih poziva u mreži op</w:t>
      </w:r>
      <w:r w:rsidR="00374E27">
        <w:rPr>
          <w:sz w:val="24"/>
          <w:szCs w:val="24"/>
        </w:rPr>
        <w:t>eratora Vipnet</w:t>
      </w:r>
      <w:r w:rsidR="00D635C4">
        <w:rPr>
          <w:rStyle w:val="FootnoteReference"/>
          <w:sz w:val="24"/>
          <w:szCs w:val="24"/>
        </w:rPr>
        <w:footnoteReference w:id="5"/>
      </w:r>
      <w:r w:rsidR="00374E27">
        <w:rPr>
          <w:sz w:val="24"/>
          <w:szCs w:val="24"/>
        </w:rPr>
        <w:t>,</w:t>
      </w:r>
    </w:p>
    <w:p w:rsidR="00E13640" w:rsidRPr="00E13640" w:rsidRDefault="00E13640" w:rsidP="00BB7F55">
      <w:pPr>
        <w:spacing w:after="0" w:line="240" w:lineRule="auto"/>
        <w:jc w:val="both"/>
        <w:rPr>
          <w:sz w:val="24"/>
          <w:szCs w:val="24"/>
        </w:rPr>
      </w:pPr>
      <w:r w:rsidRPr="00E13640">
        <w:rPr>
          <w:sz w:val="24"/>
          <w:szCs w:val="24"/>
        </w:rPr>
        <w:t>i to neovisno o elektroničkoj komunikacijskoj mreži u kojoj je poziv započeo i korištenoj tehnologiji.</w:t>
      </w:r>
    </w:p>
    <w:p w:rsidR="00F91F43" w:rsidRPr="00F91F43" w:rsidRDefault="00F91F43" w:rsidP="00BB7F55">
      <w:pPr>
        <w:spacing w:after="0" w:line="240" w:lineRule="auto"/>
        <w:jc w:val="both"/>
        <w:rPr>
          <w:sz w:val="24"/>
          <w:szCs w:val="24"/>
        </w:rPr>
      </w:pPr>
    </w:p>
    <w:p w:rsidR="00F91F43" w:rsidRPr="00F91F43" w:rsidRDefault="00F91F43" w:rsidP="00BB7F55">
      <w:pPr>
        <w:spacing w:after="0" w:line="240" w:lineRule="auto"/>
        <w:jc w:val="both"/>
        <w:rPr>
          <w:sz w:val="24"/>
          <w:szCs w:val="24"/>
        </w:rPr>
      </w:pPr>
      <w:r w:rsidRPr="00F91F43">
        <w:rPr>
          <w:sz w:val="24"/>
          <w:szCs w:val="24"/>
        </w:rPr>
        <w:t xml:space="preserve">Također, HAKOM je odredio da je, u zemljopisnoj dimenziji, mjerodavno </w:t>
      </w:r>
      <w:r w:rsidR="009852C3">
        <w:rPr>
          <w:sz w:val="24"/>
          <w:szCs w:val="24"/>
        </w:rPr>
        <w:t>veleprodajno</w:t>
      </w:r>
      <w:r w:rsidR="009852C3" w:rsidRPr="009852C3">
        <w:rPr>
          <w:sz w:val="24"/>
          <w:szCs w:val="24"/>
        </w:rPr>
        <w:t xml:space="preserve"> </w:t>
      </w:r>
      <w:r w:rsidRPr="00F91F43">
        <w:rPr>
          <w:sz w:val="24"/>
          <w:szCs w:val="24"/>
        </w:rPr>
        <w:t xml:space="preserve">tržište za uslugu završavanja </w:t>
      </w:r>
      <w:r w:rsidR="00854497">
        <w:rPr>
          <w:sz w:val="24"/>
          <w:szCs w:val="24"/>
        </w:rPr>
        <w:t xml:space="preserve">glasovnih </w:t>
      </w:r>
      <w:r w:rsidRPr="00F91F43">
        <w:rPr>
          <w:sz w:val="24"/>
          <w:szCs w:val="24"/>
        </w:rPr>
        <w:t>poziva u određenu pokretnu javnu komunikacijsku mrežu, nacionalni teritorij Republike Hrvatske.</w:t>
      </w:r>
    </w:p>
    <w:p w:rsidR="00F91F43" w:rsidRPr="00F91F43" w:rsidRDefault="00F91F43" w:rsidP="00BB7F55">
      <w:pPr>
        <w:spacing w:after="0" w:line="240" w:lineRule="auto"/>
        <w:jc w:val="both"/>
        <w:rPr>
          <w:sz w:val="24"/>
          <w:szCs w:val="24"/>
        </w:rPr>
      </w:pPr>
    </w:p>
    <w:p w:rsidR="00F91F43" w:rsidRPr="00F91F43" w:rsidRDefault="005166E9" w:rsidP="00BB7F55">
      <w:pPr>
        <w:spacing w:after="0" w:line="240" w:lineRule="auto"/>
        <w:jc w:val="both"/>
        <w:rPr>
          <w:sz w:val="24"/>
          <w:szCs w:val="24"/>
        </w:rPr>
      </w:pPr>
      <w:r>
        <w:rPr>
          <w:sz w:val="24"/>
          <w:szCs w:val="24"/>
        </w:rPr>
        <w:t>N</w:t>
      </w:r>
      <w:r w:rsidRPr="00F91F43">
        <w:rPr>
          <w:sz w:val="24"/>
          <w:szCs w:val="24"/>
        </w:rPr>
        <w:t xml:space="preserve">akon što je odredio mjerodavno tržište, </w:t>
      </w:r>
      <w:r w:rsidR="00F91F43" w:rsidRPr="00F91F43">
        <w:rPr>
          <w:sz w:val="24"/>
          <w:szCs w:val="24"/>
        </w:rPr>
        <w:t>HAKOM</w:t>
      </w:r>
      <w:r>
        <w:rPr>
          <w:sz w:val="24"/>
          <w:szCs w:val="24"/>
        </w:rPr>
        <w:t xml:space="preserve"> je</w:t>
      </w:r>
      <w:r w:rsidR="00F91F43" w:rsidRPr="00F91F43">
        <w:rPr>
          <w:sz w:val="24"/>
          <w:szCs w:val="24"/>
        </w:rPr>
        <w:t xml:space="preserve"> na temelju mjerila za procjenu operatora sa značajnom tržišnom snagom iz članka 55. stavka 3. ZEK-a, odredio tri operatora u pokretnim mrežama kao operatore sa značajnom tržišnom snagom: </w:t>
      </w:r>
    </w:p>
    <w:p w:rsidR="00F91F43" w:rsidRPr="00F91F43" w:rsidRDefault="00F91F43" w:rsidP="00BB7F55">
      <w:pPr>
        <w:spacing w:after="0" w:line="240" w:lineRule="auto"/>
        <w:jc w:val="both"/>
        <w:rPr>
          <w:sz w:val="24"/>
          <w:szCs w:val="24"/>
        </w:rPr>
      </w:pPr>
      <w:r w:rsidRPr="00F91F43">
        <w:rPr>
          <w:sz w:val="24"/>
          <w:szCs w:val="24"/>
        </w:rPr>
        <w:t>1.</w:t>
      </w:r>
      <w:r w:rsidRPr="00F91F43">
        <w:rPr>
          <w:sz w:val="24"/>
          <w:szCs w:val="24"/>
        </w:rPr>
        <w:tab/>
        <w:t xml:space="preserve">Operator </w:t>
      </w:r>
      <w:r w:rsidRPr="00B759B1">
        <w:rPr>
          <w:sz w:val="24"/>
          <w:szCs w:val="24"/>
        </w:rPr>
        <w:t>HT</w:t>
      </w:r>
      <w:r w:rsidRPr="00F91F43">
        <w:rPr>
          <w:sz w:val="24"/>
          <w:szCs w:val="24"/>
        </w:rPr>
        <w:t xml:space="preserve"> određuje se operatorom sa značajnom tržišnom snagom na tržištu </w:t>
      </w:r>
      <w:r w:rsidR="008E2690">
        <w:rPr>
          <w:sz w:val="24"/>
          <w:szCs w:val="24"/>
        </w:rPr>
        <w:t xml:space="preserve">veleprodajnog </w:t>
      </w:r>
      <w:r w:rsidRPr="00F91F43">
        <w:rPr>
          <w:sz w:val="24"/>
          <w:szCs w:val="24"/>
        </w:rPr>
        <w:t>završavanja glasovnih poziva u vlastitoj mobilnoj mreži;</w:t>
      </w:r>
    </w:p>
    <w:p w:rsidR="00F91F43" w:rsidRPr="00F91F43" w:rsidRDefault="00F91F43" w:rsidP="00BB7F55">
      <w:pPr>
        <w:spacing w:after="0" w:line="240" w:lineRule="auto"/>
        <w:jc w:val="both"/>
        <w:rPr>
          <w:sz w:val="24"/>
          <w:szCs w:val="24"/>
        </w:rPr>
      </w:pPr>
      <w:r w:rsidRPr="00F91F43">
        <w:rPr>
          <w:sz w:val="24"/>
          <w:szCs w:val="24"/>
        </w:rPr>
        <w:t>2.</w:t>
      </w:r>
      <w:r w:rsidRPr="00F91F43">
        <w:rPr>
          <w:sz w:val="24"/>
          <w:szCs w:val="24"/>
        </w:rPr>
        <w:tab/>
        <w:t xml:space="preserve">Operator </w:t>
      </w:r>
      <w:r w:rsidRPr="00B759B1">
        <w:rPr>
          <w:sz w:val="24"/>
          <w:szCs w:val="24"/>
        </w:rPr>
        <w:t>Tele2</w:t>
      </w:r>
      <w:r w:rsidRPr="001246F2">
        <w:rPr>
          <w:sz w:val="24"/>
          <w:szCs w:val="24"/>
        </w:rPr>
        <w:t xml:space="preserve"> </w:t>
      </w:r>
      <w:r w:rsidRPr="00F91F43">
        <w:rPr>
          <w:sz w:val="24"/>
          <w:szCs w:val="24"/>
        </w:rPr>
        <w:t xml:space="preserve">određuje se operatorom sa značajnom tržišnom snagom na tržištu </w:t>
      </w:r>
      <w:r w:rsidR="008E2690">
        <w:rPr>
          <w:sz w:val="24"/>
          <w:szCs w:val="24"/>
        </w:rPr>
        <w:t xml:space="preserve">veleprodajnog </w:t>
      </w:r>
      <w:r w:rsidRPr="00F91F43">
        <w:rPr>
          <w:sz w:val="24"/>
          <w:szCs w:val="24"/>
        </w:rPr>
        <w:t>završavanja glasovnih poziva u vlastitoj mobilnoj mreži;</w:t>
      </w:r>
    </w:p>
    <w:p w:rsidR="00F91F43" w:rsidRPr="00F91F43" w:rsidRDefault="00F91F43" w:rsidP="00BB7F55">
      <w:pPr>
        <w:spacing w:after="0" w:line="240" w:lineRule="auto"/>
        <w:jc w:val="both"/>
        <w:rPr>
          <w:sz w:val="24"/>
          <w:szCs w:val="24"/>
        </w:rPr>
      </w:pPr>
      <w:r w:rsidRPr="00F91F43">
        <w:rPr>
          <w:sz w:val="24"/>
          <w:szCs w:val="24"/>
        </w:rPr>
        <w:t>3.</w:t>
      </w:r>
      <w:r w:rsidRPr="00F91F43">
        <w:rPr>
          <w:sz w:val="24"/>
          <w:szCs w:val="24"/>
        </w:rPr>
        <w:tab/>
        <w:t xml:space="preserve">Operator </w:t>
      </w:r>
      <w:r w:rsidRPr="00B759B1">
        <w:rPr>
          <w:sz w:val="24"/>
          <w:szCs w:val="24"/>
        </w:rPr>
        <w:t>Vipnet</w:t>
      </w:r>
      <w:r w:rsidRPr="002418DF">
        <w:rPr>
          <w:b/>
          <w:sz w:val="24"/>
          <w:szCs w:val="24"/>
        </w:rPr>
        <w:t xml:space="preserve"> </w:t>
      </w:r>
      <w:r w:rsidRPr="00F91F43">
        <w:rPr>
          <w:sz w:val="24"/>
          <w:szCs w:val="24"/>
        </w:rPr>
        <w:t xml:space="preserve">određuje se operatorom sa značajnom tržišnom snagom na tržištu </w:t>
      </w:r>
      <w:r w:rsidR="008E2690">
        <w:rPr>
          <w:sz w:val="24"/>
          <w:szCs w:val="24"/>
        </w:rPr>
        <w:t xml:space="preserve">veleprodajnog </w:t>
      </w:r>
      <w:r w:rsidRPr="00F91F43">
        <w:rPr>
          <w:sz w:val="24"/>
          <w:szCs w:val="24"/>
        </w:rPr>
        <w:t>završavanja glasovnih poziva u vlastitoj mobilnoj mreži.</w:t>
      </w:r>
    </w:p>
    <w:p w:rsidR="00F91F43" w:rsidRPr="00F91F43" w:rsidRDefault="00F91F43" w:rsidP="00BB7F55">
      <w:pPr>
        <w:spacing w:after="0" w:line="240" w:lineRule="auto"/>
        <w:jc w:val="both"/>
        <w:rPr>
          <w:sz w:val="24"/>
          <w:szCs w:val="24"/>
        </w:rPr>
      </w:pPr>
    </w:p>
    <w:p w:rsidR="00F91F43" w:rsidRPr="00F91F43" w:rsidRDefault="00680C9D" w:rsidP="00BB7F55">
      <w:pPr>
        <w:spacing w:after="0" w:line="240" w:lineRule="auto"/>
        <w:jc w:val="both"/>
        <w:rPr>
          <w:sz w:val="24"/>
          <w:szCs w:val="24"/>
        </w:rPr>
      </w:pPr>
      <w:r>
        <w:rPr>
          <w:sz w:val="24"/>
          <w:szCs w:val="24"/>
        </w:rPr>
        <w:t>Slijedom svega</w:t>
      </w:r>
      <w:r w:rsidR="00AF69EB">
        <w:rPr>
          <w:sz w:val="24"/>
          <w:szCs w:val="24"/>
        </w:rPr>
        <w:t xml:space="preserve">, </w:t>
      </w:r>
      <w:r w:rsidR="00F91F43" w:rsidRPr="00F91F43">
        <w:rPr>
          <w:sz w:val="24"/>
          <w:szCs w:val="24"/>
        </w:rPr>
        <w:t xml:space="preserve">HAKOM je, na temelju prepreka koje se mogu pojaviti na </w:t>
      </w:r>
      <w:r w:rsidR="005166E9">
        <w:rPr>
          <w:sz w:val="24"/>
          <w:szCs w:val="24"/>
        </w:rPr>
        <w:t xml:space="preserve">ovom mjerodavnom </w:t>
      </w:r>
      <w:r w:rsidR="00F91F43" w:rsidRPr="00F91F43">
        <w:rPr>
          <w:sz w:val="24"/>
          <w:szCs w:val="24"/>
        </w:rPr>
        <w:t>tržištu i na pripadajućem maloprodajnom tržištu na koje operator sa značajnom tržišnom snagom može prenijeti svoju značajnu tržišnu snagu, odredio HT-u, Tele2 i Vipnet-u regulatorne obveze kako slijedi:</w:t>
      </w:r>
    </w:p>
    <w:p w:rsidR="00F91F43" w:rsidRPr="00F91F43" w:rsidRDefault="00F91F43" w:rsidP="00536EC7">
      <w:pPr>
        <w:numPr>
          <w:ilvl w:val="0"/>
          <w:numId w:val="8"/>
        </w:numPr>
        <w:spacing w:after="0" w:line="240" w:lineRule="auto"/>
        <w:jc w:val="both"/>
        <w:rPr>
          <w:sz w:val="24"/>
          <w:szCs w:val="24"/>
        </w:rPr>
      </w:pPr>
      <w:r w:rsidRPr="00F91F43">
        <w:rPr>
          <w:sz w:val="24"/>
          <w:szCs w:val="24"/>
        </w:rPr>
        <w:t>obvezu pristupa i kori</w:t>
      </w:r>
      <w:r w:rsidR="00362F41">
        <w:rPr>
          <w:sz w:val="24"/>
          <w:szCs w:val="24"/>
        </w:rPr>
        <w:t>štenja posebnih dijelova mreže;</w:t>
      </w:r>
    </w:p>
    <w:p w:rsidR="00F91F43" w:rsidRPr="00F91F43" w:rsidRDefault="00F91F43" w:rsidP="00536EC7">
      <w:pPr>
        <w:numPr>
          <w:ilvl w:val="0"/>
          <w:numId w:val="8"/>
        </w:numPr>
        <w:spacing w:after="0" w:line="240" w:lineRule="auto"/>
        <w:jc w:val="both"/>
        <w:rPr>
          <w:sz w:val="24"/>
          <w:szCs w:val="24"/>
        </w:rPr>
      </w:pPr>
      <w:r w:rsidRPr="00F91F43">
        <w:rPr>
          <w:sz w:val="24"/>
          <w:szCs w:val="24"/>
        </w:rPr>
        <w:t>obvezu nedi</w:t>
      </w:r>
      <w:r w:rsidR="00B22F98">
        <w:rPr>
          <w:sz w:val="24"/>
          <w:szCs w:val="24"/>
        </w:rPr>
        <w:t>skriminacije;</w:t>
      </w:r>
    </w:p>
    <w:p w:rsidR="00080C5A" w:rsidRDefault="00F91F43" w:rsidP="00080C5A">
      <w:pPr>
        <w:numPr>
          <w:ilvl w:val="0"/>
          <w:numId w:val="8"/>
        </w:numPr>
        <w:spacing w:after="0" w:line="240" w:lineRule="auto"/>
        <w:jc w:val="both"/>
        <w:rPr>
          <w:sz w:val="24"/>
          <w:szCs w:val="24"/>
        </w:rPr>
      </w:pPr>
      <w:r w:rsidRPr="00080C5A">
        <w:rPr>
          <w:sz w:val="24"/>
          <w:szCs w:val="24"/>
        </w:rPr>
        <w:t>obvezu transparentnosti uz objavu standardne ponude među</w:t>
      </w:r>
      <w:r w:rsidR="00B22F98" w:rsidRPr="00080C5A">
        <w:rPr>
          <w:sz w:val="24"/>
          <w:szCs w:val="24"/>
        </w:rPr>
        <w:t>povezivanja;</w:t>
      </w:r>
      <w:r w:rsidR="00080C5A" w:rsidRPr="00080C5A">
        <w:rPr>
          <w:sz w:val="24"/>
          <w:szCs w:val="24"/>
        </w:rPr>
        <w:t xml:space="preserve"> </w:t>
      </w:r>
    </w:p>
    <w:p w:rsidR="00F91F43" w:rsidRPr="00080C5A" w:rsidRDefault="00854497" w:rsidP="00080C5A">
      <w:pPr>
        <w:numPr>
          <w:ilvl w:val="0"/>
          <w:numId w:val="8"/>
        </w:numPr>
        <w:spacing w:after="0" w:line="240" w:lineRule="auto"/>
        <w:jc w:val="both"/>
        <w:rPr>
          <w:sz w:val="24"/>
          <w:szCs w:val="24"/>
        </w:rPr>
      </w:pPr>
      <w:r w:rsidRPr="00080C5A">
        <w:rPr>
          <w:sz w:val="24"/>
          <w:szCs w:val="24"/>
        </w:rPr>
        <w:t>obvezu nadzora cijena.</w:t>
      </w:r>
    </w:p>
    <w:p w:rsidR="000E4ECF" w:rsidRPr="00C528FB" w:rsidRDefault="000978D2" w:rsidP="001951A5">
      <w:pPr>
        <w:spacing w:before="100" w:beforeAutospacing="1" w:after="100" w:afterAutospacing="1" w:line="240" w:lineRule="auto"/>
        <w:jc w:val="both"/>
        <w:rPr>
          <w:sz w:val="24"/>
          <w:szCs w:val="24"/>
        </w:rPr>
      </w:pPr>
      <w:r w:rsidRPr="000978D2">
        <w:rPr>
          <w:sz w:val="24"/>
          <w:szCs w:val="24"/>
        </w:rPr>
        <w:lastRenderedPageBreak/>
        <w:t>Tablični prikaz regulatornih</w:t>
      </w:r>
      <w:r>
        <w:rPr>
          <w:sz w:val="24"/>
          <w:szCs w:val="24"/>
        </w:rPr>
        <w:t xml:space="preserve"> obveza prikazan je u Privitku 1</w:t>
      </w:r>
      <w:r w:rsidRPr="000978D2">
        <w:rPr>
          <w:sz w:val="24"/>
          <w:szCs w:val="24"/>
        </w:rPr>
        <w:t xml:space="preserve"> ovog dokumenta.</w:t>
      </w:r>
      <w:r w:rsidR="000E4ECF" w:rsidRPr="00A052D4">
        <w:rPr>
          <w:sz w:val="24"/>
          <w:szCs w:val="24"/>
          <w:highlight w:val="yellow"/>
        </w:rPr>
        <w:br w:type="page"/>
      </w:r>
    </w:p>
    <w:p w:rsidR="000E4ECF" w:rsidRDefault="000E4ECF" w:rsidP="00083A62">
      <w:pPr>
        <w:pStyle w:val="Heading1"/>
      </w:pPr>
      <w:bookmarkStart w:id="2" w:name="_Toc525816329"/>
      <w:r w:rsidRPr="00117A1C">
        <w:lastRenderedPageBreak/>
        <w:t>Uvod</w:t>
      </w:r>
      <w:bookmarkEnd w:id="2"/>
    </w:p>
    <w:p w:rsidR="000E4ECF" w:rsidRPr="00527B5D" w:rsidRDefault="000E4ECF" w:rsidP="00083A62">
      <w:pPr>
        <w:pStyle w:val="Heading2"/>
      </w:pPr>
      <w:bookmarkStart w:id="3" w:name="_Toc525816330"/>
      <w:r w:rsidRPr="00527B5D">
        <w:t>Europski regulatorni okvir za elektroničke komunikacije</w:t>
      </w:r>
      <w:bookmarkEnd w:id="3"/>
    </w:p>
    <w:p w:rsidR="004B65C1" w:rsidRPr="004B65C1" w:rsidRDefault="004B65C1" w:rsidP="00BB7F55">
      <w:pPr>
        <w:spacing w:after="240" w:line="240" w:lineRule="auto"/>
        <w:jc w:val="both"/>
        <w:rPr>
          <w:rFonts w:eastAsia="Times New Roman" w:cstheme="minorHAnsi"/>
          <w:sz w:val="24"/>
          <w:szCs w:val="24"/>
          <w:lang w:eastAsia="hr-HR"/>
        </w:rPr>
      </w:pPr>
      <w:r w:rsidRPr="004B65C1">
        <w:rPr>
          <w:rFonts w:eastAsia="Times New Roman" w:cstheme="minorHAnsi"/>
          <w:sz w:val="24"/>
          <w:szCs w:val="24"/>
          <w:lang w:eastAsia="hr-HR"/>
        </w:rPr>
        <w:t>Europska komisija je u ožujku 2002. usvojila četiri direktive koje predstavljaju Regulatorni okvir iz 2002. na području elektroničkih mreža i komunikacijskih usluga, a peta direktiva, koja također predstavlja Regulatorni okvir, usvojena je u listopadu 2002. Direktive su sljedeće:</w:t>
      </w:r>
    </w:p>
    <w:p w:rsidR="004B65C1" w:rsidRPr="004B65C1" w:rsidRDefault="004B65C1" w:rsidP="00536EC7">
      <w:pPr>
        <w:numPr>
          <w:ilvl w:val="0"/>
          <w:numId w:val="10"/>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2002/19/EC Europskog parlamenta i Vijeća od 7. ožujka 2002. o pristupu i međusobnom povezivanju elektroničkih komunikacijskih mreža i pripadajuće opreme (</w:t>
      </w:r>
      <w:r w:rsidRPr="004B65C1">
        <w:rPr>
          <w:rFonts w:eastAsia="Times New Roman" w:cstheme="minorHAnsi"/>
          <w:i/>
          <w:sz w:val="24"/>
          <w:szCs w:val="24"/>
          <w:lang w:eastAsia="hr-HR"/>
        </w:rPr>
        <w:t>„Direktiva o pristupu“</w:t>
      </w:r>
      <w:r w:rsidRPr="004B65C1">
        <w:rPr>
          <w:rFonts w:eastAsia="Times New Roman" w:cstheme="minorHAnsi"/>
          <w:sz w:val="24"/>
          <w:szCs w:val="24"/>
          <w:lang w:eastAsia="hr-HR"/>
        </w:rPr>
        <w:t>); izmijenjena i dopunjena Direktivom 2009/140/EC Europskog parlamenta i Vijeća od 25. studenog</w:t>
      </w:r>
      <w:r w:rsidR="00080C5A">
        <w:rPr>
          <w:rFonts w:eastAsia="Times New Roman" w:cstheme="minorHAnsi"/>
          <w:sz w:val="24"/>
          <w:szCs w:val="24"/>
          <w:lang w:eastAsia="hr-HR"/>
        </w:rPr>
        <w:t>a</w:t>
      </w:r>
      <w:r w:rsidRPr="004B65C1">
        <w:rPr>
          <w:rFonts w:eastAsia="Times New Roman" w:cstheme="minorHAnsi"/>
          <w:sz w:val="24"/>
          <w:szCs w:val="24"/>
          <w:lang w:eastAsia="hr-HR"/>
        </w:rPr>
        <w:t xml:space="preserve"> 2009.</w:t>
      </w:r>
    </w:p>
    <w:p w:rsidR="004B65C1" w:rsidRPr="004B65C1" w:rsidRDefault="004B65C1" w:rsidP="00BB7F55">
      <w:pPr>
        <w:spacing w:after="0" w:line="240" w:lineRule="auto"/>
        <w:jc w:val="both"/>
        <w:rPr>
          <w:rFonts w:eastAsia="Times New Roman" w:cstheme="minorHAnsi"/>
          <w:sz w:val="24"/>
          <w:szCs w:val="24"/>
          <w:lang w:eastAsia="hr-HR"/>
        </w:rPr>
      </w:pPr>
    </w:p>
    <w:p w:rsidR="004B65C1" w:rsidRPr="004B65C1" w:rsidRDefault="004B65C1" w:rsidP="00536EC7">
      <w:pPr>
        <w:numPr>
          <w:ilvl w:val="0"/>
          <w:numId w:val="10"/>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2002/20/EC Europskog parlamenta i Vijeća od 7. ožujka 2002. o ovlaštenju na području elektroničkih komunikacijskih mreža i usluga (</w:t>
      </w:r>
      <w:r w:rsidRPr="004B65C1">
        <w:rPr>
          <w:rFonts w:eastAsia="Times New Roman" w:cstheme="minorHAnsi"/>
          <w:i/>
          <w:sz w:val="24"/>
          <w:szCs w:val="24"/>
          <w:lang w:eastAsia="hr-HR"/>
        </w:rPr>
        <w:t>„Direktiva o ovlaštenju“</w:t>
      </w:r>
      <w:r w:rsidRPr="004B65C1">
        <w:rPr>
          <w:rFonts w:eastAsia="Times New Roman" w:cstheme="minorHAnsi"/>
          <w:sz w:val="24"/>
          <w:szCs w:val="24"/>
          <w:lang w:eastAsia="hr-HR"/>
        </w:rPr>
        <w:t>); izmijenjena i dopunjena Direktivom 2009/140/EC Europskog parlamenta i Vijeća od 25. studenog</w:t>
      </w:r>
      <w:r w:rsidR="00080C5A">
        <w:rPr>
          <w:rFonts w:eastAsia="Times New Roman" w:cstheme="minorHAnsi"/>
          <w:sz w:val="24"/>
          <w:szCs w:val="24"/>
          <w:lang w:eastAsia="hr-HR"/>
        </w:rPr>
        <w:t>a</w:t>
      </w:r>
      <w:r w:rsidRPr="004B65C1">
        <w:rPr>
          <w:rFonts w:eastAsia="Times New Roman" w:cstheme="minorHAnsi"/>
          <w:sz w:val="24"/>
          <w:szCs w:val="24"/>
          <w:lang w:eastAsia="hr-HR"/>
        </w:rPr>
        <w:t xml:space="preserve"> 2009.</w:t>
      </w:r>
    </w:p>
    <w:p w:rsidR="004B65C1" w:rsidRPr="004B65C1" w:rsidRDefault="004B65C1" w:rsidP="00BB7F55">
      <w:pPr>
        <w:spacing w:after="0" w:line="240" w:lineRule="auto"/>
        <w:jc w:val="both"/>
        <w:rPr>
          <w:rFonts w:eastAsia="Times New Roman" w:cstheme="minorHAnsi"/>
          <w:sz w:val="24"/>
          <w:szCs w:val="24"/>
          <w:lang w:eastAsia="hr-HR"/>
        </w:rPr>
      </w:pPr>
    </w:p>
    <w:p w:rsidR="004B65C1" w:rsidRPr="004B65C1" w:rsidRDefault="004B65C1" w:rsidP="00536EC7">
      <w:pPr>
        <w:numPr>
          <w:ilvl w:val="0"/>
          <w:numId w:val="10"/>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2002/21/EC Europskog parlamenta i Vijeća od 7. ožujka 2002. o zajedničkom regulatornom okviru za elektroničke komunikacijske mreže i usluge (</w:t>
      </w:r>
      <w:r w:rsidRPr="004B65C1">
        <w:rPr>
          <w:rFonts w:eastAsia="Times New Roman" w:cstheme="minorHAnsi"/>
          <w:i/>
          <w:sz w:val="24"/>
          <w:szCs w:val="24"/>
          <w:lang w:eastAsia="hr-HR"/>
        </w:rPr>
        <w:t>„Okvirna direktiva“</w:t>
      </w:r>
      <w:r w:rsidRPr="004B65C1">
        <w:rPr>
          <w:rFonts w:eastAsia="Times New Roman" w:cstheme="minorHAnsi"/>
          <w:sz w:val="24"/>
          <w:szCs w:val="24"/>
          <w:lang w:eastAsia="hr-HR"/>
        </w:rPr>
        <w:t>); izmijenjena i dopunjena Direktivom 2009/140/EC Europskog parlamenta i Vijeća od 25. studenog</w:t>
      </w:r>
      <w:r w:rsidR="00080C5A">
        <w:rPr>
          <w:rFonts w:eastAsia="Times New Roman" w:cstheme="minorHAnsi"/>
          <w:sz w:val="24"/>
          <w:szCs w:val="24"/>
          <w:lang w:eastAsia="hr-HR"/>
        </w:rPr>
        <w:t>a</w:t>
      </w:r>
      <w:r w:rsidRPr="004B65C1">
        <w:rPr>
          <w:rFonts w:eastAsia="Times New Roman" w:cstheme="minorHAnsi"/>
          <w:sz w:val="24"/>
          <w:szCs w:val="24"/>
          <w:lang w:eastAsia="hr-HR"/>
        </w:rPr>
        <w:t xml:space="preserve"> 2009.</w:t>
      </w:r>
    </w:p>
    <w:p w:rsidR="004B65C1" w:rsidRPr="004B65C1" w:rsidRDefault="004B65C1" w:rsidP="00BB7F55">
      <w:pPr>
        <w:spacing w:after="0" w:line="240" w:lineRule="auto"/>
        <w:jc w:val="both"/>
        <w:rPr>
          <w:rFonts w:eastAsia="Times New Roman" w:cstheme="minorHAnsi"/>
          <w:sz w:val="24"/>
          <w:szCs w:val="24"/>
          <w:lang w:eastAsia="hr-HR"/>
        </w:rPr>
      </w:pPr>
    </w:p>
    <w:p w:rsidR="004B65C1" w:rsidRPr="004B65C1" w:rsidRDefault="004B65C1" w:rsidP="00536EC7">
      <w:pPr>
        <w:numPr>
          <w:ilvl w:val="0"/>
          <w:numId w:val="10"/>
        </w:numPr>
        <w:spacing w:after="0" w:line="240" w:lineRule="auto"/>
        <w:jc w:val="both"/>
        <w:rPr>
          <w:rFonts w:eastAsia="Times New Roman" w:cstheme="minorHAnsi"/>
          <w:b/>
          <w:bCs/>
          <w:sz w:val="24"/>
          <w:szCs w:val="24"/>
          <w:lang w:eastAsia="hr-HR"/>
        </w:rPr>
      </w:pPr>
      <w:r w:rsidRPr="004B65C1">
        <w:rPr>
          <w:rFonts w:eastAsia="Times New Roman" w:cstheme="minorHAnsi"/>
          <w:sz w:val="24"/>
          <w:szCs w:val="24"/>
          <w:lang w:eastAsia="hr-HR"/>
        </w:rPr>
        <w:lastRenderedPageBreak/>
        <w:t>Direktiva 2002/22/EC Europskog parlamenta i Vijeća od 7. ožujka 2002. o univerzalnoj usluzi i pravima korisnika vezanim uz elektroničke komunikacijske mreže i usluge (</w:t>
      </w:r>
      <w:r w:rsidRPr="004B65C1">
        <w:rPr>
          <w:rFonts w:eastAsia="Times New Roman" w:cstheme="minorHAnsi"/>
          <w:i/>
          <w:sz w:val="24"/>
          <w:szCs w:val="24"/>
          <w:lang w:eastAsia="hr-HR"/>
        </w:rPr>
        <w:t>„Direktiva o univerzalnoj usluzi“</w:t>
      </w:r>
      <w:r w:rsidRPr="004B65C1">
        <w:rPr>
          <w:rFonts w:eastAsia="Times New Roman" w:cstheme="minorHAnsi"/>
          <w:sz w:val="24"/>
          <w:szCs w:val="24"/>
          <w:lang w:eastAsia="hr-HR"/>
        </w:rPr>
        <w:t>); izmijenjena i dopunjena</w:t>
      </w:r>
      <w:r w:rsidRPr="004B65C1">
        <w:rPr>
          <w:rFonts w:eastAsia="Times New Roman" w:cstheme="minorHAnsi"/>
          <w:b/>
          <w:bCs/>
          <w:sz w:val="24"/>
          <w:szCs w:val="24"/>
          <w:lang w:eastAsia="hr-HR"/>
        </w:rPr>
        <w:t xml:space="preserve"> </w:t>
      </w:r>
      <w:r w:rsidRPr="004B65C1">
        <w:rPr>
          <w:rFonts w:eastAsia="Times New Roman" w:cstheme="minorHAnsi"/>
          <w:bCs/>
          <w:sz w:val="24"/>
          <w:szCs w:val="24"/>
          <w:lang w:eastAsia="hr-HR"/>
        </w:rPr>
        <w:t xml:space="preserve">Direktivom 2009/136/EZ Europskog parlamenta i Vijeća od 25. studenoga 2009. </w:t>
      </w:r>
    </w:p>
    <w:p w:rsidR="004B65C1" w:rsidRPr="004B65C1" w:rsidRDefault="004B65C1" w:rsidP="00BB7F55">
      <w:pPr>
        <w:spacing w:after="0" w:line="240" w:lineRule="auto"/>
        <w:jc w:val="both"/>
        <w:rPr>
          <w:rFonts w:eastAsia="Times New Roman" w:cstheme="minorHAnsi"/>
          <w:sz w:val="24"/>
          <w:szCs w:val="24"/>
          <w:lang w:eastAsia="hr-HR"/>
        </w:rPr>
      </w:pPr>
    </w:p>
    <w:p w:rsidR="004B65C1" w:rsidRPr="004B65C1" w:rsidRDefault="004B65C1" w:rsidP="00536EC7">
      <w:pPr>
        <w:numPr>
          <w:ilvl w:val="0"/>
          <w:numId w:val="10"/>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2002/58/EC Europskog parlamenta i Vijeća od 12. srpnja 2002. o obradi osobnih podataka i zaštiti privatnosti u elektroničkom komunikacijskom sektoru (</w:t>
      </w:r>
      <w:r w:rsidRPr="004B65C1">
        <w:rPr>
          <w:rFonts w:eastAsia="Times New Roman" w:cstheme="minorHAnsi"/>
          <w:i/>
          <w:sz w:val="24"/>
          <w:szCs w:val="24"/>
          <w:lang w:eastAsia="hr-HR"/>
        </w:rPr>
        <w:t>„Direktiva o privatnosti u elektroničkim komunikacijama“</w:t>
      </w:r>
      <w:r w:rsidRPr="004B65C1">
        <w:rPr>
          <w:rFonts w:eastAsia="Times New Roman" w:cstheme="minorHAnsi"/>
          <w:sz w:val="24"/>
          <w:szCs w:val="24"/>
          <w:lang w:eastAsia="hr-HR"/>
        </w:rPr>
        <w:t>), izmijenjena i dopunjena</w:t>
      </w:r>
      <w:r w:rsidRPr="004B65C1">
        <w:rPr>
          <w:rFonts w:eastAsia="Times New Roman" w:cstheme="minorHAnsi"/>
          <w:b/>
          <w:bCs/>
          <w:sz w:val="24"/>
          <w:szCs w:val="24"/>
          <w:lang w:eastAsia="hr-HR"/>
        </w:rPr>
        <w:t xml:space="preserve"> </w:t>
      </w:r>
      <w:r w:rsidRPr="004B65C1">
        <w:rPr>
          <w:rFonts w:eastAsia="Times New Roman" w:cstheme="minorHAnsi"/>
          <w:bCs/>
          <w:sz w:val="24"/>
          <w:szCs w:val="24"/>
          <w:lang w:eastAsia="hr-HR"/>
        </w:rPr>
        <w:t>Direktivom 2009/136/EZ Europskog parlamenta i Vijeća od 25. studenoga 2009.</w:t>
      </w:r>
    </w:p>
    <w:p w:rsidR="004B65C1" w:rsidRPr="004B65C1" w:rsidRDefault="004B65C1" w:rsidP="00BB7F55">
      <w:pPr>
        <w:spacing w:after="0" w:line="240" w:lineRule="auto"/>
        <w:jc w:val="both"/>
        <w:rPr>
          <w:rFonts w:eastAsia="Times New Roman" w:cstheme="minorHAnsi"/>
          <w:sz w:val="24"/>
          <w:szCs w:val="24"/>
          <w:lang w:eastAsia="hr-HR"/>
        </w:rPr>
      </w:pPr>
    </w:p>
    <w:p w:rsidR="004F757F" w:rsidRPr="004F757F" w:rsidRDefault="004B65C1" w:rsidP="0061086C">
      <w:p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Namjera direktiva Europske komisije jest promicanje harmonizacije u području elektroničkih komunikacija u svim članicama E</w:t>
      </w:r>
      <w:r w:rsidR="007D71B1">
        <w:rPr>
          <w:rFonts w:eastAsia="Times New Roman" w:cstheme="minorHAnsi"/>
          <w:sz w:val="24"/>
          <w:szCs w:val="24"/>
          <w:lang w:eastAsia="hr-HR"/>
        </w:rPr>
        <w:t>U</w:t>
      </w:r>
      <w:r w:rsidRPr="004B65C1">
        <w:rPr>
          <w:rFonts w:eastAsia="Times New Roman" w:cstheme="minorHAnsi"/>
          <w:sz w:val="24"/>
          <w:szCs w:val="24"/>
          <w:lang w:eastAsia="hr-HR"/>
        </w:rPr>
        <w:t xml:space="preserve">. Europska komisija je 2009. usvojila </w:t>
      </w:r>
      <w:r w:rsidR="00934FE7">
        <w:rPr>
          <w:rFonts w:eastAsia="Times New Roman" w:cstheme="minorHAnsi"/>
          <w:sz w:val="24"/>
          <w:szCs w:val="24"/>
          <w:lang w:eastAsia="hr-HR"/>
        </w:rPr>
        <w:t xml:space="preserve">i uredbu </w:t>
      </w:r>
      <w:r w:rsidR="004F757F" w:rsidRPr="004F757F">
        <w:rPr>
          <w:rFonts w:eastAsia="Times New Roman" w:cstheme="minorHAnsi"/>
          <w:sz w:val="24"/>
          <w:szCs w:val="24"/>
          <w:lang w:eastAsia="hr-HR"/>
        </w:rPr>
        <w:t xml:space="preserve">1211/2009 o osnivanju posebnog tijela europskih regulatora za elektroničke komunikacije i njegovog Ureda (BEREC) koja </w:t>
      </w:r>
      <w:r w:rsidR="008F1415">
        <w:rPr>
          <w:rFonts w:eastAsia="Times New Roman" w:cstheme="minorHAnsi"/>
          <w:sz w:val="24"/>
          <w:szCs w:val="24"/>
          <w:lang w:eastAsia="hr-HR"/>
        </w:rPr>
        <w:t xml:space="preserve">je neposredno </w:t>
      </w:r>
      <w:r w:rsidR="004F757F" w:rsidRPr="004F757F">
        <w:rPr>
          <w:rFonts w:eastAsia="Times New Roman" w:cstheme="minorHAnsi"/>
          <w:sz w:val="24"/>
          <w:szCs w:val="24"/>
          <w:lang w:eastAsia="hr-HR"/>
        </w:rPr>
        <w:t>primjenjiva</w:t>
      </w:r>
      <w:r w:rsidR="00080C5A" w:rsidRPr="00080C5A">
        <w:rPr>
          <w:rFonts w:eastAsia="Times New Roman" w:cstheme="minorHAnsi"/>
          <w:sz w:val="24"/>
          <w:szCs w:val="24"/>
          <w:lang w:eastAsia="hr-HR"/>
        </w:rPr>
        <w:t xml:space="preserve"> </w:t>
      </w:r>
      <w:r w:rsidR="00080C5A" w:rsidRPr="004F757F">
        <w:rPr>
          <w:rFonts w:eastAsia="Times New Roman" w:cstheme="minorHAnsi"/>
          <w:sz w:val="24"/>
          <w:szCs w:val="24"/>
          <w:lang w:eastAsia="hr-HR"/>
        </w:rPr>
        <w:t>u državama članicama</w:t>
      </w:r>
      <w:r w:rsidR="004F757F" w:rsidRPr="004F757F">
        <w:rPr>
          <w:rFonts w:eastAsia="Times New Roman" w:cstheme="minorHAnsi"/>
          <w:sz w:val="24"/>
          <w:szCs w:val="24"/>
          <w:lang w:eastAsia="hr-HR"/>
        </w:rPr>
        <w:t>.</w:t>
      </w:r>
    </w:p>
    <w:p w:rsidR="004B65C1" w:rsidRPr="004B65C1" w:rsidRDefault="004B65C1" w:rsidP="00BB7F55">
      <w:pPr>
        <w:spacing w:after="0" w:line="240" w:lineRule="auto"/>
        <w:jc w:val="both"/>
        <w:rPr>
          <w:rFonts w:eastAsia="Times New Roman" w:cstheme="minorHAnsi"/>
          <w:sz w:val="24"/>
          <w:szCs w:val="24"/>
          <w:lang w:eastAsia="hr-HR"/>
        </w:rPr>
      </w:pPr>
    </w:p>
    <w:p w:rsidR="004B65C1" w:rsidRDefault="004B65C1" w:rsidP="00BB7F55">
      <w:p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Na temelju prvog odlomka članka 15. Okvirne direktive (Direktiva 2002/21/EC), Europska komisija je usvojila Preporuku (2014/710/EU) od 9. listopada 2014. o mjerodavnim tržištima proizvoda i usluga u sektoru elektroničkih komunikacija podložnima prethodnoj regulaciji</w:t>
      </w:r>
      <w:r w:rsidRPr="004B65C1">
        <w:rPr>
          <w:rFonts w:eastAsia="Times New Roman" w:cstheme="minorHAnsi"/>
          <w:sz w:val="24"/>
          <w:szCs w:val="24"/>
          <w:vertAlign w:val="superscript"/>
          <w:lang w:eastAsia="hr-HR"/>
        </w:rPr>
        <w:footnoteReference w:id="6"/>
      </w:r>
      <w:r w:rsidRPr="004B65C1">
        <w:rPr>
          <w:rFonts w:eastAsia="Times New Roman" w:cstheme="minorHAnsi"/>
          <w:sz w:val="24"/>
          <w:szCs w:val="24"/>
          <w:lang w:eastAsia="hr-HR"/>
        </w:rPr>
        <w:t xml:space="preserve"> (dalje: Preporuka) čime je zamijenjena Preporuka (2007/879/EC) od 17. prosinca 2007. o mjerodavnim tržištima na području elektroničkih komunikacija podložnima prethodnoj regulaciji</w:t>
      </w:r>
      <w:r w:rsidRPr="004B65C1">
        <w:rPr>
          <w:rFonts w:eastAsia="Times New Roman" w:cstheme="minorHAnsi"/>
          <w:sz w:val="24"/>
          <w:szCs w:val="24"/>
          <w:vertAlign w:val="superscript"/>
          <w:lang w:eastAsia="hr-HR"/>
        </w:rPr>
        <w:footnoteReference w:id="7"/>
      </w:r>
      <w:r w:rsidR="00004496">
        <w:rPr>
          <w:rFonts w:eastAsia="Times New Roman" w:cstheme="minorHAnsi"/>
          <w:sz w:val="24"/>
          <w:szCs w:val="24"/>
          <w:lang w:eastAsia="hr-HR"/>
        </w:rPr>
        <w:t xml:space="preserve">. </w:t>
      </w:r>
    </w:p>
    <w:p w:rsidR="007E3D8A" w:rsidRPr="004B65C1" w:rsidRDefault="007E3D8A" w:rsidP="00BB7F55">
      <w:pPr>
        <w:spacing w:after="0" w:line="240" w:lineRule="auto"/>
        <w:jc w:val="both"/>
        <w:rPr>
          <w:rFonts w:eastAsia="Times New Roman" w:cstheme="minorHAnsi"/>
          <w:sz w:val="24"/>
          <w:szCs w:val="24"/>
          <w:lang w:eastAsia="hr-HR"/>
        </w:rPr>
      </w:pPr>
    </w:p>
    <w:p w:rsidR="00527B5D" w:rsidRPr="00E23BAF" w:rsidRDefault="007E3D8A" w:rsidP="00BB7F55">
      <w:pPr>
        <w:spacing w:after="0" w:line="240" w:lineRule="auto"/>
        <w:jc w:val="both"/>
        <w:rPr>
          <w:rFonts w:ascii="Calibri" w:eastAsia="Times New Roman" w:hAnsi="Calibri" w:cs="Calibri"/>
          <w:sz w:val="24"/>
          <w:szCs w:val="24"/>
        </w:rPr>
      </w:pPr>
      <w:r w:rsidRPr="007E3D8A">
        <w:rPr>
          <w:rFonts w:ascii="Calibri" w:eastAsia="Times New Roman" w:hAnsi="Calibri" w:cs="Calibri"/>
          <w:sz w:val="24"/>
          <w:szCs w:val="24"/>
        </w:rPr>
        <w:lastRenderedPageBreak/>
        <w:t xml:space="preserve">U provedbi postupka analize tržišta, HAKOM </w:t>
      </w:r>
      <w:r>
        <w:rPr>
          <w:rFonts w:ascii="Calibri" w:eastAsia="Times New Roman" w:hAnsi="Calibri" w:cs="Calibri"/>
          <w:sz w:val="24"/>
          <w:szCs w:val="24"/>
        </w:rPr>
        <w:t xml:space="preserve">je </w:t>
      </w:r>
      <w:r w:rsidRPr="007E3D8A">
        <w:rPr>
          <w:rFonts w:ascii="Calibri" w:eastAsia="Times New Roman" w:hAnsi="Calibri" w:cs="Calibri"/>
          <w:sz w:val="24"/>
          <w:szCs w:val="24"/>
        </w:rPr>
        <w:t>prim</w:t>
      </w:r>
      <w:r>
        <w:rPr>
          <w:rFonts w:ascii="Calibri" w:eastAsia="Times New Roman" w:hAnsi="Calibri" w:cs="Calibri"/>
          <w:sz w:val="24"/>
          <w:szCs w:val="24"/>
        </w:rPr>
        <w:t>i</w:t>
      </w:r>
      <w:r w:rsidRPr="007E3D8A">
        <w:rPr>
          <w:rFonts w:ascii="Calibri" w:eastAsia="Times New Roman" w:hAnsi="Calibri" w:cs="Calibri"/>
          <w:sz w:val="24"/>
          <w:szCs w:val="24"/>
        </w:rPr>
        <w:t>jeni</w:t>
      </w:r>
      <w:r>
        <w:rPr>
          <w:rFonts w:ascii="Calibri" w:eastAsia="Times New Roman" w:hAnsi="Calibri" w:cs="Calibri"/>
          <w:sz w:val="24"/>
          <w:szCs w:val="24"/>
        </w:rPr>
        <w:t>o i</w:t>
      </w:r>
      <w:r w:rsidRPr="007E3D8A">
        <w:rPr>
          <w:rFonts w:ascii="Calibri" w:eastAsia="Times New Roman" w:hAnsi="Calibri" w:cs="Calibri"/>
          <w:sz w:val="24"/>
          <w:szCs w:val="24"/>
        </w:rPr>
        <w:t xml:space="preserve"> </w:t>
      </w:r>
      <w:r>
        <w:rPr>
          <w:sz w:val="24"/>
          <w:szCs w:val="24"/>
        </w:rPr>
        <w:t>P</w:t>
      </w:r>
      <w:r w:rsidRPr="00625828">
        <w:rPr>
          <w:sz w:val="24"/>
          <w:szCs w:val="24"/>
        </w:rPr>
        <w:t>reporu</w:t>
      </w:r>
      <w:r>
        <w:rPr>
          <w:sz w:val="24"/>
          <w:szCs w:val="24"/>
        </w:rPr>
        <w:t>ku</w:t>
      </w:r>
      <w:r w:rsidRPr="00625828">
        <w:rPr>
          <w:sz w:val="24"/>
          <w:szCs w:val="24"/>
        </w:rPr>
        <w:t xml:space="preserve"> o regulaciji c</w:t>
      </w:r>
      <w:r w:rsidR="00E23BAF">
        <w:rPr>
          <w:sz w:val="24"/>
          <w:szCs w:val="24"/>
        </w:rPr>
        <w:t>ijena završavanja poziva</w:t>
      </w:r>
      <w:r w:rsidR="00E23BAF">
        <w:rPr>
          <w:rStyle w:val="FootnoteReference"/>
          <w:rFonts w:eastAsia="Times New Roman" w:cstheme="minorHAnsi"/>
          <w:sz w:val="24"/>
          <w:szCs w:val="24"/>
          <w:lang w:eastAsia="hr-HR"/>
        </w:rPr>
        <w:footnoteReference w:id="8"/>
      </w:r>
      <w:r w:rsidRPr="00625828">
        <w:rPr>
          <w:sz w:val="24"/>
          <w:szCs w:val="24"/>
        </w:rPr>
        <w:t>.</w:t>
      </w:r>
    </w:p>
    <w:p w:rsidR="000E4ECF" w:rsidRPr="00527B5D" w:rsidRDefault="000E4ECF" w:rsidP="00083A62">
      <w:pPr>
        <w:pStyle w:val="Heading2"/>
      </w:pPr>
      <w:bookmarkStart w:id="4" w:name="_Toc525816331"/>
      <w:r w:rsidRPr="00527B5D">
        <w:t>Zakon o elektroničkim komunikacijama</w:t>
      </w:r>
      <w:bookmarkEnd w:id="4"/>
    </w:p>
    <w:p w:rsidR="00A03BC2" w:rsidRDefault="004B65C1" w:rsidP="0043382D">
      <w:pPr>
        <w:spacing w:after="0" w:line="240" w:lineRule="auto"/>
        <w:jc w:val="both"/>
        <w:rPr>
          <w:rFonts w:eastAsia="Times New Roman" w:cstheme="minorHAnsi"/>
          <w:sz w:val="24"/>
          <w:szCs w:val="24"/>
        </w:rPr>
      </w:pPr>
      <w:r w:rsidRPr="004B65C1">
        <w:rPr>
          <w:sz w:val="24"/>
          <w:szCs w:val="24"/>
          <w:lang w:eastAsia="hr-HR"/>
        </w:rPr>
        <w:t xml:space="preserve">Sve prethodno navedene direktive implementirane su u hrvatsko zakonodavstvo kroz </w:t>
      </w:r>
      <w:r w:rsidR="006A1C9F">
        <w:rPr>
          <w:rFonts w:eastAsia="Times New Roman" w:cstheme="minorHAnsi"/>
          <w:sz w:val="24"/>
          <w:szCs w:val="24"/>
        </w:rPr>
        <w:t>ZEK</w:t>
      </w:r>
      <w:r w:rsidRPr="004B65C1">
        <w:rPr>
          <w:rFonts w:eastAsia="Times New Roman" w:cstheme="minorHAnsi"/>
          <w:sz w:val="24"/>
          <w:szCs w:val="24"/>
        </w:rPr>
        <w:t xml:space="preserve"> kojim se između ostaloga propisuju uvjeti obavljanja djelatnosti elektroničkih komunikacijskih mreža i usluga. HAKOM primjenom odredaba ZEK-a osigurava uvjete za djelotvorno tržišno natjecanje, odnosno omogućava jednake uvjete za sve operatore koji djeluju na tržištima elektroničkih komunikacija. </w:t>
      </w:r>
      <w:r w:rsidR="0015566D">
        <w:rPr>
          <w:rFonts w:eastAsia="Times New Roman" w:cstheme="minorHAnsi"/>
          <w:sz w:val="24"/>
          <w:szCs w:val="24"/>
        </w:rPr>
        <w:t>ZEK</w:t>
      </w:r>
      <w:r w:rsidRPr="004B65C1">
        <w:rPr>
          <w:rFonts w:eastAsia="Times New Roman" w:cstheme="minorHAnsi"/>
          <w:sz w:val="24"/>
          <w:szCs w:val="24"/>
        </w:rPr>
        <w:t xml:space="preserve"> propisuje postupak analize tržišta na način kako slijedi:</w:t>
      </w:r>
    </w:p>
    <w:p w:rsidR="004B65C1" w:rsidRPr="004B65C1" w:rsidRDefault="004B65C1" w:rsidP="0043382D">
      <w:pPr>
        <w:spacing w:after="0" w:line="240" w:lineRule="auto"/>
        <w:jc w:val="both"/>
        <w:rPr>
          <w:rFonts w:eastAsia="Times New Roman" w:cstheme="minorHAnsi"/>
          <w:sz w:val="24"/>
          <w:szCs w:val="24"/>
        </w:rPr>
      </w:pPr>
    </w:p>
    <w:p w:rsidR="004B65C1" w:rsidRPr="00236D57" w:rsidRDefault="004B65C1" w:rsidP="0043382D">
      <w:pPr>
        <w:spacing w:after="0" w:line="240" w:lineRule="auto"/>
        <w:jc w:val="both"/>
        <w:rPr>
          <w:rFonts w:eastAsia="Times New Roman" w:cstheme="minorHAnsi"/>
          <w:sz w:val="24"/>
          <w:szCs w:val="24"/>
        </w:rPr>
      </w:pPr>
      <w:r w:rsidRPr="00236D57">
        <w:rPr>
          <w:rFonts w:eastAsia="Times New Roman" w:cstheme="minorHAnsi"/>
          <w:sz w:val="24"/>
          <w:szCs w:val="24"/>
        </w:rPr>
        <w:t>Utvrđivanj</w:t>
      </w:r>
      <w:r w:rsidR="00A03BC2" w:rsidRPr="00236D57">
        <w:rPr>
          <w:rFonts w:eastAsia="Times New Roman" w:cstheme="minorHAnsi"/>
          <w:sz w:val="24"/>
          <w:szCs w:val="24"/>
        </w:rPr>
        <w:t>e</w:t>
      </w:r>
      <w:r w:rsidRPr="00236D57">
        <w:rPr>
          <w:rFonts w:eastAsia="Times New Roman" w:cstheme="minorHAnsi"/>
          <w:sz w:val="24"/>
          <w:szCs w:val="24"/>
        </w:rPr>
        <w:t xml:space="preserve"> mjerodavnih tržišta podložnih prethodnoj regulaciji u skladu je s člankom 53. ZEK-a uz primjenu </w:t>
      </w:r>
      <w:r w:rsidR="000E50A5">
        <w:rPr>
          <w:rFonts w:eastAsia="Times New Roman" w:cstheme="minorHAnsi"/>
          <w:sz w:val="24"/>
          <w:szCs w:val="24"/>
        </w:rPr>
        <w:t>važeće</w:t>
      </w:r>
      <w:r w:rsidRPr="00236D57">
        <w:rPr>
          <w:rFonts w:eastAsia="Times New Roman" w:cstheme="minorHAnsi"/>
          <w:sz w:val="24"/>
          <w:szCs w:val="24"/>
        </w:rPr>
        <w:t xml:space="preserve"> Preporuke o mjerodavnim tržištima. </w:t>
      </w:r>
      <w:r w:rsidR="000E50A5">
        <w:rPr>
          <w:rFonts w:eastAsia="Times New Roman" w:cstheme="minorHAnsi"/>
          <w:sz w:val="24"/>
          <w:szCs w:val="24"/>
        </w:rPr>
        <w:t>Važeća</w:t>
      </w:r>
      <w:r w:rsidRPr="00236D57">
        <w:rPr>
          <w:rFonts w:eastAsia="Times New Roman" w:cstheme="minorHAnsi"/>
          <w:sz w:val="24"/>
          <w:szCs w:val="24"/>
        </w:rPr>
        <w:t xml:space="preserve"> preporuk</w:t>
      </w:r>
      <w:r w:rsidR="002978FB" w:rsidRPr="00236D57">
        <w:rPr>
          <w:rFonts w:eastAsia="Times New Roman" w:cstheme="minorHAnsi"/>
          <w:sz w:val="24"/>
          <w:szCs w:val="24"/>
        </w:rPr>
        <w:t xml:space="preserve">a </w:t>
      </w:r>
      <w:r w:rsidRPr="00236D57">
        <w:rPr>
          <w:rFonts w:eastAsia="Times New Roman" w:cstheme="minorHAnsi"/>
          <w:sz w:val="24"/>
          <w:szCs w:val="24"/>
        </w:rPr>
        <w:t xml:space="preserve">sadrži </w:t>
      </w:r>
      <w:r w:rsidR="001A4A87" w:rsidRPr="00236D57">
        <w:rPr>
          <w:rFonts w:eastAsia="Times New Roman" w:cstheme="minorHAnsi"/>
          <w:sz w:val="24"/>
          <w:szCs w:val="24"/>
        </w:rPr>
        <w:t>četiri</w:t>
      </w:r>
      <w:r w:rsidRPr="00236D57">
        <w:rPr>
          <w:rFonts w:eastAsia="Times New Roman" w:cstheme="minorHAnsi"/>
          <w:sz w:val="24"/>
          <w:szCs w:val="24"/>
        </w:rPr>
        <w:t xml:space="preserve"> tržišta </w:t>
      </w:r>
      <w:r w:rsidR="001A4A87" w:rsidRPr="00236D57">
        <w:rPr>
          <w:rFonts w:eastAsia="Times New Roman" w:cstheme="minorHAnsi"/>
          <w:sz w:val="24"/>
          <w:szCs w:val="24"/>
        </w:rPr>
        <w:t>podložnih prethodnoj regulaciji, pa je</w:t>
      </w:r>
      <w:r w:rsidRPr="00236D57">
        <w:rPr>
          <w:rFonts w:eastAsia="Times New Roman" w:cstheme="minorHAnsi"/>
          <w:sz w:val="24"/>
          <w:szCs w:val="24"/>
        </w:rPr>
        <w:t xml:space="preserve"> HAKOM u mogućnosti, bez dokazivanja da su istodobno zadovoljena tri mjerila (Test tri mjerila), prethodno regulirati samo ta </w:t>
      </w:r>
      <w:r w:rsidR="000E50A5">
        <w:rPr>
          <w:rFonts w:eastAsia="Times New Roman" w:cstheme="minorHAnsi"/>
          <w:sz w:val="24"/>
          <w:szCs w:val="24"/>
        </w:rPr>
        <w:t>četiri</w:t>
      </w:r>
      <w:r w:rsidRPr="00236D57">
        <w:rPr>
          <w:rFonts w:eastAsia="Times New Roman" w:cstheme="minorHAnsi"/>
          <w:sz w:val="24"/>
          <w:szCs w:val="24"/>
        </w:rPr>
        <w:t xml:space="preserve"> tržišta. Međutim, u skladu s člankom 53. stavkom 2. ZEK-a, HAKOM može odlukom utvrditi da su i druga mjerodavna tržišta koja su specifična za područje elektroničkih komunikacijskih mreža i usluga u Republici Hrvatskoj podložna prethodnoj regulaciji ako su na tim tržištima istodobno zadovoljena sljedeća tri mjerila:</w:t>
      </w:r>
    </w:p>
    <w:p w:rsidR="004B65C1" w:rsidRPr="00B31442" w:rsidRDefault="004B65C1" w:rsidP="00536EC7">
      <w:pPr>
        <w:numPr>
          <w:ilvl w:val="0"/>
          <w:numId w:val="11"/>
        </w:numPr>
        <w:spacing w:after="0" w:line="240" w:lineRule="auto"/>
        <w:jc w:val="both"/>
        <w:rPr>
          <w:rFonts w:eastAsia="Times New Roman" w:cstheme="minorHAnsi"/>
          <w:sz w:val="24"/>
          <w:szCs w:val="24"/>
        </w:rPr>
      </w:pPr>
      <w:r w:rsidRPr="00B31442">
        <w:rPr>
          <w:rFonts w:eastAsia="Times New Roman" w:cstheme="minorHAnsi"/>
          <w:sz w:val="24"/>
          <w:szCs w:val="24"/>
        </w:rPr>
        <w:t>prisutnost visokih i trajnih zapreka za ulazak na tržište, strukturne, pravne ili regulatorne prirode;</w:t>
      </w:r>
    </w:p>
    <w:p w:rsidR="004B65C1" w:rsidRPr="004B65C1" w:rsidRDefault="004B65C1" w:rsidP="00536EC7">
      <w:pPr>
        <w:numPr>
          <w:ilvl w:val="0"/>
          <w:numId w:val="11"/>
        </w:numPr>
        <w:spacing w:after="0" w:line="240" w:lineRule="auto"/>
        <w:jc w:val="both"/>
        <w:rPr>
          <w:rFonts w:eastAsia="Times New Roman" w:cstheme="minorHAnsi"/>
          <w:sz w:val="24"/>
          <w:szCs w:val="24"/>
        </w:rPr>
      </w:pPr>
      <w:r w:rsidRPr="004B65C1">
        <w:rPr>
          <w:rFonts w:eastAsia="Times New Roman" w:cstheme="minorHAnsi"/>
          <w:sz w:val="24"/>
          <w:szCs w:val="24"/>
        </w:rPr>
        <w:t>struktura tržišta koja ne teži razvoju djelotvornog tržišnog natjecanja unutar odgovarajućeg vremenskog okvira;</w:t>
      </w:r>
    </w:p>
    <w:p w:rsidR="004B65C1" w:rsidRPr="004B65C1" w:rsidRDefault="004B65C1" w:rsidP="00536EC7">
      <w:pPr>
        <w:numPr>
          <w:ilvl w:val="0"/>
          <w:numId w:val="11"/>
        </w:numPr>
        <w:spacing w:after="0" w:line="240" w:lineRule="auto"/>
        <w:jc w:val="both"/>
        <w:rPr>
          <w:rFonts w:eastAsia="Times New Roman" w:cstheme="minorHAnsi"/>
          <w:sz w:val="24"/>
          <w:szCs w:val="24"/>
        </w:rPr>
      </w:pPr>
      <w:r w:rsidRPr="004B65C1">
        <w:rPr>
          <w:rFonts w:eastAsia="Times New Roman" w:cstheme="minorHAnsi"/>
          <w:sz w:val="24"/>
          <w:szCs w:val="24"/>
        </w:rPr>
        <w:t>primjena mjerodavnih propisa o zaštiti tržišnog natjecanja sama po sebi ne omogućuje na odgovarajući način uklanjanja nedostataka na tržištu.</w:t>
      </w:r>
    </w:p>
    <w:p w:rsidR="004B65C1" w:rsidRPr="004B65C1" w:rsidRDefault="004B65C1" w:rsidP="00BB7F55">
      <w:pPr>
        <w:spacing w:after="0" w:line="240" w:lineRule="auto"/>
        <w:ind w:left="1080"/>
        <w:jc w:val="both"/>
        <w:rPr>
          <w:rFonts w:eastAsia="Times New Roman" w:cstheme="minorHAnsi"/>
          <w:sz w:val="24"/>
          <w:szCs w:val="24"/>
        </w:rPr>
      </w:pPr>
    </w:p>
    <w:p w:rsidR="004B65C1" w:rsidRPr="00B31442" w:rsidRDefault="004B65C1" w:rsidP="0043382D">
      <w:pPr>
        <w:spacing w:after="0" w:line="240" w:lineRule="auto"/>
        <w:jc w:val="both"/>
        <w:rPr>
          <w:rFonts w:eastAsia="Times New Roman" w:cstheme="minorHAnsi"/>
          <w:sz w:val="24"/>
          <w:szCs w:val="24"/>
        </w:rPr>
      </w:pPr>
      <w:r w:rsidRPr="00B31442">
        <w:rPr>
          <w:rFonts w:eastAsia="Times New Roman" w:cstheme="minorHAnsi"/>
          <w:sz w:val="24"/>
          <w:szCs w:val="24"/>
        </w:rPr>
        <w:t>U nastavku se provodi postupak koji se sastoji od određivanja mjerodavnog tržišta i procjene postojanja jednog ili više operatora sa značajnom tržišnom snagom na tom mjerodavnom tržištu.</w:t>
      </w:r>
      <w:r w:rsidRPr="00B31442">
        <w:rPr>
          <w:rFonts w:cstheme="minorHAnsi"/>
          <w:sz w:val="24"/>
          <w:szCs w:val="24"/>
        </w:rPr>
        <w:t xml:space="preserve"> </w:t>
      </w:r>
      <w:r w:rsidRPr="00B31442">
        <w:rPr>
          <w:rFonts w:eastAsia="Times New Roman" w:cstheme="minorHAnsi"/>
          <w:sz w:val="24"/>
          <w:szCs w:val="24"/>
        </w:rPr>
        <w:t xml:space="preserve">U svrhu određivanja mjerodavnog tržišta, prema članku 54. ZEK-a, HAKOM utvrđuje dimenziju usluga i zemljopisnu dimenziju tržišta, vodeći osobito računa o mjerodavnim </w:t>
      </w:r>
      <w:r w:rsidR="001A4A87" w:rsidRPr="00167E1B">
        <w:rPr>
          <w:sz w:val="24"/>
          <w:szCs w:val="24"/>
        </w:rPr>
        <w:t>Smjernic</w:t>
      </w:r>
      <w:r w:rsidR="001A4A87">
        <w:rPr>
          <w:sz w:val="24"/>
          <w:szCs w:val="24"/>
        </w:rPr>
        <w:t>ama</w:t>
      </w:r>
      <w:r w:rsidR="001A4A87" w:rsidRPr="00167E1B">
        <w:rPr>
          <w:sz w:val="24"/>
          <w:szCs w:val="24"/>
        </w:rPr>
        <w:t xml:space="preserve"> za analizu tržišta i ocjenu značajne tržišne snage</w:t>
      </w:r>
      <w:r w:rsidRPr="00B31442">
        <w:rPr>
          <w:rFonts w:eastAsia="Times New Roman" w:cstheme="minorHAnsi"/>
          <w:sz w:val="24"/>
          <w:szCs w:val="24"/>
        </w:rPr>
        <w:t xml:space="preserve"> te o mjerodavnoj pravnoj stečevini </w:t>
      </w:r>
      <w:r w:rsidR="00B8506D" w:rsidRPr="00B31442">
        <w:rPr>
          <w:rFonts w:eastAsia="Times New Roman" w:cstheme="minorHAnsi"/>
          <w:sz w:val="24"/>
          <w:szCs w:val="24"/>
        </w:rPr>
        <w:t>EU</w:t>
      </w:r>
      <w:r w:rsidRPr="00B31442">
        <w:rPr>
          <w:rFonts w:eastAsia="Times New Roman" w:cstheme="minorHAnsi"/>
          <w:sz w:val="24"/>
          <w:szCs w:val="24"/>
        </w:rPr>
        <w:t xml:space="preserve"> iz područja tržišnog natjecanja.</w:t>
      </w:r>
    </w:p>
    <w:p w:rsidR="004B65C1" w:rsidRPr="004B65C1" w:rsidRDefault="004B65C1" w:rsidP="0043382D">
      <w:pPr>
        <w:spacing w:after="0" w:line="240" w:lineRule="auto"/>
        <w:jc w:val="both"/>
        <w:rPr>
          <w:rFonts w:eastAsia="Times New Roman" w:cstheme="minorHAnsi"/>
          <w:sz w:val="24"/>
          <w:szCs w:val="24"/>
        </w:rPr>
      </w:pPr>
    </w:p>
    <w:p w:rsidR="00AF69EB" w:rsidRPr="00B31442" w:rsidRDefault="004B65C1" w:rsidP="00AF69EB">
      <w:pPr>
        <w:spacing w:after="0" w:line="240" w:lineRule="auto"/>
        <w:jc w:val="both"/>
        <w:rPr>
          <w:rFonts w:eastAsia="Times New Roman" w:cstheme="minorHAnsi"/>
          <w:sz w:val="24"/>
          <w:szCs w:val="24"/>
        </w:rPr>
      </w:pPr>
      <w:r w:rsidRPr="004B65C1">
        <w:rPr>
          <w:rFonts w:eastAsia="Times New Roman" w:cstheme="minorHAnsi"/>
          <w:sz w:val="24"/>
          <w:szCs w:val="24"/>
        </w:rPr>
        <w:t xml:space="preserve">Po određivanju mjerodavnog tržišta u objema navedenim dimenzijama, HAKOM, u suradnji s </w:t>
      </w:r>
      <w:r w:rsidR="00B8506D">
        <w:rPr>
          <w:rFonts w:eastAsia="Times New Roman" w:cstheme="minorHAnsi"/>
          <w:sz w:val="24"/>
          <w:szCs w:val="24"/>
        </w:rPr>
        <w:t>AZTN-om</w:t>
      </w:r>
      <w:r w:rsidR="00D049E5">
        <w:rPr>
          <w:rFonts w:eastAsia="Times New Roman" w:cstheme="minorHAnsi"/>
          <w:sz w:val="24"/>
          <w:szCs w:val="24"/>
        </w:rPr>
        <w:t xml:space="preserve">, sukladno članku </w:t>
      </w:r>
      <w:r w:rsidR="00AF69EB">
        <w:rPr>
          <w:rFonts w:eastAsia="Times New Roman" w:cstheme="minorHAnsi"/>
          <w:sz w:val="24"/>
          <w:szCs w:val="24"/>
        </w:rPr>
        <w:t>54. stavku 5. ZEK-a</w:t>
      </w:r>
      <w:r w:rsidRPr="004B65C1">
        <w:rPr>
          <w:rFonts w:eastAsia="Times New Roman" w:cstheme="minorHAnsi"/>
          <w:sz w:val="24"/>
          <w:szCs w:val="24"/>
        </w:rPr>
        <w:t>, ocjenjuje djelotvornost tržišnog natjecanja na tom tržištu. U slučaju nedostatka djelotvornog tržišnog natjecanja, HAKOM, sukladno članku 55. ZEK-a, procjenjuje postoji li na tom mjerodavnom tržištu operator/operatori sa značajnom tržišnom snagom</w:t>
      </w:r>
      <w:r w:rsidR="00AF69EB">
        <w:rPr>
          <w:rFonts w:eastAsia="Times New Roman" w:cstheme="minorHAnsi"/>
          <w:sz w:val="24"/>
          <w:szCs w:val="24"/>
        </w:rPr>
        <w:t xml:space="preserve"> te ukoliko da HAKOM donosi odluku kojom </w:t>
      </w:r>
      <w:r w:rsidR="00AF69EB" w:rsidRPr="00B31442">
        <w:rPr>
          <w:rFonts w:eastAsia="Times New Roman" w:cstheme="minorHAnsi"/>
          <w:sz w:val="24"/>
          <w:szCs w:val="24"/>
        </w:rPr>
        <w:t xml:space="preserve">svakom operatoru sa značajnom tržišnom </w:t>
      </w:r>
      <w:r w:rsidR="00AF69EB">
        <w:rPr>
          <w:rFonts w:eastAsia="Times New Roman" w:cstheme="minorHAnsi"/>
          <w:sz w:val="24"/>
          <w:szCs w:val="24"/>
        </w:rPr>
        <w:t>snagom određuje</w:t>
      </w:r>
      <w:r w:rsidR="00AF69EB" w:rsidRPr="00B31442">
        <w:rPr>
          <w:rFonts w:eastAsia="Times New Roman" w:cstheme="minorHAnsi"/>
          <w:sz w:val="24"/>
          <w:szCs w:val="24"/>
        </w:rPr>
        <w:t xml:space="preserve"> najmanje jednu regulatornu obvezu iz članaka 58. do 65. ZEK-a.</w:t>
      </w:r>
    </w:p>
    <w:p w:rsidR="000E50A5" w:rsidRDefault="000E50A5" w:rsidP="0043382D">
      <w:pPr>
        <w:spacing w:after="0" w:line="240" w:lineRule="auto"/>
        <w:jc w:val="both"/>
        <w:rPr>
          <w:rFonts w:eastAsia="Times New Roman" w:cstheme="minorHAnsi"/>
          <w:sz w:val="24"/>
          <w:szCs w:val="24"/>
        </w:rPr>
      </w:pPr>
    </w:p>
    <w:p w:rsidR="000E50A5" w:rsidRDefault="000E50A5" w:rsidP="0043382D">
      <w:pPr>
        <w:spacing w:after="0" w:line="240" w:lineRule="auto"/>
        <w:jc w:val="both"/>
        <w:rPr>
          <w:rFonts w:eastAsia="Times New Roman" w:cstheme="minorHAnsi"/>
          <w:sz w:val="24"/>
          <w:szCs w:val="24"/>
        </w:rPr>
      </w:pPr>
      <w:r>
        <w:rPr>
          <w:rFonts w:eastAsia="Times New Roman" w:cstheme="minorHAnsi"/>
          <w:sz w:val="24"/>
          <w:szCs w:val="24"/>
        </w:rPr>
        <w:t>Odluku u navedenom postupku, HAKO</w:t>
      </w:r>
      <w:r w:rsidR="00C976D8">
        <w:rPr>
          <w:rFonts w:eastAsia="Times New Roman" w:cstheme="minorHAnsi"/>
          <w:sz w:val="24"/>
          <w:szCs w:val="24"/>
        </w:rPr>
        <w:t>M</w:t>
      </w:r>
      <w:r>
        <w:rPr>
          <w:rFonts w:eastAsia="Times New Roman" w:cstheme="minorHAnsi"/>
          <w:sz w:val="24"/>
          <w:szCs w:val="24"/>
        </w:rPr>
        <w:t xml:space="preserve"> je prethodno obvezan notificirati Europskoj komisiji.</w:t>
      </w:r>
    </w:p>
    <w:p w:rsidR="004B65C1" w:rsidRPr="001808D2" w:rsidRDefault="004B65C1" w:rsidP="0043382D">
      <w:pPr>
        <w:spacing w:after="0" w:line="240" w:lineRule="auto"/>
        <w:jc w:val="both"/>
        <w:rPr>
          <w:rFonts w:eastAsia="Times New Roman" w:cstheme="minorHAnsi"/>
          <w:sz w:val="24"/>
          <w:szCs w:val="24"/>
        </w:rPr>
      </w:pPr>
      <w:r w:rsidRPr="007E48D5">
        <w:rPr>
          <w:rFonts w:eastAsia="Times New Roman" w:cstheme="minorHAnsi"/>
          <w:sz w:val="24"/>
          <w:szCs w:val="24"/>
        </w:rPr>
        <w:t xml:space="preserve">Zaključno, predmetno </w:t>
      </w:r>
      <w:r w:rsidRPr="007E48D5">
        <w:rPr>
          <w:rStyle w:val="SubtitleChar"/>
          <w:rFonts w:asciiTheme="minorHAnsi" w:hAnsiTheme="minorHAnsi"/>
          <w:i w:val="0"/>
        </w:rPr>
        <w:t xml:space="preserve">tržište </w:t>
      </w:r>
      <w:r w:rsidR="009852C3" w:rsidRPr="007E48D5">
        <w:rPr>
          <w:rStyle w:val="SubtitleChar"/>
          <w:rFonts w:asciiTheme="minorHAnsi" w:hAnsiTheme="minorHAnsi"/>
          <w:i w:val="0"/>
        </w:rPr>
        <w:t xml:space="preserve">veleprodajnog </w:t>
      </w:r>
      <w:r w:rsidRPr="007E48D5">
        <w:rPr>
          <w:rStyle w:val="SubtitleChar"/>
          <w:rFonts w:asciiTheme="minorHAnsi" w:hAnsiTheme="minorHAnsi"/>
          <w:i w:val="0"/>
        </w:rPr>
        <w:t>završavanja glasovnih poziva u vlastitoj mobilnoj mreži</w:t>
      </w:r>
      <w:r w:rsidRPr="007E48D5">
        <w:rPr>
          <w:rFonts w:eastAsia="Times New Roman" w:cstheme="minorHAnsi"/>
          <w:b/>
          <w:i/>
          <w:sz w:val="24"/>
          <w:szCs w:val="24"/>
        </w:rPr>
        <w:t xml:space="preserve"> </w:t>
      </w:r>
      <w:r w:rsidRPr="007E48D5">
        <w:rPr>
          <w:rFonts w:eastAsia="Times New Roman" w:cstheme="minorHAnsi"/>
          <w:sz w:val="24"/>
          <w:szCs w:val="24"/>
        </w:rPr>
        <w:t>navedeno je u mjerodavnoj Preporuci</w:t>
      </w:r>
      <w:r w:rsidRPr="007E48D5">
        <w:rPr>
          <w:rStyle w:val="FootnoteReference"/>
          <w:rFonts w:eastAsia="Times New Roman" w:cstheme="minorHAnsi"/>
          <w:sz w:val="24"/>
          <w:szCs w:val="24"/>
        </w:rPr>
        <w:footnoteReference w:id="9"/>
      </w:r>
      <w:r w:rsidRPr="007E48D5">
        <w:rPr>
          <w:rFonts w:eastAsia="Times New Roman" w:cstheme="minorHAnsi"/>
          <w:sz w:val="24"/>
          <w:szCs w:val="24"/>
        </w:rPr>
        <w:t xml:space="preserve"> stoga je HAKOM </w:t>
      </w:r>
      <w:r w:rsidR="00B369EA" w:rsidRPr="007E48D5">
        <w:rPr>
          <w:rFonts w:eastAsia="Times New Roman" w:cstheme="minorHAnsi"/>
          <w:sz w:val="24"/>
          <w:szCs w:val="24"/>
        </w:rPr>
        <w:t>u</w:t>
      </w:r>
      <w:r w:rsidRPr="001808D2">
        <w:rPr>
          <w:rFonts w:eastAsia="Times New Roman" w:cstheme="minorHAnsi"/>
          <w:sz w:val="24"/>
          <w:szCs w:val="24"/>
        </w:rPr>
        <w:t xml:space="preserve"> mogućnosti isto </w:t>
      </w:r>
      <w:r w:rsidRPr="00CE6822">
        <w:rPr>
          <w:rFonts w:eastAsia="Times New Roman" w:cstheme="minorHAnsi"/>
          <w:sz w:val="24"/>
          <w:szCs w:val="24"/>
        </w:rPr>
        <w:t>prethodno regulirati</w:t>
      </w:r>
      <w:r w:rsidRPr="001808D2">
        <w:rPr>
          <w:rFonts w:eastAsia="Times New Roman" w:cstheme="minorHAnsi"/>
          <w:sz w:val="24"/>
          <w:szCs w:val="24"/>
        </w:rPr>
        <w:t>, a samim time i utvrditi bez dokazivanja da su istodobno zadovoljena tri mjerila navedena u članku 53. stavku 2. ZEK-a.</w:t>
      </w:r>
    </w:p>
    <w:p w:rsidR="000E4ECF" w:rsidRPr="00527B5D" w:rsidRDefault="000E4ECF" w:rsidP="00083A62">
      <w:pPr>
        <w:pStyle w:val="Heading2"/>
      </w:pPr>
      <w:bookmarkStart w:id="5" w:name="_Toc525816332"/>
      <w:r w:rsidRPr="00527B5D">
        <w:lastRenderedPageBreak/>
        <w:t>Odnos prema drugim zakonima</w:t>
      </w:r>
      <w:bookmarkEnd w:id="5"/>
    </w:p>
    <w:p w:rsidR="004841DB" w:rsidRDefault="004841DB" w:rsidP="0043382D">
      <w:pPr>
        <w:spacing w:after="0" w:line="240" w:lineRule="auto"/>
        <w:jc w:val="both"/>
        <w:rPr>
          <w:rFonts w:cstheme="minorHAnsi"/>
          <w:sz w:val="24"/>
          <w:szCs w:val="24"/>
          <w:lang w:eastAsia="hr-HR"/>
        </w:rPr>
      </w:pPr>
      <w:r w:rsidRPr="00527B5D">
        <w:rPr>
          <w:rFonts w:cstheme="minorHAnsi"/>
          <w:sz w:val="24"/>
          <w:szCs w:val="24"/>
          <w:lang w:eastAsia="hr-HR"/>
        </w:rPr>
        <w:t>Sukladno članku 6. stavku 4. ZEK-a, HAKOM, između ostalih, osobito surađuje s AZTN-om. AZTN je pravna osoba s javnim ovlastima koja samostalno i neovisno obavlja poslove u okviru djelokruga i nadležnosti određenih Zakonom o zaštiti tržišnog natjecanja</w:t>
      </w:r>
      <w:r w:rsidRPr="00527B5D">
        <w:rPr>
          <w:rStyle w:val="FootnoteReference"/>
          <w:rFonts w:cstheme="minorHAnsi"/>
          <w:sz w:val="24"/>
          <w:szCs w:val="24"/>
          <w:lang w:eastAsia="hr-HR"/>
        </w:rPr>
        <w:footnoteReference w:id="10"/>
      </w:r>
      <w:r w:rsidRPr="00527B5D">
        <w:rPr>
          <w:rFonts w:cstheme="minorHAnsi"/>
          <w:sz w:val="24"/>
          <w:szCs w:val="24"/>
          <w:lang w:eastAsia="hr-HR"/>
        </w:rPr>
        <w:t xml:space="preserve"> za što odgovara Hrvatskom saboru.</w:t>
      </w:r>
    </w:p>
    <w:p w:rsidR="0043382D" w:rsidRPr="00527B5D" w:rsidRDefault="0043382D" w:rsidP="0043382D">
      <w:pPr>
        <w:spacing w:after="0" w:line="240" w:lineRule="auto"/>
        <w:jc w:val="both"/>
        <w:rPr>
          <w:rFonts w:cstheme="minorHAnsi"/>
          <w:sz w:val="24"/>
          <w:szCs w:val="24"/>
          <w:lang w:eastAsia="hr-HR"/>
        </w:rPr>
      </w:pPr>
    </w:p>
    <w:p w:rsidR="00A81DEE" w:rsidRDefault="00AF69EB" w:rsidP="0015566D">
      <w:pPr>
        <w:spacing w:after="0" w:line="240" w:lineRule="auto"/>
        <w:jc w:val="both"/>
        <w:rPr>
          <w:rFonts w:asciiTheme="majorHAnsi" w:eastAsiaTheme="majorEastAsia" w:hAnsiTheme="majorHAnsi" w:cstheme="majorBidi"/>
          <w:b/>
          <w:bCs/>
          <w:color w:val="4F81BD" w:themeColor="accent1"/>
          <w:sz w:val="26"/>
          <w:szCs w:val="26"/>
        </w:rPr>
      </w:pPr>
      <w:r>
        <w:rPr>
          <w:rFonts w:cstheme="minorHAnsi"/>
          <w:sz w:val="24"/>
          <w:szCs w:val="24"/>
          <w:lang w:eastAsia="hr-HR"/>
        </w:rPr>
        <w:t>Zakonska je mogućnost</w:t>
      </w:r>
      <w:r w:rsidR="00236D57">
        <w:rPr>
          <w:rFonts w:cstheme="minorHAnsi"/>
          <w:sz w:val="24"/>
          <w:szCs w:val="24"/>
          <w:lang w:eastAsia="hr-HR"/>
        </w:rPr>
        <w:t xml:space="preserve"> </w:t>
      </w:r>
      <w:r w:rsidR="004841DB" w:rsidRPr="00527B5D">
        <w:rPr>
          <w:rFonts w:cstheme="minorHAnsi"/>
          <w:sz w:val="24"/>
          <w:szCs w:val="24"/>
          <w:lang w:eastAsia="hr-HR"/>
        </w:rPr>
        <w:t xml:space="preserve">HAKOM-a u postupku analize tržišta, a sukladno članku 54. stavku 5. ZEK-a, zatražiti mišljenje AZTN-a na prijedlog odluke o određivanju mjerodavnog tržišta i procjene postojanja jednog ili više operatora sa značajnom tržišnom snagom. U okviru suradnje s AZTN-om, HAKOM od AZTN-a </w:t>
      </w:r>
      <w:r w:rsidR="00784D5B">
        <w:rPr>
          <w:rFonts w:cstheme="minorHAnsi"/>
          <w:sz w:val="24"/>
          <w:szCs w:val="24"/>
          <w:lang w:eastAsia="hr-HR"/>
        </w:rPr>
        <w:t>traži</w:t>
      </w:r>
      <w:r w:rsidR="00236D57">
        <w:rPr>
          <w:rFonts w:cstheme="minorHAnsi"/>
          <w:sz w:val="24"/>
          <w:szCs w:val="24"/>
          <w:lang w:eastAsia="hr-HR"/>
        </w:rPr>
        <w:t xml:space="preserve"> </w:t>
      </w:r>
      <w:r w:rsidR="004841DB" w:rsidRPr="00527B5D">
        <w:rPr>
          <w:rFonts w:cstheme="minorHAnsi"/>
          <w:sz w:val="24"/>
          <w:szCs w:val="24"/>
          <w:lang w:eastAsia="hr-HR"/>
        </w:rPr>
        <w:t>mišljenje ili predlaže pokretanje postupka pred AZTN-om u svim slučajevima sprečavanja, ograničavanja ili narušavanja tržišnog natjecanja, u skladu s posebnim zakonom kojim je uređena zaštita tržišnog natjecanja.</w:t>
      </w:r>
    </w:p>
    <w:p w:rsidR="00F55F0E" w:rsidRPr="00F55F0E" w:rsidRDefault="00B00BD0" w:rsidP="00F55F0E">
      <w:pPr>
        <w:keepNext/>
        <w:keepLines/>
        <w:numPr>
          <w:ilvl w:val="1"/>
          <w:numId w:val="1"/>
        </w:numPr>
        <w:spacing w:before="200" w:after="240" w:line="240" w:lineRule="auto"/>
        <w:ind w:left="576"/>
        <w:jc w:val="both"/>
        <w:outlineLvl w:val="1"/>
        <w:rPr>
          <w:rFonts w:asciiTheme="majorHAnsi" w:eastAsiaTheme="majorEastAsia" w:hAnsiTheme="majorHAnsi" w:cstheme="majorBidi"/>
          <w:b/>
          <w:bCs/>
          <w:color w:val="4F81BD" w:themeColor="accent1"/>
          <w:sz w:val="26"/>
          <w:szCs w:val="26"/>
        </w:rPr>
      </w:pPr>
      <w:bookmarkStart w:id="6" w:name="_Toc525816333"/>
      <w:r>
        <w:rPr>
          <w:rFonts w:asciiTheme="majorHAnsi" w:eastAsiaTheme="majorEastAsia" w:hAnsiTheme="majorHAnsi" w:cstheme="majorBidi"/>
          <w:b/>
          <w:bCs/>
          <w:color w:val="4F81BD" w:themeColor="accent1"/>
          <w:sz w:val="26"/>
          <w:szCs w:val="26"/>
        </w:rPr>
        <w:t xml:space="preserve">Osvrt na </w:t>
      </w:r>
      <w:r w:rsidR="00F55F0E" w:rsidRPr="00F55F0E">
        <w:rPr>
          <w:rFonts w:asciiTheme="majorHAnsi" w:eastAsiaTheme="majorEastAsia" w:hAnsiTheme="majorHAnsi" w:cstheme="majorBidi"/>
          <w:b/>
          <w:bCs/>
          <w:color w:val="4F81BD" w:themeColor="accent1"/>
          <w:sz w:val="26"/>
          <w:szCs w:val="26"/>
        </w:rPr>
        <w:t>odluku o analizi tržišta veleprodajnog završavanja glasovnih poziva u vlastitoj mobilnoj mreži i s njom povezane odluke</w:t>
      </w:r>
      <w:bookmarkEnd w:id="6"/>
    </w:p>
    <w:p w:rsidR="00C9665C" w:rsidRDefault="00970CFB" w:rsidP="00970CFB">
      <w:pPr>
        <w:spacing w:after="0" w:line="240" w:lineRule="auto"/>
        <w:jc w:val="both"/>
        <w:rPr>
          <w:sz w:val="24"/>
          <w:szCs w:val="24"/>
        </w:rPr>
      </w:pPr>
      <w:r w:rsidRPr="00F55F0E">
        <w:rPr>
          <w:sz w:val="24"/>
          <w:szCs w:val="24"/>
        </w:rPr>
        <w:t xml:space="preserve">U ožujku 2015. HAKOM je donio </w:t>
      </w:r>
      <w:hyperlink r:id="rId14" w:history="1">
        <w:r w:rsidRPr="00722A74">
          <w:rPr>
            <w:rStyle w:val="Hyperlink"/>
            <w:sz w:val="24"/>
            <w:szCs w:val="24"/>
          </w:rPr>
          <w:t>odluku</w:t>
        </w:r>
      </w:hyperlink>
      <w:r w:rsidRPr="00F55F0E">
        <w:rPr>
          <w:sz w:val="24"/>
          <w:szCs w:val="24"/>
        </w:rPr>
        <w:t xml:space="preserve"> u postupku analize tržišta</w:t>
      </w:r>
      <w:r w:rsidRPr="00F55F0E">
        <w:rPr>
          <w:sz w:val="24"/>
          <w:szCs w:val="24"/>
          <w:vertAlign w:val="superscript"/>
        </w:rPr>
        <w:footnoteReference w:id="11"/>
      </w:r>
      <w:r w:rsidRPr="00F55F0E">
        <w:rPr>
          <w:sz w:val="24"/>
          <w:szCs w:val="24"/>
        </w:rPr>
        <w:t xml:space="preserve"> te u skladu s navedenim odredio dimenziju usluga i zemljopisnu dimenziju mjerodavnog tržišta završavanja glasovnih poziva u određenu pokretnu javnu komunikacijsku mrežu.</w:t>
      </w:r>
      <w:r w:rsidR="00C9665C">
        <w:rPr>
          <w:sz w:val="24"/>
          <w:szCs w:val="24"/>
        </w:rPr>
        <w:t xml:space="preserve"> </w:t>
      </w:r>
      <w:r w:rsidRPr="00F55F0E">
        <w:rPr>
          <w:sz w:val="24"/>
          <w:szCs w:val="24"/>
        </w:rPr>
        <w:t xml:space="preserve">Nakon što je odredio mjerodavno tržište, HAKOM je, na temelju mjerila potrebnih za procjenu operatora sa značajnom tržišnom snagom iz članka 55. stavka 3. ZEK-a, odredio HT, Vipnet i Tele2 operatorima sa značajnom tržišnom snagom te istima </w:t>
      </w:r>
      <w:r w:rsidRPr="00F55F0E">
        <w:rPr>
          <w:sz w:val="24"/>
          <w:szCs w:val="24"/>
        </w:rPr>
        <w:lastRenderedPageBreak/>
        <w:t xml:space="preserve">odredio regulatorne obveze na temelju utvrđenih nedostataka na tržištu. Prethodno </w:t>
      </w:r>
      <w:r w:rsidR="00C9665C">
        <w:rPr>
          <w:sz w:val="24"/>
          <w:szCs w:val="24"/>
        </w:rPr>
        <w:t>navedeno</w:t>
      </w:r>
      <w:r w:rsidR="00C9665C" w:rsidRPr="00F55F0E">
        <w:rPr>
          <w:sz w:val="24"/>
          <w:szCs w:val="24"/>
        </w:rPr>
        <w:t xml:space="preserve"> </w:t>
      </w:r>
      <w:r w:rsidRPr="00F55F0E">
        <w:rPr>
          <w:sz w:val="24"/>
          <w:szCs w:val="24"/>
        </w:rPr>
        <w:t xml:space="preserve">je detaljno obrazloženo u dokumentu </w:t>
      </w:r>
      <w:hyperlink r:id="rId15" w:history="1">
        <w:r w:rsidRPr="00722A74">
          <w:rPr>
            <w:rStyle w:val="Hyperlink"/>
            <w:sz w:val="24"/>
            <w:szCs w:val="24"/>
          </w:rPr>
          <w:t>„</w:t>
        </w:r>
        <w:r w:rsidR="00BE5C94">
          <w:rPr>
            <w:rStyle w:val="Hyperlink"/>
            <w:sz w:val="24"/>
            <w:szCs w:val="24"/>
          </w:rPr>
          <w:t>T</w:t>
        </w:r>
        <w:r w:rsidRPr="00722A74">
          <w:rPr>
            <w:rStyle w:val="Hyperlink"/>
            <w:sz w:val="24"/>
            <w:szCs w:val="24"/>
          </w:rPr>
          <w:t>ržišt</w:t>
        </w:r>
        <w:r w:rsidR="00BE5C94">
          <w:rPr>
            <w:rStyle w:val="Hyperlink"/>
            <w:sz w:val="24"/>
            <w:szCs w:val="24"/>
          </w:rPr>
          <w:t>e</w:t>
        </w:r>
        <w:r w:rsidRPr="00722A74">
          <w:rPr>
            <w:rStyle w:val="Hyperlink"/>
            <w:sz w:val="24"/>
            <w:szCs w:val="24"/>
          </w:rPr>
          <w:t xml:space="preserve"> veleprodajnog završavanja glasovnih poziva u vlastitoj mobilnoj mreži“</w:t>
        </w:r>
      </w:hyperlink>
      <w:r w:rsidRPr="00F55F0E">
        <w:rPr>
          <w:sz w:val="24"/>
          <w:szCs w:val="24"/>
        </w:rPr>
        <w:t xml:space="preserve">. </w:t>
      </w:r>
    </w:p>
    <w:p w:rsidR="00C9665C" w:rsidRDefault="00C9665C" w:rsidP="00970CFB">
      <w:pPr>
        <w:spacing w:after="0" w:line="240" w:lineRule="auto"/>
        <w:jc w:val="both"/>
        <w:rPr>
          <w:sz w:val="24"/>
          <w:szCs w:val="24"/>
        </w:rPr>
      </w:pPr>
    </w:p>
    <w:p w:rsidR="00970CFB" w:rsidRPr="00F55F0E" w:rsidRDefault="00970CFB" w:rsidP="00970CFB">
      <w:pPr>
        <w:spacing w:after="0" w:line="240" w:lineRule="auto"/>
        <w:jc w:val="both"/>
        <w:rPr>
          <w:sz w:val="24"/>
          <w:szCs w:val="24"/>
        </w:rPr>
      </w:pPr>
      <w:r w:rsidRPr="00F55F0E">
        <w:rPr>
          <w:sz w:val="24"/>
          <w:szCs w:val="24"/>
        </w:rPr>
        <w:t>Navedenom analizom HAKOM je uveo segmentiranu regulatornu obvezu nadzora cijena termina</w:t>
      </w:r>
      <w:r w:rsidR="00C9665C">
        <w:rPr>
          <w:sz w:val="24"/>
          <w:szCs w:val="24"/>
        </w:rPr>
        <w:t>cije ovisno o A broju</w:t>
      </w:r>
      <w:r w:rsidR="00086230">
        <w:rPr>
          <w:sz w:val="24"/>
          <w:szCs w:val="24"/>
        </w:rPr>
        <w:t>, i to na način</w:t>
      </w:r>
      <w:r w:rsidR="00C9665C">
        <w:rPr>
          <w:sz w:val="24"/>
          <w:szCs w:val="24"/>
        </w:rPr>
        <w:t xml:space="preserve"> </w:t>
      </w:r>
      <w:r w:rsidR="0015566D">
        <w:rPr>
          <w:sz w:val="24"/>
          <w:szCs w:val="24"/>
        </w:rPr>
        <w:t xml:space="preserve">da </w:t>
      </w:r>
      <w:r w:rsidR="00086230">
        <w:rPr>
          <w:sz w:val="24"/>
          <w:szCs w:val="24"/>
        </w:rPr>
        <w:t>se</w:t>
      </w:r>
      <w:r w:rsidRPr="00F55F0E">
        <w:rPr>
          <w:sz w:val="24"/>
          <w:szCs w:val="24"/>
        </w:rPr>
        <w:t xml:space="preserve"> obveza nadzora cijena </w:t>
      </w:r>
      <w:r w:rsidR="00086230">
        <w:rPr>
          <w:sz w:val="24"/>
          <w:szCs w:val="24"/>
        </w:rPr>
        <w:t>primjenjuje</w:t>
      </w:r>
      <w:r w:rsidRPr="00F55F0E">
        <w:rPr>
          <w:sz w:val="24"/>
          <w:szCs w:val="24"/>
        </w:rPr>
        <w:t xml:space="preserve"> samo za uslugu završavanja poziva </w:t>
      </w:r>
      <w:r w:rsidR="00086230">
        <w:rPr>
          <w:sz w:val="24"/>
          <w:szCs w:val="24"/>
        </w:rPr>
        <w:t>započetih</w:t>
      </w:r>
      <w:r w:rsidRPr="00F55F0E">
        <w:rPr>
          <w:sz w:val="24"/>
          <w:szCs w:val="24"/>
        </w:rPr>
        <w:t xml:space="preserve"> s A brojeva koji pripadaju nekom od nacionalnih ili EEA operatora</w:t>
      </w:r>
      <w:r w:rsidR="00086230">
        <w:rPr>
          <w:sz w:val="24"/>
          <w:szCs w:val="24"/>
        </w:rPr>
        <w:t>,</w:t>
      </w:r>
      <w:r w:rsidRPr="00F55F0E">
        <w:rPr>
          <w:sz w:val="24"/>
          <w:szCs w:val="24"/>
        </w:rPr>
        <w:t xml:space="preserve"> neovisno o mreži u kojoj je poziv započeo</w:t>
      </w:r>
      <w:r w:rsidR="00086230">
        <w:rPr>
          <w:rStyle w:val="FootnoteReference"/>
          <w:sz w:val="24"/>
          <w:szCs w:val="24"/>
        </w:rPr>
        <w:footnoteReference w:id="12"/>
      </w:r>
      <w:r w:rsidR="00086230">
        <w:rPr>
          <w:sz w:val="24"/>
          <w:szCs w:val="24"/>
        </w:rPr>
        <w:t>.</w:t>
      </w:r>
      <w:r w:rsidRPr="00F55F0E">
        <w:rPr>
          <w:sz w:val="24"/>
          <w:szCs w:val="24"/>
        </w:rPr>
        <w:t xml:space="preserve"> Istovremeno, cijene terminacije za uslugu završavanja poziva započetih s A broje</w:t>
      </w:r>
      <w:r w:rsidR="00B00BD0">
        <w:rPr>
          <w:sz w:val="24"/>
          <w:szCs w:val="24"/>
        </w:rPr>
        <w:t xml:space="preserve">va koji pripadaju nekom od </w:t>
      </w:r>
      <w:r w:rsidR="00086230" w:rsidRPr="00F55F0E">
        <w:rPr>
          <w:sz w:val="24"/>
          <w:szCs w:val="24"/>
        </w:rPr>
        <w:t>operatora</w:t>
      </w:r>
      <w:r w:rsidR="00086230">
        <w:rPr>
          <w:sz w:val="24"/>
          <w:szCs w:val="24"/>
        </w:rPr>
        <w:t xml:space="preserve"> izvan </w:t>
      </w:r>
      <w:r w:rsidRPr="00F55F0E">
        <w:rPr>
          <w:sz w:val="24"/>
          <w:szCs w:val="24"/>
        </w:rPr>
        <w:t xml:space="preserve">EEA </w:t>
      </w:r>
      <w:r w:rsidR="00086230">
        <w:rPr>
          <w:sz w:val="24"/>
          <w:szCs w:val="24"/>
        </w:rPr>
        <w:t xml:space="preserve">područja, </w:t>
      </w:r>
      <w:r w:rsidRPr="00F55F0E">
        <w:rPr>
          <w:sz w:val="24"/>
          <w:szCs w:val="24"/>
        </w:rPr>
        <w:t>neovisno o mreži u kojoj je poziv započeo</w:t>
      </w:r>
      <w:r w:rsidR="00086230">
        <w:rPr>
          <w:sz w:val="24"/>
          <w:szCs w:val="24"/>
        </w:rPr>
        <w:t>,</w:t>
      </w:r>
      <w:r w:rsidRPr="00F55F0E">
        <w:rPr>
          <w:sz w:val="24"/>
          <w:szCs w:val="24"/>
        </w:rPr>
        <w:t xml:space="preserve"> određuju se na komercijalnoj osnovi. </w:t>
      </w:r>
    </w:p>
    <w:p w:rsidR="00970CFB" w:rsidRPr="00F55F0E" w:rsidRDefault="00970CFB" w:rsidP="00970CFB">
      <w:pPr>
        <w:spacing w:after="0" w:line="240" w:lineRule="auto"/>
        <w:jc w:val="both"/>
        <w:rPr>
          <w:sz w:val="24"/>
          <w:szCs w:val="24"/>
        </w:rPr>
      </w:pPr>
    </w:p>
    <w:p w:rsidR="00970CFB" w:rsidRPr="00F55F0E" w:rsidRDefault="00970CFB" w:rsidP="00970CFB">
      <w:pPr>
        <w:spacing w:after="0" w:line="240" w:lineRule="auto"/>
        <w:jc w:val="both"/>
        <w:rPr>
          <w:sz w:val="24"/>
          <w:szCs w:val="24"/>
        </w:rPr>
      </w:pPr>
      <w:r w:rsidRPr="00F55F0E">
        <w:rPr>
          <w:sz w:val="24"/>
          <w:szCs w:val="24"/>
        </w:rPr>
        <w:t xml:space="preserve">U rujnu 2016. HAKOM je donio </w:t>
      </w:r>
      <w:hyperlink r:id="rId16" w:history="1">
        <w:r w:rsidRPr="00722A74">
          <w:rPr>
            <w:rStyle w:val="Hyperlink"/>
            <w:sz w:val="24"/>
            <w:szCs w:val="24"/>
          </w:rPr>
          <w:t>odluku</w:t>
        </w:r>
      </w:hyperlink>
      <w:r w:rsidRPr="00F55F0E">
        <w:rPr>
          <w:sz w:val="24"/>
          <w:szCs w:val="24"/>
          <w:vertAlign w:val="superscript"/>
        </w:rPr>
        <w:footnoteReference w:id="13"/>
      </w:r>
      <w:r w:rsidRPr="00F55F0E">
        <w:rPr>
          <w:sz w:val="24"/>
          <w:szCs w:val="24"/>
        </w:rPr>
        <w:t xml:space="preserve"> kojom su propisane nove cijene veleprodajnog završavanja glasovnih poziva u mobilnoj mreži operatora </w:t>
      </w:r>
      <w:r w:rsidR="005622FB">
        <w:rPr>
          <w:sz w:val="24"/>
          <w:szCs w:val="24"/>
        </w:rPr>
        <w:t>HT</w:t>
      </w:r>
      <w:r w:rsidRPr="00F55F0E">
        <w:rPr>
          <w:sz w:val="24"/>
          <w:szCs w:val="24"/>
        </w:rPr>
        <w:t>, V</w:t>
      </w:r>
      <w:r w:rsidR="005622FB">
        <w:rPr>
          <w:sz w:val="24"/>
          <w:szCs w:val="24"/>
        </w:rPr>
        <w:t>ip</w:t>
      </w:r>
      <w:r w:rsidRPr="00F55F0E">
        <w:rPr>
          <w:sz w:val="24"/>
          <w:szCs w:val="24"/>
        </w:rPr>
        <w:t>net i Tele2</w:t>
      </w:r>
      <w:r w:rsidR="005622FB">
        <w:rPr>
          <w:sz w:val="24"/>
          <w:szCs w:val="24"/>
        </w:rPr>
        <w:t>. Navedene cijene</w:t>
      </w:r>
      <w:r w:rsidRPr="00F55F0E">
        <w:rPr>
          <w:sz w:val="24"/>
          <w:szCs w:val="24"/>
        </w:rPr>
        <w:t xml:space="preserve"> su izračunate na temelju </w:t>
      </w:r>
      <w:r w:rsidRPr="0015566D">
        <w:rPr>
          <w:i/>
          <w:sz w:val="24"/>
          <w:szCs w:val="24"/>
        </w:rPr>
        <w:t>bottom-up</w:t>
      </w:r>
      <w:r w:rsidRPr="00F55F0E">
        <w:rPr>
          <w:sz w:val="24"/>
          <w:szCs w:val="24"/>
        </w:rPr>
        <w:t xml:space="preserve"> troškovnog modela uz primjenu pure LRIC pristupa</w:t>
      </w:r>
      <w:r w:rsidR="005622FB">
        <w:rPr>
          <w:sz w:val="24"/>
          <w:szCs w:val="24"/>
        </w:rPr>
        <w:t>, i to</w:t>
      </w:r>
      <w:r w:rsidRPr="00F55F0E">
        <w:rPr>
          <w:sz w:val="24"/>
          <w:szCs w:val="24"/>
        </w:rPr>
        <w:t xml:space="preserve"> u iznosu od 4,70 lipa/min</w:t>
      </w:r>
      <w:r w:rsidR="005622FB">
        <w:rPr>
          <w:sz w:val="24"/>
          <w:szCs w:val="24"/>
        </w:rPr>
        <w:t xml:space="preserve">uta. Cijene se </w:t>
      </w:r>
      <w:r w:rsidRPr="00F55F0E">
        <w:rPr>
          <w:sz w:val="24"/>
          <w:szCs w:val="24"/>
        </w:rPr>
        <w:t>primjen</w:t>
      </w:r>
      <w:r w:rsidR="005622FB">
        <w:rPr>
          <w:sz w:val="24"/>
          <w:szCs w:val="24"/>
        </w:rPr>
        <w:t>juju od 1. srpnja 2017., a ostaju na snazi do donošenja nove odluke o cijenama.</w:t>
      </w:r>
    </w:p>
    <w:p w:rsidR="00970CFB" w:rsidRPr="00F55F0E" w:rsidRDefault="00970CFB" w:rsidP="00970CFB">
      <w:pPr>
        <w:spacing w:after="0" w:line="240" w:lineRule="auto"/>
        <w:jc w:val="both"/>
        <w:rPr>
          <w:sz w:val="24"/>
          <w:szCs w:val="24"/>
        </w:rPr>
      </w:pPr>
    </w:p>
    <w:p w:rsidR="00970CFB" w:rsidRDefault="00970CFB" w:rsidP="00970CFB">
      <w:pPr>
        <w:spacing w:after="0" w:line="240" w:lineRule="auto"/>
        <w:jc w:val="both"/>
        <w:rPr>
          <w:sz w:val="24"/>
          <w:szCs w:val="24"/>
        </w:rPr>
      </w:pPr>
      <w:r w:rsidRPr="00F55F0E">
        <w:rPr>
          <w:sz w:val="24"/>
          <w:szCs w:val="24"/>
        </w:rPr>
        <w:lastRenderedPageBreak/>
        <w:t xml:space="preserve">U studenom 2017. HAKOM je donio </w:t>
      </w:r>
      <w:hyperlink r:id="rId17" w:history="1">
        <w:r w:rsidRPr="00F16A88">
          <w:rPr>
            <w:rStyle w:val="Hyperlink"/>
            <w:sz w:val="24"/>
            <w:szCs w:val="24"/>
          </w:rPr>
          <w:t>odluku</w:t>
        </w:r>
      </w:hyperlink>
      <w:r w:rsidRPr="00F55F0E">
        <w:rPr>
          <w:sz w:val="24"/>
          <w:szCs w:val="24"/>
          <w:vertAlign w:val="superscript"/>
        </w:rPr>
        <w:footnoteReference w:id="14"/>
      </w:r>
      <w:r w:rsidRPr="00F55F0E">
        <w:rPr>
          <w:sz w:val="24"/>
          <w:szCs w:val="24"/>
        </w:rPr>
        <w:t xml:space="preserve"> o izmjeni Analize tržišta veleprodajnog završavanja glasovnih poziva u vlastitoj mobilnoj mreži kojom je operatorima sa značajnom tržišnom snagom na</w:t>
      </w:r>
      <w:r w:rsidR="00B00BD0">
        <w:rPr>
          <w:sz w:val="24"/>
          <w:szCs w:val="24"/>
        </w:rPr>
        <w:t xml:space="preserve"> ovom</w:t>
      </w:r>
      <w:r w:rsidRPr="00F55F0E">
        <w:rPr>
          <w:sz w:val="24"/>
          <w:szCs w:val="24"/>
        </w:rPr>
        <w:t xml:space="preserve"> mjerodavnom tržištu propisao obvezu omogućavanja IP međupovezivanja od 1.</w:t>
      </w:r>
      <w:r>
        <w:rPr>
          <w:sz w:val="24"/>
          <w:szCs w:val="24"/>
        </w:rPr>
        <w:t xml:space="preserve"> siječnja</w:t>
      </w:r>
      <w:r w:rsidRPr="00F55F0E">
        <w:rPr>
          <w:sz w:val="24"/>
          <w:szCs w:val="24"/>
        </w:rPr>
        <w:t xml:space="preserve"> 2018. Detaljni uvjeti IP međupovezivanja s pokretnim mrežama u Republici Hrvatskoj propisani su </w:t>
      </w:r>
      <w:hyperlink r:id="rId18" w:history="1">
        <w:r w:rsidRPr="00F16A88">
          <w:rPr>
            <w:rStyle w:val="Hyperlink"/>
            <w:sz w:val="24"/>
            <w:szCs w:val="24"/>
          </w:rPr>
          <w:t>odlukom</w:t>
        </w:r>
      </w:hyperlink>
      <w:r w:rsidRPr="00F55F0E">
        <w:rPr>
          <w:sz w:val="24"/>
          <w:szCs w:val="24"/>
          <w:vertAlign w:val="superscript"/>
        </w:rPr>
        <w:footnoteReference w:id="15"/>
      </w:r>
      <w:r w:rsidRPr="00F55F0E">
        <w:rPr>
          <w:sz w:val="24"/>
          <w:szCs w:val="24"/>
        </w:rPr>
        <w:t xml:space="preserve"> </w:t>
      </w:r>
      <w:r w:rsidR="00B00BD0" w:rsidRPr="00F55F0E">
        <w:rPr>
          <w:sz w:val="24"/>
          <w:szCs w:val="24"/>
        </w:rPr>
        <w:t>iz veljače 2018</w:t>
      </w:r>
      <w:r w:rsidR="0015566D">
        <w:rPr>
          <w:sz w:val="24"/>
          <w:szCs w:val="24"/>
        </w:rPr>
        <w:t>.</w:t>
      </w:r>
      <w:r w:rsidR="00B00BD0">
        <w:rPr>
          <w:sz w:val="24"/>
          <w:szCs w:val="24"/>
        </w:rPr>
        <w:t xml:space="preserve"> </w:t>
      </w:r>
      <w:r w:rsidRPr="00F55F0E">
        <w:rPr>
          <w:sz w:val="24"/>
          <w:szCs w:val="24"/>
        </w:rPr>
        <w:t xml:space="preserve">i </w:t>
      </w:r>
      <w:r w:rsidR="00B00BD0">
        <w:rPr>
          <w:sz w:val="24"/>
          <w:szCs w:val="24"/>
        </w:rPr>
        <w:t xml:space="preserve">pripadajućim </w:t>
      </w:r>
      <w:r w:rsidRPr="00F55F0E">
        <w:rPr>
          <w:sz w:val="24"/>
          <w:szCs w:val="24"/>
        </w:rPr>
        <w:t xml:space="preserve">Dokumentom o uvjetima IP međupovezivanja. </w:t>
      </w:r>
    </w:p>
    <w:p w:rsidR="00704FB1" w:rsidRDefault="00704FB1" w:rsidP="00970CFB">
      <w:pPr>
        <w:spacing w:after="0" w:line="240" w:lineRule="auto"/>
        <w:jc w:val="both"/>
        <w:rPr>
          <w:sz w:val="24"/>
          <w:szCs w:val="24"/>
        </w:rPr>
      </w:pPr>
    </w:p>
    <w:p w:rsidR="00704FB1" w:rsidRPr="00F55F0E" w:rsidRDefault="00106E71" w:rsidP="00970CFB">
      <w:pPr>
        <w:spacing w:after="0" w:line="240" w:lineRule="auto"/>
        <w:jc w:val="both"/>
        <w:rPr>
          <w:sz w:val="24"/>
          <w:szCs w:val="24"/>
        </w:rPr>
      </w:pPr>
      <w:r w:rsidRPr="00086230">
        <w:rPr>
          <w:sz w:val="24"/>
          <w:szCs w:val="24"/>
        </w:rPr>
        <w:t xml:space="preserve">Nakon implementacije segmentirane regulatorne obveze nadzora cijena terminacije ovisno o A broju, </w:t>
      </w:r>
      <w:r w:rsidR="00882A92" w:rsidRPr="00086230">
        <w:rPr>
          <w:sz w:val="24"/>
          <w:szCs w:val="24"/>
        </w:rPr>
        <w:t>nacionalni operatori</w:t>
      </w:r>
      <w:r w:rsidR="00086230" w:rsidRPr="00086230">
        <w:rPr>
          <w:sz w:val="24"/>
          <w:szCs w:val="24"/>
        </w:rPr>
        <w:t xml:space="preserve"> su </w:t>
      </w:r>
      <w:r w:rsidRPr="00086230">
        <w:rPr>
          <w:sz w:val="24"/>
          <w:szCs w:val="24"/>
        </w:rPr>
        <w:t>cijene završavanja poziva s A brojeva izvan EEA područja odredil</w:t>
      </w:r>
      <w:r w:rsidR="005E03EF" w:rsidRPr="00086230">
        <w:rPr>
          <w:sz w:val="24"/>
          <w:szCs w:val="24"/>
        </w:rPr>
        <w:t xml:space="preserve">i </w:t>
      </w:r>
      <w:r w:rsidRPr="00086230">
        <w:rPr>
          <w:sz w:val="24"/>
          <w:szCs w:val="24"/>
        </w:rPr>
        <w:t>na razini koja je značajno veća od cijene reguliranih poziva</w:t>
      </w:r>
      <w:r w:rsidR="00086230" w:rsidRPr="00086230">
        <w:rPr>
          <w:sz w:val="24"/>
          <w:szCs w:val="24"/>
        </w:rPr>
        <w:t>, kako bi iste uskladili s cijenama koje plaćaju za terminaciju poziva na brojeve izvan EEA područja</w:t>
      </w:r>
      <w:r w:rsidRPr="00086230">
        <w:rPr>
          <w:sz w:val="24"/>
          <w:szCs w:val="24"/>
        </w:rPr>
        <w:t>.</w:t>
      </w:r>
      <w:r w:rsidRPr="005C4332">
        <w:rPr>
          <w:sz w:val="24"/>
          <w:szCs w:val="24"/>
        </w:rPr>
        <w:t xml:space="preserve"> U takvim okolnostima, operatori su u povećanoj mjeri zabilježili ponašanja za koja tvrde da su prijevarna</w:t>
      </w:r>
      <w:r w:rsidR="004E35B2">
        <w:rPr>
          <w:rStyle w:val="FootnoteReference"/>
          <w:sz w:val="24"/>
          <w:szCs w:val="24"/>
        </w:rPr>
        <w:footnoteReference w:id="16"/>
      </w:r>
      <w:r w:rsidR="005E03EF">
        <w:rPr>
          <w:sz w:val="24"/>
          <w:szCs w:val="24"/>
        </w:rPr>
        <w:t>, a s ciljem izbjegavanja plaćanja veće cijene terminacije od regulirane</w:t>
      </w:r>
      <w:r w:rsidRPr="005C4332">
        <w:rPr>
          <w:sz w:val="24"/>
          <w:szCs w:val="24"/>
        </w:rPr>
        <w:t>.</w:t>
      </w:r>
      <w:r w:rsidR="0015566D">
        <w:rPr>
          <w:sz w:val="24"/>
          <w:szCs w:val="24"/>
        </w:rPr>
        <w:t xml:space="preserve"> Pred HAKOM-om</w:t>
      </w:r>
      <w:r w:rsidR="00CA06B5">
        <w:rPr>
          <w:sz w:val="24"/>
          <w:szCs w:val="24"/>
        </w:rPr>
        <w:t xml:space="preserve"> su pokrenuta </w:t>
      </w:r>
      <w:r w:rsidR="004E35B2">
        <w:rPr>
          <w:sz w:val="24"/>
          <w:szCs w:val="24"/>
        </w:rPr>
        <w:t>dva</w:t>
      </w:r>
      <w:r w:rsidR="00CA06B5">
        <w:rPr>
          <w:sz w:val="24"/>
          <w:szCs w:val="24"/>
        </w:rPr>
        <w:t xml:space="preserve"> spora vezano uz uočeno prijevarno ponašanje, od kojih je samo jedan uključivao operatora pokretne mreže.</w:t>
      </w:r>
      <w:r w:rsidRPr="005C4332">
        <w:rPr>
          <w:sz w:val="24"/>
          <w:szCs w:val="24"/>
        </w:rPr>
        <w:t xml:space="preserve"> </w:t>
      </w:r>
      <w:r w:rsidR="004E35B2">
        <w:rPr>
          <w:sz w:val="24"/>
          <w:szCs w:val="24"/>
        </w:rPr>
        <w:t xml:space="preserve">Naime, </w:t>
      </w:r>
      <w:r w:rsidR="00704FB1" w:rsidRPr="00704FB1">
        <w:rPr>
          <w:sz w:val="24"/>
          <w:szCs w:val="24"/>
        </w:rPr>
        <w:t xml:space="preserve">HAKOM </w:t>
      </w:r>
      <w:r w:rsidR="004E35B2">
        <w:rPr>
          <w:sz w:val="24"/>
          <w:szCs w:val="24"/>
        </w:rPr>
        <w:t xml:space="preserve">je </w:t>
      </w:r>
      <w:r w:rsidR="00704FB1" w:rsidRPr="00704FB1">
        <w:rPr>
          <w:sz w:val="24"/>
          <w:szCs w:val="24"/>
        </w:rPr>
        <w:t xml:space="preserve">u svibnju 2018. donio </w:t>
      </w:r>
      <w:hyperlink r:id="rId19" w:history="1">
        <w:r w:rsidR="00B67651">
          <w:rPr>
            <w:rStyle w:val="Hyperlink"/>
            <w:sz w:val="24"/>
            <w:szCs w:val="24"/>
          </w:rPr>
          <w:t>r</w:t>
        </w:r>
        <w:r w:rsidR="00704FB1" w:rsidRPr="00010801">
          <w:rPr>
            <w:rStyle w:val="Hyperlink"/>
            <w:sz w:val="24"/>
            <w:szCs w:val="24"/>
          </w:rPr>
          <w:t>ješenje</w:t>
        </w:r>
      </w:hyperlink>
      <w:r w:rsidR="00704FB1">
        <w:rPr>
          <w:rStyle w:val="FootnoteReference"/>
          <w:sz w:val="24"/>
          <w:szCs w:val="24"/>
        </w:rPr>
        <w:footnoteReference w:id="17"/>
      </w:r>
      <w:r w:rsidR="00704FB1" w:rsidRPr="00704FB1">
        <w:rPr>
          <w:sz w:val="24"/>
          <w:szCs w:val="24"/>
        </w:rPr>
        <w:t xml:space="preserve"> kojim se </w:t>
      </w:r>
      <w:r w:rsidR="00155954" w:rsidRPr="00704FB1">
        <w:rPr>
          <w:sz w:val="24"/>
          <w:szCs w:val="24"/>
        </w:rPr>
        <w:t xml:space="preserve">kao neosnovan </w:t>
      </w:r>
      <w:r w:rsidR="00704FB1" w:rsidRPr="00704FB1">
        <w:rPr>
          <w:sz w:val="24"/>
          <w:szCs w:val="24"/>
        </w:rPr>
        <w:t>odbija zahtjev Terrakom</w:t>
      </w:r>
      <w:r w:rsidR="00155954">
        <w:rPr>
          <w:sz w:val="24"/>
          <w:szCs w:val="24"/>
        </w:rPr>
        <w:t>a</w:t>
      </w:r>
      <w:r w:rsidR="00155954">
        <w:rPr>
          <w:rStyle w:val="FootnoteReference"/>
          <w:sz w:val="24"/>
          <w:szCs w:val="24"/>
        </w:rPr>
        <w:footnoteReference w:id="18"/>
      </w:r>
      <w:r w:rsidR="00704FB1" w:rsidRPr="00704FB1">
        <w:rPr>
          <w:sz w:val="24"/>
          <w:szCs w:val="24"/>
        </w:rPr>
        <w:t xml:space="preserve"> protiv Tele2 vezano uz obračun interkonekcijskog prometa za indirektnu međunarodnu terminaciju za razdoblje</w:t>
      </w:r>
      <w:r w:rsidR="00B00BD0">
        <w:rPr>
          <w:sz w:val="24"/>
          <w:szCs w:val="24"/>
        </w:rPr>
        <w:t xml:space="preserve"> od</w:t>
      </w:r>
      <w:r w:rsidR="00704FB1" w:rsidRPr="00704FB1">
        <w:rPr>
          <w:sz w:val="24"/>
          <w:szCs w:val="24"/>
        </w:rPr>
        <w:t xml:space="preserve"> svib</w:t>
      </w:r>
      <w:r w:rsidR="00B00BD0">
        <w:rPr>
          <w:sz w:val="24"/>
          <w:szCs w:val="24"/>
        </w:rPr>
        <w:t>nja</w:t>
      </w:r>
      <w:r w:rsidR="00704FB1" w:rsidRPr="00704FB1">
        <w:rPr>
          <w:sz w:val="24"/>
          <w:szCs w:val="24"/>
        </w:rPr>
        <w:t xml:space="preserve"> 2017. do ruj</w:t>
      </w:r>
      <w:r w:rsidR="00B00BD0">
        <w:rPr>
          <w:sz w:val="24"/>
          <w:szCs w:val="24"/>
        </w:rPr>
        <w:t>na</w:t>
      </w:r>
      <w:r w:rsidR="00704FB1" w:rsidRPr="00704FB1">
        <w:rPr>
          <w:sz w:val="24"/>
          <w:szCs w:val="24"/>
        </w:rPr>
        <w:t xml:space="preserve"> 2017. U navedenom </w:t>
      </w:r>
      <w:r w:rsidR="00086230">
        <w:rPr>
          <w:sz w:val="24"/>
          <w:szCs w:val="24"/>
        </w:rPr>
        <w:t>zahtjevu</w:t>
      </w:r>
      <w:r w:rsidR="00704FB1" w:rsidRPr="00704FB1">
        <w:rPr>
          <w:sz w:val="24"/>
          <w:szCs w:val="24"/>
        </w:rPr>
        <w:t xml:space="preserve"> Terrakom </w:t>
      </w:r>
      <w:r w:rsidR="00086230">
        <w:rPr>
          <w:sz w:val="24"/>
          <w:szCs w:val="24"/>
        </w:rPr>
        <w:t xml:space="preserve">je </w:t>
      </w:r>
      <w:r w:rsidR="00704FB1" w:rsidRPr="00704FB1">
        <w:rPr>
          <w:sz w:val="24"/>
          <w:szCs w:val="24"/>
        </w:rPr>
        <w:t>smatra</w:t>
      </w:r>
      <w:r w:rsidR="00086230">
        <w:rPr>
          <w:sz w:val="24"/>
          <w:szCs w:val="24"/>
        </w:rPr>
        <w:t>o</w:t>
      </w:r>
      <w:r w:rsidR="00704FB1" w:rsidRPr="00704FB1">
        <w:rPr>
          <w:sz w:val="24"/>
          <w:szCs w:val="24"/>
        </w:rPr>
        <w:t xml:space="preserve"> kako je Tele2 sporni promet pogrešno obračunavao prema cijenama za promet</w:t>
      </w:r>
      <w:r w:rsidR="003631A0">
        <w:rPr>
          <w:sz w:val="24"/>
          <w:szCs w:val="24"/>
        </w:rPr>
        <w:t xml:space="preserve"> sa brojeva </w:t>
      </w:r>
      <w:r w:rsidR="003631A0" w:rsidRPr="00086230">
        <w:rPr>
          <w:sz w:val="24"/>
          <w:szCs w:val="24"/>
        </w:rPr>
        <w:t>izvan EEA područja</w:t>
      </w:r>
      <w:r>
        <w:rPr>
          <w:sz w:val="24"/>
          <w:szCs w:val="24"/>
        </w:rPr>
        <w:t xml:space="preserve"> </w:t>
      </w:r>
      <w:r w:rsidR="00882A92">
        <w:rPr>
          <w:sz w:val="24"/>
          <w:szCs w:val="24"/>
        </w:rPr>
        <w:t>pri čemu navodi</w:t>
      </w:r>
      <w:r w:rsidR="00704FB1" w:rsidRPr="00704FB1">
        <w:rPr>
          <w:sz w:val="24"/>
          <w:szCs w:val="24"/>
        </w:rPr>
        <w:t xml:space="preserve"> da je iz CDR zapisa dostavljenih od strane Tele2 i vlastite evidencije poziva razvidno kako je riječ o pozivima s EU brojeva. Analizom svih </w:t>
      </w:r>
      <w:r w:rsidR="00704FB1" w:rsidRPr="00704FB1">
        <w:rPr>
          <w:sz w:val="24"/>
          <w:szCs w:val="24"/>
        </w:rPr>
        <w:lastRenderedPageBreak/>
        <w:t>relevantnih činjenica u predmetnom postupku</w:t>
      </w:r>
      <w:r w:rsidR="00882A92">
        <w:rPr>
          <w:sz w:val="24"/>
          <w:szCs w:val="24"/>
        </w:rPr>
        <w:t>,</w:t>
      </w:r>
      <w:r w:rsidR="00704FB1" w:rsidRPr="00704FB1">
        <w:rPr>
          <w:sz w:val="24"/>
          <w:szCs w:val="24"/>
        </w:rPr>
        <w:t xml:space="preserve"> HAKOM je utvrdio da je zahtjev Terrakoma neosnovan iz niza razloga koji su opisani predmetnim </w:t>
      </w:r>
      <w:r w:rsidR="00882A92" w:rsidRPr="00704FB1">
        <w:rPr>
          <w:sz w:val="24"/>
          <w:szCs w:val="24"/>
        </w:rPr>
        <w:t>rješenjem</w:t>
      </w:r>
      <w:r w:rsidR="00704FB1" w:rsidRPr="00704FB1">
        <w:rPr>
          <w:sz w:val="24"/>
          <w:szCs w:val="24"/>
        </w:rPr>
        <w:t>. Ovdje</w:t>
      </w:r>
      <w:r w:rsidR="00AB6AE0">
        <w:rPr>
          <w:sz w:val="24"/>
          <w:szCs w:val="24"/>
        </w:rPr>
        <w:t xml:space="preserve"> se</w:t>
      </w:r>
      <w:r w:rsidR="00704FB1" w:rsidRPr="00704FB1">
        <w:rPr>
          <w:sz w:val="24"/>
          <w:szCs w:val="24"/>
        </w:rPr>
        <w:t>, ilustracije radi, navodi samo jedan od tih razloga, a to su dostavljeni rezultati ankete koju je Tele2 proveo nad svojim korisnicima kojima su upućivani pozivi sa spornih A brojeva</w:t>
      </w:r>
      <w:r w:rsidR="00882A92">
        <w:rPr>
          <w:sz w:val="24"/>
          <w:szCs w:val="24"/>
        </w:rPr>
        <w:t>. Iz navedenih rezultata</w:t>
      </w:r>
      <w:r w:rsidR="00704FB1" w:rsidRPr="00704FB1">
        <w:rPr>
          <w:sz w:val="24"/>
          <w:szCs w:val="24"/>
        </w:rPr>
        <w:t xml:space="preserve"> proizlazi da pojedini pozivi nisu upućivani iz Slovenije, pri čemu su se neki </w:t>
      </w:r>
      <w:r>
        <w:rPr>
          <w:sz w:val="24"/>
          <w:szCs w:val="24"/>
        </w:rPr>
        <w:t xml:space="preserve">korisnici </w:t>
      </w:r>
      <w:r w:rsidR="00704FB1" w:rsidRPr="00704FB1">
        <w:rPr>
          <w:sz w:val="24"/>
          <w:szCs w:val="24"/>
        </w:rPr>
        <w:t>očitovali da je riječ o pozivima iz zemalja</w:t>
      </w:r>
      <w:r w:rsidR="003631A0">
        <w:rPr>
          <w:sz w:val="24"/>
          <w:szCs w:val="24"/>
        </w:rPr>
        <w:t xml:space="preserve"> </w:t>
      </w:r>
      <w:r w:rsidR="003631A0" w:rsidRPr="00086230">
        <w:rPr>
          <w:sz w:val="24"/>
          <w:szCs w:val="24"/>
        </w:rPr>
        <w:t>izvan EEA područja</w:t>
      </w:r>
      <w:r w:rsidR="00704FB1" w:rsidRPr="00704FB1">
        <w:rPr>
          <w:sz w:val="24"/>
          <w:szCs w:val="24"/>
        </w:rPr>
        <w:t xml:space="preserve">, </w:t>
      </w:r>
      <w:r w:rsidR="005622FB">
        <w:rPr>
          <w:sz w:val="24"/>
          <w:szCs w:val="24"/>
        </w:rPr>
        <w:t>kao</w:t>
      </w:r>
      <w:r w:rsidR="00704FB1" w:rsidRPr="00704FB1">
        <w:rPr>
          <w:sz w:val="24"/>
          <w:szCs w:val="24"/>
        </w:rPr>
        <w:t xml:space="preserve"> primjerice država iz Afrike, Srbije</w:t>
      </w:r>
      <w:r>
        <w:rPr>
          <w:sz w:val="24"/>
          <w:szCs w:val="24"/>
        </w:rPr>
        <w:t xml:space="preserve"> i </w:t>
      </w:r>
      <w:r w:rsidR="00704FB1" w:rsidRPr="00704FB1">
        <w:rPr>
          <w:sz w:val="24"/>
          <w:szCs w:val="24"/>
        </w:rPr>
        <w:t xml:space="preserve">Koreje. </w:t>
      </w:r>
    </w:p>
    <w:p w:rsidR="00970CFB" w:rsidRPr="00FC4BD5" w:rsidRDefault="00970CFB" w:rsidP="00970CFB">
      <w:pPr>
        <w:spacing w:after="0" w:line="240" w:lineRule="auto"/>
        <w:jc w:val="both"/>
        <w:rPr>
          <w:sz w:val="24"/>
          <w:szCs w:val="24"/>
        </w:rPr>
      </w:pPr>
    </w:p>
    <w:p w:rsidR="00970CFB" w:rsidRPr="00673BE8" w:rsidRDefault="00970CFB" w:rsidP="00970CFB">
      <w:pPr>
        <w:pStyle w:val="Heading2"/>
      </w:pPr>
      <w:bookmarkStart w:id="7" w:name="_Toc525816334"/>
      <w:r w:rsidRPr="00673BE8">
        <w:t>Kronološki slijed aktivnosti</w:t>
      </w:r>
      <w:bookmarkEnd w:id="7"/>
      <w:r w:rsidRPr="00673BE8">
        <w:t xml:space="preserve"> </w:t>
      </w:r>
    </w:p>
    <w:p w:rsidR="0003047D" w:rsidRDefault="0003047D" w:rsidP="0003047D">
      <w:pPr>
        <w:spacing w:after="0" w:line="240" w:lineRule="auto"/>
        <w:jc w:val="both"/>
        <w:rPr>
          <w:sz w:val="24"/>
          <w:szCs w:val="24"/>
        </w:rPr>
      </w:pPr>
      <w:r w:rsidRPr="0003047D">
        <w:rPr>
          <w:sz w:val="24"/>
          <w:szCs w:val="24"/>
        </w:rPr>
        <w:t xml:space="preserve">Sukladno članku 52. </w:t>
      </w:r>
      <w:r w:rsidR="00236D57">
        <w:rPr>
          <w:sz w:val="24"/>
          <w:szCs w:val="24"/>
        </w:rPr>
        <w:t>stavku 2. ZEK-a, HAKOM najmanje svake tri godine od</w:t>
      </w:r>
      <w:r w:rsidRPr="0003047D">
        <w:rPr>
          <w:sz w:val="24"/>
          <w:szCs w:val="24"/>
        </w:rPr>
        <w:t xml:space="preserve"> dovršetka prethodne provedbe postupka iz članka 52. stavka 1. ZEK-a započinje postupak analize predmetnog mjerodavnog tržišta. </w:t>
      </w:r>
      <w:r w:rsidR="00236D57" w:rsidRPr="00236D57">
        <w:rPr>
          <w:sz w:val="24"/>
          <w:szCs w:val="24"/>
        </w:rPr>
        <w:t xml:space="preserve">Ovo je četvrti krug Analize tržišta veleprodajnog </w:t>
      </w:r>
      <w:r w:rsidR="00A81DEE" w:rsidRPr="00A81DEE">
        <w:rPr>
          <w:sz w:val="24"/>
          <w:szCs w:val="24"/>
        </w:rPr>
        <w:t>završavanja glasovnih poziva u vlastitoj mobilnoj mreži</w:t>
      </w:r>
      <w:r w:rsidR="00236D57" w:rsidRPr="00236D57">
        <w:rPr>
          <w:sz w:val="24"/>
          <w:szCs w:val="24"/>
        </w:rPr>
        <w:t xml:space="preserve">. Prethodna tri kruga mjerodavne analize provedena su 2009., 2013. i 2015. </w:t>
      </w:r>
    </w:p>
    <w:p w:rsidR="0003047D" w:rsidRPr="0003047D" w:rsidRDefault="0003047D" w:rsidP="0003047D">
      <w:pPr>
        <w:spacing w:after="0" w:line="240" w:lineRule="auto"/>
        <w:jc w:val="both"/>
        <w:rPr>
          <w:sz w:val="24"/>
          <w:szCs w:val="24"/>
        </w:rPr>
      </w:pPr>
    </w:p>
    <w:p w:rsidR="0003047D" w:rsidRDefault="0003047D" w:rsidP="0003047D">
      <w:pPr>
        <w:spacing w:after="0" w:line="240" w:lineRule="auto"/>
        <w:jc w:val="both"/>
        <w:rPr>
          <w:sz w:val="24"/>
          <w:szCs w:val="24"/>
        </w:rPr>
      </w:pPr>
      <w:r w:rsidRPr="0003047D">
        <w:rPr>
          <w:sz w:val="24"/>
          <w:szCs w:val="24"/>
        </w:rPr>
        <w:t xml:space="preserve">S obzirom da je od trenutka donošenja odluke o završenom postupku analize </w:t>
      </w:r>
      <w:r>
        <w:rPr>
          <w:sz w:val="24"/>
          <w:szCs w:val="24"/>
        </w:rPr>
        <w:t xml:space="preserve">tržišta </w:t>
      </w:r>
      <w:r w:rsidRPr="0003047D">
        <w:rPr>
          <w:sz w:val="24"/>
          <w:szCs w:val="24"/>
        </w:rPr>
        <w:t xml:space="preserve">veleprodajnog završavanja glasovnih poziva u vlastitoj mobilnoj mreži prošlo razdoblje od tri godine, HAKOM je </w:t>
      </w:r>
      <w:r w:rsidR="00236D57">
        <w:rPr>
          <w:sz w:val="24"/>
          <w:szCs w:val="24"/>
        </w:rPr>
        <w:t xml:space="preserve">26. travnja 2018. </w:t>
      </w:r>
      <w:r w:rsidRPr="0003047D">
        <w:rPr>
          <w:sz w:val="24"/>
          <w:szCs w:val="24"/>
        </w:rPr>
        <w:t xml:space="preserve">od operatora pokretne mreže zatražio dostavu dodatnih podataka potrebnih za provođenje postupaka analize tržišta, uz postojeće podatke koji su prikupljeni u okviru tromjesečnih upitnika. Predmetni podaci odnose se na razdoblje od drugog polugodišta 2014. do drugog polugodišta 2017. te su zatraženi na šestomjesečnoj razini. </w:t>
      </w:r>
    </w:p>
    <w:p w:rsidR="00236D57" w:rsidRDefault="00236D57" w:rsidP="0003047D">
      <w:pPr>
        <w:spacing w:after="0" w:line="240" w:lineRule="auto"/>
        <w:jc w:val="both"/>
        <w:rPr>
          <w:sz w:val="24"/>
          <w:szCs w:val="24"/>
        </w:rPr>
      </w:pPr>
    </w:p>
    <w:p w:rsidR="00236D57" w:rsidRPr="00194CDE" w:rsidRDefault="00236D57" w:rsidP="00236D57">
      <w:pPr>
        <w:spacing w:after="0" w:line="240" w:lineRule="auto"/>
        <w:jc w:val="both"/>
        <w:rPr>
          <w:sz w:val="24"/>
          <w:szCs w:val="24"/>
        </w:rPr>
      </w:pPr>
      <w:r w:rsidRPr="00236D57">
        <w:rPr>
          <w:sz w:val="24"/>
          <w:szCs w:val="24"/>
        </w:rPr>
        <w:lastRenderedPageBreak/>
        <w:t xml:space="preserve">HAKOM je 27. rujna 2018. donio prijedlog odluke </w:t>
      </w:r>
      <w:r>
        <w:rPr>
          <w:sz w:val="24"/>
          <w:szCs w:val="24"/>
        </w:rPr>
        <w:t xml:space="preserve">za javnu raspravu </w:t>
      </w:r>
      <w:r w:rsidRPr="00236D57">
        <w:rPr>
          <w:sz w:val="24"/>
          <w:szCs w:val="24"/>
        </w:rPr>
        <w:t xml:space="preserve">čiji je sastavni dio </w:t>
      </w:r>
      <w:r>
        <w:rPr>
          <w:sz w:val="24"/>
          <w:szCs w:val="24"/>
        </w:rPr>
        <w:t>ovaj dokument, k</w:t>
      </w:r>
      <w:r w:rsidRPr="00236D57">
        <w:rPr>
          <w:sz w:val="24"/>
          <w:szCs w:val="24"/>
        </w:rPr>
        <w:t>ako bi se svim zainteresiranim strana</w:t>
      </w:r>
      <w:r w:rsidRPr="00194CDE">
        <w:rPr>
          <w:sz w:val="24"/>
          <w:szCs w:val="24"/>
        </w:rPr>
        <w:t>ma omogućilo davanje mišljenja, primjedaba i prijedloga u vezi s predloženim mjerama.</w:t>
      </w:r>
      <w:r>
        <w:rPr>
          <w:sz w:val="24"/>
          <w:szCs w:val="24"/>
        </w:rPr>
        <w:t xml:space="preserve"> Odgovori na komentare operatora bit će sastavni dio ovog dokumenta nakon provedene javne rasprave.</w:t>
      </w:r>
    </w:p>
    <w:p w:rsidR="00236D57" w:rsidRPr="00194CDE" w:rsidRDefault="00236D57" w:rsidP="00236D57">
      <w:pPr>
        <w:spacing w:after="0" w:line="240" w:lineRule="auto"/>
        <w:jc w:val="both"/>
        <w:rPr>
          <w:sz w:val="24"/>
          <w:szCs w:val="24"/>
        </w:rPr>
      </w:pPr>
    </w:p>
    <w:p w:rsidR="00236D57" w:rsidRPr="00413399" w:rsidRDefault="00236D57" w:rsidP="00236D57">
      <w:pPr>
        <w:spacing w:after="0" w:line="240" w:lineRule="auto"/>
        <w:jc w:val="both"/>
        <w:rPr>
          <w:sz w:val="24"/>
          <w:szCs w:val="24"/>
        </w:rPr>
      </w:pPr>
      <w:r>
        <w:rPr>
          <w:sz w:val="24"/>
          <w:szCs w:val="24"/>
        </w:rPr>
        <w:t>Isto tako, s</w:t>
      </w:r>
      <w:r w:rsidRPr="00194CDE">
        <w:rPr>
          <w:sz w:val="24"/>
          <w:szCs w:val="24"/>
        </w:rPr>
        <w:t>ukladno članku 54. stavku 5. ZEK‐a</w:t>
      </w:r>
      <w:r>
        <w:rPr>
          <w:sz w:val="24"/>
          <w:szCs w:val="24"/>
        </w:rPr>
        <w:t>,</w:t>
      </w:r>
      <w:r w:rsidRPr="00194CDE">
        <w:rPr>
          <w:sz w:val="24"/>
          <w:szCs w:val="24"/>
        </w:rPr>
        <w:t xml:space="preserve"> HAKOM je zatražio mišljenje Agencije za zaštitu tržišnog natjecanja o načinu na koji je HAKOM odredio mjerodavno tržište i utvrdio operatora sa značajnom tržišnom snagom na tržištu</w:t>
      </w:r>
      <w:r>
        <w:rPr>
          <w:sz w:val="24"/>
          <w:szCs w:val="24"/>
        </w:rPr>
        <w:t xml:space="preserve">, a koje će biti </w:t>
      </w:r>
      <w:r w:rsidRPr="00194CDE">
        <w:rPr>
          <w:sz w:val="24"/>
          <w:szCs w:val="24"/>
        </w:rPr>
        <w:t>dostupno nakon provedene javne rasprave.</w:t>
      </w:r>
    </w:p>
    <w:p w:rsidR="00236D57" w:rsidRDefault="00236D57" w:rsidP="0003047D">
      <w:pPr>
        <w:spacing w:after="0" w:line="240" w:lineRule="auto"/>
        <w:jc w:val="both"/>
        <w:rPr>
          <w:sz w:val="24"/>
          <w:szCs w:val="24"/>
        </w:rPr>
      </w:pPr>
    </w:p>
    <w:p w:rsidR="00970CFB" w:rsidRPr="00A052D4" w:rsidRDefault="00970CFB" w:rsidP="0003047D">
      <w:pPr>
        <w:spacing w:after="0" w:line="240" w:lineRule="auto"/>
        <w:jc w:val="both"/>
        <w:rPr>
          <w:sz w:val="24"/>
          <w:szCs w:val="24"/>
          <w:highlight w:val="yellow"/>
        </w:rPr>
      </w:pPr>
      <w:r w:rsidRPr="00A052D4">
        <w:rPr>
          <w:sz w:val="24"/>
          <w:szCs w:val="24"/>
          <w:highlight w:val="yellow"/>
        </w:rPr>
        <w:br w:type="page"/>
      </w:r>
    </w:p>
    <w:p w:rsidR="00970CFB" w:rsidRPr="00876D20" w:rsidRDefault="00970CFB" w:rsidP="00970CFB">
      <w:pPr>
        <w:pStyle w:val="Heading1"/>
      </w:pPr>
      <w:bookmarkStart w:id="8" w:name="_Toc525816335"/>
      <w:r w:rsidRPr="00876D20">
        <w:lastRenderedPageBreak/>
        <w:t>Utvrđivanje mjerodavnog tržišta</w:t>
      </w:r>
      <w:bookmarkEnd w:id="8"/>
    </w:p>
    <w:p w:rsidR="00970CFB" w:rsidRPr="00876D20" w:rsidRDefault="00970CFB" w:rsidP="00970CFB">
      <w:pPr>
        <w:spacing w:before="200" w:after="0" w:line="240" w:lineRule="auto"/>
        <w:jc w:val="both"/>
        <w:rPr>
          <w:sz w:val="24"/>
          <w:szCs w:val="24"/>
        </w:rPr>
      </w:pPr>
      <w:r w:rsidRPr="00876D20">
        <w:rPr>
          <w:sz w:val="24"/>
          <w:szCs w:val="24"/>
        </w:rPr>
        <w:t>Temeljem članka 53. stavka 1. ZEK-a, HAKOM utvrđuje mjerodavna tržišta podložna prethodnoj regulaciji, a vodeći računa o mjerodavnoj Preporuci Europske</w:t>
      </w:r>
      <w:r>
        <w:rPr>
          <w:sz w:val="24"/>
          <w:szCs w:val="24"/>
        </w:rPr>
        <w:t xml:space="preserve"> komisije iz članka 52. stavka 6</w:t>
      </w:r>
      <w:r w:rsidRPr="00876D20">
        <w:rPr>
          <w:sz w:val="24"/>
          <w:szCs w:val="24"/>
        </w:rPr>
        <w:t xml:space="preserve">. ZEK-a. </w:t>
      </w:r>
    </w:p>
    <w:p w:rsidR="00970CFB" w:rsidRPr="00A052D4" w:rsidRDefault="00970CFB" w:rsidP="00970CFB">
      <w:pPr>
        <w:spacing w:after="0" w:line="240" w:lineRule="auto"/>
        <w:jc w:val="both"/>
        <w:rPr>
          <w:sz w:val="24"/>
          <w:szCs w:val="24"/>
          <w:highlight w:val="yellow"/>
        </w:rPr>
      </w:pPr>
    </w:p>
    <w:p w:rsidR="00970CFB" w:rsidRPr="00876D20" w:rsidRDefault="00970CFB" w:rsidP="00970CFB">
      <w:pPr>
        <w:spacing w:after="0" w:line="240" w:lineRule="auto"/>
        <w:jc w:val="both"/>
        <w:rPr>
          <w:sz w:val="24"/>
          <w:szCs w:val="24"/>
        </w:rPr>
      </w:pPr>
      <w:r w:rsidRPr="00876D20">
        <w:rPr>
          <w:sz w:val="24"/>
          <w:szCs w:val="24"/>
        </w:rPr>
        <w:t>Isto tako, u skladu s člankom 53. stavkom 2. ZEK-a HAKOM može odlukom utvrditi da su i druga mjerodavna tržišta, osim mjerodavnih tržišta iz Preporuke Europske komisije, podložna prethodnoj regulaciji, ako su na tim tržištima istodobno zadovoljena tri mjerila</w:t>
      </w:r>
      <w:r>
        <w:rPr>
          <w:sz w:val="24"/>
          <w:szCs w:val="24"/>
        </w:rPr>
        <w:t>.</w:t>
      </w:r>
    </w:p>
    <w:p w:rsidR="00970CFB" w:rsidRPr="00A052D4" w:rsidRDefault="00970CFB" w:rsidP="00970CFB">
      <w:pPr>
        <w:spacing w:after="0" w:line="240" w:lineRule="auto"/>
        <w:jc w:val="both"/>
        <w:rPr>
          <w:sz w:val="24"/>
          <w:szCs w:val="24"/>
          <w:highlight w:val="yellow"/>
        </w:rPr>
      </w:pPr>
    </w:p>
    <w:p w:rsidR="00970CFB" w:rsidRDefault="00970CFB" w:rsidP="00970CFB">
      <w:pPr>
        <w:spacing w:after="0" w:line="240" w:lineRule="auto"/>
        <w:jc w:val="both"/>
        <w:rPr>
          <w:sz w:val="24"/>
          <w:szCs w:val="24"/>
        </w:rPr>
      </w:pPr>
      <w:r w:rsidRPr="006E38D0">
        <w:rPr>
          <w:sz w:val="24"/>
          <w:szCs w:val="24"/>
        </w:rPr>
        <w:t xml:space="preserve">Sukladno članku 53. stavku 1. ZEK-a, </w:t>
      </w:r>
      <w:r>
        <w:rPr>
          <w:sz w:val="24"/>
          <w:szCs w:val="24"/>
        </w:rPr>
        <w:t>HAKOM je utvrdio</w:t>
      </w:r>
      <w:r w:rsidRPr="006E38D0">
        <w:rPr>
          <w:sz w:val="24"/>
          <w:szCs w:val="24"/>
        </w:rPr>
        <w:t xml:space="preserve"> mjerodavno tržište: </w:t>
      </w:r>
    </w:p>
    <w:p w:rsidR="00970CFB" w:rsidRPr="006E38D0" w:rsidRDefault="00970CFB" w:rsidP="00970CFB">
      <w:pPr>
        <w:spacing w:after="0" w:line="240" w:lineRule="auto"/>
        <w:jc w:val="both"/>
        <w:rPr>
          <w:sz w:val="24"/>
          <w:szCs w:val="24"/>
        </w:rPr>
      </w:pPr>
    </w:p>
    <w:p w:rsidR="00970CFB" w:rsidRPr="006E38D0" w:rsidRDefault="00970CFB" w:rsidP="00970CFB">
      <w:pPr>
        <w:spacing w:after="0" w:line="240" w:lineRule="auto"/>
        <w:jc w:val="both"/>
        <w:rPr>
          <w:rStyle w:val="SubtitleChar"/>
        </w:rPr>
      </w:pPr>
      <w:r w:rsidRPr="006E38D0">
        <w:rPr>
          <w:sz w:val="24"/>
          <w:szCs w:val="24"/>
        </w:rPr>
        <w:t>•</w:t>
      </w:r>
      <w:r w:rsidRPr="006E38D0">
        <w:rPr>
          <w:sz w:val="24"/>
          <w:szCs w:val="24"/>
        </w:rPr>
        <w:tab/>
      </w:r>
      <w:r w:rsidRPr="0061086C">
        <w:rPr>
          <w:rStyle w:val="SubtitleChar"/>
        </w:rPr>
        <w:t xml:space="preserve">veleprodajnog </w:t>
      </w:r>
      <w:r w:rsidRPr="006E38D0">
        <w:rPr>
          <w:rStyle w:val="SubtitleChar"/>
        </w:rPr>
        <w:t>završavanja glasovnih poziva u vlastitoj mobilnoj mreži</w:t>
      </w:r>
      <w:r w:rsidR="0015566D">
        <w:rPr>
          <w:rStyle w:val="SubtitleChar"/>
        </w:rPr>
        <w:t>.</w:t>
      </w:r>
    </w:p>
    <w:p w:rsidR="00970CFB" w:rsidRPr="006E38D0" w:rsidRDefault="00970CFB" w:rsidP="00970CFB">
      <w:pPr>
        <w:spacing w:after="0" w:line="240" w:lineRule="auto"/>
        <w:jc w:val="both"/>
        <w:rPr>
          <w:sz w:val="24"/>
          <w:szCs w:val="24"/>
        </w:rPr>
      </w:pPr>
    </w:p>
    <w:p w:rsidR="00970CFB" w:rsidRPr="00A052D4" w:rsidRDefault="00970CFB" w:rsidP="00970CFB">
      <w:pPr>
        <w:spacing w:after="0" w:line="240" w:lineRule="auto"/>
        <w:jc w:val="both"/>
        <w:rPr>
          <w:sz w:val="24"/>
          <w:szCs w:val="24"/>
          <w:highlight w:val="yellow"/>
        </w:rPr>
      </w:pPr>
      <w:r w:rsidRPr="006E38D0">
        <w:rPr>
          <w:sz w:val="24"/>
          <w:szCs w:val="24"/>
        </w:rPr>
        <w:t>Navedeno tržište je dio važeće Preporuke, što znači da je Europska komisija zaključila da su na mjerodavnom tržištu istodobno zadovoljena gore navedena tri mjerila, te na taj način utvrdila da je mjerodavno tržište podložno prethodnoj regulaciji</w:t>
      </w:r>
      <w:r>
        <w:rPr>
          <w:sz w:val="24"/>
          <w:szCs w:val="24"/>
        </w:rPr>
        <w:t>.</w:t>
      </w:r>
    </w:p>
    <w:p w:rsidR="00970CFB" w:rsidRPr="001C5ACE" w:rsidRDefault="00970CFB" w:rsidP="00970CFB">
      <w:pPr>
        <w:pStyle w:val="Heading1"/>
      </w:pPr>
      <w:bookmarkStart w:id="9" w:name="_Toc525816336"/>
      <w:r w:rsidRPr="001C5ACE">
        <w:t>Određivanje granica mjerodavnog tržišta</w:t>
      </w:r>
      <w:bookmarkEnd w:id="9"/>
      <w:r w:rsidRPr="001C5ACE">
        <w:t xml:space="preserve"> </w:t>
      </w:r>
    </w:p>
    <w:p w:rsidR="00970CFB" w:rsidRPr="00A052D4" w:rsidRDefault="00970CFB" w:rsidP="00970CFB">
      <w:pPr>
        <w:spacing w:after="0" w:line="240" w:lineRule="auto"/>
        <w:jc w:val="both"/>
        <w:rPr>
          <w:sz w:val="24"/>
          <w:szCs w:val="24"/>
          <w:highlight w:val="yellow"/>
        </w:rPr>
      </w:pPr>
    </w:p>
    <w:p w:rsidR="00970CFB" w:rsidRDefault="00970CFB" w:rsidP="00970CFB">
      <w:pPr>
        <w:spacing w:after="0" w:line="240" w:lineRule="auto"/>
        <w:jc w:val="both"/>
        <w:rPr>
          <w:sz w:val="24"/>
          <w:szCs w:val="24"/>
        </w:rPr>
      </w:pPr>
      <w:r w:rsidRPr="001C5ACE">
        <w:rPr>
          <w:sz w:val="24"/>
          <w:szCs w:val="24"/>
        </w:rPr>
        <w:t>Pri određivanju mjerodavnog tržišta</w:t>
      </w:r>
      <w:r w:rsidR="0015566D">
        <w:rPr>
          <w:sz w:val="24"/>
          <w:szCs w:val="24"/>
        </w:rPr>
        <w:t>,</w:t>
      </w:r>
      <w:r w:rsidRPr="001C5ACE">
        <w:rPr>
          <w:sz w:val="24"/>
          <w:szCs w:val="24"/>
        </w:rPr>
        <w:t xml:space="preserve"> odnosno dimenzije usluga i zemljopisne dimenzije, polazi se od utvrđivanja zamjenjivosti na strani ponude i zamjenjivosti na strani potražnje. Pomoću zamjenjivosti na strani potražnje utvrđuju se usluge koje korisnici smatraju zamjenskim uslugama. Zamjenska usluga je svaka usluga koja s obzirom na svoja svojstva, cijenu, namjenu i </w:t>
      </w:r>
      <w:r w:rsidRPr="001C5ACE">
        <w:rPr>
          <w:sz w:val="24"/>
          <w:szCs w:val="24"/>
        </w:rPr>
        <w:lastRenderedPageBreak/>
        <w:t>navike korisnika može zamijeniti drugu uslugu i na taj način zadovoljiti istorodnu potrebu korisnika. S druge strane, zamjenjivost na strani ponude ukazuje na spremnost operatora da odmah, odnosno, u kratkom roku ponudi istovjetnu uslugu, bez izlaganja značajnim dodatnim troškovima.</w:t>
      </w:r>
    </w:p>
    <w:p w:rsidR="00970CFB" w:rsidRPr="00A052D4" w:rsidRDefault="00970CFB" w:rsidP="00970CFB">
      <w:pPr>
        <w:spacing w:after="0" w:line="240" w:lineRule="auto"/>
        <w:jc w:val="both"/>
        <w:rPr>
          <w:sz w:val="24"/>
          <w:szCs w:val="24"/>
          <w:highlight w:val="yellow"/>
        </w:rPr>
      </w:pPr>
    </w:p>
    <w:p w:rsidR="00970CFB" w:rsidRDefault="00970CFB" w:rsidP="00970CFB">
      <w:pPr>
        <w:spacing w:after="0" w:line="240" w:lineRule="auto"/>
        <w:jc w:val="both"/>
        <w:rPr>
          <w:sz w:val="24"/>
          <w:szCs w:val="24"/>
        </w:rPr>
      </w:pPr>
      <w:r w:rsidRPr="001C5ACE">
        <w:rPr>
          <w:sz w:val="24"/>
          <w:szCs w:val="24"/>
        </w:rPr>
        <w:t xml:space="preserve">Za razliku od potencijalne konkurencije, kod zamjenjivosti na strani ponude aktivni operator u kratkom roku reagira na povećanje cijene. Potencijalni konkurenti trebaju više vremena kako bi počeli nuditi istovjetnu uslugu na tržištu. Nadalje, u slučaju postojanja zamjenjivosti na strani ponude već aktivni operatori se ne izlažu dodatnim troškovima, a ulazak potencijalnih konkurenata podrazumijeva značajne nenadoknadive troškove (eng. </w:t>
      </w:r>
      <w:r w:rsidRPr="00BB7F55">
        <w:rPr>
          <w:i/>
          <w:sz w:val="24"/>
          <w:szCs w:val="24"/>
        </w:rPr>
        <w:t>sunk cost</w:t>
      </w:r>
      <w:r w:rsidRPr="001C5ACE">
        <w:rPr>
          <w:sz w:val="24"/>
          <w:szCs w:val="24"/>
        </w:rPr>
        <w:t>).</w:t>
      </w:r>
    </w:p>
    <w:p w:rsidR="00970CFB" w:rsidRDefault="00970CFB" w:rsidP="00970CFB">
      <w:pPr>
        <w:spacing w:after="0" w:line="240" w:lineRule="auto"/>
        <w:jc w:val="both"/>
        <w:rPr>
          <w:sz w:val="24"/>
          <w:szCs w:val="24"/>
        </w:rPr>
      </w:pPr>
      <w:r w:rsidRPr="001C5ACE">
        <w:rPr>
          <w:sz w:val="24"/>
          <w:szCs w:val="24"/>
        </w:rPr>
        <w:t xml:space="preserve"> </w:t>
      </w:r>
    </w:p>
    <w:p w:rsidR="00970CFB" w:rsidRPr="001C5ACE" w:rsidRDefault="00970CFB" w:rsidP="00970CFB">
      <w:pPr>
        <w:spacing w:after="0" w:line="240" w:lineRule="auto"/>
        <w:jc w:val="both"/>
        <w:rPr>
          <w:sz w:val="24"/>
          <w:szCs w:val="24"/>
        </w:rPr>
      </w:pPr>
      <w:r w:rsidRPr="001C5ACE">
        <w:rPr>
          <w:sz w:val="24"/>
          <w:szCs w:val="24"/>
        </w:rPr>
        <w:t>Nadalje, isto mjerodavno tržište čine sve usluge koje su međusobno zamjenjive, bilo na strani potražnje ili na strani ponude.</w:t>
      </w:r>
    </w:p>
    <w:p w:rsidR="00970CFB" w:rsidRPr="00A052D4" w:rsidRDefault="00970CFB" w:rsidP="00970CFB">
      <w:pPr>
        <w:spacing w:after="0" w:line="240" w:lineRule="auto"/>
        <w:jc w:val="both"/>
        <w:rPr>
          <w:sz w:val="24"/>
          <w:szCs w:val="24"/>
          <w:highlight w:val="yellow"/>
        </w:rPr>
      </w:pPr>
    </w:p>
    <w:p w:rsidR="00CE4ED0" w:rsidRDefault="00CE4ED0">
      <w:pPr>
        <w:rPr>
          <w:rFonts w:asciiTheme="majorHAnsi" w:eastAsia="Times New Roman" w:hAnsiTheme="majorHAnsi" w:cstheme="majorBidi"/>
          <w:b/>
          <w:bCs/>
          <w:color w:val="4F81BD" w:themeColor="accent1"/>
          <w:sz w:val="26"/>
          <w:szCs w:val="26"/>
          <w:lang w:eastAsia="hr-HR"/>
        </w:rPr>
      </w:pPr>
      <w:r>
        <w:rPr>
          <w:rFonts w:eastAsia="Times New Roman"/>
          <w:lang w:eastAsia="hr-HR"/>
        </w:rPr>
        <w:br w:type="page"/>
      </w:r>
    </w:p>
    <w:p w:rsidR="007F5495" w:rsidRPr="00CE23BC" w:rsidRDefault="007A3D74" w:rsidP="007F5495">
      <w:pPr>
        <w:pStyle w:val="Heading2"/>
        <w:rPr>
          <w:rFonts w:eastAsia="Times New Roman"/>
          <w:lang w:eastAsia="hr-HR"/>
        </w:rPr>
      </w:pPr>
      <w:bookmarkStart w:id="10" w:name="_Toc525816337"/>
      <w:r w:rsidRPr="00CE23BC">
        <w:rPr>
          <w:rFonts w:eastAsia="Times New Roman"/>
          <w:lang w:eastAsia="hr-HR"/>
        </w:rPr>
        <w:lastRenderedPageBreak/>
        <w:t>Karakteristike t</w:t>
      </w:r>
      <w:r w:rsidR="007F5495" w:rsidRPr="00CE23BC">
        <w:rPr>
          <w:rFonts w:eastAsia="Times New Roman"/>
          <w:lang w:eastAsia="hr-HR"/>
        </w:rPr>
        <w:t>ržišt</w:t>
      </w:r>
      <w:r w:rsidRPr="00CE23BC">
        <w:rPr>
          <w:rFonts w:eastAsia="Times New Roman"/>
          <w:lang w:eastAsia="hr-HR"/>
        </w:rPr>
        <w:t>a</w:t>
      </w:r>
      <w:r w:rsidR="007F5495" w:rsidRPr="00CE23BC">
        <w:rPr>
          <w:rFonts w:eastAsia="Times New Roman"/>
          <w:lang w:eastAsia="hr-HR"/>
        </w:rPr>
        <w:t xml:space="preserve"> pokretne javne komunikacijske mreže</w:t>
      </w:r>
      <w:r w:rsidRPr="00CE23BC">
        <w:rPr>
          <w:rFonts w:eastAsia="Times New Roman"/>
          <w:lang w:eastAsia="hr-HR"/>
        </w:rPr>
        <w:t xml:space="preserve"> u Republici Hrvatskoj</w:t>
      </w:r>
      <w:bookmarkEnd w:id="10"/>
    </w:p>
    <w:p w:rsidR="00970CFB" w:rsidRDefault="00970CFB" w:rsidP="00970CFB">
      <w:pPr>
        <w:spacing w:after="0" w:line="240" w:lineRule="auto"/>
        <w:jc w:val="both"/>
        <w:rPr>
          <w:sz w:val="24"/>
          <w:szCs w:val="24"/>
        </w:rPr>
      </w:pPr>
      <w:r w:rsidRPr="00962BB2">
        <w:rPr>
          <w:sz w:val="24"/>
          <w:szCs w:val="24"/>
        </w:rPr>
        <w:t xml:space="preserve">Na tržištu </w:t>
      </w:r>
      <w:r w:rsidR="00CE23BC" w:rsidRPr="00CE23BC">
        <w:rPr>
          <w:sz w:val="24"/>
          <w:szCs w:val="24"/>
        </w:rPr>
        <w:t>pokretne javne komunikacijske</w:t>
      </w:r>
      <w:r w:rsidR="00CE23BC">
        <w:rPr>
          <w:sz w:val="24"/>
          <w:szCs w:val="24"/>
        </w:rPr>
        <w:t xml:space="preserve"> mreže u</w:t>
      </w:r>
      <w:r w:rsidRPr="00962BB2">
        <w:rPr>
          <w:sz w:val="24"/>
          <w:szCs w:val="24"/>
        </w:rPr>
        <w:t xml:space="preserve"> Republi</w:t>
      </w:r>
      <w:r w:rsidR="00CE23BC">
        <w:rPr>
          <w:sz w:val="24"/>
          <w:szCs w:val="24"/>
        </w:rPr>
        <w:t>ci</w:t>
      </w:r>
      <w:r w:rsidRPr="00962BB2">
        <w:rPr>
          <w:sz w:val="24"/>
          <w:szCs w:val="24"/>
        </w:rPr>
        <w:t xml:space="preserve"> Hrvatsk</w:t>
      </w:r>
      <w:r w:rsidR="00CE23BC">
        <w:rPr>
          <w:sz w:val="24"/>
          <w:szCs w:val="24"/>
        </w:rPr>
        <w:t>oj, na maloprodajnoj i veleprodajnoj razini,</w:t>
      </w:r>
      <w:r w:rsidRPr="00962BB2">
        <w:rPr>
          <w:sz w:val="24"/>
          <w:szCs w:val="24"/>
        </w:rPr>
        <w:t xml:space="preserve"> </w:t>
      </w:r>
      <w:r w:rsidR="00CE23BC">
        <w:rPr>
          <w:sz w:val="24"/>
          <w:szCs w:val="24"/>
        </w:rPr>
        <w:t>djeluju</w:t>
      </w:r>
      <w:r w:rsidRPr="00962BB2">
        <w:rPr>
          <w:sz w:val="24"/>
          <w:szCs w:val="24"/>
        </w:rPr>
        <w:t xml:space="preserve"> tri</w:t>
      </w:r>
      <w:r>
        <w:rPr>
          <w:sz w:val="24"/>
          <w:szCs w:val="24"/>
        </w:rPr>
        <w:t xml:space="preserve"> operatora pokretnih mreža (MNO):</w:t>
      </w:r>
    </w:p>
    <w:p w:rsidR="00970CFB" w:rsidRPr="0071069C" w:rsidRDefault="00970CFB" w:rsidP="00970CFB">
      <w:pPr>
        <w:pStyle w:val="ListParagraph"/>
        <w:numPr>
          <w:ilvl w:val="0"/>
          <w:numId w:val="10"/>
        </w:numPr>
        <w:rPr>
          <w:i/>
          <w:sz w:val="24"/>
          <w:szCs w:val="24"/>
        </w:rPr>
      </w:pPr>
      <w:r w:rsidRPr="0071069C">
        <w:rPr>
          <w:i/>
          <w:sz w:val="24"/>
          <w:szCs w:val="24"/>
        </w:rPr>
        <w:t xml:space="preserve">HT, Tele2 </w:t>
      </w:r>
      <w:r>
        <w:rPr>
          <w:i/>
          <w:sz w:val="24"/>
          <w:szCs w:val="24"/>
        </w:rPr>
        <w:t xml:space="preserve">i </w:t>
      </w:r>
      <w:r w:rsidRPr="0071069C">
        <w:rPr>
          <w:i/>
          <w:sz w:val="24"/>
          <w:szCs w:val="24"/>
        </w:rPr>
        <w:t>Vipnet</w:t>
      </w:r>
      <w:r w:rsidRPr="000641B4">
        <w:rPr>
          <w:sz w:val="24"/>
          <w:szCs w:val="24"/>
        </w:rPr>
        <w:t>.</w:t>
      </w:r>
    </w:p>
    <w:p w:rsidR="00970CFB" w:rsidRPr="008F7B89" w:rsidRDefault="00970CFB" w:rsidP="00970CFB">
      <w:pPr>
        <w:pStyle w:val="ListParagraph"/>
        <w:spacing w:after="0" w:line="240" w:lineRule="auto"/>
        <w:jc w:val="both"/>
        <w:rPr>
          <w:sz w:val="24"/>
          <w:szCs w:val="24"/>
        </w:rPr>
      </w:pPr>
    </w:p>
    <w:p w:rsidR="00CE23BC" w:rsidRDefault="00970CFB" w:rsidP="00970CFB">
      <w:pPr>
        <w:spacing w:after="0" w:line="240" w:lineRule="auto"/>
        <w:jc w:val="both"/>
        <w:rPr>
          <w:sz w:val="24"/>
          <w:szCs w:val="24"/>
        </w:rPr>
      </w:pPr>
      <w:r w:rsidRPr="008F7B89">
        <w:rPr>
          <w:sz w:val="24"/>
          <w:szCs w:val="24"/>
        </w:rPr>
        <w:t>Sva tri operatora koja posluju na tržištu potpisala su ugovor o međupovezivanju čime je omogućeno direktno povezivanje njihovih korisnika. Također, navedeni operatori imaju potpisane ugovore o međupovezivanju i s operatorima nepokretne javne komunikacijske mreže.</w:t>
      </w:r>
      <w:r w:rsidR="00CE23BC">
        <w:rPr>
          <w:sz w:val="24"/>
          <w:szCs w:val="24"/>
        </w:rPr>
        <w:t xml:space="preserve"> Na tržištu nema mobilnih virtualnih operatora (MVNO). Operatori pokretne mreže na tržištu pružaju i usluge putem drugog </w:t>
      </w:r>
      <w:r w:rsidR="00CE23BC" w:rsidRPr="00E75AAC">
        <w:rPr>
          <w:i/>
          <w:sz w:val="24"/>
          <w:szCs w:val="24"/>
        </w:rPr>
        <w:t>branda</w:t>
      </w:r>
      <w:r w:rsidR="00E75AAC">
        <w:rPr>
          <w:rStyle w:val="FootnoteReference"/>
          <w:i/>
          <w:sz w:val="24"/>
          <w:szCs w:val="24"/>
        </w:rPr>
        <w:footnoteReference w:id="19"/>
      </w:r>
      <w:r w:rsidR="00CE23BC">
        <w:rPr>
          <w:sz w:val="24"/>
          <w:szCs w:val="24"/>
        </w:rPr>
        <w:t xml:space="preserve"> (</w:t>
      </w:r>
      <w:r w:rsidR="00CE4ED0">
        <w:rPr>
          <w:sz w:val="24"/>
          <w:szCs w:val="24"/>
        </w:rPr>
        <w:t xml:space="preserve">npr. </w:t>
      </w:r>
      <w:r w:rsidR="00E75AAC">
        <w:rPr>
          <w:sz w:val="24"/>
          <w:szCs w:val="24"/>
        </w:rPr>
        <w:t>bonbon, Tomato).</w:t>
      </w:r>
    </w:p>
    <w:p w:rsidR="00CE23BC" w:rsidRDefault="00CE23BC" w:rsidP="00970CFB">
      <w:pPr>
        <w:spacing w:after="0" w:line="240" w:lineRule="auto"/>
        <w:jc w:val="both"/>
        <w:rPr>
          <w:sz w:val="24"/>
          <w:szCs w:val="24"/>
        </w:rPr>
      </w:pPr>
    </w:p>
    <w:p w:rsidR="006404AF" w:rsidRDefault="00AF021F" w:rsidP="006404AF">
      <w:pPr>
        <w:spacing w:after="0" w:line="240" w:lineRule="auto"/>
        <w:jc w:val="both"/>
        <w:rPr>
          <w:sz w:val="24"/>
          <w:szCs w:val="24"/>
        </w:rPr>
      </w:pPr>
      <w:r>
        <w:rPr>
          <w:sz w:val="24"/>
          <w:szCs w:val="24"/>
        </w:rPr>
        <w:t xml:space="preserve">Sva tri </w:t>
      </w:r>
      <w:r w:rsidRPr="00B36724">
        <w:rPr>
          <w:sz w:val="24"/>
          <w:szCs w:val="24"/>
        </w:rPr>
        <w:t>operator</w:t>
      </w:r>
      <w:r>
        <w:rPr>
          <w:sz w:val="24"/>
          <w:szCs w:val="24"/>
        </w:rPr>
        <w:t xml:space="preserve">a </w:t>
      </w:r>
      <w:r w:rsidRPr="00B36724">
        <w:rPr>
          <w:sz w:val="24"/>
          <w:szCs w:val="24"/>
        </w:rPr>
        <w:t>na tržištu imaju mogućnost pružati svoje usluge putem 2G, 3G i 4G</w:t>
      </w:r>
      <w:r>
        <w:rPr>
          <w:rStyle w:val="FootnoteReference"/>
          <w:sz w:val="24"/>
          <w:szCs w:val="24"/>
        </w:rPr>
        <w:footnoteReference w:id="20"/>
      </w:r>
      <w:r w:rsidRPr="00B36724">
        <w:rPr>
          <w:sz w:val="24"/>
          <w:szCs w:val="24"/>
        </w:rPr>
        <w:t xml:space="preserve"> tehnologije</w:t>
      </w:r>
      <w:r w:rsidR="007F5495" w:rsidRPr="002A6440">
        <w:rPr>
          <w:sz w:val="24"/>
          <w:szCs w:val="24"/>
        </w:rPr>
        <w:t xml:space="preserve">. </w:t>
      </w:r>
      <w:r w:rsidR="006404AF">
        <w:rPr>
          <w:sz w:val="24"/>
          <w:szCs w:val="24"/>
        </w:rPr>
        <w:t xml:space="preserve">HT </w:t>
      </w:r>
      <w:r w:rsidR="0047334F">
        <w:rPr>
          <w:sz w:val="24"/>
          <w:szCs w:val="24"/>
        </w:rPr>
        <w:t xml:space="preserve">i Vipnet već su počeli </w:t>
      </w:r>
      <w:r w:rsidR="006404AF">
        <w:rPr>
          <w:sz w:val="24"/>
          <w:szCs w:val="24"/>
        </w:rPr>
        <w:t>pružati u</w:t>
      </w:r>
      <w:r w:rsidR="006404AF" w:rsidRPr="006404AF">
        <w:rPr>
          <w:sz w:val="24"/>
          <w:szCs w:val="24"/>
        </w:rPr>
        <w:t>slug</w:t>
      </w:r>
      <w:r w:rsidR="006404AF">
        <w:rPr>
          <w:sz w:val="24"/>
          <w:szCs w:val="24"/>
        </w:rPr>
        <w:t>u</w:t>
      </w:r>
      <w:r w:rsidR="006404AF" w:rsidRPr="006404AF">
        <w:rPr>
          <w:sz w:val="24"/>
          <w:szCs w:val="24"/>
        </w:rPr>
        <w:t xml:space="preserve"> VoLTE (</w:t>
      </w:r>
      <w:r w:rsidR="006404AF">
        <w:rPr>
          <w:sz w:val="24"/>
          <w:szCs w:val="24"/>
        </w:rPr>
        <w:t xml:space="preserve">eng. </w:t>
      </w:r>
      <w:r w:rsidR="006404AF" w:rsidRPr="006404AF">
        <w:rPr>
          <w:sz w:val="24"/>
          <w:szCs w:val="24"/>
        </w:rPr>
        <w:t xml:space="preserve">Voice over LTE) </w:t>
      </w:r>
      <w:r w:rsidR="006404AF">
        <w:rPr>
          <w:sz w:val="24"/>
          <w:szCs w:val="24"/>
        </w:rPr>
        <w:t xml:space="preserve">koja </w:t>
      </w:r>
      <w:r w:rsidR="006404AF" w:rsidRPr="006404AF">
        <w:rPr>
          <w:sz w:val="24"/>
          <w:szCs w:val="24"/>
        </w:rPr>
        <w:t>omogućuje ostvarivanje glaso</w:t>
      </w:r>
      <w:r w:rsidR="0047334F">
        <w:rPr>
          <w:sz w:val="24"/>
          <w:szCs w:val="24"/>
        </w:rPr>
        <w:t>vnih poziva preko 4G (LTE) mreže</w:t>
      </w:r>
      <w:r w:rsidR="006404AF">
        <w:rPr>
          <w:sz w:val="24"/>
          <w:szCs w:val="24"/>
        </w:rPr>
        <w:t>. I</w:t>
      </w:r>
      <w:r w:rsidR="006404AF" w:rsidRPr="00314ACE">
        <w:rPr>
          <w:sz w:val="24"/>
          <w:szCs w:val="24"/>
        </w:rPr>
        <w:t>zm</w:t>
      </w:r>
      <w:r w:rsidR="006404AF">
        <w:rPr>
          <w:sz w:val="24"/>
          <w:szCs w:val="24"/>
        </w:rPr>
        <w:t xml:space="preserve">eđu 2G, </w:t>
      </w:r>
      <w:r w:rsidR="006404AF">
        <w:rPr>
          <w:sz w:val="24"/>
          <w:szCs w:val="24"/>
        </w:rPr>
        <w:lastRenderedPageBreak/>
        <w:t>3G i 4G tehnologije</w:t>
      </w:r>
      <w:r w:rsidR="006404AF" w:rsidRPr="006404AF">
        <w:rPr>
          <w:sz w:val="24"/>
          <w:szCs w:val="24"/>
        </w:rPr>
        <w:t xml:space="preserve"> </w:t>
      </w:r>
      <w:r w:rsidR="006404AF">
        <w:rPr>
          <w:sz w:val="24"/>
          <w:szCs w:val="24"/>
        </w:rPr>
        <w:t>omogućena je interoperabilnost, što znači da k</w:t>
      </w:r>
      <w:r w:rsidR="006404AF" w:rsidRPr="00FE00E9">
        <w:rPr>
          <w:sz w:val="24"/>
          <w:szCs w:val="24"/>
        </w:rPr>
        <w:t>orisn</w:t>
      </w:r>
      <w:r w:rsidR="006404AF">
        <w:rPr>
          <w:sz w:val="24"/>
          <w:szCs w:val="24"/>
        </w:rPr>
        <w:t>ici</w:t>
      </w:r>
      <w:r w:rsidR="006404AF" w:rsidRPr="00FE00E9">
        <w:rPr>
          <w:sz w:val="24"/>
          <w:szCs w:val="24"/>
        </w:rPr>
        <w:t xml:space="preserve"> </w:t>
      </w:r>
      <w:r w:rsidR="006404AF">
        <w:rPr>
          <w:sz w:val="24"/>
          <w:szCs w:val="24"/>
        </w:rPr>
        <w:t xml:space="preserve">mogu međusobno razgovarati bez obzira imaju li </w:t>
      </w:r>
      <w:r w:rsidR="006404AF" w:rsidRPr="00FE00E9">
        <w:rPr>
          <w:sz w:val="24"/>
          <w:szCs w:val="24"/>
        </w:rPr>
        <w:t>mobiln</w:t>
      </w:r>
      <w:r w:rsidR="006404AF">
        <w:rPr>
          <w:sz w:val="24"/>
          <w:szCs w:val="24"/>
        </w:rPr>
        <w:t>e</w:t>
      </w:r>
      <w:r w:rsidR="006404AF" w:rsidRPr="00FE00E9">
        <w:rPr>
          <w:sz w:val="24"/>
          <w:szCs w:val="24"/>
        </w:rPr>
        <w:t xml:space="preserve"> uređaj</w:t>
      </w:r>
      <w:r w:rsidR="006404AF">
        <w:rPr>
          <w:sz w:val="24"/>
          <w:szCs w:val="24"/>
        </w:rPr>
        <w:t>e</w:t>
      </w:r>
      <w:r w:rsidR="006404AF" w:rsidRPr="00FE00E9">
        <w:rPr>
          <w:sz w:val="24"/>
          <w:szCs w:val="24"/>
        </w:rPr>
        <w:t xml:space="preserve"> koji podržava</w:t>
      </w:r>
      <w:r w:rsidR="006404AF">
        <w:rPr>
          <w:sz w:val="24"/>
          <w:szCs w:val="24"/>
        </w:rPr>
        <w:t>ju</w:t>
      </w:r>
      <w:r w:rsidR="006404AF" w:rsidRPr="00FE00E9">
        <w:rPr>
          <w:sz w:val="24"/>
          <w:szCs w:val="24"/>
        </w:rPr>
        <w:t xml:space="preserve"> </w:t>
      </w:r>
      <w:r w:rsidR="006404AF">
        <w:rPr>
          <w:sz w:val="24"/>
          <w:szCs w:val="24"/>
        </w:rPr>
        <w:t>iste tehnologije.</w:t>
      </w:r>
      <w:r w:rsidR="00CE23BC">
        <w:rPr>
          <w:sz w:val="24"/>
          <w:szCs w:val="24"/>
        </w:rPr>
        <w:t xml:space="preserve"> Populacijska pokrivenost LTE tehnologijom je na kraju 2017. bila preko 90</w:t>
      </w:r>
      <w:r w:rsidR="00CE4ED0">
        <w:rPr>
          <w:sz w:val="24"/>
          <w:szCs w:val="24"/>
        </w:rPr>
        <w:t xml:space="preserve"> posto</w:t>
      </w:r>
      <w:r w:rsidR="00CE23BC">
        <w:rPr>
          <w:sz w:val="24"/>
          <w:szCs w:val="24"/>
        </w:rPr>
        <w:t>.</w:t>
      </w:r>
    </w:p>
    <w:p w:rsidR="006404AF" w:rsidRDefault="006404AF" w:rsidP="007F5495">
      <w:pPr>
        <w:spacing w:after="0" w:line="240" w:lineRule="auto"/>
        <w:jc w:val="both"/>
        <w:rPr>
          <w:sz w:val="24"/>
          <w:szCs w:val="24"/>
        </w:rPr>
      </w:pPr>
    </w:p>
    <w:p w:rsidR="00970CFB" w:rsidRDefault="00970CFB" w:rsidP="00970CFB">
      <w:pPr>
        <w:spacing w:after="0" w:line="240" w:lineRule="auto"/>
        <w:jc w:val="both"/>
        <w:rPr>
          <w:rFonts w:eastAsia="Times New Roman" w:cstheme="minorHAnsi"/>
          <w:sz w:val="24"/>
          <w:szCs w:val="24"/>
          <w:lang w:eastAsia="hr-HR"/>
        </w:rPr>
      </w:pPr>
      <w:r w:rsidRPr="00B53AEE">
        <w:rPr>
          <w:rFonts w:eastAsia="Times New Roman" w:cstheme="minorHAnsi"/>
          <w:sz w:val="24"/>
          <w:szCs w:val="24"/>
          <w:lang w:eastAsia="hr-HR"/>
        </w:rPr>
        <w:t>U Republici Hrvatskoj, kao i u većini zemalja, gustoća korisnika</w:t>
      </w:r>
      <w:r w:rsidR="00CA0BD9">
        <w:rPr>
          <w:rStyle w:val="FootnoteReference"/>
          <w:rFonts w:eastAsia="Times New Roman" w:cstheme="minorHAnsi"/>
          <w:sz w:val="24"/>
          <w:szCs w:val="24"/>
          <w:lang w:eastAsia="hr-HR"/>
        </w:rPr>
        <w:footnoteReference w:id="21"/>
      </w:r>
      <w:r w:rsidRPr="00B53AEE">
        <w:rPr>
          <w:rFonts w:eastAsia="Times New Roman" w:cstheme="minorHAnsi"/>
          <w:sz w:val="24"/>
          <w:szCs w:val="24"/>
          <w:lang w:eastAsia="hr-HR"/>
        </w:rPr>
        <w:t xml:space="preserve"> je iznad 100 posto, odnosno broj priključaka (SIM kartica) u pokretnoj javnoj komunikacijskoj mr</w:t>
      </w:r>
      <w:r>
        <w:rPr>
          <w:rFonts w:eastAsia="Times New Roman" w:cstheme="minorHAnsi"/>
          <w:sz w:val="24"/>
          <w:szCs w:val="24"/>
          <w:lang w:eastAsia="hr-HR"/>
        </w:rPr>
        <w:t>eži je veći od broja stanovnika</w:t>
      </w:r>
      <w:r w:rsidRPr="00B53AEE">
        <w:rPr>
          <w:rFonts w:eastAsia="Times New Roman" w:cstheme="minorHAnsi"/>
          <w:sz w:val="24"/>
          <w:szCs w:val="24"/>
          <w:lang w:eastAsia="hr-HR"/>
        </w:rPr>
        <w:t xml:space="preserve">. </w:t>
      </w:r>
      <w:r w:rsidR="00CE4ED0" w:rsidRPr="00B36AA1">
        <w:rPr>
          <w:rFonts w:eastAsia="Times New Roman" w:cstheme="minorHAnsi"/>
          <w:sz w:val="24"/>
          <w:szCs w:val="24"/>
          <w:lang w:eastAsia="hr-HR"/>
        </w:rPr>
        <w:t>Smanjenje broja korisnika telefonskih usluga u pokretnoj mreži</w:t>
      </w:r>
      <w:r w:rsidR="00CE4ED0">
        <w:rPr>
          <w:rFonts w:eastAsia="Times New Roman" w:cstheme="minorHAnsi"/>
          <w:sz w:val="24"/>
          <w:szCs w:val="24"/>
          <w:lang w:eastAsia="hr-HR"/>
        </w:rPr>
        <w:t>, prikazano na slici 1, uglavnom je posljedica</w:t>
      </w:r>
      <w:r w:rsidR="00CE4ED0" w:rsidRPr="00B36AA1">
        <w:rPr>
          <w:rFonts w:eastAsia="Times New Roman" w:cstheme="minorHAnsi"/>
          <w:sz w:val="24"/>
          <w:szCs w:val="24"/>
          <w:lang w:eastAsia="hr-HR"/>
        </w:rPr>
        <w:t xml:space="preserve"> pojave tarifnih paketa povoljnijih za krajnje korisnike, odnosno pojave tarifnih paketa koji ne rade razliku u cijeni između poziva unutar mreže i poziva prema drugim mrežama. </w:t>
      </w:r>
      <w:r w:rsidR="00CE4ED0">
        <w:rPr>
          <w:rFonts w:eastAsia="Times New Roman" w:cstheme="minorHAnsi"/>
          <w:sz w:val="24"/>
          <w:szCs w:val="24"/>
          <w:lang w:eastAsia="hr-HR"/>
        </w:rPr>
        <w:t>Stoga se</w:t>
      </w:r>
      <w:r w:rsidR="00CE4ED0" w:rsidRPr="00B36AA1">
        <w:rPr>
          <w:rFonts w:eastAsia="Times New Roman" w:cstheme="minorHAnsi"/>
          <w:sz w:val="24"/>
          <w:szCs w:val="24"/>
          <w:lang w:eastAsia="hr-HR"/>
        </w:rPr>
        <w:t xml:space="preserve"> korisni</w:t>
      </w:r>
      <w:r w:rsidR="00CE4ED0">
        <w:rPr>
          <w:rFonts w:eastAsia="Times New Roman" w:cstheme="minorHAnsi"/>
          <w:sz w:val="24"/>
          <w:szCs w:val="24"/>
          <w:lang w:eastAsia="hr-HR"/>
        </w:rPr>
        <w:t>ci</w:t>
      </w:r>
      <w:r w:rsidR="00CE4ED0" w:rsidRPr="00B36AA1">
        <w:rPr>
          <w:rFonts w:eastAsia="Times New Roman" w:cstheme="minorHAnsi"/>
          <w:sz w:val="24"/>
          <w:szCs w:val="24"/>
          <w:lang w:eastAsia="hr-HR"/>
        </w:rPr>
        <w:t xml:space="preserve"> odlučuj</w:t>
      </w:r>
      <w:r w:rsidR="00CE4ED0">
        <w:rPr>
          <w:rFonts w:eastAsia="Times New Roman" w:cstheme="minorHAnsi"/>
          <w:sz w:val="24"/>
          <w:szCs w:val="24"/>
          <w:lang w:eastAsia="hr-HR"/>
        </w:rPr>
        <w:t>u</w:t>
      </w:r>
      <w:r w:rsidR="00CE4ED0" w:rsidRPr="00B36AA1">
        <w:rPr>
          <w:rFonts w:eastAsia="Times New Roman" w:cstheme="minorHAnsi"/>
          <w:sz w:val="24"/>
          <w:szCs w:val="24"/>
          <w:lang w:eastAsia="hr-HR"/>
        </w:rPr>
        <w:t xml:space="preserve"> samo za jednog operatora.</w:t>
      </w:r>
    </w:p>
    <w:p w:rsidR="00CE4ED0" w:rsidRDefault="00CE4ED0">
      <w:pPr>
        <w:rPr>
          <w:rFonts w:eastAsia="Times New Roman" w:cstheme="minorHAnsi"/>
          <w:sz w:val="24"/>
          <w:szCs w:val="24"/>
          <w:highlight w:val="yellow"/>
          <w:lang w:eastAsia="hr-HR"/>
        </w:rPr>
      </w:pPr>
      <w:r>
        <w:rPr>
          <w:rFonts w:eastAsia="Times New Roman" w:cstheme="minorHAnsi"/>
          <w:sz w:val="24"/>
          <w:szCs w:val="24"/>
          <w:highlight w:val="yellow"/>
          <w:lang w:eastAsia="hr-HR"/>
        </w:rPr>
        <w:br w:type="page"/>
      </w:r>
    </w:p>
    <w:p w:rsidR="00970CFB" w:rsidRPr="00B53AEE" w:rsidRDefault="00970CFB" w:rsidP="00970CFB">
      <w:pPr>
        <w:pStyle w:val="Caption"/>
      </w:pPr>
      <w:bookmarkStart w:id="11" w:name="_Toc525508361"/>
      <w:r>
        <w:lastRenderedPageBreak/>
        <w:t xml:space="preserve">Slika </w:t>
      </w:r>
      <w:r w:rsidR="00965FFE">
        <w:rPr>
          <w:noProof/>
        </w:rPr>
        <w:fldChar w:fldCharType="begin"/>
      </w:r>
      <w:r w:rsidR="00965FFE">
        <w:rPr>
          <w:noProof/>
        </w:rPr>
        <w:instrText xml:space="preserve"> SEQ Slika \* ARABIC </w:instrText>
      </w:r>
      <w:r w:rsidR="00965FFE">
        <w:rPr>
          <w:noProof/>
        </w:rPr>
        <w:fldChar w:fldCharType="separate"/>
      </w:r>
      <w:r w:rsidR="0015566D">
        <w:rPr>
          <w:noProof/>
        </w:rPr>
        <w:t>1</w:t>
      </w:r>
      <w:r w:rsidR="00965FFE">
        <w:rPr>
          <w:noProof/>
        </w:rPr>
        <w:fldChar w:fldCharType="end"/>
      </w:r>
      <w:r>
        <w:t xml:space="preserve"> </w:t>
      </w:r>
      <w:r w:rsidRPr="00B53AEE">
        <w:t>Gustoća korisnika telefonskih usluga u javnoj pokretnoj komunikacijskoj mreži</w:t>
      </w:r>
      <w:bookmarkEnd w:id="11"/>
    </w:p>
    <w:p w:rsidR="00970CFB" w:rsidRPr="00A27BA3" w:rsidRDefault="00970CFB" w:rsidP="00970CFB">
      <w:pPr>
        <w:spacing w:after="0" w:line="240" w:lineRule="auto"/>
        <w:jc w:val="both"/>
        <w:rPr>
          <w:rFonts w:eastAsia="Times New Roman" w:cstheme="minorHAnsi"/>
          <w:sz w:val="24"/>
          <w:szCs w:val="24"/>
          <w:highlight w:val="yellow"/>
          <w:lang w:eastAsia="hr-HR"/>
        </w:rPr>
      </w:pPr>
      <w:r>
        <w:rPr>
          <w:noProof/>
          <w:lang w:eastAsia="hr-HR"/>
        </w:rPr>
        <w:drawing>
          <wp:inline distT="0" distB="0" distL="0" distR="0" wp14:anchorId="7F92983A" wp14:editId="4AF6F7AC">
            <wp:extent cx="5219700" cy="2686050"/>
            <wp:effectExtent l="0" t="0" r="0" b="0"/>
            <wp:docPr id="8" name="Grafikon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70CFB" w:rsidRDefault="00970CFB" w:rsidP="00970CFB">
      <w:pPr>
        <w:spacing w:after="0" w:line="240" w:lineRule="auto"/>
        <w:jc w:val="both"/>
        <w:rPr>
          <w:rFonts w:eastAsia="Times New Roman" w:cstheme="minorHAnsi"/>
          <w:bCs/>
          <w:i/>
          <w:sz w:val="20"/>
          <w:szCs w:val="20"/>
        </w:rPr>
      </w:pPr>
      <w:r w:rsidRPr="00450FEF">
        <w:rPr>
          <w:rFonts w:eastAsia="Times New Roman" w:cstheme="minorHAnsi"/>
          <w:bCs/>
          <w:i/>
          <w:sz w:val="20"/>
          <w:szCs w:val="20"/>
        </w:rPr>
        <w:t xml:space="preserve">Izvor: </w:t>
      </w:r>
      <w:r w:rsidR="00A954D6">
        <w:rPr>
          <w:rFonts w:eastAsia="Times New Roman" w:cstheme="minorHAnsi"/>
          <w:bCs/>
          <w:i/>
          <w:sz w:val="20"/>
          <w:szCs w:val="20"/>
        </w:rPr>
        <w:t>Tromjesečni upitnici HAKOM-a</w:t>
      </w:r>
    </w:p>
    <w:p w:rsidR="00970CFB" w:rsidRDefault="00970CFB" w:rsidP="00970CFB">
      <w:pPr>
        <w:spacing w:after="0" w:line="240" w:lineRule="auto"/>
        <w:jc w:val="both"/>
        <w:rPr>
          <w:rFonts w:eastAsia="Times New Roman" w:cstheme="minorHAnsi"/>
          <w:sz w:val="24"/>
          <w:szCs w:val="24"/>
          <w:highlight w:val="yellow"/>
          <w:lang w:eastAsia="hr-HR"/>
        </w:rPr>
      </w:pPr>
    </w:p>
    <w:p w:rsidR="00CE4ED0" w:rsidRDefault="00CE4ED0" w:rsidP="00CE4ED0">
      <w:pPr>
        <w:spacing w:after="0" w:line="240" w:lineRule="auto"/>
        <w:jc w:val="both"/>
        <w:rPr>
          <w:rFonts w:eastAsia="Times New Roman" w:cstheme="minorHAnsi"/>
          <w:sz w:val="24"/>
          <w:szCs w:val="24"/>
          <w:lang w:eastAsia="hr-HR"/>
        </w:rPr>
      </w:pPr>
      <w:r>
        <w:rPr>
          <w:rFonts w:eastAsia="Times New Roman" w:cstheme="minorHAnsi"/>
          <w:sz w:val="24"/>
          <w:szCs w:val="24"/>
          <w:lang w:eastAsia="hr-HR"/>
        </w:rPr>
        <w:t xml:space="preserve">Nadalje, </w:t>
      </w:r>
      <w:r w:rsidRPr="002C1729">
        <w:rPr>
          <w:rFonts w:eastAsia="Times New Roman" w:cstheme="minorHAnsi"/>
          <w:sz w:val="24"/>
          <w:szCs w:val="24"/>
          <w:lang w:eastAsia="hr-HR"/>
        </w:rPr>
        <w:t xml:space="preserve">korisnici </w:t>
      </w:r>
      <w:r>
        <w:rPr>
          <w:rFonts w:eastAsia="Times New Roman" w:cstheme="minorHAnsi"/>
          <w:sz w:val="24"/>
          <w:szCs w:val="24"/>
          <w:lang w:eastAsia="hr-HR"/>
        </w:rPr>
        <w:t xml:space="preserve">sve više daju </w:t>
      </w:r>
      <w:r w:rsidRPr="002C1729">
        <w:rPr>
          <w:rFonts w:eastAsia="Times New Roman" w:cstheme="minorHAnsi"/>
          <w:sz w:val="24"/>
          <w:szCs w:val="24"/>
          <w:lang w:eastAsia="hr-HR"/>
        </w:rPr>
        <w:t>prednost telefonskoj usluzi</w:t>
      </w:r>
      <w:r>
        <w:rPr>
          <w:rFonts w:eastAsia="Times New Roman" w:cstheme="minorHAnsi"/>
          <w:sz w:val="24"/>
          <w:szCs w:val="24"/>
          <w:lang w:eastAsia="hr-HR"/>
        </w:rPr>
        <w:t xml:space="preserve"> u javnoj pokretnoj mreži </w:t>
      </w:r>
      <w:r w:rsidRPr="002C1729">
        <w:rPr>
          <w:rFonts w:eastAsia="Times New Roman" w:cstheme="minorHAnsi"/>
          <w:sz w:val="24"/>
          <w:szCs w:val="24"/>
          <w:lang w:eastAsia="hr-HR"/>
        </w:rPr>
        <w:t>s pretplatničkim odnosom</w:t>
      </w:r>
      <w:r>
        <w:rPr>
          <w:rFonts w:eastAsia="Times New Roman" w:cstheme="minorHAnsi"/>
          <w:sz w:val="24"/>
          <w:szCs w:val="24"/>
          <w:lang w:eastAsia="hr-HR"/>
        </w:rPr>
        <w:t xml:space="preserve"> (</w:t>
      </w:r>
      <w:r w:rsidRPr="00231601">
        <w:rPr>
          <w:rFonts w:eastAsia="Times New Roman" w:cstheme="minorHAnsi"/>
          <w:i/>
          <w:sz w:val="24"/>
          <w:szCs w:val="24"/>
          <w:lang w:eastAsia="hr-HR"/>
        </w:rPr>
        <w:t>postpaid</w:t>
      </w:r>
      <w:r>
        <w:rPr>
          <w:rFonts w:eastAsia="Times New Roman" w:cstheme="minorHAnsi"/>
          <w:sz w:val="24"/>
          <w:szCs w:val="24"/>
          <w:lang w:eastAsia="hr-HR"/>
        </w:rPr>
        <w:t xml:space="preserve">) </w:t>
      </w:r>
      <w:r w:rsidRPr="002C1729">
        <w:rPr>
          <w:rFonts w:eastAsia="Times New Roman" w:cstheme="minorHAnsi"/>
          <w:sz w:val="24"/>
          <w:szCs w:val="24"/>
          <w:lang w:eastAsia="hr-HR"/>
        </w:rPr>
        <w:t>u odnosu na</w:t>
      </w:r>
      <w:r>
        <w:rPr>
          <w:rFonts w:eastAsia="Times New Roman" w:cstheme="minorHAnsi"/>
          <w:sz w:val="24"/>
          <w:szCs w:val="24"/>
          <w:lang w:eastAsia="hr-HR"/>
        </w:rPr>
        <w:t xml:space="preserve"> </w:t>
      </w:r>
      <w:r w:rsidRPr="002C1729">
        <w:rPr>
          <w:rFonts w:eastAsia="Times New Roman" w:cstheme="minorHAnsi"/>
          <w:sz w:val="24"/>
          <w:szCs w:val="24"/>
          <w:lang w:eastAsia="hr-HR"/>
        </w:rPr>
        <w:t xml:space="preserve">telefonsku uslugu </w:t>
      </w:r>
      <w:r>
        <w:rPr>
          <w:rFonts w:eastAsia="Times New Roman" w:cstheme="minorHAnsi"/>
          <w:sz w:val="24"/>
          <w:szCs w:val="24"/>
          <w:lang w:eastAsia="hr-HR"/>
        </w:rPr>
        <w:t xml:space="preserve">u javnoj pokretnoj mreži </w:t>
      </w:r>
      <w:r w:rsidRPr="002C1729">
        <w:rPr>
          <w:rFonts w:eastAsia="Times New Roman" w:cstheme="minorHAnsi"/>
          <w:sz w:val="24"/>
          <w:szCs w:val="24"/>
          <w:lang w:eastAsia="hr-HR"/>
        </w:rPr>
        <w:t>bez</w:t>
      </w:r>
      <w:r>
        <w:rPr>
          <w:rFonts w:eastAsia="Times New Roman" w:cstheme="minorHAnsi"/>
          <w:sz w:val="24"/>
          <w:szCs w:val="24"/>
          <w:lang w:eastAsia="hr-HR"/>
        </w:rPr>
        <w:t xml:space="preserve"> ugovornog odnosa (</w:t>
      </w:r>
      <w:r w:rsidRPr="00231601">
        <w:rPr>
          <w:rFonts w:eastAsia="Times New Roman" w:cstheme="minorHAnsi"/>
          <w:i/>
          <w:sz w:val="24"/>
          <w:szCs w:val="24"/>
          <w:lang w:eastAsia="hr-HR"/>
        </w:rPr>
        <w:t>prepaid</w:t>
      </w:r>
      <w:r>
        <w:rPr>
          <w:rFonts w:eastAsia="Times New Roman" w:cstheme="minorHAnsi"/>
          <w:sz w:val="24"/>
          <w:szCs w:val="24"/>
          <w:lang w:eastAsia="hr-HR"/>
        </w:rPr>
        <w:t>)</w:t>
      </w:r>
      <w:r w:rsidRPr="002C1729">
        <w:rPr>
          <w:rFonts w:eastAsia="Times New Roman" w:cstheme="minorHAnsi"/>
          <w:sz w:val="24"/>
          <w:szCs w:val="24"/>
          <w:lang w:eastAsia="hr-HR"/>
        </w:rPr>
        <w:t>.</w:t>
      </w:r>
      <w:r>
        <w:rPr>
          <w:rFonts w:eastAsia="Times New Roman" w:cstheme="minorHAnsi"/>
          <w:sz w:val="24"/>
          <w:szCs w:val="24"/>
          <w:lang w:eastAsia="hr-HR"/>
        </w:rPr>
        <w:t xml:space="preserve"> Tako je n</w:t>
      </w:r>
      <w:r w:rsidRPr="004F6EC7">
        <w:rPr>
          <w:rFonts w:eastAsia="Times New Roman" w:cstheme="minorHAnsi"/>
          <w:sz w:val="24"/>
          <w:szCs w:val="24"/>
          <w:lang w:eastAsia="hr-HR"/>
        </w:rPr>
        <w:t xml:space="preserve">a kraju </w:t>
      </w:r>
      <w:r>
        <w:rPr>
          <w:rFonts w:eastAsia="Times New Roman" w:cstheme="minorHAnsi"/>
          <w:sz w:val="24"/>
          <w:szCs w:val="24"/>
          <w:lang w:eastAsia="hr-HR"/>
        </w:rPr>
        <w:t>2017.</w:t>
      </w:r>
      <w:r w:rsidRPr="004F6EC7">
        <w:rPr>
          <w:rFonts w:eastAsia="Times New Roman" w:cstheme="minorHAnsi"/>
          <w:sz w:val="24"/>
          <w:szCs w:val="24"/>
          <w:lang w:eastAsia="hr-HR"/>
        </w:rPr>
        <w:t xml:space="preserve"> broj korisnika s pretplatničkim odnosom</w:t>
      </w:r>
      <w:r>
        <w:rPr>
          <w:rFonts w:eastAsia="Times New Roman" w:cstheme="minorHAnsi"/>
          <w:sz w:val="24"/>
          <w:szCs w:val="24"/>
          <w:lang w:eastAsia="hr-HR"/>
        </w:rPr>
        <w:t xml:space="preserve"> (50,41 posto)</w:t>
      </w:r>
      <w:r w:rsidRPr="004F6EC7">
        <w:rPr>
          <w:rFonts w:eastAsia="Times New Roman" w:cstheme="minorHAnsi"/>
          <w:sz w:val="24"/>
          <w:szCs w:val="24"/>
          <w:lang w:eastAsia="hr-HR"/>
        </w:rPr>
        <w:t xml:space="preserve"> </w:t>
      </w:r>
      <w:r>
        <w:rPr>
          <w:rFonts w:eastAsia="Times New Roman" w:cstheme="minorHAnsi"/>
          <w:sz w:val="24"/>
          <w:szCs w:val="24"/>
          <w:lang w:eastAsia="hr-HR"/>
        </w:rPr>
        <w:t xml:space="preserve">premašio </w:t>
      </w:r>
      <w:r w:rsidRPr="004F6EC7">
        <w:rPr>
          <w:rFonts w:eastAsia="Times New Roman" w:cstheme="minorHAnsi"/>
          <w:sz w:val="24"/>
          <w:szCs w:val="24"/>
          <w:lang w:eastAsia="hr-HR"/>
        </w:rPr>
        <w:t>broj korisnika bez pretplatničkog odnosa</w:t>
      </w:r>
      <w:r>
        <w:rPr>
          <w:rFonts w:eastAsia="Times New Roman" w:cstheme="minorHAnsi"/>
          <w:sz w:val="24"/>
          <w:szCs w:val="24"/>
          <w:lang w:eastAsia="hr-HR"/>
        </w:rPr>
        <w:t xml:space="preserve"> (49,59 posto). </w:t>
      </w:r>
    </w:p>
    <w:p w:rsidR="00CE4ED0" w:rsidRDefault="00CE4ED0" w:rsidP="00CE4ED0">
      <w:pPr>
        <w:spacing w:after="0" w:line="240" w:lineRule="auto"/>
        <w:jc w:val="both"/>
        <w:rPr>
          <w:rFonts w:eastAsia="Times New Roman" w:cstheme="minorHAnsi"/>
          <w:sz w:val="24"/>
          <w:szCs w:val="24"/>
          <w:lang w:eastAsia="hr-HR"/>
        </w:rPr>
      </w:pPr>
    </w:p>
    <w:p w:rsidR="00CE4ED0" w:rsidRDefault="00CE4ED0" w:rsidP="00CE4ED0">
      <w:pPr>
        <w:spacing w:after="0" w:line="240" w:lineRule="auto"/>
        <w:jc w:val="both"/>
        <w:rPr>
          <w:rFonts w:eastAsia="Times New Roman" w:cstheme="minorHAnsi"/>
          <w:sz w:val="24"/>
          <w:szCs w:val="24"/>
          <w:lang w:eastAsia="hr-HR"/>
        </w:rPr>
      </w:pPr>
      <w:r>
        <w:rPr>
          <w:rFonts w:eastAsia="Times New Roman" w:cstheme="minorHAnsi"/>
          <w:sz w:val="24"/>
          <w:szCs w:val="24"/>
          <w:lang w:eastAsia="hr-HR"/>
        </w:rPr>
        <w:t xml:space="preserve">Smanjenje broja </w:t>
      </w:r>
      <w:r w:rsidRPr="00231601">
        <w:rPr>
          <w:rFonts w:eastAsia="Times New Roman" w:cstheme="minorHAnsi"/>
          <w:i/>
          <w:sz w:val="24"/>
          <w:szCs w:val="24"/>
          <w:lang w:eastAsia="hr-HR"/>
        </w:rPr>
        <w:t>prepaid</w:t>
      </w:r>
      <w:r>
        <w:rPr>
          <w:rFonts w:eastAsia="Times New Roman" w:cstheme="minorHAnsi"/>
          <w:sz w:val="24"/>
          <w:szCs w:val="24"/>
          <w:lang w:eastAsia="hr-HR"/>
        </w:rPr>
        <w:t xml:space="preserve"> korisnika u skladu je s trendov</w:t>
      </w:r>
      <w:r w:rsidR="00C23B2A">
        <w:rPr>
          <w:rFonts w:eastAsia="Times New Roman" w:cstheme="minorHAnsi"/>
          <w:sz w:val="24"/>
          <w:szCs w:val="24"/>
          <w:lang w:eastAsia="hr-HR"/>
        </w:rPr>
        <w:t>ima na tržištu, a posljedica je</w:t>
      </w:r>
      <w:r>
        <w:rPr>
          <w:rFonts w:eastAsia="Times New Roman" w:cstheme="minorHAnsi"/>
          <w:sz w:val="24"/>
          <w:szCs w:val="24"/>
          <w:lang w:eastAsia="hr-HR"/>
        </w:rPr>
        <w:t xml:space="preserve"> tržišne utakmice koja se očituje u ponudi atraktivnih </w:t>
      </w:r>
      <w:r w:rsidRPr="00231601">
        <w:rPr>
          <w:rFonts w:eastAsia="Times New Roman" w:cstheme="minorHAnsi"/>
          <w:i/>
          <w:sz w:val="24"/>
          <w:szCs w:val="24"/>
          <w:lang w:eastAsia="hr-HR"/>
        </w:rPr>
        <w:t>postpaid</w:t>
      </w:r>
      <w:r>
        <w:rPr>
          <w:rFonts w:eastAsia="Times New Roman" w:cstheme="minorHAnsi"/>
          <w:sz w:val="24"/>
          <w:szCs w:val="24"/>
          <w:lang w:eastAsia="hr-HR"/>
        </w:rPr>
        <w:t xml:space="preserve"> paketa. Naime, u usporedbi s </w:t>
      </w:r>
      <w:r w:rsidRPr="00544A5B">
        <w:rPr>
          <w:rFonts w:eastAsia="Times New Roman" w:cstheme="minorHAnsi"/>
          <w:i/>
          <w:sz w:val="24"/>
          <w:szCs w:val="24"/>
          <w:lang w:eastAsia="hr-HR"/>
        </w:rPr>
        <w:t>prepaid</w:t>
      </w:r>
      <w:r>
        <w:rPr>
          <w:rFonts w:eastAsia="Times New Roman" w:cstheme="minorHAnsi"/>
          <w:sz w:val="24"/>
          <w:szCs w:val="24"/>
          <w:lang w:eastAsia="hr-HR"/>
        </w:rPr>
        <w:t xml:space="preserve"> ponudama, operatori u </w:t>
      </w:r>
      <w:r w:rsidRPr="00231601">
        <w:rPr>
          <w:rFonts w:eastAsia="Times New Roman" w:cstheme="minorHAnsi"/>
          <w:i/>
          <w:sz w:val="24"/>
          <w:szCs w:val="24"/>
          <w:lang w:eastAsia="hr-HR"/>
        </w:rPr>
        <w:t>postpaid</w:t>
      </w:r>
      <w:r>
        <w:rPr>
          <w:rFonts w:eastAsia="Times New Roman" w:cstheme="minorHAnsi"/>
          <w:sz w:val="24"/>
          <w:szCs w:val="24"/>
          <w:lang w:eastAsia="hr-HR"/>
        </w:rPr>
        <w:t xml:space="preserve"> paketima nude </w:t>
      </w:r>
      <w:r w:rsidRPr="002C1729">
        <w:rPr>
          <w:rFonts w:eastAsia="Times New Roman" w:cstheme="minorHAnsi"/>
          <w:sz w:val="24"/>
          <w:szCs w:val="24"/>
          <w:lang w:eastAsia="hr-HR"/>
        </w:rPr>
        <w:t xml:space="preserve">povoljnije cijene </w:t>
      </w:r>
      <w:r>
        <w:rPr>
          <w:rFonts w:eastAsia="Times New Roman" w:cstheme="minorHAnsi"/>
          <w:sz w:val="24"/>
          <w:szCs w:val="24"/>
          <w:lang w:eastAsia="hr-HR"/>
        </w:rPr>
        <w:t xml:space="preserve">poziva, ali i dodatne pogodnosti (npr. neograničeni internet promet ili kupnja mobilnog uređaja po povoljnijim cijenama u odnosu na </w:t>
      </w:r>
      <w:r w:rsidRPr="00544A5B">
        <w:rPr>
          <w:rFonts w:eastAsia="Times New Roman" w:cstheme="minorHAnsi"/>
          <w:i/>
          <w:sz w:val="24"/>
          <w:szCs w:val="24"/>
          <w:lang w:eastAsia="hr-HR"/>
        </w:rPr>
        <w:t>prepaid</w:t>
      </w:r>
      <w:r w:rsidRPr="00544A5B">
        <w:rPr>
          <w:rFonts w:eastAsia="Times New Roman" w:cstheme="minorHAnsi"/>
          <w:sz w:val="24"/>
          <w:szCs w:val="24"/>
          <w:lang w:eastAsia="hr-HR"/>
        </w:rPr>
        <w:t>).</w:t>
      </w:r>
      <w:r>
        <w:rPr>
          <w:rFonts w:eastAsia="Times New Roman" w:cstheme="minorHAnsi"/>
          <w:sz w:val="24"/>
          <w:szCs w:val="24"/>
          <w:lang w:eastAsia="hr-HR"/>
        </w:rPr>
        <w:t xml:space="preserve"> </w:t>
      </w:r>
    </w:p>
    <w:p w:rsidR="00CE4ED0" w:rsidRPr="00BB7F55" w:rsidRDefault="00CE4ED0" w:rsidP="00970CFB">
      <w:pPr>
        <w:spacing w:after="0" w:line="240" w:lineRule="auto"/>
        <w:jc w:val="both"/>
        <w:rPr>
          <w:rFonts w:eastAsia="Times New Roman" w:cstheme="minorHAnsi"/>
          <w:sz w:val="24"/>
          <w:szCs w:val="24"/>
          <w:highlight w:val="yellow"/>
          <w:lang w:eastAsia="hr-HR"/>
        </w:rPr>
      </w:pPr>
    </w:p>
    <w:p w:rsidR="00970CFB" w:rsidRPr="00A72097" w:rsidRDefault="00970CFB" w:rsidP="00970CFB">
      <w:pPr>
        <w:pStyle w:val="Caption"/>
      </w:pPr>
      <w:bookmarkStart w:id="12" w:name="_Toc525508362"/>
      <w:r>
        <w:lastRenderedPageBreak/>
        <w:t xml:space="preserve">Slika </w:t>
      </w:r>
      <w:r w:rsidR="00965FFE">
        <w:rPr>
          <w:noProof/>
        </w:rPr>
        <w:fldChar w:fldCharType="begin"/>
      </w:r>
      <w:r w:rsidR="00965FFE">
        <w:rPr>
          <w:noProof/>
        </w:rPr>
        <w:instrText xml:space="preserve"> SEQ Slika \* ARABIC </w:instrText>
      </w:r>
      <w:r w:rsidR="00965FFE">
        <w:rPr>
          <w:noProof/>
        </w:rPr>
        <w:fldChar w:fldCharType="separate"/>
      </w:r>
      <w:r w:rsidR="0015566D">
        <w:rPr>
          <w:noProof/>
        </w:rPr>
        <w:t>2</w:t>
      </w:r>
      <w:r w:rsidR="00965FFE">
        <w:rPr>
          <w:noProof/>
        </w:rPr>
        <w:fldChar w:fldCharType="end"/>
      </w:r>
      <w:r>
        <w:t xml:space="preserve"> </w:t>
      </w:r>
      <w:r w:rsidRPr="00774E07">
        <w:t xml:space="preserve">Odnos korisnika s pretplatničkim odnosom (eng. </w:t>
      </w:r>
      <w:r w:rsidR="00231601">
        <w:rPr>
          <w:i/>
        </w:rPr>
        <w:t>post</w:t>
      </w:r>
      <w:r w:rsidRPr="00383553">
        <w:rPr>
          <w:i/>
        </w:rPr>
        <w:t>paid</w:t>
      </w:r>
      <w:r w:rsidRPr="00774E07">
        <w:t xml:space="preserve">) i korisnika bez pretplatničkog odnosa (eng. </w:t>
      </w:r>
      <w:r w:rsidRPr="00383553">
        <w:rPr>
          <w:i/>
        </w:rPr>
        <w:t>prepaid</w:t>
      </w:r>
      <w:r w:rsidRPr="00774E07">
        <w:t>)</w:t>
      </w:r>
      <w:bookmarkEnd w:id="12"/>
    </w:p>
    <w:p w:rsidR="00970CFB" w:rsidRPr="00774E07" w:rsidRDefault="00DC4B63" w:rsidP="00970CFB">
      <w:pPr>
        <w:spacing w:line="240" w:lineRule="auto"/>
        <w:rPr>
          <w:rFonts w:eastAsia="Times New Roman" w:cstheme="minorHAnsi"/>
          <w:sz w:val="24"/>
          <w:szCs w:val="24"/>
          <w:lang w:eastAsia="hr-HR"/>
        </w:rPr>
      </w:pPr>
      <w:r>
        <w:rPr>
          <w:noProof/>
          <w:lang w:eastAsia="hr-HR"/>
        </w:rPr>
        <w:drawing>
          <wp:inline distT="0" distB="0" distL="0" distR="0" wp14:anchorId="1EC4C3AF" wp14:editId="3C1AF975">
            <wp:extent cx="5438775" cy="2790825"/>
            <wp:effectExtent l="0" t="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70CFB" w:rsidRDefault="00970CFB" w:rsidP="00970CFB">
      <w:pPr>
        <w:spacing w:after="0" w:line="240" w:lineRule="auto"/>
        <w:jc w:val="both"/>
        <w:rPr>
          <w:rFonts w:eastAsia="Times New Roman" w:cstheme="minorHAnsi"/>
          <w:bCs/>
          <w:i/>
          <w:sz w:val="20"/>
          <w:szCs w:val="20"/>
        </w:rPr>
      </w:pPr>
      <w:r w:rsidRPr="00774E07">
        <w:rPr>
          <w:rFonts w:eastAsia="Times New Roman" w:cstheme="minorHAnsi"/>
          <w:bCs/>
          <w:i/>
          <w:sz w:val="20"/>
          <w:szCs w:val="20"/>
        </w:rPr>
        <w:t xml:space="preserve">Izvor: </w:t>
      </w:r>
      <w:r w:rsidR="00A954D6" w:rsidRPr="00A954D6">
        <w:rPr>
          <w:rFonts w:eastAsia="Times New Roman" w:cstheme="minorHAnsi"/>
          <w:bCs/>
          <w:i/>
          <w:sz w:val="20"/>
          <w:szCs w:val="20"/>
        </w:rPr>
        <w:t>Tromjesečni upitnici HAKOM-a</w:t>
      </w:r>
    </w:p>
    <w:p w:rsidR="00970CFB" w:rsidRDefault="00B31442" w:rsidP="00CE4ED0">
      <w:pPr>
        <w:spacing w:after="0" w:line="240" w:lineRule="auto"/>
        <w:jc w:val="both"/>
        <w:rPr>
          <w:rFonts w:eastAsia="Times New Roman" w:cstheme="minorHAnsi"/>
          <w:sz w:val="24"/>
          <w:szCs w:val="24"/>
          <w:lang w:eastAsia="hr-HR"/>
        </w:rPr>
      </w:pPr>
      <w:r>
        <w:rPr>
          <w:rFonts w:eastAsia="Times New Roman" w:cstheme="minorHAnsi"/>
          <w:sz w:val="24"/>
          <w:szCs w:val="24"/>
          <w:lang w:eastAsia="hr-HR"/>
        </w:rPr>
        <w:t>T</w:t>
      </w:r>
      <w:r w:rsidR="00010DCB">
        <w:rPr>
          <w:rFonts w:eastAsia="Times New Roman" w:cstheme="minorHAnsi"/>
          <w:sz w:val="24"/>
          <w:szCs w:val="24"/>
          <w:lang w:eastAsia="hr-HR"/>
        </w:rPr>
        <w:t>ržišna utakmica vidljiva</w:t>
      </w:r>
      <w:r w:rsidR="00970CFB" w:rsidRPr="00AD071C">
        <w:rPr>
          <w:rFonts w:eastAsia="Times New Roman" w:cstheme="minorHAnsi"/>
          <w:sz w:val="24"/>
          <w:szCs w:val="24"/>
          <w:lang w:eastAsia="hr-HR"/>
        </w:rPr>
        <w:t xml:space="preserve"> </w:t>
      </w:r>
      <w:r w:rsidR="00544A5B">
        <w:rPr>
          <w:rFonts w:eastAsia="Times New Roman" w:cstheme="minorHAnsi"/>
          <w:sz w:val="24"/>
          <w:szCs w:val="24"/>
          <w:lang w:eastAsia="hr-HR"/>
        </w:rPr>
        <w:t xml:space="preserve">je i </w:t>
      </w:r>
      <w:r w:rsidR="00970CFB" w:rsidRPr="00AD071C">
        <w:rPr>
          <w:rFonts w:eastAsia="Times New Roman" w:cstheme="minorHAnsi"/>
          <w:sz w:val="24"/>
          <w:szCs w:val="24"/>
          <w:lang w:eastAsia="hr-HR"/>
        </w:rPr>
        <w:t>kroz pokazatelj velike migracije korisnika</w:t>
      </w:r>
      <w:r w:rsidR="00544A5B">
        <w:rPr>
          <w:rFonts w:eastAsia="Times New Roman" w:cstheme="minorHAnsi"/>
          <w:sz w:val="24"/>
          <w:szCs w:val="24"/>
          <w:lang w:eastAsia="hr-HR"/>
        </w:rPr>
        <w:t xml:space="preserve"> između operatora </w:t>
      </w:r>
      <w:r w:rsidR="00970CFB">
        <w:rPr>
          <w:rFonts w:eastAsia="Times New Roman" w:cstheme="minorHAnsi"/>
          <w:sz w:val="24"/>
          <w:szCs w:val="24"/>
          <w:lang w:eastAsia="hr-HR"/>
        </w:rPr>
        <w:t>tj.</w:t>
      </w:r>
      <w:r w:rsidR="00970CFB" w:rsidRPr="00AD071C">
        <w:rPr>
          <w:rFonts w:eastAsia="Times New Roman" w:cstheme="minorHAnsi"/>
          <w:sz w:val="24"/>
          <w:szCs w:val="24"/>
          <w:lang w:eastAsia="hr-HR"/>
        </w:rPr>
        <w:t xml:space="preserve"> u broju prenesenih brojeva</w:t>
      </w:r>
      <w:r w:rsidR="00544A5B">
        <w:rPr>
          <w:rFonts w:eastAsia="Times New Roman" w:cstheme="minorHAnsi"/>
          <w:sz w:val="24"/>
          <w:szCs w:val="24"/>
          <w:lang w:eastAsia="hr-HR"/>
        </w:rPr>
        <w:t>.</w:t>
      </w:r>
      <w:r w:rsidR="00970CFB" w:rsidRPr="00AD071C">
        <w:rPr>
          <w:rFonts w:eastAsia="Times New Roman" w:cstheme="minorHAnsi"/>
          <w:sz w:val="24"/>
          <w:szCs w:val="24"/>
          <w:lang w:eastAsia="hr-HR"/>
        </w:rPr>
        <w:t xml:space="preserve"> </w:t>
      </w:r>
      <w:r w:rsidR="00544A5B" w:rsidRPr="00AD071C">
        <w:rPr>
          <w:rFonts w:eastAsia="Times New Roman" w:cstheme="minorHAnsi"/>
          <w:sz w:val="24"/>
          <w:szCs w:val="24"/>
          <w:lang w:eastAsia="hr-HR"/>
        </w:rPr>
        <w:t xml:space="preserve">Korisnicima je uslugom prenosivosti broja omogućeno da u vrlo kratkom vremenu (3 radna dana) uz zadržavanje korisničkog broja </w:t>
      </w:r>
      <w:r w:rsidR="00544A5B">
        <w:rPr>
          <w:rFonts w:eastAsia="Times New Roman" w:cstheme="minorHAnsi"/>
          <w:sz w:val="24"/>
          <w:szCs w:val="24"/>
          <w:lang w:eastAsia="hr-HR"/>
        </w:rPr>
        <w:t xml:space="preserve">mogu promijeniti </w:t>
      </w:r>
      <w:r w:rsidR="00544A5B" w:rsidRPr="00AD071C">
        <w:rPr>
          <w:rFonts w:eastAsia="Times New Roman" w:cstheme="minorHAnsi"/>
          <w:sz w:val="24"/>
          <w:szCs w:val="24"/>
          <w:lang w:eastAsia="hr-HR"/>
        </w:rPr>
        <w:t xml:space="preserve">operatora </w:t>
      </w:r>
      <w:r w:rsidR="00544A5B">
        <w:rPr>
          <w:rFonts w:eastAsia="Times New Roman" w:cstheme="minorHAnsi"/>
          <w:sz w:val="24"/>
          <w:szCs w:val="24"/>
          <w:lang w:eastAsia="hr-HR"/>
        </w:rPr>
        <w:t xml:space="preserve">te odabrati onog </w:t>
      </w:r>
      <w:r w:rsidR="00544A5B" w:rsidRPr="00AD071C">
        <w:rPr>
          <w:rFonts w:eastAsia="Times New Roman" w:cstheme="minorHAnsi"/>
          <w:sz w:val="24"/>
          <w:szCs w:val="24"/>
          <w:lang w:eastAsia="hr-HR"/>
        </w:rPr>
        <w:t>koji najviše odgovara njihovim potrebama.</w:t>
      </w:r>
      <w:r w:rsidR="00F97B0B">
        <w:rPr>
          <w:rFonts w:eastAsia="Times New Roman" w:cstheme="minorHAnsi"/>
          <w:sz w:val="24"/>
          <w:szCs w:val="24"/>
          <w:lang w:eastAsia="hr-HR"/>
        </w:rPr>
        <w:t xml:space="preserve"> U promatranom razdoblju na polugodišnjoj razini između operatora migrira </w:t>
      </w:r>
      <w:r w:rsidR="00C13D7F">
        <w:rPr>
          <w:rFonts w:eastAsia="Times New Roman" w:cstheme="minorHAnsi"/>
          <w:sz w:val="24"/>
          <w:szCs w:val="24"/>
          <w:lang w:eastAsia="hr-HR"/>
        </w:rPr>
        <w:t>prosječno oko</w:t>
      </w:r>
      <w:r w:rsidR="00F97B0B">
        <w:rPr>
          <w:rFonts w:eastAsia="Times New Roman" w:cstheme="minorHAnsi"/>
          <w:sz w:val="24"/>
          <w:szCs w:val="24"/>
          <w:lang w:eastAsia="hr-HR"/>
        </w:rPr>
        <w:t xml:space="preserve"> 86 tisuća korisnika.</w:t>
      </w:r>
      <w:r w:rsidR="00544A5B">
        <w:rPr>
          <w:rFonts w:eastAsia="Times New Roman" w:cstheme="minorHAnsi"/>
          <w:sz w:val="24"/>
          <w:szCs w:val="24"/>
          <w:lang w:eastAsia="hr-HR"/>
        </w:rPr>
        <w:t xml:space="preserve"> </w:t>
      </w:r>
    </w:p>
    <w:p w:rsidR="00CE4ED0" w:rsidRDefault="00CE4ED0" w:rsidP="00CE4ED0">
      <w:pPr>
        <w:spacing w:after="0" w:line="240" w:lineRule="auto"/>
        <w:jc w:val="both"/>
        <w:rPr>
          <w:rFonts w:eastAsia="Times New Roman" w:cstheme="minorHAnsi"/>
          <w:sz w:val="24"/>
          <w:szCs w:val="24"/>
          <w:lang w:eastAsia="hr-HR"/>
        </w:rPr>
      </w:pPr>
    </w:p>
    <w:p w:rsidR="00970CFB" w:rsidRDefault="00475604" w:rsidP="00970CFB">
      <w:pPr>
        <w:spacing w:after="240" w:line="240" w:lineRule="auto"/>
        <w:jc w:val="both"/>
        <w:rPr>
          <w:rFonts w:eastAsia="Times New Roman" w:cstheme="minorHAnsi"/>
          <w:sz w:val="24"/>
          <w:szCs w:val="24"/>
          <w:lang w:eastAsia="hr-HR"/>
        </w:rPr>
      </w:pPr>
      <w:r>
        <w:rPr>
          <w:rFonts w:eastAsia="Times New Roman" w:cstheme="minorHAnsi"/>
          <w:sz w:val="24"/>
          <w:szCs w:val="24"/>
          <w:lang w:eastAsia="hr-HR"/>
        </w:rPr>
        <w:t>U</w:t>
      </w:r>
      <w:r w:rsidR="00970CFB" w:rsidRPr="00C23B53">
        <w:rPr>
          <w:rFonts w:eastAsia="Times New Roman" w:cstheme="minorHAnsi"/>
          <w:sz w:val="24"/>
          <w:szCs w:val="24"/>
          <w:lang w:eastAsia="hr-HR"/>
        </w:rPr>
        <w:t xml:space="preserve">djeli operatora </w:t>
      </w:r>
      <w:r w:rsidR="00B747AC" w:rsidRPr="00B747AC">
        <w:rPr>
          <w:rFonts w:eastAsia="Times New Roman" w:cstheme="minorHAnsi"/>
          <w:sz w:val="24"/>
          <w:szCs w:val="24"/>
          <w:lang w:eastAsia="hr-HR"/>
        </w:rPr>
        <w:t xml:space="preserve">prema ukupnom broju korisnika telefonskih usluga u pokretnoj mreži </w:t>
      </w:r>
      <w:r w:rsidR="00970CFB">
        <w:rPr>
          <w:rFonts w:eastAsia="Times New Roman" w:cstheme="minorHAnsi"/>
          <w:sz w:val="24"/>
          <w:szCs w:val="24"/>
          <w:lang w:eastAsia="hr-HR"/>
        </w:rPr>
        <w:t xml:space="preserve">su </w:t>
      </w:r>
      <w:r w:rsidR="00B747AC">
        <w:rPr>
          <w:rFonts w:eastAsia="Times New Roman" w:cstheme="minorHAnsi"/>
          <w:sz w:val="24"/>
          <w:szCs w:val="24"/>
          <w:lang w:eastAsia="hr-HR"/>
        </w:rPr>
        <w:t xml:space="preserve">u promatranom razdoblju </w:t>
      </w:r>
      <w:r w:rsidR="00970CFB">
        <w:rPr>
          <w:rFonts w:eastAsia="Times New Roman" w:cstheme="minorHAnsi"/>
          <w:sz w:val="24"/>
          <w:szCs w:val="24"/>
          <w:lang w:eastAsia="hr-HR"/>
        </w:rPr>
        <w:t>stabilni</w:t>
      </w:r>
      <w:r w:rsidR="009F376A">
        <w:rPr>
          <w:rFonts w:eastAsia="Times New Roman" w:cstheme="minorHAnsi"/>
          <w:sz w:val="24"/>
          <w:szCs w:val="24"/>
          <w:lang w:eastAsia="hr-HR"/>
        </w:rPr>
        <w:t xml:space="preserve"> (slika 3</w:t>
      </w:r>
      <w:r w:rsidR="00B747AC">
        <w:rPr>
          <w:rFonts w:eastAsia="Times New Roman" w:cstheme="minorHAnsi"/>
          <w:sz w:val="24"/>
          <w:szCs w:val="24"/>
          <w:lang w:eastAsia="hr-HR"/>
        </w:rPr>
        <w:t>.).</w:t>
      </w:r>
    </w:p>
    <w:p w:rsidR="00B43B7E" w:rsidRDefault="00B43B7E" w:rsidP="00B43B7E">
      <w:pPr>
        <w:pStyle w:val="Caption"/>
        <w:keepNext/>
      </w:pPr>
      <w:bookmarkStart w:id="13" w:name="_Toc525508363"/>
      <w:r>
        <w:lastRenderedPageBreak/>
        <w:t xml:space="preserve">Slika </w:t>
      </w:r>
      <w:r w:rsidR="00D049E5">
        <w:rPr>
          <w:noProof/>
        </w:rPr>
        <w:fldChar w:fldCharType="begin"/>
      </w:r>
      <w:r w:rsidR="00D049E5">
        <w:rPr>
          <w:noProof/>
        </w:rPr>
        <w:instrText xml:space="preserve"> SEQ Slika \* ARABIC </w:instrText>
      </w:r>
      <w:r w:rsidR="00D049E5">
        <w:rPr>
          <w:noProof/>
        </w:rPr>
        <w:fldChar w:fldCharType="separate"/>
      </w:r>
      <w:r w:rsidR="0015566D">
        <w:rPr>
          <w:noProof/>
        </w:rPr>
        <w:t>3</w:t>
      </w:r>
      <w:r w:rsidR="00D049E5">
        <w:rPr>
          <w:noProof/>
        </w:rPr>
        <w:fldChar w:fldCharType="end"/>
      </w:r>
      <w:r>
        <w:t xml:space="preserve"> </w:t>
      </w:r>
      <w:r w:rsidRPr="006609A0">
        <w:t>Udjel operatora prema ukupnom broju korisnika telefonskih usluga u pokretnoj mreži</w:t>
      </w:r>
      <w:bookmarkEnd w:id="13"/>
    </w:p>
    <w:p w:rsidR="00970CFB" w:rsidRPr="000B4B58" w:rsidRDefault="00970CFB" w:rsidP="00970CFB">
      <w:r>
        <w:rPr>
          <w:noProof/>
          <w:lang w:eastAsia="hr-HR"/>
        </w:rPr>
        <w:drawing>
          <wp:inline distT="0" distB="0" distL="0" distR="0" wp14:anchorId="44919EBF" wp14:editId="48CEA920">
            <wp:extent cx="5381625" cy="3514725"/>
            <wp:effectExtent l="0" t="0" r="9525" b="9525"/>
            <wp:docPr id="21" name="Grafikon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70CFB" w:rsidRPr="006609A0" w:rsidRDefault="00970CFB" w:rsidP="00970CFB">
      <w:pPr>
        <w:spacing w:after="0" w:line="240" w:lineRule="auto"/>
        <w:jc w:val="both"/>
        <w:rPr>
          <w:rFonts w:eastAsia="Times New Roman" w:cstheme="minorHAnsi"/>
          <w:bCs/>
          <w:i/>
          <w:sz w:val="20"/>
          <w:szCs w:val="20"/>
        </w:rPr>
      </w:pPr>
      <w:r w:rsidRPr="006609A0">
        <w:rPr>
          <w:rFonts w:eastAsia="Times New Roman" w:cstheme="minorHAnsi"/>
          <w:bCs/>
          <w:i/>
          <w:sz w:val="20"/>
          <w:szCs w:val="20"/>
        </w:rPr>
        <w:t xml:space="preserve">Izvor: </w:t>
      </w:r>
      <w:r w:rsidR="00A954D6" w:rsidRPr="00A954D6">
        <w:rPr>
          <w:rFonts w:eastAsia="Times New Roman" w:cstheme="minorHAnsi"/>
          <w:bCs/>
          <w:i/>
          <w:sz w:val="20"/>
          <w:szCs w:val="20"/>
        </w:rPr>
        <w:t>Tromjesečni upitnici HAKOM-a</w:t>
      </w:r>
    </w:p>
    <w:p w:rsidR="00970CFB" w:rsidRDefault="00970CFB" w:rsidP="00970CFB">
      <w:pPr>
        <w:spacing w:after="0" w:line="240" w:lineRule="auto"/>
        <w:jc w:val="both"/>
        <w:rPr>
          <w:sz w:val="24"/>
          <w:szCs w:val="24"/>
          <w:highlight w:val="yellow"/>
        </w:rPr>
      </w:pPr>
    </w:p>
    <w:p w:rsidR="007F5495" w:rsidRDefault="007F5495" w:rsidP="007F5495">
      <w:pPr>
        <w:pStyle w:val="Heading2"/>
      </w:pPr>
      <w:bookmarkStart w:id="14" w:name="_Toc525816338"/>
      <w:r w:rsidRPr="002C1729">
        <w:t>Mjerodavno tržište u dimenziji usluga</w:t>
      </w:r>
      <w:bookmarkEnd w:id="14"/>
    </w:p>
    <w:p w:rsidR="001F7618" w:rsidRDefault="008932C4" w:rsidP="001F7618">
      <w:pPr>
        <w:spacing w:before="200" w:after="0" w:line="240" w:lineRule="auto"/>
        <w:jc w:val="both"/>
        <w:rPr>
          <w:rFonts w:eastAsia="Times New Roman" w:cstheme="minorHAnsi"/>
          <w:sz w:val="24"/>
          <w:szCs w:val="24"/>
          <w:lang w:eastAsia="hr-HR"/>
        </w:rPr>
      </w:pPr>
      <w:r>
        <w:rPr>
          <w:sz w:val="24"/>
          <w:szCs w:val="24"/>
        </w:rPr>
        <w:t xml:space="preserve">S </w:t>
      </w:r>
      <w:r w:rsidRPr="008932C4">
        <w:rPr>
          <w:sz w:val="24"/>
          <w:szCs w:val="24"/>
        </w:rPr>
        <w:t xml:space="preserve">obzirom da potražnja za uslugom na veleprodajnoj razini proizlazi za potražnjom na maloprodajnoj razini, pri određivanju dimenzije usluga mjerodavnog tržišta veleprodajnog </w:t>
      </w:r>
      <w:r w:rsidRPr="008932C4">
        <w:rPr>
          <w:rFonts w:eastAsia="Times New Roman" w:cstheme="minorHAnsi"/>
          <w:sz w:val="24"/>
          <w:szCs w:val="24"/>
          <w:lang w:eastAsia="hr-HR"/>
        </w:rPr>
        <w:t>završavanja glasovnih poziva u vlastitoj mobilnoj mreži</w:t>
      </w:r>
      <w:r w:rsidRPr="008932C4">
        <w:rPr>
          <w:sz w:val="24"/>
          <w:szCs w:val="24"/>
        </w:rPr>
        <w:t>,</w:t>
      </w:r>
      <w:r>
        <w:rPr>
          <w:sz w:val="24"/>
          <w:szCs w:val="24"/>
        </w:rPr>
        <w:t xml:space="preserve"> potrebno je utvrditi postoje li zamjenske usluge maloprodajnoj usluzi koja se nudi na temelju </w:t>
      </w:r>
      <w:r w:rsidRPr="008932C4">
        <w:rPr>
          <w:sz w:val="24"/>
          <w:szCs w:val="24"/>
        </w:rPr>
        <w:t>veleprodajn</w:t>
      </w:r>
      <w:r>
        <w:rPr>
          <w:sz w:val="24"/>
          <w:szCs w:val="24"/>
        </w:rPr>
        <w:t>e usluge</w:t>
      </w:r>
      <w:r w:rsidRPr="008932C4">
        <w:rPr>
          <w:sz w:val="24"/>
          <w:szCs w:val="24"/>
        </w:rPr>
        <w:t xml:space="preserve"> </w:t>
      </w:r>
      <w:r w:rsidRPr="008932C4">
        <w:rPr>
          <w:rFonts w:eastAsia="Times New Roman" w:cstheme="minorHAnsi"/>
          <w:sz w:val="24"/>
          <w:szCs w:val="24"/>
          <w:lang w:eastAsia="hr-HR"/>
        </w:rPr>
        <w:t>završavanja glasovnih poziva u vlastitoj mobilnoj mreži</w:t>
      </w:r>
      <w:r>
        <w:rPr>
          <w:rFonts w:eastAsia="Times New Roman" w:cstheme="minorHAnsi"/>
          <w:sz w:val="24"/>
          <w:szCs w:val="24"/>
          <w:lang w:eastAsia="hr-HR"/>
        </w:rPr>
        <w:t xml:space="preserve">. </w:t>
      </w:r>
      <w:r w:rsidR="001F7618">
        <w:rPr>
          <w:rFonts w:eastAsia="Times New Roman" w:cstheme="minorHAnsi"/>
          <w:sz w:val="24"/>
          <w:szCs w:val="24"/>
          <w:lang w:eastAsia="hr-HR"/>
        </w:rPr>
        <w:t xml:space="preserve">Stoga su, na maloprodajnoj razini, </w:t>
      </w:r>
      <w:r w:rsidRPr="008932C4">
        <w:rPr>
          <w:sz w:val="24"/>
          <w:szCs w:val="24"/>
        </w:rPr>
        <w:t>poziv</w:t>
      </w:r>
      <w:r w:rsidR="001F7618">
        <w:rPr>
          <w:sz w:val="24"/>
          <w:szCs w:val="24"/>
        </w:rPr>
        <w:t>i</w:t>
      </w:r>
      <w:r w:rsidRPr="008932C4">
        <w:rPr>
          <w:sz w:val="24"/>
          <w:szCs w:val="24"/>
        </w:rPr>
        <w:t xml:space="preserve"> upućeni na brojeve u pokretnoj mreži nacionalnih </w:t>
      </w:r>
      <w:r w:rsidRPr="008932C4">
        <w:rPr>
          <w:sz w:val="24"/>
          <w:szCs w:val="24"/>
        </w:rPr>
        <w:lastRenderedPageBreak/>
        <w:t>operatora</w:t>
      </w:r>
      <w:r w:rsidR="001F7618">
        <w:rPr>
          <w:sz w:val="24"/>
          <w:szCs w:val="24"/>
        </w:rPr>
        <w:t xml:space="preserve"> </w:t>
      </w:r>
      <w:r w:rsidR="001F7618">
        <w:rPr>
          <w:rFonts w:eastAsia="Times New Roman" w:cstheme="minorHAnsi"/>
          <w:sz w:val="24"/>
          <w:szCs w:val="24"/>
          <w:lang w:eastAsia="hr-HR"/>
        </w:rPr>
        <w:t>polazišna usluga u odnosu na koju se razmatraju zamjenske usluge</w:t>
      </w:r>
      <w:r w:rsidR="00022F80">
        <w:rPr>
          <w:rFonts w:eastAsia="Times New Roman" w:cstheme="minorHAnsi"/>
          <w:sz w:val="24"/>
          <w:szCs w:val="24"/>
          <w:lang w:eastAsia="hr-HR"/>
        </w:rPr>
        <w:t xml:space="preserve"> koje bi mogle predstavljati indirektno cjenovno ograničenje na veleprodajnu uslugu</w:t>
      </w:r>
      <w:r w:rsidR="001F7618">
        <w:rPr>
          <w:rFonts w:eastAsia="Times New Roman" w:cstheme="minorHAnsi"/>
          <w:sz w:val="24"/>
          <w:szCs w:val="24"/>
          <w:lang w:eastAsia="hr-HR"/>
        </w:rPr>
        <w:t xml:space="preserve">. </w:t>
      </w:r>
    </w:p>
    <w:p w:rsidR="00676A66" w:rsidRDefault="00676A66" w:rsidP="00676A66">
      <w:pPr>
        <w:spacing w:after="0" w:line="240" w:lineRule="auto"/>
        <w:jc w:val="both"/>
        <w:rPr>
          <w:rFonts w:eastAsia="Times New Roman" w:cstheme="minorHAnsi"/>
          <w:sz w:val="24"/>
          <w:szCs w:val="24"/>
          <w:lang w:eastAsia="hr-HR"/>
        </w:rPr>
      </w:pPr>
    </w:p>
    <w:p w:rsidR="00676A66" w:rsidRPr="00B31442" w:rsidRDefault="00676A66" w:rsidP="00676A66">
      <w:pPr>
        <w:spacing w:after="0" w:line="240" w:lineRule="auto"/>
        <w:jc w:val="both"/>
        <w:rPr>
          <w:rFonts w:eastAsia="Times New Roman" w:cstheme="minorHAnsi"/>
          <w:sz w:val="24"/>
          <w:szCs w:val="24"/>
          <w:lang w:eastAsia="hr-HR"/>
        </w:rPr>
      </w:pPr>
      <w:r w:rsidRPr="00B31442">
        <w:rPr>
          <w:rFonts w:eastAsia="Times New Roman" w:cstheme="minorHAnsi"/>
          <w:sz w:val="24"/>
          <w:szCs w:val="24"/>
          <w:lang w:eastAsia="hr-HR"/>
        </w:rPr>
        <w:t>Poziv upućen prema pokretnoj mreži može biti upućen iz iste pokretne mreže ili iz drugih pokretnih i nepokretnih mreža nekog od nacionalnih ili međunarodnih operatora. Slijedom navedenog, tržište</w:t>
      </w:r>
      <w:r w:rsidRPr="00B31442">
        <w:t xml:space="preserve"> </w:t>
      </w:r>
      <w:r w:rsidRPr="00B31442">
        <w:rPr>
          <w:rFonts w:eastAsia="Times New Roman" w:cstheme="minorHAnsi"/>
          <w:sz w:val="24"/>
          <w:szCs w:val="24"/>
          <w:lang w:eastAsia="hr-HR"/>
        </w:rPr>
        <w:t xml:space="preserve">veleprodajnog završavanja glasovnih poziva čine svi pozivi koji su završili u mreži operatora pokretnih mreža, neovisno jesu li pozivi započeti u mreži nacionalnog ili međunarodnog operatora pokretne ili nepokretne mreže. </w:t>
      </w:r>
      <w:r w:rsidR="00096117">
        <w:rPr>
          <w:rFonts w:eastAsia="Times New Roman" w:cstheme="minorHAnsi"/>
          <w:sz w:val="24"/>
          <w:szCs w:val="24"/>
          <w:lang w:eastAsia="hr-HR"/>
        </w:rPr>
        <w:t>Stoga</w:t>
      </w:r>
      <w:r w:rsidRPr="00B31442">
        <w:rPr>
          <w:rFonts w:eastAsia="Times New Roman" w:cstheme="minorHAnsi"/>
          <w:sz w:val="24"/>
          <w:szCs w:val="24"/>
          <w:lang w:eastAsia="hr-HR"/>
        </w:rPr>
        <w:t>, tržište veleprodajnog završavanja glasovnih poziva treba uključivati sve pozive neovisno o elektroničkoj komunikacijskoj mreži u kojoj je poziv započeo.</w:t>
      </w:r>
    </w:p>
    <w:p w:rsidR="00CE4ED0" w:rsidRDefault="00CE4ED0" w:rsidP="00CE4ED0">
      <w:pPr>
        <w:spacing w:after="0" w:line="240" w:lineRule="auto"/>
        <w:jc w:val="both"/>
        <w:rPr>
          <w:sz w:val="24"/>
          <w:szCs w:val="24"/>
        </w:rPr>
      </w:pPr>
    </w:p>
    <w:p w:rsidR="00CE4ED0" w:rsidRPr="00B43B7E" w:rsidRDefault="00CE4ED0" w:rsidP="00CE4ED0">
      <w:pPr>
        <w:spacing w:after="0" w:line="240" w:lineRule="auto"/>
        <w:jc w:val="both"/>
        <w:rPr>
          <w:sz w:val="24"/>
          <w:szCs w:val="24"/>
        </w:rPr>
      </w:pPr>
      <w:r w:rsidRPr="00B43B7E">
        <w:rPr>
          <w:sz w:val="24"/>
          <w:szCs w:val="24"/>
        </w:rPr>
        <w:t>U objašnjen</w:t>
      </w:r>
      <w:r>
        <w:rPr>
          <w:sz w:val="24"/>
          <w:szCs w:val="24"/>
        </w:rPr>
        <w:t>j</w:t>
      </w:r>
      <w:r w:rsidRPr="00B43B7E">
        <w:rPr>
          <w:sz w:val="24"/>
          <w:szCs w:val="24"/>
        </w:rPr>
        <w:t>u Preporuke o mjerodavnim tržištima</w:t>
      </w:r>
      <w:r w:rsidRPr="00B43B7E">
        <w:rPr>
          <w:rStyle w:val="FootnoteReference"/>
          <w:sz w:val="24"/>
          <w:szCs w:val="24"/>
        </w:rPr>
        <w:footnoteReference w:id="22"/>
      </w:r>
      <w:r w:rsidRPr="00B43B7E">
        <w:rPr>
          <w:sz w:val="24"/>
          <w:szCs w:val="24"/>
        </w:rPr>
        <w:t xml:space="preserve"> se navodi kako tržište veleprodajnog završavanja glasovnih poziva u vlastitoj mobilnoj mreži u skladu s tehnološki neutralnim pristupom treba obuhvatiti sve mobilne mrežne topologije 2G, 3G – UMTS, 4G – LTE i druge mrežne topologije ukoliko su iste prisutne na tržištu. </w:t>
      </w:r>
    </w:p>
    <w:p w:rsidR="00CE4ED0" w:rsidRPr="00B43B7E" w:rsidRDefault="00CE4ED0" w:rsidP="00CE4ED0">
      <w:pPr>
        <w:spacing w:after="0" w:line="240" w:lineRule="auto"/>
        <w:jc w:val="both"/>
        <w:rPr>
          <w:sz w:val="24"/>
          <w:szCs w:val="24"/>
        </w:rPr>
      </w:pPr>
    </w:p>
    <w:p w:rsidR="00CE4ED0" w:rsidRDefault="00CE4ED0" w:rsidP="00CE4ED0">
      <w:pPr>
        <w:spacing w:after="0" w:line="240" w:lineRule="auto"/>
        <w:jc w:val="both"/>
        <w:rPr>
          <w:sz w:val="24"/>
          <w:szCs w:val="24"/>
        </w:rPr>
      </w:pPr>
      <w:r w:rsidRPr="00B43B7E">
        <w:rPr>
          <w:sz w:val="24"/>
          <w:szCs w:val="24"/>
        </w:rPr>
        <w:t>S obzirom da je omogućena interoperabilnost između 2G, 3G i 4G tehnologije, što znači da korisnici mogu međusobno razgovarati bez obzira imaju li mobilne uređaje koji podržavaju iste tehnologije, te da u praksi korisnik pokretnih mreža ne zna hoće li poziv koji je uputio završiti na mobilnom uređaju koji podržava 2G, 3G ili 4G tehnologiju</w:t>
      </w:r>
      <w:r w:rsidRPr="00B43B7E">
        <w:rPr>
          <w:rStyle w:val="FootnoteReference"/>
          <w:sz w:val="24"/>
          <w:szCs w:val="24"/>
        </w:rPr>
        <w:footnoteReference w:id="23"/>
      </w:r>
      <w:r w:rsidRPr="00B43B7E">
        <w:rPr>
          <w:sz w:val="24"/>
          <w:szCs w:val="24"/>
        </w:rPr>
        <w:t xml:space="preserve">, HAKOM u ovoj analizi razmatra pozive </w:t>
      </w:r>
      <w:r w:rsidRPr="00B43B7E">
        <w:rPr>
          <w:rFonts w:eastAsia="Times New Roman" w:cstheme="minorHAnsi"/>
          <w:sz w:val="24"/>
          <w:szCs w:val="24"/>
          <w:lang w:eastAsia="hr-HR"/>
        </w:rPr>
        <w:t>upućene prema pokretnoj mreži</w:t>
      </w:r>
      <w:r w:rsidRPr="00B43B7E">
        <w:rPr>
          <w:sz w:val="24"/>
          <w:szCs w:val="24"/>
        </w:rPr>
        <w:t xml:space="preserve"> neovisno o tehnologiji koja se koristi za završavanje poziva. </w:t>
      </w:r>
    </w:p>
    <w:p w:rsidR="00970CFB" w:rsidRPr="00E7485D" w:rsidRDefault="00970CFB" w:rsidP="00C224C0">
      <w:pPr>
        <w:pStyle w:val="Heading3"/>
      </w:pPr>
      <w:bookmarkStart w:id="15" w:name="_Toc525816339"/>
      <w:r w:rsidRPr="00E7485D">
        <w:lastRenderedPageBreak/>
        <w:t>Zamjenjivost na strani potražnje – maloprodajna razina</w:t>
      </w:r>
      <w:bookmarkEnd w:id="15"/>
    </w:p>
    <w:p w:rsidR="00970CFB" w:rsidRPr="00E7485D" w:rsidRDefault="00970CFB" w:rsidP="00970CFB">
      <w:pPr>
        <w:spacing w:before="200" w:after="0" w:line="240" w:lineRule="auto"/>
        <w:jc w:val="both"/>
        <w:rPr>
          <w:sz w:val="24"/>
          <w:szCs w:val="24"/>
        </w:rPr>
      </w:pPr>
      <w:r w:rsidRPr="00E7485D">
        <w:rPr>
          <w:sz w:val="24"/>
          <w:szCs w:val="24"/>
        </w:rPr>
        <w:t>Učinci zamjenjivosti na strani potražnje na maloprodajnoj razini predstavljaju učinke zamjenjivosti javno ponuđenih elektroničkih komunikacijskih usluga na mjerodavnom tržištu zbog kojih korisnici mogu radi povećanja cijene jedne usluge početi koristiti drugu uslugu ili druge</w:t>
      </w:r>
      <w:r w:rsidR="00676A66">
        <w:rPr>
          <w:sz w:val="24"/>
          <w:szCs w:val="24"/>
        </w:rPr>
        <w:t>,</w:t>
      </w:r>
      <w:r w:rsidRPr="00E7485D">
        <w:rPr>
          <w:sz w:val="24"/>
          <w:szCs w:val="24"/>
        </w:rPr>
        <w:t xml:space="preserve"> zamjen</w:t>
      </w:r>
      <w:r w:rsidR="00676A66">
        <w:rPr>
          <w:sz w:val="24"/>
          <w:szCs w:val="24"/>
        </w:rPr>
        <w:t>ske</w:t>
      </w:r>
      <w:r w:rsidRPr="00E7485D">
        <w:rPr>
          <w:sz w:val="24"/>
          <w:szCs w:val="24"/>
        </w:rPr>
        <w:t xml:space="preserve"> usluge kod ostalih operatora na mjerodavnom tržištu. Drugim riječima, zamjenjivost na strani potražnje događa se u trenutku kada korisnik određene usluge prelazi na druge</w:t>
      </w:r>
      <w:r w:rsidR="00676A66">
        <w:rPr>
          <w:sz w:val="24"/>
          <w:szCs w:val="24"/>
        </w:rPr>
        <w:t>,</w:t>
      </w:r>
      <w:r w:rsidRPr="00E7485D">
        <w:rPr>
          <w:sz w:val="24"/>
          <w:szCs w:val="24"/>
        </w:rPr>
        <w:t xml:space="preserve"> zamjen</w:t>
      </w:r>
      <w:r w:rsidR="00676A66">
        <w:rPr>
          <w:sz w:val="24"/>
          <w:szCs w:val="24"/>
        </w:rPr>
        <w:t>ske</w:t>
      </w:r>
      <w:r w:rsidRPr="00E7485D">
        <w:rPr>
          <w:sz w:val="24"/>
          <w:szCs w:val="24"/>
        </w:rPr>
        <w:t xml:space="preserve"> usluge kao odgovor na relativno povećanje cijene usluge koju koristi. </w:t>
      </w:r>
    </w:p>
    <w:p w:rsidR="00970CFB" w:rsidRPr="00E7485D" w:rsidRDefault="00970CFB" w:rsidP="00970CFB">
      <w:pPr>
        <w:spacing w:after="0" w:line="240" w:lineRule="auto"/>
        <w:jc w:val="both"/>
        <w:rPr>
          <w:sz w:val="24"/>
          <w:szCs w:val="24"/>
        </w:rPr>
      </w:pPr>
    </w:p>
    <w:p w:rsidR="00970CFB" w:rsidRPr="00E7485D" w:rsidRDefault="00970CFB" w:rsidP="00970CFB">
      <w:pPr>
        <w:spacing w:after="0" w:line="240" w:lineRule="auto"/>
        <w:jc w:val="both"/>
        <w:rPr>
          <w:sz w:val="24"/>
          <w:szCs w:val="24"/>
        </w:rPr>
      </w:pPr>
      <w:r w:rsidRPr="00E7485D">
        <w:rPr>
          <w:sz w:val="24"/>
          <w:szCs w:val="24"/>
        </w:rPr>
        <w:t xml:space="preserve">U teoriji, ako operator koji nudi uslugu poveća cijenu te usluge korisnici su u mogućnosti prijeći na zamjenske usluge te operatora koji je povisio cijenu svojih usluga prisiliti da cijene vrati na prethodnu razinu iz razloga što će u suprotnom početi gubiti korisnike, a samim time i tržišni udjel. Što je zamjenjivost na strani potražnje jače izražena, operatori su više ograničeni u mogućnosti da povise cijenu usluga koje nude svojim korisnicima. </w:t>
      </w:r>
    </w:p>
    <w:p w:rsidR="00970CFB" w:rsidRPr="00A052D4" w:rsidRDefault="00970CFB" w:rsidP="00970CFB">
      <w:pPr>
        <w:spacing w:after="0" w:line="240" w:lineRule="auto"/>
        <w:jc w:val="both"/>
        <w:rPr>
          <w:sz w:val="24"/>
          <w:szCs w:val="24"/>
          <w:highlight w:val="yellow"/>
        </w:rPr>
      </w:pPr>
    </w:p>
    <w:p w:rsidR="00EF61EC" w:rsidRPr="00CE3D5C" w:rsidRDefault="00970CFB" w:rsidP="00970CFB">
      <w:pPr>
        <w:spacing w:after="0" w:line="240" w:lineRule="auto"/>
        <w:jc w:val="both"/>
        <w:rPr>
          <w:rFonts w:eastAsia="Times New Roman" w:cstheme="minorHAnsi"/>
          <w:sz w:val="24"/>
          <w:szCs w:val="24"/>
          <w:lang w:eastAsia="hr-HR"/>
        </w:rPr>
      </w:pPr>
      <w:r w:rsidRPr="00CE3D5C">
        <w:rPr>
          <w:rFonts w:eastAsia="Times New Roman" w:cstheme="minorHAnsi"/>
          <w:sz w:val="24"/>
          <w:szCs w:val="24"/>
          <w:lang w:eastAsia="hr-HR"/>
        </w:rPr>
        <w:t xml:space="preserve">Pri određivanju mogućih prepreka potencijalnom povećanju cijena završavanja glasovnih poziva u vlastitoj mobilnoj mreži i učinka njihove zamjene, potrebno je razmotriti i korisnikovu cjenovnu osviještenost i osjetljivost na cjenovne promjene. Naime, u većini slučajeva korisnici su osjetljivi na cijenu usluge koju kupuju te na taj način ograničavaju operatore u povećavanju maloprodajnih cijena svojih usluga, a sukladno tome i veleprodajnih cijena. </w:t>
      </w:r>
    </w:p>
    <w:p w:rsidR="00EF61EC" w:rsidRDefault="00EF61EC" w:rsidP="00970CFB">
      <w:pPr>
        <w:spacing w:after="0" w:line="240" w:lineRule="auto"/>
        <w:jc w:val="both"/>
        <w:rPr>
          <w:rFonts w:eastAsia="Times New Roman" w:cstheme="minorHAnsi"/>
          <w:sz w:val="24"/>
          <w:szCs w:val="24"/>
          <w:highlight w:val="yellow"/>
          <w:lang w:eastAsia="hr-HR"/>
        </w:rPr>
      </w:pPr>
    </w:p>
    <w:p w:rsidR="00970CFB" w:rsidRPr="00B31442" w:rsidRDefault="00E8774C" w:rsidP="00970CFB">
      <w:pPr>
        <w:spacing w:after="0" w:line="240" w:lineRule="auto"/>
        <w:jc w:val="both"/>
        <w:rPr>
          <w:rFonts w:eastAsia="Times New Roman" w:cstheme="minorHAnsi"/>
          <w:sz w:val="24"/>
          <w:szCs w:val="24"/>
          <w:lang w:eastAsia="hr-HR"/>
        </w:rPr>
      </w:pPr>
      <w:r w:rsidRPr="00B31442">
        <w:rPr>
          <w:rFonts w:eastAsia="Times New Roman" w:cstheme="minorHAnsi"/>
          <w:sz w:val="24"/>
          <w:szCs w:val="24"/>
          <w:lang w:eastAsia="hr-HR"/>
        </w:rPr>
        <w:t xml:space="preserve">Određivanje cijene </w:t>
      </w:r>
      <w:r w:rsidR="00970CFB" w:rsidRPr="00B31442">
        <w:rPr>
          <w:rFonts w:eastAsia="Times New Roman" w:cstheme="minorHAnsi"/>
          <w:sz w:val="24"/>
          <w:szCs w:val="24"/>
          <w:lang w:eastAsia="hr-HR"/>
        </w:rPr>
        <w:t xml:space="preserve">usluge završavanja glasovnih poziva u Republici Hrvatskoj, kao i u zemljama EU, </w:t>
      </w:r>
      <w:r w:rsidRPr="00B31442">
        <w:rPr>
          <w:rFonts w:eastAsia="Times New Roman" w:cstheme="minorHAnsi"/>
          <w:sz w:val="24"/>
          <w:szCs w:val="24"/>
          <w:lang w:eastAsia="hr-HR"/>
        </w:rPr>
        <w:t>temelji se na</w:t>
      </w:r>
      <w:r w:rsidR="00970CFB" w:rsidRPr="00B31442">
        <w:rPr>
          <w:rFonts w:eastAsia="Times New Roman" w:cstheme="minorHAnsi"/>
          <w:sz w:val="24"/>
          <w:szCs w:val="24"/>
          <w:lang w:eastAsia="hr-HR"/>
        </w:rPr>
        <w:t xml:space="preserve"> CPP</w:t>
      </w:r>
      <w:r w:rsidR="00970CFB" w:rsidRPr="00B31442">
        <w:rPr>
          <w:rFonts w:cstheme="minorHAnsi"/>
          <w:sz w:val="24"/>
          <w:szCs w:val="24"/>
        </w:rPr>
        <w:t xml:space="preserve"> (eng. </w:t>
      </w:r>
      <w:r w:rsidR="00970CFB" w:rsidRPr="00B31442">
        <w:rPr>
          <w:rFonts w:cstheme="minorHAnsi"/>
          <w:i/>
          <w:sz w:val="24"/>
          <w:szCs w:val="24"/>
        </w:rPr>
        <w:t>Calling Party Pays</w:t>
      </w:r>
      <w:r w:rsidR="00970CFB" w:rsidRPr="00B31442">
        <w:rPr>
          <w:rFonts w:cstheme="minorHAnsi"/>
          <w:sz w:val="24"/>
          <w:szCs w:val="24"/>
        </w:rPr>
        <w:t>)</w:t>
      </w:r>
      <w:r w:rsidR="00970CFB" w:rsidRPr="00B31442">
        <w:t xml:space="preserve"> </w:t>
      </w:r>
      <w:r w:rsidR="00970CFB" w:rsidRPr="00B31442">
        <w:rPr>
          <w:rFonts w:eastAsia="Times New Roman" w:cstheme="minorHAnsi"/>
          <w:sz w:val="24"/>
          <w:szCs w:val="24"/>
          <w:lang w:eastAsia="hr-HR"/>
        </w:rPr>
        <w:t>princip</w:t>
      </w:r>
      <w:r w:rsidRPr="00B31442">
        <w:rPr>
          <w:rFonts w:eastAsia="Times New Roman" w:cstheme="minorHAnsi"/>
          <w:sz w:val="24"/>
          <w:szCs w:val="24"/>
          <w:lang w:eastAsia="hr-HR"/>
        </w:rPr>
        <w:t>u</w:t>
      </w:r>
      <w:r w:rsidR="00970CFB" w:rsidRPr="00B31442">
        <w:rPr>
          <w:rFonts w:eastAsia="Times New Roman" w:cstheme="minorHAnsi"/>
          <w:sz w:val="24"/>
          <w:szCs w:val="24"/>
          <w:lang w:eastAsia="hr-HR"/>
        </w:rPr>
        <w:t xml:space="preserve">. Na temelju CPP principa usluga poziva je započeta i plaćena od strane koja je uputila poziv na mobilni uređaj, a ne od strane koja je poziv zaprimila. </w:t>
      </w:r>
    </w:p>
    <w:p w:rsidR="00970CFB" w:rsidRPr="00B31442" w:rsidRDefault="00970CFB" w:rsidP="00970CFB">
      <w:pPr>
        <w:spacing w:after="0" w:line="240" w:lineRule="auto"/>
        <w:jc w:val="both"/>
        <w:rPr>
          <w:sz w:val="24"/>
          <w:szCs w:val="24"/>
        </w:rPr>
      </w:pPr>
    </w:p>
    <w:p w:rsidR="00970CFB" w:rsidRPr="00B31442" w:rsidRDefault="00970CFB" w:rsidP="00970CFB">
      <w:pPr>
        <w:spacing w:after="0" w:line="240" w:lineRule="auto"/>
        <w:jc w:val="both"/>
        <w:rPr>
          <w:rFonts w:eastAsia="Times New Roman" w:cstheme="minorHAnsi"/>
          <w:sz w:val="24"/>
          <w:szCs w:val="24"/>
          <w:lang w:eastAsia="hr-HR"/>
        </w:rPr>
      </w:pPr>
      <w:r w:rsidRPr="00B31442">
        <w:rPr>
          <w:rFonts w:eastAsia="Times New Roman" w:cstheme="minorHAnsi"/>
          <w:sz w:val="24"/>
          <w:szCs w:val="24"/>
          <w:lang w:eastAsia="hr-HR"/>
        </w:rPr>
        <w:t xml:space="preserve">Slijedom navedenog, zbog CPP principa operatori koji povećaju cijenu usluge završavanja glasovnih poziva se ne suočavaju s direktnim cjenovnim ograničenjima s maloprodajne razine, budući da se povećanje maloprodajne cijene odražava na krajnjem korisniku operatora s čije je mreže poziv upućen. Drugim riječima, operatori pokretnih mreža mogu slobodno, bez straha da će gubiti korisnike, podizati cijenu usluge završavanja glasovnih poziva iz razloga što se veća cijena te usluge neće prevaliti na njegove korisnike, već na korisnike operatora koji su uputili poziv njegovim korisnicima. Operator čiji je korisnik uputio poziv morat će platiti višu cijenu za uslugu završavanja glasovnih poziva koju može prevaliti na svojeg korisnika u obliku većih maloprodajnih cijena poziva prema drugim mrežama (eng. </w:t>
      </w:r>
      <w:r w:rsidRPr="00B31442">
        <w:rPr>
          <w:rFonts w:eastAsia="Times New Roman" w:cstheme="minorHAnsi"/>
          <w:i/>
          <w:sz w:val="24"/>
          <w:szCs w:val="24"/>
          <w:lang w:eastAsia="hr-HR"/>
        </w:rPr>
        <w:t>off-net calls</w:t>
      </w:r>
      <w:r w:rsidRPr="00B31442">
        <w:rPr>
          <w:rFonts w:eastAsia="Times New Roman" w:cstheme="minorHAnsi"/>
          <w:sz w:val="24"/>
          <w:szCs w:val="24"/>
          <w:lang w:eastAsia="hr-HR"/>
        </w:rPr>
        <w:t xml:space="preserve">). </w:t>
      </w:r>
    </w:p>
    <w:p w:rsidR="00970CFB" w:rsidRPr="001F7618" w:rsidRDefault="00970CFB" w:rsidP="00970CFB">
      <w:pPr>
        <w:spacing w:after="0" w:line="240" w:lineRule="auto"/>
        <w:jc w:val="both"/>
        <w:rPr>
          <w:sz w:val="24"/>
          <w:szCs w:val="24"/>
          <w:highlight w:val="yellow"/>
        </w:rPr>
      </w:pPr>
    </w:p>
    <w:p w:rsidR="00970CFB" w:rsidRPr="00B31442" w:rsidRDefault="00970CFB" w:rsidP="00970CFB">
      <w:pPr>
        <w:spacing w:after="0" w:line="240" w:lineRule="auto"/>
        <w:jc w:val="both"/>
        <w:rPr>
          <w:rFonts w:eastAsia="Times New Roman" w:cstheme="minorHAnsi"/>
          <w:sz w:val="24"/>
          <w:szCs w:val="24"/>
          <w:lang w:eastAsia="hr-HR"/>
        </w:rPr>
      </w:pPr>
      <w:r w:rsidRPr="00B31442">
        <w:rPr>
          <w:rFonts w:eastAsia="Times New Roman" w:cstheme="minorHAnsi"/>
          <w:sz w:val="24"/>
          <w:szCs w:val="24"/>
          <w:lang w:eastAsia="hr-HR"/>
        </w:rPr>
        <w:t xml:space="preserve">Usluga završavanja glasovnih poziva, osim što je po svojim karakteristikama veleprodajna usluga, u slučaju kada su pozivatelj i primatelj poziva u istoj mreži (eng. </w:t>
      </w:r>
      <w:r w:rsidRPr="00B31442">
        <w:rPr>
          <w:rFonts w:eastAsia="Times New Roman" w:cstheme="minorHAnsi"/>
          <w:i/>
          <w:sz w:val="24"/>
          <w:szCs w:val="24"/>
          <w:lang w:eastAsia="hr-HR"/>
        </w:rPr>
        <w:t>on-net calls</w:t>
      </w:r>
      <w:r w:rsidRPr="00B31442">
        <w:rPr>
          <w:rFonts w:eastAsia="Times New Roman" w:cstheme="minorHAnsi"/>
          <w:sz w:val="24"/>
          <w:szCs w:val="24"/>
          <w:lang w:eastAsia="hr-HR"/>
        </w:rPr>
        <w:t>) definira se kao usluga za vlastite potrebe (eng.</w:t>
      </w:r>
      <w:r w:rsidRPr="00B31442">
        <w:rPr>
          <w:rFonts w:eastAsia="Times New Roman" w:cstheme="minorHAnsi"/>
          <w:i/>
          <w:sz w:val="24"/>
          <w:szCs w:val="24"/>
          <w:lang w:eastAsia="hr-HR"/>
        </w:rPr>
        <w:t xml:space="preserve"> self supply</w:t>
      </w:r>
      <w:r w:rsidRPr="00B31442">
        <w:rPr>
          <w:rFonts w:eastAsia="Times New Roman" w:cstheme="minorHAnsi"/>
          <w:sz w:val="24"/>
          <w:szCs w:val="24"/>
          <w:lang w:eastAsia="hr-HR"/>
        </w:rPr>
        <w:t xml:space="preserve">), što znači da usluga nije prodana drugom operatoru, već maloprodajnom dijelu istog operatora. Maloprodajna cijena usluge poziva upućenog prema brojevima u pokretnoj mreži može stvoriti pritisak na određivanje cijena usluge završavanja glasovnih poziva jedino na način da se „izbjegne“ mreža operatora na čiji je broj poziv upućen. Međutim, u slučaju poziva u određenu pokretnu mrežu ne postoji zamjenska usluga tom pozivu, osim da poziv završi na broju i u mreži u koju je poziv i upućen. </w:t>
      </w:r>
    </w:p>
    <w:p w:rsidR="00970CFB" w:rsidRPr="00B31442" w:rsidRDefault="00970CFB" w:rsidP="00970CFB">
      <w:pPr>
        <w:spacing w:after="0" w:line="240" w:lineRule="auto"/>
        <w:jc w:val="both"/>
        <w:rPr>
          <w:rFonts w:eastAsia="Times New Roman" w:cstheme="minorHAnsi"/>
          <w:sz w:val="24"/>
          <w:szCs w:val="24"/>
          <w:lang w:eastAsia="hr-HR"/>
        </w:rPr>
      </w:pPr>
    </w:p>
    <w:p w:rsidR="00970CFB" w:rsidRDefault="00970CFB" w:rsidP="00970CFB">
      <w:pPr>
        <w:spacing w:after="0" w:line="240" w:lineRule="auto"/>
        <w:jc w:val="both"/>
        <w:rPr>
          <w:rFonts w:eastAsia="Times New Roman" w:cstheme="minorHAnsi"/>
          <w:sz w:val="24"/>
          <w:szCs w:val="24"/>
          <w:lang w:eastAsia="hr-HR"/>
        </w:rPr>
      </w:pPr>
      <w:r w:rsidRPr="00B31442">
        <w:rPr>
          <w:rFonts w:eastAsia="Times New Roman" w:cstheme="minorHAnsi"/>
          <w:sz w:val="24"/>
          <w:szCs w:val="24"/>
          <w:lang w:eastAsia="hr-HR"/>
        </w:rPr>
        <w:t>U procjeni čimbenika koji predstavljaju prepreke potencijalnom povećanju cijene završavanja glasovnih poziva potrebno je uzeti u obzir postojanje alternativnih načina komunikacije koji bi se mogli smatrati zamjenskim uslugama pozivima upućenim na brojeve u pokretnoj mreži. Naime, dostupnost takvih zamjenskih usluga direktno utječe na cijenu usluge završavanja glasovnih poziva u vlastitoj mobilnoj mreži.</w:t>
      </w:r>
      <w:r>
        <w:rPr>
          <w:rFonts w:eastAsia="Times New Roman" w:cstheme="minorHAnsi"/>
          <w:sz w:val="24"/>
          <w:szCs w:val="24"/>
          <w:lang w:eastAsia="hr-HR"/>
        </w:rPr>
        <w:t xml:space="preserve"> </w:t>
      </w:r>
    </w:p>
    <w:p w:rsidR="00970CFB" w:rsidRPr="00E7485D" w:rsidRDefault="00970CFB" w:rsidP="00970CFB">
      <w:pPr>
        <w:spacing w:after="0" w:line="240" w:lineRule="auto"/>
        <w:jc w:val="both"/>
        <w:rPr>
          <w:rFonts w:eastAsia="Times New Roman" w:cstheme="minorHAnsi"/>
          <w:sz w:val="24"/>
          <w:szCs w:val="24"/>
          <w:lang w:eastAsia="hr-HR"/>
        </w:rPr>
      </w:pPr>
    </w:p>
    <w:p w:rsidR="00E8774C" w:rsidRDefault="00970CFB" w:rsidP="00970CFB">
      <w:pPr>
        <w:spacing w:after="0" w:line="240" w:lineRule="auto"/>
        <w:jc w:val="both"/>
        <w:rPr>
          <w:rFonts w:eastAsia="Times New Roman" w:cstheme="minorHAnsi"/>
          <w:sz w:val="24"/>
          <w:szCs w:val="24"/>
          <w:lang w:eastAsia="hr-HR"/>
        </w:rPr>
      </w:pPr>
      <w:r w:rsidRPr="00E7485D">
        <w:rPr>
          <w:rFonts w:eastAsia="Times New Roman" w:cstheme="minorHAnsi"/>
          <w:sz w:val="24"/>
          <w:szCs w:val="24"/>
          <w:lang w:eastAsia="hr-HR"/>
        </w:rPr>
        <w:lastRenderedPageBreak/>
        <w:t xml:space="preserve">U slučaju postojanja odgovarajućih zamjenskih usluga, prelazak cjenovno osviještenih korisnika na te zamjenske usluge bi mogli smatrati preprekom potencijalnom povećanju cijene završavanja </w:t>
      </w:r>
      <w:r>
        <w:rPr>
          <w:rFonts w:eastAsia="Times New Roman" w:cstheme="minorHAnsi"/>
          <w:sz w:val="24"/>
          <w:szCs w:val="24"/>
          <w:lang w:eastAsia="hr-HR"/>
        </w:rPr>
        <w:t>glasovnih</w:t>
      </w:r>
      <w:r w:rsidRPr="00E7485D">
        <w:rPr>
          <w:rFonts w:eastAsia="Times New Roman" w:cstheme="minorHAnsi"/>
          <w:sz w:val="24"/>
          <w:szCs w:val="24"/>
          <w:lang w:eastAsia="hr-HR"/>
        </w:rPr>
        <w:t xml:space="preserve"> poziva. </w:t>
      </w:r>
    </w:p>
    <w:p w:rsidR="00E8774C" w:rsidRDefault="00E8774C" w:rsidP="00970CFB">
      <w:pPr>
        <w:spacing w:after="0" w:line="240" w:lineRule="auto"/>
        <w:jc w:val="both"/>
        <w:rPr>
          <w:rFonts w:eastAsia="Times New Roman" w:cstheme="minorHAnsi"/>
          <w:sz w:val="24"/>
          <w:szCs w:val="24"/>
          <w:lang w:eastAsia="hr-HR"/>
        </w:rPr>
      </w:pPr>
    </w:p>
    <w:p w:rsidR="00E8774C" w:rsidRDefault="00E8774C" w:rsidP="00970CFB">
      <w:pPr>
        <w:spacing w:after="0" w:line="240" w:lineRule="auto"/>
        <w:jc w:val="both"/>
        <w:rPr>
          <w:rFonts w:eastAsia="Times New Roman" w:cstheme="minorHAnsi"/>
          <w:sz w:val="24"/>
          <w:szCs w:val="24"/>
          <w:lang w:eastAsia="hr-HR"/>
        </w:rPr>
      </w:pPr>
      <w:r>
        <w:rPr>
          <w:rFonts w:eastAsia="Times New Roman" w:cstheme="minorHAnsi"/>
          <w:sz w:val="24"/>
          <w:szCs w:val="24"/>
          <w:lang w:eastAsia="hr-HR"/>
        </w:rPr>
        <w:t>Mogući alternativni načini komuniciranja su p</w:t>
      </w:r>
      <w:r w:rsidRPr="00E8774C">
        <w:rPr>
          <w:rFonts w:eastAsia="Times New Roman" w:cstheme="minorHAnsi"/>
          <w:sz w:val="24"/>
          <w:szCs w:val="24"/>
          <w:lang w:eastAsia="hr-HR"/>
        </w:rPr>
        <w:t>ozivi upućeni na brojeve u nepokretnoj mreži</w:t>
      </w:r>
      <w:r>
        <w:rPr>
          <w:rFonts w:eastAsia="Times New Roman" w:cstheme="minorHAnsi"/>
          <w:sz w:val="24"/>
          <w:szCs w:val="24"/>
          <w:lang w:eastAsia="hr-HR"/>
        </w:rPr>
        <w:t>, komuni</w:t>
      </w:r>
      <w:r w:rsidR="00665BF4">
        <w:rPr>
          <w:rFonts w:eastAsia="Times New Roman" w:cstheme="minorHAnsi"/>
          <w:sz w:val="24"/>
          <w:szCs w:val="24"/>
          <w:lang w:eastAsia="hr-HR"/>
        </w:rPr>
        <w:t>kacija</w:t>
      </w:r>
      <w:r>
        <w:rPr>
          <w:rFonts w:eastAsia="Times New Roman" w:cstheme="minorHAnsi"/>
          <w:sz w:val="24"/>
          <w:szCs w:val="24"/>
          <w:lang w:eastAsia="hr-HR"/>
        </w:rPr>
        <w:t xml:space="preserve"> putem </w:t>
      </w:r>
      <w:r w:rsidR="00665BF4">
        <w:rPr>
          <w:rFonts w:eastAsia="Times New Roman" w:cstheme="minorHAnsi"/>
          <w:sz w:val="24"/>
          <w:szCs w:val="24"/>
          <w:lang w:eastAsia="hr-HR"/>
        </w:rPr>
        <w:t xml:space="preserve">tekstualnih </w:t>
      </w:r>
      <w:r>
        <w:rPr>
          <w:rFonts w:eastAsia="Times New Roman" w:cstheme="minorHAnsi"/>
          <w:sz w:val="24"/>
          <w:szCs w:val="24"/>
          <w:lang w:eastAsia="hr-HR"/>
        </w:rPr>
        <w:t xml:space="preserve">poruka (SMS, </w:t>
      </w:r>
      <w:r w:rsidR="00A81DEE" w:rsidRPr="00A81DEE">
        <w:rPr>
          <w:rFonts w:eastAsia="Times New Roman" w:cstheme="minorHAnsi"/>
          <w:i/>
          <w:sz w:val="24"/>
          <w:szCs w:val="24"/>
          <w:lang w:eastAsia="hr-HR"/>
        </w:rPr>
        <w:t>chat</w:t>
      </w:r>
      <w:r w:rsidR="00A81DEE">
        <w:rPr>
          <w:rFonts w:eastAsia="Times New Roman" w:cstheme="minorHAnsi"/>
          <w:sz w:val="24"/>
          <w:szCs w:val="24"/>
          <w:lang w:eastAsia="hr-HR"/>
        </w:rPr>
        <w:t xml:space="preserve"> aplikacije</w:t>
      </w:r>
      <w:r>
        <w:rPr>
          <w:rFonts w:eastAsia="Times New Roman" w:cstheme="minorHAnsi"/>
          <w:sz w:val="24"/>
          <w:szCs w:val="24"/>
          <w:lang w:eastAsia="hr-HR"/>
        </w:rPr>
        <w:t>, e-mail) i pozivi putem OTT usluga.</w:t>
      </w:r>
    </w:p>
    <w:p w:rsidR="009839F3" w:rsidRPr="009839F3" w:rsidRDefault="009839F3" w:rsidP="00166393">
      <w:pPr>
        <w:pStyle w:val="Heading4"/>
        <w:numPr>
          <w:ilvl w:val="0"/>
          <w:numId w:val="22"/>
        </w:numPr>
      </w:pPr>
      <w:r>
        <w:t>P</w:t>
      </w:r>
      <w:r w:rsidRPr="009839F3">
        <w:t>ozivi upućeni na brojeve u nepokretnoj mreži</w:t>
      </w:r>
    </w:p>
    <w:p w:rsidR="00970CFB" w:rsidRDefault="009839F3" w:rsidP="00970CFB">
      <w:pPr>
        <w:spacing w:after="0" w:line="240" w:lineRule="auto"/>
        <w:jc w:val="both"/>
        <w:rPr>
          <w:sz w:val="24"/>
          <w:szCs w:val="24"/>
        </w:rPr>
      </w:pPr>
      <w:r>
        <w:rPr>
          <w:sz w:val="24"/>
          <w:szCs w:val="24"/>
        </w:rPr>
        <w:t>HAKOM smatra da p</w:t>
      </w:r>
      <w:r w:rsidR="00970CFB" w:rsidRPr="00E7485D">
        <w:rPr>
          <w:sz w:val="24"/>
          <w:szCs w:val="24"/>
        </w:rPr>
        <w:t xml:space="preserve">ozivi upućeni na brojeve u nepokretnoj mreži ne zadovoljavaju osnovni princip brojeva u pokretnoj mreži, a to je da </w:t>
      </w:r>
      <w:r w:rsidR="00E8774C">
        <w:rPr>
          <w:sz w:val="24"/>
          <w:szCs w:val="24"/>
        </w:rPr>
        <w:t>oni</w:t>
      </w:r>
      <w:r w:rsidR="00970CFB" w:rsidRPr="00E7485D">
        <w:rPr>
          <w:sz w:val="24"/>
          <w:szCs w:val="24"/>
        </w:rPr>
        <w:t xml:space="preserve"> nisu vezani za točno određenu lokaciju</w:t>
      </w:r>
      <w:r w:rsidR="00096117">
        <w:rPr>
          <w:sz w:val="24"/>
          <w:szCs w:val="24"/>
        </w:rPr>
        <w:t>, odnosno mobilnost usluge je prednost u odnosu na uslugu u nepokretnoj mreži</w:t>
      </w:r>
      <w:r w:rsidR="00970CFB" w:rsidRPr="00E7485D">
        <w:rPr>
          <w:sz w:val="24"/>
          <w:szCs w:val="24"/>
        </w:rPr>
        <w:t>. Nadalje, broj u pokretnoj mreži je jedinstven broj te korisnik pozivatelj može biti siguran da će dobiti točno onu osobu koju zove. Za razliku od brojeva u pokretnoj mreži, brojevi u nepokretnoj mreži nisu personalizirani odnosno broj u nepokretnoj mreži je broj kućanstva. Drugim riječima, pozivajući osobu na broj u nepokretnoj mreži korisnik ne mora nužno dobiti osobu koju traži, već bilo koju osobu koja živi na lokaciji na koju se o</w:t>
      </w:r>
      <w:r w:rsidR="00970CFB">
        <w:rPr>
          <w:sz w:val="24"/>
          <w:szCs w:val="24"/>
        </w:rPr>
        <w:t>dnosi broj u nepokretnoj mreži.</w:t>
      </w:r>
      <w:r>
        <w:rPr>
          <w:sz w:val="24"/>
          <w:szCs w:val="24"/>
        </w:rPr>
        <w:t xml:space="preserve"> </w:t>
      </w:r>
      <w:r w:rsidR="00665BF4">
        <w:rPr>
          <w:sz w:val="24"/>
          <w:szCs w:val="24"/>
        </w:rPr>
        <w:t xml:space="preserve">Stoga, s obzirom da pozivom na broj u pokretnoj mreži pozivatelj ima veću mogućnost ostvarivanja kontakta s osobom koju se zove, </w:t>
      </w:r>
      <w:r w:rsidR="00970CFB" w:rsidRPr="00E7485D">
        <w:rPr>
          <w:sz w:val="24"/>
          <w:szCs w:val="24"/>
        </w:rPr>
        <w:t>mišljenje HAKOM-a je da se pozivi upućeni na brojeve u nepokretnoj mreži ne mogu smatrati zamjenskom uslugom pozivima upućenim na brojeve u pokretnoj mreži.</w:t>
      </w:r>
    </w:p>
    <w:p w:rsidR="009839F3" w:rsidRPr="009839F3" w:rsidRDefault="009839F3" w:rsidP="00166393">
      <w:pPr>
        <w:pStyle w:val="Heading4"/>
        <w:numPr>
          <w:ilvl w:val="0"/>
          <w:numId w:val="22"/>
        </w:numPr>
      </w:pPr>
      <w:r>
        <w:t>K</w:t>
      </w:r>
      <w:r w:rsidRPr="009839F3">
        <w:t>omunikacija putem tekstualnih poruka</w:t>
      </w:r>
    </w:p>
    <w:p w:rsidR="00970CFB" w:rsidRPr="008D6FA3" w:rsidRDefault="009839F3" w:rsidP="00970CFB">
      <w:pPr>
        <w:spacing w:after="0" w:line="240" w:lineRule="auto"/>
        <w:jc w:val="both"/>
        <w:rPr>
          <w:sz w:val="24"/>
          <w:szCs w:val="24"/>
        </w:rPr>
      </w:pPr>
      <w:r>
        <w:rPr>
          <w:sz w:val="24"/>
          <w:szCs w:val="24"/>
        </w:rPr>
        <w:t xml:space="preserve">S obzirom da putem poruka nije omogućena neposredna komunikacija između osoba kao u slučaju poziva, </w:t>
      </w:r>
      <w:r w:rsidR="00970CFB" w:rsidRPr="008D6FA3">
        <w:rPr>
          <w:sz w:val="24"/>
          <w:szCs w:val="24"/>
        </w:rPr>
        <w:t xml:space="preserve">HAKOM je mišljenja da se </w:t>
      </w:r>
      <w:r w:rsidR="00C42C3C">
        <w:rPr>
          <w:sz w:val="24"/>
          <w:szCs w:val="24"/>
        </w:rPr>
        <w:t xml:space="preserve">komunikacija putem tekstualnih poruka </w:t>
      </w:r>
      <w:r>
        <w:rPr>
          <w:rFonts w:eastAsia="Times New Roman" w:cstheme="minorHAnsi"/>
          <w:sz w:val="24"/>
          <w:szCs w:val="24"/>
          <w:lang w:eastAsia="hr-HR"/>
        </w:rPr>
        <w:t xml:space="preserve">(SMS, </w:t>
      </w:r>
      <w:r w:rsidR="00B30270" w:rsidRPr="00B30270">
        <w:rPr>
          <w:rFonts w:eastAsia="Times New Roman" w:cstheme="minorHAnsi"/>
          <w:i/>
          <w:sz w:val="24"/>
          <w:szCs w:val="24"/>
          <w:lang w:eastAsia="hr-HR"/>
        </w:rPr>
        <w:t>chat</w:t>
      </w:r>
      <w:r w:rsidR="00B30270">
        <w:rPr>
          <w:rFonts w:eastAsia="Times New Roman" w:cstheme="minorHAnsi"/>
          <w:sz w:val="24"/>
          <w:szCs w:val="24"/>
          <w:lang w:eastAsia="hr-HR"/>
        </w:rPr>
        <w:t xml:space="preserve"> aplikacije</w:t>
      </w:r>
      <w:r>
        <w:rPr>
          <w:rFonts w:eastAsia="Times New Roman" w:cstheme="minorHAnsi"/>
          <w:sz w:val="24"/>
          <w:szCs w:val="24"/>
          <w:lang w:eastAsia="hr-HR"/>
        </w:rPr>
        <w:t xml:space="preserve">, e-mail) </w:t>
      </w:r>
      <w:r w:rsidR="00970CFB" w:rsidRPr="008D6FA3">
        <w:rPr>
          <w:sz w:val="24"/>
          <w:szCs w:val="24"/>
        </w:rPr>
        <w:t xml:space="preserve">ne može smatrati zamjenskom uslugom </w:t>
      </w:r>
      <w:r>
        <w:rPr>
          <w:sz w:val="24"/>
          <w:szCs w:val="24"/>
        </w:rPr>
        <w:t>usluzi poziva u pokretnoj mreži.</w:t>
      </w:r>
    </w:p>
    <w:p w:rsidR="00970CFB" w:rsidRPr="00FB1041" w:rsidRDefault="009839F3" w:rsidP="00166393">
      <w:pPr>
        <w:pStyle w:val="Heading4"/>
        <w:numPr>
          <w:ilvl w:val="0"/>
          <w:numId w:val="22"/>
        </w:numPr>
      </w:pPr>
      <w:r>
        <w:lastRenderedPageBreak/>
        <w:t xml:space="preserve">Pozivi putem </w:t>
      </w:r>
      <w:r w:rsidR="00970CFB" w:rsidRPr="00FB1041">
        <w:t>OTT uslug</w:t>
      </w:r>
      <w:r>
        <w:t>a</w:t>
      </w:r>
      <w:r w:rsidR="00970CFB" w:rsidRPr="00FB1041">
        <w:t xml:space="preserve"> </w:t>
      </w:r>
    </w:p>
    <w:p w:rsidR="00970CFB" w:rsidRPr="00C44046" w:rsidRDefault="00970CFB" w:rsidP="00970CFB">
      <w:pPr>
        <w:spacing w:after="0" w:line="240" w:lineRule="auto"/>
        <w:jc w:val="both"/>
        <w:rPr>
          <w:sz w:val="24"/>
          <w:szCs w:val="24"/>
        </w:rPr>
      </w:pPr>
      <w:r w:rsidRPr="00C44046">
        <w:rPr>
          <w:sz w:val="24"/>
          <w:szCs w:val="24"/>
        </w:rPr>
        <w:t xml:space="preserve">Na maloprodajnoj razini, postoje sve veći zahtjevi za OTT uslugama i u pokretnoj mreži, što je rezultat povećane dostupnosti širokopojasnog pristupa internetu </w:t>
      </w:r>
      <w:r w:rsidR="00252221">
        <w:rPr>
          <w:sz w:val="24"/>
          <w:szCs w:val="24"/>
        </w:rPr>
        <w:t>putem pokretne mreže</w:t>
      </w:r>
      <w:r w:rsidRPr="00C44046">
        <w:rPr>
          <w:sz w:val="24"/>
          <w:szCs w:val="24"/>
        </w:rPr>
        <w:t xml:space="preserve">. Uz to, određene OTT usluge </w:t>
      </w:r>
      <w:r w:rsidR="00C23B2A">
        <w:rPr>
          <w:sz w:val="24"/>
          <w:szCs w:val="24"/>
        </w:rPr>
        <w:t>za prijenos govora</w:t>
      </w:r>
      <w:r w:rsidR="00096117">
        <w:rPr>
          <w:sz w:val="24"/>
          <w:szCs w:val="24"/>
        </w:rPr>
        <w:t xml:space="preserve">, </w:t>
      </w:r>
      <w:r w:rsidR="00096117" w:rsidRPr="00C44046">
        <w:rPr>
          <w:sz w:val="24"/>
          <w:szCs w:val="24"/>
        </w:rPr>
        <w:t>kao što su npr. Viber</w:t>
      </w:r>
      <w:r w:rsidR="00096117">
        <w:rPr>
          <w:sz w:val="24"/>
          <w:szCs w:val="24"/>
        </w:rPr>
        <w:t xml:space="preserve">, </w:t>
      </w:r>
      <w:r w:rsidR="00096117" w:rsidRPr="00C44046">
        <w:rPr>
          <w:sz w:val="24"/>
          <w:szCs w:val="24"/>
        </w:rPr>
        <w:t>Skype</w:t>
      </w:r>
      <w:r w:rsidR="00096117">
        <w:rPr>
          <w:sz w:val="24"/>
          <w:szCs w:val="24"/>
        </w:rPr>
        <w:t>, Facebook i Whatsapp,</w:t>
      </w:r>
      <w:r w:rsidR="00C23B2A">
        <w:rPr>
          <w:sz w:val="24"/>
          <w:szCs w:val="24"/>
        </w:rPr>
        <w:t xml:space="preserve"> </w:t>
      </w:r>
      <w:r w:rsidRPr="00C44046">
        <w:rPr>
          <w:sz w:val="24"/>
          <w:szCs w:val="24"/>
        </w:rPr>
        <w:t>se razvijaju na način da ih se smatra alternativnim uslugama elektroničkih komunikacija koje pružaju operatori</w:t>
      </w:r>
      <w:r>
        <w:rPr>
          <w:sz w:val="24"/>
          <w:szCs w:val="24"/>
        </w:rPr>
        <w:t>.</w:t>
      </w:r>
    </w:p>
    <w:p w:rsidR="00970CFB" w:rsidRPr="00C44046" w:rsidRDefault="00970CFB" w:rsidP="00970CFB">
      <w:pPr>
        <w:spacing w:after="0" w:line="240" w:lineRule="auto"/>
        <w:jc w:val="both"/>
        <w:rPr>
          <w:sz w:val="24"/>
          <w:szCs w:val="24"/>
        </w:rPr>
      </w:pPr>
    </w:p>
    <w:p w:rsidR="00970CFB" w:rsidRPr="00C44046" w:rsidRDefault="00970CFB" w:rsidP="00970CFB">
      <w:pPr>
        <w:spacing w:after="0" w:line="240" w:lineRule="auto"/>
        <w:jc w:val="both"/>
        <w:rPr>
          <w:sz w:val="24"/>
          <w:szCs w:val="24"/>
        </w:rPr>
      </w:pPr>
      <w:r w:rsidRPr="00C44046">
        <w:rPr>
          <w:sz w:val="24"/>
          <w:szCs w:val="24"/>
        </w:rPr>
        <w:t xml:space="preserve">Iako se većina OTT usluga pruža besplatno, one još uvijek nisu na razini na kojoj bi se mogle smatrati pravim zamjenskim uslugama pozivima upućenim na brojeve u pokretnim mrežama. Jedan od argumenata za takvu tvrdnju je i zahtjev da oba korisnika budu spojeni u isto vrijeme na internet kako bi usluga funkcionirala. Osim toga, kakvoća OTT usluga ovisi o kakvoći ostvarene veze prema internetu, pa u slučajevima kad je ta kakvoća niska, OTT usluge ne pružaju onu razinu kakvoće koja bi odgovarala kakvoći tradicionalne govorne usluge u mobilnoj mreži, te je ni iz toga razloga korisnici ne smatraju zamjenskom govornoj usluzi u pokretnoj mreži. </w:t>
      </w:r>
    </w:p>
    <w:p w:rsidR="00970CFB" w:rsidRDefault="00970CFB" w:rsidP="00970CFB">
      <w:pPr>
        <w:spacing w:after="0" w:line="240" w:lineRule="auto"/>
        <w:jc w:val="both"/>
        <w:rPr>
          <w:sz w:val="24"/>
          <w:szCs w:val="24"/>
        </w:rPr>
      </w:pPr>
    </w:p>
    <w:p w:rsidR="00252221" w:rsidRDefault="00252221" w:rsidP="00970CFB">
      <w:pPr>
        <w:spacing w:after="0" w:line="240" w:lineRule="auto"/>
        <w:jc w:val="both"/>
        <w:rPr>
          <w:sz w:val="24"/>
          <w:szCs w:val="24"/>
        </w:rPr>
      </w:pPr>
      <w:r>
        <w:rPr>
          <w:sz w:val="24"/>
          <w:szCs w:val="24"/>
        </w:rPr>
        <w:t xml:space="preserve">Iako korisnici sve više koriste OTT usluge i za pozive, s druge strane broj </w:t>
      </w:r>
      <w:r w:rsidR="00FC4F5C">
        <w:rPr>
          <w:sz w:val="24"/>
          <w:szCs w:val="24"/>
        </w:rPr>
        <w:t xml:space="preserve">završenih </w:t>
      </w:r>
      <w:r>
        <w:rPr>
          <w:sz w:val="24"/>
          <w:szCs w:val="24"/>
        </w:rPr>
        <w:t>minuta</w:t>
      </w:r>
      <w:r w:rsidR="001E0E79">
        <w:rPr>
          <w:sz w:val="24"/>
          <w:szCs w:val="24"/>
        </w:rPr>
        <w:t xml:space="preserve"> u mobilnoj mreži je u porastu</w:t>
      </w:r>
      <w:r w:rsidR="00096117">
        <w:rPr>
          <w:sz w:val="24"/>
          <w:szCs w:val="24"/>
        </w:rPr>
        <w:t>, i to oko 2 posto na godišnjoj razini (</w:t>
      </w:r>
      <w:r w:rsidR="001E0E79">
        <w:rPr>
          <w:sz w:val="24"/>
          <w:szCs w:val="24"/>
        </w:rPr>
        <w:t>sli</w:t>
      </w:r>
      <w:r w:rsidR="00096117">
        <w:rPr>
          <w:sz w:val="24"/>
          <w:szCs w:val="24"/>
        </w:rPr>
        <w:t>ka</w:t>
      </w:r>
      <w:r w:rsidR="001E0E79">
        <w:rPr>
          <w:sz w:val="24"/>
          <w:szCs w:val="24"/>
        </w:rPr>
        <w:t xml:space="preserve"> </w:t>
      </w:r>
      <w:r w:rsidR="00C23B2A">
        <w:rPr>
          <w:sz w:val="24"/>
          <w:szCs w:val="24"/>
        </w:rPr>
        <w:t>4</w:t>
      </w:r>
      <w:r w:rsidR="00096117">
        <w:rPr>
          <w:sz w:val="24"/>
          <w:szCs w:val="24"/>
        </w:rPr>
        <w:t>).</w:t>
      </w:r>
      <w:r w:rsidR="001E0E79">
        <w:rPr>
          <w:sz w:val="24"/>
          <w:szCs w:val="24"/>
        </w:rPr>
        <w:t xml:space="preserve"> </w:t>
      </w:r>
    </w:p>
    <w:p w:rsidR="00E834B0" w:rsidRDefault="00E834B0" w:rsidP="00970CFB">
      <w:pPr>
        <w:spacing w:after="0" w:line="240" w:lineRule="auto"/>
        <w:jc w:val="both"/>
        <w:rPr>
          <w:sz w:val="24"/>
          <w:szCs w:val="24"/>
        </w:rPr>
      </w:pPr>
    </w:p>
    <w:p w:rsidR="00E834B0" w:rsidRPr="001E0E79" w:rsidRDefault="001E0E79" w:rsidP="001E0E79">
      <w:pPr>
        <w:pStyle w:val="Caption"/>
      </w:pPr>
      <w:bookmarkStart w:id="16" w:name="_Toc525508364"/>
      <w:r>
        <w:t xml:space="preserve">Slika </w:t>
      </w:r>
      <w:r>
        <w:rPr>
          <w:noProof/>
        </w:rPr>
        <w:fldChar w:fldCharType="begin"/>
      </w:r>
      <w:r>
        <w:rPr>
          <w:noProof/>
        </w:rPr>
        <w:instrText xml:space="preserve"> SEQ Slika \* ARABIC </w:instrText>
      </w:r>
      <w:r>
        <w:rPr>
          <w:noProof/>
        </w:rPr>
        <w:fldChar w:fldCharType="separate"/>
      </w:r>
      <w:r w:rsidR="0015566D">
        <w:rPr>
          <w:noProof/>
        </w:rPr>
        <w:t>4</w:t>
      </w:r>
      <w:r>
        <w:rPr>
          <w:noProof/>
        </w:rPr>
        <w:fldChar w:fldCharType="end"/>
      </w:r>
      <w:r>
        <w:t xml:space="preserve"> Broj ukupnih završenih minuta u mobilnoj mreži</w:t>
      </w:r>
      <w:bookmarkEnd w:id="16"/>
    </w:p>
    <w:p w:rsidR="00433E58" w:rsidRPr="00FD6A34" w:rsidRDefault="00E834B0" w:rsidP="00FD6A34">
      <w:pPr>
        <w:spacing w:line="240" w:lineRule="auto"/>
        <w:jc w:val="both"/>
        <w:rPr>
          <w:sz w:val="24"/>
          <w:szCs w:val="24"/>
        </w:rPr>
      </w:pPr>
      <w:r>
        <w:rPr>
          <w:noProof/>
          <w:lang w:eastAsia="hr-HR"/>
        </w:rPr>
        <w:lastRenderedPageBreak/>
        <w:drawing>
          <wp:inline distT="0" distB="0" distL="0" distR="0" wp14:anchorId="7E537974" wp14:editId="43CFBE36">
            <wp:extent cx="5707380" cy="2651760"/>
            <wp:effectExtent l="0" t="0" r="7620" b="1524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33E58" w:rsidRPr="006609A0" w:rsidRDefault="00433E58" w:rsidP="00FD6A34">
      <w:pPr>
        <w:spacing w:line="240" w:lineRule="auto"/>
        <w:jc w:val="both"/>
        <w:rPr>
          <w:rFonts w:eastAsia="Times New Roman" w:cstheme="minorHAnsi"/>
          <w:bCs/>
          <w:i/>
          <w:sz w:val="20"/>
          <w:szCs w:val="20"/>
        </w:rPr>
      </w:pPr>
      <w:r w:rsidRPr="006609A0">
        <w:rPr>
          <w:rFonts w:eastAsia="Times New Roman" w:cstheme="minorHAnsi"/>
          <w:bCs/>
          <w:i/>
          <w:sz w:val="20"/>
          <w:szCs w:val="20"/>
        </w:rPr>
        <w:t xml:space="preserve">Izvor: </w:t>
      </w:r>
      <w:r w:rsidRPr="00A954D6">
        <w:rPr>
          <w:rFonts w:eastAsia="Times New Roman" w:cstheme="minorHAnsi"/>
          <w:bCs/>
          <w:i/>
          <w:sz w:val="20"/>
          <w:szCs w:val="20"/>
        </w:rPr>
        <w:t>Tromjesečni upitnici HAKOM-a</w:t>
      </w:r>
    </w:p>
    <w:p w:rsidR="00676A66" w:rsidRDefault="000C247C" w:rsidP="00676A66">
      <w:pPr>
        <w:spacing w:after="0" w:line="240" w:lineRule="auto"/>
        <w:jc w:val="both"/>
        <w:rPr>
          <w:sz w:val="24"/>
          <w:szCs w:val="24"/>
        </w:rPr>
      </w:pPr>
      <w:r>
        <w:rPr>
          <w:sz w:val="24"/>
          <w:szCs w:val="24"/>
        </w:rPr>
        <w:t>Nadalje, HAKOM smatra da</w:t>
      </w:r>
      <w:r w:rsidR="00252221">
        <w:rPr>
          <w:sz w:val="24"/>
          <w:szCs w:val="24"/>
        </w:rPr>
        <w:t xml:space="preserve"> OTT usluge</w:t>
      </w:r>
      <w:r>
        <w:rPr>
          <w:sz w:val="24"/>
          <w:szCs w:val="24"/>
        </w:rPr>
        <w:t xml:space="preserve"> ne predstavljaju </w:t>
      </w:r>
      <w:r w:rsidR="00252221">
        <w:rPr>
          <w:sz w:val="24"/>
          <w:szCs w:val="24"/>
        </w:rPr>
        <w:t>cjenovno ograničenje na cijene završavanja poziva</w:t>
      </w:r>
      <w:r>
        <w:rPr>
          <w:sz w:val="24"/>
          <w:szCs w:val="24"/>
        </w:rPr>
        <w:t>.</w:t>
      </w:r>
      <w:r w:rsidR="00676A66" w:rsidRPr="00676A66">
        <w:rPr>
          <w:sz w:val="24"/>
          <w:szCs w:val="24"/>
        </w:rPr>
        <w:t xml:space="preserve"> </w:t>
      </w:r>
      <w:r w:rsidR="00676A66">
        <w:rPr>
          <w:sz w:val="24"/>
          <w:szCs w:val="24"/>
        </w:rPr>
        <w:t>Naime</w:t>
      </w:r>
      <w:r w:rsidR="00676A66" w:rsidRPr="00B31442">
        <w:rPr>
          <w:sz w:val="24"/>
          <w:szCs w:val="24"/>
        </w:rPr>
        <w:t>, cijena završavanja poziva čini samo mali dio u ukupnoj maloprodajnoj cijeni poziva u pokretnim mrežama, a još manji dio cijene paketa usluga koji uključuju određeni broj minuta poziva.</w:t>
      </w:r>
      <w:r w:rsidR="00676A66">
        <w:rPr>
          <w:sz w:val="24"/>
          <w:szCs w:val="24"/>
        </w:rPr>
        <w:t xml:space="preserve"> Tako da, i ako bi došlo do povećanja maloprodajnih cijena zbog povećanja cijena završavanja poziva, to bi povećanje bilo neznatno. Također, s obzirom da korisnici uglavnom koriste pakete koji uključuju određeni broj minuta poziva, HAKOM smatra da nisu dovoljno </w:t>
      </w:r>
      <w:r w:rsidR="00676A66" w:rsidRPr="00CE3D5C">
        <w:rPr>
          <w:rFonts w:eastAsia="Times New Roman" w:cstheme="minorHAnsi"/>
          <w:sz w:val="24"/>
          <w:szCs w:val="24"/>
          <w:lang w:eastAsia="hr-HR"/>
        </w:rPr>
        <w:t>cjenovn</w:t>
      </w:r>
      <w:r w:rsidR="00676A66">
        <w:rPr>
          <w:rFonts w:eastAsia="Times New Roman" w:cstheme="minorHAnsi"/>
          <w:sz w:val="24"/>
          <w:szCs w:val="24"/>
          <w:lang w:eastAsia="hr-HR"/>
        </w:rPr>
        <w:t>o</w:t>
      </w:r>
      <w:r w:rsidR="00676A66" w:rsidRPr="00CE3D5C">
        <w:rPr>
          <w:rFonts w:eastAsia="Times New Roman" w:cstheme="minorHAnsi"/>
          <w:sz w:val="24"/>
          <w:szCs w:val="24"/>
          <w:lang w:eastAsia="hr-HR"/>
        </w:rPr>
        <w:t xml:space="preserve"> osviješte</w:t>
      </w:r>
      <w:r w:rsidR="00676A66">
        <w:rPr>
          <w:rFonts w:eastAsia="Times New Roman" w:cstheme="minorHAnsi"/>
          <w:sz w:val="24"/>
          <w:szCs w:val="24"/>
          <w:lang w:eastAsia="hr-HR"/>
        </w:rPr>
        <w:t>ni</w:t>
      </w:r>
      <w:r w:rsidR="00676A66" w:rsidRPr="00CE3D5C">
        <w:rPr>
          <w:rFonts w:eastAsia="Times New Roman" w:cstheme="minorHAnsi"/>
          <w:sz w:val="24"/>
          <w:szCs w:val="24"/>
          <w:lang w:eastAsia="hr-HR"/>
        </w:rPr>
        <w:t xml:space="preserve"> i osjetljiv</w:t>
      </w:r>
      <w:r w:rsidR="00676A66">
        <w:rPr>
          <w:rFonts w:eastAsia="Times New Roman" w:cstheme="minorHAnsi"/>
          <w:sz w:val="24"/>
          <w:szCs w:val="24"/>
          <w:lang w:eastAsia="hr-HR"/>
        </w:rPr>
        <w:t>i</w:t>
      </w:r>
      <w:r w:rsidR="00676A66" w:rsidRPr="00CE3D5C">
        <w:rPr>
          <w:rFonts w:eastAsia="Times New Roman" w:cstheme="minorHAnsi"/>
          <w:sz w:val="24"/>
          <w:szCs w:val="24"/>
          <w:lang w:eastAsia="hr-HR"/>
        </w:rPr>
        <w:t xml:space="preserve"> na cjenovne promjene</w:t>
      </w:r>
      <w:r w:rsidR="00676A66">
        <w:rPr>
          <w:rFonts w:eastAsia="Times New Roman" w:cstheme="minorHAnsi"/>
          <w:sz w:val="24"/>
          <w:szCs w:val="24"/>
          <w:lang w:eastAsia="hr-HR"/>
        </w:rPr>
        <w:t xml:space="preserve"> da bi radi povećanja veleprodajne cijene završavanja poziva zamijenili pozive u pokretnoj mreži OTT pozivima</w:t>
      </w:r>
      <w:r w:rsidR="00676A66">
        <w:rPr>
          <w:sz w:val="24"/>
          <w:szCs w:val="24"/>
        </w:rPr>
        <w:t>.</w:t>
      </w:r>
    </w:p>
    <w:p w:rsidR="003A3795" w:rsidRDefault="003A3795" w:rsidP="00970CFB">
      <w:pPr>
        <w:spacing w:after="0" w:line="240" w:lineRule="auto"/>
        <w:jc w:val="both"/>
        <w:rPr>
          <w:sz w:val="24"/>
          <w:szCs w:val="24"/>
        </w:rPr>
      </w:pPr>
    </w:p>
    <w:p w:rsidR="003A3795" w:rsidRDefault="003A3795" w:rsidP="003A3795">
      <w:pPr>
        <w:spacing w:after="0" w:line="240" w:lineRule="auto"/>
        <w:jc w:val="both"/>
        <w:rPr>
          <w:sz w:val="24"/>
          <w:szCs w:val="24"/>
        </w:rPr>
      </w:pPr>
      <w:r>
        <w:rPr>
          <w:sz w:val="24"/>
          <w:szCs w:val="24"/>
        </w:rPr>
        <w:t xml:space="preserve">Iako je korištenje OTT usluga u porastu, one se još uvijek ne koriste u tolikoj mjeri u odnosu na pozive u pokretnim mrežama (kao što je gore navedeno, isto je vidljivo iz stalnog porasta minuta u mobilnim mrežama). Naime, OTT usluge se u najvećem broju slučajeva koriste za međunarodne pozive koji još uvijek imaju visoke cijene. </w:t>
      </w:r>
      <w:r w:rsidR="00B31442">
        <w:rPr>
          <w:sz w:val="24"/>
          <w:szCs w:val="24"/>
        </w:rPr>
        <w:t>Također, i ostali</w:t>
      </w:r>
      <w:r>
        <w:rPr>
          <w:sz w:val="24"/>
          <w:szCs w:val="24"/>
        </w:rPr>
        <w:t xml:space="preserve"> regulatori u EU nastavljaju regulirati MTR na temelju pretpostavke da OTT usluge ne predstavljaju </w:t>
      </w:r>
      <w:r w:rsidRPr="00403A2A">
        <w:rPr>
          <w:sz w:val="24"/>
          <w:szCs w:val="24"/>
        </w:rPr>
        <w:t>cjenovno ograničenje na cijene završavanja poziva</w:t>
      </w:r>
      <w:r>
        <w:rPr>
          <w:sz w:val="24"/>
          <w:szCs w:val="24"/>
        </w:rPr>
        <w:t xml:space="preserve">. </w:t>
      </w:r>
    </w:p>
    <w:p w:rsidR="00252221" w:rsidRPr="00C44046" w:rsidRDefault="00252221" w:rsidP="00970CFB">
      <w:pPr>
        <w:spacing w:after="0" w:line="240" w:lineRule="auto"/>
        <w:jc w:val="both"/>
        <w:rPr>
          <w:sz w:val="24"/>
          <w:szCs w:val="24"/>
        </w:rPr>
      </w:pPr>
    </w:p>
    <w:p w:rsidR="00970CFB" w:rsidRDefault="00970CFB" w:rsidP="00970CFB">
      <w:pPr>
        <w:spacing w:after="0" w:line="240" w:lineRule="auto"/>
        <w:jc w:val="both"/>
        <w:rPr>
          <w:sz w:val="24"/>
          <w:szCs w:val="24"/>
        </w:rPr>
      </w:pPr>
      <w:r w:rsidRPr="00C44046">
        <w:rPr>
          <w:sz w:val="24"/>
          <w:szCs w:val="24"/>
        </w:rPr>
        <w:t>Uzimajući u obzir gore navedeno, HAKOM je mišljenja da se</w:t>
      </w:r>
      <w:r w:rsidR="00252221">
        <w:rPr>
          <w:sz w:val="24"/>
          <w:szCs w:val="24"/>
        </w:rPr>
        <w:t xml:space="preserve"> pozivi putem</w:t>
      </w:r>
      <w:r w:rsidRPr="00C44046">
        <w:rPr>
          <w:sz w:val="24"/>
          <w:szCs w:val="24"/>
        </w:rPr>
        <w:t xml:space="preserve"> OTT uslug</w:t>
      </w:r>
      <w:r w:rsidR="00252221">
        <w:rPr>
          <w:sz w:val="24"/>
          <w:szCs w:val="24"/>
        </w:rPr>
        <w:t>a</w:t>
      </w:r>
      <w:r w:rsidR="000C247C">
        <w:rPr>
          <w:sz w:val="24"/>
          <w:szCs w:val="24"/>
        </w:rPr>
        <w:t xml:space="preserve"> </w:t>
      </w:r>
      <w:r w:rsidRPr="00C44046">
        <w:rPr>
          <w:sz w:val="24"/>
          <w:szCs w:val="24"/>
        </w:rPr>
        <w:t>ne mogu smatrati zamjenskim uslugama pozivima upućenim na brojeve u pokretnim mrežama. HAKOM će u razdoblju na koje se odnosi ova analiza pratiti razvoj OTT usluga i njihov utjecaj na tržište te će u slučaju značajnijih promjena pokrenuti postupak izmjene analize.</w:t>
      </w:r>
    </w:p>
    <w:p w:rsidR="00970CFB" w:rsidRPr="00A052D4" w:rsidRDefault="00970CFB" w:rsidP="00970CFB">
      <w:pPr>
        <w:spacing w:after="0" w:line="240" w:lineRule="auto"/>
        <w:jc w:val="both"/>
        <w:rPr>
          <w:sz w:val="24"/>
          <w:szCs w:val="24"/>
          <w:highlight w:val="yellow"/>
        </w:rPr>
      </w:pPr>
    </w:p>
    <w:p w:rsidR="00970CFB" w:rsidRPr="000C247C" w:rsidRDefault="000C247C" w:rsidP="00970CFB">
      <w:pPr>
        <w:spacing w:after="0" w:line="240" w:lineRule="auto"/>
        <w:jc w:val="both"/>
        <w:rPr>
          <w:rStyle w:val="SubtitleChar"/>
          <w:rFonts w:asciiTheme="minorHAnsi" w:hAnsiTheme="minorHAnsi"/>
        </w:rPr>
      </w:pPr>
      <w:r w:rsidRPr="000C247C">
        <w:rPr>
          <w:rStyle w:val="SubtitleChar"/>
          <w:rFonts w:asciiTheme="minorHAnsi" w:hAnsiTheme="minorHAnsi"/>
        </w:rPr>
        <w:t xml:space="preserve">Slijedom svega navedenog, </w:t>
      </w:r>
      <w:r w:rsidR="00970CFB" w:rsidRPr="000C247C">
        <w:rPr>
          <w:rStyle w:val="SubtitleChar"/>
          <w:rFonts w:asciiTheme="minorHAnsi" w:hAnsiTheme="minorHAnsi"/>
        </w:rPr>
        <w:t xml:space="preserve">HAKOM smatra kako ne postoji zamjenska usluga pozivima </w:t>
      </w:r>
      <w:r>
        <w:rPr>
          <w:rStyle w:val="SubtitleChar"/>
          <w:rFonts w:asciiTheme="minorHAnsi" w:hAnsiTheme="minorHAnsi"/>
        </w:rPr>
        <w:t>na brojeve u pokretnim mrežama</w:t>
      </w:r>
      <w:r w:rsidR="00970CFB" w:rsidRPr="000C247C">
        <w:rPr>
          <w:rStyle w:val="SubtitleChar"/>
          <w:rFonts w:asciiTheme="minorHAnsi" w:hAnsiTheme="minorHAnsi"/>
        </w:rPr>
        <w:t>.</w:t>
      </w:r>
    </w:p>
    <w:p w:rsidR="00970CFB" w:rsidRPr="00A613D1" w:rsidRDefault="00970CFB" w:rsidP="00C224C0">
      <w:pPr>
        <w:pStyle w:val="Heading3"/>
      </w:pPr>
      <w:bookmarkStart w:id="17" w:name="_Toc525816340"/>
      <w:r w:rsidRPr="00A613D1">
        <w:t>Zamjenjivost na strani ponude i potražnje - veleprodajna razina</w:t>
      </w:r>
      <w:bookmarkEnd w:id="17"/>
    </w:p>
    <w:p w:rsidR="00970CFB" w:rsidRDefault="00970CFB" w:rsidP="00970CFB">
      <w:pPr>
        <w:spacing w:after="0" w:line="240" w:lineRule="auto"/>
        <w:jc w:val="both"/>
        <w:rPr>
          <w:sz w:val="24"/>
          <w:szCs w:val="24"/>
        </w:rPr>
      </w:pPr>
      <w:r w:rsidRPr="00B31442">
        <w:rPr>
          <w:sz w:val="24"/>
          <w:szCs w:val="24"/>
        </w:rPr>
        <w:t>Cilj analize na veleprodajnoj</w:t>
      </w:r>
      <w:r w:rsidRPr="00184F33">
        <w:rPr>
          <w:sz w:val="24"/>
          <w:szCs w:val="24"/>
        </w:rPr>
        <w:t xml:space="preserve"> razini je utvrditi postoji li zamjenska usluga veleprodajnoj usluzi završavanja </w:t>
      </w:r>
      <w:r>
        <w:rPr>
          <w:sz w:val="24"/>
          <w:szCs w:val="24"/>
        </w:rPr>
        <w:t>glasovnih</w:t>
      </w:r>
      <w:r w:rsidRPr="00184F33">
        <w:rPr>
          <w:sz w:val="24"/>
          <w:szCs w:val="24"/>
        </w:rPr>
        <w:t xml:space="preserve"> poziva na način da, u slučaju da operator koji nudi uslugu završavanja </w:t>
      </w:r>
      <w:r w:rsidRPr="00741DA7">
        <w:rPr>
          <w:sz w:val="24"/>
          <w:szCs w:val="24"/>
        </w:rPr>
        <w:t xml:space="preserve">glasovnih </w:t>
      </w:r>
      <w:r w:rsidRPr="00184F33">
        <w:rPr>
          <w:sz w:val="24"/>
          <w:szCs w:val="24"/>
        </w:rPr>
        <w:t xml:space="preserve">poziva povisi cijenu, korisnici usluge završavanja </w:t>
      </w:r>
      <w:r w:rsidRPr="00741DA7">
        <w:rPr>
          <w:sz w:val="24"/>
          <w:szCs w:val="24"/>
        </w:rPr>
        <w:t xml:space="preserve">glasovnih </w:t>
      </w:r>
      <w:r w:rsidRPr="00184F33">
        <w:rPr>
          <w:sz w:val="24"/>
          <w:szCs w:val="24"/>
        </w:rPr>
        <w:t>poziva mogu prijeć</w:t>
      </w:r>
      <w:r w:rsidRPr="004007AB">
        <w:rPr>
          <w:sz w:val="24"/>
          <w:szCs w:val="24"/>
        </w:rPr>
        <w:t>i</w:t>
      </w:r>
      <w:r w:rsidRPr="00184F33">
        <w:rPr>
          <w:sz w:val="24"/>
          <w:szCs w:val="24"/>
        </w:rPr>
        <w:t xml:space="preserve"> na neku istu ili sličnu uslugu, odnosno, uslugu koja se može smatrati zamjenskom uslugom veleprodajnoj usluzi završavanja </w:t>
      </w:r>
      <w:r w:rsidRPr="00741DA7">
        <w:rPr>
          <w:sz w:val="24"/>
          <w:szCs w:val="24"/>
        </w:rPr>
        <w:t xml:space="preserve">glasovnih </w:t>
      </w:r>
      <w:r w:rsidRPr="00184F33">
        <w:rPr>
          <w:sz w:val="24"/>
          <w:szCs w:val="24"/>
        </w:rPr>
        <w:t>poziva. Postojanje zamjenske usluge procjenjuje se provođenjem analize zamjenjivosti na strani potražnje i zamjenjivosti na strani ponude.</w:t>
      </w:r>
    </w:p>
    <w:p w:rsidR="00970CFB" w:rsidRPr="00184F33" w:rsidRDefault="00970CFB" w:rsidP="00970CFB">
      <w:pPr>
        <w:spacing w:after="0" w:line="240" w:lineRule="auto"/>
        <w:jc w:val="both"/>
        <w:rPr>
          <w:sz w:val="24"/>
          <w:szCs w:val="24"/>
        </w:rPr>
      </w:pPr>
    </w:p>
    <w:p w:rsidR="00970CFB" w:rsidRPr="00184F33" w:rsidRDefault="00970CFB" w:rsidP="00970CFB">
      <w:pPr>
        <w:spacing w:after="0" w:line="240" w:lineRule="auto"/>
        <w:jc w:val="both"/>
        <w:rPr>
          <w:sz w:val="24"/>
          <w:szCs w:val="24"/>
        </w:rPr>
      </w:pPr>
      <w:r w:rsidRPr="00184F33">
        <w:rPr>
          <w:sz w:val="24"/>
          <w:szCs w:val="24"/>
        </w:rPr>
        <w:t xml:space="preserve">Prije procjene zamjenjivosti na strani potražnje na veleprodajnoj razini, važno je istaknuti specifičnost usluge završavanja </w:t>
      </w:r>
      <w:r w:rsidRPr="00741DA7">
        <w:rPr>
          <w:sz w:val="24"/>
          <w:szCs w:val="24"/>
        </w:rPr>
        <w:t xml:space="preserve">glasovnih </w:t>
      </w:r>
      <w:r w:rsidRPr="00184F33">
        <w:rPr>
          <w:sz w:val="24"/>
          <w:szCs w:val="24"/>
        </w:rPr>
        <w:t xml:space="preserve">poziva. Naime, veleprodajnu uslugu završavanja </w:t>
      </w:r>
      <w:r w:rsidRPr="00741DA7">
        <w:rPr>
          <w:sz w:val="24"/>
          <w:szCs w:val="24"/>
        </w:rPr>
        <w:t xml:space="preserve">glasovnih </w:t>
      </w:r>
      <w:r w:rsidRPr="00184F33">
        <w:rPr>
          <w:sz w:val="24"/>
          <w:szCs w:val="24"/>
        </w:rPr>
        <w:t xml:space="preserve">poziva nude svi operatori pokretnih i nepokretnih mreža na tržištu koji imaju krajnje korisnike spojene na vlastitu mrežu. </w:t>
      </w:r>
    </w:p>
    <w:p w:rsidR="00970CFB" w:rsidRPr="00184F33" w:rsidRDefault="00970CFB" w:rsidP="00970CFB">
      <w:pPr>
        <w:spacing w:after="0" w:line="240" w:lineRule="auto"/>
        <w:jc w:val="both"/>
        <w:rPr>
          <w:sz w:val="24"/>
          <w:szCs w:val="24"/>
        </w:rPr>
      </w:pPr>
    </w:p>
    <w:p w:rsidR="00970CFB" w:rsidRPr="004A5F58" w:rsidRDefault="00970CFB" w:rsidP="00970CFB">
      <w:pPr>
        <w:spacing w:after="0" w:line="240" w:lineRule="auto"/>
        <w:jc w:val="both"/>
        <w:rPr>
          <w:sz w:val="24"/>
          <w:szCs w:val="24"/>
        </w:rPr>
      </w:pPr>
      <w:r w:rsidRPr="004A5F58">
        <w:rPr>
          <w:sz w:val="24"/>
          <w:szCs w:val="24"/>
        </w:rPr>
        <w:lastRenderedPageBreak/>
        <w:t xml:space="preserve">HT, Tele2 i Vipnet pružaju uslugu završavanja glasovnih poziva u skladu s uvjetima/obvezama definiranim analizom iz </w:t>
      </w:r>
      <w:r>
        <w:rPr>
          <w:sz w:val="24"/>
          <w:szCs w:val="24"/>
        </w:rPr>
        <w:t>ožujka 2015.</w:t>
      </w:r>
      <w:r>
        <w:rPr>
          <w:rStyle w:val="FootnoteReference"/>
          <w:sz w:val="24"/>
          <w:szCs w:val="24"/>
        </w:rPr>
        <w:footnoteReference w:id="24"/>
      </w:r>
      <w:r w:rsidRPr="004A5F58">
        <w:rPr>
          <w:sz w:val="24"/>
          <w:szCs w:val="24"/>
        </w:rPr>
        <w:t xml:space="preserve"> S obzirom na tehničke karakteristike usluge završavanja glasovnih poziva svakog od operatora, može se reći da se radi o usporedivim uslugama iz čega bi se moglo zaključiti kako su usluge svakog od operatora međusobno zamjenske usluge. Međutim, zbog specifičnosti usluge poziva na određeni broj u pokretnoj mreži, a koja je navedena na maloprodajnoj razini, iste usluge različitih operatora nisu međusobno zamjenske usluge.</w:t>
      </w:r>
    </w:p>
    <w:p w:rsidR="00970CFB" w:rsidRDefault="00970CFB" w:rsidP="00970CFB">
      <w:pPr>
        <w:spacing w:after="0" w:line="240" w:lineRule="auto"/>
        <w:jc w:val="both"/>
        <w:rPr>
          <w:sz w:val="24"/>
          <w:szCs w:val="24"/>
        </w:rPr>
      </w:pPr>
      <w:r w:rsidRPr="00184F33">
        <w:rPr>
          <w:sz w:val="24"/>
          <w:szCs w:val="24"/>
        </w:rPr>
        <w:t>Uzimajući u obzir potražnju na maloprodajnoj razini, odnosno činjenicu kako na istoj ne postoji zamjenska usluga pozivu upućenom na broj u pokretnoj mreži, HAKOM je mišljenja kako na veleprodajnoj razini također ne postoji zamje</w:t>
      </w:r>
      <w:r>
        <w:rPr>
          <w:sz w:val="24"/>
          <w:szCs w:val="24"/>
        </w:rPr>
        <w:t xml:space="preserve">nska usluga usluzi završavanja </w:t>
      </w:r>
      <w:r w:rsidRPr="00184F33">
        <w:rPr>
          <w:sz w:val="24"/>
          <w:szCs w:val="24"/>
        </w:rPr>
        <w:t>poziva u pokretnoj mreži. Naime, korisnik bilo kojeg operatora u mogućnosti je nazvati korisnika bilo kojeg operatora. U skladu s navedenim, operator čiji je korisnik uputio poziv nema druge mogućnosti nego platiti</w:t>
      </w:r>
      <w:r>
        <w:rPr>
          <w:sz w:val="24"/>
          <w:szCs w:val="24"/>
        </w:rPr>
        <w:t xml:space="preserve"> naknadu za uslugu završavanja </w:t>
      </w:r>
      <w:r w:rsidRPr="00184F33">
        <w:rPr>
          <w:sz w:val="24"/>
          <w:szCs w:val="24"/>
        </w:rPr>
        <w:t xml:space="preserve">poziva operatoru čijeg je korisnika njegov korisnik nazvao. </w:t>
      </w:r>
    </w:p>
    <w:p w:rsidR="00970CFB" w:rsidRPr="00184F33" w:rsidRDefault="00970CFB" w:rsidP="00970CFB">
      <w:pPr>
        <w:spacing w:after="0" w:line="240" w:lineRule="auto"/>
        <w:jc w:val="both"/>
        <w:rPr>
          <w:sz w:val="24"/>
          <w:szCs w:val="24"/>
        </w:rPr>
      </w:pPr>
    </w:p>
    <w:p w:rsidR="00970CFB" w:rsidRPr="00184F33" w:rsidRDefault="00970CFB" w:rsidP="00970CFB">
      <w:pPr>
        <w:spacing w:after="0" w:line="240" w:lineRule="auto"/>
        <w:jc w:val="both"/>
        <w:rPr>
          <w:sz w:val="24"/>
          <w:szCs w:val="24"/>
        </w:rPr>
      </w:pPr>
      <w:r w:rsidRPr="00184F33">
        <w:rPr>
          <w:sz w:val="24"/>
          <w:szCs w:val="24"/>
        </w:rPr>
        <w:t xml:space="preserve">Stoga je, a temeljem gore navedenog, na veleprodajnoj razini moguće završiti poziv samo na broju na koji je poziv (od krajnjeg korisnika) i upućen, odnosno samo u mreži operatora koji je pristupni operator pozvanom korisniku. Iz navedenog razloga, usluge završavanja </w:t>
      </w:r>
      <w:r>
        <w:rPr>
          <w:sz w:val="24"/>
          <w:szCs w:val="24"/>
        </w:rPr>
        <w:t>glasovnih</w:t>
      </w:r>
      <w:r w:rsidRPr="00184F33">
        <w:rPr>
          <w:sz w:val="24"/>
          <w:szCs w:val="24"/>
        </w:rPr>
        <w:t xml:space="preserve"> poziva koje nude operatori na tržištu nisu međusobno zamjenjive.</w:t>
      </w:r>
    </w:p>
    <w:p w:rsidR="00970CFB" w:rsidRPr="00184F33" w:rsidRDefault="00970CFB" w:rsidP="00970CFB">
      <w:pPr>
        <w:spacing w:after="0" w:line="240" w:lineRule="auto"/>
        <w:jc w:val="both"/>
        <w:rPr>
          <w:sz w:val="24"/>
          <w:szCs w:val="24"/>
        </w:rPr>
      </w:pPr>
    </w:p>
    <w:p w:rsidR="00970CFB" w:rsidRPr="00184F33" w:rsidRDefault="00970CFB" w:rsidP="00970CFB">
      <w:pPr>
        <w:spacing w:after="0" w:line="240" w:lineRule="auto"/>
        <w:jc w:val="both"/>
        <w:rPr>
          <w:sz w:val="24"/>
          <w:szCs w:val="24"/>
        </w:rPr>
      </w:pPr>
      <w:r w:rsidRPr="00184F33">
        <w:rPr>
          <w:sz w:val="24"/>
          <w:szCs w:val="24"/>
        </w:rPr>
        <w:t>U skladu s navedenim, HAKOM je mišljenja da na veleprodajnoj razini ne postoji zamjenjivost na strani potražnje odnosno da je mjerodavno tržište</w:t>
      </w:r>
      <w:r w:rsidRPr="00247BC9">
        <w:t xml:space="preserve"> </w:t>
      </w:r>
      <w:r w:rsidRPr="00247BC9">
        <w:rPr>
          <w:sz w:val="24"/>
          <w:szCs w:val="24"/>
        </w:rPr>
        <w:t>veleprodajnog</w:t>
      </w:r>
      <w:r w:rsidRPr="00184F33">
        <w:rPr>
          <w:sz w:val="24"/>
          <w:szCs w:val="24"/>
        </w:rPr>
        <w:t xml:space="preserve"> završavanja </w:t>
      </w:r>
      <w:r w:rsidRPr="00741DA7">
        <w:rPr>
          <w:sz w:val="24"/>
          <w:szCs w:val="24"/>
        </w:rPr>
        <w:t xml:space="preserve">glasovnih </w:t>
      </w:r>
      <w:r w:rsidRPr="00184F33">
        <w:rPr>
          <w:sz w:val="24"/>
          <w:szCs w:val="24"/>
        </w:rPr>
        <w:t>poziva zasebno za svakog operatora pokretnih mreža na tržištu.</w:t>
      </w:r>
    </w:p>
    <w:p w:rsidR="00970CFB" w:rsidRPr="00184F33" w:rsidRDefault="00970CFB" w:rsidP="00970CFB">
      <w:pPr>
        <w:spacing w:after="0" w:line="240" w:lineRule="auto"/>
        <w:jc w:val="both"/>
        <w:rPr>
          <w:sz w:val="24"/>
          <w:szCs w:val="24"/>
        </w:rPr>
      </w:pPr>
    </w:p>
    <w:p w:rsidR="00970CFB" w:rsidRPr="00184F33" w:rsidRDefault="00970CFB" w:rsidP="00970CFB">
      <w:pPr>
        <w:spacing w:after="0" w:line="240" w:lineRule="auto"/>
        <w:jc w:val="both"/>
        <w:rPr>
          <w:sz w:val="24"/>
          <w:szCs w:val="24"/>
        </w:rPr>
      </w:pPr>
      <w:r w:rsidRPr="00184F33">
        <w:rPr>
          <w:sz w:val="24"/>
          <w:szCs w:val="24"/>
        </w:rPr>
        <w:lastRenderedPageBreak/>
        <w:t xml:space="preserve">Nadalje, HAKOM je analizirao može li budući ponuditelj brzo i uz relativno male troškove ponuditi uslugu završavanja </w:t>
      </w:r>
      <w:r w:rsidRPr="00741DA7">
        <w:rPr>
          <w:sz w:val="24"/>
          <w:szCs w:val="24"/>
        </w:rPr>
        <w:t xml:space="preserve">glasovnih </w:t>
      </w:r>
      <w:r w:rsidRPr="00184F33">
        <w:rPr>
          <w:sz w:val="24"/>
          <w:szCs w:val="24"/>
        </w:rPr>
        <w:t>poziva trećoj strani kao odgovor malom, ali značajnom i trajnom povećanju cijena usluge od strane hipotetskog monopolista.</w:t>
      </w:r>
    </w:p>
    <w:p w:rsidR="00970CFB" w:rsidRPr="00184F33" w:rsidRDefault="00970CFB" w:rsidP="00970CFB">
      <w:pPr>
        <w:spacing w:after="0" w:line="240" w:lineRule="auto"/>
        <w:jc w:val="both"/>
        <w:rPr>
          <w:sz w:val="24"/>
          <w:szCs w:val="24"/>
        </w:rPr>
      </w:pPr>
    </w:p>
    <w:p w:rsidR="00970CFB" w:rsidRPr="00184F33" w:rsidRDefault="00970CFB" w:rsidP="00970CFB">
      <w:pPr>
        <w:spacing w:after="0" w:line="240" w:lineRule="auto"/>
        <w:jc w:val="both"/>
        <w:rPr>
          <w:sz w:val="24"/>
          <w:szCs w:val="24"/>
        </w:rPr>
      </w:pPr>
      <w:r w:rsidRPr="00184F33">
        <w:rPr>
          <w:sz w:val="24"/>
          <w:szCs w:val="24"/>
        </w:rPr>
        <w:t xml:space="preserve">Zamjenjivost na strani ponude bila bi moguća kada bi tehnički bilo moguće da poziv završi u mreži drugog operatora. Sukladno navedenom, ako hipotetski monopolist poveća veleprodajnu cijenu usluge završavanja </w:t>
      </w:r>
      <w:r w:rsidRPr="00741DA7">
        <w:rPr>
          <w:sz w:val="24"/>
          <w:szCs w:val="24"/>
        </w:rPr>
        <w:t xml:space="preserve">glasovnih </w:t>
      </w:r>
      <w:r w:rsidRPr="00184F33">
        <w:rPr>
          <w:sz w:val="24"/>
          <w:szCs w:val="24"/>
        </w:rPr>
        <w:t xml:space="preserve">poziva, niti jedan drugi operator neće moći zamijeniti ili početi pružati uslugu završavanja </w:t>
      </w:r>
      <w:r w:rsidRPr="00741DA7">
        <w:rPr>
          <w:sz w:val="24"/>
          <w:szCs w:val="24"/>
        </w:rPr>
        <w:t>glasovnih</w:t>
      </w:r>
      <w:r w:rsidRPr="00184F33">
        <w:rPr>
          <w:sz w:val="24"/>
          <w:szCs w:val="24"/>
        </w:rPr>
        <w:t xml:space="preserve"> poziva u mrežu hipotetskog monopolista. Drugi operator može odgovoriti na povećanje cijena hipotetskog monopolista jedino povećanjem vlastite cijene završavanja </w:t>
      </w:r>
      <w:r w:rsidRPr="00741DA7">
        <w:rPr>
          <w:sz w:val="24"/>
          <w:szCs w:val="24"/>
        </w:rPr>
        <w:t xml:space="preserve">glasovnih </w:t>
      </w:r>
      <w:r w:rsidRPr="00184F33">
        <w:rPr>
          <w:sz w:val="24"/>
          <w:szCs w:val="24"/>
        </w:rPr>
        <w:t>poziva, a što ne ograničava povećanje cijena hipotetskog monopolista.</w:t>
      </w:r>
    </w:p>
    <w:p w:rsidR="00970CFB" w:rsidRPr="00184F33" w:rsidRDefault="00970CFB" w:rsidP="00970CFB">
      <w:pPr>
        <w:spacing w:after="0" w:line="240" w:lineRule="auto"/>
        <w:jc w:val="both"/>
        <w:rPr>
          <w:sz w:val="24"/>
          <w:szCs w:val="24"/>
        </w:rPr>
      </w:pPr>
    </w:p>
    <w:p w:rsidR="00970CFB" w:rsidRDefault="00970CFB" w:rsidP="00970CFB">
      <w:pPr>
        <w:spacing w:after="0" w:line="240" w:lineRule="auto"/>
        <w:jc w:val="both"/>
        <w:rPr>
          <w:sz w:val="24"/>
          <w:szCs w:val="24"/>
        </w:rPr>
      </w:pPr>
      <w:r w:rsidRPr="00184F33">
        <w:rPr>
          <w:sz w:val="24"/>
          <w:szCs w:val="24"/>
        </w:rPr>
        <w:t>U skladu s prethodno navedenim, HAKOM je mišljenja kako na veleprodajnoj razini ne postoji mogućnost zamjenjivosti na strani ponude te smatra da se situacija, u razdoblju na koje se odnosi navedena analiza, neće promijeniti.</w:t>
      </w:r>
    </w:p>
    <w:p w:rsidR="00970CFB" w:rsidRDefault="00970CFB" w:rsidP="00970CFB">
      <w:pPr>
        <w:spacing w:after="0" w:line="240" w:lineRule="auto"/>
        <w:jc w:val="both"/>
        <w:rPr>
          <w:sz w:val="24"/>
          <w:szCs w:val="24"/>
          <w:highlight w:val="yellow"/>
        </w:rPr>
      </w:pPr>
    </w:p>
    <w:p w:rsidR="00970CFB" w:rsidRPr="00157FB7" w:rsidRDefault="00970CFB" w:rsidP="00C224C0">
      <w:pPr>
        <w:pStyle w:val="Heading3"/>
      </w:pPr>
      <w:bookmarkStart w:id="18" w:name="_Toc525816341"/>
      <w:r w:rsidRPr="00C0094C">
        <w:t>Zaključak o mjerodavnom tržištu u dimenziji usluga</w:t>
      </w:r>
      <w:bookmarkEnd w:id="18"/>
      <w:r w:rsidRPr="00C0094C">
        <w:t xml:space="preserve"> </w:t>
      </w:r>
    </w:p>
    <w:p w:rsidR="00970CFB" w:rsidRPr="00790CA3" w:rsidRDefault="00970CFB" w:rsidP="00970CFB">
      <w:pPr>
        <w:autoSpaceDE w:val="0"/>
        <w:autoSpaceDN w:val="0"/>
        <w:spacing w:line="240" w:lineRule="auto"/>
        <w:jc w:val="both"/>
        <w:rPr>
          <w:rFonts w:ascii="Calibri" w:eastAsia="Calibri" w:hAnsi="Calibri" w:cs="Times New Roman"/>
          <w:sz w:val="24"/>
          <w:szCs w:val="24"/>
        </w:rPr>
      </w:pPr>
      <w:r w:rsidRPr="00790CA3">
        <w:rPr>
          <w:sz w:val="24"/>
          <w:szCs w:val="24"/>
        </w:rPr>
        <w:t xml:space="preserve">HAKOM je </w:t>
      </w:r>
      <w:r w:rsidRPr="00790CA3">
        <w:rPr>
          <w:rFonts w:ascii="Calibri" w:eastAsia="Calibri" w:hAnsi="Calibri" w:cs="Times New Roman"/>
          <w:sz w:val="24"/>
          <w:szCs w:val="24"/>
        </w:rPr>
        <w:t xml:space="preserve">zaključio da mjerodavno tržište veleprodajnog završavanja glasovnih poziva u vlastitoj mobilnoj mreži obuhvaća sljedeće usluge: </w:t>
      </w:r>
    </w:p>
    <w:p w:rsidR="00970CFB" w:rsidRPr="00E13640" w:rsidRDefault="00970CFB" w:rsidP="00970CFB">
      <w:pPr>
        <w:numPr>
          <w:ilvl w:val="0"/>
          <w:numId w:val="14"/>
        </w:numPr>
        <w:autoSpaceDE w:val="0"/>
        <w:autoSpaceDN w:val="0"/>
        <w:spacing w:after="0" w:line="240" w:lineRule="auto"/>
        <w:jc w:val="both"/>
        <w:rPr>
          <w:rFonts w:ascii="Calibri" w:eastAsia="Times New Roman" w:hAnsi="Calibri" w:cs="Times New Roman"/>
          <w:sz w:val="24"/>
          <w:szCs w:val="24"/>
        </w:rPr>
      </w:pPr>
      <w:r w:rsidRPr="00E13640">
        <w:rPr>
          <w:rFonts w:ascii="Calibri" w:eastAsia="Times New Roman" w:hAnsi="Calibri" w:cs="Times New Roman"/>
          <w:sz w:val="24"/>
          <w:szCs w:val="24"/>
        </w:rPr>
        <w:t xml:space="preserve">završavanje glasovnih poziva u mreži </w:t>
      </w:r>
      <w:r>
        <w:rPr>
          <w:rFonts w:ascii="Calibri" w:eastAsia="Times New Roman" w:hAnsi="Calibri" w:cs="Times New Roman"/>
          <w:sz w:val="24"/>
          <w:szCs w:val="24"/>
        </w:rPr>
        <w:t>HT-a,</w:t>
      </w:r>
    </w:p>
    <w:p w:rsidR="00970CFB" w:rsidRPr="00E13640" w:rsidRDefault="00970CFB" w:rsidP="00970CFB">
      <w:pPr>
        <w:numPr>
          <w:ilvl w:val="0"/>
          <w:numId w:val="14"/>
        </w:numPr>
        <w:autoSpaceDE w:val="0"/>
        <w:autoSpaceDN w:val="0"/>
        <w:spacing w:after="0" w:line="240" w:lineRule="auto"/>
        <w:jc w:val="both"/>
        <w:rPr>
          <w:rFonts w:ascii="Calibri" w:eastAsia="Times New Roman" w:hAnsi="Calibri" w:cs="Times New Roman"/>
          <w:sz w:val="24"/>
          <w:szCs w:val="24"/>
        </w:rPr>
      </w:pPr>
      <w:r w:rsidRPr="00E13640">
        <w:rPr>
          <w:rFonts w:ascii="Calibri" w:eastAsia="Times New Roman" w:hAnsi="Calibri" w:cs="Times New Roman"/>
          <w:sz w:val="24"/>
          <w:szCs w:val="24"/>
        </w:rPr>
        <w:t xml:space="preserve">završavanje glasovnih poziva u mreži Tele2 </w:t>
      </w:r>
    </w:p>
    <w:p w:rsidR="00970CFB" w:rsidRPr="00E13640" w:rsidRDefault="00970CFB" w:rsidP="00970CFB">
      <w:pPr>
        <w:numPr>
          <w:ilvl w:val="0"/>
          <w:numId w:val="14"/>
        </w:numPr>
        <w:autoSpaceDE w:val="0"/>
        <w:autoSpaceDN w:val="0"/>
        <w:spacing w:after="0" w:line="240" w:lineRule="auto"/>
        <w:jc w:val="both"/>
        <w:rPr>
          <w:rFonts w:ascii="Calibri" w:eastAsia="Times New Roman" w:hAnsi="Calibri" w:cs="Times New Roman"/>
          <w:sz w:val="24"/>
          <w:szCs w:val="24"/>
        </w:rPr>
      </w:pPr>
      <w:r w:rsidRPr="00E13640">
        <w:rPr>
          <w:rFonts w:ascii="Calibri" w:eastAsia="Times New Roman" w:hAnsi="Calibri" w:cs="Times New Roman"/>
          <w:sz w:val="24"/>
          <w:szCs w:val="24"/>
        </w:rPr>
        <w:t>završavanje gl</w:t>
      </w:r>
      <w:r>
        <w:rPr>
          <w:rFonts w:ascii="Calibri" w:eastAsia="Times New Roman" w:hAnsi="Calibri" w:cs="Times New Roman"/>
          <w:sz w:val="24"/>
          <w:szCs w:val="24"/>
        </w:rPr>
        <w:t>asovnih poziva u mreži Vipnet-a</w:t>
      </w:r>
    </w:p>
    <w:p w:rsidR="00970CFB" w:rsidRPr="00E13640" w:rsidRDefault="00970CFB" w:rsidP="00970CFB">
      <w:pPr>
        <w:autoSpaceDE w:val="0"/>
        <w:autoSpaceDN w:val="0"/>
        <w:spacing w:after="0" w:line="240" w:lineRule="auto"/>
        <w:jc w:val="both"/>
        <w:rPr>
          <w:rFonts w:ascii="Calibri" w:eastAsia="Calibri" w:hAnsi="Calibri" w:cs="Times New Roman"/>
          <w:sz w:val="24"/>
          <w:szCs w:val="24"/>
        </w:rPr>
      </w:pPr>
    </w:p>
    <w:p w:rsidR="00970CFB" w:rsidRPr="00E13640" w:rsidRDefault="00970CFB" w:rsidP="00970CFB">
      <w:pPr>
        <w:autoSpaceDE w:val="0"/>
        <w:autoSpaceDN w:val="0"/>
        <w:spacing w:after="0" w:line="240" w:lineRule="auto"/>
        <w:jc w:val="both"/>
        <w:rPr>
          <w:rFonts w:ascii="Calibri" w:eastAsia="Calibri" w:hAnsi="Calibri" w:cs="Times New Roman"/>
          <w:sz w:val="24"/>
          <w:szCs w:val="24"/>
        </w:rPr>
      </w:pPr>
      <w:r w:rsidRPr="00E13640">
        <w:rPr>
          <w:rFonts w:ascii="Calibri" w:eastAsia="Calibri" w:hAnsi="Calibri" w:cs="Times New Roman"/>
          <w:sz w:val="24"/>
          <w:szCs w:val="24"/>
        </w:rPr>
        <w:t>i to neovisno o elektroničkoj komunikacijskoj mreži u kojoj je poziv započeo i korištenoj tehnologiji.</w:t>
      </w:r>
    </w:p>
    <w:p w:rsidR="00970CFB" w:rsidRDefault="00970CFB" w:rsidP="00970CFB">
      <w:pPr>
        <w:pStyle w:val="Heading2"/>
      </w:pPr>
      <w:bookmarkStart w:id="19" w:name="_Toc525816342"/>
      <w:r w:rsidRPr="001508A4">
        <w:t>Mjerodavno tržište u zemljopisnoj dimenziji</w:t>
      </w:r>
      <w:bookmarkEnd w:id="19"/>
      <w:r w:rsidRPr="001508A4">
        <w:t xml:space="preserve"> </w:t>
      </w:r>
    </w:p>
    <w:p w:rsidR="00970CFB" w:rsidRDefault="00970CFB" w:rsidP="00970CFB">
      <w:pPr>
        <w:spacing w:after="0" w:line="240" w:lineRule="auto"/>
        <w:jc w:val="both"/>
        <w:rPr>
          <w:sz w:val="24"/>
          <w:szCs w:val="24"/>
        </w:rPr>
      </w:pPr>
      <w:r w:rsidRPr="00CD234E">
        <w:rPr>
          <w:sz w:val="24"/>
          <w:szCs w:val="24"/>
        </w:rPr>
        <w:t xml:space="preserve">Mjerodavno tržište u zemljopisnoj dimenziji obuhvaća sva područja u kojima određeni operatori pružaju usluge pod istim uvjetima, odnosno, sva područja u kojima postoje istovrsni uvjeti tržišnog natjecanja. U skladu sa smjernicama i preporukama Europske komisije zemljopisna dimenzija mjerodavnog tržišta je uglavnom određena na osnovu pokrivenosti mrežom i postojanjem jednakog pravnog i regulatornog okvira na određenom zemljopisnom području. </w:t>
      </w:r>
    </w:p>
    <w:p w:rsidR="00970CFB" w:rsidRPr="00CD234E" w:rsidRDefault="00970CFB" w:rsidP="00970CFB">
      <w:pPr>
        <w:spacing w:after="0" w:line="240" w:lineRule="auto"/>
        <w:jc w:val="both"/>
        <w:rPr>
          <w:sz w:val="24"/>
          <w:szCs w:val="24"/>
        </w:rPr>
      </w:pPr>
    </w:p>
    <w:p w:rsidR="00970CFB" w:rsidRPr="00CD234E" w:rsidRDefault="00970CFB" w:rsidP="00970CFB">
      <w:pPr>
        <w:spacing w:after="0" w:line="240" w:lineRule="auto"/>
        <w:jc w:val="both"/>
        <w:rPr>
          <w:sz w:val="24"/>
          <w:szCs w:val="24"/>
        </w:rPr>
      </w:pPr>
      <w:r w:rsidRPr="00CD234E">
        <w:rPr>
          <w:sz w:val="24"/>
          <w:szCs w:val="24"/>
        </w:rPr>
        <w:t>U skladu s gore opisanom dimenzijom usluga mjerodavnog tržišta, svaki poziv može završiti (terminirati) isključivo u mreži operatora čijeg se korisnika poziva. Temeljem navedenog, HAKOM zemljopisnu dimenziju promatra pojedinačno za svakog operatora.</w:t>
      </w:r>
    </w:p>
    <w:p w:rsidR="00970CFB" w:rsidRPr="00CD234E" w:rsidRDefault="00970CFB" w:rsidP="00970CFB">
      <w:pPr>
        <w:spacing w:after="0" w:line="240" w:lineRule="auto"/>
        <w:jc w:val="both"/>
        <w:rPr>
          <w:sz w:val="24"/>
          <w:szCs w:val="24"/>
        </w:rPr>
      </w:pPr>
    </w:p>
    <w:p w:rsidR="00970CFB" w:rsidRPr="00CD234E" w:rsidRDefault="00970CFB" w:rsidP="00970CFB">
      <w:pPr>
        <w:spacing w:after="0" w:line="240" w:lineRule="auto"/>
        <w:jc w:val="both"/>
        <w:rPr>
          <w:sz w:val="24"/>
          <w:szCs w:val="24"/>
        </w:rPr>
      </w:pPr>
      <w:r w:rsidRPr="00CD234E">
        <w:rPr>
          <w:sz w:val="24"/>
          <w:szCs w:val="24"/>
        </w:rPr>
        <w:t>Svaki od tri operatora koji djeluju na tržištu imaju Opće ovlaštenje i dozvolu za uporabu radiofrekvencijskog spektra na temelj</w:t>
      </w:r>
      <w:r>
        <w:rPr>
          <w:sz w:val="24"/>
          <w:szCs w:val="24"/>
        </w:rPr>
        <w:t>u podnesenog zahtjeva</w:t>
      </w:r>
      <w:r w:rsidRPr="00CD234E">
        <w:rPr>
          <w:sz w:val="24"/>
          <w:szCs w:val="24"/>
        </w:rPr>
        <w:t xml:space="preserve"> za pružanje usluga te nude elektroničke komunikacijske usluge na čitavom nacionalnom teritoriju i to na način da je cijena završavanja </w:t>
      </w:r>
      <w:r>
        <w:rPr>
          <w:sz w:val="24"/>
          <w:szCs w:val="24"/>
        </w:rPr>
        <w:t>glasovnih</w:t>
      </w:r>
      <w:r w:rsidRPr="00CD234E">
        <w:rPr>
          <w:sz w:val="24"/>
          <w:szCs w:val="24"/>
        </w:rPr>
        <w:t xml:space="preserve"> poziva ista neovisno o zemljopisnom području na kojem se nalazi strana koja prima poziv odnosno neovisno o lokaciji završavanja </w:t>
      </w:r>
      <w:r>
        <w:rPr>
          <w:sz w:val="24"/>
          <w:szCs w:val="24"/>
        </w:rPr>
        <w:t>glasovnih</w:t>
      </w:r>
      <w:r w:rsidRPr="00CD234E">
        <w:rPr>
          <w:sz w:val="24"/>
          <w:szCs w:val="24"/>
        </w:rPr>
        <w:t xml:space="preserve"> poziva. Isto tako, pravni i regulatorni okvir mjerodavan za predmetne usluge odnosno pravni i regulatorni okvir vezan uz područje elektroničkih komunikacija je isti na cijelom teritoriju Republike Hrvatske.</w:t>
      </w:r>
    </w:p>
    <w:p w:rsidR="00970CFB" w:rsidRPr="00CD234E" w:rsidRDefault="00970CFB" w:rsidP="00970CFB">
      <w:pPr>
        <w:spacing w:after="0" w:line="240" w:lineRule="auto"/>
        <w:jc w:val="both"/>
        <w:rPr>
          <w:sz w:val="24"/>
          <w:szCs w:val="24"/>
        </w:rPr>
      </w:pPr>
    </w:p>
    <w:p w:rsidR="003E1A2B" w:rsidRDefault="00970CFB" w:rsidP="00BB7F55">
      <w:pPr>
        <w:spacing w:after="0" w:line="240" w:lineRule="auto"/>
        <w:jc w:val="both"/>
        <w:rPr>
          <w:sz w:val="24"/>
          <w:szCs w:val="24"/>
        </w:rPr>
      </w:pPr>
      <w:r w:rsidRPr="00CD234E">
        <w:rPr>
          <w:sz w:val="24"/>
          <w:szCs w:val="24"/>
        </w:rPr>
        <w:lastRenderedPageBreak/>
        <w:t>U skladu s navedenim, HAKOM zemljopisnu dimenziju mjerodavnog tržišta određuje kao nacionalni teritorij Republike Hrvatske i to za sva tri operatora koji nude svoje usluge na tržištu.</w:t>
      </w:r>
      <w:bookmarkStart w:id="20" w:name="_Toc406066078"/>
      <w:bookmarkStart w:id="21" w:name="_Toc406066079"/>
      <w:bookmarkEnd w:id="20"/>
      <w:bookmarkEnd w:id="21"/>
    </w:p>
    <w:p w:rsidR="003E1A2B" w:rsidRDefault="003E1A2B" w:rsidP="00BB7F55">
      <w:pPr>
        <w:spacing w:after="0" w:line="240" w:lineRule="auto"/>
        <w:jc w:val="both"/>
        <w:rPr>
          <w:sz w:val="24"/>
          <w:szCs w:val="24"/>
        </w:rPr>
      </w:pPr>
    </w:p>
    <w:p w:rsidR="000E4ECF" w:rsidRPr="00A052D4" w:rsidRDefault="000E4ECF" w:rsidP="00BB7F55">
      <w:pPr>
        <w:spacing w:after="0" w:line="240" w:lineRule="auto"/>
        <w:jc w:val="both"/>
        <w:rPr>
          <w:sz w:val="24"/>
          <w:szCs w:val="24"/>
          <w:highlight w:val="yellow"/>
        </w:rPr>
      </w:pPr>
      <w:r w:rsidRPr="00A052D4">
        <w:rPr>
          <w:sz w:val="24"/>
          <w:szCs w:val="24"/>
          <w:highlight w:val="yellow"/>
        </w:rPr>
        <w:br w:type="page"/>
      </w:r>
    </w:p>
    <w:p w:rsidR="000E4ECF" w:rsidRPr="00083A62" w:rsidRDefault="000E4ECF" w:rsidP="00083A62">
      <w:pPr>
        <w:pStyle w:val="Heading1"/>
      </w:pPr>
      <w:bookmarkStart w:id="22" w:name="_Toc525816343"/>
      <w:r w:rsidRPr="00083A62">
        <w:lastRenderedPageBreak/>
        <w:t>Procjena postojanja operatora sa značajnom tržišnom snagom</w:t>
      </w:r>
      <w:bookmarkEnd w:id="22"/>
    </w:p>
    <w:p w:rsidR="000E4ECF" w:rsidRPr="00E67A20" w:rsidRDefault="000E4ECF" w:rsidP="00083A62">
      <w:pPr>
        <w:pStyle w:val="Heading2"/>
      </w:pPr>
      <w:bookmarkStart w:id="23" w:name="_Toc525816344"/>
      <w:r w:rsidRPr="00E67A20">
        <w:t>Cilj i predmet analize mjerodavnog tržišta</w:t>
      </w:r>
      <w:bookmarkEnd w:id="23"/>
    </w:p>
    <w:p w:rsidR="000E4ECF" w:rsidRPr="008F215B" w:rsidRDefault="00166393" w:rsidP="00BB7F55">
      <w:pPr>
        <w:spacing w:before="200" w:after="0" w:line="240" w:lineRule="auto"/>
        <w:jc w:val="both"/>
        <w:rPr>
          <w:sz w:val="24"/>
          <w:szCs w:val="24"/>
        </w:rPr>
      </w:pPr>
      <w:r w:rsidRPr="008F215B">
        <w:rPr>
          <w:sz w:val="24"/>
          <w:szCs w:val="24"/>
        </w:rPr>
        <w:t>Nakon utvrđivanja i određivanja mjerodavnog tržišta, HAKOM će, sukladno prikupljenim podacima, a u skladu s mjerilima iz članka 55. ZEK-a</w:t>
      </w:r>
      <w:r w:rsidR="000E4ECF" w:rsidRPr="008F215B">
        <w:rPr>
          <w:sz w:val="24"/>
          <w:szCs w:val="24"/>
        </w:rPr>
        <w:t>, ocijeniti djelotvornost tržišnog natjecanja na određenom mjerodavnom tržištu te procijeniti postoje li operatori sa značajnom tržišnom snagom na određenom mjerodavnom tržištu.</w:t>
      </w:r>
    </w:p>
    <w:p w:rsidR="000E4ECF" w:rsidRPr="008F215B" w:rsidRDefault="000E4ECF" w:rsidP="00BB7F55">
      <w:pPr>
        <w:spacing w:after="0" w:line="240" w:lineRule="auto"/>
        <w:jc w:val="both"/>
        <w:rPr>
          <w:sz w:val="24"/>
          <w:szCs w:val="24"/>
        </w:rPr>
      </w:pPr>
    </w:p>
    <w:p w:rsidR="000E4ECF" w:rsidRPr="008F215B" w:rsidRDefault="000E4ECF" w:rsidP="00BB7F55">
      <w:pPr>
        <w:spacing w:after="0" w:line="240" w:lineRule="auto"/>
        <w:jc w:val="both"/>
        <w:rPr>
          <w:sz w:val="24"/>
          <w:szCs w:val="24"/>
        </w:rPr>
      </w:pPr>
      <w:r w:rsidRPr="008F215B">
        <w:rPr>
          <w:sz w:val="24"/>
          <w:szCs w:val="24"/>
        </w:rPr>
        <w:t>Smatra se da operator ima značajnu tržišnu snagu ako, pojedinačno ili zajedno s drugim operatorima, ima položaj koji odgovara vladajućem, što znači da se nalazi u takvom gospodarskom položaju koji mu omogućuje da se u značajnoj mjeri ponaša neovisno o konkurenciji, korisnicima usluga i potrošačima.</w:t>
      </w:r>
    </w:p>
    <w:p w:rsidR="000E4ECF" w:rsidRPr="008F215B" w:rsidRDefault="000E4ECF" w:rsidP="00BB7F55">
      <w:pPr>
        <w:spacing w:after="0" w:line="240" w:lineRule="auto"/>
        <w:jc w:val="both"/>
        <w:rPr>
          <w:sz w:val="24"/>
          <w:szCs w:val="24"/>
        </w:rPr>
      </w:pPr>
    </w:p>
    <w:p w:rsidR="000E4ECF" w:rsidRPr="008F215B" w:rsidRDefault="000E4ECF" w:rsidP="00BB7F55">
      <w:pPr>
        <w:spacing w:after="0" w:line="240" w:lineRule="auto"/>
        <w:jc w:val="both"/>
        <w:rPr>
          <w:sz w:val="24"/>
          <w:szCs w:val="24"/>
        </w:rPr>
      </w:pPr>
      <w:r w:rsidRPr="008F215B">
        <w:rPr>
          <w:sz w:val="24"/>
          <w:szCs w:val="24"/>
        </w:rPr>
        <w:t xml:space="preserve">U procjenjivanju pojedinačne značajne tržišne snage operatora na </w:t>
      </w:r>
      <w:r w:rsidR="00CF4A2E">
        <w:rPr>
          <w:sz w:val="24"/>
          <w:szCs w:val="24"/>
        </w:rPr>
        <w:t xml:space="preserve">ovom </w:t>
      </w:r>
      <w:r w:rsidRPr="008F215B">
        <w:rPr>
          <w:sz w:val="24"/>
          <w:szCs w:val="24"/>
        </w:rPr>
        <w:t>mjerodav</w:t>
      </w:r>
      <w:r w:rsidR="00CF4A2E">
        <w:rPr>
          <w:sz w:val="24"/>
          <w:szCs w:val="24"/>
        </w:rPr>
        <w:t>nom tržištu</w:t>
      </w:r>
      <w:r w:rsidRPr="008F215B">
        <w:rPr>
          <w:sz w:val="24"/>
          <w:szCs w:val="24"/>
        </w:rPr>
        <w:t>, HA</w:t>
      </w:r>
      <w:r w:rsidR="00C42C3C">
        <w:rPr>
          <w:sz w:val="24"/>
          <w:szCs w:val="24"/>
        </w:rPr>
        <w:t>KOM je</w:t>
      </w:r>
      <w:r w:rsidRPr="008F215B">
        <w:rPr>
          <w:sz w:val="24"/>
          <w:szCs w:val="24"/>
        </w:rPr>
        <w:t xml:space="preserve"> primijen</w:t>
      </w:r>
      <w:r w:rsidR="00C42C3C">
        <w:rPr>
          <w:sz w:val="24"/>
          <w:szCs w:val="24"/>
        </w:rPr>
        <w:t>io</w:t>
      </w:r>
      <w:r w:rsidRPr="008F215B">
        <w:rPr>
          <w:sz w:val="24"/>
          <w:szCs w:val="24"/>
        </w:rPr>
        <w:t xml:space="preserve"> sljedeća mjerila:</w:t>
      </w:r>
    </w:p>
    <w:p w:rsidR="000E4ECF" w:rsidRPr="008F215B" w:rsidRDefault="000E4ECF" w:rsidP="00BB7F55">
      <w:pPr>
        <w:spacing w:after="0" w:line="240" w:lineRule="auto"/>
        <w:jc w:val="both"/>
        <w:rPr>
          <w:sz w:val="24"/>
          <w:szCs w:val="24"/>
        </w:rPr>
      </w:pPr>
    </w:p>
    <w:p w:rsidR="000E4ECF" w:rsidRPr="008F215B" w:rsidRDefault="000E4ECF" w:rsidP="00536EC7">
      <w:pPr>
        <w:pStyle w:val="ListParagraph"/>
        <w:numPr>
          <w:ilvl w:val="1"/>
          <w:numId w:val="5"/>
        </w:numPr>
        <w:spacing w:after="0" w:line="240" w:lineRule="auto"/>
        <w:jc w:val="both"/>
        <w:rPr>
          <w:sz w:val="24"/>
          <w:szCs w:val="24"/>
        </w:rPr>
      </w:pPr>
      <w:r w:rsidRPr="008F215B">
        <w:rPr>
          <w:sz w:val="24"/>
          <w:szCs w:val="24"/>
        </w:rPr>
        <w:t>tržišni udjel operatora na mjerodavnom tržištu,</w:t>
      </w:r>
    </w:p>
    <w:p w:rsidR="008F215B" w:rsidRDefault="000E4ECF" w:rsidP="00536EC7">
      <w:pPr>
        <w:pStyle w:val="ListParagraph"/>
        <w:numPr>
          <w:ilvl w:val="1"/>
          <w:numId w:val="5"/>
        </w:numPr>
        <w:spacing w:after="0" w:line="240" w:lineRule="auto"/>
        <w:jc w:val="both"/>
        <w:rPr>
          <w:sz w:val="24"/>
          <w:szCs w:val="24"/>
        </w:rPr>
      </w:pPr>
      <w:r w:rsidRPr="008F215B">
        <w:rPr>
          <w:sz w:val="24"/>
          <w:szCs w:val="24"/>
        </w:rPr>
        <w:t>ned</w:t>
      </w:r>
      <w:r w:rsidR="008F215B">
        <w:rPr>
          <w:sz w:val="24"/>
          <w:szCs w:val="24"/>
        </w:rPr>
        <w:t>ostatak protutežne kupovne moć</w:t>
      </w:r>
      <w:r w:rsidR="009A6649">
        <w:rPr>
          <w:sz w:val="24"/>
          <w:szCs w:val="24"/>
        </w:rPr>
        <w:t>i</w:t>
      </w:r>
      <w:r w:rsidR="00C42C3C">
        <w:rPr>
          <w:sz w:val="24"/>
          <w:szCs w:val="24"/>
        </w:rPr>
        <w:t>.</w:t>
      </w:r>
    </w:p>
    <w:p w:rsidR="008F215B" w:rsidRDefault="008F215B" w:rsidP="00BB7F55">
      <w:pPr>
        <w:spacing w:after="0" w:line="240" w:lineRule="auto"/>
        <w:jc w:val="both"/>
      </w:pPr>
    </w:p>
    <w:p w:rsidR="000E4ECF" w:rsidRDefault="000E4ECF" w:rsidP="00247BC9">
      <w:pPr>
        <w:pStyle w:val="Heading2"/>
      </w:pPr>
      <w:bookmarkStart w:id="24" w:name="_Toc525816345"/>
      <w:r w:rsidRPr="00185F91">
        <w:lastRenderedPageBreak/>
        <w:t xml:space="preserve">Analiza podataka na tržištu </w:t>
      </w:r>
      <w:r w:rsidR="00247BC9" w:rsidRPr="00247BC9">
        <w:t xml:space="preserve">veleprodajnog </w:t>
      </w:r>
      <w:r w:rsidR="00185F91" w:rsidRPr="00185F91">
        <w:t>završavanja poziva u vlastitoj mobilnoj mreži</w:t>
      </w:r>
      <w:bookmarkEnd w:id="24"/>
    </w:p>
    <w:p w:rsidR="00185F91" w:rsidRPr="00C224C0" w:rsidRDefault="00185F91" w:rsidP="00C224C0">
      <w:pPr>
        <w:pStyle w:val="Heading3"/>
      </w:pPr>
      <w:bookmarkStart w:id="25" w:name="_Toc525816346"/>
      <w:bookmarkStart w:id="26" w:name="_Toc358042007"/>
      <w:r w:rsidRPr="00C224C0">
        <w:t xml:space="preserve">Tržišni udjeli operatora na tržištu </w:t>
      </w:r>
      <w:r w:rsidR="00247BC9" w:rsidRPr="00C224C0">
        <w:t xml:space="preserve">veleprodajnog </w:t>
      </w:r>
      <w:r w:rsidR="008330D3" w:rsidRPr="00C224C0">
        <w:t>završavanja glasovnih poziva u vlastitoj mobilnoj mreži</w:t>
      </w:r>
      <w:bookmarkEnd w:id="25"/>
      <w:r w:rsidR="008330D3" w:rsidRPr="00C224C0" w:rsidDel="008330D3">
        <w:t xml:space="preserve"> </w:t>
      </w:r>
      <w:bookmarkEnd w:id="26"/>
    </w:p>
    <w:p w:rsidR="00E135BE" w:rsidRDefault="00185F91" w:rsidP="0023730C">
      <w:pPr>
        <w:tabs>
          <w:tab w:val="left" w:pos="2674"/>
        </w:tabs>
        <w:autoSpaceDE w:val="0"/>
        <w:autoSpaceDN w:val="0"/>
        <w:adjustRightInd w:val="0"/>
        <w:spacing w:after="0" w:line="240" w:lineRule="auto"/>
        <w:jc w:val="both"/>
        <w:rPr>
          <w:sz w:val="24"/>
          <w:szCs w:val="24"/>
        </w:rPr>
      </w:pPr>
      <w:r w:rsidRPr="00F3458F">
        <w:rPr>
          <w:sz w:val="24"/>
          <w:szCs w:val="24"/>
        </w:rPr>
        <w:t xml:space="preserve">Tržišni udjel je mjerilo relativne veličine nekog poduzetnika na tržištu, izračunato na način da se utvrdi postotak u kojem taj poduzetnik sudjeluje u ukupnoj proizvodnji i/ili prodaji nekog proizvoda i/ili usluge na </w:t>
      </w:r>
      <w:r w:rsidR="008B7288">
        <w:rPr>
          <w:sz w:val="24"/>
          <w:szCs w:val="24"/>
        </w:rPr>
        <w:t>predmet</w:t>
      </w:r>
      <w:r w:rsidRPr="00F3458F">
        <w:rPr>
          <w:sz w:val="24"/>
          <w:szCs w:val="24"/>
        </w:rPr>
        <w:t>nom tržištu u nekom razdoblju. Tržišni udjel se najčešće koristi kao zamjena za tržišnu snagu. Iako v</w:t>
      </w:r>
      <w:r w:rsidR="008B7288">
        <w:rPr>
          <w:sz w:val="24"/>
          <w:szCs w:val="24"/>
        </w:rPr>
        <w:t>isoki</w:t>
      </w:r>
      <w:r w:rsidRPr="00F3458F">
        <w:rPr>
          <w:sz w:val="24"/>
          <w:szCs w:val="24"/>
        </w:rPr>
        <w:t xml:space="preserve"> tržišni udjel nije sam po sebi dovoljna mjera kako bi se utvrdilo postojanje značajne tržišne snage (dominacije) na nekom mjerodavnom tržištu, malo je vjerojatno da će operator koji nema značajni tržišni udjel na određenom tržištu biti u dominantnom položaju. </w:t>
      </w:r>
    </w:p>
    <w:p w:rsidR="00E135BE" w:rsidRDefault="00E135BE" w:rsidP="0023730C">
      <w:pPr>
        <w:tabs>
          <w:tab w:val="left" w:pos="2674"/>
        </w:tabs>
        <w:autoSpaceDE w:val="0"/>
        <w:autoSpaceDN w:val="0"/>
        <w:adjustRightInd w:val="0"/>
        <w:spacing w:after="0" w:line="240" w:lineRule="auto"/>
        <w:jc w:val="both"/>
        <w:rPr>
          <w:sz w:val="24"/>
          <w:szCs w:val="24"/>
        </w:rPr>
      </w:pPr>
    </w:p>
    <w:p w:rsidR="00E135BE" w:rsidRPr="008F215B" w:rsidRDefault="00E135BE" w:rsidP="00E135BE">
      <w:pPr>
        <w:spacing w:after="0" w:line="240" w:lineRule="auto"/>
        <w:jc w:val="both"/>
        <w:rPr>
          <w:sz w:val="24"/>
          <w:szCs w:val="24"/>
        </w:rPr>
      </w:pPr>
      <w:r w:rsidRPr="008F215B">
        <w:rPr>
          <w:sz w:val="24"/>
          <w:szCs w:val="24"/>
        </w:rPr>
        <w:t xml:space="preserve">U svrhu procjene značajne tržišne snage operatora, HAKOM će izračunati tržišni udjel na određenom mjerodavnom tržištu i tumačiti ga u skladu sa </w:t>
      </w:r>
      <w:r w:rsidRPr="00167E1B">
        <w:rPr>
          <w:sz w:val="24"/>
          <w:szCs w:val="24"/>
        </w:rPr>
        <w:t>Smjernic</w:t>
      </w:r>
      <w:r>
        <w:rPr>
          <w:sz w:val="24"/>
          <w:szCs w:val="24"/>
        </w:rPr>
        <w:t>ama</w:t>
      </w:r>
      <w:r w:rsidRPr="00167E1B">
        <w:rPr>
          <w:sz w:val="24"/>
          <w:szCs w:val="24"/>
        </w:rPr>
        <w:t xml:space="preserve"> za analizu tržišta i ocjenu značajne tržišne snage</w:t>
      </w:r>
      <w:r w:rsidRPr="008F215B">
        <w:rPr>
          <w:sz w:val="24"/>
          <w:szCs w:val="24"/>
        </w:rPr>
        <w:t xml:space="preserve"> te mjerodavnom pravnom stečevinom </w:t>
      </w:r>
      <w:r>
        <w:rPr>
          <w:sz w:val="24"/>
          <w:szCs w:val="24"/>
        </w:rPr>
        <w:t>EU</w:t>
      </w:r>
      <w:r w:rsidRPr="008F215B">
        <w:rPr>
          <w:sz w:val="24"/>
          <w:szCs w:val="24"/>
        </w:rPr>
        <w:t xml:space="preserve"> iz područja tržišnog natjecanja. </w:t>
      </w:r>
    </w:p>
    <w:p w:rsidR="00E135BE" w:rsidRDefault="00E135BE" w:rsidP="0023730C">
      <w:pPr>
        <w:tabs>
          <w:tab w:val="left" w:pos="2674"/>
        </w:tabs>
        <w:autoSpaceDE w:val="0"/>
        <w:autoSpaceDN w:val="0"/>
        <w:adjustRightInd w:val="0"/>
        <w:spacing w:after="0" w:line="240" w:lineRule="auto"/>
        <w:jc w:val="both"/>
        <w:rPr>
          <w:sz w:val="24"/>
          <w:szCs w:val="24"/>
        </w:rPr>
      </w:pPr>
    </w:p>
    <w:p w:rsidR="00C224C0" w:rsidRPr="00FB28C3" w:rsidRDefault="00C224C0" w:rsidP="00C224C0">
      <w:pPr>
        <w:tabs>
          <w:tab w:val="left" w:pos="2674"/>
        </w:tabs>
        <w:spacing w:after="0" w:line="240" w:lineRule="auto"/>
        <w:jc w:val="both"/>
        <w:rPr>
          <w:rFonts w:eastAsia="Times New Roman" w:cstheme="minorHAnsi"/>
          <w:i/>
          <w:sz w:val="24"/>
          <w:szCs w:val="24"/>
          <w:lang w:eastAsia="hr-HR"/>
        </w:rPr>
      </w:pPr>
      <w:r>
        <w:rPr>
          <w:rFonts w:eastAsia="Times New Roman" w:cstheme="minorHAnsi"/>
          <w:iCs/>
          <w:sz w:val="24"/>
          <w:szCs w:val="24"/>
          <w:lang w:eastAsia="hr-HR"/>
        </w:rPr>
        <w:t>K</w:t>
      </w:r>
      <w:r w:rsidRPr="00FB28C3">
        <w:rPr>
          <w:rFonts w:eastAsia="Times New Roman" w:cstheme="minorHAnsi"/>
          <w:iCs/>
          <w:sz w:val="24"/>
          <w:szCs w:val="24"/>
          <w:lang w:eastAsia="hr-HR"/>
        </w:rPr>
        <w:t xml:space="preserve">ako je </w:t>
      </w:r>
      <w:r>
        <w:rPr>
          <w:rFonts w:eastAsia="Times New Roman" w:cstheme="minorHAnsi"/>
          <w:iCs/>
          <w:sz w:val="24"/>
          <w:szCs w:val="24"/>
          <w:lang w:eastAsia="hr-HR"/>
        </w:rPr>
        <w:t xml:space="preserve">već </w:t>
      </w:r>
      <w:r w:rsidRPr="00FB28C3">
        <w:rPr>
          <w:rFonts w:eastAsia="Times New Roman" w:cstheme="minorHAnsi"/>
          <w:iCs/>
          <w:sz w:val="24"/>
          <w:szCs w:val="24"/>
          <w:lang w:eastAsia="hr-HR"/>
        </w:rPr>
        <w:t>navedeno</w:t>
      </w:r>
      <w:r w:rsidRPr="00E734D9">
        <w:rPr>
          <w:rFonts w:eastAsia="Times New Roman" w:cstheme="minorHAnsi"/>
          <w:iCs/>
          <w:sz w:val="24"/>
          <w:szCs w:val="24"/>
          <w:lang w:eastAsia="hr-HR"/>
        </w:rPr>
        <w:t>,</w:t>
      </w:r>
      <w:r w:rsidRPr="00FB28C3">
        <w:rPr>
          <w:rFonts w:eastAsia="Times New Roman" w:cstheme="minorHAnsi"/>
          <w:iCs/>
          <w:sz w:val="24"/>
          <w:szCs w:val="24"/>
          <w:lang w:eastAsia="hr-HR"/>
        </w:rPr>
        <w:t xml:space="preserve"> poziv može završiti (terminirati) samo u mreži operatora koji je pristupni operator pozvanog korisnika. U</w:t>
      </w:r>
      <w:r w:rsidRPr="00FB28C3">
        <w:rPr>
          <w:rFonts w:eastAsia="Times New Roman" w:cstheme="minorHAnsi"/>
          <w:sz w:val="24"/>
          <w:szCs w:val="24"/>
          <w:lang w:eastAsia="hr-HR"/>
        </w:rPr>
        <w:t xml:space="preserve">zimajući u obzir prethodno navedeno, HAKOM je utvrdio tri mjerodavna tržišta koja se odnose na pružanje usluge </w:t>
      </w:r>
      <w:r w:rsidRPr="00792D20">
        <w:rPr>
          <w:rFonts w:eastAsia="Times New Roman" w:cstheme="minorHAnsi"/>
          <w:sz w:val="24"/>
          <w:szCs w:val="24"/>
          <w:lang w:eastAsia="hr-HR"/>
        </w:rPr>
        <w:t>završavanja glasovnih poziva u vlastitoj mobilnoj mreži</w:t>
      </w:r>
      <w:r w:rsidRPr="00FB28C3">
        <w:rPr>
          <w:rFonts w:eastAsia="Times New Roman" w:cstheme="minorHAnsi"/>
          <w:sz w:val="24"/>
          <w:szCs w:val="24"/>
          <w:lang w:eastAsia="hr-HR"/>
        </w:rPr>
        <w:t xml:space="preserve">. </w:t>
      </w:r>
      <w:r w:rsidRPr="00FB28C3">
        <w:rPr>
          <w:rFonts w:eastAsia="Times New Roman" w:cstheme="minorHAnsi"/>
          <w:iCs/>
          <w:sz w:val="24"/>
          <w:szCs w:val="24"/>
          <w:lang w:eastAsia="hr-HR"/>
        </w:rPr>
        <w:t xml:space="preserve">Iz prethodno definiranog proizlazi da svaki od tri operatora pokretnih mreža koji </w:t>
      </w:r>
      <w:r>
        <w:rPr>
          <w:rFonts w:eastAsia="Times New Roman" w:cstheme="minorHAnsi"/>
          <w:iCs/>
          <w:sz w:val="24"/>
          <w:szCs w:val="24"/>
          <w:lang w:eastAsia="hr-HR"/>
        </w:rPr>
        <w:t>pruža</w:t>
      </w:r>
      <w:r w:rsidRPr="00FB28C3">
        <w:rPr>
          <w:rFonts w:eastAsia="Times New Roman" w:cstheme="minorHAnsi"/>
          <w:iCs/>
          <w:sz w:val="24"/>
          <w:szCs w:val="24"/>
          <w:lang w:eastAsia="hr-HR"/>
        </w:rPr>
        <w:t xml:space="preserve"> uslugu završavanja </w:t>
      </w:r>
      <w:r w:rsidRPr="00792D20">
        <w:rPr>
          <w:rFonts w:eastAsia="Times New Roman" w:cstheme="minorHAnsi"/>
          <w:iCs/>
          <w:sz w:val="24"/>
          <w:szCs w:val="24"/>
          <w:lang w:eastAsia="hr-HR"/>
        </w:rPr>
        <w:t xml:space="preserve">glasovnih poziva u vlastitoj </w:t>
      </w:r>
      <w:r>
        <w:rPr>
          <w:rFonts w:eastAsia="Times New Roman" w:cstheme="minorHAnsi"/>
          <w:iCs/>
          <w:sz w:val="24"/>
          <w:szCs w:val="24"/>
          <w:lang w:eastAsia="hr-HR"/>
        </w:rPr>
        <w:t>pokretnoj</w:t>
      </w:r>
      <w:r w:rsidRPr="00792D20">
        <w:rPr>
          <w:rFonts w:eastAsia="Times New Roman" w:cstheme="minorHAnsi"/>
          <w:iCs/>
          <w:sz w:val="24"/>
          <w:szCs w:val="24"/>
          <w:lang w:eastAsia="hr-HR"/>
        </w:rPr>
        <w:t xml:space="preserve"> mreži</w:t>
      </w:r>
      <w:r>
        <w:rPr>
          <w:rFonts w:eastAsia="Times New Roman" w:cstheme="minorHAnsi"/>
          <w:iCs/>
          <w:sz w:val="24"/>
          <w:szCs w:val="24"/>
          <w:lang w:eastAsia="hr-HR"/>
        </w:rPr>
        <w:t xml:space="preserve"> ima</w:t>
      </w:r>
      <w:r w:rsidRPr="00FB28C3">
        <w:rPr>
          <w:rFonts w:eastAsia="Times New Roman" w:cstheme="minorHAnsi"/>
          <w:iCs/>
          <w:sz w:val="24"/>
          <w:szCs w:val="24"/>
          <w:lang w:eastAsia="hr-HR"/>
        </w:rPr>
        <w:t xml:space="preserve"> 100</w:t>
      </w:r>
      <w:r>
        <w:rPr>
          <w:rFonts w:eastAsia="Times New Roman" w:cstheme="minorHAnsi"/>
          <w:iCs/>
          <w:sz w:val="24"/>
          <w:szCs w:val="24"/>
          <w:lang w:eastAsia="hr-HR"/>
        </w:rPr>
        <w:t xml:space="preserve"> posto</w:t>
      </w:r>
      <w:r w:rsidRPr="00FB28C3">
        <w:rPr>
          <w:rFonts w:eastAsia="Times New Roman" w:cstheme="minorHAnsi"/>
          <w:iCs/>
          <w:sz w:val="24"/>
          <w:szCs w:val="24"/>
          <w:lang w:eastAsia="hr-HR"/>
        </w:rPr>
        <w:t xml:space="preserve"> tržišnog udjela. </w:t>
      </w:r>
    </w:p>
    <w:p w:rsidR="0099182B" w:rsidRDefault="0099182B" w:rsidP="0078227C">
      <w:pPr>
        <w:tabs>
          <w:tab w:val="left" w:pos="3180"/>
        </w:tabs>
        <w:autoSpaceDE w:val="0"/>
        <w:autoSpaceDN w:val="0"/>
        <w:adjustRightInd w:val="0"/>
        <w:spacing w:after="0" w:line="240" w:lineRule="auto"/>
        <w:jc w:val="both"/>
        <w:rPr>
          <w:sz w:val="24"/>
          <w:szCs w:val="24"/>
        </w:rPr>
      </w:pPr>
    </w:p>
    <w:p w:rsidR="00C224C0" w:rsidRPr="00F3458F" w:rsidRDefault="00C224C0" w:rsidP="0078227C">
      <w:pPr>
        <w:tabs>
          <w:tab w:val="left" w:pos="3180"/>
        </w:tabs>
        <w:autoSpaceDE w:val="0"/>
        <w:autoSpaceDN w:val="0"/>
        <w:adjustRightInd w:val="0"/>
        <w:spacing w:after="0" w:line="240" w:lineRule="auto"/>
        <w:jc w:val="both"/>
        <w:rPr>
          <w:sz w:val="24"/>
          <w:szCs w:val="24"/>
        </w:rPr>
      </w:pPr>
    </w:p>
    <w:p w:rsidR="0078227C" w:rsidRDefault="00DB0817" w:rsidP="00E135BE">
      <w:pPr>
        <w:tabs>
          <w:tab w:val="left" w:pos="3180"/>
        </w:tabs>
        <w:autoSpaceDE w:val="0"/>
        <w:autoSpaceDN w:val="0"/>
        <w:adjustRightInd w:val="0"/>
        <w:spacing w:after="0" w:line="240" w:lineRule="auto"/>
        <w:jc w:val="both"/>
        <w:rPr>
          <w:sz w:val="24"/>
          <w:szCs w:val="24"/>
        </w:rPr>
      </w:pPr>
      <w:r>
        <w:rPr>
          <w:sz w:val="24"/>
          <w:szCs w:val="24"/>
        </w:rPr>
        <w:t xml:space="preserve">Slika </w:t>
      </w:r>
      <w:r w:rsidR="00B43B7E">
        <w:rPr>
          <w:sz w:val="24"/>
          <w:szCs w:val="24"/>
        </w:rPr>
        <w:t>5</w:t>
      </w:r>
      <w:r w:rsidR="00E27C9B" w:rsidRPr="00F3458F">
        <w:rPr>
          <w:sz w:val="24"/>
          <w:szCs w:val="24"/>
        </w:rPr>
        <w:t xml:space="preserve"> pokazuje udjel</w:t>
      </w:r>
      <w:r w:rsidR="008B7288">
        <w:rPr>
          <w:sz w:val="24"/>
          <w:szCs w:val="24"/>
        </w:rPr>
        <w:t>e</w:t>
      </w:r>
      <w:r w:rsidR="00E27C9B" w:rsidRPr="00F3458F">
        <w:rPr>
          <w:sz w:val="24"/>
          <w:szCs w:val="24"/>
        </w:rPr>
        <w:t xml:space="preserve"> operatora prema ukupnom broju završenih (terminiranih) minuta neovisno o mreži u kojoj je poziv započeo (uključuje minute započete u mreži nacionalnih </w:t>
      </w:r>
      <w:r w:rsidR="008B7288" w:rsidRPr="00F3458F">
        <w:rPr>
          <w:sz w:val="24"/>
          <w:szCs w:val="24"/>
        </w:rPr>
        <w:t xml:space="preserve">pokretnih i nepokretnih </w:t>
      </w:r>
      <w:r w:rsidR="008B7288">
        <w:rPr>
          <w:sz w:val="24"/>
          <w:szCs w:val="24"/>
        </w:rPr>
        <w:t xml:space="preserve">operatora, </w:t>
      </w:r>
      <w:r w:rsidR="00E27C9B" w:rsidRPr="00F3458F">
        <w:rPr>
          <w:sz w:val="24"/>
          <w:szCs w:val="24"/>
        </w:rPr>
        <w:t xml:space="preserve">kao i minute započete u mreži </w:t>
      </w:r>
      <w:r w:rsidR="00E27C9B" w:rsidRPr="00F3458F">
        <w:rPr>
          <w:sz w:val="24"/>
          <w:szCs w:val="24"/>
        </w:rPr>
        <w:lastRenderedPageBreak/>
        <w:t xml:space="preserve">međunarodnih operatora). </w:t>
      </w:r>
      <w:r w:rsidR="003A617A">
        <w:rPr>
          <w:sz w:val="24"/>
          <w:szCs w:val="24"/>
        </w:rPr>
        <w:t>Tržišni</w:t>
      </w:r>
      <w:r w:rsidR="008B7288">
        <w:rPr>
          <w:sz w:val="24"/>
          <w:szCs w:val="24"/>
        </w:rPr>
        <w:t xml:space="preserve"> udjeli</w:t>
      </w:r>
      <w:r w:rsidR="00E27C9B" w:rsidRPr="00F3458F">
        <w:rPr>
          <w:sz w:val="24"/>
          <w:szCs w:val="24"/>
        </w:rPr>
        <w:t xml:space="preserve"> operatora prema ukupnom broju završenih (terminiranih) minuta </w:t>
      </w:r>
      <w:r w:rsidR="008B7288">
        <w:rPr>
          <w:sz w:val="24"/>
          <w:szCs w:val="24"/>
        </w:rPr>
        <w:t>u</w:t>
      </w:r>
      <w:r w:rsidR="00E27C9B" w:rsidRPr="00F3458F">
        <w:rPr>
          <w:sz w:val="24"/>
          <w:szCs w:val="24"/>
        </w:rPr>
        <w:t xml:space="preserve"> </w:t>
      </w:r>
      <w:r w:rsidR="008B7288">
        <w:rPr>
          <w:sz w:val="24"/>
          <w:szCs w:val="24"/>
        </w:rPr>
        <w:t xml:space="preserve">promatranom </w:t>
      </w:r>
      <w:r w:rsidR="00E27C9B" w:rsidRPr="00F3458F">
        <w:rPr>
          <w:sz w:val="24"/>
          <w:szCs w:val="24"/>
        </w:rPr>
        <w:t>razdoblj</w:t>
      </w:r>
      <w:r w:rsidR="008B7288">
        <w:rPr>
          <w:sz w:val="24"/>
          <w:szCs w:val="24"/>
        </w:rPr>
        <w:t xml:space="preserve">u su stabilni, </w:t>
      </w:r>
      <w:r w:rsidR="003A617A">
        <w:rPr>
          <w:sz w:val="24"/>
          <w:szCs w:val="24"/>
        </w:rPr>
        <w:t>pri čemu</w:t>
      </w:r>
      <w:r w:rsidR="00E27C9B">
        <w:rPr>
          <w:sz w:val="24"/>
          <w:szCs w:val="24"/>
        </w:rPr>
        <w:t xml:space="preserve"> </w:t>
      </w:r>
      <w:r w:rsidR="00E27C9B" w:rsidRPr="00BB5C71">
        <w:rPr>
          <w:sz w:val="24"/>
          <w:szCs w:val="24"/>
        </w:rPr>
        <w:t xml:space="preserve">HT ima najveći udjel prema broju završenih (terminiranih) minuta </w:t>
      </w:r>
      <w:r w:rsidR="008B7288">
        <w:rPr>
          <w:sz w:val="24"/>
          <w:szCs w:val="24"/>
        </w:rPr>
        <w:t>u cijelom</w:t>
      </w:r>
      <w:r w:rsidR="00E27C9B" w:rsidRPr="00BB5C71">
        <w:rPr>
          <w:sz w:val="24"/>
          <w:szCs w:val="24"/>
        </w:rPr>
        <w:t xml:space="preserve"> promatrano</w:t>
      </w:r>
      <w:r w:rsidR="008B7288">
        <w:rPr>
          <w:sz w:val="24"/>
          <w:szCs w:val="24"/>
        </w:rPr>
        <w:t>m</w:t>
      </w:r>
      <w:r w:rsidR="00E27C9B" w:rsidRPr="00BB5C71">
        <w:rPr>
          <w:sz w:val="24"/>
          <w:szCs w:val="24"/>
        </w:rPr>
        <w:t xml:space="preserve"> razdoblj</w:t>
      </w:r>
      <w:r w:rsidR="003A617A">
        <w:rPr>
          <w:sz w:val="24"/>
          <w:szCs w:val="24"/>
        </w:rPr>
        <w:t>u</w:t>
      </w:r>
      <w:r w:rsidR="00E27C9B">
        <w:rPr>
          <w:sz w:val="24"/>
          <w:szCs w:val="24"/>
        </w:rPr>
        <w:t xml:space="preserve">. </w:t>
      </w:r>
      <w:r w:rsidR="008B7288">
        <w:rPr>
          <w:sz w:val="24"/>
          <w:szCs w:val="24"/>
        </w:rPr>
        <w:t>Na kraju 2017.</w:t>
      </w:r>
      <w:r w:rsidR="00E27C9B">
        <w:rPr>
          <w:sz w:val="24"/>
          <w:szCs w:val="24"/>
        </w:rPr>
        <w:t xml:space="preserve">, </w:t>
      </w:r>
      <w:r w:rsidR="00E27C9B" w:rsidRPr="002F06E1">
        <w:rPr>
          <w:sz w:val="24"/>
          <w:szCs w:val="24"/>
        </w:rPr>
        <w:t>HT-ov tržišni udjel prema ukupnom broju završenih (terminiranih) minuta iznosi 44,73 posto</w:t>
      </w:r>
      <w:r w:rsidR="00E27C9B">
        <w:rPr>
          <w:sz w:val="24"/>
          <w:szCs w:val="24"/>
        </w:rPr>
        <w:t xml:space="preserve">, tržišni udjel VIPneta </w:t>
      </w:r>
      <w:r w:rsidR="00E27C9B" w:rsidRPr="000C7AF4">
        <w:rPr>
          <w:sz w:val="24"/>
          <w:szCs w:val="24"/>
        </w:rPr>
        <w:t xml:space="preserve">u istom razdoblju </w:t>
      </w:r>
      <w:r w:rsidR="00E27C9B">
        <w:rPr>
          <w:sz w:val="24"/>
          <w:szCs w:val="24"/>
        </w:rPr>
        <w:t>iznosi 36,72 posto dok od Tele2 iznosi 18,55 posto.</w:t>
      </w:r>
    </w:p>
    <w:p w:rsidR="00E135BE" w:rsidRDefault="00E135BE" w:rsidP="00E135BE">
      <w:pPr>
        <w:tabs>
          <w:tab w:val="left" w:pos="3180"/>
        </w:tabs>
        <w:autoSpaceDE w:val="0"/>
        <w:autoSpaceDN w:val="0"/>
        <w:adjustRightInd w:val="0"/>
        <w:spacing w:after="0" w:line="240" w:lineRule="auto"/>
        <w:jc w:val="both"/>
        <w:rPr>
          <w:b/>
          <w:bCs/>
          <w:color w:val="4F81BD" w:themeColor="accent1"/>
          <w:sz w:val="18"/>
          <w:szCs w:val="18"/>
        </w:rPr>
      </w:pPr>
    </w:p>
    <w:p w:rsidR="00B43B7E" w:rsidRDefault="00B43B7E" w:rsidP="00B43B7E">
      <w:pPr>
        <w:pStyle w:val="Caption"/>
        <w:keepNext/>
        <w:jc w:val="both"/>
      </w:pPr>
      <w:bookmarkStart w:id="27" w:name="_Toc525508365"/>
      <w:r>
        <w:t xml:space="preserve">Slika </w:t>
      </w:r>
      <w:r w:rsidR="00D049E5">
        <w:rPr>
          <w:noProof/>
        </w:rPr>
        <w:fldChar w:fldCharType="begin"/>
      </w:r>
      <w:r w:rsidR="00D049E5">
        <w:rPr>
          <w:noProof/>
        </w:rPr>
        <w:instrText xml:space="preserve"> SEQ Slika \* ARABIC </w:instrText>
      </w:r>
      <w:r w:rsidR="00D049E5">
        <w:rPr>
          <w:noProof/>
        </w:rPr>
        <w:fldChar w:fldCharType="separate"/>
      </w:r>
      <w:r w:rsidR="0015566D">
        <w:rPr>
          <w:noProof/>
        </w:rPr>
        <w:t>5</w:t>
      </w:r>
      <w:r w:rsidR="00D049E5">
        <w:rPr>
          <w:noProof/>
        </w:rPr>
        <w:fldChar w:fldCharType="end"/>
      </w:r>
      <w:r w:rsidRPr="00B43B7E">
        <w:t xml:space="preserve"> </w:t>
      </w:r>
      <w:r w:rsidRPr="00FB28C3">
        <w:t>Tržišni udjeli operatora prema ukupnom broju završenih (terminiranih) minuta</w:t>
      </w:r>
      <w:bookmarkEnd w:id="27"/>
    </w:p>
    <w:p w:rsidR="00FB28C3" w:rsidRPr="00FB28C3" w:rsidRDefault="004F530A" w:rsidP="00BB7F55">
      <w:pPr>
        <w:tabs>
          <w:tab w:val="left" w:pos="2674"/>
        </w:tabs>
        <w:spacing w:after="0" w:line="240" w:lineRule="auto"/>
        <w:jc w:val="both"/>
        <w:rPr>
          <w:rFonts w:eastAsia="Times New Roman" w:cstheme="minorHAnsi"/>
          <w:b/>
          <w:color w:val="000000"/>
          <w:sz w:val="24"/>
          <w:szCs w:val="24"/>
          <w:lang w:eastAsia="hr-HR"/>
        </w:rPr>
      </w:pPr>
      <w:r>
        <w:rPr>
          <w:noProof/>
          <w:lang w:eastAsia="hr-HR"/>
        </w:rPr>
        <w:drawing>
          <wp:inline distT="0" distB="0" distL="0" distR="0" wp14:anchorId="570B0D3F" wp14:editId="5E081E8C">
            <wp:extent cx="5760720" cy="3327400"/>
            <wp:effectExtent l="0" t="0" r="11430" b="6350"/>
            <wp:docPr id="25" name="Grafikon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B28C3" w:rsidRPr="00F8288C" w:rsidRDefault="00FB28C3" w:rsidP="00BB7F55">
      <w:pPr>
        <w:spacing w:after="0" w:line="240" w:lineRule="auto"/>
        <w:jc w:val="both"/>
        <w:rPr>
          <w:rFonts w:eastAsia="Times New Roman" w:cstheme="minorHAnsi"/>
          <w:bCs/>
          <w:i/>
          <w:sz w:val="20"/>
          <w:szCs w:val="20"/>
        </w:rPr>
      </w:pPr>
      <w:r w:rsidRPr="00F8288C">
        <w:rPr>
          <w:rFonts w:eastAsia="Times New Roman" w:cstheme="minorHAnsi"/>
          <w:bCs/>
          <w:i/>
          <w:sz w:val="20"/>
          <w:szCs w:val="20"/>
        </w:rPr>
        <w:t xml:space="preserve">Izvor: Upitnici za tržište </w:t>
      </w:r>
      <w:r w:rsidR="008330D3" w:rsidRPr="008330D3">
        <w:rPr>
          <w:rFonts w:eastAsia="Times New Roman" w:cstheme="minorHAnsi"/>
          <w:bCs/>
          <w:i/>
          <w:sz w:val="20"/>
          <w:szCs w:val="20"/>
        </w:rPr>
        <w:t>završavanja glasovnih poziva u vlastitoj mobilnoj mreži</w:t>
      </w:r>
    </w:p>
    <w:p w:rsidR="00046C1D" w:rsidRDefault="00046C1D" w:rsidP="00BB7F55">
      <w:pPr>
        <w:spacing w:after="0" w:line="240" w:lineRule="auto"/>
        <w:jc w:val="both"/>
        <w:rPr>
          <w:rFonts w:eastAsia="Times New Roman" w:cstheme="minorHAnsi"/>
          <w:iCs/>
          <w:sz w:val="24"/>
          <w:szCs w:val="24"/>
          <w:lang w:eastAsia="hr-HR"/>
        </w:rPr>
      </w:pPr>
    </w:p>
    <w:p w:rsidR="00D020F6" w:rsidRPr="001508A4" w:rsidRDefault="00D020F6" w:rsidP="00C224C0">
      <w:pPr>
        <w:pStyle w:val="Heading3"/>
      </w:pPr>
      <w:bookmarkStart w:id="28" w:name="_Toc358042008"/>
      <w:bookmarkStart w:id="29" w:name="_Toc525816347"/>
      <w:r w:rsidRPr="00015773">
        <w:lastRenderedPageBreak/>
        <w:t>Nedostatak protutežne kupovne moći</w:t>
      </w:r>
      <w:bookmarkEnd w:id="28"/>
      <w:bookmarkEnd w:id="29"/>
    </w:p>
    <w:p w:rsidR="00D020F6" w:rsidRDefault="00D020F6" w:rsidP="0023730C">
      <w:pPr>
        <w:autoSpaceDE w:val="0"/>
        <w:autoSpaceDN w:val="0"/>
        <w:adjustRightInd w:val="0"/>
        <w:spacing w:after="0" w:line="240" w:lineRule="auto"/>
        <w:jc w:val="both"/>
        <w:rPr>
          <w:rFonts w:eastAsia="Times New Roman" w:cstheme="minorHAnsi"/>
          <w:sz w:val="24"/>
          <w:szCs w:val="24"/>
          <w:lang w:eastAsia="hr-HR"/>
        </w:rPr>
      </w:pPr>
      <w:r w:rsidRPr="00015773">
        <w:rPr>
          <w:rFonts w:eastAsia="Times New Roman" w:cstheme="minorHAnsi"/>
          <w:sz w:val="24"/>
          <w:szCs w:val="24"/>
          <w:lang w:eastAsia="hr-HR"/>
        </w:rPr>
        <w:t>Protutežna kupovna moć postoji u situaciji kad određeni kupac, operator (ili više njih), ima veliku pregovaračku moć, a samim time i značajan utjecaj na konkurenciju čime onemogućava da se drugi operator ponaša neovisn</w:t>
      </w:r>
      <w:r w:rsidR="009A6649">
        <w:rPr>
          <w:rFonts w:eastAsia="Times New Roman" w:cstheme="minorHAnsi"/>
          <w:sz w:val="24"/>
          <w:szCs w:val="24"/>
          <w:lang w:eastAsia="hr-HR"/>
        </w:rPr>
        <w:t>o o konkurenciji i korisnicima.</w:t>
      </w:r>
    </w:p>
    <w:p w:rsidR="0023730C" w:rsidRPr="00015773" w:rsidRDefault="0023730C" w:rsidP="0023730C">
      <w:pPr>
        <w:autoSpaceDE w:val="0"/>
        <w:autoSpaceDN w:val="0"/>
        <w:adjustRightInd w:val="0"/>
        <w:spacing w:after="0" w:line="240" w:lineRule="auto"/>
        <w:jc w:val="both"/>
        <w:rPr>
          <w:rFonts w:eastAsia="Times New Roman" w:cstheme="minorHAnsi"/>
          <w:sz w:val="24"/>
          <w:szCs w:val="24"/>
          <w:lang w:eastAsia="hr-HR"/>
        </w:rPr>
      </w:pPr>
    </w:p>
    <w:p w:rsidR="00D020F6" w:rsidRDefault="00D020F6" w:rsidP="0023730C">
      <w:pPr>
        <w:autoSpaceDE w:val="0"/>
        <w:autoSpaceDN w:val="0"/>
        <w:adjustRightInd w:val="0"/>
        <w:spacing w:after="0" w:line="240" w:lineRule="auto"/>
        <w:jc w:val="both"/>
        <w:rPr>
          <w:rFonts w:eastAsia="Times New Roman" w:cstheme="minorHAnsi"/>
          <w:sz w:val="24"/>
          <w:szCs w:val="24"/>
          <w:lang w:eastAsia="hr-HR"/>
        </w:rPr>
      </w:pPr>
      <w:r w:rsidRPr="00015773">
        <w:rPr>
          <w:rFonts w:eastAsia="Times New Roman" w:cstheme="minorHAnsi"/>
          <w:sz w:val="24"/>
          <w:szCs w:val="24"/>
          <w:lang w:eastAsia="hr-HR"/>
        </w:rPr>
        <w:t xml:space="preserve">Nadalje, postojanje protutežne kupovne moći ovisi o sposobnostima operatora da spriječi porast cijena, na način da ili ne kupuje od konkurencije (dominantnog operatora) ili pruža uslugu sam sebi. Svaki operator na tržištu </w:t>
      </w:r>
      <w:r w:rsidR="00247BC9" w:rsidRPr="00247BC9">
        <w:rPr>
          <w:rFonts w:eastAsia="Times New Roman" w:cstheme="minorHAnsi"/>
          <w:sz w:val="24"/>
          <w:szCs w:val="24"/>
          <w:lang w:eastAsia="hr-HR"/>
        </w:rPr>
        <w:t xml:space="preserve">veleprodajnog </w:t>
      </w:r>
      <w:r w:rsidR="009A6649" w:rsidRPr="009A6649">
        <w:rPr>
          <w:rFonts w:eastAsia="Times New Roman" w:cstheme="minorHAnsi"/>
          <w:sz w:val="24"/>
          <w:szCs w:val="24"/>
          <w:lang w:eastAsia="hr-HR"/>
        </w:rPr>
        <w:t>završavanja glasovnih poziva u vlastitoj mobilnoj mreži</w:t>
      </w:r>
      <w:r w:rsidR="009A6649">
        <w:rPr>
          <w:rFonts w:eastAsia="Times New Roman" w:cstheme="minorHAnsi"/>
          <w:sz w:val="24"/>
          <w:szCs w:val="24"/>
          <w:lang w:eastAsia="hr-HR"/>
        </w:rPr>
        <w:t xml:space="preserve"> </w:t>
      </w:r>
      <w:r w:rsidRPr="00015773">
        <w:rPr>
          <w:rFonts w:eastAsia="Times New Roman" w:cstheme="minorHAnsi"/>
          <w:sz w:val="24"/>
          <w:szCs w:val="24"/>
          <w:lang w:eastAsia="hr-HR"/>
        </w:rPr>
        <w:t>ima tržišni udjel</w:t>
      </w:r>
      <w:r w:rsidR="008B7288">
        <w:rPr>
          <w:rFonts w:eastAsia="Times New Roman" w:cstheme="minorHAnsi"/>
          <w:sz w:val="24"/>
          <w:szCs w:val="24"/>
          <w:lang w:eastAsia="hr-HR"/>
        </w:rPr>
        <w:t xml:space="preserve"> </w:t>
      </w:r>
      <w:r w:rsidR="008B7288" w:rsidRPr="00015773">
        <w:rPr>
          <w:rFonts w:eastAsia="Times New Roman" w:cstheme="minorHAnsi"/>
          <w:sz w:val="24"/>
          <w:szCs w:val="24"/>
          <w:lang w:eastAsia="hr-HR"/>
        </w:rPr>
        <w:t>100</w:t>
      </w:r>
      <w:r w:rsidR="008B7288">
        <w:rPr>
          <w:rFonts w:eastAsia="Times New Roman" w:cstheme="minorHAnsi"/>
          <w:sz w:val="24"/>
          <w:szCs w:val="24"/>
          <w:lang w:eastAsia="hr-HR"/>
        </w:rPr>
        <w:t xml:space="preserve"> posto</w:t>
      </w:r>
      <w:r w:rsidRPr="00015773">
        <w:rPr>
          <w:rFonts w:eastAsia="Times New Roman" w:cstheme="minorHAnsi"/>
          <w:sz w:val="24"/>
          <w:szCs w:val="24"/>
          <w:lang w:eastAsia="hr-HR"/>
        </w:rPr>
        <w:t xml:space="preserve">, s obzirom da u potpunosti kontrolira vlastitu infrastrukturu. Činjenica je da svaki operator u ovome slučaju ima dominantan položaj na tržištu </w:t>
      </w:r>
      <w:r w:rsidR="00247BC9" w:rsidRPr="00247BC9">
        <w:rPr>
          <w:rFonts w:eastAsia="Times New Roman" w:cstheme="minorHAnsi"/>
          <w:sz w:val="24"/>
          <w:szCs w:val="24"/>
          <w:lang w:eastAsia="hr-HR"/>
        </w:rPr>
        <w:t xml:space="preserve">veleprodajnog </w:t>
      </w:r>
      <w:r w:rsidR="008330D3" w:rsidRPr="008330D3">
        <w:rPr>
          <w:rFonts w:eastAsia="Times New Roman" w:cstheme="minorHAnsi"/>
          <w:sz w:val="24"/>
          <w:szCs w:val="24"/>
          <w:lang w:eastAsia="hr-HR"/>
        </w:rPr>
        <w:t>završavanja glasovnih poziva u vlastitoj mobilnoj mreži</w:t>
      </w:r>
      <w:r w:rsidRPr="00015773">
        <w:rPr>
          <w:rFonts w:eastAsia="Times New Roman" w:cstheme="minorHAnsi"/>
          <w:sz w:val="24"/>
          <w:szCs w:val="24"/>
          <w:lang w:eastAsia="hr-HR"/>
        </w:rPr>
        <w:t xml:space="preserve">. Pri ovoj analizi uzeta je u obzir protutežna kupovna moć između pojedinih operatora. U tu svrhu, u omjer su stavljeni pozivi iz mreže jednog operatora prema drugom i obrnuto. U nastavku su prikazani međusobni odnosi između operatora koji pružaju uslugu završavanja poziva u </w:t>
      </w:r>
      <w:r w:rsidR="008B7288">
        <w:rPr>
          <w:rFonts w:eastAsia="Times New Roman" w:cstheme="minorHAnsi"/>
          <w:sz w:val="24"/>
          <w:szCs w:val="24"/>
          <w:lang w:eastAsia="hr-HR"/>
        </w:rPr>
        <w:t>vlastitoj mobilnoj mreži u Republici Hrvatskoj</w:t>
      </w:r>
      <w:r w:rsidRPr="00015773">
        <w:rPr>
          <w:rFonts w:eastAsia="Times New Roman" w:cstheme="minorHAnsi"/>
          <w:sz w:val="24"/>
          <w:szCs w:val="24"/>
          <w:lang w:eastAsia="hr-HR"/>
        </w:rPr>
        <w:t xml:space="preserve">. </w:t>
      </w:r>
    </w:p>
    <w:p w:rsidR="00B43B7E" w:rsidRDefault="00B43B7E" w:rsidP="00B43B7E">
      <w:pPr>
        <w:pStyle w:val="Caption"/>
        <w:keepNext/>
        <w:jc w:val="both"/>
      </w:pPr>
      <w:bookmarkStart w:id="30" w:name="_Toc525508366"/>
      <w:r>
        <w:lastRenderedPageBreak/>
        <w:t xml:space="preserve">Slika </w:t>
      </w:r>
      <w:r w:rsidR="00D049E5">
        <w:rPr>
          <w:noProof/>
        </w:rPr>
        <w:fldChar w:fldCharType="begin"/>
      </w:r>
      <w:r w:rsidR="00D049E5">
        <w:rPr>
          <w:noProof/>
        </w:rPr>
        <w:instrText xml:space="preserve"> SEQ Slika \* ARABIC </w:instrText>
      </w:r>
      <w:r w:rsidR="00D049E5">
        <w:rPr>
          <w:noProof/>
        </w:rPr>
        <w:fldChar w:fldCharType="separate"/>
      </w:r>
      <w:r w:rsidR="0015566D">
        <w:rPr>
          <w:noProof/>
        </w:rPr>
        <w:t>6</w:t>
      </w:r>
      <w:r w:rsidR="00D049E5">
        <w:rPr>
          <w:noProof/>
        </w:rPr>
        <w:fldChar w:fldCharType="end"/>
      </w:r>
      <w:r>
        <w:t xml:space="preserve"> </w:t>
      </w:r>
      <w:r w:rsidRPr="00015773">
        <w:t xml:space="preserve">Odnos operatora Vipnet-a i </w:t>
      </w:r>
      <w:r w:rsidRPr="00E92230">
        <w:t>HT</w:t>
      </w:r>
      <w:r w:rsidRPr="00015773">
        <w:t>-a</w:t>
      </w:r>
      <w:bookmarkEnd w:id="30"/>
    </w:p>
    <w:p w:rsidR="00D020F6" w:rsidRDefault="009D027F" w:rsidP="00BB7F55">
      <w:pPr>
        <w:autoSpaceDE w:val="0"/>
        <w:autoSpaceDN w:val="0"/>
        <w:adjustRightInd w:val="0"/>
        <w:spacing w:after="0" w:line="240" w:lineRule="auto"/>
        <w:jc w:val="both"/>
        <w:rPr>
          <w:rFonts w:eastAsia="Times New Roman" w:cstheme="minorHAnsi"/>
          <w:sz w:val="24"/>
          <w:szCs w:val="24"/>
          <w:highlight w:val="yellow"/>
          <w:lang w:eastAsia="hr-HR"/>
        </w:rPr>
      </w:pPr>
      <w:r>
        <w:rPr>
          <w:noProof/>
          <w:lang w:eastAsia="hr-HR"/>
        </w:rPr>
        <w:drawing>
          <wp:inline distT="0" distB="0" distL="0" distR="0" wp14:anchorId="5644C6E6" wp14:editId="4014DB1E">
            <wp:extent cx="5715000" cy="2849880"/>
            <wp:effectExtent l="0" t="0" r="0" b="762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020F6" w:rsidRPr="00015773" w:rsidRDefault="00D020F6" w:rsidP="00BB7F55">
      <w:pPr>
        <w:spacing w:after="0" w:line="240" w:lineRule="auto"/>
        <w:jc w:val="both"/>
        <w:rPr>
          <w:rFonts w:eastAsia="Times New Roman" w:cstheme="minorHAnsi"/>
          <w:bCs/>
          <w:i/>
          <w:sz w:val="20"/>
          <w:szCs w:val="20"/>
        </w:rPr>
      </w:pPr>
      <w:r w:rsidRPr="00015773">
        <w:rPr>
          <w:rFonts w:eastAsia="Times New Roman" w:cstheme="minorHAnsi"/>
          <w:bCs/>
          <w:i/>
          <w:sz w:val="20"/>
          <w:szCs w:val="20"/>
        </w:rPr>
        <w:t xml:space="preserve">Izvor: Upitnici za tržište </w:t>
      </w:r>
      <w:r w:rsidR="00247BC9" w:rsidRPr="00247BC9">
        <w:rPr>
          <w:rFonts w:eastAsia="Times New Roman" w:cstheme="minorHAnsi"/>
          <w:bCs/>
          <w:i/>
          <w:sz w:val="20"/>
          <w:szCs w:val="20"/>
        </w:rPr>
        <w:t xml:space="preserve">veleprodajnog </w:t>
      </w:r>
      <w:r w:rsidR="008330D3" w:rsidRPr="008330D3">
        <w:rPr>
          <w:rFonts w:eastAsia="Times New Roman" w:cstheme="minorHAnsi"/>
          <w:bCs/>
          <w:i/>
          <w:sz w:val="20"/>
          <w:szCs w:val="20"/>
        </w:rPr>
        <w:t>završavanja glasovnih poziva u vlastitoj mobilnoj mreži</w:t>
      </w:r>
    </w:p>
    <w:p w:rsidR="009D027F" w:rsidRDefault="009D027F" w:rsidP="00BB7F55">
      <w:pPr>
        <w:autoSpaceDE w:val="0"/>
        <w:autoSpaceDN w:val="0"/>
        <w:adjustRightInd w:val="0"/>
        <w:spacing w:after="0" w:line="240" w:lineRule="auto"/>
        <w:jc w:val="both"/>
        <w:rPr>
          <w:rFonts w:eastAsia="Times New Roman" w:cstheme="minorHAnsi"/>
          <w:sz w:val="24"/>
          <w:szCs w:val="24"/>
          <w:lang w:eastAsia="hr-HR"/>
        </w:rPr>
      </w:pPr>
    </w:p>
    <w:p w:rsidR="00D020F6" w:rsidRDefault="00DB0817" w:rsidP="00BB7F55">
      <w:pPr>
        <w:autoSpaceDE w:val="0"/>
        <w:autoSpaceDN w:val="0"/>
        <w:adjustRightInd w:val="0"/>
        <w:spacing w:after="0" w:line="240" w:lineRule="auto"/>
        <w:jc w:val="both"/>
        <w:rPr>
          <w:rFonts w:eastAsia="Times New Roman" w:cstheme="minorHAnsi"/>
          <w:sz w:val="24"/>
          <w:szCs w:val="24"/>
          <w:lang w:eastAsia="hr-HR"/>
        </w:rPr>
      </w:pPr>
      <w:r>
        <w:rPr>
          <w:rFonts w:eastAsia="Times New Roman" w:cstheme="minorHAnsi"/>
          <w:sz w:val="24"/>
          <w:szCs w:val="24"/>
          <w:lang w:eastAsia="hr-HR"/>
        </w:rPr>
        <w:t>Na slici 6</w:t>
      </w:r>
      <w:r w:rsidR="00046C1D">
        <w:rPr>
          <w:rFonts w:eastAsia="Times New Roman" w:cstheme="minorHAnsi"/>
          <w:sz w:val="24"/>
          <w:szCs w:val="24"/>
          <w:lang w:eastAsia="hr-HR"/>
        </w:rPr>
        <w:t xml:space="preserve"> prikazan je o</w:t>
      </w:r>
      <w:r w:rsidR="00D020F6" w:rsidRPr="00CD2244">
        <w:rPr>
          <w:rFonts w:eastAsia="Times New Roman" w:cstheme="minorHAnsi"/>
          <w:sz w:val="24"/>
          <w:szCs w:val="24"/>
          <w:lang w:eastAsia="hr-HR"/>
        </w:rPr>
        <w:t xml:space="preserve">dnos međusobnih poziva između HT-a i Vipnet-a </w:t>
      </w:r>
      <w:r w:rsidR="00046C1D">
        <w:rPr>
          <w:rFonts w:eastAsia="Times New Roman" w:cstheme="minorHAnsi"/>
          <w:sz w:val="24"/>
          <w:szCs w:val="24"/>
          <w:lang w:eastAsia="hr-HR"/>
        </w:rPr>
        <w:t xml:space="preserve">i </w:t>
      </w:r>
      <w:r w:rsidR="00CD2244" w:rsidRPr="00CD2244">
        <w:rPr>
          <w:rFonts w:eastAsia="Times New Roman" w:cstheme="minorHAnsi"/>
          <w:sz w:val="24"/>
          <w:szCs w:val="24"/>
          <w:lang w:eastAsia="hr-HR"/>
        </w:rPr>
        <w:t xml:space="preserve">u promatranom razdoblju </w:t>
      </w:r>
      <w:r w:rsidR="00C07B8D">
        <w:rPr>
          <w:rFonts w:eastAsia="Times New Roman" w:cstheme="minorHAnsi"/>
          <w:sz w:val="24"/>
          <w:szCs w:val="24"/>
          <w:lang w:eastAsia="hr-HR"/>
        </w:rPr>
        <w:t>ima tendenciju izjednačavanja</w:t>
      </w:r>
      <w:r w:rsidR="00C224C0">
        <w:rPr>
          <w:rFonts w:eastAsia="Times New Roman" w:cstheme="minorHAnsi"/>
          <w:sz w:val="24"/>
          <w:szCs w:val="24"/>
          <w:lang w:eastAsia="hr-HR"/>
        </w:rPr>
        <w:t>.</w:t>
      </w:r>
      <w:r w:rsidR="00D020F6" w:rsidRPr="00CD2244">
        <w:rPr>
          <w:rFonts w:eastAsia="Times New Roman" w:cstheme="minorHAnsi"/>
          <w:sz w:val="24"/>
          <w:szCs w:val="24"/>
          <w:lang w:eastAsia="hr-HR"/>
        </w:rPr>
        <w:t xml:space="preserve"> HAKOM iz navedenog zaključuje da su troškovi i prihodi koje operatori imaju, odnosno ostvaruju za uslugu završavanja</w:t>
      </w:r>
      <w:r w:rsidR="008330D3">
        <w:rPr>
          <w:rFonts w:eastAsia="Times New Roman" w:cstheme="minorHAnsi"/>
          <w:sz w:val="24"/>
          <w:szCs w:val="24"/>
          <w:lang w:eastAsia="hr-HR"/>
        </w:rPr>
        <w:t xml:space="preserve"> </w:t>
      </w:r>
      <w:r w:rsidR="00D020F6" w:rsidRPr="00CD2244">
        <w:rPr>
          <w:rFonts w:eastAsia="Times New Roman" w:cstheme="minorHAnsi"/>
          <w:sz w:val="24"/>
          <w:szCs w:val="24"/>
          <w:lang w:eastAsia="hr-HR"/>
        </w:rPr>
        <w:t>poziva vrlo slični, odnosno, da se niti jedan od operatora ne nalazi u nepovoljnom položaju u odnosu na drugog.</w:t>
      </w:r>
    </w:p>
    <w:p w:rsidR="00DB0817" w:rsidRDefault="00DB0817" w:rsidP="00BB7F55">
      <w:pPr>
        <w:autoSpaceDE w:val="0"/>
        <w:autoSpaceDN w:val="0"/>
        <w:adjustRightInd w:val="0"/>
        <w:spacing w:after="0" w:line="240" w:lineRule="auto"/>
        <w:jc w:val="both"/>
        <w:rPr>
          <w:rFonts w:eastAsia="Times New Roman" w:cstheme="minorHAnsi"/>
          <w:sz w:val="24"/>
          <w:szCs w:val="24"/>
          <w:lang w:eastAsia="hr-HR"/>
        </w:rPr>
      </w:pPr>
    </w:p>
    <w:p w:rsidR="00B43B7E" w:rsidRDefault="00B43B7E" w:rsidP="00B43B7E">
      <w:pPr>
        <w:pStyle w:val="Caption"/>
        <w:keepNext/>
      </w:pPr>
      <w:bookmarkStart w:id="31" w:name="_Toc525508367"/>
      <w:r>
        <w:lastRenderedPageBreak/>
        <w:t xml:space="preserve">Slika </w:t>
      </w:r>
      <w:r w:rsidR="00D049E5">
        <w:rPr>
          <w:noProof/>
        </w:rPr>
        <w:fldChar w:fldCharType="begin"/>
      </w:r>
      <w:r w:rsidR="00D049E5">
        <w:rPr>
          <w:noProof/>
        </w:rPr>
        <w:instrText xml:space="preserve"> SEQ Slika \* ARABIC </w:instrText>
      </w:r>
      <w:r w:rsidR="00D049E5">
        <w:rPr>
          <w:noProof/>
        </w:rPr>
        <w:fldChar w:fldCharType="separate"/>
      </w:r>
      <w:r w:rsidR="0015566D">
        <w:rPr>
          <w:noProof/>
        </w:rPr>
        <w:t>7</w:t>
      </w:r>
      <w:r w:rsidR="00D049E5">
        <w:rPr>
          <w:noProof/>
        </w:rPr>
        <w:fldChar w:fldCharType="end"/>
      </w:r>
      <w:r>
        <w:t xml:space="preserve"> </w:t>
      </w:r>
      <w:r w:rsidRPr="00CD2244">
        <w:t>Odnos operatora Tele2 i HT</w:t>
      </w:r>
      <w:bookmarkEnd w:id="31"/>
    </w:p>
    <w:p w:rsidR="00D020F6" w:rsidRPr="00471F11" w:rsidRDefault="008D447B" w:rsidP="00BB7F55">
      <w:pPr>
        <w:spacing w:after="0" w:line="240" w:lineRule="auto"/>
        <w:rPr>
          <w:rFonts w:eastAsia="Times New Roman" w:cstheme="minorHAnsi"/>
          <w:b/>
          <w:bCs/>
          <w:sz w:val="20"/>
          <w:szCs w:val="20"/>
          <w:highlight w:val="yellow"/>
          <w:lang w:eastAsia="hr-HR"/>
        </w:rPr>
      </w:pPr>
      <w:r>
        <w:rPr>
          <w:noProof/>
          <w:lang w:eastAsia="hr-HR"/>
        </w:rPr>
        <w:drawing>
          <wp:inline distT="0" distB="0" distL="0" distR="0" wp14:anchorId="3D37FA99" wp14:editId="227F6E09">
            <wp:extent cx="5715000" cy="2773680"/>
            <wp:effectExtent l="0" t="0" r="0" b="762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020F6" w:rsidRPr="00471F11" w:rsidRDefault="00D020F6" w:rsidP="00BB7F55">
      <w:pPr>
        <w:spacing w:after="0" w:line="240" w:lineRule="auto"/>
        <w:jc w:val="both"/>
        <w:rPr>
          <w:rFonts w:eastAsia="Times New Roman" w:cstheme="minorHAnsi"/>
          <w:bCs/>
          <w:i/>
          <w:sz w:val="20"/>
          <w:szCs w:val="20"/>
        </w:rPr>
      </w:pPr>
      <w:r w:rsidRPr="00471F11">
        <w:rPr>
          <w:rFonts w:eastAsia="Times New Roman" w:cstheme="minorHAnsi"/>
          <w:bCs/>
          <w:i/>
          <w:sz w:val="20"/>
          <w:szCs w:val="20"/>
        </w:rPr>
        <w:t xml:space="preserve">Izvor: Upitnici za tržište </w:t>
      </w:r>
      <w:r w:rsidR="00510F61" w:rsidRPr="00510F61">
        <w:rPr>
          <w:rFonts w:eastAsia="Times New Roman" w:cstheme="minorHAnsi"/>
          <w:bCs/>
          <w:i/>
          <w:sz w:val="20"/>
          <w:szCs w:val="20"/>
        </w:rPr>
        <w:t xml:space="preserve">veleprodajnog </w:t>
      </w:r>
      <w:r w:rsidR="008330D3" w:rsidRPr="008330D3">
        <w:rPr>
          <w:rFonts w:eastAsia="Times New Roman" w:cstheme="minorHAnsi"/>
          <w:bCs/>
          <w:i/>
          <w:sz w:val="20"/>
          <w:szCs w:val="20"/>
        </w:rPr>
        <w:t>završavanja glasovnih poziva u vlastitoj mobilnoj mreži</w:t>
      </w:r>
    </w:p>
    <w:p w:rsidR="008B7288" w:rsidRDefault="008B7288" w:rsidP="00C224C0">
      <w:pPr>
        <w:autoSpaceDE w:val="0"/>
        <w:autoSpaceDN w:val="0"/>
        <w:adjustRightInd w:val="0"/>
        <w:spacing w:after="0" w:line="240" w:lineRule="auto"/>
        <w:jc w:val="both"/>
        <w:rPr>
          <w:rFonts w:eastAsia="Times New Roman" w:cstheme="minorHAnsi"/>
          <w:sz w:val="24"/>
          <w:szCs w:val="24"/>
          <w:lang w:eastAsia="hr-HR"/>
        </w:rPr>
      </w:pPr>
    </w:p>
    <w:p w:rsidR="00C224C0" w:rsidRPr="00471F11" w:rsidRDefault="00C224C0" w:rsidP="00C224C0">
      <w:pPr>
        <w:autoSpaceDE w:val="0"/>
        <w:autoSpaceDN w:val="0"/>
        <w:adjustRightInd w:val="0"/>
        <w:spacing w:after="0" w:line="240" w:lineRule="auto"/>
        <w:jc w:val="both"/>
        <w:rPr>
          <w:rFonts w:eastAsia="Times New Roman" w:cstheme="minorHAnsi"/>
          <w:sz w:val="24"/>
          <w:szCs w:val="24"/>
          <w:lang w:eastAsia="hr-HR"/>
        </w:rPr>
      </w:pPr>
      <w:r>
        <w:rPr>
          <w:rFonts w:eastAsia="Times New Roman" w:cstheme="minorHAnsi"/>
          <w:sz w:val="24"/>
          <w:szCs w:val="24"/>
          <w:lang w:eastAsia="hr-HR"/>
        </w:rPr>
        <w:t>Nadalje, na slikama 7 i 8 i</w:t>
      </w:r>
      <w:r w:rsidRPr="00471F11">
        <w:rPr>
          <w:rFonts w:eastAsia="Times New Roman" w:cstheme="minorHAnsi"/>
          <w:sz w:val="24"/>
          <w:szCs w:val="24"/>
          <w:lang w:eastAsia="hr-HR"/>
        </w:rPr>
        <w:t xml:space="preserve">z prikazanog odnosa završenih (terminiranih) minuta između operatora Tele2 i HT, kao i odnosa završenih (terminiranih) minuta između operatora Tele2 i Vipnet vidljivo je </w:t>
      </w:r>
      <w:r>
        <w:rPr>
          <w:rFonts w:eastAsia="Times New Roman" w:cstheme="minorHAnsi"/>
          <w:sz w:val="24"/>
          <w:szCs w:val="24"/>
          <w:lang w:eastAsia="hr-HR"/>
        </w:rPr>
        <w:t xml:space="preserve">da Tele2, iako ima najmanji </w:t>
      </w:r>
      <w:r w:rsidRPr="002F06E1">
        <w:rPr>
          <w:sz w:val="24"/>
          <w:szCs w:val="24"/>
        </w:rPr>
        <w:t>tržišni udjel prema ukupnom broju završenih (terminiranih) minuta</w:t>
      </w:r>
      <w:r>
        <w:rPr>
          <w:sz w:val="24"/>
          <w:szCs w:val="24"/>
        </w:rPr>
        <w:t xml:space="preserve">, nije </w:t>
      </w:r>
      <w:r w:rsidRPr="00CD2244">
        <w:rPr>
          <w:rFonts w:eastAsia="Times New Roman" w:cstheme="minorHAnsi"/>
          <w:sz w:val="24"/>
          <w:szCs w:val="24"/>
          <w:lang w:eastAsia="hr-HR"/>
        </w:rPr>
        <w:t>u nepovoljnom položaju u odnosu na d</w:t>
      </w:r>
      <w:r>
        <w:rPr>
          <w:rFonts w:eastAsia="Times New Roman" w:cstheme="minorHAnsi"/>
          <w:sz w:val="24"/>
          <w:szCs w:val="24"/>
          <w:lang w:eastAsia="hr-HR"/>
        </w:rPr>
        <w:t>ruga dva operatora.</w:t>
      </w:r>
    </w:p>
    <w:p w:rsidR="00C224C0" w:rsidRPr="00471F11" w:rsidRDefault="00C224C0" w:rsidP="00BB7F55">
      <w:pPr>
        <w:autoSpaceDE w:val="0"/>
        <w:autoSpaceDN w:val="0"/>
        <w:adjustRightInd w:val="0"/>
        <w:spacing w:after="0" w:line="240" w:lineRule="auto"/>
        <w:jc w:val="both"/>
        <w:rPr>
          <w:rFonts w:eastAsia="Times New Roman" w:cstheme="minorHAnsi"/>
          <w:sz w:val="24"/>
          <w:szCs w:val="24"/>
          <w:lang w:eastAsia="hr-HR"/>
        </w:rPr>
      </w:pPr>
    </w:p>
    <w:p w:rsidR="00B43B7E" w:rsidRDefault="00B43B7E" w:rsidP="00B43B7E">
      <w:pPr>
        <w:pStyle w:val="Caption"/>
        <w:keepNext/>
      </w:pPr>
      <w:bookmarkStart w:id="32" w:name="_Toc525508368"/>
      <w:r>
        <w:lastRenderedPageBreak/>
        <w:t xml:space="preserve">Slika </w:t>
      </w:r>
      <w:r w:rsidR="00D049E5">
        <w:rPr>
          <w:noProof/>
        </w:rPr>
        <w:fldChar w:fldCharType="begin"/>
      </w:r>
      <w:r w:rsidR="00D049E5">
        <w:rPr>
          <w:noProof/>
        </w:rPr>
        <w:instrText xml:space="preserve"> SEQ Slika \* ARABIC </w:instrText>
      </w:r>
      <w:r w:rsidR="00D049E5">
        <w:rPr>
          <w:noProof/>
        </w:rPr>
        <w:fldChar w:fldCharType="separate"/>
      </w:r>
      <w:r w:rsidR="0015566D">
        <w:rPr>
          <w:noProof/>
        </w:rPr>
        <w:t>8</w:t>
      </w:r>
      <w:r w:rsidR="00D049E5">
        <w:rPr>
          <w:noProof/>
        </w:rPr>
        <w:fldChar w:fldCharType="end"/>
      </w:r>
      <w:r>
        <w:t xml:space="preserve"> </w:t>
      </w:r>
      <w:r w:rsidRPr="00471F11">
        <w:t>Odnos operatora Vipnet i Tele2</w:t>
      </w:r>
      <w:bookmarkEnd w:id="32"/>
    </w:p>
    <w:p w:rsidR="00D020F6" w:rsidRPr="00997300" w:rsidRDefault="00774052" w:rsidP="00997300">
      <w:pPr>
        <w:rPr>
          <w:highlight w:val="yellow"/>
        </w:rPr>
      </w:pPr>
      <w:r>
        <w:rPr>
          <w:noProof/>
          <w:lang w:eastAsia="hr-HR"/>
        </w:rPr>
        <w:drawing>
          <wp:inline distT="0" distB="0" distL="0" distR="0" wp14:anchorId="2F4B8B81" wp14:editId="12AB4E42">
            <wp:extent cx="5608320" cy="2910840"/>
            <wp:effectExtent l="0" t="0" r="11430" b="381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D020F6" w:rsidRPr="00493ED3">
        <w:rPr>
          <w:rFonts w:eastAsia="Times New Roman" w:cstheme="minorHAnsi"/>
          <w:bCs/>
          <w:i/>
          <w:sz w:val="20"/>
          <w:szCs w:val="20"/>
        </w:rPr>
        <w:t xml:space="preserve">Izvor: Upitnici za tržište </w:t>
      </w:r>
      <w:r w:rsidR="00510F61" w:rsidRPr="00510F61">
        <w:rPr>
          <w:rFonts w:eastAsia="Times New Roman" w:cstheme="minorHAnsi"/>
          <w:bCs/>
          <w:i/>
          <w:sz w:val="20"/>
          <w:szCs w:val="20"/>
        </w:rPr>
        <w:t xml:space="preserve">veleprodajnog </w:t>
      </w:r>
      <w:r w:rsidR="008330D3" w:rsidRPr="008330D3">
        <w:rPr>
          <w:rFonts w:eastAsia="Times New Roman" w:cstheme="minorHAnsi"/>
          <w:bCs/>
          <w:i/>
          <w:sz w:val="20"/>
          <w:szCs w:val="20"/>
        </w:rPr>
        <w:t>završavanja glasovnih poziva u vlastitoj mobilnoj mreži</w:t>
      </w:r>
    </w:p>
    <w:p w:rsidR="00D020F6" w:rsidRPr="00D020F6" w:rsidRDefault="00D020F6" w:rsidP="00BB7F55">
      <w:pPr>
        <w:autoSpaceDE w:val="0"/>
        <w:autoSpaceDN w:val="0"/>
        <w:adjustRightInd w:val="0"/>
        <w:spacing w:after="0" w:line="240" w:lineRule="auto"/>
        <w:jc w:val="both"/>
        <w:rPr>
          <w:rFonts w:eastAsia="Times New Roman" w:cstheme="minorHAnsi"/>
          <w:sz w:val="24"/>
          <w:szCs w:val="24"/>
          <w:highlight w:val="yellow"/>
          <w:lang w:eastAsia="hr-HR"/>
        </w:rPr>
      </w:pPr>
      <w:r w:rsidRPr="00493ED3">
        <w:rPr>
          <w:rFonts w:eastAsia="Times New Roman" w:cstheme="minorHAnsi"/>
          <w:sz w:val="24"/>
          <w:szCs w:val="24"/>
          <w:lang w:eastAsia="hr-HR"/>
        </w:rPr>
        <w:t>S obzirom na sve navedeno, HAKOM zaključuje kako se niti jedan od operatora ne nalazi u nepovoljnom položaju</w:t>
      </w:r>
      <w:r w:rsidR="00493ED3">
        <w:rPr>
          <w:rFonts w:eastAsia="Times New Roman" w:cstheme="minorHAnsi"/>
          <w:sz w:val="24"/>
          <w:szCs w:val="24"/>
          <w:lang w:eastAsia="hr-HR"/>
        </w:rPr>
        <w:t>.</w:t>
      </w:r>
    </w:p>
    <w:p w:rsidR="000E4ECF" w:rsidRPr="00A45449" w:rsidRDefault="000E4ECF" w:rsidP="00BB7F55">
      <w:pPr>
        <w:spacing w:after="0" w:line="240" w:lineRule="auto"/>
        <w:jc w:val="both"/>
        <w:rPr>
          <w:sz w:val="24"/>
          <w:szCs w:val="24"/>
          <w:highlight w:val="yellow"/>
        </w:rPr>
      </w:pPr>
    </w:p>
    <w:p w:rsidR="000E4ECF" w:rsidRPr="004D6645" w:rsidRDefault="000E4ECF" w:rsidP="00083A62">
      <w:pPr>
        <w:pStyle w:val="Heading2"/>
      </w:pPr>
      <w:bookmarkStart w:id="33" w:name="_Toc525816348"/>
      <w:r w:rsidRPr="004D6645">
        <w:t>Zaključak o procjeni postojanja operatora sa značajnom tržišnom snagom i ocjena djelotvornosti tržišnog natjecanja</w:t>
      </w:r>
      <w:bookmarkEnd w:id="33"/>
    </w:p>
    <w:p w:rsidR="00606D52" w:rsidRPr="004D6645" w:rsidRDefault="00606D52" w:rsidP="00BB7F55">
      <w:pPr>
        <w:spacing w:after="240" w:line="240" w:lineRule="auto"/>
        <w:jc w:val="both"/>
        <w:rPr>
          <w:rFonts w:eastAsia="Times New Roman" w:cstheme="minorHAnsi"/>
          <w:sz w:val="24"/>
          <w:szCs w:val="24"/>
          <w:lang w:eastAsia="hr-HR"/>
        </w:rPr>
      </w:pPr>
      <w:r w:rsidRPr="004D6645">
        <w:rPr>
          <w:rFonts w:eastAsia="Times New Roman" w:cstheme="minorHAnsi"/>
          <w:lang w:eastAsia="hr-HR"/>
        </w:rPr>
        <w:t xml:space="preserve">Na </w:t>
      </w:r>
      <w:r w:rsidRPr="004D6645">
        <w:rPr>
          <w:rFonts w:eastAsia="Times New Roman" w:cstheme="minorHAnsi"/>
          <w:sz w:val="24"/>
          <w:szCs w:val="24"/>
          <w:lang w:eastAsia="hr-HR"/>
        </w:rPr>
        <w:t>temelju gore provedene analize, HAKOM određuje tri operatora u pokretnim mrežama kao operatore sa značajnom tržišnom snagom:</w:t>
      </w:r>
    </w:p>
    <w:p w:rsidR="00606D52" w:rsidRPr="004D6645" w:rsidRDefault="0078227C" w:rsidP="00510F61">
      <w:pPr>
        <w:numPr>
          <w:ilvl w:val="0"/>
          <w:numId w:val="9"/>
        </w:numPr>
        <w:spacing w:after="0" w:line="240" w:lineRule="auto"/>
        <w:jc w:val="both"/>
        <w:rPr>
          <w:rFonts w:eastAsia="Times New Roman" w:cstheme="minorHAnsi"/>
          <w:sz w:val="24"/>
          <w:szCs w:val="24"/>
          <w:lang w:eastAsia="hr-HR"/>
        </w:rPr>
      </w:pPr>
      <w:r>
        <w:rPr>
          <w:rFonts w:eastAsia="Times New Roman" w:cstheme="minorHAnsi"/>
          <w:sz w:val="24"/>
          <w:szCs w:val="24"/>
          <w:lang w:eastAsia="hr-HR"/>
        </w:rPr>
        <w:lastRenderedPageBreak/>
        <w:t>HT se</w:t>
      </w:r>
      <w:r w:rsidR="008159DA" w:rsidRPr="008159DA">
        <w:rPr>
          <w:rFonts w:eastAsia="Times New Roman" w:cstheme="minorHAnsi"/>
          <w:sz w:val="24"/>
          <w:szCs w:val="24"/>
          <w:lang w:eastAsia="hr-HR"/>
        </w:rPr>
        <w:t xml:space="preserve"> </w:t>
      </w:r>
      <w:r w:rsidR="00606D52" w:rsidRPr="004D6645">
        <w:rPr>
          <w:rFonts w:eastAsia="Times New Roman" w:cstheme="minorHAnsi"/>
          <w:sz w:val="24"/>
          <w:szCs w:val="24"/>
          <w:lang w:eastAsia="hr-HR"/>
        </w:rPr>
        <w:t xml:space="preserve">određuje operatorom sa značajnom tržišnom snagom na tržištu </w:t>
      </w:r>
      <w:r w:rsidR="00510F61" w:rsidRPr="00510F61">
        <w:rPr>
          <w:rFonts w:eastAsia="Times New Roman" w:cstheme="minorHAnsi"/>
          <w:sz w:val="24"/>
          <w:szCs w:val="24"/>
          <w:lang w:eastAsia="hr-HR"/>
        </w:rPr>
        <w:t xml:space="preserve">veleprodajnog </w:t>
      </w:r>
      <w:r w:rsidR="004D6645" w:rsidRPr="004D6645">
        <w:rPr>
          <w:rFonts w:eastAsia="Times New Roman" w:cstheme="minorHAnsi"/>
          <w:sz w:val="24"/>
          <w:szCs w:val="24"/>
          <w:lang w:eastAsia="hr-HR"/>
        </w:rPr>
        <w:t>završavanja glasovnih poziva u vlastitoj mobilnoj mreži</w:t>
      </w:r>
      <w:r w:rsidR="00606D52" w:rsidRPr="004D6645">
        <w:rPr>
          <w:rFonts w:eastAsia="Times New Roman" w:cstheme="minorHAnsi"/>
          <w:sz w:val="24"/>
          <w:szCs w:val="24"/>
          <w:lang w:eastAsia="hr-HR"/>
        </w:rPr>
        <w:t>;</w:t>
      </w:r>
    </w:p>
    <w:p w:rsidR="00606D52" w:rsidRPr="004D6645" w:rsidRDefault="00606D52" w:rsidP="00BB7F55">
      <w:pPr>
        <w:spacing w:after="0" w:line="240" w:lineRule="auto"/>
        <w:jc w:val="both"/>
        <w:rPr>
          <w:rFonts w:eastAsia="Times New Roman" w:cstheme="minorHAnsi"/>
          <w:sz w:val="24"/>
          <w:szCs w:val="24"/>
          <w:lang w:eastAsia="hr-HR"/>
        </w:rPr>
      </w:pPr>
    </w:p>
    <w:p w:rsidR="00606D52" w:rsidRPr="004D6645" w:rsidRDefault="008159DA" w:rsidP="00510F61">
      <w:pPr>
        <w:numPr>
          <w:ilvl w:val="0"/>
          <w:numId w:val="9"/>
        </w:numPr>
        <w:spacing w:after="0" w:line="240" w:lineRule="auto"/>
        <w:jc w:val="both"/>
        <w:rPr>
          <w:rFonts w:eastAsia="Times New Roman" w:cstheme="minorHAnsi"/>
          <w:sz w:val="24"/>
          <w:szCs w:val="24"/>
          <w:lang w:eastAsia="hr-HR"/>
        </w:rPr>
      </w:pPr>
      <w:r w:rsidRPr="008159DA">
        <w:rPr>
          <w:rFonts w:eastAsia="Times New Roman" w:cstheme="minorHAnsi"/>
          <w:sz w:val="24"/>
          <w:szCs w:val="24"/>
          <w:lang w:eastAsia="hr-HR"/>
        </w:rPr>
        <w:t xml:space="preserve">Tele2 </w:t>
      </w:r>
      <w:r w:rsidR="0078227C">
        <w:rPr>
          <w:rFonts w:eastAsia="Times New Roman" w:cstheme="minorHAnsi"/>
          <w:sz w:val="24"/>
          <w:szCs w:val="24"/>
          <w:lang w:eastAsia="hr-HR"/>
        </w:rPr>
        <w:t>se</w:t>
      </w:r>
      <w:r w:rsidRPr="008159DA">
        <w:rPr>
          <w:rFonts w:eastAsia="Times New Roman" w:cstheme="minorHAnsi"/>
          <w:sz w:val="24"/>
          <w:szCs w:val="24"/>
          <w:lang w:eastAsia="hr-HR"/>
        </w:rPr>
        <w:t xml:space="preserve"> </w:t>
      </w:r>
      <w:r w:rsidR="00606D52" w:rsidRPr="004D6645">
        <w:rPr>
          <w:rFonts w:eastAsia="Times New Roman" w:cstheme="minorHAnsi"/>
          <w:sz w:val="24"/>
          <w:szCs w:val="24"/>
          <w:lang w:eastAsia="hr-HR"/>
        </w:rPr>
        <w:t xml:space="preserve">određuje operatorom sa značajnom tržišnom snagom na tržištu </w:t>
      </w:r>
      <w:r w:rsidR="00510F61" w:rsidRPr="00510F61">
        <w:rPr>
          <w:rFonts w:eastAsia="Times New Roman" w:cstheme="minorHAnsi"/>
          <w:sz w:val="24"/>
          <w:szCs w:val="24"/>
          <w:lang w:eastAsia="hr-HR"/>
        </w:rPr>
        <w:t xml:space="preserve">veleprodajnog </w:t>
      </w:r>
      <w:r w:rsidR="004D6645" w:rsidRPr="004D6645">
        <w:rPr>
          <w:rFonts w:eastAsia="Times New Roman" w:cstheme="minorHAnsi"/>
          <w:sz w:val="24"/>
          <w:szCs w:val="24"/>
          <w:lang w:eastAsia="hr-HR"/>
        </w:rPr>
        <w:t>završavanja glasovnih poziva u vlastitoj mobilnoj mreži</w:t>
      </w:r>
      <w:r w:rsidR="00395794" w:rsidRPr="00395794">
        <w:rPr>
          <w:rFonts w:eastAsia="Times New Roman" w:cstheme="minorHAnsi"/>
          <w:sz w:val="24"/>
          <w:szCs w:val="24"/>
          <w:lang w:eastAsia="hr-HR"/>
        </w:rPr>
        <w:t>;</w:t>
      </w:r>
    </w:p>
    <w:p w:rsidR="00606D52" w:rsidRPr="004D6645" w:rsidRDefault="00606D52" w:rsidP="00BB7F55">
      <w:pPr>
        <w:spacing w:after="0" w:line="240" w:lineRule="auto"/>
        <w:jc w:val="both"/>
        <w:rPr>
          <w:rFonts w:eastAsia="Times New Roman" w:cstheme="minorHAnsi"/>
          <w:sz w:val="24"/>
          <w:szCs w:val="24"/>
          <w:lang w:eastAsia="hr-HR"/>
        </w:rPr>
      </w:pPr>
    </w:p>
    <w:p w:rsidR="00606D52" w:rsidRPr="004D6645" w:rsidRDefault="0078227C" w:rsidP="00510F61">
      <w:pPr>
        <w:numPr>
          <w:ilvl w:val="0"/>
          <w:numId w:val="9"/>
        </w:numPr>
        <w:spacing w:after="0" w:line="240" w:lineRule="auto"/>
        <w:jc w:val="both"/>
        <w:rPr>
          <w:rFonts w:cstheme="minorHAnsi"/>
          <w:sz w:val="24"/>
          <w:szCs w:val="24"/>
        </w:rPr>
      </w:pPr>
      <w:r>
        <w:rPr>
          <w:rFonts w:eastAsia="Times New Roman" w:cstheme="minorHAnsi"/>
          <w:sz w:val="24"/>
          <w:szCs w:val="24"/>
          <w:lang w:eastAsia="hr-HR"/>
        </w:rPr>
        <w:t>Vipnet se</w:t>
      </w:r>
      <w:r w:rsidR="00606D52" w:rsidRPr="004D6645">
        <w:rPr>
          <w:rFonts w:eastAsia="Times New Roman" w:cstheme="minorHAnsi"/>
          <w:sz w:val="24"/>
          <w:szCs w:val="24"/>
          <w:lang w:eastAsia="hr-HR"/>
        </w:rPr>
        <w:t xml:space="preserve"> određuje operatorom sa značajnom tržišnom snagom na tržištu </w:t>
      </w:r>
      <w:r w:rsidR="00510F61" w:rsidRPr="00510F61">
        <w:rPr>
          <w:rFonts w:eastAsia="Times New Roman" w:cstheme="minorHAnsi"/>
          <w:sz w:val="24"/>
          <w:szCs w:val="24"/>
          <w:lang w:eastAsia="hr-HR"/>
        </w:rPr>
        <w:t xml:space="preserve">veleprodajnog </w:t>
      </w:r>
      <w:r w:rsidR="004D6645" w:rsidRPr="004D6645">
        <w:rPr>
          <w:rFonts w:eastAsia="Times New Roman" w:cstheme="minorHAnsi"/>
          <w:sz w:val="24"/>
          <w:szCs w:val="24"/>
          <w:lang w:eastAsia="hr-HR"/>
        </w:rPr>
        <w:t>završavanja glasovnih poziva u vlastitoj mobilnoj mreži</w:t>
      </w:r>
      <w:r w:rsidR="00395794">
        <w:rPr>
          <w:rFonts w:eastAsia="Times New Roman" w:cstheme="minorHAnsi"/>
          <w:sz w:val="24"/>
          <w:szCs w:val="24"/>
          <w:lang w:eastAsia="hr-HR"/>
        </w:rPr>
        <w:t>.</w:t>
      </w:r>
    </w:p>
    <w:p w:rsidR="00A45449" w:rsidRDefault="00A45449" w:rsidP="00BB7F55">
      <w:pPr>
        <w:spacing w:after="0" w:line="240" w:lineRule="auto"/>
        <w:jc w:val="both"/>
        <w:rPr>
          <w:rFonts w:eastAsia="Times New Roman" w:cstheme="minorHAnsi"/>
          <w:sz w:val="24"/>
          <w:szCs w:val="24"/>
          <w:highlight w:val="yellow"/>
          <w:lang w:eastAsia="hr-HR"/>
        </w:rPr>
      </w:pPr>
    </w:p>
    <w:p w:rsidR="0078227C" w:rsidRDefault="0078227C">
      <w:pPr>
        <w:rPr>
          <w:rFonts w:asciiTheme="majorHAnsi" w:eastAsiaTheme="majorEastAsia" w:hAnsiTheme="majorHAnsi" w:cstheme="majorBidi"/>
          <w:b/>
          <w:bCs/>
          <w:color w:val="365F91" w:themeColor="accent1" w:themeShade="BF"/>
          <w:sz w:val="28"/>
          <w:szCs w:val="28"/>
        </w:rPr>
      </w:pPr>
      <w:r>
        <w:br w:type="page"/>
      </w:r>
    </w:p>
    <w:p w:rsidR="00A45449" w:rsidRPr="004934E6" w:rsidRDefault="000E4ECF" w:rsidP="00283A67">
      <w:pPr>
        <w:pStyle w:val="Heading1"/>
        <w:spacing w:after="240"/>
      </w:pPr>
      <w:bookmarkStart w:id="34" w:name="_Toc525816349"/>
      <w:r w:rsidRPr="004D6645">
        <w:lastRenderedPageBreak/>
        <w:t>Prepreke razvoju djelotvornog tržišnog natjecanja</w:t>
      </w:r>
      <w:bookmarkEnd w:id="34"/>
      <w:r w:rsidRPr="004D6645">
        <w:t xml:space="preserve"> </w:t>
      </w:r>
    </w:p>
    <w:p w:rsidR="000E6BC9" w:rsidRPr="002605C3" w:rsidRDefault="000E6BC9" w:rsidP="000E6BC9">
      <w:pPr>
        <w:spacing w:after="0" w:line="240" w:lineRule="auto"/>
        <w:jc w:val="both"/>
        <w:rPr>
          <w:sz w:val="24"/>
          <w:szCs w:val="24"/>
        </w:rPr>
      </w:pPr>
      <w:r w:rsidRPr="002605C3">
        <w:rPr>
          <w:sz w:val="24"/>
          <w:szCs w:val="24"/>
        </w:rPr>
        <w:t xml:space="preserve">U ovom poglavlju HAKOM </w:t>
      </w:r>
      <w:r>
        <w:rPr>
          <w:sz w:val="24"/>
          <w:szCs w:val="24"/>
        </w:rPr>
        <w:t>analizira</w:t>
      </w:r>
      <w:r w:rsidRPr="002605C3">
        <w:rPr>
          <w:sz w:val="24"/>
          <w:szCs w:val="24"/>
        </w:rPr>
        <w:t xml:space="preserve"> moguće prepreke razvoju tržišnog natjecanja koje se u odsustvu regulacije, a u razdoblju na koje se odnosi analiza, mogu pojaviti na </w:t>
      </w:r>
      <w:r>
        <w:rPr>
          <w:sz w:val="24"/>
          <w:szCs w:val="24"/>
        </w:rPr>
        <w:t xml:space="preserve">ovom </w:t>
      </w:r>
      <w:r w:rsidRPr="002605C3">
        <w:rPr>
          <w:sz w:val="24"/>
          <w:szCs w:val="24"/>
        </w:rPr>
        <w:t>mjerodav</w:t>
      </w:r>
      <w:r>
        <w:rPr>
          <w:sz w:val="24"/>
          <w:szCs w:val="24"/>
        </w:rPr>
        <w:t>nom tržištu</w:t>
      </w:r>
      <w:r w:rsidRPr="002605C3">
        <w:rPr>
          <w:sz w:val="24"/>
          <w:szCs w:val="24"/>
        </w:rPr>
        <w:t>. Prepreke razvoju tržišnog natjecanja mogu proizaći iz sposobnosti ili namjere operatora da na tržištu iskoristi svoj visoki tržišni udjel, odnosno dominantni položaj.</w:t>
      </w:r>
    </w:p>
    <w:p w:rsidR="000E6BC9" w:rsidRPr="002605C3" w:rsidRDefault="000E6BC9" w:rsidP="000E6BC9">
      <w:pPr>
        <w:spacing w:after="0" w:line="240" w:lineRule="auto"/>
        <w:jc w:val="both"/>
        <w:rPr>
          <w:sz w:val="24"/>
          <w:szCs w:val="24"/>
        </w:rPr>
      </w:pPr>
    </w:p>
    <w:p w:rsidR="000E6BC9" w:rsidRPr="002605C3" w:rsidRDefault="000E6BC9" w:rsidP="000E6BC9">
      <w:pPr>
        <w:spacing w:after="0" w:line="240" w:lineRule="auto"/>
        <w:jc w:val="both"/>
        <w:rPr>
          <w:sz w:val="24"/>
          <w:szCs w:val="24"/>
        </w:rPr>
      </w:pPr>
      <w:r>
        <w:rPr>
          <w:sz w:val="24"/>
          <w:szCs w:val="24"/>
        </w:rPr>
        <w:t>P</w:t>
      </w:r>
      <w:r w:rsidRPr="002605C3">
        <w:rPr>
          <w:sz w:val="24"/>
          <w:szCs w:val="24"/>
        </w:rPr>
        <w:t>ostoje tri strategije vertikalnog prenošenja značajne tržišne snage</w:t>
      </w:r>
      <w:r>
        <w:rPr>
          <w:rStyle w:val="FootnoteReference"/>
          <w:sz w:val="24"/>
          <w:szCs w:val="24"/>
        </w:rPr>
        <w:footnoteReference w:id="25"/>
      </w:r>
      <w:r w:rsidRPr="002605C3">
        <w:rPr>
          <w:sz w:val="24"/>
          <w:szCs w:val="24"/>
        </w:rPr>
        <w:t>:</w:t>
      </w:r>
    </w:p>
    <w:p w:rsidR="000E6BC9" w:rsidRPr="002605C3" w:rsidRDefault="000E6BC9" w:rsidP="000E6BC9">
      <w:pPr>
        <w:spacing w:after="0" w:line="240" w:lineRule="auto"/>
        <w:jc w:val="both"/>
        <w:rPr>
          <w:sz w:val="24"/>
          <w:szCs w:val="24"/>
        </w:rPr>
      </w:pPr>
      <w:r w:rsidRPr="002605C3">
        <w:rPr>
          <w:sz w:val="24"/>
          <w:szCs w:val="24"/>
        </w:rPr>
        <w:t>•</w:t>
      </w:r>
      <w:r w:rsidRPr="002605C3">
        <w:rPr>
          <w:sz w:val="24"/>
          <w:szCs w:val="24"/>
        </w:rPr>
        <w:tab/>
        <w:t>odbijanje dogovora/uskraćivanje pristupa,</w:t>
      </w:r>
    </w:p>
    <w:p w:rsidR="000E6BC9" w:rsidRPr="002605C3" w:rsidRDefault="000E6BC9" w:rsidP="000E6BC9">
      <w:pPr>
        <w:spacing w:after="0" w:line="240" w:lineRule="auto"/>
        <w:jc w:val="both"/>
        <w:rPr>
          <w:sz w:val="24"/>
          <w:szCs w:val="24"/>
        </w:rPr>
      </w:pPr>
      <w:r w:rsidRPr="002605C3">
        <w:rPr>
          <w:sz w:val="24"/>
          <w:szCs w:val="24"/>
        </w:rPr>
        <w:t>•</w:t>
      </w:r>
      <w:r w:rsidRPr="002605C3">
        <w:rPr>
          <w:sz w:val="24"/>
          <w:szCs w:val="24"/>
        </w:rPr>
        <w:tab/>
        <w:t>prenošenje značajne tržišne snage na osnovama koje nisu povezane s cijenama,</w:t>
      </w:r>
    </w:p>
    <w:p w:rsidR="000E6BC9" w:rsidRPr="002605C3" w:rsidRDefault="000E6BC9" w:rsidP="000E6BC9">
      <w:pPr>
        <w:spacing w:after="0" w:line="240" w:lineRule="auto"/>
        <w:jc w:val="both"/>
        <w:rPr>
          <w:sz w:val="24"/>
          <w:szCs w:val="24"/>
        </w:rPr>
      </w:pPr>
      <w:r w:rsidRPr="002605C3">
        <w:rPr>
          <w:sz w:val="24"/>
          <w:szCs w:val="24"/>
        </w:rPr>
        <w:t>•</w:t>
      </w:r>
      <w:r w:rsidRPr="002605C3">
        <w:rPr>
          <w:sz w:val="24"/>
          <w:szCs w:val="24"/>
        </w:rPr>
        <w:tab/>
        <w:t>prenošenje značajne tržišne snage na osnovama vezanim uz cijene.</w:t>
      </w:r>
    </w:p>
    <w:p w:rsidR="000E6BC9" w:rsidRPr="002605C3" w:rsidRDefault="000E6BC9" w:rsidP="000E6BC9">
      <w:pPr>
        <w:spacing w:after="0" w:line="240" w:lineRule="auto"/>
        <w:jc w:val="both"/>
        <w:rPr>
          <w:sz w:val="24"/>
          <w:szCs w:val="24"/>
        </w:rPr>
      </w:pPr>
    </w:p>
    <w:p w:rsidR="000E6BC9" w:rsidRDefault="000E6BC9" w:rsidP="000E6BC9">
      <w:pPr>
        <w:spacing w:after="0" w:line="240" w:lineRule="auto"/>
        <w:jc w:val="both"/>
        <w:rPr>
          <w:sz w:val="24"/>
          <w:szCs w:val="24"/>
        </w:rPr>
      </w:pPr>
      <w:r w:rsidRPr="002605C3">
        <w:rPr>
          <w:sz w:val="24"/>
          <w:szCs w:val="24"/>
        </w:rPr>
        <w:t>Stoga je</w:t>
      </w:r>
      <w:r>
        <w:rPr>
          <w:sz w:val="24"/>
          <w:szCs w:val="24"/>
        </w:rPr>
        <w:t xml:space="preserve">, sukladno navedenoj podjeli, </w:t>
      </w:r>
      <w:r w:rsidRPr="002605C3">
        <w:rPr>
          <w:sz w:val="24"/>
          <w:szCs w:val="24"/>
        </w:rPr>
        <w:t xml:space="preserve">HAKOM </w:t>
      </w:r>
      <w:r>
        <w:rPr>
          <w:sz w:val="24"/>
          <w:szCs w:val="24"/>
        </w:rPr>
        <w:t xml:space="preserve">u nastavku opisao </w:t>
      </w:r>
      <w:r w:rsidRPr="002605C3">
        <w:rPr>
          <w:sz w:val="24"/>
          <w:szCs w:val="24"/>
        </w:rPr>
        <w:t>prepreke razvoju tržišnog natjecan</w:t>
      </w:r>
      <w:r>
        <w:rPr>
          <w:sz w:val="24"/>
          <w:szCs w:val="24"/>
        </w:rPr>
        <w:t xml:space="preserve">ja na ovom mjerodavnom tržištu </w:t>
      </w:r>
      <w:r w:rsidRPr="002605C3">
        <w:rPr>
          <w:sz w:val="24"/>
          <w:szCs w:val="24"/>
        </w:rPr>
        <w:t>za koje smatra da su moguće u odsustvu regulaci</w:t>
      </w:r>
      <w:r>
        <w:rPr>
          <w:sz w:val="24"/>
          <w:szCs w:val="24"/>
        </w:rPr>
        <w:t>je.</w:t>
      </w:r>
    </w:p>
    <w:p w:rsidR="00CE2163" w:rsidRPr="00CE2163" w:rsidRDefault="00CE2163" w:rsidP="00083A62">
      <w:pPr>
        <w:pStyle w:val="Heading2"/>
      </w:pPr>
      <w:bookmarkStart w:id="35" w:name="_Toc236634837"/>
      <w:r w:rsidRPr="00CE2163">
        <w:t xml:space="preserve"> </w:t>
      </w:r>
      <w:bookmarkStart w:id="36" w:name="_Toc358042013"/>
      <w:bookmarkStart w:id="37" w:name="_Toc525816350"/>
      <w:r w:rsidRPr="00CE2163">
        <w:t>Odbijanje dogovora /uskraćivanje međupovezivanja</w:t>
      </w:r>
      <w:bookmarkEnd w:id="35"/>
      <w:bookmarkEnd w:id="36"/>
      <w:bookmarkEnd w:id="37"/>
    </w:p>
    <w:p w:rsid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 xml:space="preserve">U odsustvu regulacije, operator sa značajnom tržišnom snagom na </w:t>
      </w:r>
      <w:r w:rsidR="00CD6624">
        <w:rPr>
          <w:rFonts w:eastAsia="Times New Roman" w:cstheme="minorHAnsi"/>
          <w:sz w:val="24"/>
          <w:szCs w:val="24"/>
          <w:lang w:eastAsia="hr-HR"/>
        </w:rPr>
        <w:t xml:space="preserve">tržištu </w:t>
      </w:r>
      <w:r w:rsidR="00510F61" w:rsidRPr="00510F61">
        <w:rPr>
          <w:rFonts w:eastAsia="Times New Roman" w:cstheme="minorHAnsi"/>
          <w:sz w:val="24"/>
          <w:szCs w:val="24"/>
          <w:lang w:eastAsia="hr-HR"/>
        </w:rPr>
        <w:t xml:space="preserve">veleprodajnog </w:t>
      </w:r>
      <w:r w:rsidR="00CD6624" w:rsidRPr="00CD6624">
        <w:rPr>
          <w:rFonts w:eastAsia="Times New Roman" w:cstheme="minorHAnsi"/>
          <w:sz w:val="24"/>
          <w:szCs w:val="24"/>
          <w:lang w:eastAsia="hr-HR"/>
        </w:rPr>
        <w:t>završavanja glasovnih poziva u vlastitoj mobilnoj mreži</w:t>
      </w:r>
      <w:r w:rsidRPr="00CE2163">
        <w:rPr>
          <w:rFonts w:eastAsia="Times New Roman" w:cstheme="minorHAnsi"/>
          <w:sz w:val="24"/>
          <w:szCs w:val="24"/>
          <w:lang w:eastAsia="hr-HR"/>
        </w:rPr>
        <w:t xml:space="preserve">, mogao bi odbiti zahtjev za međupovezivanje s novim operatorom na tržištu, odnosno, jednako tako mogao bi postojećim operatorima na tržištu uskratiti </w:t>
      </w:r>
      <w:r w:rsidR="00CD6624">
        <w:rPr>
          <w:rFonts w:eastAsia="Times New Roman" w:cstheme="minorHAnsi"/>
          <w:sz w:val="24"/>
          <w:szCs w:val="24"/>
          <w:lang w:eastAsia="hr-HR"/>
        </w:rPr>
        <w:t xml:space="preserve">već ostvareno međupovezivanje. </w:t>
      </w:r>
    </w:p>
    <w:p w:rsidR="0043382D" w:rsidRPr="00CE2163" w:rsidRDefault="0043382D" w:rsidP="0043382D">
      <w:pPr>
        <w:spacing w:after="0" w:line="240" w:lineRule="auto"/>
        <w:jc w:val="both"/>
        <w:rPr>
          <w:rFonts w:eastAsia="Times New Roman" w:cstheme="minorHAnsi"/>
          <w:sz w:val="24"/>
          <w:szCs w:val="24"/>
          <w:lang w:eastAsia="hr-HR"/>
        </w:rPr>
      </w:pPr>
    </w:p>
    <w:p w:rsidR="0078227C" w:rsidRPr="00CE2163" w:rsidRDefault="00CE2163" w:rsidP="00BB7F55">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lastRenderedPageBreak/>
        <w:t xml:space="preserve">U slučaju da postojeći operatori na tržištu nemaju potpisan ugovor o međupovezivanju najviše bi štete bilo naneseno operatorima koji imaju mali postotak prometa koji ostvaruju unutar vlastite mreže. U navedenom bi slučaju novi i postojeći operatori na tržištu, zbog izrazito ograničenih mogućnosti poslovanja bili prisiljeni prestati nuditi svoje usluge na tržištu. Bez ugovora o međupovezivanju, poslovanje novih (i postojećih) operatora bilo bi ograničeno iz razloga što bi svoje usluge mogli ponuditi samo između vlastitih korisnika, a navedeno se ne može smatrati dovoljnim za održiv poslovni model. Ako bi se navedeno dogodilo bio bi upitan ulazak potencijalnih konkurenata na tržište, a budući da upravo novi operatori na maloprodajnim tržištima dovode do povećanja konkurencije i smanjenja cijena, spomenuta situacija ne bi bila dobra/povoljna niti sa stajališta </w:t>
      </w:r>
      <w:r w:rsidR="007352F3">
        <w:rPr>
          <w:rFonts w:eastAsia="Times New Roman" w:cstheme="minorHAnsi"/>
          <w:sz w:val="24"/>
          <w:szCs w:val="24"/>
          <w:lang w:eastAsia="hr-HR"/>
        </w:rPr>
        <w:t>djelotvornog</w:t>
      </w:r>
      <w:r w:rsidR="002F5D7C" w:rsidRPr="00CE2163">
        <w:rPr>
          <w:rFonts w:eastAsia="Times New Roman" w:cstheme="minorHAnsi"/>
          <w:sz w:val="24"/>
          <w:szCs w:val="24"/>
          <w:lang w:eastAsia="hr-HR"/>
        </w:rPr>
        <w:t xml:space="preserve"> </w:t>
      </w:r>
      <w:r w:rsidRPr="00CE2163">
        <w:rPr>
          <w:rFonts w:eastAsia="Times New Roman" w:cstheme="minorHAnsi"/>
          <w:sz w:val="24"/>
          <w:szCs w:val="24"/>
          <w:lang w:eastAsia="hr-HR"/>
        </w:rPr>
        <w:t>tržišnog natjecanja.</w:t>
      </w:r>
    </w:p>
    <w:p w:rsidR="00880B58" w:rsidRDefault="00880B58" w:rsidP="00880B58">
      <w:pPr>
        <w:pStyle w:val="Heading2"/>
      </w:pPr>
      <w:bookmarkStart w:id="38" w:name="_Toc524978484"/>
      <w:bookmarkStart w:id="39" w:name="_Toc524984027"/>
      <w:bookmarkStart w:id="40" w:name="_Toc525050422"/>
      <w:bookmarkStart w:id="41" w:name="_Toc525816351"/>
      <w:bookmarkStart w:id="42" w:name="_Toc236634838"/>
      <w:bookmarkStart w:id="43" w:name="_Toc358042014"/>
      <w:r w:rsidRPr="00DA24D9">
        <w:t>Prenošenje</w:t>
      </w:r>
      <w:r w:rsidRPr="002605C3">
        <w:t xml:space="preserve"> značajne tržišne snage na osnovama nevezanim uz cijene</w:t>
      </w:r>
      <w:bookmarkEnd w:id="38"/>
      <w:bookmarkEnd w:id="39"/>
      <w:bookmarkEnd w:id="40"/>
      <w:bookmarkEnd w:id="41"/>
    </w:p>
    <w:p w:rsidR="001548E7" w:rsidRPr="00CE2163" w:rsidRDefault="001548E7" w:rsidP="001548E7">
      <w:pPr>
        <w:spacing w:after="0" w:line="240" w:lineRule="auto"/>
        <w:jc w:val="both"/>
        <w:rPr>
          <w:rFonts w:eastAsia="Times New Roman" w:cstheme="minorHAnsi"/>
          <w:sz w:val="24"/>
          <w:szCs w:val="24"/>
          <w:lang w:eastAsia="hr-HR"/>
        </w:rPr>
      </w:pPr>
      <w:r w:rsidRPr="001548E7">
        <w:rPr>
          <w:rFonts w:eastAsia="Times New Roman" w:cstheme="minorHAnsi"/>
          <w:sz w:val="24"/>
          <w:szCs w:val="24"/>
          <w:lang w:eastAsia="hr-HR"/>
        </w:rPr>
        <w:t>Svi oblici diskriminacije koji nisu povezani s cijenama, poput diskriminacije u uvjetima, kvaliteti, rokovima ili informacijama, a koji se mogu pojaviti na tržištu direktno utječu na podizanje troškova konkurencije odnosno mogu ostale operatore dovesti u nepovoljan položaj te ih u konačnici i prisiliti da prestanu nuditi svoje usluge na tržištu.</w:t>
      </w:r>
    </w:p>
    <w:p w:rsidR="00F75D5E" w:rsidRDefault="00F75D5E" w:rsidP="00F75D5E">
      <w:pPr>
        <w:spacing w:after="0" w:line="240" w:lineRule="auto"/>
        <w:jc w:val="both"/>
        <w:rPr>
          <w:rStyle w:val="SubtitleChar"/>
          <w:lang w:eastAsia="hr-HR"/>
        </w:rPr>
      </w:pPr>
      <w:bookmarkStart w:id="44" w:name="_Toc236634842"/>
      <w:bookmarkStart w:id="45" w:name="_Toc358042018"/>
    </w:p>
    <w:p w:rsidR="00F75D5E" w:rsidRPr="00F75D5E" w:rsidRDefault="00F75D5E" w:rsidP="00F75D5E">
      <w:pPr>
        <w:spacing w:after="0" w:line="240" w:lineRule="auto"/>
        <w:jc w:val="both"/>
        <w:rPr>
          <w:rFonts w:eastAsia="Times New Roman" w:cstheme="minorHAnsi"/>
          <w:sz w:val="24"/>
          <w:szCs w:val="24"/>
          <w:lang w:eastAsia="hr-HR"/>
        </w:rPr>
      </w:pPr>
      <w:r w:rsidRPr="00F75D5E">
        <w:rPr>
          <w:rStyle w:val="SubtitleChar"/>
          <w:lang w:eastAsia="hr-HR"/>
        </w:rPr>
        <w:t>Diskriminirajuće korištenje informacija ili uskraćivanje informacija</w:t>
      </w:r>
      <w:r w:rsidR="00E438A0">
        <w:rPr>
          <w:rFonts w:eastAsia="Times New Roman" w:cstheme="minorHAnsi"/>
          <w:sz w:val="24"/>
          <w:szCs w:val="24"/>
          <w:lang w:eastAsia="hr-HR"/>
        </w:rPr>
        <w:t xml:space="preserve"> predstavlja situaciju</w:t>
      </w:r>
      <w:r w:rsidRPr="00F75D5E">
        <w:rPr>
          <w:rFonts w:eastAsia="Times New Roman" w:cstheme="minorHAnsi"/>
          <w:sz w:val="24"/>
          <w:szCs w:val="24"/>
          <w:lang w:eastAsia="hr-HR"/>
        </w:rPr>
        <w:t xml:space="preserve"> u kojoj operator sa značajnom tržišnom snagom na veleprodajnom tržištu pruža informacije važne za pružanje usluga na maloprodajnom tržištu svome maloprodajnom dijelu  ili povezanim društvima, a iste ne pruža postojećim ili potencijalnim konkurentima na pripadajućem maloprodajnom tržištu, čime utječe na korištenje veleprodajne usluge i na konkurentnost na maloprodajnoj razini.</w:t>
      </w:r>
    </w:p>
    <w:p w:rsidR="00F75D5E" w:rsidRPr="00F75D5E" w:rsidRDefault="00F75D5E" w:rsidP="00F75D5E">
      <w:pPr>
        <w:spacing w:after="0" w:line="240" w:lineRule="auto"/>
        <w:jc w:val="both"/>
        <w:rPr>
          <w:rFonts w:eastAsia="Times New Roman" w:cstheme="minorHAnsi"/>
          <w:sz w:val="24"/>
          <w:szCs w:val="24"/>
          <w:lang w:eastAsia="hr-HR"/>
        </w:rPr>
      </w:pPr>
    </w:p>
    <w:p w:rsidR="00F75D5E" w:rsidRDefault="00F75D5E" w:rsidP="00F75D5E">
      <w:pPr>
        <w:spacing w:after="0" w:line="240" w:lineRule="auto"/>
        <w:jc w:val="both"/>
        <w:rPr>
          <w:rFonts w:eastAsia="Times New Roman" w:cstheme="minorHAnsi"/>
          <w:sz w:val="24"/>
          <w:szCs w:val="24"/>
          <w:lang w:eastAsia="hr-HR"/>
        </w:rPr>
      </w:pPr>
      <w:r w:rsidRPr="00F75D5E">
        <w:rPr>
          <w:rFonts w:eastAsia="Times New Roman" w:cstheme="minorHAnsi"/>
          <w:sz w:val="24"/>
          <w:szCs w:val="24"/>
          <w:lang w:eastAsia="hr-HR"/>
        </w:rPr>
        <w:t xml:space="preserve">HAKOM smatra da bi, u odsustvu regulacije, operator sa značajnom tržišnom snagom mogao svojim konkurentima na pripadajućem maloprodajnom tržištu uskraćivati važne informacije i tako utjecati na njihovu konkurentnost na maloprodajnoj </w:t>
      </w:r>
      <w:r w:rsidRPr="00F75D5E">
        <w:rPr>
          <w:rFonts w:eastAsia="Times New Roman" w:cstheme="minorHAnsi"/>
          <w:sz w:val="24"/>
          <w:szCs w:val="24"/>
          <w:lang w:eastAsia="hr-HR"/>
        </w:rPr>
        <w:lastRenderedPageBreak/>
        <w:t>razini. Naime, promjene u topologiji mreže operatora sa značajnom tržišnom snagom mogle bi zahtijevati i određene promjene u pružanju usluge veleprodajnog završavanja poziva u mrežu drugih operatora, kao jedne od usluga međupovezivanja te bi operator sa značajnom tržišnom snagom bez odgovarajuće obveze, mogao uskratiti informacije o planiranim promjenama u mreži/topologiji mreže svojim postojećim i potencijalnim konkurentima, odnosno na taj način dovesti vlastiti maloprodajni dio i povezana društva u povoljniji položaj na pripadajućem maloprodajnom tržištu. Navedenim postupcima posljedično bi došlo do povećavanja trošk</w:t>
      </w:r>
      <w:r w:rsidR="00E438A0">
        <w:rPr>
          <w:rFonts w:eastAsia="Times New Roman" w:cstheme="minorHAnsi"/>
          <w:sz w:val="24"/>
          <w:szCs w:val="24"/>
          <w:lang w:eastAsia="hr-HR"/>
        </w:rPr>
        <w:t>ova drugih operatora, a što bi moglo dovesti</w:t>
      </w:r>
      <w:r w:rsidRPr="00F75D5E">
        <w:rPr>
          <w:rFonts w:eastAsia="Times New Roman" w:cstheme="minorHAnsi"/>
          <w:sz w:val="24"/>
          <w:szCs w:val="24"/>
          <w:lang w:eastAsia="hr-HR"/>
        </w:rPr>
        <w:t xml:space="preserve"> do njihovog izlaska s tržišta. Na navedeni način došlo bi do vertikalnog prenošenja značajne tržišne snage s veleprodajnog tržišta na pripadajuće maloprodajno tržište.</w:t>
      </w:r>
    </w:p>
    <w:p w:rsidR="00F75D5E" w:rsidRDefault="00F75D5E" w:rsidP="00F75D5E">
      <w:pPr>
        <w:spacing w:after="0" w:line="240" w:lineRule="auto"/>
        <w:jc w:val="both"/>
        <w:rPr>
          <w:rStyle w:val="SubtitleChar"/>
        </w:rPr>
      </w:pPr>
    </w:p>
    <w:p w:rsidR="00F75D5E" w:rsidRDefault="00F75D5E" w:rsidP="00F75D5E">
      <w:pPr>
        <w:spacing w:after="0" w:line="240" w:lineRule="auto"/>
        <w:jc w:val="both"/>
        <w:rPr>
          <w:rFonts w:eastAsia="Times New Roman" w:cstheme="minorHAnsi"/>
          <w:sz w:val="24"/>
          <w:szCs w:val="24"/>
          <w:lang w:eastAsia="hr-HR"/>
        </w:rPr>
      </w:pPr>
      <w:r w:rsidRPr="001548E7">
        <w:rPr>
          <w:rStyle w:val="SubtitleChar"/>
        </w:rPr>
        <w:t>Taktike odgađanja</w:t>
      </w:r>
      <w:r w:rsidRPr="00CE2163">
        <w:rPr>
          <w:rFonts w:eastAsia="Times New Roman" w:cstheme="minorHAnsi"/>
          <w:sz w:val="24"/>
          <w:szCs w:val="24"/>
          <w:lang w:eastAsia="hr-HR"/>
        </w:rPr>
        <w:t xml:space="preserve"> se odnose na situacije u kojima operator sa značajnom tržišnom snagom ne odbija pružanje usluge završavanja </w:t>
      </w:r>
      <w:r>
        <w:rPr>
          <w:rFonts w:eastAsia="Times New Roman" w:cstheme="minorHAnsi"/>
          <w:sz w:val="24"/>
          <w:szCs w:val="24"/>
          <w:lang w:eastAsia="hr-HR"/>
        </w:rPr>
        <w:t>glasovnih</w:t>
      </w:r>
      <w:r w:rsidRPr="00CE2163">
        <w:rPr>
          <w:rFonts w:eastAsia="Times New Roman" w:cstheme="minorHAnsi"/>
          <w:sz w:val="24"/>
          <w:szCs w:val="24"/>
          <w:lang w:eastAsia="hr-HR"/>
        </w:rPr>
        <w:t xml:space="preserve"> poziva, ali istu pruža sa zakašnjenjem u odnosu na svoj maloprodajni dio (vlastite potrebe) ili povezana društva, te na taj način dovodi sadašnje i potencijalne konkurente u neravnopravan položaj na pripadajućem maloprodajnom tržištu iz razloga što je usluga završavanja </w:t>
      </w:r>
      <w:r>
        <w:rPr>
          <w:rFonts w:eastAsia="Times New Roman" w:cstheme="minorHAnsi"/>
          <w:sz w:val="24"/>
          <w:szCs w:val="24"/>
          <w:lang w:eastAsia="hr-HR"/>
        </w:rPr>
        <w:t>glasovnih</w:t>
      </w:r>
      <w:r w:rsidRPr="00CE2163">
        <w:rPr>
          <w:rFonts w:eastAsia="Times New Roman" w:cstheme="minorHAnsi"/>
          <w:sz w:val="24"/>
          <w:szCs w:val="24"/>
          <w:lang w:eastAsia="hr-HR"/>
        </w:rPr>
        <w:t xml:space="preserve"> poziva neophodna za pružanje komplet</w:t>
      </w:r>
      <w:r>
        <w:rPr>
          <w:rFonts w:eastAsia="Times New Roman" w:cstheme="minorHAnsi"/>
          <w:sz w:val="24"/>
          <w:szCs w:val="24"/>
          <w:lang w:eastAsia="hr-HR"/>
        </w:rPr>
        <w:t>ne usluge krajnjim korisnicima.</w:t>
      </w:r>
    </w:p>
    <w:p w:rsidR="00F75D5E" w:rsidRPr="00CE2163" w:rsidRDefault="00F75D5E" w:rsidP="00F75D5E">
      <w:pPr>
        <w:spacing w:after="0" w:line="240" w:lineRule="auto"/>
        <w:jc w:val="both"/>
        <w:rPr>
          <w:rFonts w:eastAsia="Times New Roman" w:cstheme="minorHAnsi"/>
          <w:sz w:val="24"/>
          <w:szCs w:val="24"/>
          <w:lang w:eastAsia="hr-HR"/>
        </w:rPr>
      </w:pPr>
    </w:p>
    <w:p w:rsidR="00F75D5E" w:rsidRDefault="00F75D5E" w:rsidP="00F75D5E">
      <w:pPr>
        <w:spacing w:after="0" w:line="240" w:lineRule="auto"/>
        <w:jc w:val="both"/>
      </w:pPr>
      <w:r w:rsidRPr="00CE2163">
        <w:rPr>
          <w:rFonts w:eastAsia="Times New Roman" w:cstheme="minorHAnsi"/>
          <w:sz w:val="24"/>
          <w:szCs w:val="24"/>
          <w:lang w:eastAsia="hr-HR"/>
        </w:rPr>
        <w:t xml:space="preserve">Drugim riječima, taktike odgađanja se odnose na situacije na tržištu u kojima postojeći operatori na tržištu ne odbijaju potpisati ugovor o međusobnom povezivanju s novim operator/operatorima na tržištu, već pokušavaju što je moguće duže odgoditi potpisivanje navedenog ugovora s ciljem očuvanja svog tržišnog udjela na pripadajućem maloprodajnom tržištu. </w:t>
      </w:r>
    </w:p>
    <w:bookmarkEnd w:id="44"/>
    <w:bookmarkEnd w:id="45"/>
    <w:p w:rsidR="00F75D5E" w:rsidRDefault="00F75D5E" w:rsidP="00F75D5E">
      <w:pPr>
        <w:spacing w:after="0" w:line="240" w:lineRule="auto"/>
        <w:jc w:val="both"/>
        <w:rPr>
          <w:rFonts w:eastAsia="Times New Roman" w:cstheme="minorHAnsi"/>
          <w:sz w:val="24"/>
          <w:szCs w:val="24"/>
          <w:lang w:eastAsia="hr-HR"/>
        </w:rPr>
      </w:pPr>
    </w:p>
    <w:p w:rsidR="00F75D5E" w:rsidRDefault="00F75D5E" w:rsidP="00F75D5E">
      <w:pPr>
        <w:spacing w:after="0" w:line="240" w:lineRule="auto"/>
        <w:jc w:val="both"/>
        <w:rPr>
          <w:rFonts w:eastAsia="Times New Roman" w:cstheme="minorHAnsi"/>
          <w:sz w:val="24"/>
          <w:szCs w:val="24"/>
          <w:lang w:eastAsia="hr-HR"/>
        </w:rPr>
      </w:pPr>
      <w:r w:rsidRPr="001548E7">
        <w:rPr>
          <w:rStyle w:val="SubtitleChar"/>
        </w:rPr>
        <w:t>Neopravdani zahtjevi</w:t>
      </w:r>
      <w:r w:rsidRPr="00CE2163">
        <w:rPr>
          <w:rFonts w:eastAsia="Times New Roman" w:cstheme="minorHAnsi"/>
          <w:sz w:val="24"/>
          <w:szCs w:val="24"/>
          <w:lang w:eastAsia="hr-HR"/>
        </w:rPr>
        <w:t xml:space="preserve"> </w:t>
      </w:r>
      <w:r>
        <w:rPr>
          <w:rFonts w:eastAsia="Times New Roman" w:cstheme="minorHAnsi"/>
          <w:sz w:val="24"/>
          <w:szCs w:val="24"/>
          <w:lang w:eastAsia="hr-HR"/>
        </w:rPr>
        <w:t xml:space="preserve">se odnose na </w:t>
      </w:r>
      <w:r w:rsidRPr="00CE2163">
        <w:rPr>
          <w:rFonts w:eastAsia="Times New Roman" w:cstheme="minorHAnsi"/>
          <w:sz w:val="24"/>
          <w:szCs w:val="24"/>
          <w:lang w:eastAsia="hr-HR"/>
        </w:rPr>
        <w:t>uvjet</w:t>
      </w:r>
      <w:r>
        <w:rPr>
          <w:rFonts w:eastAsia="Times New Roman" w:cstheme="minorHAnsi"/>
          <w:sz w:val="24"/>
          <w:szCs w:val="24"/>
          <w:lang w:eastAsia="hr-HR"/>
        </w:rPr>
        <w:t>e</w:t>
      </w:r>
      <w:r w:rsidRPr="00CE2163">
        <w:rPr>
          <w:rFonts w:eastAsia="Times New Roman" w:cstheme="minorHAnsi"/>
          <w:sz w:val="24"/>
          <w:szCs w:val="24"/>
          <w:lang w:eastAsia="hr-HR"/>
        </w:rPr>
        <w:t xml:space="preserve"> ugovora o međupovezivanju između dva operatora u kojima operator zahtijeva da druga strana ispuni određeni zahtjev ili zahtjeve koji su u potpunosti neopravdani, a s ciljem da podigne troškove konkurencije i ograniči njegovo djelovanje na pripadajućem maloprodajnom tržištu koji bi mogli dovesti drugu stranu u nepovoljan položaj te je u konačnici i prisiliti da prestane nuditi svoje usluge na tržištu. U odsustvu regulacije postojeći operatori na </w:t>
      </w:r>
      <w:r w:rsidRPr="00CE2163">
        <w:rPr>
          <w:rFonts w:eastAsia="Times New Roman" w:cstheme="minorHAnsi"/>
          <w:sz w:val="24"/>
          <w:szCs w:val="24"/>
          <w:lang w:eastAsia="hr-HR"/>
        </w:rPr>
        <w:lastRenderedPageBreak/>
        <w:t>tržištu HT, Tele2 i Vipnet mogli bi tražiti ispunjenje nerazumnih/neopravdanih zahtjeva prema novim operatorima koji ulaze na tržište.</w:t>
      </w:r>
    </w:p>
    <w:p w:rsidR="00F75D5E" w:rsidRPr="00CE2163" w:rsidRDefault="00F75D5E" w:rsidP="00F75D5E">
      <w:pPr>
        <w:spacing w:after="0" w:line="240" w:lineRule="auto"/>
        <w:jc w:val="both"/>
        <w:rPr>
          <w:rFonts w:eastAsia="Times New Roman" w:cstheme="minorHAnsi"/>
          <w:sz w:val="24"/>
          <w:szCs w:val="24"/>
          <w:lang w:eastAsia="hr-HR"/>
        </w:rPr>
      </w:pPr>
    </w:p>
    <w:p w:rsidR="00F75D5E" w:rsidRDefault="00F75D5E" w:rsidP="00F75D5E">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Instrumenti osiguranja plaćanja mogu se smatrati primjerom nerazumnog/neopravdanog zahtjeva. Naime, instrumenti osiguranja plaćanja, koji su trenutno sastavni dio Standardne ponude za usluge međupovezivanja u pokretnoj mreži HT-a</w:t>
      </w:r>
      <w:r>
        <w:rPr>
          <w:rFonts w:eastAsia="Times New Roman" w:cstheme="minorHAnsi"/>
          <w:sz w:val="24"/>
          <w:szCs w:val="24"/>
          <w:lang w:eastAsia="hr-HR"/>
        </w:rPr>
        <w:t xml:space="preserve">, Tele2 </w:t>
      </w:r>
      <w:r w:rsidRPr="00CE2163">
        <w:rPr>
          <w:rFonts w:eastAsia="Times New Roman" w:cstheme="minorHAnsi"/>
          <w:sz w:val="24"/>
          <w:szCs w:val="24"/>
          <w:lang w:eastAsia="hr-HR"/>
        </w:rPr>
        <w:t>i Vipnet-a, u slučaju odsustva regulacije mogli bi predstavljati potencijalni problem na tržištu iz razloga što bi operatori bili u mogućnosti tražiti bilo koji od instrumenata osiguranja plaćanja u neopravdano visokom iznosima kojima bi operatore</w:t>
      </w:r>
      <w:r>
        <w:rPr>
          <w:rFonts w:eastAsia="Times New Roman" w:cstheme="minorHAnsi"/>
          <w:sz w:val="24"/>
          <w:szCs w:val="24"/>
          <w:lang w:eastAsia="hr-HR"/>
        </w:rPr>
        <w:t xml:space="preserve"> koji žele pružati uslugu krajnjim korisnicima</w:t>
      </w:r>
      <w:r w:rsidRPr="00CE2163">
        <w:rPr>
          <w:rFonts w:eastAsia="Times New Roman" w:cstheme="minorHAnsi"/>
          <w:sz w:val="24"/>
          <w:szCs w:val="24"/>
          <w:lang w:eastAsia="hr-HR"/>
        </w:rPr>
        <w:t xml:space="preserve">, mogli dovesti u izrazito nepovoljan položaj. </w:t>
      </w:r>
    </w:p>
    <w:p w:rsidR="00F75D5E" w:rsidRPr="00CE2163" w:rsidRDefault="00F75D5E" w:rsidP="00F75D5E">
      <w:pPr>
        <w:spacing w:after="0" w:line="240" w:lineRule="auto"/>
        <w:jc w:val="both"/>
        <w:rPr>
          <w:rFonts w:eastAsia="Times New Roman" w:cstheme="minorHAnsi"/>
          <w:sz w:val="24"/>
          <w:szCs w:val="24"/>
          <w:lang w:eastAsia="hr-HR"/>
        </w:rPr>
      </w:pPr>
    </w:p>
    <w:p w:rsidR="00F75D5E" w:rsidRDefault="00F75D5E" w:rsidP="00F75D5E">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 xml:space="preserve">Isto tako, operatori bi bili u mogućnosti zahtijevati (pre)detaljne informacije o korisnicima drugih operatora s ciljem da navedene informacije iskoriste kako bi izradili tarifne pakete u potpunosti prilagođene korisnicima konkurentnog operatora. Navedene informacije direktno bi ugrožavale tržišni udjel konkurentnog operatora, a samim time i njegovu poziciju i djelovanje na tržištu. </w:t>
      </w:r>
    </w:p>
    <w:p w:rsidR="00F75D5E" w:rsidRDefault="00F75D5E" w:rsidP="00F75D5E">
      <w:pPr>
        <w:spacing w:after="0" w:line="240" w:lineRule="auto"/>
        <w:jc w:val="both"/>
        <w:rPr>
          <w:rFonts w:eastAsia="Times New Roman" w:cstheme="minorHAnsi"/>
          <w:sz w:val="24"/>
          <w:szCs w:val="24"/>
          <w:lang w:eastAsia="hr-HR"/>
        </w:rPr>
      </w:pPr>
    </w:p>
    <w:p w:rsidR="00F75D5E" w:rsidRDefault="00F75D5E" w:rsidP="00F75D5E">
      <w:pPr>
        <w:spacing w:after="0" w:line="240" w:lineRule="auto"/>
        <w:jc w:val="both"/>
        <w:rPr>
          <w:rFonts w:eastAsia="Times New Roman" w:cstheme="minorHAnsi"/>
          <w:sz w:val="24"/>
          <w:szCs w:val="24"/>
          <w:lang w:eastAsia="hr-HR"/>
        </w:rPr>
      </w:pPr>
      <w:r w:rsidRPr="00F75D5E">
        <w:rPr>
          <w:rStyle w:val="SubtitleChar"/>
          <w:lang w:eastAsia="hr-HR"/>
        </w:rPr>
        <w:t>Diskriminacija kakvoćom usluge</w:t>
      </w:r>
      <w:r>
        <w:rPr>
          <w:rFonts w:eastAsia="Times New Roman" w:cstheme="minorHAnsi"/>
          <w:sz w:val="24"/>
          <w:szCs w:val="24"/>
          <w:lang w:eastAsia="hr-HR"/>
        </w:rPr>
        <w:t xml:space="preserve"> odnosi se na mogućnost da </w:t>
      </w:r>
      <w:r w:rsidRPr="00CE2163">
        <w:rPr>
          <w:rFonts w:eastAsia="Times New Roman" w:cstheme="minorHAnsi"/>
          <w:sz w:val="24"/>
          <w:szCs w:val="24"/>
          <w:lang w:eastAsia="hr-HR"/>
        </w:rPr>
        <w:t xml:space="preserve">u slučaju pada mreže ili problema u mreži, operator sa značajnom tržišnom snagom daje prioritet u završavanju </w:t>
      </w:r>
      <w:r>
        <w:rPr>
          <w:rFonts w:eastAsia="Times New Roman" w:cstheme="minorHAnsi"/>
          <w:sz w:val="24"/>
          <w:szCs w:val="24"/>
          <w:lang w:eastAsia="hr-HR"/>
        </w:rPr>
        <w:t>glasovnih</w:t>
      </w:r>
      <w:r w:rsidRPr="00CE2163">
        <w:rPr>
          <w:rFonts w:eastAsia="Times New Roman" w:cstheme="minorHAnsi"/>
          <w:sz w:val="24"/>
          <w:szCs w:val="24"/>
          <w:lang w:eastAsia="hr-HR"/>
        </w:rPr>
        <w:t xml:space="preserve"> poziva upućenih iz vlastite mreže ili mreže povezanog društva na štetu poziva upućenih iz drugih mreža. Zbog navedenog sadašnji ili potencijalni konkurenti gube povjerenje krajnjih korisnika što dovodi do štete na maloprodajnoj razini i moraju ulagati u povećanje kapaciteta mreže, koji im je dužan dati operator sa značajnom tržišnom snagom, a kako bi mogli pružati kvalitetnu uslugu krajnjim korisnicima. Na taj način bi moglo </w:t>
      </w:r>
      <w:r w:rsidRPr="00CE2163">
        <w:rPr>
          <w:rFonts w:eastAsia="Times New Roman" w:cstheme="minorHAnsi"/>
          <w:sz w:val="24"/>
          <w:szCs w:val="24"/>
          <w:lang w:eastAsia="hr-HR"/>
        </w:rPr>
        <w:lastRenderedPageBreak/>
        <w:t>doći do neopravdanog povećanja troškova sadašnjih ili potencijalnih konkurenata na maloprodajnoj razini, a koji bi, u konačnici, doveli do zaključka da je operator sa značajnom tržišnom snagom uspio prenijeti značajnu tržišnu snagu s veleprodajnog na pripadajuće maloprodajno tržište.</w:t>
      </w:r>
    </w:p>
    <w:p w:rsidR="00F75D5E" w:rsidRDefault="00F75D5E" w:rsidP="00F75D5E">
      <w:pPr>
        <w:spacing w:after="0" w:line="240" w:lineRule="auto"/>
        <w:jc w:val="both"/>
        <w:rPr>
          <w:rFonts w:eastAsia="Times New Roman" w:cstheme="minorHAnsi"/>
          <w:sz w:val="24"/>
          <w:szCs w:val="24"/>
          <w:lang w:eastAsia="hr-HR"/>
        </w:rPr>
      </w:pPr>
    </w:p>
    <w:p w:rsidR="00F75D5E" w:rsidRDefault="00F75D5E" w:rsidP="00F75D5E">
      <w:pPr>
        <w:spacing w:after="0" w:line="240" w:lineRule="auto"/>
        <w:jc w:val="both"/>
        <w:rPr>
          <w:rFonts w:eastAsia="Times New Roman" w:cstheme="minorHAnsi"/>
          <w:sz w:val="24"/>
          <w:szCs w:val="24"/>
          <w:lang w:eastAsia="hr-HR"/>
        </w:rPr>
      </w:pPr>
      <w:r>
        <w:rPr>
          <w:rFonts w:eastAsia="Times New Roman" w:cstheme="minorHAnsi"/>
          <w:sz w:val="24"/>
          <w:szCs w:val="24"/>
          <w:lang w:eastAsia="hr-HR"/>
        </w:rPr>
        <w:t>Nadalje, u</w:t>
      </w:r>
      <w:r w:rsidRPr="00CE2163">
        <w:rPr>
          <w:rFonts w:eastAsia="Times New Roman" w:cstheme="minorHAnsi"/>
          <w:sz w:val="24"/>
          <w:szCs w:val="24"/>
          <w:lang w:eastAsia="hr-HR"/>
        </w:rPr>
        <w:t xml:space="preserve"> odsustvu regulacije postojala bi mogućnost da postojeći operatori na tržištu novim operatorima koji ulaze na tržište ponude kakvoću za uslugu međupovezivanja, koja, između ostalog, uključuje obvezu održavanja broja blokiranih i neuspjelih poziva, ispod razine </w:t>
      </w:r>
      <w:r>
        <w:rPr>
          <w:rFonts w:eastAsia="Times New Roman" w:cstheme="minorHAnsi"/>
          <w:sz w:val="24"/>
          <w:szCs w:val="24"/>
          <w:lang w:eastAsia="hr-HR"/>
        </w:rPr>
        <w:t xml:space="preserve">koju nude za vlastite potrebe. </w:t>
      </w:r>
    </w:p>
    <w:p w:rsidR="00880B58" w:rsidRPr="002605C3" w:rsidRDefault="00880B58" w:rsidP="00880B58">
      <w:pPr>
        <w:pStyle w:val="Heading2"/>
      </w:pPr>
      <w:bookmarkStart w:id="46" w:name="_Toc525816352"/>
      <w:r w:rsidRPr="00DA24D9">
        <w:t>Prenošenje</w:t>
      </w:r>
      <w:r w:rsidRPr="002605C3">
        <w:t xml:space="preserve"> znača</w:t>
      </w:r>
      <w:r>
        <w:t xml:space="preserve">jne tržišne snage na osnovama </w:t>
      </w:r>
      <w:r w:rsidRPr="002605C3">
        <w:t>vezanim uz cijene</w:t>
      </w:r>
      <w:bookmarkEnd w:id="46"/>
    </w:p>
    <w:bookmarkEnd w:id="42"/>
    <w:bookmarkEnd w:id="43"/>
    <w:p w:rsidR="00CE2163" w:rsidRDefault="00CE2163" w:rsidP="0043382D">
      <w:pPr>
        <w:spacing w:after="0" w:line="240" w:lineRule="auto"/>
        <w:jc w:val="both"/>
        <w:rPr>
          <w:rFonts w:eastAsia="Times New Roman" w:cstheme="minorHAnsi"/>
          <w:sz w:val="24"/>
          <w:szCs w:val="24"/>
          <w:lang w:eastAsia="hr-HR"/>
        </w:rPr>
      </w:pPr>
      <w:r w:rsidRPr="00880B58">
        <w:rPr>
          <w:rStyle w:val="SubtitleChar"/>
        </w:rPr>
        <w:t xml:space="preserve">Previsoke cijene završavanja </w:t>
      </w:r>
      <w:r w:rsidR="0026629C" w:rsidRPr="00880B58">
        <w:rPr>
          <w:rStyle w:val="SubtitleChar"/>
        </w:rPr>
        <w:t xml:space="preserve">glasovnih </w:t>
      </w:r>
      <w:r w:rsidRPr="00880B58">
        <w:rPr>
          <w:rStyle w:val="SubtitleChar"/>
        </w:rPr>
        <w:t>poziva</w:t>
      </w:r>
      <w:r w:rsidRPr="00CE2163">
        <w:rPr>
          <w:rFonts w:eastAsia="Times New Roman" w:cstheme="minorHAnsi"/>
          <w:sz w:val="24"/>
          <w:szCs w:val="24"/>
          <w:lang w:eastAsia="hr-HR"/>
        </w:rPr>
        <w:t xml:space="preserve">, kao oblik iskorištavanja dominantnog položaja odnosi se na situaciju u kojoj je operator sa značajnom tržišnom snagom, zbog postojanja CPP principa, motiviran povećati cijene usluge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poziva u vlastitu mrežu budući da navedeni potez nema nikakvog utjecaja na maloprodajne cijene njegovih krajnjih korisnika, odnosno podizanje cijena neće se prebaciti na njegove krajnje korisnike, već će samo povećati troškove drugih operatora koji navede</w:t>
      </w:r>
      <w:r w:rsidR="0033406D">
        <w:rPr>
          <w:rFonts w:eastAsia="Times New Roman" w:cstheme="minorHAnsi"/>
          <w:sz w:val="24"/>
          <w:szCs w:val="24"/>
          <w:lang w:eastAsia="hr-HR"/>
        </w:rPr>
        <w:t>nu veleprodajnu uslugu koriste.</w:t>
      </w:r>
    </w:p>
    <w:p w:rsidR="0043382D" w:rsidRPr="00CE2163" w:rsidRDefault="0043382D" w:rsidP="0043382D">
      <w:pPr>
        <w:spacing w:after="0" w:line="240" w:lineRule="auto"/>
        <w:jc w:val="both"/>
        <w:rPr>
          <w:rFonts w:eastAsia="Times New Roman" w:cstheme="minorHAnsi"/>
          <w:sz w:val="24"/>
          <w:szCs w:val="24"/>
          <w:lang w:eastAsia="hr-HR"/>
        </w:rPr>
      </w:pPr>
    </w:p>
    <w:p w:rsidR="00CE2163" w:rsidRP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Zabrinutost oko cijena postoji u situaciji gdje su one u odsustvu regulacije postavljene trajno na visokoj razini i bez djelotvornog pritiska (od strane novih operatora koji bi mogli ući na tržište odnosno postojećih operatora koji posluju na tržištu) koji bi ih u određenom razdoblju spustio na konkurentsku razinu.</w:t>
      </w:r>
    </w:p>
    <w:p w:rsidR="00CE2163" w:rsidRPr="00CE2163" w:rsidRDefault="00CE2163" w:rsidP="0043382D">
      <w:pPr>
        <w:spacing w:after="0" w:line="240" w:lineRule="auto"/>
        <w:jc w:val="both"/>
        <w:rPr>
          <w:rFonts w:eastAsia="Times New Roman" w:cstheme="minorHAnsi"/>
          <w:sz w:val="24"/>
          <w:szCs w:val="24"/>
          <w:lang w:eastAsia="hr-HR"/>
        </w:rPr>
      </w:pPr>
    </w:p>
    <w:p w:rsidR="00CE2163" w:rsidRP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 xml:space="preserve">Kao što je </w:t>
      </w:r>
      <w:r w:rsidR="007B7905">
        <w:rPr>
          <w:rFonts w:eastAsia="Times New Roman" w:cstheme="minorHAnsi"/>
          <w:sz w:val="24"/>
          <w:szCs w:val="24"/>
          <w:lang w:eastAsia="hr-HR"/>
        </w:rPr>
        <w:t>već navedeno</w:t>
      </w:r>
      <w:r w:rsidRPr="00CE2163">
        <w:rPr>
          <w:rFonts w:eastAsia="Times New Roman" w:cstheme="minorHAnsi"/>
          <w:sz w:val="24"/>
          <w:szCs w:val="24"/>
          <w:lang w:eastAsia="hr-HR"/>
        </w:rPr>
        <w:t xml:space="preserve">, poziv može završiti (terminirati) samo u mreži operatora čijeg se korisnika nazvalo i niti jedan operator nije u mogućnosti ponuditi </w:t>
      </w:r>
      <w:r w:rsidR="00E438A0">
        <w:rPr>
          <w:rFonts w:eastAsia="Times New Roman" w:cstheme="minorHAnsi"/>
          <w:sz w:val="24"/>
          <w:szCs w:val="24"/>
          <w:lang w:eastAsia="hr-HR"/>
        </w:rPr>
        <w:t>završavanje</w:t>
      </w:r>
      <w:r w:rsidRPr="00CE2163">
        <w:rPr>
          <w:rFonts w:eastAsia="Times New Roman" w:cstheme="minorHAnsi"/>
          <w:sz w:val="24"/>
          <w:szCs w:val="24"/>
          <w:lang w:eastAsia="hr-HR"/>
        </w:rPr>
        <w:t xml:space="preserve">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 xml:space="preserve">poziva u svoju mrežu, a da istovremeno poziv zaprimi korisnik </w:t>
      </w:r>
      <w:r w:rsidRPr="00CE2163">
        <w:rPr>
          <w:rFonts w:eastAsia="Times New Roman" w:cstheme="minorHAnsi"/>
          <w:sz w:val="24"/>
          <w:szCs w:val="24"/>
          <w:lang w:eastAsia="hr-HR"/>
        </w:rPr>
        <w:lastRenderedPageBreak/>
        <w:t>neke druge mreže. Drugim riječima, s obzirom da ne postoji zamjenjivost na strani ponude i potražnje, svaki od tri operatora pokretnih mreža ima stopostotni tržišni udjel na svojoj vlastitoj mreži te je u mogućnosti</w:t>
      </w:r>
      <w:r w:rsidR="00AF607D">
        <w:rPr>
          <w:rFonts w:eastAsia="Times New Roman" w:cstheme="minorHAnsi"/>
          <w:sz w:val="24"/>
          <w:szCs w:val="24"/>
          <w:lang w:eastAsia="hr-HR"/>
        </w:rPr>
        <w:t>, u odsustvu regulacije,</w:t>
      </w:r>
      <w:r w:rsidRPr="00CE2163">
        <w:rPr>
          <w:rFonts w:eastAsia="Times New Roman" w:cstheme="minorHAnsi"/>
          <w:sz w:val="24"/>
          <w:szCs w:val="24"/>
          <w:lang w:eastAsia="hr-HR"/>
        </w:rPr>
        <w:t xml:space="preserve"> postaviti cijenu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 xml:space="preserve">poziva na visoku razinu čime istovremeno povećava troškove ostalih operatora na tržištu i sukladno tome vlastite prihode. Postavljanje cijene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 xml:space="preserve">poziva na visoku razinu dovodi operatore u nezavidnu situaciju iz razloga što neutemeljeno podizanje troškova (cijena) utječe na učinkovitost njihovog poslovanja te se negativno odražava na gospodarstvo u cijelosti. U slučaju da operatori pokretnih mreža koji djeluju na tržištu imaju istu ili sličnu tržišnu snagu, podizanje cijene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 xml:space="preserve">poziva na visoku razinu u isto vrijeme dovodi do rasta troškova za uslugu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 xml:space="preserve">poziva, ali i rasta prihoda koje operatori ostvaruju od spomenute usluge. Slijedom navedenog, takvo podizanje cijena povećalo bi troškove i ostalim operatorima. </w:t>
      </w:r>
    </w:p>
    <w:p w:rsidR="00CE2163" w:rsidRPr="00CE2163" w:rsidRDefault="00CE2163" w:rsidP="00BB7F55">
      <w:pPr>
        <w:spacing w:after="0" w:line="240" w:lineRule="auto"/>
        <w:jc w:val="both"/>
        <w:rPr>
          <w:rFonts w:eastAsia="Times New Roman" w:cstheme="minorHAnsi"/>
          <w:sz w:val="24"/>
          <w:szCs w:val="24"/>
          <w:highlight w:val="yellow"/>
          <w:lang w:eastAsia="hr-HR"/>
        </w:rPr>
      </w:pPr>
      <w:r w:rsidRPr="00CE2163">
        <w:rPr>
          <w:rFonts w:eastAsia="Times New Roman" w:cstheme="minorHAnsi"/>
          <w:sz w:val="24"/>
          <w:szCs w:val="24"/>
          <w:lang w:eastAsia="hr-HR"/>
        </w:rPr>
        <w:t xml:space="preserve">U Republici Hrvatskoj, kao što je napisano u poglavlju </w:t>
      </w:r>
      <w:r w:rsidR="00ED11FF">
        <w:rPr>
          <w:rFonts w:eastAsia="Times New Roman" w:cstheme="minorHAnsi"/>
          <w:sz w:val="24"/>
          <w:szCs w:val="24"/>
          <w:lang w:eastAsia="hr-HR"/>
        </w:rPr>
        <w:t>5.2.2.</w:t>
      </w:r>
      <w:r w:rsidRPr="00CE2163">
        <w:rPr>
          <w:rFonts w:eastAsia="Times New Roman" w:cstheme="minorHAnsi"/>
          <w:sz w:val="24"/>
          <w:szCs w:val="24"/>
          <w:lang w:eastAsia="hr-HR"/>
        </w:rPr>
        <w:t xml:space="preserve"> ovog dokumenta, niti jedan od operatora se ne nalazi u nepovoljnom položaju</w:t>
      </w:r>
      <w:r w:rsidR="001E0F6C">
        <w:rPr>
          <w:rFonts w:eastAsia="Times New Roman" w:cstheme="minorHAnsi"/>
          <w:sz w:val="24"/>
          <w:szCs w:val="24"/>
          <w:lang w:eastAsia="hr-HR"/>
        </w:rPr>
        <w:t xml:space="preserve"> u odnosu na druge operatore.</w:t>
      </w:r>
    </w:p>
    <w:p w:rsidR="00CE2163" w:rsidRPr="00CE2163" w:rsidRDefault="00CE2163" w:rsidP="00BB7F55">
      <w:pPr>
        <w:spacing w:after="0" w:line="240" w:lineRule="auto"/>
        <w:jc w:val="both"/>
        <w:rPr>
          <w:rFonts w:eastAsia="Times New Roman" w:cstheme="minorHAnsi"/>
          <w:sz w:val="24"/>
          <w:szCs w:val="24"/>
          <w:lang w:eastAsia="hr-HR"/>
        </w:rPr>
      </w:pPr>
    </w:p>
    <w:p w:rsidR="00CE2163" w:rsidRPr="007F0EF7" w:rsidRDefault="00CE2163" w:rsidP="00BB7F55">
      <w:pPr>
        <w:spacing w:after="0" w:line="240" w:lineRule="auto"/>
        <w:jc w:val="both"/>
        <w:rPr>
          <w:rFonts w:eastAsia="Times New Roman" w:cstheme="minorHAnsi"/>
          <w:lang w:eastAsia="hr-HR"/>
        </w:rPr>
      </w:pPr>
      <w:r w:rsidRPr="00CE2163">
        <w:rPr>
          <w:rFonts w:eastAsia="Times New Roman" w:cstheme="minorHAnsi"/>
          <w:sz w:val="24"/>
          <w:szCs w:val="24"/>
          <w:lang w:eastAsia="hr-HR"/>
        </w:rPr>
        <w:t>Slijedom svega navedenog, HAKOM je mišljenja kako su svi operatori sa značajnom tržišnom snagom na ovom mjerodavnom tržištu u mogućnosti iskoristiti navedeni status u odnosu na potencijalne nove operatore, a što bi dovelo do povećanja troškova novih operatora i mogućeg sprečavanja ulaska na tržište ili izlaska s tržišta.</w:t>
      </w:r>
    </w:p>
    <w:p w:rsidR="00880B58" w:rsidRDefault="00880B58" w:rsidP="0043382D">
      <w:pPr>
        <w:spacing w:after="0" w:line="240" w:lineRule="auto"/>
        <w:jc w:val="both"/>
        <w:rPr>
          <w:rStyle w:val="SubtitleChar"/>
        </w:rPr>
      </w:pPr>
    </w:p>
    <w:p w:rsidR="00CE2163" w:rsidRDefault="00CE2163" w:rsidP="0043382D">
      <w:pPr>
        <w:spacing w:after="0" w:line="240" w:lineRule="auto"/>
        <w:jc w:val="both"/>
        <w:rPr>
          <w:rFonts w:eastAsia="Times New Roman" w:cstheme="minorHAnsi"/>
          <w:sz w:val="24"/>
          <w:szCs w:val="24"/>
          <w:lang w:eastAsia="hr-HR"/>
        </w:rPr>
      </w:pPr>
      <w:r w:rsidRPr="00880B58">
        <w:rPr>
          <w:rStyle w:val="SubtitleChar"/>
        </w:rPr>
        <w:t>Prešutni sporazum</w:t>
      </w:r>
      <w:r w:rsidRPr="00CE2163">
        <w:rPr>
          <w:rFonts w:eastAsia="Times New Roman" w:cstheme="minorHAnsi"/>
          <w:sz w:val="24"/>
          <w:szCs w:val="24"/>
          <w:lang w:eastAsia="hr-HR"/>
        </w:rPr>
        <w:t xml:space="preserve"> </w:t>
      </w:r>
      <w:r w:rsidR="00880B58" w:rsidRPr="00880B58">
        <w:rPr>
          <w:rFonts w:eastAsia="Times New Roman" w:cstheme="minorHAnsi"/>
          <w:sz w:val="24"/>
          <w:szCs w:val="24"/>
          <w:lang w:eastAsia="hr-HR"/>
        </w:rPr>
        <w:t xml:space="preserve">(eng. </w:t>
      </w:r>
      <w:r w:rsidR="00880B58" w:rsidRPr="00880B58">
        <w:rPr>
          <w:rFonts w:eastAsia="Times New Roman" w:cstheme="minorHAnsi"/>
          <w:i/>
          <w:sz w:val="24"/>
          <w:szCs w:val="24"/>
          <w:lang w:eastAsia="hr-HR"/>
        </w:rPr>
        <w:t>tacit collu</w:t>
      </w:r>
      <w:r w:rsidR="00880B58" w:rsidRPr="00880B58">
        <w:rPr>
          <w:rFonts w:eastAsia="Times New Roman" w:cstheme="minorHAnsi"/>
          <w:sz w:val="24"/>
          <w:szCs w:val="24"/>
          <w:lang w:eastAsia="hr-HR"/>
        </w:rPr>
        <w:t>sion)</w:t>
      </w:r>
      <w:r w:rsidR="00880B58">
        <w:rPr>
          <w:rFonts w:eastAsia="Times New Roman" w:cstheme="minorHAnsi"/>
          <w:sz w:val="24"/>
          <w:szCs w:val="24"/>
          <w:lang w:eastAsia="hr-HR"/>
        </w:rPr>
        <w:t xml:space="preserve"> </w:t>
      </w:r>
      <w:r w:rsidRPr="00CE2163">
        <w:rPr>
          <w:rFonts w:eastAsia="Times New Roman" w:cstheme="minorHAnsi"/>
          <w:sz w:val="24"/>
          <w:szCs w:val="24"/>
          <w:lang w:eastAsia="hr-HR"/>
        </w:rPr>
        <w:t xml:space="preserve">je jedan od problema koji se može pojaviti na tržištu u odsustvu regulacije. Karakterističan je za pozive koji su započeli i završili u pokretnim mrežama (eng. </w:t>
      </w:r>
      <w:r w:rsidRPr="00CE2163">
        <w:rPr>
          <w:rFonts w:eastAsia="Times New Roman" w:cstheme="minorHAnsi"/>
          <w:i/>
          <w:sz w:val="24"/>
          <w:szCs w:val="24"/>
          <w:lang w:eastAsia="hr-HR"/>
        </w:rPr>
        <w:t xml:space="preserve">M2M calls) </w:t>
      </w:r>
      <w:r w:rsidRPr="00CE2163">
        <w:rPr>
          <w:rFonts w:eastAsia="Times New Roman" w:cstheme="minorHAnsi"/>
          <w:sz w:val="24"/>
          <w:szCs w:val="24"/>
          <w:lang w:eastAsia="hr-HR"/>
        </w:rPr>
        <w:t xml:space="preserve">ili za pozive koji su započeli i završili u nepokretnim mrežama (eng. </w:t>
      </w:r>
      <w:r w:rsidRPr="00CE2163">
        <w:rPr>
          <w:rFonts w:eastAsia="Times New Roman" w:cstheme="minorHAnsi"/>
          <w:i/>
          <w:sz w:val="24"/>
          <w:szCs w:val="24"/>
          <w:lang w:eastAsia="hr-HR"/>
        </w:rPr>
        <w:t>F2F calls</w:t>
      </w:r>
      <w:r w:rsidRPr="00CE2163">
        <w:rPr>
          <w:rFonts w:eastAsia="Times New Roman" w:cstheme="minorHAnsi"/>
          <w:sz w:val="24"/>
          <w:szCs w:val="24"/>
          <w:lang w:eastAsia="hr-HR"/>
        </w:rPr>
        <w:t xml:space="preserve">). Prešutni sporazum se može pojaviti u više različitih oblika, a jedan od njih je postavljanje recipročnih cijena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poziva između svih ili određ</w:t>
      </w:r>
      <w:r w:rsidR="0033406D">
        <w:rPr>
          <w:rFonts w:eastAsia="Times New Roman" w:cstheme="minorHAnsi"/>
          <w:sz w:val="24"/>
          <w:szCs w:val="24"/>
          <w:lang w:eastAsia="hr-HR"/>
        </w:rPr>
        <w:t>enih operatora pokretnih mreža.</w:t>
      </w:r>
    </w:p>
    <w:p w:rsidR="0043382D" w:rsidRPr="00CE2163" w:rsidRDefault="0043382D" w:rsidP="0043382D">
      <w:pPr>
        <w:spacing w:after="0" w:line="240" w:lineRule="auto"/>
        <w:jc w:val="both"/>
        <w:rPr>
          <w:rFonts w:eastAsia="Times New Roman" w:cstheme="minorHAnsi"/>
          <w:sz w:val="24"/>
          <w:szCs w:val="24"/>
          <w:lang w:eastAsia="hr-HR"/>
        </w:rPr>
      </w:pPr>
    </w:p>
    <w:p w:rsidR="00CE2163" w:rsidRP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lastRenderedPageBreak/>
        <w:t xml:space="preserve">Prešutni sporazum je karakterističan za tržište na kojem djeluju operatori sličnog tržišnog udjela, slične troškovne strukture te za tržište na kojem je promet između operatora simetričan. U navedenom slučaju operatori bi mogli, ovisno o strategiji na vertikalno povezanom tržištu (maloprodajno tržište), dogovoriti prešutni sporazum po kojem će cijenu za uslugu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 xml:space="preserve">poziva držati iznad ili ispod troškovne razine. </w:t>
      </w:r>
    </w:p>
    <w:p w:rsidR="00CE2163" w:rsidRPr="00CE2163" w:rsidRDefault="00CE2163" w:rsidP="0043382D">
      <w:pPr>
        <w:spacing w:after="0" w:line="240" w:lineRule="auto"/>
        <w:jc w:val="both"/>
        <w:rPr>
          <w:rFonts w:eastAsia="Times New Roman" w:cstheme="minorHAnsi"/>
          <w:sz w:val="24"/>
          <w:szCs w:val="24"/>
          <w:lang w:eastAsia="hr-HR"/>
        </w:rPr>
      </w:pPr>
    </w:p>
    <w:p w:rsidR="00CE2163" w:rsidRP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 xml:space="preserve">Naime, strategija operatora se može odnositi na postavljanje visokih cijena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 xml:space="preserve">poziva i visokih maloprodajnih cijena, a sve u cilju ostvarivanja većih zarada. Nadalje, operatori mogu postaviti visoke cijene završavanja </w:t>
      </w:r>
      <w:r w:rsidR="0026629C">
        <w:rPr>
          <w:rFonts w:eastAsia="Times New Roman" w:cstheme="minorHAnsi"/>
          <w:sz w:val="24"/>
          <w:szCs w:val="24"/>
          <w:lang w:eastAsia="hr-HR"/>
        </w:rPr>
        <w:t>glasovnih</w:t>
      </w:r>
      <w:r w:rsidR="0026629C" w:rsidRPr="00CE2163">
        <w:rPr>
          <w:rFonts w:eastAsia="Times New Roman" w:cstheme="minorHAnsi"/>
          <w:sz w:val="24"/>
          <w:szCs w:val="24"/>
          <w:lang w:eastAsia="hr-HR"/>
        </w:rPr>
        <w:t xml:space="preserve"> </w:t>
      </w:r>
      <w:r w:rsidRPr="00CE2163">
        <w:rPr>
          <w:rFonts w:eastAsia="Times New Roman" w:cstheme="minorHAnsi"/>
          <w:sz w:val="24"/>
          <w:szCs w:val="24"/>
          <w:lang w:eastAsia="hr-HR"/>
        </w:rPr>
        <w:t xml:space="preserve">poziva te malu marginu na maloprodajnoj razini čime operatore koji nisu u prešutnom sporazumu stavljaju u nepovoljan položaj. Kod ovih strategija operatori unutar prešutnog sporazuma dogovorenu cijenu završavanja </w:t>
      </w:r>
      <w:r w:rsidR="0026629C" w:rsidRPr="0026629C">
        <w:rPr>
          <w:rFonts w:eastAsia="Times New Roman" w:cstheme="minorHAnsi"/>
          <w:sz w:val="24"/>
          <w:szCs w:val="24"/>
          <w:lang w:eastAsia="hr-HR"/>
        </w:rPr>
        <w:t xml:space="preserve">glasovnih </w:t>
      </w:r>
      <w:r w:rsidRPr="00CE2163">
        <w:rPr>
          <w:rFonts w:eastAsia="Times New Roman" w:cstheme="minorHAnsi"/>
          <w:sz w:val="24"/>
          <w:szCs w:val="24"/>
          <w:lang w:eastAsia="hr-HR"/>
        </w:rPr>
        <w:t xml:space="preserve">poziva naplaćuju svima, uključujući i međusobno, te na taj način ne vrše diskriminaciju među operatorima. </w:t>
      </w:r>
    </w:p>
    <w:p w:rsidR="00CE2163" w:rsidRPr="00CE2163" w:rsidRDefault="00CE2163" w:rsidP="0043382D">
      <w:pPr>
        <w:spacing w:after="0" w:line="240" w:lineRule="auto"/>
        <w:jc w:val="both"/>
        <w:rPr>
          <w:rFonts w:eastAsia="Times New Roman" w:cstheme="minorHAnsi"/>
          <w:sz w:val="24"/>
          <w:szCs w:val="24"/>
          <w:lang w:eastAsia="hr-HR"/>
        </w:rPr>
      </w:pPr>
    </w:p>
    <w:p w:rsidR="00CE2163" w:rsidRP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 xml:space="preserve">Nadalje, operatori unutar prešutnog sporazuma mogli bi dogovoriti da si međusobno plaćaju, što uključuje i njihova povezana društva, nižu cijenu za uslugu završavanja </w:t>
      </w:r>
      <w:r w:rsidR="0026629C" w:rsidRPr="0026629C">
        <w:rPr>
          <w:rFonts w:eastAsia="Times New Roman" w:cstheme="minorHAnsi"/>
          <w:sz w:val="24"/>
          <w:szCs w:val="24"/>
          <w:lang w:eastAsia="hr-HR"/>
        </w:rPr>
        <w:t xml:space="preserve">glasovnih </w:t>
      </w:r>
      <w:r w:rsidRPr="00CE2163">
        <w:rPr>
          <w:rFonts w:eastAsia="Times New Roman" w:cstheme="minorHAnsi"/>
          <w:sz w:val="24"/>
          <w:szCs w:val="24"/>
          <w:lang w:eastAsia="hr-HR"/>
        </w:rPr>
        <w:t xml:space="preserve">poziva dok bi svi ostali plaćali višu cijenu. Na navedeni način ti operatori bi mogli na pripadajućem maloprodajnom tržištu ponuditi niske cijene te na taj način konkurenciju dovesti u vrlo težak položaj. Kod ove strategije operatori bi dogovorenu cijenu završavanja </w:t>
      </w:r>
      <w:r w:rsidR="0026629C" w:rsidRPr="0026629C">
        <w:rPr>
          <w:rFonts w:eastAsia="Times New Roman" w:cstheme="minorHAnsi"/>
          <w:sz w:val="24"/>
          <w:szCs w:val="24"/>
          <w:lang w:eastAsia="hr-HR"/>
        </w:rPr>
        <w:t xml:space="preserve">glasovnih </w:t>
      </w:r>
      <w:r w:rsidRPr="00CE2163">
        <w:rPr>
          <w:rFonts w:eastAsia="Times New Roman" w:cstheme="minorHAnsi"/>
          <w:sz w:val="24"/>
          <w:szCs w:val="24"/>
          <w:lang w:eastAsia="hr-HR"/>
        </w:rPr>
        <w:t>poziva naplaćivali samo međusobno te bi na taj način vršili diskriminaciju među operatorima.</w:t>
      </w:r>
      <w:r w:rsidRPr="00CE2163">
        <w:rPr>
          <w:rFonts w:eastAsia="Times New Roman" w:cstheme="minorHAnsi"/>
          <w:sz w:val="24"/>
          <w:szCs w:val="24"/>
          <w:vertAlign w:val="superscript"/>
          <w:lang w:eastAsia="hr-HR"/>
        </w:rPr>
        <w:footnoteReference w:id="26"/>
      </w:r>
    </w:p>
    <w:p w:rsidR="00CE2163" w:rsidRPr="00CE2163" w:rsidRDefault="00CE2163" w:rsidP="0043382D">
      <w:pPr>
        <w:spacing w:after="0" w:line="240" w:lineRule="auto"/>
        <w:jc w:val="both"/>
        <w:rPr>
          <w:rFonts w:eastAsia="Times New Roman" w:cstheme="minorHAnsi"/>
          <w:sz w:val="24"/>
          <w:szCs w:val="24"/>
          <w:lang w:eastAsia="hr-HR"/>
        </w:rPr>
      </w:pPr>
    </w:p>
    <w:p w:rsidR="00CE2163" w:rsidRP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lastRenderedPageBreak/>
        <w:t>Dakle, u slučaju da dva ili više operatora imaju, sličan tržišni udjel te simetričan promet između mreža iz navedenog bi proizašlo da bi navedeni operatori mogli dogovoriti prešutni sporazum. Prešutni sporazum tih operatora koji može uključivati jednu od prethodno navedenih strategija, utjecao bi na učinkovitost poslovanja operatora koji ima manji tržišni udjel te na poslovanje operatora nepokretnih mreža što bi se posljedično negativno odrazilo na gospodarstvo u cijelosti.</w:t>
      </w:r>
    </w:p>
    <w:p w:rsidR="00CE2163" w:rsidRDefault="001548E7" w:rsidP="0043382D">
      <w:pPr>
        <w:spacing w:after="0" w:line="240" w:lineRule="auto"/>
        <w:jc w:val="both"/>
        <w:rPr>
          <w:rFonts w:eastAsia="Times New Roman" w:cstheme="minorHAnsi"/>
          <w:sz w:val="24"/>
          <w:szCs w:val="24"/>
          <w:lang w:eastAsia="hr-HR"/>
        </w:rPr>
      </w:pPr>
      <w:r w:rsidRPr="001548E7">
        <w:rPr>
          <w:rStyle w:val="SubtitleChar"/>
          <w:lang w:eastAsia="hr-HR"/>
        </w:rPr>
        <w:t>Diskriminacija na cjenovnoj osnovi</w:t>
      </w:r>
      <w:r>
        <w:rPr>
          <w:rFonts w:eastAsia="Times New Roman" w:cstheme="minorHAnsi"/>
          <w:sz w:val="24"/>
          <w:szCs w:val="24"/>
          <w:lang w:eastAsia="hr-HR"/>
        </w:rPr>
        <w:t xml:space="preserve"> predstavlja p</w:t>
      </w:r>
      <w:r w:rsidR="00CE2163" w:rsidRPr="00CE2163">
        <w:rPr>
          <w:rFonts w:eastAsia="Times New Roman" w:cstheme="minorHAnsi"/>
          <w:sz w:val="24"/>
          <w:szCs w:val="24"/>
          <w:lang w:eastAsia="hr-HR"/>
        </w:rPr>
        <w:t>reprek</w:t>
      </w:r>
      <w:r>
        <w:rPr>
          <w:rFonts w:eastAsia="Times New Roman" w:cstheme="minorHAnsi"/>
          <w:sz w:val="24"/>
          <w:szCs w:val="24"/>
          <w:lang w:eastAsia="hr-HR"/>
        </w:rPr>
        <w:t>u</w:t>
      </w:r>
      <w:r w:rsidR="00CE2163" w:rsidRPr="00CE2163">
        <w:rPr>
          <w:rFonts w:eastAsia="Times New Roman" w:cstheme="minorHAnsi"/>
          <w:sz w:val="24"/>
          <w:szCs w:val="24"/>
          <w:lang w:eastAsia="hr-HR"/>
        </w:rPr>
        <w:t xml:space="preserve"> razvoju tržišnog natjecanja koja se odnosi na situaciju u kojoj operator sa značajnom tržišnom snagom nudi različite cijene usluge završavanja </w:t>
      </w:r>
      <w:r w:rsidR="0026629C">
        <w:rPr>
          <w:rFonts w:eastAsia="Times New Roman" w:cstheme="minorHAnsi"/>
          <w:sz w:val="24"/>
          <w:szCs w:val="24"/>
          <w:lang w:eastAsia="hr-HR"/>
        </w:rPr>
        <w:t>glasovnih</w:t>
      </w:r>
      <w:r w:rsidR="00CE2163" w:rsidRPr="00CE2163">
        <w:rPr>
          <w:rFonts w:eastAsia="Times New Roman" w:cstheme="minorHAnsi"/>
          <w:sz w:val="24"/>
          <w:szCs w:val="24"/>
          <w:lang w:eastAsia="hr-HR"/>
        </w:rPr>
        <w:t xml:space="preserve"> poziva svom maloprodajnom dijelu (za vlastite potrebe) i povezanim društvima u odnosu na sadašnje i potencijalne konku</w:t>
      </w:r>
      <w:r w:rsidR="0033406D">
        <w:rPr>
          <w:rFonts w:eastAsia="Times New Roman" w:cstheme="minorHAnsi"/>
          <w:sz w:val="24"/>
          <w:szCs w:val="24"/>
          <w:lang w:eastAsia="hr-HR"/>
        </w:rPr>
        <w:t>rente na maloprodajnom tržištu.</w:t>
      </w:r>
    </w:p>
    <w:p w:rsidR="0043382D" w:rsidRPr="0033406D" w:rsidRDefault="0043382D" w:rsidP="0043382D">
      <w:pPr>
        <w:spacing w:after="0" w:line="240" w:lineRule="auto"/>
        <w:jc w:val="both"/>
        <w:rPr>
          <w:rFonts w:eastAsia="Times New Roman" w:cstheme="minorHAnsi"/>
          <w:sz w:val="24"/>
          <w:szCs w:val="24"/>
          <w:lang w:eastAsia="hr-HR"/>
        </w:rPr>
      </w:pPr>
    </w:p>
    <w:p w:rsidR="00CE2163" w:rsidRP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 xml:space="preserve">Postoje različite vrste diskriminacije na cjenovnoj osnovi koje se mogu pojaviti na tržištu završavanja </w:t>
      </w:r>
      <w:r w:rsidR="00F94820" w:rsidRPr="00F94820">
        <w:rPr>
          <w:rFonts w:eastAsia="Times New Roman" w:cstheme="minorHAnsi"/>
          <w:sz w:val="24"/>
          <w:szCs w:val="24"/>
          <w:lang w:eastAsia="hr-HR"/>
        </w:rPr>
        <w:t>glasovnih poziva u vlastitoj mobilnoj mreži</w:t>
      </w:r>
      <w:r w:rsidRPr="00CE2163">
        <w:rPr>
          <w:rFonts w:eastAsia="Times New Roman" w:cstheme="minorHAnsi"/>
          <w:sz w:val="24"/>
          <w:szCs w:val="24"/>
          <w:lang w:eastAsia="hr-HR"/>
        </w:rPr>
        <w:t xml:space="preserve">. Naime, operatori sa značajnom tržišnom snagom su u mogućnosti napraviti razliku u cijeni, koju će im plaćati operatori za uslugu završavanja </w:t>
      </w:r>
      <w:r w:rsidR="002920EC">
        <w:rPr>
          <w:rFonts w:eastAsia="Times New Roman" w:cstheme="minorHAnsi"/>
          <w:sz w:val="24"/>
          <w:szCs w:val="24"/>
          <w:lang w:eastAsia="hr-HR"/>
        </w:rPr>
        <w:t>glasovnih</w:t>
      </w:r>
      <w:r w:rsidRPr="00CE2163">
        <w:rPr>
          <w:rFonts w:eastAsia="Times New Roman" w:cstheme="minorHAnsi"/>
          <w:sz w:val="24"/>
          <w:szCs w:val="24"/>
          <w:lang w:eastAsia="hr-HR"/>
        </w:rPr>
        <w:t xml:space="preserve"> poziva, između operatora pokretnih mreža, između operatora nepokretnih mreža ili između operatora pokretnih i operatora nepokretnih mreža.</w:t>
      </w:r>
    </w:p>
    <w:p w:rsidR="00CE2163" w:rsidRPr="00CE2163" w:rsidRDefault="00CE2163" w:rsidP="0043382D">
      <w:pPr>
        <w:spacing w:after="0" w:line="240" w:lineRule="auto"/>
        <w:jc w:val="both"/>
        <w:rPr>
          <w:rFonts w:eastAsia="Times New Roman" w:cstheme="minorHAnsi"/>
          <w:sz w:val="24"/>
          <w:szCs w:val="24"/>
          <w:lang w:eastAsia="hr-HR"/>
        </w:rPr>
      </w:pPr>
    </w:p>
    <w:p w:rsidR="00CE2163" w:rsidRPr="00CE2163" w:rsidRDefault="00CE2163" w:rsidP="0043382D">
      <w:pPr>
        <w:spacing w:after="0" w:line="240" w:lineRule="auto"/>
        <w:jc w:val="both"/>
        <w:rPr>
          <w:rFonts w:eastAsia="Times New Roman" w:cstheme="minorHAnsi"/>
          <w:sz w:val="24"/>
          <w:szCs w:val="24"/>
          <w:lang w:eastAsia="hr-HR"/>
        </w:rPr>
      </w:pPr>
      <w:r w:rsidRPr="00CE2163">
        <w:rPr>
          <w:rFonts w:eastAsia="Times New Roman" w:cstheme="minorHAnsi"/>
          <w:sz w:val="24"/>
          <w:szCs w:val="24"/>
          <w:lang w:eastAsia="hr-HR"/>
        </w:rPr>
        <w:t xml:space="preserve">Isto tako, diskriminacija na cjenovnoj osnovi može se dogoditi u slučaju da operator koji ima </w:t>
      </w:r>
      <w:r w:rsidR="003712BF">
        <w:rPr>
          <w:rFonts w:eastAsia="Times New Roman" w:cstheme="minorHAnsi"/>
          <w:sz w:val="24"/>
          <w:szCs w:val="24"/>
          <w:lang w:eastAsia="hr-HR"/>
        </w:rPr>
        <w:t>visoki</w:t>
      </w:r>
      <w:r w:rsidRPr="00CE2163">
        <w:rPr>
          <w:rFonts w:eastAsia="Times New Roman" w:cstheme="minorHAnsi"/>
          <w:sz w:val="24"/>
          <w:szCs w:val="24"/>
          <w:lang w:eastAsia="hr-HR"/>
        </w:rPr>
        <w:t xml:space="preserve"> tržišni udjel na teoretskom zajedničkom tržištu </w:t>
      </w:r>
      <w:r w:rsidR="00510F61" w:rsidRPr="00510F61">
        <w:rPr>
          <w:rFonts w:eastAsia="Times New Roman" w:cstheme="minorHAnsi"/>
          <w:sz w:val="24"/>
          <w:szCs w:val="24"/>
          <w:lang w:eastAsia="hr-HR"/>
        </w:rPr>
        <w:t xml:space="preserve">veleprodajnog </w:t>
      </w:r>
      <w:r w:rsidRPr="00CE2163">
        <w:rPr>
          <w:rFonts w:eastAsia="Times New Roman" w:cstheme="minorHAnsi"/>
          <w:sz w:val="24"/>
          <w:szCs w:val="24"/>
          <w:lang w:eastAsia="hr-HR"/>
        </w:rPr>
        <w:t xml:space="preserve">završavanja </w:t>
      </w:r>
      <w:r w:rsidR="002920EC" w:rsidRPr="002920EC">
        <w:rPr>
          <w:rFonts w:eastAsia="Times New Roman" w:cstheme="minorHAnsi"/>
          <w:sz w:val="24"/>
          <w:szCs w:val="24"/>
          <w:lang w:eastAsia="hr-HR"/>
        </w:rPr>
        <w:t xml:space="preserve">glasovnih </w:t>
      </w:r>
      <w:r w:rsidRPr="00CE2163">
        <w:rPr>
          <w:rFonts w:eastAsia="Times New Roman" w:cstheme="minorHAnsi"/>
          <w:sz w:val="24"/>
          <w:szCs w:val="24"/>
          <w:lang w:eastAsia="hr-HR"/>
        </w:rPr>
        <w:t xml:space="preserve">poziva pokuša svoj utjecaj prenijeti na maloprodajno tržište na način da za pozive koji dolaze iz drugih mreža naplaćuje višu cijenu završavanja </w:t>
      </w:r>
      <w:r w:rsidR="002920EC" w:rsidRPr="002920EC">
        <w:rPr>
          <w:rFonts w:eastAsia="Times New Roman" w:cstheme="minorHAnsi"/>
          <w:sz w:val="24"/>
          <w:szCs w:val="24"/>
          <w:lang w:eastAsia="hr-HR"/>
        </w:rPr>
        <w:t xml:space="preserve">glasovnih </w:t>
      </w:r>
      <w:r w:rsidRPr="00CE2163">
        <w:rPr>
          <w:rFonts w:eastAsia="Times New Roman" w:cstheme="minorHAnsi"/>
          <w:sz w:val="24"/>
          <w:szCs w:val="24"/>
          <w:lang w:eastAsia="hr-HR"/>
        </w:rPr>
        <w:t xml:space="preserve">poziva, nego što bi sebi naplatio za poziv koji je započeo i završio u njegovoj mreži ili svom povezanom društvu. U navedenom slučaju operatori s </w:t>
      </w:r>
      <w:r w:rsidR="003712BF">
        <w:rPr>
          <w:rFonts w:eastAsia="Times New Roman" w:cstheme="minorHAnsi"/>
          <w:sz w:val="24"/>
          <w:szCs w:val="24"/>
          <w:lang w:eastAsia="hr-HR"/>
        </w:rPr>
        <w:t>visokim</w:t>
      </w:r>
      <w:r w:rsidRPr="00CE2163">
        <w:rPr>
          <w:rFonts w:eastAsia="Times New Roman" w:cstheme="minorHAnsi"/>
          <w:sz w:val="24"/>
          <w:szCs w:val="24"/>
          <w:lang w:eastAsia="hr-HR"/>
        </w:rPr>
        <w:t xml:space="preserve"> tržišnim udjelom na teoretskom zajedničkom tržištu </w:t>
      </w:r>
      <w:r w:rsidR="00510F61" w:rsidRPr="00510F61">
        <w:rPr>
          <w:rFonts w:eastAsia="Times New Roman" w:cstheme="minorHAnsi"/>
          <w:sz w:val="24"/>
          <w:szCs w:val="24"/>
          <w:lang w:eastAsia="hr-HR"/>
        </w:rPr>
        <w:t xml:space="preserve">veleprodajnog </w:t>
      </w:r>
      <w:r w:rsidRPr="00CE2163">
        <w:rPr>
          <w:rFonts w:eastAsia="Times New Roman" w:cstheme="minorHAnsi"/>
          <w:sz w:val="24"/>
          <w:szCs w:val="24"/>
          <w:lang w:eastAsia="hr-HR"/>
        </w:rPr>
        <w:t xml:space="preserve">završavanja </w:t>
      </w:r>
      <w:r w:rsidR="002920EC" w:rsidRPr="002920EC">
        <w:rPr>
          <w:rFonts w:eastAsia="Times New Roman" w:cstheme="minorHAnsi"/>
          <w:sz w:val="24"/>
          <w:szCs w:val="24"/>
          <w:lang w:eastAsia="hr-HR"/>
        </w:rPr>
        <w:t xml:space="preserve">glasovnih </w:t>
      </w:r>
      <w:r w:rsidRPr="00CE2163">
        <w:rPr>
          <w:rFonts w:eastAsia="Times New Roman" w:cstheme="minorHAnsi"/>
          <w:sz w:val="24"/>
          <w:szCs w:val="24"/>
          <w:lang w:eastAsia="hr-HR"/>
        </w:rPr>
        <w:t>poziva bili bi u mogućnosti, zbog neravnoteže u ukupnom udjelu, operatore s manjim tržišnim udjelom kao i operatore nepokretnih mreža dovesti u nezavidan položaj na tržištu. Navedeni problem koji se može pojaviti na tržištu direktno utječe na podizanje troškova konkurencije odnosno može ostale operatore dovesti u nepovoljan položaj te ih u konačnici i prisiliti da prestanu nuditi svoje usluge na tržištu.</w:t>
      </w:r>
    </w:p>
    <w:p w:rsidR="00CE2163" w:rsidRPr="00CE2163" w:rsidRDefault="00CE2163" w:rsidP="0043382D">
      <w:pPr>
        <w:spacing w:after="0" w:line="240" w:lineRule="auto"/>
        <w:jc w:val="both"/>
        <w:rPr>
          <w:rFonts w:cstheme="minorHAnsi"/>
          <w:sz w:val="24"/>
          <w:szCs w:val="24"/>
        </w:rPr>
      </w:pPr>
    </w:p>
    <w:p w:rsidR="00CE2163" w:rsidRDefault="00CE2163" w:rsidP="0043382D">
      <w:pPr>
        <w:spacing w:after="0" w:line="240" w:lineRule="auto"/>
        <w:jc w:val="both"/>
        <w:rPr>
          <w:rFonts w:eastAsia="Times New Roman" w:cstheme="minorHAnsi"/>
          <w:sz w:val="24"/>
          <w:szCs w:val="24"/>
          <w:lang w:eastAsia="hr-HR"/>
        </w:rPr>
      </w:pPr>
      <w:r w:rsidRPr="00CE2163">
        <w:rPr>
          <w:rFonts w:cstheme="minorHAnsi"/>
          <w:sz w:val="24"/>
          <w:szCs w:val="24"/>
        </w:rPr>
        <w:t xml:space="preserve">HAKOM je mišljenja, da bi u odsustvu regulacije, svi operatori sa značajnom tržišnom snagom na </w:t>
      </w:r>
      <w:r w:rsidR="006A2823">
        <w:rPr>
          <w:rFonts w:cstheme="minorHAnsi"/>
          <w:sz w:val="24"/>
          <w:szCs w:val="24"/>
        </w:rPr>
        <w:t xml:space="preserve">mjerodavnom </w:t>
      </w:r>
      <w:r w:rsidR="005D34B8">
        <w:rPr>
          <w:rFonts w:cstheme="minorHAnsi"/>
          <w:sz w:val="24"/>
          <w:szCs w:val="24"/>
        </w:rPr>
        <w:t>tržištu</w:t>
      </w:r>
      <w:r w:rsidRPr="00CE2163">
        <w:rPr>
          <w:rFonts w:cstheme="minorHAnsi"/>
          <w:sz w:val="24"/>
          <w:szCs w:val="24"/>
        </w:rPr>
        <w:t xml:space="preserve">, mogli pokušati iskoristiti svoj položaj značajne tržišne snage diskriminacijom na cjenovnoj osnovi, </w:t>
      </w:r>
      <w:r w:rsidRPr="00CE2163">
        <w:rPr>
          <w:rFonts w:eastAsia="Times New Roman" w:cstheme="minorHAnsi"/>
          <w:sz w:val="24"/>
          <w:szCs w:val="24"/>
          <w:lang w:eastAsia="hr-HR"/>
        </w:rPr>
        <w:t>što bi dovelo do povećanja troškova novih operatora i mogućeg izlaska s tržišta.</w:t>
      </w:r>
      <w:bookmarkStart w:id="47" w:name="_Toc236634841"/>
    </w:p>
    <w:p w:rsidR="001548E7" w:rsidRDefault="001548E7" w:rsidP="0043382D">
      <w:pPr>
        <w:spacing w:after="0" w:line="240" w:lineRule="auto"/>
        <w:jc w:val="both"/>
        <w:rPr>
          <w:rFonts w:eastAsia="Times New Roman" w:cstheme="minorHAnsi"/>
          <w:sz w:val="24"/>
          <w:szCs w:val="24"/>
          <w:lang w:eastAsia="hr-HR"/>
        </w:rPr>
      </w:pPr>
    </w:p>
    <w:p w:rsidR="00F41848" w:rsidRPr="008B206E" w:rsidRDefault="00F41848" w:rsidP="00F41848">
      <w:pPr>
        <w:pStyle w:val="Heading2"/>
      </w:pPr>
      <w:bookmarkStart w:id="48" w:name="_Toc525816353"/>
      <w:r w:rsidRPr="008B206E">
        <w:t xml:space="preserve">Neravnopravni </w:t>
      </w:r>
      <w:r w:rsidR="00D739CC">
        <w:t>položaj</w:t>
      </w:r>
      <w:r w:rsidRPr="008B206E">
        <w:t xml:space="preserve"> hrvatskih operatora pokretnih mreža u odn</w:t>
      </w:r>
      <w:r w:rsidR="00F75D5E">
        <w:t xml:space="preserve">osu na operatore izvan </w:t>
      </w:r>
      <w:r w:rsidRPr="008B206E">
        <w:t>EEA zemalja</w:t>
      </w:r>
      <w:bookmarkEnd w:id="48"/>
    </w:p>
    <w:bookmarkEnd w:id="47"/>
    <w:p w:rsidR="0078227C" w:rsidRDefault="00F75D5E" w:rsidP="0043382D">
      <w:pPr>
        <w:spacing w:after="0" w:line="240" w:lineRule="auto"/>
        <w:jc w:val="both"/>
        <w:rPr>
          <w:rFonts w:asciiTheme="majorHAnsi" w:eastAsiaTheme="majorEastAsia" w:hAnsiTheme="majorHAnsi" w:cstheme="majorBidi"/>
          <w:b/>
          <w:bCs/>
          <w:color w:val="365F91" w:themeColor="accent1" w:themeShade="BF"/>
          <w:sz w:val="28"/>
          <w:szCs w:val="28"/>
        </w:rPr>
      </w:pPr>
      <w:r w:rsidRPr="00F75D5E">
        <w:rPr>
          <w:rFonts w:eastAsia="Times New Roman" w:cstheme="minorHAnsi"/>
          <w:sz w:val="24"/>
          <w:szCs w:val="24"/>
          <w:lang w:eastAsia="hr-HR"/>
        </w:rPr>
        <w:t>Do donošenja prethodne analize ovog tržišta</w:t>
      </w:r>
      <w:r>
        <w:rPr>
          <w:rFonts w:eastAsia="Times New Roman" w:cstheme="minorHAnsi"/>
          <w:sz w:val="24"/>
          <w:szCs w:val="24"/>
          <w:lang w:eastAsia="hr-HR"/>
        </w:rPr>
        <w:t xml:space="preserve">, operatori </w:t>
      </w:r>
      <w:r w:rsidRPr="00F75D5E">
        <w:rPr>
          <w:rFonts w:eastAsia="Times New Roman" w:cstheme="minorHAnsi"/>
          <w:sz w:val="24"/>
          <w:szCs w:val="24"/>
          <w:lang w:eastAsia="hr-HR"/>
        </w:rPr>
        <w:t xml:space="preserve">pokretnih mreža u Republici Hrvatskoj su za sve pozive koji su započeli u EEA zemljama ili su u Republiku Hrvatsku predani iz EEA zemalja primjenjivali reguliranu cijenu završavanja poziva dok su za sve pozive direktno predane iz zemalja izvan EEA istu komercijalno dogovarali. </w:t>
      </w:r>
      <w:r w:rsidR="00A97C4F">
        <w:rPr>
          <w:rFonts w:eastAsia="Times New Roman" w:cstheme="minorHAnsi"/>
          <w:sz w:val="24"/>
          <w:szCs w:val="24"/>
          <w:lang w:eastAsia="hr-HR"/>
        </w:rPr>
        <w:t xml:space="preserve">Uz takav pristup </w:t>
      </w:r>
      <w:r w:rsidRPr="00F75D5E">
        <w:rPr>
          <w:rFonts w:eastAsia="Times New Roman" w:cstheme="minorHAnsi"/>
          <w:sz w:val="24"/>
          <w:szCs w:val="24"/>
          <w:lang w:eastAsia="hr-HR"/>
        </w:rPr>
        <w:t xml:space="preserve">se pokazalo da operatorima sa značajnom tržišnom snagom na ovom tržištu gotovo sav promet, uključujući i promet izvan EEA zemalja, predaju EEA operatori. Iz navedenog proizlazi da se u praksi cjelokupno završavanje prometa, uključujući i pozive koji su započeli izvan EEA zemalja, naplaćivalo po reguliranim cijenama, koje su </w:t>
      </w:r>
      <w:r w:rsidR="00AF607D">
        <w:rPr>
          <w:rFonts w:eastAsia="Times New Roman" w:cstheme="minorHAnsi"/>
          <w:sz w:val="24"/>
          <w:szCs w:val="24"/>
          <w:lang w:eastAsia="hr-HR"/>
        </w:rPr>
        <w:t xml:space="preserve">u Republici Hrvatskoj </w:t>
      </w:r>
      <w:r w:rsidRPr="00F75D5E">
        <w:rPr>
          <w:rFonts w:eastAsia="Times New Roman" w:cstheme="minorHAnsi"/>
          <w:sz w:val="24"/>
          <w:szCs w:val="24"/>
          <w:lang w:eastAsia="hr-HR"/>
        </w:rPr>
        <w:t xml:space="preserve">od 1. siječnja 2015. određene na temelju </w:t>
      </w:r>
      <w:r w:rsidRPr="00351722">
        <w:rPr>
          <w:rFonts w:eastAsia="Times New Roman" w:cstheme="minorHAnsi"/>
          <w:i/>
          <w:sz w:val="24"/>
          <w:szCs w:val="24"/>
          <w:lang w:eastAsia="hr-HR"/>
        </w:rPr>
        <w:t>pure</w:t>
      </w:r>
      <w:r w:rsidRPr="00F75D5E">
        <w:rPr>
          <w:rFonts w:eastAsia="Times New Roman" w:cstheme="minorHAnsi"/>
          <w:sz w:val="24"/>
          <w:szCs w:val="24"/>
          <w:lang w:eastAsia="hr-HR"/>
        </w:rPr>
        <w:t xml:space="preserve"> LRIC pristupa. S druge strane, operatori izvan EEA, posebice susjedne zemlje u kojima započinje najveći udio prometa izvan EEA zemalja koji završava </w:t>
      </w:r>
      <w:r w:rsidR="00E26383">
        <w:rPr>
          <w:rFonts w:eastAsia="Times New Roman" w:cstheme="minorHAnsi"/>
          <w:sz w:val="24"/>
          <w:szCs w:val="24"/>
          <w:lang w:eastAsia="hr-HR"/>
        </w:rPr>
        <w:t>u Republici Hrvatskoj, naplaćivali su</w:t>
      </w:r>
      <w:r w:rsidRPr="00F75D5E">
        <w:rPr>
          <w:rFonts w:eastAsia="Times New Roman" w:cstheme="minorHAnsi"/>
          <w:sz w:val="24"/>
          <w:szCs w:val="24"/>
          <w:lang w:eastAsia="hr-HR"/>
        </w:rPr>
        <w:t xml:space="preserve"> cijene koje su znatno više od reguliranih cijena hrvatskih operatora s obzirom da njihove cijene nisu regulirane na način koji je obvezan za članice EEA. Ovakvu situaciju, u kojoj postoji </w:t>
      </w:r>
      <w:r w:rsidR="00E26383">
        <w:rPr>
          <w:rFonts w:eastAsia="Times New Roman" w:cstheme="minorHAnsi"/>
          <w:sz w:val="24"/>
          <w:szCs w:val="24"/>
          <w:lang w:eastAsia="hr-HR"/>
        </w:rPr>
        <w:t xml:space="preserve">mogućnost </w:t>
      </w:r>
      <w:r w:rsidRPr="00F75D5E">
        <w:rPr>
          <w:rFonts w:eastAsia="Times New Roman" w:cstheme="minorHAnsi"/>
          <w:sz w:val="24"/>
          <w:szCs w:val="24"/>
          <w:lang w:eastAsia="hr-HR"/>
        </w:rPr>
        <w:t>neravnopravn</w:t>
      </w:r>
      <w:r w:rsidR="00E26383">
        <w:rPr>
          <w:rFonts w:eastAsia="Times New Roman" w:cstheme="minorHAnsi"/>
          <w:sz w:val="24"/>
          <w:szCs w:val="24"/>
          <w:lang w:eastAsia="hr-HR"/>
        </w:rPr>
        <w:t>og</w:t>
      </w:r>
      <w:r w:rsidRPr="00F75D5E">
        <w:rPr>
          <w:rFonts w:eastAsia="Times New Roman" w:cstheme="minorHAnsi"/>
          <w:sz w:val="24"/>
          <w:szCs w:val="24"/>
          <w:lang w:eastAsia="hr-HR"/>
        </w:rPr>
        <w:t xml:space="preserve"> odn</w:t>
      </w:r>
      <w:r w:rsidR="00351722">
        <w:rPr>
          <w:rFonts w:eastAsia="Times New Roman" w:cstheme="minorHAnsi"/>
          <w:sz w:val="24"/>
          <w:szCs w:val="24"/>
          <w:lang w:eastAsia="hr-HR"/>
        </w:rPr>
        <w:t>os</w:t>
      </w:r>
      <w:r w:rsidR="00E26383">
        <w:rPr>
          <w:rFonts w:eastAsia="Times New Roman" w:cstheme="minorHAnsi"/>
          <w:sz w:val="24"/>
          <w:szCs w:val="24"/>
          <w:lang w:eastAsia="hr-HR"/>
        </w:rPr>
        <w:t>a</w:t>
      </w:r>
      <w:r w:rsidR="00351722">
        <w:rPr>
          <w:rFonts w:eastAsia="Times New Roman" w:cstheme="minorHAnsi"/>
          <w:sz w:val="24"/>
          <w:szCs w:val="24"/>
          <w:lang w:eastAsia="hr-HR"/>
        </w:rPr>
        <w:t xml:space="preserve"> između hrvatskih operatora </w:t>
      </w:r>
      <w:r w:rsidRPr="00F75D5E">
        <w:rPr>
          <w:rFonts w:eastAsia="Times New Roman" w:cstheme="minorHAnsi"/>
          <w:sz w:val="24"/>
          <w:szCs w:val="24"/>
          <w:lang w:eastAsia="hr-HR"/>
        </w:rPr>
        <w:t>pokretnih mreža i operatora izvan EEA zemalja, HAKOM je prepoznao kao prepreku na tržištu, na štetu operatora sa značajnom tržišnom snagom na ovom tržištu</w:t>
      </w:r>
      <w:r w:rsidR="00351722">
        <w:rPr>
          <w:rFonts w:eastAsia="Times New Roman" w:cstheme="minorHAnsi"/>
          <w:sz w:val="24"/>
          <w:szCs w:val="24"/>
          <w:lang w:eastAsia="hr-HR"/>
        </w:rPr>
        <w:t>.</w:t>
      </w:r>
      <w:r w:rsidR="0078227C">
        <w:br w:type="page"/>
      </w:r>
    </w:p>
    <w:p w:rsidR="000E4ECF" w:rsidRDefault="000E4ECF" w:rsidP="00510F61">
      <w:pPr>
        <w:pStyle w:val="Heading1"/>
      </w:pPr>
      <w:bookmarkStart w:id="49" w:name="_Toc525816354"/>
      <w:r w:rsidRPr="00BE06E0">
        <w:lastRenderedPageBreak/>
        <w:t xml:space="preserve">Regulatorne obveze operatora sa značajnom tržišnom snagom na tržištu </w:t>
      </w:r>
      <w:r w:rsidR="00510F61" w:rsidRPr="00510F61">
        <w:t xml:space="preserve">veleprodajnog </w:t>
      </w:r>
      <w:r w:rsidR="00EB6F39" w:rsidRPr="00EB6F39">
        <w:t>završavanja glasovnih poziva u vlastitoj mobilnoj mreži</w:t>
      </w:r>
      <w:bookmarkEnd w:id="49"/>
    </w:p>
    <w:p w:rsidR="0043382D" w:rsidRDefault="0043382D" w:rsidP="0043382D">
      <w:pPr>
        <w:spacing w:after="0" w:line="240" w:lineRule="auto"/>
        <w:jc w:val="both"/>
        <w:rPr>
          <w:sz w:val="24"/>
          <w:szCs w:val="24"/>
        </w:rPr>
      </w:pPr>
    </w:p>
    <w:p w:rsidR="00E9687B" w:rsidRPr="00BE06E0" w:rsidRDefault="00E9687B" w:rsidP="0043382D">
      <w:pPr>
        <w:spacing w:after="0" w:line="240" w:lineRule="auto"/>
        <w:jc w:val="both"/>
        <w:rPr>
          <w:sz w:val="24"/>
          <w:szCs w:val="24"/>
        </w:rPr>
      </w:pPr>
      <w:r w:rsidRPr="00BE06E0">
        <w:rPr>
          <w:sz w:val="24"/>
          <w:szCs w:val="24"/>
        </w:rPr>
        <w:t>Cilj HAKOM-a je spriječiti operator</w:t>
      </w:r>
      <w:r w:rsidR="00174946">
        <w:rPr>
          <w:sz w:val="24"/>
          <w:szCs w:val="24"/>
        </w:rPr>
        <w:t>e</w:t>
      </w:r>
      <w:r w:rsidRPr="00BE06E0">
        <w:rPr>
          <w:sz w:val="24"/>
          <w:szCs w:val="24"/>
        </w:rPr>
        <w:t xml:space="preserve"> sa značajnom tržišnom snagom u mogućem iskorištavanju svoje tržišne snage na mjerodavnom tržištu, jer bi to imalo neželjene posljedice kako za veleprodajno tržište tako i za povezana maloprodajna tržišta za koja je konkretna veleprodajna usluga ulazni proizvod. Kako bi se operator</w:t>
      </w:r>
      <w:r w:rsidR="00174946">
        <w:rPr>
          <w:sz w:val="24"/>
          <w:szCs w:val="24"/>
        </w:rPr>
        <w:t>ima</w:t>
      </w:r>
      <w:r w:rsidRPr="00BE06E0">
        <w:rPr>
          <w:sz w:val="24"/>
          <w:szCs w:val="24"/>
        </w:rPr>
        <w:t xml:space="preserve"> sa značajnom tržišnom snagom onemogućila zlouporaba položaja značajne tržišne snage i utjecaja na djelotvorno tržišno natjecanje, HAKOM će odrediti regulatorne obveze na osnovu postojećih i mogućih prepreka razvoju tržišnog natjecanja. Regulatorne obveze moraju se temeljiti na prirodi utvrđenog nedostatka na tržištu, te moraju biti razmjerne i opravdane s obzirom na regulatorna načela i ciljeve iz članka 5. ZEK-a.</w:t>
      </w:r>
    </w:p>
    <w:p w:rsidR="00E9687B" w:rsidRPr="00A052D4" w:rsidRDefault="00E9687B" w:rsidP="0043382D">
      <w:pPr>
        <w:spacing w:after="0" w:line="240" w:lineRule="auto"/>
        <w:jc w:val="both"/>
        <w:rPr>
          <w:sz w:val="24"/>
          <w:szCs w:val="24"/>
          <w:highlight w:val="yellow"/>
        </w:rPr>
      </w:pPr>
    </w:p>
    <w:p w:rsidR="00E9687B" w:rsidRDefault="00D800BC" w:rsidP="0043382D">
      <w:pPr>
        <w:spacing w:after="0" w:line="240" w:lineRule="auto"/>
        <w:jc w:val="both"/>
        <w:rPr>
          <w:sz w:val="24"/>
          <w:szCs w:val="24"/>
        </w:rPr>
      </w:pPr>
      <w:r>
        <w:rPr>
          <w:sz w:val="24"/>
          <w:szCs w:val="24"/>
        </w:rPr>
        <w:t>Na temelju opisanih</w:t>
      </w:r>
      <w:r w:rsidR="00E9687B" w:rsidRPr="004E1A01">
        <w:rPr>
          <w:sz w:val="24"/>
          <w:szCs w:val="24"/>
        </w:rPr>
        <w:t xml:space="preserve"> preprek</w:t>
      </w:r>
      <w:r>
        <w:rPr>
          <w:sz w:val="24"/>
          <w:szCs w:val="24"/>
        </w:rPr>
        <w:t>a</w:t>
      </w:r>
      <w:r w:rsidR="00E9687B" w:rsidRPr="004E1A01">
        <w:rPr>
          <w:sz w:val="24"/>
          <w:szCs w:val="24"/>
        </w:rPr>
        <w:t xml:space="preserve"> </w:t>
      </w:r>
      <w:r>
        <w:rPr>
          <w:sz w:val="24"/>
          <w:szCs w:val="24"/>
        </w:rPr>
        <w:t>u poglavlju 6., HAKOM je</w:t>
      </w:r>
      <w:r w:rsidR="00E9687B" w:rsidRPr="004E1A01">
        <w:rPr>
          <w:sz w:val="24"/>
          <w:szCs w:val="24"/>
        </w:rPr>
        <w:t xml:space="preserve"> odredio </w:t>
      </w:r>
      <w:r w:rsidR="00E9687B">
        <w:rPr>
          <w:sz w:val="24"/>
          <w:szCs w:val="24"/>
        </w:rPr>
        <w:t>t</w:t>
      </w:r>
      <w:r w:rsidR="00E9687B" w:rsidRPr="004E1A01">
        <w:rPr>
          <w:sz w:val="24"/>
          <w:szCs w:val="24"/>
        </w:rPr>
        <w:t>rgovačkim društvima HT-u, Tele2 i Vipnet-u sljedeće regulatorne obveze:</w:t>
      </w:r>
    </w:p>
    <w:p w:rsidR="00A13C2C" w:rsidRDefault="00A13C2C" w:rsidP="00BB7F55">
      <w:pPr>
        <w:spacing w:after="0" w:line="240" w:lineRule="auto"/>
        <w:jc w:val="both"/>
        <w:rPr>
          <w:sz w:val="24"/>
          <w:szCs w:val="24"/>
        </w:rPr>
      </w:pPr>
    </w:p>
    <w:p w:rsidR="00E9687B" w:rsidRPr="00485A58" w:rsidRDefault="00E9687B" w:rsidP="00536EC7">
      <w:pPr>
        <w:pStyle w:val="Subtitle"/>
        <w:numPr>
          <w:ilvl w:val="0"/>
          <w:numId w:val="6"/>
        </w:numPr>
        <w:spacing w:after="0" w:line="240" w:lineRule="auto"/>
        <w:ind w:left="714" w:hanging="357"/>
      </w:pPr>
      <w:r w:rsidRPr="00485A58">
        <w:t>obvezu pristupa i korištenja posebnih dijelova mreže,</w:t>
      </w:r>
    </w:p>
    <w:p w:rsidR="00E9687B" w:rsidRPr="00485A58" w:rsidRDefault="00E9687B" w:rsidP="00536EC7">
      <w:pPr>
        <w:pStyle w:val="Subtitle"/>
        <w:numPr>
          <w:ilvl w:val="0"/>
          <w:numId w:val="6"/>
        </w:numPr>
        <w:spacing w:after="0" w:line="240" w:lineRule="auto"/>
        <w:ind w:left="714" w:hanging="357"/>
      </w:pPr>
      <w:r w:rsidRPr="00485A58">
        <w:t>obvezu nediskriminacije,</w:t>
      </w:r>
    </w:p>
    <w:p w:rsidR="00E9687B" w:rsidRPr="00485A58" w:rsidRDefault="00F1671B" w:rsidP="00536EC7">
      <w:pPr>
        <w:pStyle w:val="Subtitle"/>
        <w:numPr>
          <w:ilvl w:val="0"/>
          <w:numId w:val="6"/>
        </w:numPr>
        <w:spacing w:after="0" w:line="240" w:lineRule="auto"/>
        <w:ind w:left="714" w:hanging="357"/>
      </w:pPr>
      <w:r>
        <w:t>obvezu transparentnosti i</w:t>
      </w:r>
    </w:p>
    <w:p w:rsidR="00E9687B" w:rsidRPr="00485A58" w:rsidRDefault="00E9687B" w:rsidP="00536EC7">
      <w:pPr>
        <w:pStyle w:val="Subtitle"/>
        <w:numPr>
          <w:ilvl w:val="0"/>
          <w:numId w:val="6"/>
        </w:numPr>
        <w:spacing w:after="0" w:line="240" w:lineRule="auto"/>
        <w:ind w:left="714" w:hanging="357"/>
      </w:pPr>
      <w:r w:rsidRPr="00485A58">
        <w:t>obvezu nadzora cijena.</w:t>
      </w:r>
    </w:p>
    <w:p w:rsidR="000E4ECF" w:rsidRPr="00C217E2" w:rsidRDefault="000E4ECF" w:rsidP="00083A62">
      <w:pPr>
        <w:pStyle w:val="Heading2"/>
      </w:pPr>
      <w:bookmarkStart w:id="50" w:name="_Toc525816355"/>
      <w:r w:rsidRPr="00C217E2">
        <w:lastRenderedPageBreak/>
        <w:t>Obveza pristupa i korištenja posebnih dijelova mreže</w:t>
      </w:r>
      <w:bookmarkEnd w:id="50"/>
    </w:p>
    <w:p w:rsidR="00044110" w:rsidRDefault="00044110" w:rsidP="0043382D">
      <w:pPr>
        <w:spacing w:after="0" w:line="240" w:lineRule="auto"/>
        <w:jc w:val="both"/>
        <w:rPr>
          <w:sz w:val="24"/>
          <w:szCs w:val="24"/>
        </w:rPr>
      </w:pPr>
      <w:r w:rsidRPr="00044110">
        <w:rPr>
          <w:sz w:val="24"/>
          <w:szCs w:val="24"/>
        </w:rPr>
        <w:t xml:space="preserve">HAKOM može </w:t>
      </w:r>
      <w:r w:rsidR="000A44D8">
        <w:rPr>
          <w:sz w:val="24"/>
          <w:szCs w:val="24"/>
        </w:rPr>
        <w:t xml:space="preserve">operatorima </w:t>
      </w:r>
      <w:r w:rsidRPr="00044110">
        <w:rPr>
          <w:sz w:val="24"/>
          <w:szCs w:val="24"/>
        </w:rPr>
        <w:t>odrediti obvezu udovoljavanja opravdanim zahtjevima za pristup i korištenje posebnih dijelova mreže i pripadajuće infrastrukture i opreme. HAKOM može operatorima odrediti obvezu pristupa i korištenja posebnih dijelova mreže osobito ako smatra da bi uskraćivanje pristupa ili koje drugo neprihvatljivo uvjetovanje ili ograničenje sličnog učinka, spriječilo održivo tržišno natjecanje na maloprodajnoj razini, ili bi bilo protivno interesima krajnjih korisnika usluga. Također, HAKOM može odrediti i dodatne uvjete koji se odnose na ispunjavanje načela pravičnosti, razložnosti i pravodobnosti. U okviru ovog dokumenta govori se o tržištu</w:t>
      </w:r>
      <w:r w:rsidR="00510F61" w:rsidRPr="00510F61">
        <w:t xml:space="preserve"> </w:t>
      </w:r>
      <w:r w:rsidR="00510F61" w:rsidRPr="00510F61">
        <w:rPr>
          <w:sz w:val="24"/>
          <w:szCs w:val="24"/>
        </w:rPr>
        <w:t>veleprodajnog</w:t>
      </w:r>
      <w:r w:rsidRPr="00044110">
        <w:rPr>
          <w:sz w:val="24"/>
          <w:szCs w:val="24"/>
        </w:rPr>
        <w:t xml:space="preserve"> </w:t>
      </w:r>
      <w:r w:rsidR="00893F76" w:rsidRPr="00893F76">
        <w:rPr>
          <w:sz w:val="24"/>
          <w:szCs w:val="24"/>
        </w:rPr>
        <w:t xml:space="preserve">završavanja glasovnih poziva u vlastitoj mobilnoj mreži </w:t>
      </w:r>
      <w:r w:rsidRPr="00044110">
        <w:rPr>
          <w:sz w:val="24"/>
          <w:szCs w:val="24"/>
        </w:rPr>
        <w:t>temeljem čega HAKOM ovu obvezu, koja je navedena u članku 61. ZEK-a, operatorima sa značajnom tržišnom snagom HT-u, Tele2 i Vipnet-u zadržava samo u dijelu koji se odnosi na p</w:t>
      </w:r>
      <w:r>
        <w:rPr>
          <w:sz w:val="24"/>
          <w:szCs w:val="24"/>
        </w:rPr>
        <w:t>ristup u svrhu međupovezivanja.</w:t>
      </w:r>
    </w:p>
    <w:p w:rsidR="0043382D" w:rsidRPr="00044110" w:rsidRDefault="0043382D" w:rsidP="0043382D">
      <w:pPr>
        <w:spacing w:after="0" w:line="240" w:lineRule="auto"/>
        <w:jc w:val="both"/>
        <w:rPr>
          <w:sz w:val="24"/>
          <w:szCs w:val="24"/>
        </w:rPr>
      </w:pPr>
    </w:p>
    <w:p w:rsidR="00044110" w:rsidRDefault="00044110" w:rsidP="0043382D">
      <w:pPr>
        <w:spacing w:after="0" w:line="240" w:lineRule="auto"/>
        <w:jc w:val="both"/>
        <w:rPr>
          <w:sz w:val="24"/>
          <w:szCs w:val="24"/>
        </w:rPr>
      </w:pPr>
      <w:r w:rsidRPr="00044110">
        <w:rPr>
          <w:sz w:val="24"/>
          <w:szCs w:val="24"/>
        </w:rPr>
        <w:t xml:space="preserve">Zbog specifičnosti tržišta </w:t>
      </w:r>
      <w:r w:rsidR="00510F61" w:rsidRPr="00510F61">
        <w:rPr>
          <w:sz w:val="24"/>
          <w:szCs w:val="24"/>
        </w:rPr>
        <w:t xml:space="preserve">veleprodajnog </w:t>
      </w:r>
      <w:r w:rsidR="00534290" w:rsidRPr="00534290">
        <w:rPr>
          <w:sz w:val="24"/>
          <w:szCs w:val="24"/>
        </w:rPr>
        <w:t>završavanja glasovnih poziva u vlastitoj mobilnoj mreži</w:t>
      </w:r>
      <w:r w:rsidRPr="00044110">
        <w:rPr>
          <w:sz w:val="24"/>
          <w:szCs w:val="24"/>
        </w:rPr>
        <w:t>, koje se očituje u postojanju CPP principa, svaki operator ima status značajne tržišne snage u vlastitoj mreži. Drugim riječima, operatori sa značajnom tržišnom snago</w:t>
      </w:r>
      <w:r w:rsidR="008A7121">
        <w:rPr>
          <w:sz w:val="24"/>
          <w:szCs w:val="24"/>
        </w:rPr>
        <w:t>m HT, Tele2 i Vipnet imaju 100 postotni</w:t>
      </w:r>
      <w:r w:rsidRPr="00044110">
        <w:rPr>
          <w:sz w:val="24"/>
          <w:szCs w:val="24"/>
        </w:rPr>
        <w:t xml:space="preserve"> tržišni udjel za završavanje </w:t>
      </w:r>
      <w:r w:rsidR="00875E22" w:rsidRPr="00875E22">
        <w:rPr>
          <w:sz w:val="24"/>
          <w:szCs w:val="24"/>
        </w:rPr>
        <w:t>glasovnih poziva u vlastitoj mobilnoj mreži</w:t>
      </w:r>
      <w:r w:rsidR="00875E22" w:rsidRPr="00875E22" w:rsidDel="00875E22">
        <w:rPr>
          <w:sz w:val="24"/>
          <w:szCs w:val="24"/>
        </w:rPr>
        <w:t xml:space="preserve"> </w:t>
      </w:r>
      <w:r w:rsidRPr="00044110">
        <w:rPr>
          <w:sz w:val="24"/>
          <w:szCs w:val="24"/>
        </w:rPr>
        <w:t xml:space="preserve">što im daje mogućnost donošenja odluka neovisno o ostalim sudionicima na tržištu te im omogućava da spriječe ili otežaju pristup drugih operatora svojim korisnicima. Naime, ukidanje navedene regulatorne obveze onemogućilo bi pristup ostalih operatora njihovim korisnicima što bi u tom slučaju značilo da svaki operator ima mogućnost ponuditi komunikaciju samo između svojih vlastitih korisnika. Navedeno bi otežalo ili u potpunosti onemogućilo operatorima ulazak na pripadajuće maloprodajno tržište što bi spriječilo održivo tržišno natjecanje na maloprodajnoj razini te protivno interesima krajnjih korisnika, što nije u skladu s člankom </w:t>
      </w:r>
      <w:r>
        <w:rPr>
          <w:sz w:val="24"/>
          <w:szCs w:val="24"/>
        </w:rPr>
        <w:t>61. stavkom 2. ZEK-a.</w:t>
      </w:r>
    </w:p>
    <w:p w:rsidR="0043382D" w:rsidRPr="00044110" w:rsidRDefault="0043382D" w:rsidP="0043382D">
      <w:pPr>
        <w:spacing w:after="0" w:line="240" w:lineRule="auto"/>
        <w:jc w:val="both"/>
        <w:rPr>
          <w:sz w:val="24"/>
          <w:szCs w:val="24"/>
        </w:rPr>
      </w:pPr>
    </w:p>
    <w:p w:rsidR="00044110" w:rsidRDefault="00044110" w:rsidP="0043382D">
      <w:pPr>
        <w:spacing w:after="0" w:line="240" w:lineRule="auto"/>
        <w:jc w:val="both"/>
        <w:rPr>
          <w:sz w:val="24"/>
          <w:szCs w:val="24"/>
        </w:rPr>
      </w:pPr>
      <w:r>
        <w:rPr>
          <w:sz w:val="24"/>
          <w:szCs w:val="24"/>
        </w:rPr>
        <w:lastRenderedPageBreak/>
        <w:t xml:space="preserve">Nadalje, u </w:t>
      </w:r>
      <w:r w:rsidR="0023730C">
        <w:rPr>
          <w:sz w:val="24"/>
          <w:szCs w:val="24"/>
        </w:rPr>
        <w:t>6</w:t>
      </w:r>
      <w:r w:rsidRPr="00044110">
        <w:rPr>
          <w:sz w:val="24"/>
          <w:szCs w:val="24"/>
        </w:rPr>
        <w:t>. poglavlju ovog dokumenta HAKOM je, između ostalog, a nastavno na prethodno navedeno analizirao prepreke koje se odnose na odbijanje dogovora/uskraćivanje međupovezivanja i taktike odgađanja. Po mišljenju HAKOM-a, potrebno je spriječiti mogućnost da se prethodno navedene prepreke pojave na tržištu</w:t>
      </w:r>
      <w:r w:rsidR="00093EA5">
        <w:rPr>
          <w:sz w:val="24"/>
          <w:szCs w:val="24"/>
        </w:rPr>
        <w:t>. Stoga HAKOM zadržava</w:t>
      </w:r>
      <w:r w:rsidRPr="00044110">
        <w:rPr>
          <w:sz w:val="24"/>
          <w:szCs w:val="24"/>
        </w:rPr>
        <w:t xml:space="preserve"> </w:t>
      </w:r>
      <w:r w:rsidR="00093EA5" w:rsidRPr="00044110">
        <w:rPr>
          <w:sz w:val="24"/>
          <w:szCs w:val="24"/>
        </w:rPr>
        <w:t xml:space="preserve">HT-u, Tele2 i Vipnet-u </w:t>
      </w:r>
      <w:r w:rsidRPr="00044110">
        <w:rPr>
          <w:sz w:val="24"/>
          <w:szCs w:val="24"/>
        </w:rPr>
        <w:t>o</w:t>
      </w:r>
      <w:r w:rsidR="00894BFC">
        <w:rPr>
          <w:sz w:val="24"/>
          <w:szCs w:val="24"/>
        </w:rPr>
        <w:t>bvezu</w:t>
      </w:r>
      <w:r w:rsidRPr="00044110">
        <w:rPr>
          <w:sz w:val="24"/>
          <w:szCs w:val="24"/>
        </w:rPr>
        <w:t xml:space="preserve"> pristupa i korištenja </w:t>
      </w:r>
      <w:r w:rsidR="00CF67C2" w:rsidRPr="00044110">
        <w:rPr>
          <w:sz w:val="24"/>
          <w:szCs w:val="24"/>
        </w:rPr>
        <w:t>posebnih dijelov</w:t>
      </w:r>
      <w:r w:rsidR="00894BFC">
        <w:rPr>
          <w:sz w:val="24"/>
          <w:szCs w:val="24"/>
        </w:rPr>
        <w:t>a mreže</w:t>
      </w:r>
      <w:r w:rsidR="00B43B7E">
        <w:rPr>
          <w:sz w:val="24"/>
          <w:szCs w:val="24"/>
        </w:rPr>
        <w:t>, i to na sljedeći način</w:t>
      </w:r>
      <w:r w:rsidR="00894BFC">
        <w:rPr>
          <w:sz w:val="24"/>
          <w:szCs w:val="24"/>
        </w:rPr>
        <w:t xml:space="preserve">. </w:t>
      </w:r>
    </w:p>
    <w:p w:rsidR="00B43B7E" w:rsidRDefault="00B43B7E" w:rsidP="0043382D">
      <w:pPr>
        <w:spacing w:after="0" w:line="240" w:lineRule="auto"/>
        <w:jc w:val="both"/>
        <w:rPr>
          <w:sz w:val="24"/>
          <w:szCs w:val="24"/>
        </w:rPr>
      </w:pPr>
    </w:p>
    <w:p w:rsidR="00B43B7E" w:rsidRDefault="00B43B7E" w:rsidP="00B43B7E">
      <w:pPr>
        <w:pStyle w:val="Subtitle"/>
      </w:pPr>
      <w:r w:rsidRPr="00A17EC3">
        <w:t>Pristup u svrhu IP međupovezivanja</w:t>
      </w:r>
    </w:p>
    <w:p w:rsidR="00B43B7E" w:rsidRPr="00B43B7E" w:rsidRDefault="00B43B7E" w:rsidP="00B43B7E">
      <w:pPr>
        <w:spacing w:after="0" w:line="240" w:lineRule="auto"/>
        <w:jc w:val="both"/>
        <w:rPr>
          <w:sz w:val="24"/>
          <w:szCs w:val="24"/>
        </w:rPr>
      </w:pPr>
      <w:r w:rsidRPr="00B43B7E">
        <w:rPr>
          <w:sz w:val="24"/>
          <w:szCs w:val="24"/>
        </w:rPr>
        <w:t>Operatori sa značajnom tržišnom snagom su obvezni pregovarati u dobroj vjeri s drugim operatorima koji traže pristup u svrhu IP međupovezivanja i odgovoriti na svaki razuman zahtjev za pristup u svrhu IP međupovezivanja u roku od 10 dana od primitka zahtjeva za pregovore, a kako ne bi mogli iskoristiti svoju značajnu tržišnu snagu na predmetnom mjerodavnom tržištu i odugovlačiti pregovore.</w:t>
      </w:r>
    </w:p>
    <w:p w:rsidR="00B43B7E" w:rsidRPr="00B43B7E" w:rsidRDefault="00B43B7E" w:rsidP="00B43B7E">
      <w:pPr>
        <w:spacing w:after="0" w:line="240" w:lineRule="auto"/>
        <w:jc w:val="both"/>
        <w:rPr>
          <w:sz w:val="24"/>
          <w:szCs w:val="24"/>
        </w:rPr>
      </w:pPr>
    </w:p>
    <w:p w:rsidR="00B43B7E" w:rsidRPr="00B43B7E" w:rsidRDefault="00B43B7E" w:rsidP="00B43B7E">
      <w:pPr>
        <w:spacing w:after="0" w:line="240" w:lineRule="auto"/>
        <w:jc w:val="both"/>
        <w:rPr>
          <w:sz w:val="24"/>
          <w:szCs w:val="24"/>
        </w:rPr>
      </w:pPr>
      <w:r w:rsidRPr="00B43B7E">
        <w:rPr>
          <w:sz w:val="24"/>
          <w:szCs w:val="24"/>
        </w:rPr>
        <w:t>U slučaju prihvaćanja razumnog zahtjeva, operatori sa značajnom tržišnom snagom su obvezni ostvariti IP međupovezivanje najkasnije u roku od 75 dana od zaprimanja razumnog i potpunog zahtjeva. Rok može biti i dulji od 75 dana ukoliko su obje strane suglasne s istim. Operatori su ocjenjivanje razumnog zahtjeva obvezni provoditi u skladu s obvezom nediskriminacije i tehničkim mogućnostima vlastite mreže. U ocjeni razumnog zahtjeva ili u pregovorima, operatori sa značajnom tržišnom snagom ne smiju zahtijevati od drugih operatora koji žele ostvariti međupovezivanje određene akcije ili određene uvjete međupovezivanja koji bi bili suprotni regulatornim obvezama koje su</w:t>
      </w:r>
      <w:r w:rsidR="00B53C13">
        <w:rPr>
          <w:sz w:val="24"/>
          <w:szCs w:val="24"/>
        </w:rPr>
        <w:t xml:space="preserve"> im</w:t>
      </w:r>
      <w:r w:rsidRPr="00B43B7E">
        <w:rPr>
          <w:sz w:val="24"/>
          <w:szCs w:val="24"/>
        </w:rPr>
        <w:t xml:space="preserve"> ovim dokumentom određene. Određivanjem ove obveze nastoji se onemogućiti operatore da odgađaju realizaciju međupovezivanja.</w:t>
      </w:r>
    </w:p>
    <w:p w:rsidR="00B43B7E" w:rsidRPr="00B43B7E" w:rsidRDefault="00B43B7E" w:rsidP="00B43B7E">
      <w:pPr>
        <w:spacing w:after="0" w:line="240" w:lineRule="auto"/>
        <w:jc w:val="both"/>
        <w:rPr>
          <w:sz w:val="24"/>
          <w:szCs w:val="24"/>
        </w:rPr>
      </w:pPr>
    </w:p>
    <w:p w:rsidR="00B43B7E" w:rsidRPr="00B43B7E" w:rsidRDefault="00B43B7E" w:rsidP="00B43B7E">
      <w:pPr>
        <w:spacing w:after="0" w:line="240" w:lineRule="auto"/>
        <w:jc w:val="both"/>
        <w:rPr>
          <w:sz w:val="24"/>
          <w:szCs w:val="24"/>
        </w:rPr>
      </w:pPr>
      <w:r w:rsidRPr="00B43B7E">
        <w:rPr>
          <w:sz w:val="24"/>
          <w:szCs w:val="24"/>
        </w:rPr>
        <w:lastRenderedPageBreak/>
        <w:t>Nadalje, HAKOM određuje operatorima sa značajnom tržišnom snagom obvezu da ne smiju uskratiti već ostvareno IP međupovezivanje u svrhu pružanja usluge završavanja poziva budući da bi, navedeno uskraćivanje već ostvarenog međupovezivanja moglo dovesti do štete i povećanja troškova operatora koji su imali ostvareno međupovezivanje u svrhu pružanja usluge završavanja poziva, a time i do iskoriš</w:t>
      </w:r>
      <w:r w:rsidR="004F069B">
        <w:rPr>
          <w:sz w:val="24"/>
          <w:szCs w:val="24"/>
        </w:rPr>
        <w:t xml:space="preserve">tavanja značajne tržišne snage </w:t>
      </w:r>
      <w:r w:rsidRPr="00B43B7E">
        <w:rPr>
          <w:sz w:val="24"/>
          <w:szCs w:val="24"/>
        </w:rPr>
        <w:t>operatora sa značajnom tržišnom snagom na predmetnom mjerodavnom tržištu.</w:t>
      </w:r>
    </w:p>
    <w:p w:rsidR="00B43B7E" w:rsidRPr="00B43B7E" w:rsidRDefault="00B43B7E" w:rsidP="00B43B7E">
      <w:pPr>
        <w:spacing w:after="0" w:line="240" w:lineRule="auto"/>
        <w:jc w:val="both"/>
        <w:rPr>
          <w:sz w:val="24"/>
          <w:szCs w:val="24"/>
        </w:rPr>
      </w:pPr>
    </w:p>
    <w:p w:rsidR="009750F7" w:rsidRDefault="00B43B7E" w:rsidP="00B43B7E">
      <w:pPr>
        <w:spacing w:after="0" w:line="240" w:lineRule="auto"/>
        <w:jc w:val="both"/>
        <w:rPr>
          <w:sz w:val="24"/>
          <w:szCs w:val="24"/>
        </w:rPr>
      </w:pPr>
      <w:r w:rsidRPr="00B43B7E">
        <w:rPr>
          <w:sz w:val="24"/>
          <w:szCs w:val="24"/>
        </w:rPr>
        <w:t>S obzirom na to da operatori više nemaju obvezu pružanja PSTN/TDM međupovezivanja, već samo obvezu IP međupo</w:t>
      </w:r>
      <w:r w:rsidR="004F069B">
        <w:rPr>
          <w:sz w:val="24"/>
          <w:szCs w:val="24"/>
        </w:rPr>
        <w:t>vezivanja, prije nego što odluče</w:t>
      </w:r>
      <w:r w:rsidRPr="00B43B7E">
        <w:rPr>
          <w:sz w:val="24"/>
          <w:szCs w:val="24"/>
        </w:rPr>
        <w:t xml:space="preserve"> ukinuti mogućnost postojećeg PSTN/TDM međupovezivanja, obvezni su obavijestiti operatore o istome najmanje godinu dana prije prelaska na isključivo IP međupovezivanje. HAKOM smatra da je navedena obveza nužna kako bi se ostalim operatorima na tržištu ostavilo dovoljno vremena da planiraju i pripreme svoje sustave na prelazak na IP međupovezivanje. Na taj način se osigurava regulatorna predvidivost za sudionike na tržištu, a što je jedan od bitnih uvjeta za stabilno poslovanje operatora.</w:t>
      </w:r>
    </w:p>
    <w:p w:rsidR="00B43B7E" w:rsidRDefault="00B43B7E" w:rsidP="00B43B7E">
      <w:pPr>
        <w:spacing w:after="0" w:line="240" w:lineRule="auto"/>
        <w:jc w:val="both"/>
        <w:rPr>
          <w:sz w:val="24"/>
          <w:szCs w:val="24"/>
        </w:rPr>
      </w:pPr>
    </w:p>
    <w:p w:rsidR="00B41A0B" w:rsidRPr="00210050" w:rsidRDefault="00B41A0B" w:rsidP="00B41A0B">
      <w:pPr>
        <w:spacing w:after="0" w:line="240" w:lineRule="auto"/>
        <w:contextualSpacing/>
        <w:jc w:val="both"/>
        <w:rPr>
          <w:rFonts w:asciiTheme="majorHAnsi" w:eastAsiaTheme="majorEastAsia" w:hAnsiTheme="majorHAnsi" w:cstheme="majorBidi"/>
          <w:i/>
          <w:iCs/>
          <w:color w:val="4F81BD" w:themeColor="accent1"/>
          <w:spacing w:val="15"/>
          <w:sz w:val="24"/>
          <w:szCs w:val="24"/>
        </w:rPr>
      </w:pPr>
      <w:r>
        <w:rPr>
          <w:rFonts w:asciiTheme="majorHAnsi" w:eastAsiaTheme="majorEastAsia" w:hAnsiTheme="majorHAnsi" w:cstheme="majorBidi"/>
          <w:i/>
          <w:iCs/>
          <w:color w:val="4F81BD" w:themeColor="accent1"/>
          <w:spacing w:val="15"/>
          <w:sz w:val="24"/>
          <w:szCs w:val="24"/>
        </w:rPr>
        <w:t>Naknade za kašnjenje u realizaciji usluga</w:t>
      </w:r>
    </w:p>
    <w:p w:rsidR="00B41A0B" w:rsidRDefault="00B41A0B" w:rsidP="00A04EA0">
      <w:pPr>
        <w:spacing w:after="0" w:line="240" w:lineRule="auto"/>
        <w:jc w:val="both"/>
        <w:rPr>
          <w:sz w:val="24"/>
          <w:szCs w:val="24"/>
        </w:rPr>
      </w:pPr>
    </w:p>
    <w:p w:rsidR="009750F7" w:rsidRDefault="00A04EA0" w:rsidP="00A04EA0">
      <w:pPr>
        <w:spacing w:after="0" w:line="240" w:lineRule="auto"/>
        <w:jc w:val="both"/>
        <w:rPr>
          <w:sz w:val="24"/>
          <w:szCs w:val="24"/>
        </w:rPr>
      </w:pPr>
      <w:r w:rsidRPr="00A04EA0">
        <w:rPr>
          <w:sz w:val="24"/>
          <w:szCs w:val="24"/>
        </w:rPr>
        <w:t>HAKOM smatra da je pored definiranih rokova vezano uz realizaciju usluge</w:t>
      </w:r>
      <w:r>
        <w:rPr>
          <w:sz w:val="24"/>
          <w:szCs w:val="24"/>
        </w:rPr>
        <w:t xml:space="preserve"> </w:t>
      </w:r>
      <w:r w:rsidRPr="00A04EA0">
        <w:rPr>
          <w:sz w:val="24"/>
          <w:szCs w:val="24"/>
        </w:rPr>
        <w:t>potrebno HT-u</w:t>
      </w:r>
      <w:r>
        <w:rPr>
          <w:sz w:val="24"/>
          <w:szCs w:val="24"/>
        </w:rPr>
        <w:t>, Vipnetu i Tele2</w:t>
      </w:r>
      <w:r w:rsidRPr="00A04EA0">
        <w:rPr>
          <w:sz w:val="24"/>
          <w:szCs w:val="24"/>
        </w:rPr>
        <w:t xml:space="preserve"> odrediti i obvezu plaćanja naknada u slučaju nepoštivanja rokova</w:t>
      </w:r>
      <w:r>
        <w:rPr>
          <w:sz w:val="24"/>
          <w:szCs w:val="24"/>
        </w:rPr>
        <w:t xml:space="preserve"> za realizaciju usluge</w:t>
      </w:r>
      <w:r w:rsidRPr="00A04EA0">
        <w:rPr>
          <w:sz w:val="24"/>
          <w:szCs w:val="24"/>
        </w:rPr>
        <w:t xml:space="preserve">. Naime, </w:t>
      </w:r>
      <w:r>
        <w:rPr>
          <w:sz w:val="24"/>
          <w:szCs w:val="24"/>
        </w:rPr>
        <w:t xml:space="preserve">navedeni operatori </w:t>
      </w:r>
      <w:r w:rsidRPr="00A04EA0">
        <w:rPr>
          <w:sz w:val="24"/>
          <w:szCs w:val="24"/>
        </w:rPr>
        <w:t>bi odugovlačenjem pri</w:t>
      </w:r>
      <w:r>
        <w:rPr>
          <w:sz w:val="24"/>
          <w:szCs w:val="24"/>
        </w:rPr>
        <w:t xml:space="preserve"> ispunjavanju svojih obveza mogli</w:t>
      </w:r>
      <w:r w:rsidRPr="00A04EA0">
        <w:rPr>
          <w:sz w:val="24"/>
          <w:szCs w:val="24"/>
        </w:rPr>
        <w:t xml:space="preserve"> ograničiti ulazak novih operatora</w:t>
      </w:r>
      <w:r>
        <w:rPr>
          <w:sz w:val="24"/>
          <w:szCs w:val="24"/>
        </w:rPr>
        <w:t xml:space="preserve"> </w:t>
      </w:r>
      <w:r w:rsidRPr="00A04EA0">
        <w:rPr>
          <w:sz w:val="24"/>
          <w:szCs w:val="24"/>
        </w:rPr>
        <w:t>na tržište te utjecati na poslovanje postojećih operatora s obzirom da su isti u svom</w:t>
      </w:r>
      <w:r w:rsidR="007646F7">
        <w:rPr>
          <w:sz w:val="24"/>
          <w:szCs w:val="24"/>
        </w:rPr>
        <w:t xml:space="preserve"> </w:t>
      </w:r>
      <w:r w:rsidRPr="00A04EA0">
        <w:rPr>
          <w:sz w:val="24"/>
          <w:szCs w:val="24"/>
        </w:rPr>
        <w:t>poslovanju pretežno ovisni o ponašanju HT-a</w:t>
      </w:r>
      <w:r>
        <w:rPr>
          <w:sz w:val="24"/>
          <w:szCs w:val="24"/>
        </w:rPr>
        <w:t>, Vipnet-a i Tele2</w:t>
      </w:r>
      <w:r w:rsidRPr="00A04EA0">
        <w:rPr>
          <w:sz w:val="24"/>
          <w:szCs w:val="24"/>
        </w:rPr>
        <w:t>. Tako bi u slučaju kašnjenja pri ispunjavanju</w:t>
      </w:r>
      <w:r>
        <w:rPr>
          <w:sz w:val="24"/>
          <w:szCs w:val="24"/>
        </w:rPr>
        <w:t xml:space="preserve"> </w:t>
      </w:r>
      <w:r w:rsidRPr="00A04EA0">
        <w:rPr>
          <w:sz w:val="24"/>
          <w:szCs w:val="24"/>
        </w:rPr>
        <w:t>obveza trpjeli krajnji korisnici operatora korisnika, a koji bi izgubili povjerenje u operatora</w:t>
      </w:r>
      <w:r>
        <w:rPr>
          <w:sz w:val="24"/>
          <w:szCs w:val="24"/>
        </w:rPr>
        <w:t xml:space="preserve"> </w:t>
      </w:r>
      <w:r w:rsidRPr="00A04EA0">
        <w:rPr>
          <w:sz w:val="24"/>
          <w:szCs w:val="24"/>
        </w:rPr>
        <w:t xml:space="preserve">korisnika i/ili kvalitetu njegovih usluga - na njegovu štetu i na korist </w:t>
      </w:r>
      <w:r w:rsidR="00B43B7E">
        <w:rPr>
          <w:sz w:val="24"/>
          <w:szCs w:val="24"/>
        </w:rPr>
        <w:t>HT-a, Vipnet</w:t>
      </w:r>
      <w:r>
        <w:rPr>
          <w:sz w:val="24"/>
          <w:szCs w:val="24"/>
        </w:rPr>
        <w:t>a i Te</w:t>
      </w:r>
      <w:r w:rsidR="0014721A">
        <w:rPr>
          <w:sz w:val="24"/>
          <w:szCs w:val="24"/>
        </w:rPr>
        <w:t>l</w:t>
      </w:r>
      <w:r>
        <w:rPr>
          <w:sz w:val="24"/>
          <w:szCs w:val="24"/>
        </w:rPr>
        <w:t xml:space="preserve">e2. </w:t>
      </w:r>
      <w:r w:rsidRPr="00A04EA0">
        <w:rPr>
          <w:sz w:val="24"/>
          <w:szCs w:val="24"/>
        </w:rPr>
        <w:t>Ometanje</w:t>
      </w:r>
      <w:r>
        <w:rPr>
          <w:sz w:val="24"/>
          <w:szCs w:val="24"/>
        </w:rPr>
        <w:t xml:space="preserve"> </w:t>
      </w:r>
      <w:r w:rsidRPr="00A04EA0">
        <w:rPr>
          <w:sz w:val="24"/>
          <w:szCs w:val="24"/>
        </w:rPr>
        <w:t xml:space="preserve">operatora na način da se obveze ne izvode u </w:t>
      </w:r>
      <w:r w:rsidRPr="00A04EA0">
        <w:rPr>
          <w:sz w:val="24"/>
          <w:szCs w:val="24"/>
        </w:rPr>
        <w:lastRenderedPageBreak/>
        <w:t>razumnom roku, moglo bi se očitovati u</w:t>
      </w:r>
      <w:r>
        <w:rPr>
          <w:sz w:val="24"/>
          <w:szCs w:val="24"/>
        </w:rPr>
        <w:t xml:space="preserve"> </w:t>
      </w:r>
      <w:r w:rsidRPr="00A04EA0">
        <w:rPr>
          <w:sz w:val="24"/>
          <w:szCs w:val="24"/>
        </w:rPr>
        <w:t>predugim rokovima rješavanja zahtjeva</w:t>
      </w:r>
      <w:r w:rsidR="0014721A">
        <w:rPr>
          <w:sz w:val="24"/>
          <w:szCs w:val="24"/>
        </w:rPr>
        <w:t xml:space="preserve"> ili realizaciju u</w:t>
      </w:r>
      <w:r>
        <w:rPr>
          <w:sz w:val="24"/>
          <w:szCs w:val="24"/>
        </w:rPr>
        <w:t>s</w:t>
      </w:r>
      <w:r w:rsidR="0014721A">
        <w:rPr>
          <w:sz w:val="24"/>
          <w:szCs w:val="24"/>
        </w:rPr>
        <w:t>l</w:t>
      </w:r>
      <w:r>
        <w:rPr>
          <w:sz w:val="24"/>
          <w:szCs w:val="24"/>
        </w:rPr>
        <w:t>uge</w:t>
      </w:r>
      <w:r w:rsidRPr="00A04EA0">
        <w:rPr>
          <w:sz w:val="24"/>
          <w:szCs w:val="24"/>
        </w:rPr>
        <w:t>. Stoga HAKOM smatra opravdanim odrediti HT-u</w:t>
      </w:r>
      <w:r>
        <w:rPr>
          <w:sz w:val="24"/>
          <w:szCs w:val="24"/>
        </w:rPr>
        <w:t xml:space="preserve">, Vipnet-u </w:t>
      </w:r>
      <w:r w:rsidR="00B43B7E">
        <w:rPr>
          <w:sz w:val="24"/>
          <w:szCs w:val="24"/>
        </w:rPr>
        <w:t xml:space="preserve">i </w:t>
      </w:r>
      <w:r>
        <w:rPr>
          <w:sz w:val="24"/>
          <w:szCs w:val="24"/>
        </w:rPr>
        <w:t xml:space="preserve">Tele2 </w:t>
      </w:r>
      <w:r w:rsidRPr="00A04EA0">
        <w:rPr>
          <w:sz w:val="24"/>
          <w:szCs w:val="24"/>
        </w:rPr>
        <w:t>obveze</w:t>
      </w:r>
      <w:r>
        <w:rPr>
          <w:sz w:val="24"/>
          <w:szCs w:val="24"/>
        </w:rPr>
        <w:t xml:space="preserve"> </w:t>
      </w:r>
      <w:r w:rsidRPr="00A04EA0">
        <w:rPr>
          <w:sz w:val="24"/>
          <w:szCs w:val="24"/>
        </w:rPr>
        <w:t xml:space="preserve">plaćanja naknada za kašnjenje </w:t>
      </w:r>
      <w:r>
        <w:rPr>
          <w:sz w:val="24"/>
          <w:szCs w:val="24"/>
        </w:rPr>
        <w:t xml:space="preserve">u realizaciju usluge </w:t>
      </w:r>
      <w:r w:rsidRPr="00A04EA0">
        <w:rPr>
          <w:sz w:val="24"/>
          <w:szCs w:val="24"/>
        </w:rPr>
        <w:t>kako bi se osiguralo izvršavanje obveza u zadanim rokovima. Naknade za</w:t>
      </w:r>
      <w:r w:rsidR="007646F7">
        <w:rPr>
          <w:sz w:val="24"/>
          <w:szCs w:val="24"/>
        </w:rPr>
        <w:t xml:space="preserve"> </w:t>
      </w:r>
      <w:r>
        <w:rPr>
          <w:sz w:val="24"/>
          <w:szCs w:val="24"/>
        </w:rPr>
        <w:t xml:space="preserve">kašnjenje su </w:t>
      </w:r>
      <w:r w:rsidRPr="00A04EA0">
        <w:rPr>
          <w:sz w:val="24"/>
          <w:szCs w:val="24"/>
        </w:rPr>
        <w:t>definirane Standardnom ponudom</w:t>
      </w:r>
      <w:r w:rsidR="00B41A0B">
        <w:rPr>
          <w:sz w:val="24"/>
          <w:szCs w:val="24"/>
        </w:rPr>
        <w:t xml:space="preserve"> te ih HAKOM može po potrebi izmijeniti</w:t>
      </w:r>
      <w:r w:rsidR="00BD2E1F">
        <w:rPr>
          <w:sz w:val="24"/>
          <w:szCs w:val="24"/>
        </w:rPr>
        <w:t xml:space="preserve"> </w:t>
      </w:r>
      <w:r w:rsidR="00B41A0B">
        <w:rPr>
          <w:sz w:val="24"/>
          <w:szCs w:val="24"/>
        </w:rPr>
        <w:t>u postupku izmjene Standardne ponude</w:t>
      </w:r>
      <w:r w:rsidRPr="00A04EA0">
        <w:rPr>
          <w:sz w:val="24"/>
          <w:szCs w:val="24"/>
        </w:rPr>
        <w:t>.</w:t>
      </w:r>
      <w:r>
        <w:rPr>
          <w:sz w:val="24"/>
          <w:szCs w:val="24"/>
        </w:rPr>
        <w:t xml:space="preserve"> </w:t>
      </w:r>
      <w:r w:rsidR="003D3588" w:rsidRPr="003D3588">
        <w:rPr>
          <w:sz w:val="24"/>
          <w:szCs w:val="24"/>
        </w:rPr>
        <w:t xml:space="preserve">Naknada za kašnjenje se isplaćuje isključivo u slučaju kada je do kašnjenja došlo zbog greške operatora kojem je podnesen zahtjev za međupovezivanje. </w:t>
      </w:r>
    </w:p>
    <w:p w:rsidR="003D3588" w:rsidRDefault="003D3588" w:rsidP="0061086C">
      <w:pPr>
        <w:spacing w:after="0" w:line="240" w:lineRule="auto"/>
        <w:jc w:val="both"/>
        <w:rPr>
          <w:sz w:val="24"/>
          <w:szCs w:val="24"/>
        </w:rPr>
      </w:pPr>
    </w:p>
    <w:p w:rsidR="003D3588" w:rsidRDefault="003D3588" w:rsidP="0061086C">
      <w:pPr>
        <w:spacing w:after="0" w:line="240" w:lineRule="auto"/>
        <w:jc w:val="both"/>
        <w:rPr>
          <w:sz w:val="24"/>
          <w:szCs w:val="24"/>
        </w:rPr>
      </w:pPr>
      <w:r w:rsidRPr="003D3588">
        <w:rPr>
          <w:sz w:val="24"/>
          <w:szCs w:val="24"/>
        </w:rPr>
        <w:t>Međutim, ukoliko operator podnositelj zahtjeva nakon podnošenja zahtjeva odustane od zatražene usluge međupovezivanja, operator ima pravo na naknadu troškova vezanih uz pripremu usluge međupovezivanja. Naime, troškovi za operatora koji pruža međupovezivanje se javljaju već u fazi pripreme međupovezivanja, a prije same realizacije međupovezivanja. Upravo da bi se izbjegli neopravdani troškovi za operatora koji pruža međupovezivanja, ako na strani operatora koji isto traži ne postoji stvarna namjera za uspostavljanje istog, HAKOM smatra opravdanim zaštititi operatora koji pruža međupovezivanje od neopravdanih troškova.</w:t>
      </w:r>
    </w:p>
    <w:p w:rsidR="00044110" w:rsidRDefault="00044110" w:rsidP="0061086C">
      <w:pPr>
        <w:spacing w:after="0" w:line="240" w:lineRule="auto"/>
        <w:jc w:val="both"/>
        <w:rPr>
          <w:sz w:val="24"/>
          <w:szCs w:val="24"/>
        </w:rPr>
      </w:pPr>
    </w:p>
    <w:p w:rsidR="00786B4D" w:rsidRDefault="00786B4D" w:rsidP="00BB7F55">
      <w:pPr>
        <w:spacing w:after="0" w:line="240" w:lineRule="auto"/>
        <w:jc w:val="center"/>
        <w:rPr>
          <w:sz w:val="24"/>
          <w:szCs w:val="24"/>
        </w:rPr>
      </w:pPr>
      <w:r w:rsidRPr="00990B08">
        <w:rPr>
          <w:sz w:val="24"/>
          <w:szCs w:val="24"/>
        </w:rPr>
        <w:t>***</w:t>
      </w:r>
    </w:p>
    <w:p w:rsidR="00165078" w:rsidRDefault="00165078" w:rsidP="003C03AA">
      <w:pPr>
        <w:spacing w:after="0" w:line="240" w:lineRule="auto"/>
        <w:jc w:val="both"/>
        <w:rPr>
          <w:sz w:val="24"/>
          <w:szCs w:val="24"/>
        </w:rPr>
      </w:pPr>
      <w:r w:rsidRPr="00165078">
        <w:rPr>
          <w:sz w:val="24"/>
          <w:szCs w:val="24"/>
        </w:rPr>
        <w:t xml:space="preserve">HAKOM je stoga zaključio da bez određivanja obveze pristupa </w:t>
      </w:r>
      <w:r>
        <w:rPr>
          <w:sz w:val="24"/>
          <w:szCs w:val="24"/>
        </w:rPr>
        <w:t xml:space="preserve">i korištenja posebnih dijelova </w:t>
      </w:r>
      <w:r w:rsidRPr="00165078">
        <w:rPr>
          <w:sz w:val="24"/>
          <w:szCs w:val="24"/>
        </w:rPr>
        <w:t>mreže postoji mogućnost da HT</w:t>
      </w:r>
      <w:r>
        <w:rPr>
          <w:sz w:val="24"/>
          <w:szCs w:val="24"/>
        </w:rPr>
        <w:t>, Tele2 ili Vipnet</w:t>
      </w:r>
      <w:r w:rsidRPr="00165078">
        <w:rPr>
          <w:sz w:val="24"/>
          <w:szCs w:val="24"/>
        </w:rPr>
        <w:t xml:space="preserve"> odbije pregovarati u dobroj vjeri s drugim operatorima koji traže pristup, odnosno uskratiti pristup </w:t>
      </w:r>
      <w:r>
        <w:rPr>
          <w:sz w:val="24"/>
          <w:szCs w:val="24"/>
        </w:rPr>
        <w:t>usluzi međupovezivanja</w:t>
      </w:r>
      <w:r w:rsidRPr="00165078">
        <w:rPr>
          <w:sz w:val="24"/>
          <w:szCs w:val="24"/>
        </w:rPr>
        <w:t>.</w:t>
      </w:r>
    </w:p>
    <w:p w:rsidR="00165078" w:rsidRDefault="00165078" w:rsidP="003C03AA">
      <w:pPr>
        <w:spacing w:after="0" w:line="240" w:lineRule="auto"/>
        <w:jc w:val="both"/>
        <w:rPr>
          <w:sz w:val="24"/>
          <w:szCs w:val="24"/>
        </w:rPr>
      </w:pPr>
    </w:p>
    <w:p w:rsidR="00165078" w:rsidRPr="00990B08" w:rsidRDefault="00165078" w:rsidP="003C03AA">
      <w:pPr>
        <w:spacing w:after="0" w:line="240" w:lineRule="auto"/>
        <w:jc w:val="both"/>
        <w:rPr>
          <w:sz w:val="24"/>
          <w:szCs w:val="24"/>
        </w:rPr>
      </w:pPr>
      <w:r w:rsidRPr="00165078">
        <w:rPr>
          <w:sz w:val="24"/>
          <w:szCs w:val="24"/>
        </w:rPr>
        <w:t xml:space="preserve">Međutim, HAKOM smatra da regulatorna obveza pristupa </w:t>
      </w:r>
      <w:r>
        <w:rPr>
          <w:sz w:val="24"/>
          <w:szCs w:val="24"/>
        </w:rPr>
        <w:t xml:space="preserve">i korištenja posebnih dijelova </w:t>
      </w:r>
      <w:r w:rsidRPr="00165078">
        <w:rPr>
          <w:sz w:val="24"/>
          <w:szCs w:val="24"/>
        </w:rPr>
        <w:t>mreže, bez određivanja drugih regulatornih obveza, ne može riješiti prepreke razvoju tržišnog natjecan</w:t>
      </w:r>
      <w:r w:rsidR="00C32614">
        <w:rPr>
          <w:sz w:val="24"/>
          <w:szCs w:val="24"/>
        </w:rPr>
        <w:t>ja prepoznate u poglavlj</w:t>
      </w:r>
      <w:r w:rsidR="00543179">
        <w:rPr>
          <w:sz w:val="24"/>
          <w:szCs w:val="24"/>
        </w:rPr>
        <w:t>u</w:t>
      </w:r>
      <w:r w:rsidR="00C32614">
        <w:rPr>
          <w:sz w:val="24"/>
          <w:szCs w:val="24"/>
        </w:rPr>
        <w:t xml:space="preserve"> 6. </w:t>
      </w:r>
      <w:r>
        <w:rPr>
          <w:sz w:val="24"/>
          <w:szCs w:val="24"/>
        </w:rPr>
        <w:t xml:space="preserve">ovog dokumenta, te stoga HAKOM </w:t>
      </w:r>
      <w:r w:rsidR="008A7121">
        <w:rPr>
          <w:sz w:val="24"/>
          <w:szCs w:val="24"/>
        </w:rPr>
        <w:t xml:space="preserve">smatra da je </w:t>
      </w:r>
      <w:r w:rsidRPr="00165078">
        <w:rPr>
          <w:sz w:val="24"/>
          <w:szCs w:val="24"/>
        </w:rPr>
        <w:t>potrebno navedenu obvezu dopuniti drugim obvezama.</w:t>
      </w:r>
    </w:p>
    <w:p w:rsidR="000E4ECF" w:rsidRPr="00A052D4" w:rsidRDefault="000E4ECF" w:rsidP="00BB7F55">
      <w:pPr>
        <w:spacing w:after="0" w:line="240" w:lineRule="auto"/>
        <w:jc w:val="both"/>
        <w:rPr>
          <w:sz w:val="24"/>
          <w:szCs w:val="24"/>
          <w:highlight w:val="yellow"/>
        </w:rPr>
      </w:pPr>
    </w:p>
    <w:p w:rsidR="000E4ECF" w:rsidRPr="00A052D4" w:rsidRDefault="000E4ECF" w:rsidP="00BB7F55">
      <w:pPr>
        <w:spacing w:after="0" w:line="240" w:lineRule="auto"/>
        <w:jc w:val="both"/>
        <w:rPr>
          <w:sz w:val="24"/>
          <w:szCs w:val="24"/>
          <w:highlight w:val="yellow"/>
        </w:rPr>
      </w:pPr>
    </w:p>
    <w:p w:rsidR="007B1A1D" w:rsidRDefault="007B1A1D">
      <w:pPr>
        <w:rPr>
          <w:rFonts w:asciiTheme="majorHAnsi" w:eastAsiaTheme="majorEastAsia" w:hAnsiTheme="majorHAnsi" w:cstheme="majorBidi"/>
          <w:b/>
          <w:bCs/>
          <w:color w:val="4F81BD" w:themeColor="accent1"/>
          <w:sz w:val="26"/>
          <w:szCs w:val="26"/>
        </w:rPr>
      </w:pPr>
      <w:r>
        <w:br w:type="page"/>
      </w:r>
    </w:p>
    <w:p w:rsidR="004C601A" w:rsidRPr="004C601A" w:rsidRDefault="000E4ECF" w:rsidP="00083A62">
      <w:pPr>
        <w:pStyle w:val="Heading2"/>
      </w:pPr>
      <w:bookmarkStart w:id="51" w:name="_Toc525816356"/>
      <w:r w:rsidRPr="004C601A">
        <w:lastRenderedPageBreak/>
        <w:t>Obveza nediskriminacije</w:t>
      </w:r>
      <w:bookmarkEnd w:id="51"/>
    </w:p>
    <w:p w:rsidR="004C601A" w:rsidRDefault="004C601A" w:rsidP="0043382D">
      <w:pPr>
        <w:spacing w:after="0" w:line="240" w:lineRule="auto"/>
        <w:jc w:val="both"/>
        <w:rPr>
          <w:rFonts w:eastAsia="Times New Roman" w:cstheme="minorHAnsi"/>
          <w:sz w:val="24"/>
          <w:szCs w:val="24"/>
          <w:lang w:eastAsia="hr-HR"/>
        </w:rPr>
      </w:pPr>
      <w:r w:rsidRPr="004C601A">
        <w:rPr>
          <w:rFonts w:eastAsia="Times New Roman" w:cstheme="minorHAnsi"/>
          <w:sz w:val="24"/>
          <w:szCs w:val="24"/>
          <w:lang w:eastAsia="hr-HR"/>
        </w:rPr>
        <w:t>Ovom se regulatornom obvezom osigurava da operator sa značajnom tržišnom snagom mora osigurati istovjetne uvjete za istovjetne usluge te osigurava drugim operatorima jednaku razinu kakvoće usluge koju osigurava za svoje vlastite potrebe ili za potrebe svojih povezanih društava. Drugim riječima, svaki od operatora sa značajnom tržišnom snagom bi, u odsustvu ove regulatorne obveze, mogao diskriminirati ostale postojeće ili nove operatore nuđenjem usluga slabije kvalitete ili nuđenjem usluga po višoj cijeni nego što iste nude svom maloprodajnom dijelu (za vlastite potrebe) ili svojim povezanim društvima. Svako ponašanje, koje bi bilo u smjeru gore navedenog, dovelo bi do otežanog ulaska novih operatora na tržište, a samim time i do manje konkurencije na maloprodajnom tržištu, a što bi u konačnici najviše pogodilo krajnje korisnike.</w:t>
      </w:r>
      <w:r w:rsidR="009C131C">
        <w:rPr>
          <w:rFonts w:eastAsia="Times New Roman" w:cstheme="minorHAnsi"/>
          <w:sz w:val="24"/>
          <w:szCs w:val="24"/>
          <w:lang w:eastAsia="hr-HR"/>
        </w:rPr>
        <w:t xml:space="preserve"> </w:t>
      </w:r>
      <w:r w:rsidRPr="004C601A">
        <w:rPr>
          <w:rFonts w:eastAsia="Times New Roman" w:cstheme="minorHAnsi"/>
          <w:sz w:val="24"/>
          <w:szCs w:val="24"/>
          <w:lang w:eastAsia="hr-HR"/>
        </w:rPr>
        <w:t xml:space="preserve">U odsustvu obveze nediskriminacije operatori sa značajnom tržišnom snagom HT, Tele2 i Vipnet mogli bi odrediti uvjete završavanja glasovnih poziva u vlastitoj mobilnoj mreži na način koji bi doveo njih ili njihova povezana društva u bolji položaj u odnosu na druge operatore, čime bi se ugrozila konkurentnost na tržištu i opstanak drugih operatora. </w:t>
      </w:r>
    </w:p>
    <w:p w:rsidR="0043382D" w:rsidRPr="004C601A" w:rsidRDefault="0043382D" w:rsidP="0043382D">
      <w:pPr>
        <w:spacing w:after="0" w:line="240" w:lineRule="auto"/>
        <w:jc w:val="both"/>
        <w:rPr>
          <w:rFonts w:eastAsia="Times New Roman" w:cstheme="minorHAnsi"/>
          <w:sz w:val="24"/>
          <w:szCs w:val="24"/>
          <w:lang w:eastAsia="hr-HR"/>
        </w:rPr>
      </w:pPr>
    </w:p>
    <w:p w:rsidR="004C601A" w:rsidRPr="004C601A" w:rsidRDefault="004C601A" w:rsidP="0043382D">
      <w:pPr>
        <w:spacing w:after="0" w:line="240" w:lineRule="auto"/>
        <w:jc w:val="both"/>
        <w:rPr>
          <w:rFonts w:eastAsia="Times New Roman" w:cstheme="minorHAnsi"/>
          <w:sz w:val="24"/>
          <w:szCs w:val="24"/>
          <w:lang w:eastAsia="hr-HR"/>
        </w:rPr>
      </w:pPr>
      <w:r w:rsidRPr="004C601A">
        <w:rPr>
          <w:rFonts w:eastAsia="Times New Roman" w:cstheme="minorHAnsi"/>
          <w:sz w:val="24"/>
          <w:szCs w:val="24"/>
          <w:lang w:eastAsia="hr-HR"/>
        </w:rPr>
        <w:t xml:space="preserve">Zadržavanjem obveze nediskriminacije HAKOM samo djelomično uklanja prepreke koje se odnose na previsoke cijene usluge završavanja </w:t>
      </w:r>
      <w:r w:rsidR="002920EC" w:rsidRPr="002920EC">
        <w:rPr>
          <w:rFonts w:eastAsia="Times New Roman" w:cstheme="minorHAnsi"/>
          <w:sz w:val="24"/>
          <w:szCs w:val="24"/>
          <w:lang w:eastAsia="hr-HR"/>
        </w:rPr>
        <w:t xml:space="preserve">glasovnih </w:t>
      </w:r>
      <w:r w:rsidRPr="004C601A">
        <w:rPr>
          <w:rFonts w:eastAsia="Times New Roman" w:cstheme="minorHAnsi"/>
          <w:sz w:val="24"/>
          <w:szCs w:val="24"/>
          <w:lang w:eastAsia="hr-HR"/>
        </w:rPr>
        <w:t xml:space="preserve">poziva, diskriminaciju na osnovama koje nisu povezane s cijenama i diskriminaciju na cjenovnoj osnovi, a koje su definirane u poglavlju </w:t>
      </w:r>
      <w:r w:rsidR="009C131C">
        <w:rPr>
          <w:rFonts w:eastAsia="Times New Roman" w:cstheme="minorHAnsi"/>
          <w:sz w:val="24"/>
          <w:szCs w:val="24"/>
          <w:lang w:eastAsia="hr-HR"/>
        </w:rPr>
        <w:t>6</w:t>
      </w:r>
      <w:r>
        <w:rPr>
          <w:rFonts w:eastAsia="Times New Roman" w:cstheme="minorHAnsi"/>
          <w:sz w:val="24"/>
          <w:szCs w:val="24"/>
          <w:lang w:eastAsia="hr-HR"/>
        </w:rPr>
        <w:t>.</w:t>
      </w:r>
      <w:r w:rsidRPr="004C601A">
        <w:rPr>
          <w:rFonts w:eastAsia="Times New Roman" w:cstheme="minorHAnsi"/>
          <w:sz w:val="24"/>
          <w:szCs w:val="24"/>
          <w:lang w:eastAsia="hr-HR"/>
        </w:rPr>
        <w:t xml:space="preserve"> ovog dokumenta. Za potpuno uklanjanje navedenih prepreka HAKOM bi morao zadržati i ostale regulatorne obveze koje su određene dalje u dokumentu. Isto tako, zadržavanjem obveze nediskriminacije otklanjaju se i sve slične prepreke koje nisu direktno definirane, a mogle bi na isti način, kao prethodno definirane prepreke, sprječavati održivo tržišno natjecanje.</w:t>
      </w:r>
    </w:p>
    <w:p w:rsidR="004C601A" w:rsidRPr="004C601A" w:rsidRDefault="004C601A" w:rsidP="0043382D">
      <w:pPr>
        <w:spacing w:after="0" w:line="240" w:lineRule="auto"/>
        <w:jc w:val="both"/>
        <w:rPr>
          <w:rFonts w:eastAsia="Times New Roman" w:cstheme="minorHAnsi"/>
          <w:sz w:val="24"/>
          <w:szCs w:val="24"/>
          <w:lang w:eastAsia="hr-HR"/>
        </w:rPr>
      </w:pPr>
    </w:p>
    <w:p w:rsidR="004C601A" w:rsidRPr="004C601A" w:rsidRDefault="004C601A" w:rsidP="0043382D">
      <w:pPr>
        <w:spacing w:after="0" w:line="240" w:lineRule="auto"/>
        <w:jc w:val="both"/>
        <w:rPr>
          <w:rFonts w:eastAsia="Times New Roman" w:cstheme="minorHAnsi"/>
          <w:sz w:val="24"/>
          <w:szCs w:val="24"/>
          <w:lang w:eastAsia="hr-HR"/>
        </w:rPr>
      </w:pPr>
      <w:r w:rsidRPr="004C601A">
        <w:rPr>
          <w:rFonts w:eastAsia="Times New Roman" w:cstheme="minorHAnsi"/>
          <w:sz w:val="24"/>
          <w:szCs w:val="24"/>
          <w:lang w:eastAsia="hr-HR"/>
        </w:rPr>
        <w:lastRenderedPageBreak/>
        <w:t xml:space="preserve">Također, operatori sa značajnom tržišnom snagom HT, Tele2 i Vipnet trebaju temeljiti, kao što je i do sada bio slučaj, drugim operatorima uslugu završavanja glasovnih poziva u vlastitoj mobilnoj mreži na načelu nediskriminacije u smislu da je cijena završavanja poziva ista neovisno radi li se o </w:t>
      </w:r>
      <w:r w:rsidR="00875A6A">
        <w:rPr>
          <w:rFonts w:eastAsia="Times New Roman" w:cstheme="minorHAnsi"/>
          <w:sz w:val="24"/>
          <w:szCs w:val="24"/>
          <w:lang w:eastAsia="hr-HR"/>
        </w:rPr>
        <w:t xml:space="preserve">dolaznim </w:t>
      </w:r>
      <w:r w:rsidRPr="004C601A">
        <w:rPr>
          <w:rFonts w:eastAsia="Times New Roman" w:cstheme="minorHAnsi"/>
          <w:sz w:val="24"/>
          <w:szCs w:val="24"/>
          <w:lang w:eastAsia="hr-HR"/>
        </w:rPr>
        <w:t>pozivima koji dolaze od operatora nepokretnih ili pokretnih mreža, a završavaju (terminiraju) u pojedinačnoj pokretnoj javnoj komunikacijskoj mreži.</w:t>
      </w:r>
    </w:p>
    <w:p w:rsidR="004C601A" w:rsidRPr="004C601A" w:rsidRDefault="004C601A" w:rsidP="00BB7F55">
      <w:pPr>
        <w:spacing w:after="0" w:line="240" w:lineRule="auto"/>
        <w:jc w:val="both"/>
        <w:rPr>
          <w:rFonts w:eastAsia="Times New Roman" w:cstheme="minorHAnsi"/>
          <w:sz w:val="24"/>
          <w:szCs w:val="24"/>
          <w:lang w:eastAsia="hr-HR"/>
        </w:rPr>
      </w:pPr>
    </w:p>
    <w:p w:rsidR="004C601A" w:rsidRPr="004C601A" w:rsidRDefault="003C261C" w:rsidP="00BB7F55">
      <w:pPr>
        <w:spacing w:after="0" w:line="240" w:lineRule="auto"/>
        <w:jc w:val="both"/>
        <w:rPr>
          <w:rFonts w:eastAsia="Times New Roman" w:cstheme="minorHAnsi"/>
          <w:sz w:val="24"/>
          <w:szCs w:val="24"/>
          <w:lang w:eastAsia="hr-HR"/>
        </w:rPr>
      </w:pPr>
      <w:r>
        <w:rPr>
          <w:rFonts w:eastAsia="Times New Roman" w:cstheme="minorHAnsi"/>
          <w:sz w:val="24"/>
          <w:szCs w:val="24"/>
          <w:lang w:eastAsia="hr-HR"/>
        </w:rPr>
        <w:t>Slijedom navedenog</w:t>
      </w:r>
      <w:r w:rsidR="004C601A" w:rsidRPr="004C601A">
        <w:rPr>
          <w:rFonts w:eastAsia="Times New Roman" w:cstheme="minorHAnsi"/>
          <w:sz w:val="24"/>
          <w:szCs w:val="24"/>
          <w:lang w:eastAsia="hr-HR"/>
        </w:rPr>
        <w:t>, HAKOM određuje da operatori sa značajnom tržišnom snagom HT, Tele2 i Vipnet moraju:</w:t>
      </w:r>
    </w:p>
    <w:p w:rsidR="004C601A" w:rsidRPr="004C601A" w:rsidRDefault="004C601A" w:rsidP="00BB7F55">
      <w:pPr>
        <w:spacing w:after="0" w:line="240" w:lineRule="auto"/>
        <w:jc w:val="both"/>
        <w:rPr>
          <w:rFonts w:eastAsia="Times New Roman" w:cstheme="minorHAnsi"/>
          <w:sz w:val="24"/>
          <w:szCs w:val="24"/>
          <w:lang w:eastAsia="hr-HR"/>
        </w:rPr>
      </w:pPr>
    </w:p>
    <w:p w:rsidR="004C601A" w:rsidRPr="004C601A" w:rsidRDefault="004C601A" w:rsidP="00536EC7">
      <w:pPr>
        <w:numPr>
          <w:ilvl w:val="0"/>
          <w:numId w:val="12"/>
        </w:numPr>
        <w:spacing w:after="0" w:line="240" w:lineRule="auto"/>
        <w:jc w:val="both"/>
        <w:rPr>
          <w:rFonts w:eastAsia="Times New Roman" w:cstheme="minorHAnsi"/>
          <w:sz w:val="24"/>
          <w:szCs w:val="24"/>
          <w:lang w:eastAsia="hr-HR"/>
        </w:rPr>
      </w:pPr>
      <w:r w:rsidRPr="004C601A">
        <w:rPr>
          <w:rFonts w:eastAsia="Times New Roman" w:cstheme="minorHAnsi"/>
          <w:sz w:val="24"/>
          <w:szCs w:val="24"/>
          <w:lang w:eastAsia="hr-HR"/>
        </w:rPr>
        <w:t>osigurati jednake uvjete</w:t>
      </w:r>
      <w:r w:rsidR="008E5982">
        <w:rPr>
          <w:rStyle w:val="FootnoteReference"/>
          <w:rFonts w:eastAsia="Times New Roman" w:cstheme="minorHAnsi"/>
          <w:sz w:val="24"/>
          <w:szCs w:val="24"/>
          <w:lang w:eastAsia="hr-HR"/>
        </w:rPr>
        <w:footnoteReference w:id="27"/>
      </w:r>
      <w:r w:rsidRPr="004C601A">
        <w:rPr>
          <w:rFonts w:eastAsia="Times New Roman" w:cstheme="minorHAnsi"/>
          <w:sz w:val="24"/>
          <w:szCs w:val="24"/>
          <w:lang w:eastAsia="hr-HR"/>
        </w:rPr>
        <w:t xml:space="preserve"> u istovjetnim okolnostima za druge operatore koji pružaju istovjetne usluge;</w:t>
      </w:r>
    </w:p>
    <w:p w:rsidR="004C601A" w:rsidRDefault="004C601A" w:rsidP="00536EC7">
      <w:pPr>
        <w:numPr>
          <w:ilvl w:val="0"/>
          <w:numId w:val="12"/>
        </w:numPr>
        <w:spacing w:after="0" w:line="240" w:lineRule="auto"/>
        <w:jc w:val="both"/>
        <w:rPr>
          <w:rFonts w:eastAsia="Times New Roman" w:cstheme="minorHAnsi"/>
          <w:sz w:val="24"/>
          <w:szCs w:val="24"/>
          <w:lang w:eastAsia="hr-HR"/>
        </w:rPr>
      </w:pPr>
      <w:r w:rsidRPr="004C601A">
        <w:rPr>
          <w:rFonts w:eastAsia="Times New Roman" w:cstheme="minorHAnsi"/>
          <w:sz w:val="24"/>
          <w:szCs w:val="24"/>
          <w:lang w:eastAsia="hr-HR"/>
        </w:rPr>
        <w:t>pružati usluge i podatke drugim operatorima uz jednake uvjete i razinu kakvoće usluge koju osiguravaju za svoje vlastite usluge ili za potrebe svojih povezanih društava</w:t>
      </w:r>
      <w:r w:rsidR="00710350">
        <w:rPr>
          <w:rFonts w:eastAsia="Times New Roman" w:cstheme="minorHAnsi"/>
          <w:sz w:val="24"/>
          <w:szCs w:val="24"/>
          <w:lang w:eastAsia="hr-HR"/>
        </w:rPr>
        <w:t>.</w:t>
      </w:r>
    </w:p>
    <w:p w:rsidR="00710350" w:rsidRPr="004C601A" w:rsidRDefault="00710350" w:rsidP="0061086C">
      <w:pPr>
        <w:spacing w:after="0" w:line="240" w:lineRule="auto"/>
        <w:ind w:left="720"/>
        <w:jc w:val="both"/>
        <w:rPr>
          <w:rFonts w:eastAsia="Times New Roman" w:cstheme="minorHAnsi"/>
          <w:sz w:val="24"/>
          <w:szCs w:val="24"/>
          <w:lang w:eastAsia="hr-HR"/>
        </w:rPr>
      </w:pPr>
    </w:p>
    <w:p w:rsidR="003C261C" w:rsidRDefault="003C261C" w:rsidP="003C261C">
      <w:pPr>
        <w:pStyle w:val="Subtitle"/>
        <w:jc w:val="both"/>
      </w:pPr>
      <w:r w:rsidRPr="00E063D4">
        <w:t>Informacije o planiranim promjenama u mreži</w:t>
      </w:r>
    </w:p>
    <w:p w:rsidR="00DC678B" w:rsidRDefault="000E4ECF" w:rsidP="00BB7F55">
      <w:pPr>
        <w:spacing w:after="0" w:line="240" w:lineRule="auto"/>
        <w:jc w:val="both"/>
        <w:rPr>
          <w:sz w:val="24"/>
          <w:szCs w:val="24"/>
        </w:rPr>
      </w:pPr>
      <w:r w:rsidRPr="00DC678B">
        <w:rPr>
          <w:sz w:val="24"/>
          <w:szCs w:val="24"/>
        </w:rPr>
        <w:t xml:space="preserve">HAKOM određuje </w:t>
      </w:r>
      <w:r w:rsidR="00A132A3" w:rsidRPr="00DC678B">
        <w:rPr>
          <w:sz w:val="24"/>
          <w:szCs w:val="24"/>
        </w:rPr>
        <w:t>operatorima</w:t>
      </w:r>
      <w:r w:rsidR="003C261C">
        <w:rPr>
          <w:sz w:val="24"/>
          <w:szCs w:val="24"/>
        </w:rPr>
        <w:t xml:space="preserve"> sa značajnom tržišnom snagom</w:t>
      </w:r>
      <w:r w:rsidRPr="00DC678B">
        <w:rPr>
          <w:sz w:val="24"/>
          <w:szCs w:val="24"/>
        </w:rPr>
        <w:t xml:space="preserve"> obvezu </w:t>
      </w:r>
      <w:r w:rsidR="00A132A3" w:rsidRPr="00DC678B">
        <w:rPr>
          <w:sz w:val="24"/>
          <w:szCs w:val="24"/>
        </w:rPr>
        <w:t xml:space="preserve">pružanja </w:t>
      </w:r>
      <w:r w:rsidR="00543179">
        <w:rPr>
          <w:sz w:val="24"/>
          <w:szCs w:val="24"/>
        </w:rPr>
        <w:t xml:space="preserve">detaljnih </w:t>
      </w:r>
      <w:r w:rsidR="00A132A3" w:rsidRPr="00DC678B">
        <w:rPr>
          <w:sz w:val="24"/>
          <w:szCs w:val="24"/>
        </w:rPr>
        <w:t>informacija</w:t>
      </w:r>
      <w:r w:rsidRPr="00DC678B">
        <w:rPr>
          <w:sz w:val="24"/>
          <w:szCs w:val="24"/>
        </w:rPr>
        <w:t xml:space="preserve"> o planiranim promjenama </w:t>
      </w:r>
      <w:r w:rsidRPr="00DF5D31">
        <w:rPr>
          <w:sz w:val="24"/>
          <w:szCs w:val="24"/>
        </w:rPr>
        <w:t xml:space="preserve">u mreži </w:t>
      </w:r>
      <w:r w:rsidR="00815E5D" w:rsidRPr="003D4A43">
        <w:rPr>
          <w:sz w:val="24"/>
          <w:szCs w:val="24"/>
        </w:rPr>
        <w:t>koje imaju utjecaj na pružanje usluge završavanja (terminacije) glasovnih poziva</w:t>
      </w:r>
      <w:r w:rsidR="00815E5D">
        <w:rPr>
          <w:sz w:val="24"/>
          <w:szCs w:val="24"/>
        </w:rPr>
        <w:t>, i to</w:t>
      </w:r>
      <w:r w:rsidR="00815E5D" w:rsidRPr="00DF5D31">
        <w:rPr>
          <w:sz w:val="24"/>
          <w:szCs w:val="24"/>
        </w:rPr>
        <w:t xml:space="preserve"> </w:t>
      </w:r>
      <w:r w:rsidR="00543179" w:rsidRPr="00DF5D31">
        <w:rPr>
          <w:sz w:val="24"/>
          <w:szCs w:val="24"/>
        </w:rPr>
        <w:t>6 mjeseci prije navedenih</w:t>
      </w:r>
      <w:r w:rsidR="00543179">
        <w:rPr>
          <w:sz w:val="24"/>
          <w:szCs w:val="24"/>
        </w:rPr>
        <w:t xml:space="preserve"> promjena</w:t>
      </w:r>
      <w:r w:rsidR="00815E5D">
        <w:rPr>
          <w:sz w:val="24"/>
          <w:szCs w:val="24"/>
        </w:rPr>
        <w:t xml:space="preserve"> </w:t>
      </w:r>
      <w:r w:rsidRPr="00DC678B">
        <w:rPr>
          <w:sz w:val="24"/>
          <w:szCs w:val="24"/>
        </w:rPr>
        <w:t>kako bi operatori korisnici Standardne ponude bili u mogućnosti pravovremeno reagirati i prilagoditi se nastalim promjenama</w:t>
      </w:r>
      <w:r w:rsidR="003C261C" w:rsidRPr="00E063D4">
        <w:rPr>
          <w:sz w:val="24"/>
          <w:szCs w:val="24"/>
        </w:rPr>
        <w:t>,</w:t>
      </w:r>
      <w:r w:rsidR="003C261C" w:rsidRPr="00C90376">
        <w:t xml:space="preserve"> </w:t>
      </w:r>
      <w:r w:rsidR="003C261C" w:rsidRPr="00E063D4">
        <w:rPr>
          <w:sz w:val="24"/>
          <w:szCs w:val="24"/>
        </w:rPr>
        <w:t xml:space="preserve">osim u slučaju potpunog prelaska na isključivo IP međupovezivanje u kojem slučaju </w:t>
      </w:r>
      <w:r w:rsidR="00CC3DE6">
        <w:rPr>
          <w:sz w:val="24"/>
          <w:szCs w:val="24"/>
        </w:rPr>
        <w:t>operatori</w:t>
      </w:r>
      <w:r w:rsidR="003C261C" w:rsidRPr="00E063D4">
        <w:rPr>
          <w:sz w:val="24"/>
          <w:szCs w:val="24"/>
        </w:rPr>
        <w:t xml:space="preserve"> mora</w:t>
      </w:r>
      <w:r w:rsidR="00CC3DE6">
        <w:rPr>
          <w:sz w:val="24"/>
          <w:szCs w:val="24"/>
        </w:rPr>
        <w:t>ju</w:t>
      </w:r>
      <w:r w:rsidR="003C261C" w:rsidRPr="00E063D4">
        <w:rPr>
          <w:sz w:val="24"/>
          <w:szCs w:val="24"/>
        </w:rPr>
        <w:t xml:space="preserve"> obavijestiti operatore korisnike godinu dana unaprijed</w:t>
      </w:r>
      <w:r w:rsidR="00CC3DE6">
        <w:rPr>
          <w:sz w:val="24"/>
          <w:szCs w:val="24"/>
        </w:rPr>
        <w:t xml:space="preserve"> kako bi operatori korisnici bili u mogućnosti pravovremeno reagirati i prilagoditi se nastalim promjenama</w:t>
      </w:r>
      <w:r w:rsidR="003C261C">
        <w:rPr>
          <w:sz w:val="24"/>
          <w:szCs w:val="24"/>
        </w:rPr>
        <w:t xml:space="preserve">. </w:t>
      </w:r>
      <w:r w:rsidR="003C261C" w:rsidRPr="00E063D4">
        <w:rPr>
          <w:sz w:val="24"/>
          <w:szCs w:val="24"/>
        </w:rPr>
        <w:t>U slučaju da postoji dogovor s operatorima korisnicima, rok može biti i kraći.</w:t>
      </w:r>
    </w:p>
    <w:p w:rsidR="003C261C" w:rsidRDefault="003C261C" w:rsidP="00BB7F55">
      <w:pPr>
        <w:spacing w:after="0" w:line="240" w:lineRule="auto"/>
        <w:jc w:val="both"/>
        <w:rPr>
          <w:sz w:val="24"/>
          <w:szCs w:val="24"/>
        </w:rPr>
      </w:pPr>
    </w:p>
    <w:p w:rsidR="003C261C" w:rsidRDefault="003C261C" w:rsidP="003C261C">
      <w:pPr>
        <w:pStyle w:val="Subtitle"/>
        <w:jc w:val="both"/>
      </w:pPr>
      <w:r w:rsidRPr="003C261C">
        <w:t>Dostava ugovora sklopljenih na temelju Standardne ponude za međupovezivanje</w:t>
      </w:r>
    </w:p>
    <w:p w:rsidR="00F3785D" w:rsidRPr="00990B08" w:rsidRDefault="003C261C" w:rsidP="00F3785D">
      <w:pPr>
        <w:spacing w:after="0" w:line="240" w:lineRule="auto"/>
        <w:jc w:val="both"/>
        <w:rPr>
          <w:sz w:val="24"/>
          <w:szCs w:val="24"/>
        </w:rPr>
      </w:pPr>
      <w:r w:rsidRPr="003C261C">
        <w:rPr>
          <w:sz w:val="24"/>
          <w:szCs w:val="24"/>
        </w:rPr>
        <w:t xml:space="preserve">Operatori sa značajnom tržišnom snagom </w:t>
      </w:r>
      <w:r w:rsidR="002920EC">
        <w:rPr>
          <w:sz w:val="24"/>
          <w:szCs w:val="24"/>
        </w:rPr>
        <w:t>obvezni su</w:t>
      </w:r>
      <w:r w:rsidR="000E4ECF" w:rsidRPr="00990B08">
        <w:rPr>
          <w:sz w:val="24"/>
          <w:szCs w:val="24"/>
        </w:rPr>
        <w:t xml:space="preserve"> dostaviti HAKOM-u ugovore sklopljene na temelju Standardne ponude </w:t>
      </w:r>
      <w:r w:rsidR="00A132A3" w:rsidRPr="00990B08">
        <w:rPr>
          <w:sz w:val="24"/>
          <w:szCs w:val="24"/>
        </w:rPr>
        <w:t>za međupovezivanje</w:t>
      </w:r>
      <w:r w:rsidRPr="003C261C">
        <w:rPr>
          <w:sz w:val="24"/>
          <w:szCs w:val="24"/>
        </w:rPr>
        <w:t>, kao i sve izmjene navedenih ugovora, i to u roku od 15 dana od dana sklapanja istih</w:t>
      </w:r>
      <w:r>
        <w:rPr>
          <w:sz w:val="24"/>
          <w:szCs w:val="24"/>
        </w:rPr>
        <w:t>.</w:t>
      </w:r>
      <w:r w:rsidRPr="004C601A">
        <w:rPr>
          <w:rFonts w:eastAsia="Times New Roman" w:cstheme="minorHAnsi"/>
          <w:sz w:val="24"/>
          <w:szCs w:val="24"/>
          <w:lang w:eastAsia="hr-HR"/>
        </w:rPr>
        <w:t xml:space="preserve"> </w:t>
      </w:r>
      <w:r w:rsidR="00F3785D" w:rsidRPr="003C261C">
        <w:rPr>
          <w:sz w:val="24"/>
          <w:szCs w:val="24"/>
        </w:rPr>
        <w:t>Naime, dostava HAKOM-u navedenih ugovora potrebna je iz razloga provjere poštivanja obveze nediskriminacije. HAKOM bi stoga u slučaju nepoštivanja prethodno spomenute obveze, mogao pravovremeno reagirati.</w:t>
      </w:r>
    </w:p>
    <w:p w:rsidR="003C261C" w:rsidRDefault="003C261C" w:rsidP="00BB7F55">
      <w:pPr>
        <w:spacing w:after="0" w:line="240" w:lineRule="auto"/>
        <w:jc w:val="both"/>
        <w:rPr>
          <w:sz w:val="24"/>
          <w:szCs w:val="24"/>
        </w:rPr>
      </w:pPr>
    </w:p>
    <w:p w:rsidR="00581A44" w:rsidRPr="00A052D4" w:rsidRDefault="000E4ECF" w:rsidP="00BB7F55">
      <w:pPr>
        <w:spacing w:after="0" w:line="240" w:lineRule="auto"/>
        <w:jc w:val="both"/>
        <w:rPr>
          <w:sz w:val="24"/>
          <w:szCs w:val="24"/>
          <w:highlight w:val="yellow"/>
        </w:rPr>
      </w:pPr>
      <w:r w:rsidRPr="00F3785D">
        <w:rPr>
          <w:sz w:val="24"/>
          <w:szCs w:val="24"/>
        </w:rPr>
        <w:t xml:space="preserve">HAKOM smatra da je regulatorna obveza nediskriminacije neophodna kako bi se na tržištu spriječila moguća diskriminacijska ponašanja </w:t>
      </w:r>
      <w:r w:rsidR="00E02802" w:rsidRPr="00F3785D">
        <w:rPr>
          <w:sz w:val="24"/>
          <w:szCs w:val="24"/>
        </w:rPr>
        <w:t>operatora sa značajnom tržišnom snagom</w:t>
      </w:r>
      <w:r w:rsidRPr="00F3785D">
        <w:rPr>
          <w:sz w:val="24"/>
          <w:szCs w:val="24"/>
        </w:rPr>
        <w:t xml:space="preserve"> koja su vezana uz diskriminaciju na cjenovnoj osnovi, kao i diskriminaciju koja nije na osnovama vezanim uz cijene, a </w:t>
      </w:r>
      <w:r w:rsidR="00F3785D" w:rsidRPr="00F3785D">
        <w:rPr>
          <w:sz w:val="24"/>
          <w:szCs w:val="24"/>
        </w:rPr>
        <w:t>koja se dodatno rješavaju određivanjem regulatorne obveze transparentnosti.</w:t>
      </w:r>
      <w:r w:rsidR="00581A44" w:rsidRPr="00A052D4">
        <w:rPr>
          <w:sz w:val="24"/>
          <w:szCs w:val="24"/>
          <w:highlight w:val="yellow"/>
        </w:rPr>
        <w:br w:type="page"/>
      </w:r>
    </w:p>
    <w:p w:rsidR="000E4ECF" w:rsidRPr="000D20B6" w:rsidRDefault="000E4ECF" w:rsidP="00083A62">
      <w:pPr>
        <w:pStyle w:val="Heading2"/>
      </w:pPr>
      <w:bookmarkStart w:id="52" w:name="_Toc525816357"/>
      <w:r w:rsidRPr="000D20B6">
        <w:lastRenderedPageBreak/>
        <w:t>Obveza transparentnosti</w:t>
      </w:r>
      <w:bookmarkEnd w:id="52"/>
    </w:p>
    <w:p w:rsidR="000E4ECF" w:rsidRPr="000D20B6" w:rsidRDefault="00452A5E" w:rsidP="00BB7F55">
      <w:pPr>
        <w:spacing w:before="200" w:after="0" w:line="240" w:lineRule="auto"/>
        <w:jc w:val="both"/>
        <w:rPr>
          <w:sz w:val="24"/>
          <w:szCs w:val="24"/>
        </w:rPr>
      </w:pPr>
      <w:r>
        <w:rPr>
          <w:sz w:val="24"/>
          <w:szCs w:val="24"/>
        </w:rPr>
        <w:t>HAKOM može</w:t>
      </w:r>
      <w:r w:rsidR="000E4ECF" w:rsidRPr="000D20B6">
        <w:rPr>
          <w:sz w:val="24"/>
          <w:szCs w:val="24"/>
        </w:rPr>
        <w:t xml:space="preserve"> odrediti operatorima obvezu transparentnosti u vezi s međupovezivanjem i/ili pristupom, na način da učine javno dostupnima određene podatke, kao što su osobito sljedeći podaci:</w:t>
      </w:r>
    </w:p>
    <w:p w:rsidR="000E4ECF" w:rsidRPr="000D20B6" w:rsidRDefault="000E4ECF" w:rsidP="00BB7F55">
      <w:pPr>
        <w:spacing w:after="0" w:line="240" w:lineRule="auto"/>
        <w:jc w:val="both"/>
        <w:rPr>
          <w:sz w:val="24"/>
          <w:szCs w:val="24"/>
        </w:rPr>
      </w:pPr>
    </w:p>
    <w:p w:rsidR="000E4ECF" w:rsidRPr="000D20B6" w:rsidRDefault="000E4ECF" w:rsidP="00536EC7">
      <w:pPr>
        <w:pStyle w:val="ListParagraph"/>
        <w:numPr>
          <w:ilvl w:val="0"/>
          <w:numId w:val="2"/>
        </w:numPr>
        <w:spacing w:after="0" w:line="240" w:lineRule="auto"/>
        <w:jc w:val="both"/>
        <w:rPr>
          <w:sz w:val="24"/>
          <w:szCs w:val="24"/>
        </w:rPr>
      </w:pPr>
      <w:r w:rsidRPr="000D20B6">
        <w:rPr>
          <w:sz w:val="24"/>
          <w:szCs w:val="24"/>
        </w:rPr>
        <w:t>računovodstveni podaci,</w:t>
      </w:r>
    </w:p>
    <w:p w:rsidR="000E4ECF" w:rsidRPr="000D20B6" w:rsidRDefault="000E4ECF" w:rsidP="00536EC7">
      <w:pPr>
        <w:pStyle w:val="ListParagraph"/>
        <w:numPr>
          <w:ilvl w:val="0"/>
          <w:numId w:val="2"/>
        </w:numPr>
        <w:spacing w:after="0" w:line="240" w:lineRule="auto"/>
        <w:jc w:val="both"/>
        <w:rPr>
          <w:sz w:val="24"/>
          <w:szCs w:val="24"/>
        </w:rPr>
      </w:pPr>
      <w:r w:rsidRPr="000D20B6">
        <w:rPr>
          <w:sz w:val="24"/>
          <w:szCs w:val="24"/>
        </w:rPr>
        <w:t>tehničke specifikacije,</w:t>
      </w:r>
    </w:p>
    <w:p w:rsidR="000E4ECF" w:rsidRPr="000D20B6" w:rsidRDefault="000E4ECF" w:rsidP="00536EC7">
      <w:pPr>
        <w:pStyle w:val="ListParagraph"/>
        <w:numPr>
          <w:ilvl w:val="0"/>
          <w:numId w:val="2"/>
        </w:numPr>
        <w:spacing w:after="0" w:line="240" w:lineRule="auto"/>
        <w:jc w:val="both"/>
        <w:rPr>
          <w:sz w:val="24"/>
          <w:szCs w:val="24"/>
        </w:rPr>
      </w:pPr>
      <w:r w:rsidRPr="000D20B6">
        <w:rPr>
          <w:sz w:val="24"/>
          <w:szCs w:val="24"/>
        </w:rPr>
        <w:t>mrežne značajke,</w:t>
      </w:r>
    </w:p>
    <w:p w:rsidR="000E4ECF" w:rsidRPr="000D20B6" w:rsidRDefault="000E4ECF" w:rsidP="00536EC7">
      <w:pPr>
        <w:pStyle w:val="ListParagraph"/>
        <w:numPr>
          <w:ilvl w:val="0"/>
          <w:numId w:val="2"/>
        </w:numPr>
        <w:spacing w:after="0" w:line="240" w:lineRule="auto"/>
        <w:jc w:val="both"/>
        <w:rPr>
          <w:sz w:val="24"/>
          <w:szCs w:val="24"/>
        </w:rPr>
      </w:pPr>
      <w:r w:rsidRPr="000D20B6">
        <w:rPr>
          <w:sz w:val="24"/>
          <w:szCs w:val="24"/>
        </w:rPr>
        <w:t>rokovi i uvjeti ponude i uporabe,</w:t>
      </w:r>
    </w:p>
    <w:p w:rsidR="000E4ECF" w:rsidRPr="000D20B6" w:rsidRDefault="000E4ECF" w:rsidP="00536EC7">
      <w:pPr>
        <w:pStyle w:val="ListParagraph"/>
        <w:numPr>
          <w:ilvl w:val="0"/>
          <w:numId w:val="2"/>
        </w:numPr>
        <w:spacing w:after="0" w:line="240" w:lineRule="auto"/>
        <w:jc w:val="both"/>
        <w:rPr>
          <w:sz w:val="24"/>
          <w:szCs w:val="24"/>
        </w:rPr>
      </w:pPr>
      <w:r w:rsidRPr="000D20B6">
        <w:rPr>
          <w:sz w:val="24"/>
          <w:szCs w:val="24"/>
        </w:rPr>
        <w:t>cijene.</w:t>
      </w:r>
    </w:p>
    <w:p w:rsidR="000E4ECF" w:rsidRPr="00A052D4" w:rsidRDefault="000E4ECF" w:rsidP="00BB7F55">
      <w:pPr>
        <w:spacing w:after="0" w:line="240" w:lineRule="auto"/>
        <w:jc w:val="both"/>
        <w:rPr>
          <w:sz w:val="24"/>
          <w:szCs w:val="24"/>
          <w:highlight w:val="yellow"/>
        </w:rPr>
      </w:pPr>
    </w:p>
    <w:p w:rsidR="000E4ECF" w:rsidRPr="000D20B6" w:rsidRDefault="000E4ECF" w:rsidP="00BB7F55">
      <w:pPr>
        <w:spacing w:after="0" w:line="240" w:lineRule="auto"/>
        <w:jc w:val="both"/>
        <w:rPr>
          <w:sz w:val="24"/>
          <w:szCs w:val="24"/>
        </w:rPr>
      </w:pPr>
      <w:r w:rsidRPr="000D20B6">
        <w:rPr>
          <w:sz w:val="24"/>
          <w:szCs w:val="24"/>
        </w:rPr>
        <w:t>Isto tako, sukladno odredbama članka 58. ZEK-a, HAKOM može zatražiti od operatora, kojem je određena obveza nediskriminacije, objavu standardne ponude na temelju koje drugi operatori neće biti obvezni plaćati dodatne troškove, koji nisu nužni za pružanje zatražene usluge. Standardna ponuda mora biti podrobno raščlanjena u skladu s potrebama tržišta, te mora sadržavati pripadajuće rokove, uvjete i cijene usluga.</w:t>
      </w:r>
    </w:p>
    <w:p w:rsidR="000E4ECF" w:rsidRPr="00A052D4" w:rsidRDefault="000E4ECF" w:rsidP="00BB7F55">
      <w:pPr>
        <w:spacing w:after="0" w:line="240" w:lineRule="auto"/>
        <w:jc w:val="both"/>
        <w:rPr>
          <w:sz w:val="24"/>
          <w:szCs w:val="24"/>
          <w:highlight w:val="yellow"/>
        </w:rPr>
      </w:pPr>
    </w:p>
    <w:p w:rsidR="000E4ECF" w:rsidRDefault="00134AC0" w:rsidP="00BB7F55">
      <w:pPr>
        <w:spacing w:after="0" w:line="240" w:lineRule="auto"/>
        <w:jc w:val="both"/>
        <w:rPr>
          <w:sz w:val="24"/>
          <w:szCs w:val="24"/>
        </w:rPr>
      </w:pPr>
      <w:r w:rsidRPr="00134AC0">
        <w:rPr>
          <w:sz w:val="24"/>
          <w:szCs w:val="24"/>
        </w:rPr>
        <w:t>HAKOM zadržavanje ove obveze smatra nužnom jer bi u suprotnom moglo doći do diskriminacije pojedinih operatora od strane HT-a, Tele2 i Vipnet-a što bi dovelo do ometanja konkurentnosti na tržištu i utjecalo na izbor krajnjih korisnika. Također, ova obveza osigurava transparentno poslovanje operatora sa značajnom tržišnom snagom i nadopunjuje obvezu nediskriminacije.</w:t>
      </w:r>
    </w:p>
    <w:p w:rsidR="00134AC0" w:rsidRPr="00A052D4" w:rsidRDefault="00134AC0" w:rsidP="00BB7F55">
      <w:pPr>
        <w:spacing w:after="0" w:line="240" w:lineRule="auto"/>
        <w:jc w:val="both"/>
        <w:rPr>
          <w:sz w:val="24"/>
          <w:szCs w:val="24"/>
          <w:highlight w:val="yellow"/>
        </w:rPr>
      </w:pPr>
    </w:p>
    <w:p w:rsidR="00134AC0" w:rsidRPr="00134AC0" w:rsidRDefault="00134AC0" w:rsidP="00BB7F55">
      <w:pPr>
        <w:spacing w:after="0" w:line="240" w:lineRule="auto"/>
        <w:jc w:val="both"/>
        <w:rPr>
          <w:sz w:val="24"/>
          <w:szCs w:val="24"/>
        </w:rPr>
      </w:pPr>
      <w:r w:rsidRPr="00134AC0">
        <w:rPr>
          <w:sz w:val="24"/>
          <w:szCs w:val="24"/>
        </w:rPr>
        <w:lastRenderedPageBreak/>
        <w:t>HAKOM</w:t>
      </w:r>
      <w:r w:rsidR="00873881">
        <w:rPr>
          <w:sz w:val="24"/>
          <w:szCs w:val="24"/>
        </w:rPr>
        <w:t xml:space="preserve"> </w:t>
      </w:r>
      <w:r w:rsidR="0095106E">
        <w:rPr>
          <w:sz w:val="24"/>
          <w:szCs w:val="24"/>
        </w:rPr>
        <w:t xml:space="preserve">smatra </w:t>
      </w:r>
      <w:r w:rsidR="00873881">
        <w:rPr>
          <w:sz w:val="24"/>
          <w:szCs w:val="24"/>
        </w:rPr>
        <w:t xml:space="preserve">da se određivanjem </w:t>
      </w:r>
      <w:r w:rsidRPr="00134AC0">
        <w:rPr>
          <w:sz w:val="24"/>
          <w:szCs w:val="24"/>
        </w:rPr>
        <w:t>obvez</w:t>
      </w:r>
      <w:r w:rsidR="00873881">
        <w:rPr>
          <w:sz w:val="24"/>
          <w:szCs w:val="24"/>
        </w:rPr>
        <w:t>e</w:t>
      </w:r>
      <w:r w:rsidRPr="00134AC0">
        <w:rPr>
          <w:sz w:val="24"/>
          <w:szCs w:val="24"/>
        </w:rPr>
        <w:t xml:space="preserve"> transparentnosti </w:t>
      </w:r>
      <w:r w:rsidR="00873881">
        <w:rPr>
          <w:sz w:val="24"/>
          <w:szCs w:val="24"/>
        </w:rPr>
        <w:t>rješavaju prepreke prepoznate u poglavljima 6.2. i 6.3., a ista nadopunjuje obvezu pristupa i obvezu nediskriminacije.</w:t>
      </w:r>
    </w:p>
    <w:p w:rsidR="00134AC0" w:rsidRPr="00134AC0" w:rsidRDefault="00134AC0" w:rsidP="00BB7F55">
      <w:pPr>
        <w:spacing w:after="0" w:line="240" w:lineRule="auto"/>
        <w:jc w:val="both"/>
        <w:rPr>
          <w:sz w:val="24"/>
          <w:szCs w:val="24"/>
        </w:rPr>
      </w:pPr>
    </w:p>
    <w:p w:rsidR="00F3785D" w:rsidRPr="00B03909" w:rsidRDefault="00F3785D" w:rsidP="00F3785D">
      <w:pPr>
        <w:pStyle w:val="Subtitle"/>
      </w:pPr>
      <w:r w:rsidRPr="00B03909">
        <w:t>Objava Standardne ponude međupovezivanja</w:t>
      </w:r>
    </w:p>
    <w:p w:rsidR="000E4ECF" w:rsidRDefault="00134AC0" w:rsidP="00BB7F55">
      <w:pPr>
        <w:spacing w:after="0" w:line="240" w:lineRule="auto"/>
        <w:jc w:val="both"/>
        <w:rPr>
          <w:sz w:val="24"/>
          <w:szCs w:val="24"/>
        </w:rPr>
      </w:pPr>
      <w:r w:rsidRPr="00134AC0">
        <w:rPr>
          <w:sz w:val="24"/>
          <w:szCs w:val="24"/>
        </w:rPr>
        <w:t>HAKOM zadržava regulatornu obvezu transparentnosti uz obvezu objave standardne ponude operatorima HT-u, Tele2 i Vipnet-u te u skladu s navedenom regulatornom obvezom operatori sa značajnom tržišnom snagom moraju:</w:t>
      </w:r>
    </w:p>
    <w:p w:rsidR="000E4ECF" w:rsidRPr="00A052D4" w:rsidRDefault="000E4ECF" w:rsidP="00BB7F55">
      <w:pPr>
        <w:spacing w:after="0" w:line="240" w:lineRule="auto"/>
        <w:jc w:val="both"/>
        <w:rPr>
          <w:sz w:val="24"/>
          <w:szCs w:val="24"/>
          <w:highlight w:val="yellow"/>
        </w:rPr>
      </w:pPr>
    </w:p>
    <w:p w:rsidR="000E4ECF" w:rsidRPr="0090575A" w:rsidRDefault="000E4ECF" w:rsidP="00536EC7">
      <w:pPr>
        <w:pStyle w:val="ListParagraph"/>
        <w:numPr>
          <w:ilvl w:val="0"/>
          <w:numId w:val="3"/>
        </w:numPr>
        <w:spacing w:after="0" w:line="240" w:lineRule="auto"/>
        <w:jc w:val="both"/>
        <w:rPr>
          <w:sz w:val="24"/>
          <w:szCs w:val="24"/>
        </w:rPr>
      </w:pPr>
      <w:r w:rsidRPr="00990B08">
        <w:rPr>
          <w:sz w:val="24"/>
          <w:szCs w:val="24"/>
        </w:rPr>
        <w:t>nadopuniti</w:t>
      </w:r>
      <w:r w:rsidRPr="0090575A">
        <w:rPr>
          <w:sz w:val="24"/>
          <w:szCs w:val="24"/>
        </w:rPr>
        <w:t xml:space="preserve"> postojeću Standardnu ponudu na temelju koje drugi operatori neće biti obvezni plaćati dodatne troškove koji nisu nužni za pružanje zatražene usluge, obvezama koje su mu određene ovom odlukom;</w:t>
      </w:r>
    </w:p>
    <w:p w:rsidR="00E9157A" w:rsidRPr="00E9157A" w:rsidRDefault="000E4ECF" w:rsidP="00F3785D">
      <w:pPr>
        <w:pStyle w:val="ListParagraph"/>
        <w:numPr>
          <w:ilvl w:val="0"/>
          <w:numId w:val="3"/>
        </w:numPr>
        <w:spacing w:after="0" w:line="240" w:lineRule="auto"/>
        <w:jc w:val="both"/>
        <w:rPr>
          <w:sz w:val="24"/>
          <w:szCs w:val="24"/>
        </w:rPr>
      </w:pPr>
      <w:r w:rsidRPr="00D40BAD">
        <w:rPr>
          <w:sz w:val="24"/>
          <w:szCs w:val="24"/>
        </w:rPr>
        <w:t>izmijenjenu Standardnu ponudu objavit</w:t>
      </w:r>
      <w:r w:rsidRPr="00E17B5A">
        <w:rPr>
          <w:sz w:val="24"/>
          <w:szCs w:val="24"/>
        </w:rPr>
        <w:t xml:space="preserve">i najkasnije </w:t>
      </w:r>
      <w:r w:rsidR="00726BFB">
        <w:rPr>
          <w:sz w:val="24"/>
          <w:szCs w:val="24"/>
        </w:rPr>
        <w:t>u roku od 30 dana od dana stupanja na snagu ove odluke te istu početi primjenjivati u roku od 60 dana od dana stupanja na snagu ove odluke</w:t>
      </w:r>
      <w:r w:rsidR="00726BFB">
        <w:rPr>
          <w:rStyle w:val="FootnoteReference"/>
          <w:sz w:val="24"/>
          <w:szCs w:val="24"/>
        </w:rPr>
        <w:footnoteReference w:id="28"/>
      </w:r>
      <w:r w:rsidR="008F1415">
        <w:rPr>
          <w:sz w:val="24"/>
          <w:szCs w:val="24"/>
        </w:rPr>
        <w:t>.</w:t>
      </w:r>
    </w:p>
    <w:p w:rsidR="00E9157A" w:rsidRPr="00D40BAD" w:rsidRDefault="00E9157A" w:rsidP="00BB7F55">
      <w:pPr>
        <w:pStyle w:val="ListParagraph"/>
        <w:spacing w:after="0" w:line="240" w:lineRule="auto"/>
        <w:jc w:val="both"/>
        <w:rPr>
          <w:sz w:val="24"/>
          <w:szCs w:val="24"/>
        </w:rPr>
      </w:pPr>
    </w:p>
    <w:p w:rsidR="000E4ECF" w:rsidRPr="00585362" w:rsidRDefault="000E4ECF" w:rsidP="00BB7F55">
      <w:pPr>
        <w:spacing w:after="0" w:line="240" w:lineRule="auto"/>
        <w:jc w:val="both"/>
        <w:rPr>
          <w:sz w:val="24"/>
          <w:szCs w:val="24"/>
        </w:rPr>
      </w:pPr>
      <w:r w:rsidRPr="00585362">
        <w:rPr>
          <w:sz w:val="24"/>
          <w:szCs w:val="24"/>
        </w:rPr>
        <w:t xml:space="preserve">U standardnoj ponudi moraju biti opisane usluge koje </w:t>
      </w:r>
      <w:r w:rsidR="00C856C9">
        <w:rPr>
          <w:sz w:val="24"/>
          <w:szCs w:val="24"/>
        </w:rPr>
        <w:t>operator</w:t>
      </w:r>
      <w:r w:rsidRPr="00585362">
        <w:rPr>
          <w:sz w:val="24"/>
          <w:szCs w:val="24"/>
        </w:rPr>
        <w:t xml:space="preserve"> nudi u vezi s uslugom </w:t>
      </w:r>
      <w:r w:rsidR="00585362" w:rsidRPr="00CB64C3">
        <w:rPr>
          <w:sz w:val="24"/>
          <w:szCs w:val="24"/>
        </w:rPr>
        <w:t>završavanja glasovnih poziva u vlastitoj mobilnoj mreži,</w:t>
      </w:r>
      <w:r w:rsidRPr="00585362">
        <w:rPr>
          <w:sz w:val="24"/>
          <w:szCs w:val="24"/>
        </w:rPr>
        <w:t xml:space="preserve"> ista mora biti podrobno raščlanjena u skladu s tržišnim potrebama te mora sadržavati cijene, kao i rokove i naknade za nepoštivanje rokova uspostave usluga, kako bi se osiguralo pošteno, razumno i pravovremeno ispunjavanje obveza. Objava standardne ponude omogućava brže sklapanje ugovora, sprječava diskriminaciju te može spriječiti sporove koji bi mogli proizaći u slučaju nepostojanja standardne ponude. </w:t>
      </w:r>
    </w:p>
    <w:p w:rsidR="000E4ECF" w:rsidRPr="00A052D4" w:rsidRDefault="000E4ECF" w:rsidP="00BB7F55">
      <w:pPr>
        <w:spacing w:after="0" w:line="240" w:lineRule="auto"/>
        <w:jc w:val="both"/>
        <w:rPr>
          <w:sz w:val="24"/>
          <w:szCs w:val="24"/>
          <w:highlight w:val="yellow"/>
        </w:rPr>
      </w:pPr>
    </w:p>
    <w:p w:rsidR="000E4ECF" w:rsidRDefault="000E4ECF" w:rsidP="00BB7F55">
      <w:pPr>
        <w:spacing w:after="0" w:line="240" w:lineRule="auto"/>
        <w:jc w:val="both"/>
        <w:rPr>
          <w:sz w:val="24"/>
          <w:szCs w:val="24"/>
        </w:rPr>
      </w:pPr>
      <w:r w:rsidRPr="00585362">
        <w:rPr>
          <w:sz w:val="24"/>
          <w:szCs w:val="24"/>
        </w:rPr>
        <w:lastRenderedPageBreak/>
        <w:t>Osnovni sadržaj standardne ponude, razina podrobnosti podataka i način objave standardne ponude propisan je Pravilnikom o standardnim ponudama</w:t>
      </w:r>
      <w:r w:rsidR="008F1415">
        <w:rPr>
          <w:rStyle w:val="FootnoteReference"/>
          <w:sz w:val="24"/>
          <w:szCs w:val="24"/>
        </w:rPr>
        <w:footnoteReference w:id="29"/>
      </w:r>
      <w:r w:rsidRPr="00585362">
        <w:rPr>
          <w:sz w:val="24"/>
          <w:szCs w:val="24"/>
        </w:rPr>
        <w:t>.</w:t>
      </w:r>
    </w:p>
    <w:p w:rsidR="00543179" w:rsidRDefault="00543179" w:rsidP="00BB7F55">
      <w:pPr>
        <w:spacing w:after="0" w:line="240" w:lineRule="auto"/>
        <w:jc w:val="both"/>
        <w:rPr>
          <w:sz w:val="24"/>
          <w:szCs w:val="24"/>
        </w:rPr>
      </w:pPr>
    </w:p>
    <w:p w:rsidR="00543179" w:rsidRDefault="00543179" w:rsidP="00543179">
      <w:pPr>
        <w:spacing w:after="0" w:line="240" w:lineRule="auto"/>
        <w:jc w:val="both"/>
        <w:rPr>
          <w:sz w:val="24"/>
          <w:szCs w:val="24"/>
        </w:rPr>
      </w:pPr>
      <w:r w:rsidRPr="00543179">
        <w:rPr>
          <w:sz w:val="24"/>
          <w:szCs w:val="24"/>
        </w:rPr>
        <w:t xml:space="preserve">S obzirom da operatori HT, Tele2 i Vipnet već imaju Standardnu ponudu međusobnog povezivanja, temeljene na obvezama iz prethodne analize tržišta, HAKOM smatra da je </w:t>
      </w:r>
      <w:r w:rsidR="00F3785D">
        <w:rPr>
          <w:sz w:val="24"/>
          <w:szCs w:val="24"/>
        </w:rPr>
        <w:t xml:space="preserve">gore </w:t>
      </w:r>
      <w:r w:rsidRPr="00543179">
        <w:rPr>
          <w:sz w:val="24"/>
          <w:szCs w:val="24"/>
        </w:rPr>
        <w:t>navedeni rok dovoljan da se ažuriraju sve izmjene te da se tekst i sadržaj standardne ponude međupovezivanja uskladi s regulatornim obvezama koje su određene operatorima sa značajnom tržišnom snagom.</w:t>
      </w:r>
      <w:r w:rsidR="00F3785D">
        <w:rPr>
          <w:sz w:val="24"/>
          <w:szCs w:val="24"/>
        </w:rPr>
        <w:t xml:space="preserve"> </w:t>
      </w:r>
      <w:r w:rsidRPr="00DC1AB4">
        <w:rPr>
          <w:sz w:val="24"/>
          <w:szCs w:val="24"/>
        </w:rPr>
        <w:t>U slučaju da HAKOM utvrdi da je objavljena standardna ponuda u suprotnosti s naloženim obvezama ili da ista nije u skladu s odredbama ZEK-a, HAKOM može zatražiti izmjenu iste.</w:t>
      </w:r>
    </w:p>
    <w:p w:rsidR="00543179" w:rsidRPr="00A052D4" w:rsidRDefault="00543179" w:rsidP="00543179">
      <w:pPr>
        <w:spacing w:after="0" w:line="240" w:lineRule="auto"/>
        <w:jc w:val="both"/>
        <w:rPr>
          <w:sz w:val="24"/>
          <w:szCs w:val="24"/>
          <w:highlight w:val="yellow"/>
        </w:rPr>
      </w:pPr>
    </w:p>
    <w:p w:rsidR="00543179" w:rsidRPr="00D91D11" w:rsidRDefault="00543179" w:rsidP="00543179">
      <w:pPr>
        <w:spacing w:after="0" w:line="240" w:lineRule="auto"/>
        <w:jc w:val="both"/>
        <w:rPr>
          <w:sz w:val="24"/>
          <w:szCs w:val="24"/>
        </w:rPr>
      </w:pPr>
      <w:r w:rsidRPr="00D91D11">
        <w:rPr>
          <w:sz w:val="24"/>
          <w:szCs w:val="24"/>
        </w:rPr>
        <w:t xml:space="preserve">HAKOM može, ako ocijeni potrebnim, jedanput godišnje provesti postupak izmjene standardne ponude u svrhu provedbe regulatornih obveza koje određuje u skladu s odredbama ZEK-a. Isto tako, u svrhu ostvarivanja regulatornih načela i ciljeva iz članka 5. ZEK-a, postupak izmjene standardne ponude iznimno se može provesti i više puta tijekom godine. U slučaju da operator sa značajnom tržišnom snagom ili neki drugi operator želi pokrenuti postupak izmjene Standardne ponude za </w:t>
      </w:r>
      <w:r>
        <w:rPr>
          <w:sz w:val="24"/>
          <w:szCs w:val="24"/>
        </w:rPr>
        <w:t>međupovezivanje</w:t>
      </w:r>
      <w:r w:rsidRPr="00D91D11">
        <w:rPr>
          <w:sz w:val="24"/>
          <w:szCs w:val="24"/>
        </w:rPr>
        <w:t xml:space="preserve">, obvezan je o tome obavijestiti HAKOM koji će, u slučaju da zahtjev operatora smatra opravdanim, prema članku 58. stavku 3. ZEK-a pokrenuti postupak izmjene standardne ponude. </w:t>
      </w:r>
    </w:p>
    <w:p w:rsidR="000E4ECF" w:rsidRPr="00A052D4" w:rsidRDefault="000E4ECF" w:rsidP="00BB7F55">
      <w:pPr>
        <w:spacing w:after="0" w:line="240" w:lineRule="auto"/>
        <w:jc w:val="both"/>
        <w:rPr>
          <w:sz w:val="24"/>
          <w:szCs w:val="24"/>
          <w:highlight w:val="yellow"/>
        </w:rPr>
      </w:pPr>
    </w:p>
    <w:p w:rsidR="007646F7" w:rsidRDefault="00230176" w:rsidP="009B347B">
      <w:pPr>
        <w:pStyle w:val="Subtitle"/>
      </w:pPr>
      <w:r>
        <w:t xml:space="preserve">Uvjeti </w:t>
      </w:r>
      <w:r w:rsidR="009B347B">
        <w:t>plaćanja</w:t>
      </w:r>
    </w:p>
    <w:p w:rsidR="000E4ECF" w:rsidRPr="009B347B" w:rsidRDefault="009B347B" w:rsidP="00BB7F55">
      <w:pPr>
        <w:spacing w:after="0" w:line="240" w:lineRule="auto"/>
        <w:jc w:val="both"/>
        <w:rPr>
          <w:sz w:val="24"/>
          <w:szCs w:val="24"/>
        </w:rPr>
      </w:pPr>
      <w:r w:rsidRPr="00F3785D">
        <w:rPr>
          <w:sz w:val="24"/>
          <w:szCs w:val="24"/>
        </w:rPr>
        <w:lastRenderedPageBreak/>
        <w:t>S</w:t>
      </w:r>
      <w:r w:rsidR="00B66B61" w:rsidRPr="00F3785D">
        <w:rPr>
          <w:sz w:val="24"/>
          <w:szCs w:val="24"/>
        </w:rPr>
        <w:t xml:space="preserve"> ciljem</w:t>
      </w:r>
      <w:r w:rsidR="00B66B61" w:rsidRPr="009B347B">
        <w:rPr>
          <w:sz w:val="24"/>
          <w:szCs w:val="24"/>
        </w:rPr>
        <w:t xml:space="preserve"> harmoniziranja standardnih ponuda koje su obvezni objaviti operatori koji na mjerodavnim tržištima imaju status operatora sa značajnom tržišnom snagom te kako bi se omogućili transparentni uvjeti poslovanja operatora sa značajnom tržišnom snagom i operatora korisnika standardne ponude odnosno kako bi se onemogućilo da HT, Tele2 i Vipnet iskorištavaju svoj položaj operatora sa značajnom tržišnom snagom, a sve u svrhu sprječavanja narušavanja i ograničavanja tržišnog natjecanja u području elektroničkih komunikacija, spomenuti operatori su obvezni u standardnu ponudu </w:t>
      </w:r>
      <w:r w:rsidR="00585362" w:rsidRPr="009B347B">
        <w:rPr>
          <w:sz w:val="24"/>
          <w:szCs w:val="24"/>
        </w:rPr>
        <w:t>međupovezivanja ugraditi sljedeće:</w:t>
      </w:r>
    </w:p>
    <w:p w:rsidR="000E4ECF" w:rsidRPr="009B347B" w:rsidRDefault="000E4ECF" w:rsidP="00BB7F55">
      <w:pPr>
        <w:spacing w:after="0" w:line="240" w:lineRule="auto"/>
        <w:jc w:val="both"/>
        <w:rPr>
          <w:sz w:val="24"/>
          <w:szCs w:val="24"/>
        </w:rPr>
      </w:pPr>
    </w:p>
    <w:p w:rsidR="000E4ECF" w:rsidRPr="009B347B" w:rsidRDefault="000E4ECF" w:rsidP="00536EC7">
      <w:pPr>
        <w:pStyle w:val="ListParagraph"/>
        <w:numPr>
          <w:ilvl w:val="0"/>
          <w:numId w:val="4"/>
        </w:numPr>
        <w:spacing w:after="0" w:line="240" w:lineRule="auto"/>
        <w:jc w:val="both"/>
        <w:rPr>
          <w:sz w:val="24"/>
          <w:szCs w:val="24"/>
        </w:rPr>
      </w:pPr>
      <w:r w:rsidRPr="009B347B">
        <w:rPr>
          <w:sz w:val="24"/>
          <w:szCs w:val="24"/>
        </w:rPr>
        <w:t xml:space="preserve">Jedan od instrumenata osiguranja plaćanja koje će </w:t>
      </w:r>
      <w:r w:rsidR="00BE1B6F" w:rsidRPr="009B347B">
        <w:rPr>
          <w:sz w:val="24"/>
          <w:szCs w:val="24"/>
        </w:rPr>
        <w:t>HT, Tele2 i Vipnet</w:t>
      </w:r>
      <w:r w:rsidRPr="009B347B">
        <w:rPr>
          <w:sz w:val="24"/>
          <w:szCs w:val="24"/>
        </w:rPr>
        <w:t xml:space="preserve"> utvrditi unutar Standardne ponude mora biti javnobilježnički solemnizirana (potvrđena) bjanko zadužnica; </w:t>
      </w:r>
    </w:p>
    <w:p w:rsidR="000E4ECF" w:rsidRPr="009B347B" w:rsidRDefault="000E4ECF" w:rsidP="00536EC7">
      <w:pPr>
        <w:pStyle w:val="ListParagraph"/>
        <w:numPr>
          <w:ilvl w:val="0"/>
          <w:numId w:val="4"/>
        </w:numPr>
        <w:spacing w:after="0" w:line="240" w:lineRule="auto"/>
        <w:jc w:val="both"/>
        <w:rPr>
          <w:sz w:val="24"/>
          <w:szCs w:val="24"/>
        </w:rPr>
      </w:pPr>
      <w:r w:rsidRPr="009B347B">
        <w:rPr>
          <w:sz w:val="24"/>
          <w:szCs w:val="24"/>
        </w:rPr>
        <w:t xml:space="preserve">Ukoliko operator u razdoblju od jedne godine od dana sklapanja ugovora o </w:t>
      </w:r>
      <w:r w:rsidR="00BE1B6F" w:rsidRPr="009B347B">
        <w:rPr>
          <w:sz w:val="24"/>
          <w:szCs w:val="24"/>
        </w:rPr>
        <w:t>međupovezivanju</w:t>
      </w:r>
      <w:r w:rsidRPr="009B347B">
        <w:rPr>
          <w:sz w:val="24"/>
          <w:szCs w:val="24"/>
        </w:rPr>
        <w:t xml:space="preserve">, u roku dospijeća, podmiruje svoje obveze, nakon jedne godine nije obvezan dostavljati instrumente osiguranja plaćanja; </w:t>
      </w:r>
    </w:p>
    <w:p w:rsidR="000E4ECF" w:rsidRPr="009B347B" w:rsidRDefault="000E4ECF" w:rsidP="00536EC7">
      <w:pPr>
        <w:pStyle w:val="ListParagraph"/>
        <w:numPr>
          <w:ilvl w:val="0"/>
          <w:numId w:val="4"/>
        </w:numPr>
        <w:spacing w:after="0" w:line="240" w:lineRule="auto"/>
        <w:jc w:val="both"/>
        <w:rPr>
          <w:sz w:val="24"/>
          <w:szCs w:val="24"/>
        </w:rPr>
      </w:pPr>
      <w:r w:rsidRPr="009B347B">
        <w:rPr>
          <w:sz w:val="24"/>
          <w:szCs w:val="24"/>
        </w:rPr>
        <w:t>Rok dospijeća plaćanja računa je 60 dana od dana zaprimanja računa. Prigovori na račune podnose se u pisanom obliku unutar roka dospijeća računa. Ukoliko operator korisnik ne ospori račun unutar njegova roka dospijeća, smatra se da je prihvatio račun;</w:t>
      </w:r>
    </w:p>
    <w:p w:rsidR="000E4ECF" w:rsidRPr="009B347B" w:rsidRDefault="00A673C1" w:rsidP="00536EC7">
      <w:pPr>
        <w:pStyle w:val="ListParagraph"/>
        <w:numPr>
          <w:ilvl w:val="0"/>
          <w:numId w:val="4"/>
        </w:numPr>
        <w:spacing w:after="0" w:line="240" w:lineRule="auto"/>
        <w:jc w:val="both"/>
        <w:rPr>
          <w:sz w:val="24"/>
          <w:szCs w:val="24"/>
        </w:rPr>
      </w:pPr>
      <w:r w:rsidRPr="009B347B">
        <w:rPr>
          <w:sz w:val="24"/>
          <w:szCs w:val="24"/>
        </w:rPr>
        <w:t xml:space="preserve">Operatori HT, Tele2 i Vipnet će </w:t>
      </w:r>
      <w:r w:rsidR="000E4ECF" w:rsidRPr="009B347B">
        <w:rPr>
          <w:sz w:val="24"/>
          <w:szCs w:val="24"/>
        </w:rPr>
        <w:t xml:space="preserve">primijeniti postupak naplate potraživanja iz dostavljenih instrumenata osiguranja plaćanja tek ukoliko operator ne podmiri svoja dospjela i nesporna dugovanja u roku od 30 dana od dana dospijeća. Prilikom aktivacije instrumenata osiguranja plaćanja </w:t>
      </w:r>
      <w:r w:rsidR="00BE1B6F" w:rsidRPr="009B347B">
        <w:rPr>
          <w:sz w:val="24"/>
          <w:szCs w:val="24"/>
        </w:rPr>
        <w:t>operator davatelj</w:t>
      </w:r>
      <w:r w:rsidR="000E4ECF" w:rsidRPr="009B347B">
        <w:rPr>
          <w:sz w:val="24"/>
          <w:szCs w:val="24"/>
        </w:rPr>
        <w:t xml:space="preserve"> može naplatiti samo dospjela i neosporena dugovanja za koja je protekao rok od 30 dana od dana dospijeća; dakle ne i ona za koja je nastupilo samo dospijeće. Isto tako, prilikom namirenja, </w:t>
      </w:r>
      <w:r w:rsidR="002978FB" w:rsidRPr="009B347B">
        <w:rPr>
          <w:sz w:val="24"/>
          <w:szCs w:val="24"/>
        </w:rPr>
        <w:t>operator davatelj</w:t>
      </w:r>
      <w:r w:rsidR="000E4ECF" w:rsidRPr="009B347B">
        <w:rPr>
          <w:sz w:val="24"/>
          <w:szCs w:val="24"/>
        </w:rPr>
        <w:t xml:space="preserve"> je obvezan najprije zatvoriti obveze s najstarijim dospijećem;</w:t>
      </w:r>
    </w:p>
    <w:p w:rsidR="000E4ECF" w:rsidRPr="009B347B" w:rsidRDefault="000E4ECF" w:rsidP="00536EC7">
      <w:pPr>
        <w:pStyle w:val="ListParagraph"/>
        <w:numPr>
          <w:ilvl w:val="0"/>
          <w:numId w:val="4"/>
        </w:numPr>
        <w:spacing w:line="240" w:lineRule="auto"/>
        <w:jc w:val="both"/>
        <w:rPr>
          <w:sz w:val="24"/>
          <w:szCs w:val="24"/>
        </w:rPr>
      </w:pPr>
      <w:r w:rsidRPr="009B347B">
        <w:rPr>
          <w:sz w:val="24"/>
          <w:szCs w:val="24"/>
        </w:rPr>
        <w:t xml:space="preserve">Ukoliko se ne </w:t>
      </w:r>
      <w:r w:rsidR="00BE1B6F" w:rsidRPr="009B347B">
        <w:rPr>
          <w:sz w:val="24"/>
          <w:szCs w:val="24"/>
        </w:rPr>
        <w:t>mogu naplatiti</w:t>
      </w:r>
      <w:r w:rsidRPr="009B347B">
        <w:rPr>
          <w:sz w:val="24"/>
          <w:szCs w:val="24"/>
        </w:rPr>
        <w:t xml:space="preserve"> iz instrumenta osiguranja plaćanja, </w:t>
      </w:r>
      <w:r w:rsidR="005C64F3" w:rsidRPr="009B347B">
        <w:rPr>
          <w:sz w:val="24"/>
          <w:szCs w:val="24"/>
        </w:rPr>
        <w:t>spomenuti operatori mogu</w:t>
      </w:r>
      <w:r w:rsidRPr="009B347B">
        <w:rPr>
          <w:sz w:val="24"/>
          <w:szCs w:val="24"/>
        </w:rPr>
        <w:t xml:space="preserve"> operatoru koji ne podmiri svoja dospjela i nesporna dugovanja privremeno obustaviti pružanje usluge</w:t>
      </w:r>
      <w:r w:rsidR="00747116" w:rsidRPr="009B347B">
        <w:rPr>
          <w:sz w:val="24"/>
          <w:szCs w:val="24"/>
        </w:rPr>
        <w:t xml:space="preserve"> po iste</w:t>
      </w:r>
      <w:r w:rsidR="008C0AA4" w:rsidRPr="009B347B">
        <w:rPr>
          <w:sz w:val="24"/>
          <w:szCs w:val="24"/>
        </w:rPr>
        <w:t>ku roka od 30 dana od dospijeća</w:t>
      </w:r>
      <w:r w:rsidRPr="009B347B">
        <w:rPr>
          <w:sz w:val="24"/>
          <w:szCs w:val="24"/>
        </w:rPr>
        <w:t>;</w:t>
      </w:r>
    </w:p>
    <w:p w:rsidR="005358E9" w:rsidRPr="009B347B" w:rsidRDefault="005358E9" w:rsidP="00536EC7">
      <w:pPr>
        <w:pStyle w:val="ListParagraph"/>
        <w:numPr>
          <w:ilvl w:val="0"/>
          <w:numId w:val="4"/>
        </w:numPr>
        <w:spacing w:line="240" w:lineRule="auto"/>
        <w:jc w:val="both"/>
        <w:rPr>
          <w:sz w:val="24"/>
          <w:szCs w:val="24"/>
        </w:rPr>
      </w:pPr>
      <w:r w:rsidRPr="009B347B">
        <w:rPr>
          <w:sz w:val="24"/>
          <w:szCs w:val="24"/>
        </w:rPr>
        <w:lastRenderedPageBreak/>
        <w:t>Ukoliko se radi o dugovanju operatora koji nije obvezan dostavljati instrumente osiguranja plaćanja, HT, Tele2 i</w:t>
      </w:r>
      <w:r w:rsidR="00747116" w:rsidRPr="009B347B">
        <w:rPr>
          <w:sz w:val="24"/>
          <w:szCs w:val="24"/>
        </w:rPr>
        <w:t>li</w:t>
      </w:r>
      <w:r w:rsidRPr="009B347B">
        <w:rPr>
          <w:sz w:val="24"/>
          <w:szCs w:val="24"/>
        </w:rPr>
        <w:t xml:space="preserve"> Vipnet mogu istome privremeno obustaviti pružanje usluge u roku od 30 dana od dana dospijeća; </w:t>
      </w:r>
    </w:p>
    <w:p w:rsidR="000E4ECF" w:rsidRPr="009B347B" w:rsidRDefault="00747116" w:rsidP="00536EC7">
      <w:pPr>
        <w:pStyle w:val="ListParagraph"/>
        <w:numPr>
          <w:ilvl w:val="0"/>
          <w:numId w:val="4"/>
        </w:numPr>
        <w:spacing w:line="240" w:lineRule="auto"/>
        <w:jc w:val="both"/>
        <w:rPr>
          <w:sz w:val="24"/>
          <w:szCs w:val="24"/>
        </w:rPr>
      </w:pPr>
      <w:r w:rsidRPr="009B347B">
        <w:rPr>
          <w:sz w:val="24"/>
          <w:szCs w:val="24"/>
        </w:rPr>
        <w:t>U</w:t>
      </w:r>
      <w:r w:rsidR="000E4ECF" w:rsidRPr="009B347B">
        <w:rPr>
          <w:sz w:val="24"/>
          <w:szCs w:val="24"/>
        </w:rPr>
        <w:t xml:space="preserve"> slučajevima kada je HT</w:t>
      </w:r>
      <w:r w:rsidR="005358E9" w:rsidRPr="009B347B">
        <w:rPr>
          <w:sz w:val="24"/>
          <w:szCs w:val="24"/>
        </w:rPr>
        <w:t>, Tele2 ili Vipnet</w:t>
      </w:r>
      <w:r w:rsidR="000E4ECF" w:rsidRPr="009B347B">
        <w:rPr>
          <w:sz w:val="24"/>
          <w:szCs w:val="24"/>
        </w:rPr>
        <w:t xml:space="preserve"> predao na naplatu instrumente osiguranja plaćanja operator je obvezan dostaviti novi odgovarajući instrument osiguranja plaćanja odmah, a najkasnije u roku 15 dana od trenutka kada je </w:t>
      </w:r>
      <w:r w:rsidR="005358E9" w:rsidRPr="009B347B">
        <w:rPr>
          <w:sz w:val="24"/>
          <w:szCs w:val="24"/>
        </w:rPr>
        <w:t>operator sa značajnom tržišnom snagom</w:t>
      </w:r>
      <w:r w:rsidR="000E4ECF" w:rsidRPr="009B347B">
        <w:rPr>
          <w:sz w:val="24"/>
          <w:szCs w:val="24"/>
        </w:rPr>
        <w:t xml:space="preserve"> predao instrument osiguranja plaćanja na naplatu.</w:t>
      </w:r>
    </w:p>
    <w:p w:rsidR="00E169FB" w:rsidRPr="00AF021F" w:rsidRDefault="00E169FB" w:rsidP="004729FF">
      <w:pPr>
        <w:spacing w:line="240" w:lineRule="auto"/>
        <w:jc w:val="both"/>
        <w:rPr>
          <w:sz w:val="24"/>
          <w:szCs w:val="24"/>
        </w:rPr>
      </w:pPr>
      <w:r w:rsidRPr="009B347B">
        <w:rPr>
          <w:sz w:val="24"/>
          <w:szCs w:val="24"/>
        </w:rPr>
        <w:t>Iznimno od gore navedenog instrumenta osiguranja u vidu bjanko zadužnice, svaki operator koji je određen operatorom sa značajnom tržišnom snagom na tržištu veleprodajnog završavanja glasovnih poziva u vlastitoj mobilnoj mreži, ima pravo tražiti od operatora s kojim do sada nije imao sklopljen ugovor, a koji traži od njega uslugu završavanja poziva u njegovu mobilnu mrežu, a da operatori sa značajnom tržišnom snagom na mjerodavnom tržištu pritom ne traže niti ostvaruju od istog pružanje ijedne usluge, bankarsku garanciju u iznosu tromjesečnog predviđenog prometa i na razdoblje od 12 mjeseci. Nakon proteka razdoblja od 12 mjeseci, pod uvjetom da novi operatori svoje novčane obveze prema operatorima sa značajnom tržišnom snagom na mjerodavnom tržištu uredno ispunjavaju, operatori sa značajnom tržišnom snagom više nemaju pravo tražiti od istih bankarsku garanciju kao instrument osiguranja.</w:t>
      </w:r>
    </w:p>
    <w:p w:rsidR="000E4ECF" w:rsidRDefault="000E4ECF" w:rsidP="00BB7F55">
      <w:pPr>
        <w:spacing w:after="0" w:line="240" w:lineRule="auto"/>
        <w:jc w:val="both"/>
        <w:rPr>
          <w:sz w:val="24"/>
          <w:szCs w:val="24"/>
        </w:rPr>
      </w:pPr>
      <w:r w:rsidRPr="00AF021F">
        <w:rPr>
          <w:sz w:val="24"/>
          <w:szCs w:val="24"/>
        </w:rPr>
        <w:t>Nadalje, u slučaju kada je u odnosu na operatora korisnika otvoren postupak predstečajne nagodbe u pogledu plaćanja dospjelih i nespornih dugovanja na odgovarajući način primjenjuju se odredbe zakona kojim je uređen postupak predstečajne nagodbe.</w:t>
      </w:r>
      <w:r w:rsidR="00AF021F" w:rsidRPr="00AF021F">
        <w:rPr>
          <w:sz w:val="24"/>
          <w:szCs w:val="24"/>
        </w:rPr>
        <w:t xml:space="preserve"> </w:t>
      </w:r>
      <w:r w:rsidRPr="00AF021F">
        <w:rPr>
          <w:sz w:val="24"/>
          <w:szCs w:val="24"/>
        </w:rPr>
        <w:t xml:space="preserve">U vezi s tim, </w:t>
      </w:r>
      <w:r w:rsidR="007349C2" w:rsidRPr="00AF021F">
        <w:rPr>
          <w:sz w:val="24"/>
          <w:szCs w:val="24"/>
        </w:rPr>
        <w:t xml:space="preserve">operatori </w:t>
      </w:r>
      <w:r w:rsidRPr="00AF021F">
        <w:rPr>
          <w:sz w:val="24"/>
          <w:szCs w:val="24"/>
        </w:rPr>
        <w:t>HT</w:t>
      </w:r>
      <w:r w:rsidR="007349C2" w:rsidRPr="00AF021F">
        <w:rPr>
          <w:sz w:val="24"/>
          <w:szCs w:val="24"/>
        </w:rPr>
        <w:t>, Tele2 i Vipnet</w:t>
      </w:r>
      <w:r w:rsidRPr="00AF021F">
        <w:rPr>
          <w:sz w:val="24"/>
          <w:szCs w:val="24"/>
        </w:rPr>
        <w:t xml:space="preserve"> n</w:t>
      </w:r>
      <w:r w:rsidR="007349C2" w:rsidRPr="00AF021F">
        <w:rPr>
          <w:sz w:val="24"/>
          <w:szCs w:val="24"/>
        </w:rPr>
        <w:t>e smiju</w:t>
      </w:r>
      <w:r w:rsidRPr="00AF021F">
        <w:rPr>
          <w:sz w:val="24"/>
          <w:szCs w:val="24"/>
        </w:rPr>
        <w:t xml:space="preserve"> operatoru korisniku koji se nalazi u postupku predstečajne nagodbe obusta</w:t>
      </w:r>
      <w:r w:rsidR="007349C2" w:rsidRPr="00AF021F">
        <w:rPr>
          <w:sz w:val="24"/>
          <w:szCs w:val="24"/>
        </w:rPr>
        <w:t>viti pružanje postojećih usluga.</w:t>
      </w:r>
      <w:r w:rsidRPr="00AF021F">
        <w:rPr>
          <w:sz w:val="24"/>
          <w:szCs w:val="24"/>
        </w:rPr>
        <w:t xml:space="preserve"> U slučajevima kada je operator korisnik koji se nalazi u postupku predstečajne nagodbe podnio zahtjev za </w:t>
      </w:r>
      <w:r w:rsidR="003E48E7" w:rsidRPr="00AF021F">
        <w:rPr>
          <w:sz w:val="24"/>
          <w:szCs w:val="24"/>
        </w:rPr>
        <w:t>međupovezivanjem</w:t>
      </w:r>
      <w:r w:rsidRPr="00AF021F">
        <w:rPr>
          <w:sz w:val="24"/>
          <w:szCs w:val="24"/>
        </w:rPr>
        <w:t xml:space="preserve"> primjenjivat će se odredbe Standardne ponude</w:t>
      </w:r>
      <w:r w:rsidR="002B5831" w:rsidRPr="00AF021F">
        <w:rPr>
          <w:sz w:val="24"/>
          <w:szCs w:val="24"/>
        </w:rPr>
        <w:t xml:space="preserve"> za usluge međupovezivanja</w:t>
      </w:r>
      <w:r w:rsidRPr="00AF021F">
        <w:rPr>
          <w:sz w:val="24"/>
          <w:szCs w:val="24"/>
        </w:rPr>
        <w:t xml:space="preserve">, uključujući i odredbe koje se odnose na isplatu naknada za </w:t>
      </w:r>
      <w:r w:rsidR="002B5831" w:rsidRPr="00AF021F">
        <w:rPr>
          <w:sz w:val="24"/>
          <w:szCs w:val="24"/>
        </w:rPr>
        <w:t xml:space="preserve">zakašnjenje u realizaciji </w:t>
      </w:r>
      <w:r w:rsidR="003E48E7" w:rsidRPr="00747B15">
        <w:rPr>
          <w:sz w:val="24"/>
          <w:szCs w:val="24"/>
        </w:rPr>
        <w:t xml:space="preserve">međupovezivanja </w:t>
      </w:r>
      <w:r w:rsidRPr="00B72586">
        <w:rPr>
          <w:sz w:val="24"/>
          <w:szCs w:val="24"/>
        </w:rPr>
        <w:t>od strane HT-a</w:t>
      </w:r>
      <w:r w:rsidR="007349C2" w:rsidRPr="00B72586">
        <w:rPr>
          <w:sz w:val="24"/>
          <w:szCs w:val="24"/>
        </w:rPr>
        <w:t>, Tele2 ili Vipnet-a</w:t>
      </w:r>
      <w:r w:rsidRPr="00B72586">
        <w:rPr>
          <w:sz w:val="24"/>
          <w:szCs w:val="24"/>
        </w:rPr>
        <w:t>.</w:t>
      </w:r>
    </w:p>
    <w:p w:rsidR="000E4ECF" w:rsidRPr="00A052D4" w:rsidRDefault="000E4ECF" w:rsidP="00BB7F55">
      <w:pPr>
        <w:spacing w:after="0" w:line="240" w:lineRule="auto"/>
        <w:jc w:val="both"/>
        <w:rPr>
          <w:sz w:val="24"/>
          <w:szCs w:val="24"/>
          <w:highlight w:val="yellow"/>
        </w:rPr>
      </w:pPr>
    </w:p>
    <w:p w:rsidR="000E4ECF" w:rsidRPr="00D91D11" w:rsidRDefault="000E4ECF" w:rsidP="00BB7F55">
      <w:pPr>
        <w:spacing w:after="0" w:line="240" w:lineRule="auto"/>
        <w:jc w:val="center"/>
        <w:rPr>
          <w:sz w:val="24"/>
          <w:szCs w:val="24"/>
        </w:rPr>
      </w:pPr>
      <w:r w:rsidRPr="00D91D11">
        <w:rPr>
          <w:sz w:val="24"/>
          <w:szCs w:val="24"/>
        </w:rPr>
        <w:t>***</w:t>
      </w:r>
    </w:p>
    <w:p w:rsidR="000E4ECF" w:rsidRPr="00A052D4" w:rsidRDefault="000E4ECF" w:rsidP="00BB7F55">
      <w:pPr>
        <w:spacing w:after="0" w:line="240" w:lineRule="auto"/>
        <w:jc w:val="both"/>
        <w:rPr>
          <w:sz w:val="24"/>
          <w:szCs w:val="24"/>
          <w:highlight w:val="yellow"/>
        </w:rPr>
      </w:pPr>
    </w:p>
    <w:p w:rsidR="00532A52" w:rsidRDefault="00E87A07" w:rsidP="00BB7F55">
      <w:pPr>
        <w:spacing w:after="0" w:line="240" w:lineRule="auto"/>
        <w:jc w:val="both"/>
        <w:rPr>
          <w:sz w:val="24"/>
          <w:szCs w:val="24"/>
        </w:rPr>
      </w:pPr>
      <w:r>
        <w:rPr>
          <w:sz w:val="24"/>
          <w:szCs w:val="24"/>
        </w:rPr>
        <w:t>H</w:t>
      </w:r>
      <w:r w:rsidR="00D324BE">
        <w:rPr>
          <w:sz w:val="24"/>
          <w:szCs w:val="24"/>
        </w:rPr>
        <w:t>AKOM</w:t>
      </w:r>
      <w:r>
        <w:rPr>
          <w:sz w:val="24"/>
          <w:szCs w:val="24"/>
        </w:rPr>
        <w:t xml:space="preserve"> smatra da se objavom standardne ponude uklanjaju </w:t>
      </w:r>
      <w:r w:rsidR="0023730C">
        <w:rPr>
          <w:sz w:val="24"/>
          <w:szCs w:val="24"/>
        </w:rPr>
        <w:t>pre</w:t>
      </w:r>
      <w:r>
        <w:rPr>
          <w:sz w:val="24"/>
          <w:szCs w:val="24"/>
        </w:rPr>
        <w:t>preke ulasku na tržište definirane poglavljima</w:t>
      </w:r>
      <w:r w:rsidR="00532A52">
        <w:rPr>
          <w:sz w:val="24"/>
          <w:szCs w:val="24"/>
        </w:rPr>
        <w:t xml:space="preserve"> 6.</w:t>
      </w:r>
      <w:r w:rsidR="00873881">
        <w:rPr>
          <w:sz w:val="24"/>
          <w:szCs w:val="24"/>
        </w:rPr>
        <w:t>2</w:t>
      </w:r>
      <w:r w:rsidR="00532A52">
        <w:rPr>
          <w:sz w:val="24"/>
          <w:szCs w:val="24"/>
        </w:rPr>
        <w:t>. i 6.</w:t>
      </w:r>
      <w:r w:rsidR="00873881">
        <w:rPr>
          <w:sz w:val="24"/>
          <w:szCs w:val="24"/>
        </w:rPr>
        <w:t>3</w:t>
      </w:r>
      <w:r w:rsidR="00532A52">
        <w:rPr>
          <w:sz w:val="24"/>
          <w:szCs w:val="24"/>
        </w:rPr>
        <w:t xml:space="preserve">. ovog dokumenta te se </w:t>
      </w:r>
      <w:r w:rsidR="00F5328A">
        <w:rPr>
          <w:sz w:val="24"/>
          <w:szCs w:val="24"/>
        </w:rPr>
        <w:t xml:space="preserve">omogućavaju preduvjeti za </w:t>
      </w:r>
      <w:r w:rsidR="00532A52">
        <w:rPr>
          <w:sz w:val="24"/>
          <w:szCs w:val="24"/>
        </w:rPr>
        <w:t>ulazak novih operatora, a što istodobno povećava konkurenciju i tržišno natjecanje na maloprodajnoj razini. Stoga, HAKOM je mišljenja da je navedena obveza primjerena i razmjerna, s obzirom da bi HT</w:t>
      </w:r>
      <w:r w:rsidR="003B0228">
        <w:rPr>
          <w:sz w:val="24"/>
          <w:szCs w:val="24"/>
        </w:rPr>
        <w:t>,</w:t>
      </w:r>
      <w:r w:rsidR="00BF17FD">
        <w:rPr>
          <w:sz w:val="24"/>
          <w:szCs w:val="24"/>
        </w:rPr>
        <w:t xml:space="preserve"> Tele2 i Vipnet</w:t>
      </w:r>
      <w:r w:rsidR="00532A52">
        <w:rPr>
          <w:sz w:val="24"/>
          <w:szCs w:val="24"/>
        </w:rPr>
        <w:t xml:space="preserve">, u odsustvu regulacije, mogli </w:t>
      </w:r>
      <w:r w:rsidR="00BF17FD">
        <w:rPr>
          <w:sz w:val="24"/>
          <w:szCs w:val="24"/>
        </w:rPr>
        <w:t>netransparentnim</w:t>
      </w:r>
      <w:r w:rsidR="00532A52">
        <w:rPr>
          <w:sz w:val="24"/>
          <w:szCs w:val="24"/>
        </w:rPr>
        <w:t xml:space="preserve"> uvjetima i cijenama drugim operatorima nuditi različite uvjete i cijene od onih koj</w:t>
      </w:r>
      <w:r w:rsidR="00D324BE">
        <w:rPr>
          <w:sz w:val="24"/>
          <w:szCs w:val="24"/>
        </w:rPr>
        <w:t xml:space="preserve">i </w:t>
      </w:r>
      <w:r w:rsidR="00532A52">
        <w:rPr>
          <w:sz w:val="24"/>
          <w:szCs w:val="24"/>
        </w:rPr>
        <w:t xml:space="preserve">pružaju svom maloprodajnom dijelu i svojim povezanim društvima. Dakle, objava standardne ponude je nužna obveza jer omogućuje transparentno djelovanje HT-a, Tele2 i Vipnet-a, a istovremeno dopunjuje obvezu </w:t>
      </w:r>
      <w:r w:rsidR="00F5328A">
        <w:rPr>
          <w:sz w:val="24"/>
          <w:szCs w:val="24"/>
        </w:rPr>
        <w:t>ne</w:t>
      </w:r>
      <w:r w:rsidR="00532A52">
        <w:rPr>
          <w:sz w:val="24"/>
          <w:szCs w:val="24"/>
        </w:rPr>
        <w:t>diskriminacije.</w:t>
      </w:r>
    </w:p>
    <w:p w:rsidR="00532A52" w:rsidRDefault="00532A52" w:rsidP="00BB7F55">
      <w:pPr>
        <w:spacing w:after="0" w:line="240" w:lineRule="auto"/>
        <w:jc w:val="both"/>
        <w:rPr>
          <w:sz w:val="24"/>
          <w:szCs w:val="24"/>
        </w:rPr>
      </w:pPr>
    </w:p>
    <w:p w:rsidR="003C03AA" w:rsidRDefault="00532A52" w:rsidP="00BB7F55">
      <w:pPr>
        <w:spacing w:after="0" w:line="240" w:lineRule="auto"/>
        <w:jc w:val="both"/>
        <w:rPr>
          <w:sz w:val="24"/>
          <w:szCs w:val="24"/>
        </w:rPr>
      </w:pPr>
      <w:r>
        <w:rPr>
          <w:sz w:val="24"/>
          <w:szCs w:val="24"/>
        </w:rPr>
        <w:t xml:space="preserve">Također </w:t>
      </w:r>
      <w:r w:rsidR="001268E6">
        <w:rPr>
          <w:sz w:val="24"/>
          <w:szCs w:val="24"/>
        </w:rPr>
        <w:t>određivanjem</w:t>
      </w:r>
      <w:r>
        <w:rPr>
          <w:sz w:val="24"/>
          <w:szCs w:val="24"/>
        </w:rPr>
        <w:t xml:space="preserve"> ostalih obveza u okviru obveze transparentnosti, nadopunjuje se obveza nediskriminacije, te se ukidaju potencijalne prepreke definirane u pog</w:t>
      </w:r>
      <w:r w:rsidR="00D324BE">
        <w:rPr>
          <w:sz w:val="24"/>
          <w:szCs w:val="24"/>
        </w:rPr>
        <w:t>lavlj</w:t>
      </w:r>
      <w:r w:rsidR="00543179">
        <w:rPr>
          <w:sz w:val="24"/>
          <w:szCs w:val="24"/>
        </w:rPr>
        <w:t>u</w:t>
      </w:r>
      <w:r w:rsidR="00D324BE">
        <w:rPr>
          <w:sz w:val="24"/>
          <w:szCs w:val="24"/>
        </w:rPr>
        <w:t xml:space="preserve"> 6. ovog dokume</w:t>
      </w:r>
      <w:r>
        <w:rPr>
          <w:sz w:val="24"/>
          <w:szCs w:val="24"/>
        </w:rPr>
        <w:t>nta i slične koje nisu direktno definirane.</w:t>
      </w:r>
    </w:p>
    <w:p w:rsidR="00676A66" w:rsidRDefault="00676A66" w:rsidP="00BB7F55">
      <w:pPr>
        <w:spacing w:after="0" w:line="240" w:lineRule="auto"/>
        <w:jc w:val="both"/>
        <w:rPr>
          <w:sz w:val="24"/>
          <w:szCs w:val="24"/>
        </w:rPr>
      </w:pPr>
    </w:p>
    <w:p w:rsidR="00581A44" w:rsidRPr="00A052D4" w:rsidRDefault="00581A44" w:rsidP="00BB7F55">
      <w:pPr>
        <w:spacing w:after="0" w:line="240" w:lineRule="auto"/>
        <w:jc w:val="both"/>
        <w:rPr>
          <w:sz w:val="24"/>
          <w:szCs w:val="24"/>
          <w:highlight w:val="yellow"/>
        </w:rPr>
      </w:pPr>
      <w:r w:rsidRPr="00A052D4">
        <w:rPr>
          <w:sz w:val="24"/>
          <w:szCs w:val="24"/>
          <w:highlight w:val="yellow"/>
        </w:rPr>
        <w:br w:type="page"/>
      </w:r>
    </w:p>
    <w:p w:rsidR="000E4ECF" w:rsidRPr="0083065B" w:rsidRDefault="000E4ECF" w:rsidP="00083A62">
      <w:pPr>
        <w:pStyle w:val="Heading2"/>
      </w:pPr>
      <w:bookmarkStart w:id="53" w:name="_Toc525816358"/>
      <w:r w:rsidRPr="0083065B">
        <w:lastRenderedPageBreak/>
        <w:t>Obveza nadzora cijena</w:t>
      </w:r>
      <w:bookmarkEnd w:id="53"/>
    </w:p>
    <w:p w:rsidR="00AE2A99" w:rsidRPr="00A052D4" w:rsidRDefault="00AE2A99" w:rsidP="00AE2A99">
      <w:pPr>
        <w:spacing w:before="200" w:after="0" w:line="240" w:lineRule="auto"/>
        <w:jc w:val="both"/>
        <w:rPr>
          <w:sz w:val="24"/>
          <w:szCs w:val="24"/>
          <w:highlight w:val="yellow"/>
        </w:rPr>
      </w:pPr>
      <w:r w:rsidRPr="0083065B">
        <w:rPr>
          <w:sz w:val="24"/>
          <w:szCs w:val="24"/>
        </w:rPr>
        <w:t>HAKOM može</w:t>
      </w:r>
      <w:r>
        <w:rPr>
          <w:sz w:val="24"/>
          <w:szCs w:val="24"/>
        </w:rPr>
        <w:t xml:space="preserve"> </w:t>
      </w:r>
      <w:r w:rsidRPr="0083065B">
        <w:rPr>
          <w:sz w:val="24"/>
          <w:szCs w:val="24"/>
        </w:rPr>
        <w:t>odrediti operatorima 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 HAKOM ovu obvezu, operatorima sa značajnom tržišnom snagom HT-u, Tele2 i Vipnet-u zadržava, odnosno određuje samo u d</w:t>
      </w:r>
      <w:r w:rsidR="00A87BE8">
        <w:rPr>
          <w:sz w:val="24"/>
          <w:szCs w:val="24"/>
        </w:rPr>
        <w:t>i</w:t>
      </w:r>
      <w:r w:rsidRPr="0083065B">
        <w:rPr>
          <w:sz w:val="24"/>
          <w:szCs w:val="24"/>
        </w:rPr>
        <w:t>jelu koji se odnosi na pristup u svrhu međupovezivanja i to na način kako je određeno dalje u dokumentu.</w:t>
      </w:r>
    </w:p>
    <w:p w:rsidR="00AE2A99" w:rsidRPr="00A052D4" w:rsidRDefault="00AE2A99" w:rsidP="00AE2A99">
      <w:pPr>
        <w:spacing w:after="0" w:line="240" w:lineRule="auto"/>
        <w:jc w:val="both"/>
        <w:rPr>
          <w:sz w:val="24"/>
          <w:szCs w:val="24"/>
          <w:highlight w:val="yellow"/>
        </w:rPr>
      </w:pPr>
    </w:p>
    <w:p w:rsidR="00AE2A99" w:rsidRPr="0083065B" w:rsidRDefault="00AE2A99" w:rsidP="00AE2A99">
      <w:pPr>
        <w:spacing w:after="0" w:line="240" w:lineRule="auto"/>
        <w:jc w:val="both"/>
        <w:rPr>
          <w:sz w:val="24"/>
          <w:szCs w:val="24"/>
        </w:rPr>
      </w:pPr>
      <w:r w:rsidRPr="0083065B">
        <w:rPr>
          <w:sz w:val="24"/>
          <w:szCs w:val="24"/>
        </w:rPr>
        <w:t>HAKOM će osigurati da svi načini povrata troškova i metodologije određivanja cijena, koje su određene operatorima, budu usmjerene na promicanje djelotvornosti i održivoga tržišnog natjecanja te na ostvarivanje najvećih pogodnosti za krajnje korisnike usluga, pri čemu može uzeti u obzir i cijene dostupne na usporedivim konkurentnim tržištima.</w:t>
      </w:r>
    </w:p>
    <w:p w:rsidR="00AE2A99" w:rsidRPr="00A052D4" w:rsidRDefault="00AE2A99" w:rsidP="00AE2A99">
      <w:pPr>
        <w:spacing w:after="0" w:line="240" w:lineRule="auto"/>
        <w:jc w:val="both"/>
        <w:rPr>
          <w:sz w:val="24"/>
          <w:szCs w:val="24"/>
          <w:highlight w:val="yellow"/>
        </w:rPr>
      </w:pPr>
    </w:p>
    <w:p w:rsidR="00AE2A99" w:rsidRDefault="00AE2A99" w:rsidP="00AE2A99">
      <w:pPr>
        <w:spacing w:after="0" w:line="240" w:lineRule="auto"/>
        <w:jc w:val="both"/>
        <w:rPr>
          <w:sz w:val="24"/>
          <w:szCs w:val="24"/>
        </w:rPr>
      </w:pPr>
      <w:r w:rsidRPr="0083065B">
        <w:rPr>
          <w:sz w:val="24"/>
          <w:szCs w:val="24"/>
        </w:rPr>
        <w:t>Operator, kojemu je određena obveza troškovne usmjerenosti cijena, snosi teret dokazivanja da cijene njegovih usluga proizlaze iz troškova, uključujući razumnu stopu povrata ulaganja. U svrhu izračuna troškova djelotvornog pružanja usluga HAKOM može primijeniti metodologiju troškovnog računovodstva neovisno o metodologiji koju primjenjuje operator, ili metodu referentnih vrijednosti te može zatražiti od operatora cjelovito obrazloženje cijena njegovih usluga, a prema potrebi i izmjenu tih cijena.</w:t>
      </w:r>
    </w:p>
    <w:p w:rsidR="00AE2A99" w:rsidRDefault="00AE2A99" w:rsidP="00AE2A99">
      <w:pPr>
        <w:spacing w:after="0" w:line="240" w:lineRule="auto"/>
        <w:jc w:val="both"/>
        <w:rPr>
          <w:sz w:val="24"/>
          <w:szCs w:val="24"/>
        </w:rPr>
      </w:pPr>
    </w:p>
    <w:p w:rsidR="00AE2A99" w:rsidRDefault="00AE2A99" w:rsidP="00AE2A99">
      <w:pPr>
        <w:spacing w:after="0" w:line="240" w:lineRule="auto"/>
        <w:jc w:val="both"/>
        <w:rPr>
          <w:sz w:val="24"/>
          <w:szCs w:val="24"/>
        </w:rPr>
      </w:pPr>
      <w:r>
        <w:rPr>
          <w:sz w:val="24"/>
          <w:szCs w:val="24"/>
        </w:rPr>
        <w:lastRenderedPageBreak/>
        <w:t xml:space="preserve">Vezano uz </w:t>
      </w:r>
      <w:r w:rsidRPr="005F72E8">
        <w:rPr>
          <w:sz w:val="24"/>
          <w:szCs w:val="24"/>
        </w:rPr>
        <w:t xml:space="preserve">metodologiju troškovnog računovodstva, HAKOM </w:t>
      </w:r>
      <w:r>
        <w:rPr>
          <w:sz w:val="24"/>
          <w:szCs w:val="24"/>
        </w:rPr>
        <w:t xml:space="preserve">je </w:t>
      </w:r>
      <w:r w:rsidRPr="005F72E8">
        <w:rPr>
          <w:sz w:val="24"/>
          <w:szCs w:val="24"/>
        </w:rPr>
        <w:t>u veljači 2012. donio odluku o metodologiji izrade i primjene troškovnih modela za nepokretnu i pokretnu mrežu i univerzalnu uslugu</w:t>
      </w:r>
      <w:r w:rsidR="003B0228">
        <w:rPr>
          <w:rStyle w:val="FootnoteReference"/>
          <w:sz w:val="24"/>
          <w:szCs w:val="24"/>
        </w:rPr>
        <w:footnoteReference w:id="30"/>
      </w:r>
      <w:r w:rsidRPr="005F72E8">
        <w:rPr>
          <w:sz w:val="24"/>
          <w:szCs w:val="24"/>
        </w:rPr>
        <w:t xml:space="preserve">. </w:t>
      </w:r>
      <w:r w:rsidRPr="00847179">
        <w:rPr>
          <w:sz w:val="24"/>
          <w:szCs w:val="24"/>
        </w:rPr>
        <w:t xml:space="preserve">Rezultat troškovnih modela za pokretnu mrežu, jest izračun jediničnih troškova reguliranih usluga. Prema takvom troškovno usmjerenom izračunu cijena, operator sa značajnom tržišnom snagom trebao bi moći ostvariti povrat učinkovitih troškova pružanja usluga, pri čemu će tako određene cijene poticati daljnja ulaganja u izgradnju u modernizaciju mreže. </w:t>
      </w:r>
    </w:p>
    <w:p w:rsidR="00AE2A99" w:rsidRDefault="00AE2A99" w:rsidP="00AE2A99">
      <w:pPr>
        <w:spacing w:after="0" w:line="240" w:lineRule="auto"/>
        <w:jc w:val="both"/>
        <w:rPr>
          <w:sz w:val="24"/>
          <w:szCs w:val="24"/>
        </w:rPr>
      </w:pPr>
    </w:p>
    <w:p w:rsidR="00AE2A99" w:rsidRPr="00847179" w:rsidRDefault="00AE2A99" w:rsidP="00AE2A99">
      <w:pPr>
        <w:spacing w:after="0" w:line="240" w:lineRule="auto"/>
        <w:jc w:val="both"/>
        <w:rPr>
          <w:sz w:val="24"/>
          <w:szCs w:val="24"/>
        </w:rPr>
      </w:pPr>
      <w:r w:rsidRPr="00847179">
        <w:rPr>
          <w:sz w:val="24"/>
          <w:szCs w:val="24"/>
        </w:rPr>
        <w:t>Tri su glavna cilja HAKOM-a kod uvođenja troškovno-usmjerenog određivanja cijena:</w:t>
      </w:r>
    </w:p>
    <w:p w:rsidR="00AE2A99" w:rsidRPr="00847179" w:rsidRDefault="00AE2A99" w:rsidP="00536EC7">
      <w:pPr>
        <w:pStyle w:val="ListParagraph"/>
        <w:numPr>
          <w:ilvl w:val="0"/>
          <w:numId w:val="7"/>
        </w:numPr>
        <w:spacing w:after="0" w:line="240" w:lineRule="auto"/>
        <w:jc w:val="both"/>
        <w:rPr>
          <w:sz w:val="24"/>
          <w:szCs w:val="24"/>
        </w:rPr>
      </w:pPr>
      <w:r w:rsidRPr="00847179">
        <w:rPr>
          <w:sz w:val="24"/>
          <w:szCs w:val="24"/>
        </w:rPr>
        <w:t>promicanje učinkovitosti,</w:t>
      </w:r>
    </w:p>
    <w:p w:rsidR="00AE2A99" w:rsidRPr="00847179" w:rsidRDefault="00AE2A99" w:rsidP="00536EC7">
      <w:pPr>
        <w:pStyle w:val="ListParagraph"/>
        <w:numPr>
          <w:ilvl w:val="0"/>
          <w:numId w:val="7"/>
        </w:numPr>
        <w:spacing w:after="0" w:line="240" w:lineRule="auto"/>
        <w:jc w:val="both"/>
        <w:rPr>
          <w:sz w:val="24"/>
          <w:szCs w:val="24"/>
        </w:rPr>
      </w:pPr>
      <w:r w:rsidRPr="00847179">
        <w:rPr>
          <w:sz w:val="24"/>
          <w:szCs w:val="24"/>
        </w:rPr>
        <w:t>promicanje održivog tržišnog natjecanja te</w:t>
      </w:r>
    </w:p>
    <w:p w:rsidR="00AE2A99" w:rsidRPr="00847179" w:rsidRDefault="00AE2A99" w:rsidP="00536EC7">
      <w:pPr>
        <w:pStyle w:val="ListParagraph"/>
        <w:numPr>
          <w:ilvl w:val="0"/>
          <w:numId w:val="7"/>
        </w:numPr>
        <w:spacing w:after="0" w:line="240" w:lineRule="auto"/>
        <w:jc w:val="both"/>
        <w:rPr>
          <w:sz w:val="24"/>
          <w:szCs w:val="24"/>
        </w:rPr>
      </w:pPr>
      <w:r w:rsidRPr="00847179">
        <w:rPr>
          <w:sz w:val="24"/>
          <w:szCs w:val="24"/>
        </w:rPr>
        <w:t>osiguravanje najvećih koristi za korisnike.</w:t>
      </w:r>
    </w:p>
    <w:p w:rsidR="00AE2A99" w:rsidRPr="00A052D4" w:rsidRDefault="00AE2A99" w:rsidP="00AE2A99">
      <w:pPr>
        <w:spacing w:after="0" w:line="240" w:lineRule="auto"/>
        <w:jc w:val="both"/>
        <w:rPr>
          <w:sz w:val="24"/>
          <w:szCs w:val="24"/>
          <w:highlight w:val="yellow"/>
        </w:rPr>
      </w:pPr>
    </w:p>
    <w:p w:rsidR="00AE2A99" w:rsidRDefault="00AE2A99" w:rsidP="00AE2A99">
      <w:pPr>
        <w:spacing w:after="0" w:line="240" w:lineRule="auto"/>
        <w:jc w:val="both"/>
        <w:rPr>
          <w:sz w:val="24"/>
          <w:szCs w:val="24"/>
        </w:rPr>
      </w:pPr>
      <w:r w:rsidRPr="007B1A1D">
        <w:rPr>
          <w:sz w:val="24"/>
          <w:szCs w:val="24"/>
        </w:rPr>
        <w:t>HAKOM je u poglavlj</w:t>
      </w:r>
      <w:r w:rsidR="005D34B8" w:rsidRPr="007B1A1D">
        <w:rPr>
          <w:sz w:val="24"/>
          <w:szCs w:val="24"/>
        </w:rPr>
        <w:t>i</w:t>
      </w:r>
      <w:r w:rsidR="001B1B19">
        <w:rPr>
          <w:sz w:val="24"/>
          <w:szCs w:val="24"/>
        </w:rPr>
        <w:t>m</w:t>
      </w:r>
      <w:r w:rsidR="005D34B8" w:rsidRPr="007B1A1D">
        <w:rPr>
          <w:sz w:val="24"/>
          <w:szCs w:val="24"/>
        </w:rPr>
        <w:t>a</w:t>
      </w:r>
      <w:r w:rsidRPr="007B1A1D">
        <w:rPr>
          <w:sz w:val="24"/>
          <w:szCs w:val="24"/>
        </w:rPr>
        <w:t xml:space="preserve"> 6.</w:t>
      </w:r>
      <w:r w:rsidR="001B1B19">
        <w:rPr>
          <w:sz w:val="24"/>
          <w:szCs w:val="24"/>
        </w:rPr>
        <w:t>3</w:t>
      </w:r>
      <w:r w:rsidR="005D34B8" w:rsidRPr="007B1A1D">
        <w:rPr>
          <w:sz w:val="24"/>
          <w:szCs w:val="24"/>
        </w:rPr>
        <w:t>.-6.</w:t>
      </w:r>
      <w:r w:rsidR="001B1B19">
        <w:rPr>
          <w:sz w:val="24"/>
          <w:szCs w:val="24"/>
        </w:rPr>
        <w:t>4</w:t>
      </w:r>
      <w:r w:rsidR="005D34B8" w:rsidRPr="007B1A1D">
        <w:rPr>
          <w:sz w:val="24"/>
          <w:szCs w:val="24"/>
        </w:rPr>
        <w:t>.</w:t>
      </w:r>
      <w:r w:rsidRPr="007B1A1D">
        <w:rPr>
          <w:sz w:val="24"/>
          <w:szCs w:val="24"/>
        </w:rPr>
        <w:t xml:space="preserve"> ovog dokumenta prepoznao određene prepreke koje bi se</w:t>
      </w:r>
      <w:r>
        <w:rPr>
          <w:sz w:val="24"/>
          <w:szCs w:val="24"/>
        </w:rPr>
        <w:t xml:space="preserve"> mogle pojaviti na ovom tržištu u odsustvu regulacije</w:t>
      </w:r>
      <w:r w:rsidR="001B1B19">
        <w:rPr>
          <w:sz w:val="24"/>
          <w:szCs w:val="24"/>
        </w:rPr>
        <w:t>, pa</w:t>
      </w:r>
      <w:r>
        <w:rPr>
          <w:sz w:val="24"/>
          <w:szCs w:val="24"/>
        </w:rPr>
        <w:t xml:space="preserve"> je p</w:t>
      </w:r>
      <w:r w:rsidRPr="0083065B">
        <w:rPr>
          <w:sz w:val="24"/>
          <w:szCs w:val="24"/>
        </w:rPr>
        <w:t xml:space="preserve">o mišljenju HAKOM-a </w:t>
      </w:r>
      <w:r>
        <w:rPr>
          <w:sz w:val="24"/>
          <w:szCs w:val="24"/>
        </w:rPr>
        <w:t>potrebno zadržati</w:t>
      </w:r>
      <w:r w:rsidRPr="0083065B">
        <w:rPr>
          <w:sz w:val="24"/>
          <w:szCs w:val="24"/>
        </w:rPr>
        <w:t xml:space="preserve"> obvez</w:t>
      </w:r>
      <w:r>
        <w:rPr>
          <w:sz w:val="24"/>
          <w:szCs w:val="24"/>
        </w:rPr>
        <w:t>u</w:t>
      </w:r>
      <w:r w:rsidRPr="0083065B">
        <w:rPr>
          <w:sz w:val="24"/>
          <w:szCs w:val="24"/>
        </w:rPr>
        <w:t xml:space="preserve"> nadzora cijena </w:t>
      </w:r>
      <w:r>
        <w:rPr>
          <w:sz w:val="24"/>
          <w:szCs w:val="24"/>
        </w:rPr>
        <w:t>kako bi</w:t>
      </w:r>
      <w:r w:rsidRPr="0083065B" w:rsidDel="00BD5BFF">
        <w:rPr>
          <w:sz w:val="24"/>
          <w:szCs w:val="24"/>
        </w:rPr>
        <w:t xml:space="preserve"> </w:t>
      </w:r>
      <w:r>
        <w:rPr>
          <w:sz w:val="24"/>
          <w:szCs w:val="24"/>
        </w:rPr>
        <w:t>ne bi došlo do prepoznatih problema na tržištu.</w:t>
      </w:r>
    </w:p>
    <w:p w:rsidR="00AE2A99" w:rsidRDefault="00AE2A99" w:rsidP="00AE2A99">
      <w:pPr>
        <w:spacing w:after="0" w:line="240" w:lineRule="auto"/>
        <w:jc w:val="both"/>
        <w:rPr>
          <w:sz w:val="24"/>
          <w:szCs w:val="24"/>
        </w:rPr>
      </w:pPr>
    </w:p>
    <w:p w:rsidR="00AE2A99" w:rsidRPr="0083065B" w:rsidRDefault="001B1B19" w:rsidP="00AE2A99">
      <w:pPr>
        <w:spacing w:after="0" w:line="240" w:lineRule="auto"/>
        <w:jc w:val="both"/>
        <w:rPr>
          <w:sz w:val="24"/>
          <w:szCs w:val="24"/>
        </w:rPr>
      </w:pPr>
      <w:r>
        <w:rPr>
          <w:sz w:val="24"/>
          <w:szCs w:val="24"/>
        </w:rPr>
        <w:t>Stoga</w:t>
      </w:r>
      <w:r w:rsidR="00AE2A99" w:rsidRPr="0083065B">
        <w:rPr>
          <w:sz w:val="24"/>
          <w:szCs w:val="24"/>
        </w:rPr>
        <w:t>, HAKOM određuje operatorima HT-u, Tele2 i Vipnet-u obvezu nadzora cijena</w:t>
      </w:r>
      <w:r w:rsidR="00AE2A99">
        <w:rPr>
          <w:sz w:val="24"/>
          <w:szCs w:val="24"/>
        </w:rPr>
        <w:t>, i to</w:t>
      </w:r>
      <w:r w:rsidR="00AE2A99" w:rsidRPr="0083065B">
        <w:rPr>
          <w:sz w:val="24"/>
          <w:szCs w:val="24"/>
        </w:rPr>
        <w:t xml:space="preserve"> </w:t>
      </w:r>
      <w:r w:rsidR="00AE2A99">
        <w:rPr>
          <w:sz w:val="24"/>
          <w:szCs w:val="24"/>
        </w:rPr>
        <w:t xml:space="preserve">samo </w:t>
      </w:r>
      <w:r w:rsidR="00AE2A99" w:rsidRPr="0083065B">
        <w:rPr>
          <w:sz w:val="24"/>
          <w:szCs w:val="24"/>
        </w:rPr>
        <w:t>za</w:t>
      </w:r>
      <w:r w:rsidR="00AE2A99">
        <w:rPr>
          <w:sz w:val="24"/>
          <w:szCs w:val="24"/>
        </w:rPr>
        <w:t>:</w:t>
      </w:r>
    </w:p>
    <w:p w:rsidR="00AE2A99" w:rsidRPr="0083065B" w:rsidRDefault="00AE2A99" w:rsidP="00AE2A99">
      <w:pPr>
        <w:spacing w:after="0" w:line="240" w:lineRule="auto"/>
        <w:jc w:val="both"/>
        <w:rPr>
          <w:sz w:val="24"/>
          <w:szCs w:val="24"/>
        </w:rPr>
      </w:pPr>
    </w:p>
    <w:p w:rsidR="00B53D95" w:rsidRPr="0061086C" w:rsidRDefault="00B53D95" w:rsidP="007B1A1D">
      <w:pPr>
        <w:pStyle w:val="ListParagraph"/>
        <w:numPr>
          <w:ilvl w:val="0"/>
          <w:numId w:val="15"/>
        </w:numPr>
        <w:jc w:val="both"/>
        <w:rPr>
          <w:rFonts w:ascii="Cambria" w:hAnsi="Cambria"/>
          <w:i/>
          <w:iCs/>
          <w:color w:val="4F81BD"/>
          <w:spacing w:val="15"/>
          <w:sz w:val="24"/>
          <w:szCs w:val="24"/>
        </w:rPr>
      </w:pPr>
      <w:r w:rsidRPr="00B53D95">
        <w:rPr>
          <w:rFonts w:ascii="Cambria" w:hAnsi="Cambria"/>
          <w:i/>
          <w:iCs/>
          <w:color w:val="4F81BD"/>
          <w:spacing w:val="15"/>
          <w:sz w:val="24"/>
          <w:szCs w:val="24"/>
        </w:rPr>
        <w:lastRenderedPageBreak/>
        <w:t>uslugu završavanja glasovnih poziva u mrežu operator</w:t>
      </w:r>
      <w:r w:rsidR="001B7829">
        <w:rPr>
          <w:rFonts w:ascii="Cambria" w:hAnsi="Cambria"/>
          <w:i/>
          <w:iCs/>
          <w:color w:val="4F81BD"/>
          <w:spacing w:val="15"/>
          <w:sz w:val="24"/>
          <w:szCs w:val="24"/>
        </w:rPr>
        <w:t xml:space="preserve">a HT, Tele2 i Vipnet započetih </w:t>
      </w:r>
      <w:r w:rsidR="001B7829" w:rsidRPr="001B7829">
        <w:rPr>
          <w:rFonts w:ascii="Cambria" w:hAnsi="Cambria"/>
          <w:i/>
          <w:iCs/>
          <w:color w:val="4F81BD"/>
          <w:spacing w:val="15"/>
          <w:sz w:val="24"/>
          <w:szCs w:val="24"/>
        </w:rPr>
        <w:t>s</w:t>
      </w:r>
      <w:r w:rsidRPr="00B53D95">
        <w:rPr>
          <w:rFonts w:ascii="Cambria" w:hAnsi="Cambria"/>
          <w:i/>
          <w:iCs/>
          <w:color w:val="4F81BD"/>
          <w:spacing w:val="15"/>
          <w:sz w:val="24"/>
          <w:szCs w:val="24"/>
        </w:rPr>
        <w:t xml:space="preserve"> A brojeva koji pripadaju nekom od nacionalnih ili EEA operatora neovisno o mreži u kojoj je poziv započeo, pri čemu A broj operatoru koji ima mogućnost raspoznavanja A broja mora biti vidljiv</w:t>
      </w:r>
      <w:r w:rsidR="00910AB7" w:rsidRPr="0061086C">
        <w:rPr>
          <w:rFonts w:ascii="Cambria" w:hAnsi="Cambria"/>
          <w:i/>
          <w:iCs/>
          <w:color w:val="4F81BD"/>
          <w:spacing w:val="15"/>
          <w:sz w:val="24"/>
          <w:szCs w:val="24"/>
        </w:rPr>
        <w:t>, ispravan i potpun.</w:t>
      </w:r>
    </w:p>
    <w:p w:rsidR="00AE2A99" w:rsidRDefault="00AE2A99" w:rsidP="00AE2A99">
      <w:pPr>
        <w:spacing w:after="0" w:line="240" w:lineRule="auto"/>
        <w:jc w:val="both"/>
        <w:rPr>
          <w:sz w:val="24"/>
          <w:szCs w:val="24"/>
        </w:rPr>
      </w:pPr>
      <w:r>
        <w:rPr>
          <w:sz w:val="24"/>
          <w:szCs w:val="24"/>
        </w:rPr>
        <w:t xml:space="preserve">Stoga se obveza nadzora cijena primjenjuje na pozive koji su završili u mreži operatora pokretnih mreža, neovisno o tome jesu li pozivi započeti s A brojeva koji pripadaju nekom od nacionalnih ili međunarodnih EEA operatora pokretne ili nepokretne mreže </w:t>
      </w:r>
      <w:r w:rsidR="00837C6E">
        <w:rPr>
          <w:sz w:val="24"/>
          <w:szCs w:val="24"/>
        </w:rPr>
        <w:t xml:space="preserve">(slika </w:t>
      </w:r>
      <w:r w:rsidR="006B396E">
        <w:rPr>
          <w:sz w:val="24"/>
          <w:szCs w:val="24"/>
        </w:rPr>
        <w:t>9</w:t>
      </w:r>
      <w:r w:rsidRPr="00837C6E">
        <w:rPr>
          <w:sz w:val="24"/>
          <w:szCs w:val="24"/>
        </w:rPr>
        <w:t>).</w:t>
      </w:r>
    </w:p>
    <w:p w:rsidR="007B1A1D" w:rsidRDefault="007B1A1D" w:rsidP="00AE2A99">
      <w:pPr>
        <w:spacing w:after="0" w:line="240" w:lineRule="auto"/>
        <w:jc w:val="both"/>
        <w:rPr>
          <w:sz w:val="24"/>
          <w:szCs w:val="24"/>
        </w:rPr>
      </w:pPr>
    </w:p>
    <w:p w:rsidR="00AE2A99" w:rsidRDefault="00837C6E" w:rsidP="00AD5A79">
      <w:pPr>
        <w:pStyle w:val="Caption"/>
        <w:jc w:val="both"/>
        <w:rPr>
          <w:sz w:val="24"/>
          <w:szCs w:val="24"/>
        </w:rPr>
      </w:pPr>
      <w:r>
        <w:t xml:space="preserve">Slika </w:t>
      </w:r>
      <w:r w:rsidR="00777F62">
        <w:rPr>
          <w:noProof/>
        </w:rPr>
        <w:t>9</w:t>
      </w:r>
      <w:r w:rsidR="00E16D74">
        <w:t xml:space="preserve"> P</w:t>
      </w:r>
      <w:r>
        <w:t>rikaz reguliranih i nereguliranih odnosa poziva</w:t>
      </w:r>
    </w:p>
    <w:p w:rsidR="00837C6E" w:rsidRDefault="00EC4F64" w:rsidP="00837C6E">
      <w:pPr>
        <w:keepNext/>
        <w:spacing w:after="0" w:line="240" w:lineRule="auto"/>
        <w:jc w:val="both"/>
      </w:pPr>
      <w:r>
        <w:rPr>
          <w:noProof/>
          <w:lang w:eastAsia="hr-HR"/>
        </w:rPr>
        <w:drawing>
          <wp:inline distT="0" distB="0" distL="0" distR="0" wp14:anchorId="593148D9" wp14:editId="52C48540">
            <wp:extent cx="5695950" cy="3008254"/>
            <wp:effectExtent l="19050" t="19050" r="19050" b="209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96503" cy="3008546"/>
                    </a:xfrm>
                    <a:prstGeom prst="rect">
                      <a:avLst/>
                    </a:prstGeom>
                    <a:noFill/>
                    <a:ln>
                      <a:solidFill>
                        <a:srgbClr val="4F81BD"/>
                      </a:solidFill>
                    </a:ln>
                  </pic:spPr>
                </pic:pic>
              </a:graphicData>
            </a:graphic>
          </wp:inline>
        </w:drawing>
      </w:r>
    </w:p>
    <w:p w:rsidR="00AE2A99" w:rsidRDefault="00AE2A99" w:rsidP="00AE2A99">
      <w:pPr>
        <w:spacing w:after="0" w:line="240" w:lineRule="auto"/>
        <w:jc w:val="both"/>
        <w:rPr>
          <w:sz w:val="24"/>
          <w:szCs w:val="24"/>
        </w:rPr>
      </w:pPr>
    </w:p>
    <w:p w:rsidR="008212C8" w:rsidRPr="008212C8" w:rsidRDefault="00A87BE8" w:rsidP="008212C8">
      <w:pPr>
        <w:spacing w:after="0" w:line="240" w:lineRule="auto"/>
        <w:jc w:val="both"/>
        <w:rPr>
          <w:sz w:val="24"/>
          <w:szCs w:val="24"/>
        </w:rPr>
      </w:pPr>
      <w:r>
        <w:rPr>
          <w:sz w:val="24"/>
          <w:szCs w:val="24"/>
        </w:rPr>
        <w:lastRenderedPageBreak/>
        <w:t>Iznimno</w:t>
      </w:r>
      <w:r w:rsidR="008212C8" w:rsidRPr="008212C8">
        <w:rPr>
          <w:sz w:val="24"/>
          <w:szCs w:val="24"/>
        </w:rPr>
        <w:t xml:space="preserve">, u slučaju kada operator u zemlji na području izvan EEA naplaćuje hrvatskom operatoru cijenu terminacije koja je jednaka ili niža od regulirane cijene određene hrvatskim operatorima za EEA pozive, hrvatski operatori ne smiju za pozive s A broja započetih u mrežama takvih operatora izvan EEA naplaćivati cijenu koja bi bila veća od regulirane cijene terminacije. U svim ostalim slučajevima započinjanja poziva s A brojeva iz </w:t>
      </w:r>
      <w:r w:rsidR="00DF658E">
        <w:rPr>
          <w:sz w:val="24"/>
          <w:szCs w:val="24"/>
        </w:rPr>
        <w:t xml:space="preserve">mreža operatora koji se nalaze </w:t>
      </w:r>
      <w:r w:rsidR="008212C8" w:rsidRPr="008212C8">
        <w:rPr>
          <w:sz w:val="24"/>
          <w:szCs w:val="24"/>
        </w:rPr>
        <w:t>izvan EEA podru</w:t>
      </w:r>
      <w:r>
        <w:rPr>
          <w:sz w:val="24"/>
          <w:szCs w:val="24"/>
        </w:rPr>
        <w:t>čja</w:t>
      </w:r>
      <w:r w:rsidR="008212C8" w:rsidRPr="008212C8">
        <w:rPr>
          <w:sz w:val="24"/>
          <w:szCs w:val="24"/>
        </w:rPr>
        <w:t xml:space="preserve">, cijene se određuju na temelju komercijalnog dogovora dvaju operatora. </w:t>
      </w:r>
    </w:p>
    <w:p w:rsidR="008212C8" w:rsidRPr="008212C8" w:rsidRDefault="008212C8" w:rsidP="008212C8">
      <w:pPr>
        <w:spacing w:after="0" w:line="240" w:lineRule="auto"/>
        <w:jc w:val="both"/>
        <w:rPr>
          <w:sz w:val="24"/>
          <w:szCs w:val="24"/>
        </w:rPr>
      </w:pPr>
    </w:p>
    <w:p w:rsidR="008212C8" w:rsidRPr="008212C8" w:rsidRDefault="008212C8" w:rsidP="008212C8">
      <w:pPr>
        <w:spacing w:after="0" w:line="240" w:lineRule="auto"/>
        <w:jc w:val="both"/>
        <w:rPr>
          <w:sz w:val="24"/>
          <w:szCs w:val="24"/>
        </w:rPr>
      </w:pPr>
      <w:r w:rsidRPr="008212C8">
        <w:rPr>
          <w:sz w:val="24"/>
          <w:szCs w:val="24"/>
        </w:rPr>
        <w:t>Radi izbjegavanja dvojbi, ukoliko operator ima implementiran sustav raspoznavanja A broja, a sam A broj nije vidljiv, potpun ili ispravan (operator A broja ili tranzitni operator ga iz nekog razloga skriva, mijenja ili skraćuje), operatori sa značajnom tržišnom snagom nisu obvezni naplaćivati reguliranu cijenu.</w:t>
      </w:r>
    </w:p>
    <w:p w:rsidR="008212C8" w:rsidRPr="008212C8" w:rsidRDefault="008212C8" w:rsidP="008212C8">
      <w:pPr>
        <w:spacing w:after="0" w:line="240" w:lineRule="auto"/>
        <w:jc w:val="both"/>
        <w:rPr>
          <w:sz w:val="24"/>
          <w:szCs w:val="24"/>
        </w:rPr>
      </w:pPr>
    </w:p>
    <w:p w:rsidR="008212C8" w:rsidRPr="008212C8" w:rsidRDefault="008212C8" w:rsidP="008212C8">
      <w:pPr>
        <w:spacing w:after="0" w:line="240" w:lineRule="auto"/>
        <w:jc w:val="both"/>
        <w:rPr>
          <w:sz w:val="24"/>
          <w:szCs w:val="24"/>
        </w:rPr>
      </w:pPr>
      <w:r w:rsidRPr="008212C8">
        <w:rPr>
          <w:sz w:val="24"/>
          <w:szCs w:val="24"/>
        </w:rPr>
        <w:t xml:space="preserve">HAKOM je segmentiranu regulaciju cijena uveo prethodnom analizom ovog mjerodavnog tržišta, kako bi spriječio značajnu asimetriju cijena završavanja poziva koje su prije uvođenja segmentirane regulacije naplaćivali pojedini operatori izvan EEA zemalja u usporedbi s </w:t>
      </w:r>
      <w:r w:rsidR="003631A0">
        <w:rPr>
          <w:sz w:val="24"/>
          <w:szCs w:val="24"/>
        </w:rPr>
        <w:t xml:space="preserve">hrvatskim </w:t>
      </w:r>
      <w:r w:rsidRPr="008212C8">
        <w:rPr>
          <w:sz w:val="24"/>
          <w:szCs w:val="24"/>
        </w:rPr>
        <w:t>operatorima.</w:t>
      </w:r>
    </w:p>
    <w:p w:rsidR="008212C8" w:rsidRPr="008212C8" w:rsidRDefault="008212C8" w:rsidP="008212C8">
      <w:pPr>
        <w:spacing w:after="0" w:line="240" w:lineRule="auto"/>
        <w:jc w:val="both"/>
        <w:rPr>
          <w:sz w:val="24"/>
          <w:szCs w:val="24"/>
        </w:rPr>
      </w:pPr>
    </w:p>
    <w:p w:rsidR="008212C8" w:rsidRPr="008212C8" w:rsidRDefault="008212C8" w:rsidP="008212C8">
      <w:pPr>
        <w:spacing w:after="0" w:line="240" w:lineRule="auto"/>
        <w:jc w:val="both"/>
        <w:rPr>
          <w:sz w:val="24"/>
          <w:szCs w:val="24"/>
        </w:rPr>
      </w:pPr>
      <w:r w:rsidRPr="008212C8">
        <w:rPr>
          <w:sz w:val="24"/>
          <w:szCs w:val="24"/>
        </w:rPr>
        <w:t>Naime, određivanje obveze nadzora cijen</w:t>
      </w:r>
      <w:r w:rsidR="00DF658E">
        <w:rPr>
          <w:sz w:val="24"/>
          <w:szCs w:val="24"/>
        </w:rPr>
        <w:t>a</w:t>
      </w:r>
      <w:r w:rsidRPr="008212C8">
        <w:rPr>
          <w:sz w:val="24"/>
          <w:szCs w:val="24"/>
        </w:rPr>
        <w:t xml:space="preserve"> i za završavanje poziva s A broja iz mreže operatora izvan EEA zemalja dovelo bi hrvatske operatore u neravnopravan položaj kod ugovaranja cijena završavanja poziva u mreže pojedinih operatora izvan EEA zemalja, jer bi bili obvezni naplaćivati regulirane cijene, dok bi istovremeno tim istim operatorima bili prisiljeni plaćati višu cijenu završavanja poziva koja nije regulirana. </w:t>
      </w:r>
    </w:p>
    <w:p w:rsidR="008212C8" w:rsidRPr="008212C8" w:rsidRDefault="008212C8" w:rsidP="008212C8">
      <w:pPr>
        <w:spacing w:after="0" w:line="240" w:lineRule="auto"/>
        <w:jc w:val="both"/>
        <w:rPr>
          <w:sz w:val="24"/>
          <w:szCs w:val="24"/>
        </w:rPr>
      </w:pPr>
    </w:p>
    <w:p w:rsidR="00A97C4F" w:rsidRDefault="008212C8" w:rsidP="008212C8">
      <w:pPr>
        <w:spacing w:after="0" w:line="240" w:lineRule="auto"/>
        <w:jc w:val="both"/>
        <w:rPr>
          <w:sz w:val="24"/>
          <w:szCs w:val="24"/>
        </w:rPr>
      </w:pPr>
      <w:r w:rsidRPr="008212C8">
        <w:rPr>
          <w:sz w:val="24"/>
          <w:szCs w:val="24"/>
        </w:rPr>
        <w:t>Uzevši u obzir pozitivne učinke segmentirane regulacije cijene u smislu da je hrvatskim operatorima omogućena pregovaračka moć u pregovorima za određivanja cijena za završavanja poziva</w:t>
      </w:r>
      <w:r w:rsidR="00A87BE8">
        <w:rPr>
          <w:sz w:val="24"/>
          <w:szCs w:val="24"/>
        </w:rPr>
        <w:t xml:space="preserve"> i ravnopravni položaj</w:t>
      </w:r>
      <w:r w:rsidRPr="008212C8">
        <w:rPr>
          <w:sz w:val="24"/>
          <w:szCs w:val="24"/>
        </w:rPr>
        <w:t xml:space="preserve">, HAKOM smatra potrebnim zadržati </w:t>
      </w:r>
      <w:r w:rsidRPr="008212C8">
        <w:rPr>
          <w:sz w:val="24"/>
          <w:szCs w:val="24"/>
        </w:rPr>
        <w:lastRenderedPageBreak/>
        <w:t>segmentiranu regulaciju cijena. Međutim, HAKOM ovom analizom tržišta uvodi izuzetak na način da se umjesto komercijalne može naplatiti maksimalna regulirana cijena operatorima izvan EEA zemalja. Navedeno vrijedi samo za one operatore koji hrvatskih operatorima naplaćuju cijenu nižu ili istu reguliranoj cijeni koju imaju hrvatski operatori. HAKOM navedeno smatra uvesti iz razloga kako bi se spriječio neopravdani nerazmjer cijena.</w:t>
      </w:r>
    </w:p>
    <w:p w:rsidR="008212C8" w:rsidRDefault="008212C8" w:rsidP="008212C8">
      <w:pPr>
        <w:spacing w:after="0" w:line="240" w:lineRule="auto"/>
        <w:jc w:val="both"/>
        <w:rPr>
          <w:sz w:val="24"/>
          <w:szCs w:val="24"/>
        </w:rPr>
      </w:pPr>
    </w:p>
    <w:p w:rsidR="008212C8" w:rsidRDefault="008212C8" w:rsidP="008212C8">
      <w:pPr>
        <w:pStyle w:val="Subtitle"/>
        <w:rPr>
          <w:rFonts w:eastAsia="Times New Roman"/>
        </w:rPr>
      </w:pPr>
      <w:r>
        <w:rPr>
          <w:rFonts w:eastAsia="Times New Roman"/>
        </w:rPr>
        <w:t>Izračun cijene za uslugu završavanja poziva</w:t>
      </w:r>
    </w:p>
    <w:p w:rsidR="00DF658E" w:rsidRDefault="008212C8" w:rsidP="00AE2A99">
      <w:pPr>
        <w:spacing w:after="0" w:line="240" w:lineRule="auto"/>
        <w:jc w:val="both"/>
        <w:rPr>
          <w:sz w:val="24"/>
          <w:szCs w:val="24"/>
        </w:rPr>
      </w:pPr>
      <w:r w:rsidRPr="008212C8">
        <w:rPr>
          <w:sz w:val="24"/>
          <w:szCs w:val="24"/>
        </w:rPr>
        <w:t>Na temelju rezultata ažuriranog troškovnog modela, HAKO</w:t>
      </w:r>
      <w:r>
        <w:rPr>
          <w:sz w:val="24"/>
          <w:szCs w:val="24"/>
        </w:rPr>
        <w:t>M je odlukom od 14. rujna 2016.</w:t>
      </w:r>
      <w:r w:rsidRPr="008212C8">
        <w:rPr>
          <w:sz w:val="24"/>
          <w:szCs w:val="24"/>
        </w:rPr>
        <w:t xml:space="preserve">, u zasebnom postupku, odredio cijene završavanja </w:t>
      </w:r>
      <w:r>
        <w:rPr>
          <w:sz w:val="24"/>
          <w:szCs w:val="24"/>
        </w:rPr>
        <w:t>glasovnih poziva u vlastitoj mobilnoj mreži</w:t>
      </w:r>
      <w:r w:rsidRPr="008212C8">
        <w:rPr>
          <w:sz w:val="24"/>
          <w:szCs w:val="24"/>
        </w:rPr>
        <w:t xml:space="preserve">. </w:t>
      </w:r>
      <w:r w:rsidR="00DF658E">
        <w:rPr>
          <w:sz w:val="24"/>
          <w:szCs w:val="24"/>
        </w:rPr>
        <w:t>Tako o</w:t>
      </w:r>
      <w:r w:rsidRPr="008212C8">
        <w:rPr>
          <w:sz w:val="24"/>
          <w:szCs w:val="24"/>
        </w:rPr>
        <w:t xml:space="preserve">d 1. srpnja 2017., operatori u pokretnoj mreži primjenjuju cijenu koja je određena prethodno navedenom odlukom, a koja je određena na temelju </w:t>
      </w:r>
      <w:r w:rsidRPr="00DF658E">
        <w:rPr>
          <w:i/>
          <w:sz w:val="24"/>
          <w:szCs w:val="24"/>
        </w:rPr>
        <w:t>bottom-up</w:t>
      </w:r>
      <w:r w:rsidRPr="008212C8">
        <w:rPr>
          <w:sz w:val="24"/>
          <w:szCs w:val="24"/>
        </w:rPr>
        <w:t xml:space="preserve"> troškovnog modela uz primjenu </w:t>
      </w:r>
      <w:r w:rsidRPr="00DF658E">
        <w:rPr>
          <w:i/>
          <w:sz w:val="24"/>
          <w:szCs w:val="24"/>
        </w:rPr>
        <w:t>pure</w:t>
      </w:r>
      <w:r w:rsidRPr="008212C8">
        <w:rPr>
          <w:sz w:val="24"/>
          <w:szCs w:val="24"/>
        </w:rPr>
        <w:t xml:space="preserve"> LRIC pristupa, u skladu s Preporukom o regulaciji cijena završavanja poziva iz 2009., i to </w:t>
      </w:r>
      <w:r w:rsidR="005E0113">
        <w:rPr>
          <w:sz w:val="24"/>
          <w:szCs w:val="24"/>
        </w:rPr>
        <w:t>u iznosu od 4,7</w:t>
      </w:r>
      <w:r w:rsidR="005E0113" w:rsidRPr="00EB53D5">
        <w:rPr>
          <w:sz w:val="24"/>
          <w:szCs w:val="24"/>
        </w:rPr>
        <w:t>0 lp/min</w:t>
      </w:r>
      <w:r w:rsidR="005E0113">
        <w:rPr>
          <w:sz w:val="24"/>
          <w:szCs w:val="24"/>
        </w:rPr>
        <w:t>.</w:t>
      </w:r>
      <w:r w:rsidRPr="008212C8">
        <w:rPr>
          <w:sz w:val="24"/>
          <w:szCs w:val="24"/>
        </w:rPr>
        <w:t xml:space="preserve"> </w:t>
      </w:r>
    </w:p>
    <w:p w:rsidR="00DF658E" w:rsidRDefault="00DF658E" w:rsidP="00AE2A99">
      <w:pPr>
        <w:spacing w:after="0" w:line="240" w:lineRule="auto"/>
        <w:jc w:val="both"/>
        <w:rPr>
          <w:sz w:val="24"/>
          <w:szCs w:val="24"/>
        </w:rPr>
      </w:pPr>
    </w:p>
    <w:p w:rsidR="008212C8" w:rsidRDefault="00DF658E" w:rsidP="00AE2A99">
      <w:pPr>
        <w:spacing w:after="0" w:line="240" w:lineRule="auto"/>
        <w:jc w:val="both"/>
        <w:rPr>
          <w:sz w:val="24"/>
          <w:szCs w:val="24"/>
        </w:rPr>
      </w:pPr>
      <w:r>
        <w:rPr>
          <w:sz w:val="24"/>
          <w:szCs w:val="24"/>
        </w:rPr>
        <w:t>HAKOM s</w:t>
      </w:r>
      <w:r w:rsidR="00C87545">
        <w:rPr>
          <w:sz w:val="24"/>
          <w:szCs w:val="24"/>
        </w:rPr>
        <w:t xml:space="preserve">matra opravdanim odrediti da </w:t>
      </w:r>
      <w:r>
        <w:rPr>
          <w:sz w:val="24"/>
          <w:szCs w:val="24"/>
        </w:rPr>
        <w:t>n</w:t>
      </w:r>
      <w:r w:rsidR="008212C8" w:rsidRPr="008212C8">
        <w:rPr>
          <w:sz w:val="24"/>
          <w:szCs w:val="24"/>
        </w:rPr>
        <w:t xml:space="preserve">avedene cijene </w:t>
      </w:r>
      <w:r>
        <w:rPr>
          <w:sz w:val="24"/>
          <w:szCs w:val="24"/>
        </w:rPr>
        <w:t xml:space="preserve">ostanu na snazi </w:t>
      </w:r>
      <w:r w:rsidR="008212C8" w:rsidRPr="008212C8">
        <w:rPr>
          <w:sz w:val="24"/>
          <w:szCs w:val="24"/>
        </w:rPr>
        <w:t xml:space="preserve">do </w:t>
      </w:r>
      <w:r>
        <w:rPr>
          <w:sz w:val="24"/>
          <w:szCs w:val="24"/>
        </w:rPr>
        <w:t xml:space="preserve">primjene </w:t>
      </w:r>
      <w:r w:rsidR="008212C8" w:rsidRPr="008212C8">
        <w:rPr>
          <w:sz w:val="24"/>
          <w:szCs w:val="24"/>
        </w:rPr>
        <w:t>najviš</w:t>
      </w:r>
      <w:r>
        <w:rPr>
          <w:sz w:val="24"/>
          <w:szCs w:val="24"/>
        </w:rPr>
        <w:t xml:space="preserve">e </w:t>
      </w:r>
      <w:r w:rsidR="008212C8" w:rsidRPr="008212C8">
        <w:rPr>
          <w:sz w:val="24"/>
          <w:szCs w:val="24"/>
        </w:rPr>
        <w:t>razin</w:t>
      </w:r>
      <w:r>
        <w:rPr>
          <w:sz w:val="24"/>
          <w:szCs w:val="24"/>
        </w:rPr>
        <w:t>e</w:t>
      </w:r>
      <w:r w:rsidR="008212C8" w:rsidRPr="008212C8">
        <w:rPr>
          <w:sz w:val="24"/>
          <w:szCs w:val="24"/>
        </w:rPr>
        <w:t xml:space="preserve"> cijen</w:t>
      </w:r>
      <w:r>
        <w:rPr>
          <w:sz w:val="24"/>
          <w:szCs w:val="24"/>
        </w:rPr>
        <w:t>e</w:t>
      </w:r>
      <w:r w:rsidR="008212C8" w:rsidRPr="008212C8">
        <w:rPr>
          <w:sz w:val="24"/>
          <w:szCs w:val="24"/>
        </w:rPr>
        <w:t xml:space="preserve"> t</w:t>
      </w:r>
      <w:r w:rsidR="005E0113">
        <w:rPr>
          <w:sz w:val="24"/>
          <w:szCs w:val="24"/>
        </w:rPr>
        <w:t xml:space="preserve">erminacije u </w:t>
      </w:r>
      <w:r w:rsidR="008212C8" w:rsidRPr="008212C8">
        <w:rPr>
          <w:sz w:val="24"/>
          <w:szCs w:val="24"/>
        </w:rPr>
        <w:t>pokretnim mrežama koju će</w:t>
      </w:r>
      <w:r>
        <w:rPr>
          <w:sz w:val="24"/>
          <w:szCs w:val="24"/>
        </w:rPr>
        <w:t>,</w:t>
      </w:r>
      <w:r w:rsidR="008212C8" w:rsidRPr="008212C8">
        <w:rPr>
          <w:sz w:val="24"/>
          <w:szCs w:val="24"/>
        </w:rPr>
        <w:t xml:space="preserve"> </w:t>
      </w:r>
      <w:r w:rsidRPr="008212C8">
        <w:rPr>
          <w:sz w:val="24"/>
          <w:szCs w:val="24"/>
        </w:rPr>
        <w:t>sukladno članku 75. Zakonika</w:t>
      </w:r>
      <w:r>
        <w:rPr>
          <w:rStyle w:val="FootnoteReference"/>
          <w:sz w:val="24"/>
          <w:szCs w:val="24"/>
        </w:rPr>
        <w:footnoteReference w:id="31"/>
      </w:r>
      <w:r>
        <w:rPr>
          <w:sz w:val="24"/>
          <w:szCs w:val="24"/>
        </w:rPr>
        <w:t>,</w:t>
      </w:r>
      <w:r w:rsidRPr="008212C8">
        <w:rPr>
          <w:sz w:val="24"/>
          <w:szCs w:val="24"/>
        </w:rPr>
        <w:t xml:space="preserve"> </w:t>
      </w:r>
      <w:r w:rsidR="008212C8" w:rsidRPr="008212C8">
        <w:rPr>
          <w:sz w:val="24"/>
          <w:szCs w:val="24"/>
        </w:rPr>
        <w:t>Europska komisija odrediti svojim provedbenim aktom</w:t>
      </w:r>
      <w:r w:rsidRPr="00DF658E">
        <w:rPr>
          <w:sz w:val="24"/>
          <w:szCs w:val="24"/>
        </w:rPr>
        <w:t xml:space="preserve"> </w:t>
      </w:r>
      <w:r w:rsidRPr="008212C8">
        <w:rPr>
          <w:sz w:val="24"/>
          <w:szCs w:val="24"/>
        </w:rPr>
        <w:t>do 31. prosinca 2020</w:t>
      </w:r>
      <w:r w:rsidR="008212C8" w:rsidRPr="008212C8">
        <w:rPr>
          <w:sz w:val="24"/>
          <w:szCs w:val="24"/>
        </w:rPr>
        <w:t xml:space="preserve">. Naime, kako </w:t>
      </w:r>
      <w:r>
        <w:rPr>
          <w:sz w:val="24"/>
          <w:szCs w:val="24"/>
        </w:rPr>
        <w:t xml:space="preserve">se troškovni </w:t>
      </w:r>
      <w:r w:rsidRPr="008212C8">
        <w:rPr>
          <w:sz w:val="24"/>
          <w:szCs w:val="24"/>
        </w:rPr>
        <w:t>model ažurira svake tri godine</w:t>
      </w:r>
      <w:r>
        <w:rPr>
          <w:sz w:val="24"/>
          <w:szCs w:val="24"/>
        </w:rPr>
        <w:t>,</w:t>
      </w:r>
      <w:r w:rsidRPr="008212C8">
        <w:rPr>
          <w:sz w:val="24"/>
          <w:szCs w:val="24"/>
        </w:rPr>
        <w:t xml:space="preserve"> </w:t>
      </w:r>
      <w:r>
        <w:rPr>
          <w:sz w:val="24"/>
          <w:szCs w:val="24"/>
        </w:rPr>
        <w:t xml:space="preserve">a </w:t>
      </w:r>
      <w:r w:rsidR="008212C8" w:rsidRPr="008212C8">
        <w:rPr>
          <w:sz w:val="24"/>
          <w:szCs w:val="24"/>
        </w:rPr>
        <w:t>postojeće cijene</w:t>
      </w:r>
      <w:r>
        <w:rPr>
          <w:sz w:val="24"/>
          <w:szCs w:val="24"/>
        </w:rPr>
        <w:t xml:space="preserve"> završavanja poziva u Republici Hrvatskoj su</w:t>
      </w:r>
      <w:r w:rsidR="008212C8" w:rsidRPr="008212C8">
        <w:rPr>
          <w:sz w:val="24"/>
          <w:szCs w:val="24"/>
        </w:rPr>
        <w:t xml:space="preserve"> stupile na snagu 1. srpnja 2017., HAKOM smatra da nije učinkovito </w:t>
      </w:r>
      <w:r>
        <w:rPr>
          <w:sz w:val="24"/>
          <w:szCs w:val="24"/>
        </w:rPr>
        <w:t>provesti</w:t>
      </w:r>
      <w:r w:rsidR="008212C8" w:rsidRPr="008212C8">
        <w:rPr>
          <w:sz w:val="24"/>
          <w:szCs w:val="24"/>
        </w:rPr>
        <w:t xml:space="preserve"> </w:t>
      </w:r>
      <w:r>
        <w:rPr>
          <w:sz w:val="24"/>
          <w:szCs w:val="24"/>
        </w:rPr>
        <w:t xml:space="preserve">postupak </w:t>
      </w:r>
      <w:r w:rsidR="008212C8" w:rsidRPr="008212C8">
        <w:rPr>
          <w:sz w:val="24"/>
          <w:szCs w:val="24"/>
        </w:rPr>
        <w:t>ažuriranj</w:t>
      </w:r>
      <w:r>
        <w:rPr>
          <w:sz w:val="24"/>
          <w:szCs w:val="24"/>
        </w:rPr>
        <w:t>a</w:t>
      </w:r>
      <w:r w:rsidR="008212C8" w:rsidRPr="008212C8">
        <w:rPr>
          <w:sz w:val="24"/>
          <w:szCs w:val="24"/>
        </w:rPr>
        <w:t xml:space="preserve"> modela</w:t>
      </w:r>
      <w:r>
        <w:rPr>
          <w:sz w:val="24"/>
          <w:szCs w:val="24"/>
        </w:rPr>
        <w:t xml:space="preserve"> i određivanja cijena na temelju rezultata ažuriranog modela</w:t>
      </w:r>
      <w:r w:rsidR="008212C8" w:rsidRPr="008212C8">
        <w:rPr>
          <w:sz w:val="24"/>
          <w:szCs w:val="24"/>
        </w:rPr>
        <w:t xml:space="preserve">, </w:t>
      </w:r>
      <w:r>
        <w:rPr>
          <w:sz w:val="24"/>
          <w:szCs w:val="24"/>
        </w:rPr>
        <w:t>budući</w:t>
      </w:r>
      <w:r w:rsidR="008212C8" w:rsidRPr="008212C8">
        <w:rPr>
          <w:sz w:val="24"/>
          <w:szCs w:val="24"/>
        </w:rPr>
        <w:t xml:space="preserve"> da bi u kraćem razdoblju od primjene </w:t>
      </w:r>
      <w:r>
        <w:rPr>
          <w:sz w:val="24"/>
          <w:szCs w:val="24"/>
        </w:rPr>
        <w:t xml:space="preserve">tako </w:t>
      </w:r>
      <w:r w:rsidR="008212C8" w:rsidRPr="008212C8">
        <w:rPr>
          <w:sz w:val="24"/>
          <w:szCs w:val="24"/>
        </w:rPr>
        <w:t>izračunate cijene stupila na snagu maksimalna cijena terminacije koja će biti određena pro</w:t>
      </w:r>
      <w:r>
        <w:rPr>
          <w:sz w:val="24"/>
          <w:szCs w:val="24"/>
        </w:rPr>
        <w:t>vedbenim aktom Europske komisije.</w:t>
      </w:r>
    </w:p>
    <w:p w:rsidR="008212C8" w:rsidRDefault="008212C8" w:rsidP="00AE2A99">
      <w:pPr>
        <w:spacing w:after="0" w:line="240" w:lineRule="auto"/>
        <w:jc w:val="both"/>
        <w:rPr>
          <w:sz w:val="24"/>
          <w:szCs w:val="24"/>
        </w:rPr>
      </w:pPr>
    </w:p>
    <w:p w:rsidR="0078227C" w:rsidRDefault="0078227C" w:rsidP="008212C8">
      <w:pPr>
        <w:jc w:val="both"/>
        <w:rPr>
          <w:rFonts w:asciiTheme="majorHAnsi" w:eastAsiaTheme="majorEastAsia" w:hAnsiTheme="majorHAnsi" w:cstheme="majorBidi"/>
          <w:b/>
          <w:bCs/>
          <w:color w:val="4F81BD" w:themeColor="accent1"/>
          <w:sz w:val="26"/>
          <w:szCs w:val="26"/>
        </w:rPr>
      </w:pPr>
      <w:r>
        <w:br w:type="page"/>
      </w:r>
    </w:p>
    <w:p w:rsidR="002F219B" w:rsidRPr="002F219B" w:rsidRDefault="000E4ECF" w:rsidP="00510F61">
      <w:pPr>
        <w:pStyle w:val="Heading2"/>
        <w:rPr>
          <w:sz w:val="24"/>
          <w:szCs w:val="24"/>
        </w:rPr>
      </w:pPr>
      <w:bookmarkStart w:id="54" w:name="_Toc525816359"/>
      <w:r w:rsidRPr="002F219B">
        <w:lastRenderedPageBreak/>
        <w:t xml:space="preserve">Ostale regulatorne obveze koje bi HAKOM, na temelju ZEK-a, mogao propisati na tržištu </w:t>
      </w:r>
      <w:r w:rsidR="00510F61" w:rsidRPr="00510F61">
        <w:t xml:space="preserve">veleprodajnog </w:t>
      </w:r>
      <w:r w:rsidR="002F219B" w:rsidRPr="002F219B">
        <w:t>završavanja glasovnih poziva u vlastitoj mobilnoj mreži</w:t>
      </w:r>
      <w:bookmarkEnd w:id="54"/>
    </w:p>
    <w:p w:rsidR="0094404D" w:rsidRDefault="0094404D" w:rsidP="00BB7F55">
      <w:pPr>
        <w:spacing w:after="0" w:line="240" w:lineRule="auto"/>
        <w:jc w:val="both"/>
        <w:rPr>
          <w:sz w:val="24"/>
          <w:szCs w:val="24"/>
        </w:rPr>
      </w:pPr>
    </w:p>
    <w:p w:rsidR="002F219B" w:rsidRPr="002F219B" w:rsidRDefault="004C59DD" w:rsidP="00BB7F55">
      <w:pPr>
        <w:spacing w:after="0" w:line="240" w:lineRule="auto"/>
        <w:jc w:val="both"/>
        <w:rPr>
          <w:sz w:val="24"/>
          <w:szCs w:val="24"/>
        </w:rPr>
      </w:pPr>
      <w:r>
        <w:rPr>
          <w:sz w:val="24"/>
          <w:szCs w:val="24"/>
        </w:rPr>
        <w:t xml:space="preserve">HAKOM je u </w:t>
      </w:r>
      <w:r w:rsidR="0094404D">
        <w:rPr>
          <w:sz w:val="24"/>
          <w:szCs w:val="24"/>
        </w:rPr>
        <w:t>6</w:t>
      </w:r>
      <w:r w:rsidR="002F219B" w:rsidRPr="002F219B">
        <w:rPr>
          <w:sz w:val="24"/>
          <w:szCs w:val="24"/>
        </w:rPr>
        <w:t xml:space="preserve">. poglavlju ovog dokumenta naveo koje se prepreke razvoju djelotvornog tržišnog natjecanja mogu pojaviti na tržištu </w:t>
      </w:r>
      <w:r w:rsidR="00510F61" w:rsidRPr="00510F61">
        <w:rPr>
          <w:sz w:val="24"/>
          <w:szCs w:val="24"/>
        </w:rPr>
        <w:t xml:space="preserve">veleprodajnog </w:t>
      </w:r>
      <w:r w:rsidRPr="004C59DD">
        <w:rPr>
          <w:sz w:val="24"/>
          <w:szCs w:val="24"/>
        </w:rPr>
        <w:t>završavanja glasovnih poziva u vlastitoj mobilnoj mreži</w:t>
      </w:r>
      <w:r w:rsidR="002F219B" w:rsidRPr="002F219B">
        <w:rPr>
          <w:sz w:val="24"/>
          <w:szCs w:val="24"/>
        </w:rPr>
        <w:t xml:space="preserve">. Između ostalog, među preprekama su navedeni prešutni sporazumi, koje je HAKOM u većoj mjeri otklonio određivanjem regulatorne obveze nadzora cijena na način </w:t>
      </w:r>
      <w:r>
        <w:rPr>
          <w:sz w:val="24"/>
          <w:szCs w:val="24"/>
        </w:rPr>
        <w:t>kako je navedeno u poglavlju 7.3</w:t>
      </w:r>
      <w:r w:rsidR="002F219B" w:rsidRPr="002F219B">
        <w:rPr>
          <w:sz w:val="24"/>
          <w:szCs w:val="24"/>
        </w:rPr>
        <w:t>. ovog dokumenta, i unakrsno subvencioniranje.</w:t>
      </w:r>
    </w:p>
    <w:p w:rsidR="002F219B" w:rsidRPr="002F219B" w:rsidRDefault="002F219B" w:rsidP="00BB7F55">
      <w:pPr>
        <w:spacing w:after="0" w:line="240" w:lineRule="auto"/>
        <w:jc w:val="both"/>
        <w:rPr>
          <w:sz w:val="24"/>
          <w:szCs w:val="24"/>
        </w:rPr>
      </w:pPr>
    </w:p>
    <w:p w:rsidR="002F219B" w:rsidRPr="002F219B" w:rsidRDefault="002F219B" w:rsidP="00BB7F55">
      <w:pPr>
        <w:spacing w:after="0" w:line="240" w:lineRule="auto"/>
        <w:jc w:val="both"/>
        <w:rPr>
          <w:sz w:val="24"/>
          <w:szCs w:val="24"/>
        </w:rPr>
      </w:pPr>
      <w:r w:rsidRPr="002F219B">
        <w:rPr>
          <w:sz w:val="24"/>
          <w:szCs w:val="24"/>
        </w:rPr>
        <w:t xml:space="preserve">Za potpuno uklanjanje navedenih prepreka s tržišta HAKOM bi trebao propisati obvezu računovodstvenog razdvajanja. Međutim, uzevši u obzir da HAKOM određivanjem regulatorne obveze nadzora cijena za operatore HT, Tele2 i Vipnet onemogućuje operatore da naplaćuju cijenu za uslugu </w:t>
      </w:r>
      <w:r w:rsidR="004C59DD" w:rsidRPr="004C59DD">
        <w:rPr>
          <w:sz w:val="24"/>
          <w:szCs w:val="24"/>
        </w:rPr>
        <w:t>završavanja glasovnih poziva u vlastitoj mobilnoj mreži</w:t>
      </w:r>
      <w:r w:rsidRPr="002F219B">
        <w:rPr>
          <w:sz w:val="24"/>
          <w:szCs w:val="24"/>
        </w:rPr>
        <w:t xml:space="preserve"> iznad troška, a samim time i da na vertikalno povezanom maloprodajnom tržištu pružaju cijene ispod troška te da maloprodajno tržište u pokretnim mrežama nije predmet regulacije HAKOM ne smatra opravdanim operatorima sa značajnom tržišnom snagom HT-u, Tele2 i Vipnet-u odrediti regulatornu obvezu računovodstvenog razdvajanja.</w:t>
      </w:r>
    </w:p>
    <w:p w:rsidR="002F219B" w:rsidRPr="002F219B" w:rsidRDefault="002F219B" w:rsidP="00BB7F55">
      <w:pPr>
        <w:spacing w:after="0" w:line="240" w:lineRule="auto"/>
        <w:jc w:val="both"/>
        <w:rPr>
          <w:sz w:val="24"/>
          <w:szCs w:val="24"/>
        </w:rPr>
      </w:pPr>
    </w:p>
    <w:p w:rsidR="002F219B" w:rsidRPr="002F219B" w:rsidRDefault="002F219B" w:rsidP="00BB7F55">
      <w:pPr>
        <w:spacing w:after="0" w:line="240" w:lineRule="auto"/>
        <w:jc w:val="both"/>
        <w:rPr>
          <w:sz w:val="24"/>
          <w:szCs w:val="24"/>
        </w:rPr>
      </w:pPr>
      <w:r w:rsidRPr="002F219B">
        <w:rPr>
          <w:sz w:val="24"/>
          <w:szCs w:val="24"/>
        </w:rPr>
        <w:t xml:space="preserve">Također, uzevši u obzir troškove implementacije računovodstvenog razdvajanja te koristi koje bi se na tržištu </w:t>
      </w:r>
      <w:r w:rsidR="00510F61" w:rsidRPr="00510F61">
        <w:rPr>
          <w:sz w:val="24"/>
          <w:szCs w:val="24"/>
        </w:rPr>
        <w:t xml:space="preserve">veleprodajnog </w:t>
      </w:r>
      <w:r w:rsidR="004C59DD" w:rsidRPr="004C59DD">
        <w:rPr>
          <w:sz w:val="24"/>
          <w:szCs w:val="24"/>
        </w:rPr>
        <w:t>završavanja glasovnih poziva u vlastitoj mobilnoj mreži</w:t>
      </w:r>
      <w:r w:rsidRPr="002F219B">
        <w:rPr>
          <w:sz w:val="24"/>
          <w:szCs w:val="24"/>
        </w:rPr>
        <w:t xml:space="preserve"> postigle implementacijom istog, HAKOM, poštujući načelo razmjernosti, ne smatra opravdanim operatorima sa značajnom tržišnom snagom HT-u, Tele2 i Vipnet-u odrediti regulatornu obvezu računovodstvenog razdvajanja.</w:t>
      </w:r>
    </w:p>
    <w:p w:rsidR="002F219B" w:rsidRPr="002F219B" w:rsidRDefault="002F219B" w:rsidP="00BB7F55">
      <w:pPr>
        <w:spacing w:after="0" w:line="240" w:lineRule="auto"/>
        <w:jc w:val="both"/>
        <w:rPr>
          <w:sz w:val="24"/>
          <w:szCs w:val="24"/>
        </w:rPr>
      </w:pPr>
    </w:p>
    <w:p w:rsidR="00125942" w:rsidRDefault="00125942">
      <w:pPr>
        <w:rPr>
          <w:sz w:val="24"/>
          <w:szCs w:val="24"/>
        </w:rPr>
      </w:pPr>
      <w:r>
        <w:rPr>
          <w:sz w:val="24"/>
          <w:szCs w:val="24"/>
        </w:rPr>
        <w:lastRenderedPageBreak/>
        <w:br w:type="page"/>
      </w:r>
    </w:p>
    <w:p w:rsidR="00125942" w:rsidRPr="0061086C" w:rsidRDefault="00125942" w:rsidP="0061086C">
      <w:pPr>
        <w:pStyle w:val="Heading1"/>
      </w:pPr>
      <w:bookmarkStart w:id="55" w:name="_Toc525816360"/>
      <w:r w:rsidRPr="0061086C">
        <w:lastRenderedPageBreak/>
        <w:t>Prilozi</w:t>
      </w:r>
      <w:bookmarkEnd w:id="55"/>
    </w:p>
    <w:p w:rsidR="00125942" w:rsidRDefault="00125942" w:rsidP="0061086C">
      <w:pPr>
        <w:pStyle w:val="Heading2"/>
      </w:pPr>
      <w:bookmarkStart w:id="56" w:name="_Toc525816361"/>
      <w:r>
        <w:t xml:space="preserve">Prilog </w:t>
      </w:r>
      <w:r w:rsidR="00D7259F">
        <w:t>1</w:t>
      </w:r>
      <w:r>
        <w:t xml:space="preserve">– </w:t>
      </w:r>
      <w:r w:rsidR="00CB449F">
        <w:t>Pregled regulatornih obveza</w:t>
      </w:r>
      <w:bookmarkEnd w:id="56"/>
    </w:p>
    <w:tbl>
      <w:tblPr>
        <w:tblW w:w="9640" w:type="dxa"/>
        <w:tblCellMar>
          <w:left w:w="0" w:type="dxa"/>
          <w:right w:w="0" w:type="dxa"/>
        </w:tblCellMar>
        <w:tblLook w:val="04A0" w:firstRow="1" w:lastRow="0" w:firstColumn="1" w:lastColumn="0" w:noHBand="0" w:noVBand="1"/>
      </w:tblPr>
      <w:tblGrid>
        <w:gridCol w:w="2540"/>
        <w:gridCol w:w="3440"/>
        <w:gridCol w:w="3660"/>
      </w:tblGrid>
      <w:tr w:rsidR="00CB449F" w:rsidRPr="00CB449F" w:rsidTr="00CB449F">
        <w:trPr>
          <w:trHeight w:val="352"/>
        </w:trPr>
        <w:tc>
          <w:tcPr>
            <w:tcW w:w="25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CB449F" w:rsidRPr="00CB449F" w:rsidRDefault="00CB449F" w:rsidP="00CB449F">
            <w:pPr>
              <w:spacing w:after="0" w:line="256" w:lineRule="auto"/>
              <w:jc w:val="center"/>
              <w:rPr>
                <w:rFonts w:ascii="Arial" w:eastAsia="Times New Roman" w:hAnsi="Arial" w:cs="Arial"/>
                <w:sz w:val="36"/>
                <w:szCs w:val="36"/>
                <w:lang w:eastAsia="hr-HR"/>
              </w:rPr>
            </w:pPr>
            <w:r w:rsidRPr="00CB449F">
              <w:rPr>
                <w:rFonts w:ascii="Calibri" w:eastAsia="Times New Roman" w:hAnsi="Calibri" w:cs="Calibri"/>
                <w:b/>
                <w:bCs/>
                <w:color w:val="FFFFFF" w:themeColor="light1"/>
                <w:kern w:val="24"/>
                <w:sz w:val="20"/>
                <w:szCs w:val="20"/>
                <w:lang w:eastAsia="hr-HR"/>
              </w:rPr>
              <w:t>Obveze</w:t>
            </w:r>
          </w:p>
        </w:tc>
        <w:tc>
          <w:tcPr>
            <w:tcW w:w="344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CB449F" w:rsidRPr="00CB449F" w:rsidRDefault="00CB449F" w:rsidP="00CB449F">
            <w:pPr>
              <w:spacing w:after="0" w:line="256" w:lineRule="auto"/>
              <w:jc w:val="center"/>
              <w:rPr>
                <w:rFonts w:ascii="Arial" w:eastAsia="Times New Roman" w:hAnsi="Arial" w:cs="Arial"/>
                <w:sz w:val="36"/>
                <w:szCs w:val="36"/>
                <w:lang w:eastAsia="hr-HR"/>
              </w:rPr>
            </w:pPr>
            <w:r w:rsidRPr="00CB449F">
              <w:rPr>
                <w:rFonts w:ascii="Calibri" w:eastAsia="Times New Roman" w:hAnsi="Calibri" w:cs="Calibri"/>
                <w:b/>
                <w:bCs/>
                <w:color w:val="FFFFFF" w:themeColor="light1"/>
                <w:kern w:val="24"/>
                <w:sz w:val="20"/>
                <w:szCs w:val="20"/>
                <w:lang w:eastAsia="hr-HR"/>
              </w:rPr>
              <w:t xml:space="preserve">Prijedlog analize </w:t>
            </w:r>
          </w:p>
        </w:tc>
        <w:tc>
          <w:tcPr>
            <w:tcW w:w="366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rsidR="00CB449F" w:rsidRPr="00CB449F" w:rsidRDefault="00CB449F" w:rsidP="00CB449F">
            <w:pPr>
              <w:spacing w:after="0" w:line="256" w:lineRule="auto"/>
              <w:jc w:val="center"/>
              <w:rPr>
                <w:rFonts w:ascii="Arial" w:eastAsia="Times New Roman" w:hAnsi="Arial" w:cs="Arial"/>
                <w:sz w:val="36"/>
                <w:szCs w:val="36"/>
                <w:lang w:eastAsia="hr-HR"/>
              </w:rPr>
            </w:pPr>
            <w:r w:rsidRPr="00CB449F">
              <w:rPr>
                <w:rFonts w:ascii="Calibri" w:eastAsia="Times New Roman" w:hAnsi="Calibri" w:cs="Calibri"/>
                <w:b/>
                <w:bCs/>
                <w:color w:val="FFFFFF" w:themeColor="light1"/>
                <w:kern w:val="24"/>
                <w:sz w:val="20"/>
                <w:szCs w:val="20"/>
                <w:lang w:eastAsia="hr-HR"/>
              </w:rPr>
              <w:t>Obveze iz 2015 i razlika u odnosu na 2015 (kako je izmijenjena 2017.).</w:t>
            </w:r>
          </w:p>
        </w:tc>
      </w:tr>
      <w:tr w:rsidR="00CB449F" w:rsidRPr="00CB449F" w:rsidTr="00CB449F">
        <w:trPr>
          <w:trHeight w:val="1463"/>
        </w:trPr>
        <w:tc>
          <w:tcPr>
            <w:tcW w:w="2540" w:type="dxa"/>
            <w:tcBorders>
              <w:top w:val="single" w:sz="24"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ascii="Calibri" w:eastAsia="Times New Roman" w:hAnsi="Calibri" w:cs="Calibri"/>
                <w:b/>
                <w:bCs/>
                <w:color w:val="FFFFFF" w:themeColor="light1"/>
                <w:kern w:val="24"/>
                <w:sz w:val="20"/>
                <w:szCs w:val="20"/>
                <w:lang w:eastAsia="hr-HR"/>
              </w:rPr>
              <w:t>Pristup</w:t>
            </w:r>
          </w:p>
        </w:tc>
        <w:tc>
          <w:tcPr>
            <w:tcW w:w="344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ascii="Calibri" w:eastAsia="Times New Roman" w:hAnsi="Calibri" w:cs="Calibri"/>
                <w:b/>
                <w:bCs/>
                <w:color w:val="000000" w:themeColor="dark1"/>
                <w:kern w:val="24"/>
                <w:lang w:eastAsia="hr-HR"/>
              </w:rPr>
              <w:t xml:space="preserve">Da  </w:t>
            </w:r>
            <w:r w:rsidRPr="00CB449F">
              <w:rPr>
                <w:rFonts w:ascii="Calibri" w:eastAsia="Times New Roman" w:hAnsi="Calibri" w:cs="Calibri"/>
                <w:color w:val="000000" w:themeColor="dark1"/>
                <w:kern w:val="24"/>
                <w:sz w:val="18"/>
                <w:szCs w:val="18"/>
                <w:lang w:eastAsia="hr-HR"/>
              </w:rPr>
              <w:t xml:space="preserve">                                                        </w:t>
            </w:r>
          </w:p>
          <w:p w:rsidR="00CB449F" w:rsidRPr="00CB449F" w:rsidRDefault="00CB449F" w:rsidP="00CB449F">
            <w:pPr>
              <w:numPr>
                <w:ilvl w:val="0"/>
                <w:numId w:val="24"/>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dark1"/>
                <w:kern w:val="24"/>
                <w:sz w:val="18"/>
                <w:szCs w:val="18"/>
                <w:lang w:eastAsia="hr-HR"/>
              </w:rPr>
              <w:t xml:space="preserve">Samo za IP međupovezivanje             </w:t>
            </w:r>
          </w:p>
          <w:p w:rsidR="00CB449F" w:rsidRPr="00CB449F" w:rsidRDefault="00CB449F" w:rsidP="00CB449F">
            <w:pPr>
              <w:numPr>
                <w:ilvl w:val="0"/>
                <w:numId w:val="24"/>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dark1"/>
                <w:kern w:val="24"/>
                <w:sz w:val="18"/>
                <w:szCs w:val="18"/>
                <w:lang w:eastAsia="hr-HR"/>
              </w:rPr>
              <w:t>Rok realizacije 75 dana</w:t>
            </w:r>
          </w:p>
          <w:p w:rsidR="00CB449F" w:rsidRPr="00CB449F" w:rsidRDefault="00CB449F" w:rsidP="00A36D82">
            <w:pPr>
              <w:numPr>
                <w:ilvl w:val="0"/>
                <w:numId w:val="24"/>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dark1"/>
                <w:kern w:val="24"/>
                <w:sz w:val="18"/>
                <w:szCs w:val="18"/>
                <w:lang w:eastAsia="hr-HR"/>
              </w:rPr>
              <w:t>TDM međupovezivanje mogu ukinuti nakon obavijesti godinu dana unaprijed</w:t>
            </w:r>
          </w:p>
        </w:tc>
        <w:tc>
          <w:tcPr>
            <w:tcW w:w="3660" w:type="dxa"/>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dark1"/>
                <w:kern w:val="24"/>
                <w:lang w:eastAsia="hr-HR"/>
              </w:rPr>
              <w:t xml:space="preserve">Da     </w:t>
            </w:r>
          </w:p>
          <w:p w:rsidR="00CB449F" w:rsidRPr="00CB449F" w:rsidRDefault="00CB449F" w:rsidP="00CB449F">
            <w:pPr>
              <w:numPr>
                <w:ilvl w:val="0"/>
                <w:numId w:val="25"/>
              </w:numPr>
              <w:spacing w:after="0" w:line="256" w:lineRule="auto"/>
              <w:ind w:left="994"/>
              <w:contextualSpacing/>
              <w:rPr>
                <w:rFonts w:ascii="Arial" w:eastAsia="Times New Roman" w:hAnsi="Arial" w:cs="Arial"/>
                <w:sz w:val="18"/>
                <w:szCs w:val="36"/>
                <w:lang w:eastAsia="hr-HR"/>
              </w:rPr>
            </w:pPr>
            <w:r w:rsidRPr="00CB449F">
              <w:rPr>
                <w:rFonts w:eastAsiaTheme="minorEastAsia" w:hAnsi="Calibri"/>
                <w:color w:val="000000" w:themeColor="text1"/>
                <w:kern w:val="24"/>
                <w:sz w:val="18"/>
                <w:szCs w:val="18"/>
                <w:lang w:eastAsia="hr-HR"/>
              </w:rPr>
              <w:t xml:space="preserve">Obveza pristupa i za TDM i za IP međupovezivanje    </w:t>
            </w:r>
          </w:p>
        </w:tc>
      </w:tr>
      <w:tr w:rsidR="00CB449F" w:rsidRPr="00CB449F" w:rsidTr="00CB449F">
        <w:trPr>
          <w:trHeight w:val="1657"/>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ascii="Calibri" w:eastAsia="Times New Roman" w:hAnsi="Calibri" w:cs="Calibri"/>
                <w:b/>
                <w:bCs/>
                <w:color w:val="FFFFFF" w:themeColor="light1"/>
                <w:kern w:val="24"/>
                <w:sz w:val="20"/>
                <w:szCs w:val="20"/>
                <w:lang w:eastAsia="hr-HR"/>
              </w:rPr>
              <w:t>Nediskriminacija</w:t>
            </w:r>
          </w:p>
        </w:tc>
        <w:tc>
          <w:tcPr>
            <w:tcW w:w="34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dark1"/>
                <w:kern w:val="24"/>
                <w:lang w:eastAsia="hr-HR"/>
              </w:rPr>
              <w:t xml:space="preserve">Da     </w:t>
            </w:r>
            <w:r w:rsidRPr="00CB449F">
              <w:rPr>
                <w:rFonts w:ascii="Calibri" w:eastAsia="Times New Roman" w:hAnsi="Calibri" w:cs="Calibri"/>
                <w:color w:val="000000" w:themeColor="dark1"/>
                <w:kern w:val="24"/>
                <w:sz w:val="18"/>
                <w:szCs w:val="18"/>
                <w:lang w:eastAsia="hr-HR"/>
              </w:rPr>
              <w:t xml:space="preserve">                                                         </w:t>
            </w:r>
          </w:p>
          <w:p w:rsidR="00CB449F" w:rsidRPr="00CB449F" w:rsidRDefault="00CB449F" w:rsidP="00CB449F">
            <w:pPr>
              <w:numPr>
                <w:ilvl w:val="0"/>
                <w:numId w:val="26"/>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dark1"/>
                <w:kern w:val="24"/>
                <w:sz w:val="18"/>
                <w:szCs w:val="18"/>
                <w:lang w:eastAsia="hr-HR"/>
              </w:rPr>
              <w:t>Informacije o planiranim promjenama u mreži najmanje 6 mjeseci unaprijed, osim u slučaju potpunog prelaska na IP međupovezivanje gdje taj rok iznosi godinu dana unaprijed.</w:t>
            </w:r>
          </w:p>
          <w:p w:rsidR="00CB449F" w:rsidRPr="00CB449F" w:rsidRDefault="00CB449F" w:rsidP="00CB449F">
            <w:pPr>
              <w:numPr>
                <w:ilvl w:val="0"/>
                <w:numId w:val="26"/>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dark1"/>
                <w:kern w:val="24"/>
                <w:sz w:val="18"/>
                <w:szCs w:val="18"/>
                <w:lang w:eastAsia="hr-HR"/>
              </w:rPr>
              <w:t xml:space="preserve">Obveza dostave ugovora o IP međupovezivanju HAKOM-u roku od 15 dana od sklapanja istog.                                                                      </w:t>
            </w:r>
          </w:p>
        </w:tc>
        <w:tc>
          <w:tcPr>
            <w:tcW w:w="36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dark1"/>
                <w:kern w:val="24"/>
                <w:lang w:eastAsia="hr-HR"/>
              </w:rPr>
              <w:t>Da</w:t>
            </w:r>
          </w:p>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color w:val="000000" w:themeColor="dark1"/>
                <w:kern w:val="24"/>
                <w:sz w:val="18"/>
                <w:szCs w:val="18"/>
                <w:lang w:eastAsia="hr-HR"/>
              </w:rPr>
              <w:t>Postojala je samo obveza o planiranim promjenama unutar mreže najmanje 6 mjeseci unaprijed, što se odnosilo i na slučaj prelaska na IP međupovezivanje.</w:t>
            </w:r>
            <w:r w:rsidRPr="00CB449F">
              <w:rPr>
                <w:rFonts w:eastAsiaTheme="minorEastAsia" w:hAnsi="Calibri"/>
                <w:color w:val="000000" w:themeColor="dark1"/>
                <w:kern w:val="24"/>
                <w:lang w:eastAsia="hr-HR"/>
              </w:rPr>
              <w:t xml:space="preserve"> </w:t>
            </w:r>
            <w:r w:rsidRPr="00CB449F">
              <w:rPr>
                <w:rFonts w:eastAsiaTheme="minorEastAsia" w:hAnsi="Calibri"/>
                <w:b/>
                <w:bCs/>
                <w:color w:val="000000" w:themeColor="dark1"/>
                <w:kern w:val="24"/>
                <w:lang w:eastAsia="hr-HR"/>
              </w:rPr>
              <w:t xml:space="preserve">  </w:t>
            </w:r>
            <w:r w:rsidRPr="00CB449F">
              <w:rPr>
                <w:rFonts w:ascii="Calibri" w:eastAsia="Times New Roman" w:hAnsi="Calibri" w:cs="Calibri"/>
                <w:color w:val="000000" w:themeColor="dark1"/>
                <w:kern w:val="24"/>
                <w:sz w:val="18"/>
                <w:szCs w:val="18"/>
                <w:lang w:eastAsia="hr-HR"/>
              </w:rPr>
              <w:t xml:space="preserve">                                                                      </w:t>
            </w:r>
          </w:p>
        </w:tc>
      </w:tr>
      <w:tr w:rsidR="00CB449F" w:rsidRPr="00CB449F" w:rsidTr="00CB449F">
        <w:trPr>
          <w:trHeight w:val="876"/>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ascii="Calibri" w:eastAsia="Times New Roman" w:hAnsi="Calibri" w:cs="Calibri"/>
                <w:b/>
                <w:bCs/>
                <w:color w:val="FFFFFF" w:themeColor="light1"/>
                <w:kern w:val="24"/>
                <w:sz w:val="20"/>
                <w:szCs w:val="20"/>
                <w:lang w:eastAsia="hr-HR"/>
              </w:rPr>
              <w:t>Transparentnost</w:t>
            </w:r>
          </w:p>
        </w:tc>
        <w:tc>
          <w:tcPr>
            <w:tcW w:w="34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dark1"/>
                <w:kern w:val="24"/>
                <w:lang w:eastAsia="hr-HR"/>
              </w:rPr>
              <w:t xml:space="preserve">Da </w:t>
            </w:r>
            <w:r w:rsidRPr="00CB449F">
              <w:rPr>
                <w:rFonts w:ascii="Calibri" w:eastAsia="Times New Roman" w:hAnsi="Calibri" w:cs="Calibri"/>
                <w:color w:val="000000" w:themeColor="dark1"/>
                <w:kern w:val="24"/>
                <w:sz w:val="18"/>
                <w:szCs w:val="18"/>
                <w:lang w:eastAsia="hr-HR"/>
              </w:rPr>
              <w:t xml:space="preserve">                                                              </w:t>
            </w:r>
          </w:p>
          <w:p w:rsidR="00CB449F" w:rsidRPr="00CB449F" w:rsidRDefault="00CB449F" w:rsidP="00CB449F">
            <w:pPr>
              <w:numPr>
                <w:ilvl w:val="0"/>
                <w:numId w:val="27"/>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dark1"/>
                <w:kern w:val="24"/>
                <w:sz w:val="18"/>
                <w:szCs w:val="18"/>
                <w:lang w:eastAsia="hr-HR"/>
              </w:rPr>
              <w:t>Obveza objave Standardne ponude (30 dana za objavu, 60 dana za primjenu)</w:t>
            </w:r>
          </w:p>
          <w:p w:rsidR="00CB449F" w:rsidRPr="00CB449F" w:rsidRDefault="00CB449F" w:rsidP="00CB449F">
            <w:pPr>
              <w:numPr>
                <w:ilvl w:val="0"/>
                <w:numId w:val="27"/>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dark1"/>
                <w:kern w:val="24"/>
                <w:sz w:val="18"/>
                <w:szCs w:val="18"/>
                <w:lang w:eastAsia="hr-HR"/>
              </w:rPr>
              <w:t>Instrumenti osiguranja plaćanja</w:t>
            </w:r>
          </w:p>
        </w:tc>
        <w:tc>
          <w:tcPr>
            <w:tcW w:w="36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dark1"/>
                <w:kern w:val="24"/>
                <w:lang w:eastAsia="hr-HR"/>
              </w:rPr>
              <w:t>Da</w:t>
            </w:r>
          </w:p>
        </w:tc>
      </w:tr>
      <w:tr w:rsidR="00CB449F" w:rsidRPr="00CB449F" w:rsidTr="00CB449F">
        <w:trPr>
          <w:trHeight w:val="1944"/>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ascii="Calibri" w:eastAsia="Times New Roman" w:hAnsi="Calibri" w:cs="Calibri"/>
                <w:b/>
                <w:bCs/>
                <w:color w:val="FFFFFF" w:themeColor="light1"/>
                <w:kern w:val="24"/>
                <w:sz w:val="20"/>
                <w:szCs w:val="20"/>
                <w:lang w:eastAsia="hr-HR"/>
              </w:rPr>
              <w:t>Nadzor cijena</w:t>
            </w:r>
          </w:p>
        </w:tc>
        <w:tc>
          <w:tcPr>
            <w:tcW w:w="34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text1"/>
                <w:kern w:val="24"/>
                <w:lang w:eastAsia="hr-HR"/>
              </w:rPr>
              <w:t xml:space="preserve">Da  </w:t>
            </w:r>
            <w:r w:rsidRPr="00CB449F">
              <w:rPr>
                <w:rFonts w:ascii="Calibri" w:eastAsia="Times New Roman" w:hAnsi="Calibri" w:cs="Calibri"/>
                <w:color w:val="000000" w:themeColor="text1"/>
                <w:kern w:val="24"/>
                <w:sz w:val="18"/>
                <w:szCs w:val="18"/>
                <w:lang w:eastAsia="hr-HR"/>
              </w:rPr>
              <w:t xml:space="preserve">                                                             </w:t>
            </w:r>
          </w:p>
          <w:p w:rsidR="00CB449F" w:rsidRPr="00CB449F" w:rsidRDefault="00CB449F" w:rsidP="00CB449F">
            <w:pPr>
              <w:numPr>
                <w:ilvl w:val="0"/>
                <w:numId w:val="28"/>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text1"/>
                <w:kern w:val="24"/>
                <w:sz w:val="18"/>
                <w:szCs w:val="18"/>
                <w:lang w:eastAsia="hr-HR"/>
              </w:rPr>
              <w:t>Regulirane cijene samo ako A broj pripada EEA operatoru</w:t>
            </w:r>
          </w:p>
          <w:p w:rsidR="00CB449F" w:rsidRPr="00CB449F" w:rsidRDefault="00CB449F" w:rsidP="00CB449F">
            <w:pPr>
              <w:numPr>
                <w:ilvl w:val="0"/>
                <w:numId w:val="28"/>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text1"/>
                <w:kern w:val="24"/>
                <w:sz w:val="18"/>
                <w:szCs w:val="18"/>
                <w:lang w:eastAsia="hr-HR"/>
              </w:rPr>
              <w:t>Regulirane cijene predstavljaju i najvišu razina cijena za operatore izvan EEA koji RH operatorima naplaćuju cijenu nižu ili istu reguliranoj cijeni u RH</w:t>
            </w:r>
          </w:p>
          <w:p w:rsidR="00CB449F" w:rsidRPr="00CB449F" w:rsidRDefault="00CB449F" w:rsidP="00CB449F">
            <w:pPr>
              <w:numPr>
                <w:ilvl w:val="0"/>
                <w:numId w:val="28"/>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text1"/>
                <w:kern w:val="24"/>
                <w:sz w:val="18"/>
                <w:szCs w:val="18"/>
                <w:lang w:eastAsia="hr-HR"/>
              </w:rPr>
              <w:t xml:space="preserve">Regulirane cijene koje su u primjeni od 1.7.2017. na temelju ažuriranog modela </w:t>
            </w:r>
            <w:r w:rsidRPr="00CB449F">
              <w:rPr>
                <w:rFonts w:ascii="Calibri" w:eastAsia="Times New Roman" w:hAnsi="Calibri" w:cs="Calibri"/>
                <w:color w:val="000000" w:themeColor="text1"/>
                <w:kern w:val="24"/>
                <w:sz w:val="18"/>
                <w:szCs w:val="18"/>
                <w:lang w:eastAsia="hr-HR"/>
              </w:rPr>
              <w:lastRenderedPageBreak/>
              <w:t>primjenjuju se do donošenja jedinstvene cijene od strane EK</w:t>
            </w:r>
          </w:p>
        </w:tc>
        <w:tc>
          <w:tcPr>
            <w:tcW w:w="3660" w:type="dxa"/>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text1"/>
                <w:kern w:val="24"/>
                <w:lang w:eastAsia="hr-HR"/>
              </w:rPr>
              <w:lastRenderedPageBreak/>
              <w:t xml:space="preserve">Da    </w:t>
            </w:r>
            <w:r w:rsidRPr="00CB449F">
              <w:rPr>
                <w:rFonts w:ascii="Calibri" w:eastAsia="Times New Roman" w:hAnsi="Calibri" w:cs="Calibri"/>
                <w:color w:val="000000" w:themeColor="text1"/>
                <w:kern w:val="24"/>
                <w:sz w:val="18"/>
                <w:szCs w:val="18"/>
                <w:lang w:eastAsia="hr-HR"/>
              </w:rPr>
              <w:t xml:space="preserve">                                                                     </w:t>
            </w:r>
          </w:p>
          <w:p w:rsidR="00CB449F" w:rsidRPr="00CB449F" w:rsidRDefault="00CB449F" w:rsidP="00CB449F">
            <w:pPr>
              <w:numPr>
                <w:ilvl w:val="0"/>
                <w:numId w:val="29"/>
              </w:numPr>
              <w:spacing w:after="0" w:line="256" w:lineRule="auto"/>
              <w:ind w:left="994"/>
              <w:contextualSpacing/>
              <w:rPr>
                <w:rFonts w:ascii="Arial" w:eastAsia="Times New Roman" w:hAnsi="Arial" w:cs="Arial"/>
                <w:sz w:val="18"/>
                <w:szCs w:val="36"/>
                <w:lang w:eastAsia="hr-HR"/>
              </w:rPr>
            </w:pPr>
            <w:r w:rsidRPr="00CB449F">
              <w:rPr>
                <w:rFonts w:ascii="Calibri" w:eastAsia="Times New Roman" w:hAnsi="Calibri" w:cs="Calibri"/>
                <w:color w:val="000000" w:themeColor="text1"/>
                <w:kern w:val="24"/>
                <w:sz w:val="18"/>
                <w:szCs w:val="18"/>
                <w:lang w:eastAsia="hr-HR"/>
              </w:rPr>
              <w:t>Nij</w:t>
            </w:r>
            <w:r w:rsidR="004360A3">
              <w:rPr>
                <w:rFonts w:ascii="Calibri" w:eastAsia="Times New Roman" w:hAnsi="Calibri" w:cs="Calibri"/>
                <w:color w:val="000000" w:themeColor="text1"/>
                <w:kern w:val="24"/>
                <w:sz w:val="18"/>
                <w:szCs w:val="18"/>
                <w:lang w:eastAsia="hr-HR"/>
              </w:rPr>
              <w:t>e bila definirana najviša razina</w:t>
            </w:r>
            <w:r w:rsidRPr="00CB449F">
              <w:rPr>
                <w:rFonts w:ascii="Calibri" w:eastAsia="Times New Roman" w:hAnsi="Calibri" w:cs="Calibri"/>
                <w:color w:val="000000" w:themeColor="text1"/>
                <w:kern w:val="24"/>
                <w:sz w:val="18"/>
                <w:szCs w:val="18"/>
                <w:lang w:eastAsia="hr-HR"/>
              </w:rPr>
              <w:t xml:space="preserve"> cijena za operatore izvan EEA koji RH operatorima naplaćuju cijenu nižu ili istu reguliranoj cijeni u RH</w:t>
            </w:r>
          </w:p>
          <w:p w:rsidR="00CB449F" w:rsidRPr="00CB449F" w:rsidRDefault="00CB449F" w:rsidP="00CB449F">
            <w:pPr>
              <w:numPr>
                <w:ilvl w:val="0"/>
                <w:numId w:val="29"/>
              </w:numPr>
              <w:spacing w:after="0" w:line="256" w:lineRule="auto"/>
              <w:ind w:left="994"/>
              <w:contextualSpacing/>
              <w:rPr>
                <w:rFonts w:ascii="Arial" w:eastAsia="Times New Roman" w:hAnsi="Arial" w:cs="Arial"/>
                <w:sz w:val="18"/>
                <w:szCs w:val="36"/>
                <w:lang w:eastAsia="hr-HR"/>
              </w:rPr>
            </w:pPr>
            <w:r w:rsidRPr="00CB449F">
              <w:rPr>
                <w:rFonts w:ascii="Calibri" w:eastAsia="Calibri" w:hAnsi="Calibri" w:cs="Times New Roman"/>
                <w:color w:val="000000" w:themeColor="text1"/>
                <w:kern w:val="24"/>
                <w:sz w:val="18"/>
                <w:szCs w:val="18"/>
                <w:lang w:eastAsia="hr-HR"/>
              </w:rPr>
              <w:t>HAKOM je rekao da će ažurirati troškovni model</w:t>
            </w:r>
          </w:p>
        </w:tc>
      </w:tr>
      <w:tr w:rsidR="00CB449F" w:rsidRPr="00CB449F" w:rsidTr="00CB449F">
        <w:trPr>
          <w:trHeight w:val="477"/>
        </w:trPr>
        <w:tc>
          <w:tcPr>
            <w:tcW w:w="2540" w:type="dxa"/>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ascii="Calibri" w:eastAsia="Times New Roman" w:hAnsi="Calibri" w:cs="Calibri"/>
                <w:b/>
                <w:bCs/>
                <w:color w:val="FFFFFF" w:themeColor="light1"/>
                <w:kern w:val="24"/>
                <w:sz w:val="20"/>
                <w:szCs w:val="20"/>
                <w:lang w:eastAsia="hr-HR"/>
              </w:rPr>
              <w:t xml:space="preserve">Računovodstveno razdvajanje </w:t>
            </w:r>
          </w:p>
        </w:tc>
        <w:tc>
          <w:tcPr>
            <w:tcW w:w="344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dark1"/>
                <w:kern w:val="24"/>
                <w:lang w:eastAsia="hr-HR"/>
              </w:rPr>
              <w:t>Ne</w:t>
            </w:r>
          </w:p>
        </w:tc>
        <w:tc>
          <w:tcPr>
            <w:tcW w:w="3660" w:type="dxa"/>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vAlign w:val="center"/>
            <w:hideMark/>
          </w:tcPr>
          <w:p w:rsidR="00CB449F" w:rsidRPr="00CB449F" w:rsidRDefault="00CB449F" w:rsidP="00CB449F">
            <w:pPr>
              <w:spacing w:after="0" w:line="256" w:lineRule="auto"/>
              <w:rPr>
                <w:rFonts w:ascii="Arial" w:eastAsia="Times New Roman" w:hAnsi="Arial" w:cs="Arial"/>
                <w:sz w:val="36"/>
                <w:szCs w:val="36"/>
                <w:lang w:eastAsia="hr-HR"/>
              </w:rPr>
            </w:pPr>
            <w:r w:rsidRPr="00CB449F">
              <w:rPr>
                <w:rFonts w:eastAsiaTheme="minorEastAsia" w:hAnsi="Calibri"/>
                <w:b/>
                <w:bCs/>
                <w:color w:val="000000" w:themeColor="dark1"/>
                <w:kern w:val="24"/>
                <w:lang w:eastAsia="hr-HR"/>
              </w:rPr>
              <w:t>Ne</w:t>
            </w:r>
          </w:p>
        </w:tc>
      </w:tr>
    </w:tbl>
    <w:p w:rsidR="00CB449F" w:rsidRDefault="00CB449F" w:rsidP="00CB449F"/>
    <w:p w:rsidR="00CB449F" w:rsidRDefault="00CB449F" w:rsidP="00CB449F"/>
    <w:p w:rsidR="00CB449F" w:rsidRDefault="00CB449F" w:rsidP="00CB449F"/>
    <w:p w:rsidR="00CB449F" w:rsidRPr="00CB449F" w:rsidRDefault="00CB449F" w:rsidP="00CB449F"/>
    <w:p w:rsidR="00A36D82" w:rsidRDefault="00A36D82">
      <w:pPr>
        <w:rPr>
          <w:rFonts w:asciiTheme="majorHAnsi" w:eastAsiaTheme="majorEastAsia" w:hAnsiTheme="majorHAnsi" w:cstheme="majorBidi"/>
          <w:b/>
          <w:bCs/>
          <w:color w:val="4F81BD" w:themeColor="accent1"/>
          <w:sz w:val="26"/>
          <w:szCs w:val="26"/>
          <w:highlight w:val="lightGray"/>
        </w:rPr>
      </w:pPr>
      <w:r>
        <w:rPr>
          <w:highlight w:val="lightGray"/>
        </w:rPr>
        <w:br w:type="page"/>
      </w:r>
    </w:p>
    <w:p w:rsidR="00CB449F" w:rsidRPr="00CB449F" w:rsidRDefault="00CB449F" w:rsidP="00A36D82">
      <w:pPr>
        <w:pStyle w:val="Heading2"/>
        <w:numPr>
          <w:ilvl w:val="0"/>
          <w:numId w:val="0"/>
        </w:numPr>
        <w:ind w:left="284"/>
      </w:pPr>
      <w:bookmarkStart w:id="57" w:name="_Toc525816362"/>
      <w:r>
        <w:lastRenderedPageBreak/>
        <w:t>Prilog 2– mišljenje Agencije za zaštitu tržišnog natjecanja</w:t>
      </w:r>
      <w:bookmarkEnd w:id="57"/>
    </w:p>
    <w:p w:rsidR="00C574BE" w:rsidRDefault="00D7259F" w:rsidP="0061086C">
      <w:r>
        <w:t>Bit će sastavni dio dokumenta nakon javne rasprave.</w:t>
      </w:r>
    </w:p>
    <w:p w:rsidR="009309EB" w:rsidRDefault="009309EB" w:rsidP="0061086C"/>
    <w:p w:rsidR="009309EB" w:rsidRDefault="009309EB" w:rsidP="0061086C"/>
    <w:p w:rsidR="009309EB" w:rsidRDefault="009309EB" w:rsidP="0061086C"/>
    <w:p w:rsidR="009309EB" w:rsidRDefault="009309EB" w:rsidP="0061086C"/>
    <w:p w:rsidR="00C574BE" w:rsidRDefault="00C574BE" w:rsidP="0061086C"/>
    <w:p w:rsidR="009309EB" w:rsidRPr="00C574BE" w:rsidRDefault="009309EB" w:rsidP="0061086C"/>
    <w:p w:rsidR="002169D7" w:rsidRDefault="002169D7" w:rsidP="0061086C">
      <w:pPr>
        <w:pStyle w:val="Heading2"/>
        <w:sectPr w:rsidR="002169D7" w:rsidSect="002554C1">
          <w:headerReference w:type="default" r:id="rId29"/>
          <w:footerReference w:type="default" r:id="rId30"/>
          <w:pgSz w:w="11906" w:h="16838"/>
          <w:pgMar w:top="1417" w:right="1417" w:bottom="1417" w:left="1417" w:header="708" w:footer="708" w:gutter="0"/>
          <w:pgNumType w:start="1"/>
          <w:cols w:space="708"/>
          <w:docGrid w:linePitch="360"/>
        </w:sectPr>
      </w:pPr>
    </w:p>
    <w:p w:rsidR="002169D7" w:rsidRDefault="00125942" w:rsidP="0061086C">
      <w:pPr>
        <w:pStyle w:val="Heading2"/>
      </w:pPr>
      <w:bookmarkStart w:id="58" w:name="_Toc525816363"/>
      <w:r>
        <w:lastRenderedPageBreak/>
        <w:t xml:space="preserve">Prilog </w:t>
      </w:r>
      <w:r w:rsidR="00CB449F">
        <w:t>3</w:t>
      </w:r>
      <w:r>
        <w:t xml:space="preserve"> – Komentari na dokument analize</w:t>
      </w:r>
      <w:bookmarkEnd w:id="58"/>
      <w:r>
        <w:t xml:space="preserve"> </w:t>
      </w:r>
    </w:p>
    <w:p w:rsidR="00B43B7E" w:rsidRDefault="00B43B7E" w:rsidP="00B43B7E">
      <w:r>
        <w:t>Bit će sastavni dio dokumenta nakon javne rasprave.</w:t>
      </w:r>
    </w:p>
    <w:p w:rsidR="0043382D" w:rsidRPr="0043382D" w:rsidRDefault="0043382D" w:rsidP="0043382D">
      <w:pPr>
        <w:rPr>
          <w:highlight w:val="yellow"/>
        </w:rPr>
        <w:sectPr w:rsidR="0043382D" w:rsidRPr="0043382D" w:rsidSect="0043382D">
          <w:pgSz w:w="16838" w:h="11906" w:orient="landscape"/>
          <w:pgMar w:top="1417" w:right="1417" w:bottom="1417" w:left="1417" w:header="708" w:footer="708" w:gutter="0"/>
          <w:cols w:space="708"/>
          <w:docGrid w:linePitch="360"/>
        </w:sectPr>
      </w:pPr>
    </w:p>
    <w:p w:rsidR="00470AB0" w:rsidRPr="00BB1446" w:rsidRDefault="00470AB0" w:rsidP="00083A62">
      <w:pPr>
        <w:pStyle w:val="Heading1"/>
      </w:pPr>
      <w:bookmarkStart w:id="59" w:name="_Toc525816364"/>
      <w:r w:rsidRPr="00BB1446">
        <w:lastRenderedPageBreak/>
        <w:t>Popis slika</w:t>
      </w:r>
      <w:bookmarkEnd w:id="59"/>
    </w:p>
    <w:p w:rsidR="00470AB0" w:rsidRPr="00A052D4" w:rsidRDefault="00470AB0" w:rsidP="00BB7F55">
      <w:pPr>
        <w:pStyle w:val="TableofFigures"/>
        <w:tabs>
          <w:tab w:val="right" w:leader="dot" w:pos="9062"/>
        </w:tabs>
        <w:spacing w:line="240" w:lineRule="auto"/>
        <w:rPr>
          <w:sz w:val="24"/>
          <w:szCs w:val="24"/>
          <w:highlight w:val="yellow"/>
        </w:rPr>
      </w:pPr>
    </w:p>
    <w:p w:rsidR="00FC361C" w:rsidRDefault="008B65EB">
      <w:pPr>
        <w:pStyle w:val="TableofFigures"/>
        <w:tabs>
          <w:tab w:val="right" w:leader="dot" w:pos="9062"/>
        </w:tabs>
        <w:rPr>
          <w:rFonts w:eastAsiaTheme="minorEastAsia"/>
          <w:noProof/>
          <w:lang w:eastAsia="hr-HR"/>
        </w:rPr>
      </w:pPr>
      <w:r>
        <w:rPr>
          <w:b/>
          <w:bCs/>
          <w:sz w:val="24"/>
          <w:szCs w:val="24"/>
          <w:highlight w:val="yellow"/>
        </w:rPr>
        <w:fldChar w:fldCharType="begin"/>
      </w:r>
      <w:r>
        <w:rPr>
          <w:b/>
          <w:bCs/>
          <w:sz w:val="24"/>
          <w:szCs w:val="24"/>
          <w:highlight w:val="yellow"/>
        </w:rPr>
        <w:instrText xml:space="preserve"> TOC \h \z \c "Slika" </w:instrText>
      </w:r>
      <w:r>
        <w:rPr>
          <w:b/>
          <w:bCs/>
          <w:sz w:val="24"/>
          <w:szCs w:val="24"/>
          <w:highlight w:val="yellow"/>
        </w:rPr>
        <w:fldChar w:fldCharType="separate"/>
      </w:r>
      <w:hyperlink w:anchor="_Toc525508361" w:history="1">
        <w:r w:rsidR="00FC361C" w:rsidRPr="004E283F">
          <w:rPr>
            <w:rStyle w:val="Hyperlink"/>
            <w:noProof/>
          </w:rPr>
          <w:t>Slika 1 Gustoća korisnika telefonskih usluga u javnoj pokretnoj komunikacijskoj mreži</w:t>
        </w:r>
        <w:r w:rsidR="00FC361C">
          <w:rPr>
            <w:noProof/>
            <w:webHidden/>
          </w:rPr>
          <w:tab/>
        </w:r>
        <w:r w:rsidR="00FC361C">
          <w:rPr>
            <w:noProof/>
            <w:webHidden/>
          </w:rPr>
          <w:fldChar w:fldCharType="begin"/>
        </w:r>
        <w:r w:rsidR="00FC361C">
          <w:rPr>
            <w:noProof/>
            <w:webHidden/>
          </w:rPr>
          <w:instrText xml:space="preserve"> PAGEREF _Toc525508361 \h </w:instrText>
        </w:r>
        <w:r w:rsidR="00FC361C">
          <w:rPr>
            <w:noProof/>
            <w:webHidden/>
          </w:rPr>
        </w:r>
        <w:r w:rsidR="00FC361C">
          <w:rPr>
            <w:noProof/>
            <w:webHidden/>
          </w:rPr>
          <w:fldChar w:fldCharType="separate"/>
        </w:r>
        <w:r w:rsidR="00FE0B2B">
          <w:rPr>
            <w:noProof/>
            <w:webHidden/>
          </w:rPr>
          <w:t>10</w:t>
        </w:r>
        <w:r w:rsidR="00FC361C">
          <w:rPr>
            <w:noProof/>
            <w:webHidden/>
          </w:rPr>
          <w:fldChar w:fldCharType="end"/>
        </w:r>
      </w:hyperlink>
    </w:p>
    <w:p w:rsidR="00FC361C" w:rsidRDefault="00D91467">
      <w:pPr>
        <w:pStyle w:val="TableofFigures"/>
        <w:tabs>
          <w:tab w:val="right" w:leader="dot" w:pos="9062"/>
        </w:tabs>
        <w:rPr>
          <w:rFonts w:eastAsiaTheme="minorEastAsia"/>
          <w:noProof/>
          <w:lang w:eastAsia="hr-HR"/>
        </w:rPr>
      </w:pPr>
      <w:hyperlink w:anchor="_Toc525508362" w:history="1">
        <w:r w:rsidR="00FC361C" w:rsidRPr="004E283F">
          <w:rPr>
            <w:rStyle w:val="Hyperlink"/>
            <w:noProof/>
          </w:rPr>
          <w:t xml:space="preserve">Slika 2 Odnos korisnika s pretplatničkim odnosom (eng. </w:t>
        </w:r>
        <w:r w:rsidR="00FC361C" w:rsidRPr="004E283F">
          <w:rPr>
            <w:rStyle w:val="Hyperlink"/>
            <w:i/>
            <w:noProof/>
          </w:rPr>
          <w:t>postpaid</w:t>
        </w:r>
        <w:r w:rsidR="00FC361C" w:rsidRPr="004E283F">
          <w:rPr>
            <w:rStyle w:val="Hyperlink"/>
            <w:noProof/>
          </w:rPr>
          <w:t xml:space="preserve">) i korisnika bez pretplatničkog odnosa (eng. </w:t>
        </w:r>
        <w:r w:rsidR="00FC361C" w:rsidRPr="004E283F">
          <w:rPr>
            <w:rStyle w:val="Hyperlink"/>
            <w:i/>
            <w:noProof/>
          </w:rPr>
          <w:t>prepaid</w:t>
        </w:r>
        <w:r w:rsidR="00FC361C" w:rsidRPr="004E283F">
          <w:rPr>
            <w:rStyle w:val="Hyperlink"/>
            <w:noProof/>
          </w:rPr>
          <w:t>)</w:t>
        </w:r>
        <w:r w:rsidR="00FC361C">
          <w:rPr>
            <w:noProof/>
            <w:webHidden/>
          </w:rPr>
          <w:tab/>
        </w:r>
        <w:r w:rsidR="00FC361C">
          <w:rPr>
            <w:noProof/>
            <w:webHidden/>
          </w:rPr>
          <w:fldChar w:fldCharType="begin"/>
        </w:r>
        <w:r w:rsidR="00FC361C">
          <w:rPr>
            <w:noProof/>
            <w:webHidden/>
          </w:rPr>
          <w:instrText xml:space="preserve"> PAGEREF _Toc525508362 \h </w:instrText>
        </w:r>
        <w:r w:rsidR="00FC361C">
          <w:rPr>
            <w:noProof/>
            <w:webHidden/>
          </w:rPr>
        </w:r>
        <w:r w:rsidR="00FC361C">
          <w:rPr>
            <w:noProof/>
            <w:webHidden/>
          </w:rPr>
          <w:fldChar w:fldCharType="separate"/>
        </w:r>
        <w:r w:rsidR="00FE0B2B">
          <w:rPr>
            <w:noProof/>
            <w:webHidden/>
          </w:rPr>
          <w:t>10</w:t>
        </w:r>
        <w:r w:rsidR="00FC361C">
          <w:rPr>
            <w:noProof/>
            <w:webHidden/>
          </w:rPr>
          <w:fldChar w:fldCharType="end"/>
        </w:r>
      </w:hyperlink>
    </w:p>
    <w:p w:rsidR="00FC361C" w:rsidRDefault="00D91467">
      <w:pPr>
        <w:pStyle w:val="TableofFigures"/>
        <w:tabs>
          <w:tab w:val="right" w:leader="dot" w:pos="9062"/>
        </w:tabs>
        <w:rPr>
          <w:rFonts w:eastAsiaTheme="minorEastAsia"/>
          <w:noProof/>
          <w:lang w:eastAsia="hr-HR"/>
        </w:rPr>
      </w:pPr>
      <w:hyperlink w:anchor="_Toc525508363" w:history="1">
        <w:r w:rsidR="00FC361C" w:rsidRPr="004E283F">
          <w:rPr>
            <w:rStyle w:val="Hyperlink"/>
            <w:noProof/>
          </w:rPr>
          <w:t>Slika 3 Udjel operatora prema ukupnom broju korisnika telefonskih usluga u pokretnoj mreži</w:t>
        </w:r>
        <w:r w:rsidR="00FC361C">
          <w:rPr>
            <w:noProof/>
            <w:webHidden/>
          </w:rPr>
          <w:tab/>
        </w:r>
        <w:r w:rsidR="00FC361C">
          <w:rPr>
            <w:noProof/>
            <w:webHidden/>
          </w:rPr>
          <w:fldChar w:fldCharType="begin"/>
        </w:r>
        <w:r w:rsidR="00FC361C">
          <w:rPr>
            <w:noProof/>
            <w:webHidden/>
          </w:rPr>
          <w:instrText xml:space="preserve"> PAGEREF _Toc525508363 \h </w:instrText>
        </w:r>
        <w:r w:rsidR="00FC361C">
          <w:rPr>
            <w:noProof/>
            <w:webHidden/>
          </w:rPr>
        </w:r>
        <w:r w:rsidR="00FC361C">
          <w:rPr>
            <w:noProof/>
            <w:webHidden/>
          </w:rPr>
          <w:fldChar w:fldCharType="separate"/>
        </w:r>
        <w:r w:rsidR="00FE0B2B">
          <w:rPr>
            <w:noProof/>
            <w:webHidden/>
          </w:rPr>
          <w:t>11</w:t>
        </w:r>
        <w:r w:rsidR="00FC361C">
          <w:rPr>
            <w:noProof/>
            <w:webHidden/>
          </w:rPr>
          <w:fldChar w:fldCharType="end"/>
        </w:r>
      </w:hyperlink>
    </w:p>
    <w:p w:rsidR="00FC361C" w:rsidRDefault="00D91467">
      <w:pPr>
        <w:pStyle w:val="TableofFigures"/>
        <w:tabs>
          <w:tab w:val="right" w:leader="dot" w:pos="9062"/>
        </w:tabs>
        <w:rPr>
          <w:rFonts w:eastAsiaTheme="minorEastAsia"/>
          <w:noProof/>
          <w:lang w:eastAsia="hr-HR"/>
        </w:rPr>
      </w:pPr>
      <w:hyperlink w:anchor="_Toc525508364" w:history="1">
        <w:r w:rsidR="00FC361C" w:rsidRPr="004E283F">
          <w:rPr>
            <w:rStyle w:val="Hyperlink"/>
            <w:noProof/>
          </w:rPr>
          <w:t>Slika 4 Broj ukupnih završenih minuta u mobilnoj mreži</w:t>
        </w:r>
        <w:r w:rsidR="00FC361C">
          <w:rPr>
            <w:noProof/>
            <w:webHidden/>
          </w:rPr>
          <w:tab/>
        </w:r>
        <w:r w:rsidR="00FC361C">
          <w:rPr>
            <w:noProof/>
            <w:webHidden/>
          </w:rPr>
          <w:fldChar w:fldCharType="begin"/>
        </w:r>
        <w:r w:rsidR="00FC361C">
          <w:rPr>
            <w:noProof/>
            <w:webHidden/>
          </w:rPr>
          <w:instrText xml:space="preserve"> PAGEREF _Toc525508364 \h </w:instrText>
        </w:r>
        <w:r w:rsidR="00FC361C">
          <w:rPr>
            <w:noProof/>
            <w:webHidden/>
          </w:rPr>
        </w:r>
        <w:r w:rsidR="00FC361C">
          <w:rPr>
            <w:noProof/>
            <w:webHidden/>
          </w:rPr>
          <w:fldChar w:fldCharType="separate"/>
        </w:r>
        <w:r w:rsidR="00FE0B2B">
          <w:rPr>
            <w:noProof/>
            <w:webHidden/>
          </w:rPr>
          <w:t>14</w:t>
        </w:r>
        <w:r w:rsidR="00FC361C">
          <w:rPr>
            <w:noProof/>
            <w:webHidden/>
          </w:rPr>
          <w:fldChar w:fldCharType="end"/>
        </w:r>
      </w:hyperlink>
    </w:p>
    <w:p w:rsidR="00FC361C" w:rsidRDefault="00D91467">
      <w:pPr>
        <w:pStyle w:val="TableofFigures"/>
        <w:tabs>
          <w:tab w:val="right" w:leader="dot" w:pos="9062"/>
        </w:tabs>
        <w:rPr>
          <w:rFonts w:eastAsiaTheme="minorEastAsia"/>
          <w:noProof/>
          <w:lang w:eastAsia="hr-HR"/>
        </w:rPr>
      </w:pPr>
      <w:hyperlink w:anchor="_Toc525508365" w:history="1">
        <w:r w:rsidR="00FC361C" w:rsidRPr="004E283F">
          <w:rPr>
            <w:rStyle w:val="Hyperlink"/>
            <w:noProof/>
          </w:rPr>
          <w:t>Slika 5 Tržišni udjeli operatora prema ukupnom broju završenih (terminiranih) minuta</w:t>
        </w:r>
        <w:r w:rsidR="00FC361C">
          <w:rPr>
            <w:noProof/>
            <w:webHidden/>
          </w:rPr>
          <w:tab/>
        </w:r>
        <w:r w:rsidR="00FC361C">
          <w:rPr>
            <w:noProof/>
            <w:webHidden/>
          </w:rPr>
          <w:fldChar w:fldCharType="begin"/>
        </w:r>
        <w:r w:rsidR="00FC361C">
          <w:rPr>
            <w:noProof/>
            <w:webHidden/>
          </w:rPr>
          <w:instrText xml:space="preserve"> PAGEREF _Toc525508365 \h </w:instrText>
        </w:r>
        <w:r w:rsidR="00FC361C">
          <w:rPr>
            <w:noProof/>
            <w:webHidden/>
          </w:rPr>
        </w:r>
        <w:r w:rsidR="00FC361C">
          <w:rPr>
            <w:noProof/>
            <w:webHidden/>
          </w:rPr>
          <w:fldChar w:fldCharType="separate"/>
        </w:r>
        <w:r w:rsidR="00FE0B2B">
          <w:rPr>
            <w:noProof/>
            <w:webHidden/>
          </w:rPr>
          <w:t>19</w:t>
        </w:r>
        <w:r w:rsidR="00FC361C">
          <w:rPr>
            <w:noProof/>
            <w:webHidden/>
          </w:rPr>
          <w:fldChar w:fldCharType="end"/>
        </w:r>
      </w:hyperlink>
    </w:p>
    <w:p w:rsidR="00FC361C" w:rsidRDefault="00D91467">
      <w:pPr>
        <w:pStyle w:val="TableofFigures"/>
        <w:tabs>
          <w:tab w:val="right" w:leader="dot" w:pos="9062"/>
        </w:tabs>
        <w:rPr>
          <w:rFonts w:eastAsiaTheme="minorEastAsia"/>
          <w:noProof/>
          <w:lang w:eastAsia="hr-HR"/>
        </w:rPr>
      </w:pPr>
      <w:hyperlink w:anchor="_Toc525508366" w:history="1">
        <w:r w:rsidR="00FC361C" w:rsidRPr="004E283F">
          <w:rPr>
            <w:rStyle w:val="Hyperlink"/>
            <w:noProof/>
          </w:rPr>
          <w:t>Slika 6 Odnos operatora Vipnet-a i HT-a</w:t>
        </w:r>
        <w:r w:rsidR="00FC361C">
          <w:rPr>
            <w:noProof/>
            <w:webHidden/>
          </w:rPr>
          <w:tab/>
        </w:r>
        <w:r w:rsidR="00FC361C">
          <w:rPr>
            <w:noProof/>
            <w:webHidden/>
          </w:rPr>
          <w:fldChar w:fldCharType="begin"/>
        </w:r>
        <w:r w:rsidR="00FC361C">
          <w:rPr>
            <w:noProof/>
            <w:webHidden/>
          </w:rPr>
          <w:instrText xml:space="preserve"> PAGEREF _Toc525508366 \h </w:instrText>
        </w:r>
        <w:r w:rsidR="00FC361C">
          <w:rPr>
            <w:noProof/>
            <w:webHidden/>
          </w:rPr>
        </w:r>
        <w:r w:rsidR="00FC361C">
          <w:rPr>
            <w:noProof/>
            <w:webHidden/>
          </w:rPr>
          <w:fldChar w:fldCharType="separate"/>
        </w:r>
        <w:r w:rsidR="00FE0B2B">
          <w:rPr>
            <w:noProof/>
            <w:webHidden/>
          </w:rPr>
          <w:t>20</w:t>
        </w:r>
        <w:r w:rsidR="00FC361C">
          <w:rPr>
            <w:noProof/>
            <w:webHidden/>
          </w:rPr>
          <w:fldChar w:fldCharType="end"/>
        </w:r>
      </w:hyperlink>
    </w:p>
    <w:p w:rsidR="00FC361C" w:rsidRDefault="00D91467">
      <w:pPr>
        <w:pStyle w:val="TableofFigures"/>
        <w:tabs>
          <w:tab w:val="right" w:leader="dot" w:pos="9062"/>
        </w:tabs>
        <w:rPr>
          <w:rFonts w:eastAsiaTheme="minorEastAsia"/>
          <w:noProof/>
          <w:lang w:eastAsia="hr-HR"/>
        </w:rPr>
      </w:pPr>
      <w:hyperlink w:anchor="_Toc525508367" w:history="1">
        <w:r w:rsidR="00FC361C" w:rsidRPr="004E283F">
          <w:rPr>
            <w:rStyle w:val="Hyperlink"/>
            <w:noProof/>
          </w:rPr>
          <w:t>Slika 7 Odnos operatora Tele2 i HT</w:t>
        </w:r>
        <w:r w:rsidR="00FC361C">
          <w:rPr>
            <w:noProof/>
            <w:webHidden/>
          </w:rPr>
          <w:tab/>
        </w:r>
        <w:r w:rsidR="00FC361C">
          <w:rPr>
            <w:noProof/>
            <w:webHidden/>
          </w:rPr>
          <w:fldChar w:fldCharType="begin"/>
        </w:r>
        <w:r w:rsidR="00FC361C">
          <w:rPr>
            <w:noProof/>
            <w:webHidden/>
          </w:rPr>
          <w:instrText xml:space="preserve"> PAGEREF _Toc525508367 \h </w:instrText>
        </w:r>
        <w:r w:rsidR="00FC361C">
          <w:rPr>
            <w:noProof/>
            <w:webHidden/>
          </w:rPr>
        </w:r>
        <w:r w:rsidR="00FC361C">
          <w:rPr>
            <w:noProof/>
            <w:webHidden/>
          </w:rPr>
          <w:fldChar w:fldCharType="separate"/>
        </w:r>
        <w:r w:rsidR="00FE0B2B">
          <w:rPr>
            <w:noProof/>
            <w:webHidden/>
          </w:rPr>
          <w:t>20</w:t>
        </w:r>
        <w:r w:rsidR="00FC361C">
          <w:rPr>
            <w:noProof/>
            <w:webHidden/>
          </w:rPr>
          <w:fldChar w:fldCharType="end"/>
        </w:r>
      </w:hyperlink>
    </w:p>
    <w:p w:rsidR="00FC361C" w:rsidRDefault="00D91467">
      <w:pPr>
        <w:pStyle w:val="TableofFigures"/>
        <w:tabs>
          <w:tab w:val="right" w:leader="dot" w:pos="9062"/>
        </w:tabs>
        <w:rPr>
          <w:rFonts w:eastAsiaTheme="minorEastAsia"/>
          <w:noProof/>
          <w:lang w:eastAsia="hr-HR"/>
        </w:rPr>
      </w:pPr>
      <w:hyperlink w:anchor="_Toc525508368" w:history="1">
        <w:r w:rsidR="00FC361C" w:rsidRPr="004E283F">
          <w:rPr>
            <w:rStyle w:val="Hyperlink"/>
            <w:noProof/>
          </w:rPr>
          <w:t>Slika 8 Odnos operatora Vipnet i Tele2</w:t>
        </w:r>
        <w:r w:rsidR="00FC361C">
          <w:rPr>
            <w:noProof/>
            <w:webHidden/>
          </w:rPr>
          <w:tab/>
        </w:r>
        <w:r w:rsidR="00FC361C">
          <w:rPr>
            <w:noProof/>
            <w:webHidden/>
          </w:rPr>
          <w:fldChar w:fldCharType="begin"/>
        </w:r>
        <w:r w:rsidR="00FC361C">
          <w:rPr>
            <w:noProof/>
            <w:webHidden/>
          </w:rPr>
          <w:instrText xml:space="preserve"> PAGEREF _Toc525508368 \h </w:instrText>
        </w:r>
        <w:r w:rsidR="00FC361C">
          <w:rPr>
            <w:noProof/>
            <w:webHidden/>
          </w:rPr>
        </w:r>
        <w:r w:rsidR="00FC361C">
          <w:rPr>
            <w:noProof/>
            <w:webHidden/>
          </w:rPr>
          <w:fldChar w:fldCharType="separate"/>
        </w:r>
        <w:r w:rsidR="00FE0B2B">
          <w:rPr>
            <w:noProof/>
            <w:webHidden/>
          </w:rPr>
          <w:t>21</w:t>
        </w:r>
        <w:r w:rsidR="00FC361C">
          <w:rPr>
            <w:noProof/>
            <w:webHidden/>
          </w:rPr>
          <w:fldChar w:fldCharType="end"/>
        </w:r>
      </w:hyperlink>
    </w:p>
    <w:p w:rsidR="000E4ECF" w:rsidRPr="000E4ECF" w:rsidRDefault="008B65EB" w:rsidP="00A36D82">
      <w:pPr>
        <w:pStyle w:val="Heading1"/>
        <w:numPr>
          <w:ilvl w:val="0"/>
          <w:numId w:val="0"/>
        </w:numPr>
        <w:rPr>
          <w:sz w:val="24"/>
          <w:szCs w:val="24"/>
        </w:rPr>
      </w:pPr>
      <w:r>
        <w:rPr>
          <w:rFonts w:asciiTheme="minorHAnsi" w:eastAsiaTheme="minorHAnsi" w:hAnsiTheme="minorHAnsi" w:cstheme="minorBidi"/>
          <w:color w:val="auto"/>
          <w:sz w:val="24"/>
          <w:szCs w:val="24"/>
          <w:highlight w:val="yellow"/>
        </w:rPr>
        <w:fldChar w:fldCharType="end"/>
      </w:r>
      <w:r w:rsidR="00470AB0" w:rsidRPr="00B62E0C">
        <w:fldChar w:fldCharType="begin"/>
      </w:r>
      <w:r w:rsidR="00470AB0" w:rsidRPr="00B62E0C">
        <w:instrText xml:space="preserve"> TOC \h \z \c "Tablica" </w:instrText>
      </w:r>
      <w:r w:rsidR="00470AB0" w:rsidRPr="00B62E0C">
        <w:fldChar w:fldCharType="end"/>
      </w:r>
    </w:p>
    <w:p w:rsidR="00157DFC" w:rsidRPr="000E4ECF" w:rsidRDefault="00157DFC" w:rsidP="00BB7F55">
      <w:pPr>
        <w:spacing w:after="0" w:line="240" w:lineRule="auto"/>
        <w:jc w:val="both"/>
        <w:rPr>
          <w:sz w:val="24"/>
          <w:szCs w:val="24"/>
        </w:rPr>
      </w:pPr>
    </w:p>
    <w:sectPr w:rsidR="00157DFC" w:rsidRPr="000E4ECF" w:rsidSect="0043382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1C63" w:rsidRDefault="00401C63" w:rsidP="008B0F78">
      <w:pPr>
        <w:spacing w:after="0" w:line="240" w:lineRule="auto"/>
      </w:pPr>
      <w:r>
        <w:separator/>
      </w:r>
    </w:p>
  </w:endnote>
  <w:endnote w:type="continuationSeparator" w:id="0">
    <w:p w:rsidR="00401C63" w:rsidRDefault="00401C63" w:rsidP="008B0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37D1" w:rsidRPr="002C37D1" w:rsidRDefault="002C37D1" w:rsidP="002C37D1">
    <w:pPr>
      <w:spacing w:after="0" w:line="240" w:lineRule="auto"/>
      <w:ind w:left="-357" w:right="-357"/>
      <w:jc w:val="center"/>
      <w:rPr>
        <w:rFonts w:ascii="Calibri" w:eastAsia="Times New Roman" w:hAnsi="Calibri" w:cs="Times New Roman"/>
        <w:color w:val="024182"/>
        <w:sz w:val="16"/>
        <w:szCs w:val="20"/>
        <w:lang w:eastAsia="hr-HR"/>
      </w:rPr>
    </w:pPr>
    <w:r w:rsidRPr="002C37D1">
      <w:rPr>
        <w:rFonts w:ascii="Calibri" w:eastAsia="Times New Roman" w:hAnsi="Calibri" w:cs="Times New Roman"/>
        <w:noProof/>
        <w:color w:val="024182"/>
        <w:sz w:val="16"/>
        <w:szCs w:val="20"/>
        <w:lang w:eastAsia="hr-HR"/>
      </w:rPr>
      <mc:AlternateContent>
        <mc:Choice Requires="wps">
          <w:drawing>
            <wp:inline distT="0" distB="0" distL="0" distR="0" wp14:anchorId="11644728" wp14:editId="4F0A724B">
              <wp:extent cx="6480175" cy="0"/>
              <wp:effectExtent l="9525" t="9525" r="6350" b="9525"/>
              <wp:docPr id="1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B7E4C37"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n2/FQIAACo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XmJ9&#10;vxUCAAAqBAAADgAAAAAAAAAAAAAAAAAuAgAAZHJzL2Uyb0RvYy54bWxQSwECLQAUAAYACAAAACEA&#10;cqEVF9oAAAADAQAADwAAAAAAAAAAAAAAAABvBAAAZHJzL2Rvd25yZXYueG1sUEsFBgAAAAAEAAQA&#10;8wAAAHYFAAAAAA==&#10;" strokecolor="#024182" strokeweight=".1pt">
              <w10:anchorlock/>
            </v:line>
          </w:pict>
        </mc:Fallback>
      </mc:AlternateContent>
    </w:r>
  </w:p>
  <w:p w:rsidR="002C37D1" w:rsidRPr="002C37D1" w:rsidRDefault="002C37D1" w:rsidP="002C37D1">
    <w:pPr>
      <w:spacing w:before="80" w:after="0" w:line="360" w:lineRule="auto"/>
      <w:jc w:val="center"/>
      <w:rPr>
        <w:rFonts w:ascii="Calibri" w:eastAsia="Times New Roman" w:hAnsi="Calibri" w:cs="Times New Roman"/>
        <w:b/>
        <w:color w:val="024182"/>
        <w:sz w:val="16"/>
        <w:szCs w:val="20"/>
        <w:lang w:eastAsia="hr-HR"/>
      </w:rPr>
    </w:pPr>
    <w:r w:rsidRPr="002C37D1">
      <w:rPr>
        <w:rFonts w:ascii="Calibri" w:eastAsia="Times New Roman" w:hAnsi="Calibri" w:cs="Times New Roman"/>
        <w:b/>
        <w:color w:val="024182"/>
        <w:sz w:val="16"/>
        <w:szCs w:val="20"/>
        <w:lang w:eastAsia="hr-HR"/>
      </w:rPr>
      <w:t>HRVATSKA REGULATORNA AGENCIJA ZA MREŽNE DJELATNOSTI</w:t>
    </w:r>
  </w:p>
  <w:p w:rsidR="002C37D1" w:rsidRPr="002C37D1" w:rsidRDefault="002C37D1" w:rsidP="002C37D1">
    <w:pPr>
      <w:spacing w:after="0" w:line="360" w:lineRule="auto"/>
      <w:jc w:val="center"/>
      <w:rPr>
        <w:rFonts w:ascii="Calibri" w:eastAsia="Times New Roman" w:hAnsi="Calibri" w:cs="Times New Roman"/>
        <w:color w:val="024182"/>
        <w:sz w:val="16"/>
        <w:szCs w:val="20"/>
        <w:lang w:eastAsia="hr-HR"/>
      </w:rPr>
    </w:pPr>
    <w:r w:rsidRPr="002C37D1">
      <w:rPr>
        <w:rFonts w:ascii="Calibri" w:eastAsia="Times New Roman" w:hAnsi="Calibri" w:cs="Times New Roman"/>
        <w:color w:val="024182"/>
        <w:sz w:val="16"/>
        <w:szCs w:val="20"/>
        <w:lang w:eastAsia="hr-HR"/>
      </w:rPr>
      <w:t>Roberta Frangeša Mihanovića 9, 10110 Zagreb / OIB: 87950783661 / Tel: (01) 7007 007, Fax: (01) 7007 070 / www.hakom.hr</w:t>
    </w:r>
  </w:p>
  <w:p w:rsidR="002C37D1" w:rsidRDefault="002C37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37D1" w:rsidRDefault="002C37D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66D" w:rsidRDefault="0015566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430"/>
      <w:gridCol w:w="1858"/>
    </w:tblGrid>
    <w:sdt>
      <w:sdtPr>
        <w:rPr>
          <w:rFonts w:asciiTheme="majorHAnsi" w:eastAsiaTheme="majorEastAsia" w:hAnsiTheme="majorHAnsi" w:cstheme="majorBidi"/>
          <w:sz w:val="20"/>
          <w:szCs w:val="20"/>
        </w:rPr>
        <w:id w:val="692035639"/>
        <w:docPartObj>
          <w:docPartGallery w:val="Page Numbers (Bottom of Page)"/>
          <w:docPartUnique/>
        </w:docPartObj>
      </w:sdtPr>
      <w:sdtEndPr>
        <w:rPr>
          <w:rFonts w:asciiTheme="minorHAnsi" w:eastAsiaTheme="minorHAnsi" w:hAnsiTheme="minorHAnsi" w:cstheme="minorBidi"/>
          <w:sz w:val="22"/>
          <w:szCs w:val="22"/>
        </w:rPr>
      </w:sdtEndPr>
      <w:sdtContent>
        <w:tr w:rsidR="0015566D">
          <w:trPr>
            <w:trHeight w:val="727"/>
          </w:trPr>
          <w:tc>
            <w:tcPr>
              <w:tcW w:w="4000" w:type="pct"/>
              <w:tcBorders>
                <w:right w:val="triple" w:sz="4" w:space="0" w:color="4F81BD" w:themeColor="accent1"/>
              </w:tcBorders>
            </w:tcPr>
            <w:p w:rsidR="0015566D" w:rsidRDefault="0015566D">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15566D" w:rsidRDefault="0015566D">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D91467">
                <w:rPr>
                  <w:noProof/>
                </w:rPr>
                <w:t>44</w:t>
              </w:r>
              <w:r>
                <w:fldChar w:fldCharType="end"/>
              </w:r>
            </w:p>
          </w:tc>
        </w:tr>
      </w:sdtContent>
    </w:sdt>
  </w:tbl>
  <w:p w:rsidR="0015566D" w:rsidRDefault="0015566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1C63" w:rsidRDefault="00401C63" w:rsidP="008B0F78">
      <w:pPr>
        <w:spacing w:after="0" w:line="240" w:lineRule="auto"/>
      </w:pPr>
      <w:r>
        <w:separator/>
      </w:r>
    </w:p>
  </w:footnote>
  <w:footnote w:type="continuationSeparator" w:id="0">
    <w:p w:rsidR="00401C63" w:rsidRDefault="00401C63" w:rsidP="008B0F78">
      <w:pPr>
        <w:spacing w:after="0" w:line="240" w:lineRule="auto"/>
      </w:pPr>
      <w:r>
        <w:continuationSeparator/>
      </w:r>
    </w:p>
  </w:footnote>
  <w:footnote w:id="1">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Hrvatska regulatorna agencija za mrežne djelatnosti</w:t>
      </w:r>
    </w:p>
  </w:footnote>
  <w:footnote w:id="2">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Zakon o elektroničkim komunikacijama</w:t>
      </w:r>
      <w:r>
        <w:rPr>
          <w:rFonts w:asciiTheme="minorHAnsi" w:hAnsiTheme="minorHAnsi" w:cstheme="minorHAnsi"/>
        </w:rPr>
        <w:t xml:space="preserve"> </w:t>
      </w:r>
      <w:r w:rsidRPr="008A32A3">
        <w:rPr>
          <w:rFonts w:asciiTheme="minorHAnsi" w:hAnsiTheme="minorHAnsi" w:cstheme="minorHAnsi"/>
        </w:rPr>
        <w:t>(NN br. 73/08, 90/11,133/12, 80/13 i 71/14 i 72/17)</w:t>
      </w:r>
    </w:p>
  </w:footnote>
  <w:footnote w:id="3">
    <w:p w:rsidR="0015566D" w:rsidRPr="000C5EFB" w:rsidRDefault="0015566D" w:rsidP="005166E9">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OJ L 295/79; 9. listopada 2014.</w:t>
      </w:r>
    </w:p>
  </w:footnote>
  <w:footnote w:id="4">
    <w:p w:rsidR="0015566D" w:rsidRPr="000C5EFB" w:rsidRDefault="0015566D" w:rsidP="005166E9">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Smjernice za analizu tržišta i ocjenu značajne tržišne snage na temelju regulatornog okvira EU-a za elektroničke komunikacijske mreže i usluge, OJ C 159/1; 7. svibnja 2018.</w:t>
      </w:r>
    </w:p>
  </w:footnote>
  <w:footnote w:id="5">
    <w:p w:rsidR="00D635C4" w:rsidRDefault="00D635C4">
      <w:pPr>
        <w:pStyle w:val="FootnoteText"/>
      </w:pPr>
      <w:r>
        <w:rPr>
          <w:rStyle w:val="FootnoteReference"/>
        </w:rPr>
        <w:footnoteRef/>
      </w:r>
      <w:r w:rsidRPr="00D635C4">
        <w:rPr>
          <w:rFonts w:asciiTheme="minorHAnsi" w:hAnsiTheme="minorHAnsi" w:cstheme="minorHAnsi"/>
        </w:rPr>
        <w:t>Tijekom listopada će Vipnet d.o.o. promijeniti naziv u A1 Hrvatska d.o.o.</w:t>
      </w:r>
    </w:p>
  </w:footnote>
  <w:footnote w:id="6">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OJ L 295/79; 9. listopada 2014.</w:t>
      </w:r>
    </w:p>
  </w:footnote>
  <w:footnote w:id="7">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OJ L 344/65; 28. prosinca 2007.</w:t>
      </w:r>
    </w:p>
  </w:footnote>
  <w:footnote w:id="8">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Commission Recommendation on the Regulatory Treatment of Fixed and Mobile Termination Rates in the EU (2009/396/EC), OJ L 124/67; 7. svibnja 2009.</w:t>
      </w:r>
    </w:p>
  </w:footnote>
  <w:footnote w:id="9">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Tržište br. 2</w:t>
      </w:r>
    </w:p>
  </w:footnote>
  <w:footnote w:id="10">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NN br. 79/09, 80/13</w:t>
      </w:r>
    </w:p>
  </w:footnote>
  <w:footnote w:id="11">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KLASA: UP/I-344-01/14-03/08; URBROJ: 376-11-15-16</w:t>
      </w:r>
    </w:p>
  </w:footnote>
  <w:footnote w:id="12">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Operatoru koji ima mogućnost raspoznavanja A broja isti mora biti vidljiv, ispravan i potpun.</w:t>
      </w:r>
    </w:p>
  </w:footnote>
  <w:footnote w:id="13">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KLASA: UP/I-344-01/16-05/08; URBROJ: 376-11-16-12</w:t>
      </w:r>
    </w:p>
  </w:footnote>
  <w:footnote w:id="14">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KLASA:UP/I-344-01/14-03/08; URBROJ: 376-11-17-20</w:t>
      </w:r>
    </w:p>
  </w:footnote>
  <w:footnote w:id="15">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KLASA: UP/I-344-01/15-03/04; URBROJ: 376-11-18-15</w:t>
      </w:r>
    </w:p>
  </w:footnote>
  <w:footnote w:id="16">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najčešće se radilo o zamjeni non EEA A broja s EEA A brojem</w:t>
      </w:r>
    </w:p>
  </w:footnote>
  <w:footnote w:id="17">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KLASA: UP/I-344-08/17-03/05; URBROJ: 376-04-18-35</w:t>
      </w:r>
    </w:p>
  </w:footnote>
  <w:footnote w:id="18">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Terrakom d.o.o.</w:t>
      </w:r>
    </w:p>
  </w:footnote>
  <w:footnote w:id="19">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Razlika u odnosu na tarifne pakete MNO operatora je u činjenici što drugi brand ima i svoju numeraciju (vlastiti NDC), čime se radi diferencijacija u odnosu na pozive prema drugim numeracijama (NDC-ovima). Operatori pokretne mreže pozive na te NDC-ove (drugi </w:t>
      </w:r>
      <w:r w:rsidRPr="000C5EFB">
        <w:rPr>
          <w:rFonts w:asciiTheme="minorHAnsi" w:hAnsiTheme="minorHAnsi" w:cstheme="minorHAnsi"/>
          <w:i/>
        </w:rPr>
        <w:t>brand</w:t>
      </w:r>
      <w:r w:rsidRPr="000C5EFB">
        <w:rPr>
          <w:rFonts w:asciiTheme="minorHAnsi" w:hAnsiTheme="minorHAnsi" w:cstheme="minorHAnsi"/>
        </w:rPr>
        <w:t>) tretiraju kao pozive u druge mreže (off-net pozivi).</w:t>
      </w:r>
    </w:p>
  </w:footnote>
  <w:footnote w:id="20">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HAKOM je sukladno ZEK-u i Pravilniku o uvjetima dodjele i uporabe radiofrekvencijskog spektra (NN br. 45/12, 50/12, 97/14 i 116/17) izdao tehnološki neutralne dozvole za uporabu radiofrekvencijskog spektra operatorima pokretnih mreža. U 2012. dodijeljena je digitalna dividenda HT-u i Vipnetu, a 2013. je operatorima dodijeljen preostali dio spektra u iznosu od 20MHz, i to HT-u i Vipnetu. Temeljem raspisanog javnog poziva, 2014. je zainteresiranim operatorima dodijeljen najveći dio preostalog radiofrekvencijskog spektra u frekvencijskome području za pokretne javne komunikacijske mreže 1805-1880/1710-1785 MHz, i to Tele2 (2x15 MHz) i HT (2x10 MHz). U postupku javne dražbe, 2015. je Vipnetu dodijeljen preostali radiofrekvencijski spektar (2x15,6 MHz) u frekvencijskome području za pokretne javne komunikacijske mreže 1805-1880/1710-1785 MHz. </w:t>
      </w:r>
    </w:p>
  </w:footnote>
  <w:footnote w:id="21">
    <w:p w:rsidR="0015566D" w:rsidRDefault="0015566D">
      <w:pPr>
        <w:pStyle w:val="FootnoteText"/>
      </w:pPr>
      <w:r>
        <w:rPr>
          <w:rStyle w:val="FootnoteReference"/>
        </w:rPr>
        <w:footnoteRef/>
      </w:r>
      <w:r>
        <w:t xml:space="preserve"> </w:t>
      </w:r>
      <w:r w:rsidRPr="00CA0BD9">
        <w:rPr>
          <w:rFonts w:asciiTheme="minorHAnsi" w:hAnsiTheme="minorHAnsi" w:cstheme="minorHAnsi"/>
        </w:rPr>
        <w:t xml:space="preserve">aktivnim korisnikom </w:t>
      </w:r>
      <w:r w:rsidRPr="00DD1F80">
        <w:rPr>
          <w:rFonts w:asciiTheme="minorHAnsi" w:hAnsiTheme="minorHAnsi" w:cstheme="minorHAnsi"/>
        </w:rPr>
        <w:t>bez pretplatničkog</w:t>
      </w:r>
      <w:r w:rsidRPr="00CA0BD9">
        <w:rPr>
          <w:rFonts w:asciiTheme="minorHAnsi" w:hAnsiTheme="minorHAnsi" w:cstheme="minorHAnsi"/>
        </w:rPr>
        <w:t xml:space="preserve"> odnosa se smatra korisnik koji je u zadnjih 90 dana barem jednom koristio uslugu u javnoj pokretnoj komunikacijskoj mreži ili nadopunio račun putem bona.</w:t>
      </w:r>
    </w:p>
  </w:footnote>
  <w:footnote w:id="22">
    <w:p w:rsidR="0015566D" w:rsidRPr="000C5EFB" w:rsidRDefault="0015566D" w:rsidP="00CE4ED0">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w:t>
      </w:r>
      <w:hyperlink r:id="rId1" w:history="1">
        <w:r w:rsidRPr="00C23B2A">
          <w:rPr>
            <w:rStyle w:val="Hyperlink"/>
            <w:rFonts w:asciiTheme="minorHAnsi" w:hAnsiTheme="minorHAnsi" w:cstheme="minorHAnsi"/>
          </w:rPr>
          <w:t>http://ec.europa.eu/information_society/newsroom/cf/dae/document.cfm?doc_id=7056</w:t>
        </w:r>
      </w:hyperlink>
    </w:p>
  </w:footnote>
  <w:footnote w:id="23">
    <w:p w:rsidR="0015566D" w:rsidRPr="000C5EFB" w:rsidRDefault="0015566D" w:rsidP="00CE4ED0">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u slučaju 4G mobilnih uređaja govorimo samo o onim uređajima koji su kompatibilni s VoLTE tehnologijom</w:t>
      </w:r>
    </w:p>
  </w:footnote>
  <w:footnote w:id="24">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Izmijenjena analizom iz studenoga 2017.</w:t>
      </w:r>
    </w:p>
  </w:footnote>
  <w:footnote w:id="25">
    <w:p w:rsidR="0015566D" w:rsidRPr="00E42A77" w:rsidRDefault="0015566D" w:rsidP="000E6BC9">
      <w:pPr>
        <w:pStyle w:val="FootnoteText"/>
        <w:rPr>
          <w:rFonts w:asciiTheme="minorHAnsi" w:hAnsiTheme="minorHAnsi" w:cstheme="minorHAnsi"/>
        </w:rPr>
      </w:pPr>
      <w:r w:rsidRPr="00E42A77">
        <w:rPr>
          <w:rStyle w:val="FootnoteReference"/>
          <w:rFonts w:asciiTheme="minorHAnsi" w:hAnsiTheme="minorHAnsi" w:cstheme="minorHAnsi"/>
        </w:rPr>
        <w:footnoteRef/>
      </w:r>
      <w:r w:rsidRPr="00E42A77">
        <w:rPr>
          <w:rFonts w:asciiTheme="minorHAnsi" w:hAnsiTheme="minorHAnsi" w:cstheme="minorHAnsi"/>
        </w:rPr>
        <w:t xml:space="preserve"> Prema dokumentu ERG (06) 33</w:t>
      </w:r>
    </w:p>
  </w:footnote>
  <w:footnote w:id="26">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Navedeni problem je objašnjen pod ovim kriterijem, a ne pod diskriminacijom na cjenovnoj osnovi iz razloga što je navedena diskriminacija rezultat dogovora dva ili više operatora dok je pod preprekom diskriminacija na cjenovnoj osnovi objašnjena mogućnost diskriminacije koju može vršiti svaki operator individualno.</w:t>
      </w:r>
    </w:p>
  </w:footnote>
  <w:footnote w:id="27">
    <w:p w:rsidR="0015566D" w:rsidRPr="000C5EFB" w:rsidRDefault="0015566D" w:rsidP="00E75AAC">
      <w:pPr>
        <w:pStyle w:val="FootnoteText"/>
        <w:jc w:val="both"/>
        <w:rPr>
          <w:rStyle w:val="FootnoteReference"/>
          <w:rFonts w:asciiTheme="minorHAnsi" w:hAnsiTheme="minorHAnsi" w:cstheme="minorHAnsi"/>
          <w:vertAlign w:val="baseline"/>
        </w:rPr>
      </w:pPr>
      <w:r w:rsidRPr="000C5EFB">
        <w:rPr>
          <w:rStyle w:val="FootnoteReference"/>
          <w:rFonts w:asciiTheme="minorHAnsi" w:hAnsiTheme="minorHAnsi" w:cstheme="minorHAnsi"/>
        </w:rPr>
        <w:footnoteRef/>
      </w:r>
      <w:r w:rsidRPr="000C5EFB">
        <w:rPr>
          <w:rStyle w:val="FootnoteReference"/>
          <w:rFonts w:asciiTheme="minorHAnsi" w:hAnsiTheme="minorHAnsi" w:cstheme="minorHAnsi"/>
          <w:vertAlign w:val="baseline"/>
        </w:rPr>
        <w:t xml:space="preserve"> uvjeti, rokovi, cijene, informacije, itd.</w:t>
      </w:r>
    </w:p>
  </w:footnote>
  <w:footnote w:id="28">
    <w:p w:rsidR="0015566D" w:rsidRPr="00230176"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230176">
        <w:rPr>
          <w:rFonts w:asciiTheme="minorHAnsi" w:hAnsiTheme="minorHAnsi" w:cstheme="minorHAnsi"/>
        </w:rPr>
        <w:t xml:space="preserve"> U konačnoj odluci biti će naveden točan datum</w:t>
      </w:r>
    </w:p>
  </w:footnote>
  <w:footnote w:id="29">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NN br. 126/15</w:t>
      </w:r>
    </w:p>
  </w:footnote>
  <w:footnote w:id="30">
    <w:p w:rsidR="0015566D" w:rsidRPr="000C5EFB" w:rsidRDefault="0015566D" w:rsidP="00E75AAC">
      <w:pPr>
        <w:pStyle w:val="FootnoteText"/>
        <w:jc w:val="both"/>
        <w:rPr>
          <w:rFonts w:asciiTheme="minorHAnsi" w:hAnsiTheme="minorHAnsi" w:cstheme="minorHAnsi"/>
        </w:rPr>
      </w:pPr>
      <w:r w:rsidRPr="000C5EFB">
        <w:rPr>
          <w:rStyle w:val="FootnoteReference"/>
          <w:rFonts w:asciiTheme="minorHAnsi" w:hAnsiTheme="minorHAnsi" w:cstheme="minorHAnsi"/>
        </w:rPr>
        <w:footnoteRef/>
      </w:r>
      <w:r w:rsidRPr="000C5EFB">
        <w:rPr>
          <w:rFonts w:asciiTheme="minorHAnsi" w:hAnsiTheme="minorHAnsi" w:cstheme="minorHAnsi"/>
        </w:rPr>
        <w:t xml:space="preserve"> KLASA: UP/I-344-01/11-09/08, URBROJ: 376-11-12-13</w:t>
      </w:r>
    </w:p>
  </w:footnote>
  <w:footnote w:id="31">
    <w:p w:rsidR="0015566D" w:rsidRPr="00DF658E" w:rsidRDefault="0015566D" w:rsidP="00DF658E">
      <w:pPr>
        <w:pStyle w:val="FootnoteText"/>
        <w:jc w:val="both"/>
        <w:rPr>
          <w:rFonts w:asciiTheme="minorHAnsi" w:hAnsiTheme="minorHAnsi" w:cstheme="minorHAnsi"/>
        </w:rPr>
      </w:pPr>
      <w:r w:rsidRPr="00DF658E">
        <w:rPr>
          <w:rStyle w:val="FootnoteReference"/>
          <w:rFonts w:asciiTheme="minorHAnsi" w:hAnsiTheme="minorHAnsi" w:cstheme="minorHAnsi"/>
        </w:rPr>
        <w:footnoteRef/>
      </w:r>
      <w:r w:rsidRPr="00DF658E">
        <w:rPr>
          <w:rFonts w:asciiTheme="minorHAnsi" w:hAnsiTheme="minorHAnsi" w:cstheme="minorHAnsi"/>
        </w:rPr>
        <w:t xml:space="preserve"> Direktiva Europskog parlamenta i Vijeća o Europskom zakoniku elektroničkih komunikacija koja će biti usvojena do kraja 2018.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37D1" w:rsidRPr="002C37D1" w:rsidRDefault="002C37D1" w:rsidP="002C37D1">
    <w:pPr>
      <w:spacing w:after="0" w:line="240" w:lineRule="auto"/>
      <w:ind w:left="-357" w:right="-357"/>
      <w:jc w:val="center"/>
      <w:rPr>
        <w:rFonts w:ascii="Calibri" w:eastAsia="Times New Roman" w:hAnsi="Calibri" w:cs="Times New Roman"/>
        <w:color w:val="024182"/>
        <w:sz w:val="16"/>
        <w:szCs w:val="24"/>
        <w:lang w:eastAsia="hr-HR"/>
      </w:rPr>
    </w:pPr>
    <w:r w:rsidRPr="002C37D1">
      <w:rPr>
        <w:rFonts w:ascii="Calibri" w:eastAsia="Times New Roman" w:hAnsi="Calibri" w:cs="Times New Roman"/>
        <w:noProof/>
        <w:color w:val="024182"/>
        <w:sz w:val="16"/>
        <w:szCs w:val="24"/>
        <w:lang w:eastAsia="hr-HR"/>
      </w:rPr>
      <w:drawing>
        <wp:inline distT="0" distB="0" distL="0" distR="0" wp14:anchorId="2AD84CC7" wp14:editId="47063CAB">
          <wp:extent cx="1314450" cy="828675"/>
          <wp:effectExtent l="0" t="0" r="0" b="9525"/>
          <wp:docPr id="10" name="Picture 10"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2C37D1" w:rsidRPr="002C37D1" w:rsidRDefault="002C37D1" w:rsidP="002C37D1">
    <w:pPr>
      <w:spacing w:after="0" w:line="240" w:lineRule="auto"/>
      <w:ind w:left="-357" w:right="-357"/>
      <w:jc w:val="center"/>
      <w:rPr>
        <w:rFonts w:ascii="Calibri" w:eastAsia="Times New Roman" w:hAnsi="Calibri" w:cs="Times New Roman"/>
        <w:color w:val="024182"/>
        <w:sz w:val="16"/>
        <w:szCs w:val="24"/>
        <w:lang w:eastAsia="hr-HR"/>
      </w:rPr>
    </w:pPr>
    <w:r w:rsidRPr="002C37D1">
      <w:rPr>
        <w:rFonts w:ascii="Calibri" w:eastAsia="Times New Roman" w:hAnsi="Calibri" w:cs="Times New Roman"/>
        <w:noProof/>
        <w:color w:val="024182"/>
        <w:sz w:val="16"/>
        <w:szCs w:val="24"/>
        <w:lang w:eastAsia="hr-HR"/>
      </w:rPr>
      <mc:AlternateContent>
        <mc:Choice Requires="wps">
          <w:drawing>
            <wp:inline distT="0" distB="0" distL="0" distR="0" wp14:anchorId="555245CF" wp14:editId="504D004C">
              <wp:extent cx="6480175" cy="0"/>
              <wp:effectExtent l="9525" t="9525" r="6350" b="9525"/>
              <wp:docPr id="7"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E2F13A0"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GGVemI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2C37D1" w:rsidRPr="002C37D1" w:rsidRDefault="002C37D1" w:rsidP="002C37D1">
    <w:pPr>
      <w:spacing w:after="0" w:line="240" w:lineRule="auto"/>
      <w:ind w:left="-357" w:right="-357"/>
      <w:jc w:val="center"/>
      <w:rPr>
        <w:rFonts w:ascii="Calibri" w:eastAsia="Times New Roman" w:hAnsi="Calibri" w:cs="Times New Roman"/>
        <w:color w:val="024182"/>
        <w:sz w:val="16"/>
        <w:szCs w:val="24"/>
        <w:lang w:eastAsia="hr-HR"/>
      </w:rPr>
    </w:pPr>
  </w:p>
  <w:p w:rsidR="002C37D1" w:rsidRPr="002C37D1" w:rsidRDefault="002C37D1" w:rsidP="002C37D1">
    <w:pPr>
      <w:spacing w:after="0" w:line="240" w:lineRule="auto"/>
      <w:ind w:left="-357" w:right="-357"/>
      <w:jc w:val="right"/>
      <w:rPr>
        <w:rFonts w:ascii="Times New Roman" w:eastAsia="Times New Roman" w:hAnsi="Times New Roman" w:cs="Times New Roman"/>
        <w:b/>
        <w:color w:val="024182"/>
        <w:sz w:val="24"/>
        <w:szCs w:val="24"/>
        <w:lang w:eastAsia="hr-HR"/>
      </w:rPr>
    </w:pPr>
    <w:r w:rsidRPr="002C37D1">
      <w:rPr>
        <w:rFonts w:ascii="Times New Roman" w:eastAsia="Times New Roman" w:hAnsi="Times New Roman" w:cs="Times New Roman"/>
        <w:b/>
        <w:color w:val="024182"/>
        <w:sz w:val="24"/>
        <w:szCs w:val="24"/>
        <w:lang w:eastAsia="hr-HR"/>
      </w:rPr>
      <w:t xml:space="preserve">PRIJEDLOG ZA JAVNU RASPRAVU </w:t>
    </w:r>
  </w:p>
  <w:p w:rsidR="002C37D1" w:rsidRDefault="002C37D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66D" w:rsidRPr="00574F86" w:rsidRDefault="0015566D" w:rsidP="00F87C66">
    <w:pPr>
      <w:spacing w:after="0" w:line="240" w:lineRule="auto"/>
      <w:jc w:val="right"/>
      <w:rPr>
        <w:rFonts w:eastAsia="Times New Roman"/>
        <w:sz w:val="16"/>
        <w:lang w:eastAsia="hr-HR"/>
      </w:rPr>
    </w:pPr>
    <w:r w:rsidRPr="00574F86">
      <w:rPr>
        <w:rFonts w:eastAsia="Times New Roman"/>
        <w:bCs/>
        <w:noProof/>
        <w:sz w:val="20"/>
        <w:lang w:eastAsia="hr-HR"/>
      </w:rPr>
      <w:drawing>
        <wp:anchor distT="0" distB="0" distL="114300" distR="114300" simplePos="0" relativeHeight="251663360" behindDoc="0" locked="0" layoutInCell="1" allowOverlap="1" wp14:anchorId="67EE2C7D" wp14:editId="372DA81A">
          <wp:simplePos x="0" y="0"/>
          <wp:positionH relativeFrom="column">
            <wp:posOffset>14605</wp:posOffset>
          </wp:positionH>
          <wp:positionV relativeFrom="paragraph">
            <wp:posOffset>14605</wp:posOffset>
          </wp:positionV>
          <wp:extent cx="342900" cy="224790"/>
          <wp:effectExtent l="0" t="0" r="0" b="381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sz w:val="18"/>
        <w:lang w:eastAsia="hr-HR"/>
      </w:rPr>
      <w:t>Tržište veleprodajnog završavanja</w:t>
    </w:r>
    <w:r w:rsidRPr="00391F9C">
      <w:rPr>
        <w:rFonts w:eastAsia="Times New Roman"/>
        <w:sz w:val="18"/>
        <w:lang w:eastAsia="hr-HR"/>
      </w:rPr>
      <w:t xml:space="preserve"> glasovnih po</w:t>
    </w:r>
    <w:r>
      <w:rPr>
        <w:rFonts w:eastAsia="Times New Roman"/>
        <w:sz w:val="18"/>
        <w:lang w:eastAsia="hr-HR"/>
      </w:rPr>
      <w:t>ziva u vlastitoj mobilnoj mreži</w:t>
    </w:r>
  </w:p>
  <w:p w:rsidR="0015566D" w:rsidRPr="004C1A67" w:rsidRDefault="0015566D" w:rsidP="004C1A67">
    <w:pPr>
      <w:pBdr>
        <w:bottom w:val="single" w:sz="4" w:space="5" w:color="auto"/>
      </w:pBdr>
      <w:tabs>
        <w:tab w:val="center" w:pos="4536"/>
        <w:tab w:val="right" w:pos="9072"/>
      </w:tabs>
      <w:spacing w:after="0" w:line="240" w:lineRule="auto"/>
      <w:jc w:val="right"/>
    </w:pPr>
    <w:r>
      <w:rPr>
        <w:rFonts w:eastAsia="Times New Roman"/>
        <w:b/>
        <w:sz w:val="16"/>
        <w:lang w:eastAsia="hr-HR"/>
      </w:rPr>
      <w:t>rujan 2018</w:t>
    </w:r>
    <w:r w:rsidRPr="00574F86">
      <w:rPr>
        <w:rFonts w:eastAsia="Times New Roman"/>
        <w:b/>
        <w:sz w:val="16"/>
        <w:lang w:eastAsia="hr-HR"/>
      </w:rPr>
      <w:t>.</w:t>
    </w:r>
    <w:r w:rsidRPr="00E163C8">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66D" w:rsidRPr="00574F86" w:rsidRDefault="0015566D" w:rsidP="00F87C66">
    <w:pPr>
      <w:spacing w:after="0" w:line="240" w:lineRule="auto"/>
      <w:jc w:val="right"/>
      <w:rPr>
        <w:rFonts w:eastAsia="Times New Roman"/>
        <w:sz w:val="16"/>
        <w:lang w:eastAsia="hr-HR"/>
      </w:rPr>
    </w:pPr>
    <w:r w:rsidRPr="00574F86">
      <w:rPr>
        <w:rFonts w:eastAsia="Times New Roman"/>
        <w:bCs/>
        <w:noProof/>
        <w:sz w:val="20"/>
        <w:lang w:eastAsia="hr-HR"/>
      </w:rPr>
      <w:drawing>
        <wp:anchor distT="0" distB="0" distL="114300" distR="114300" simplePos="0" relativeHeight="251665408" behindDoc="0" locked="0" layoutInCell="1" allowOverlap="1" wp14:anchorId="6D96CE7A" wp14:editId="4D7C00C7">
          <wp:simplePos x="0" y="0"/>
          <wp:positionH relativeFrom="column">
            <wp:posOffset>14605</wp:posOffset>
          </wp:positionH>
          <wp:positionV relativeFrom="paragraph">
            <wp:posOffset>14605</wp:posOffset>
          </wp:positionV>
          <wp:extent cx="342900" cy="224790"/>
          <wp:effectExtent l="0" t="0" r="0" b="381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sz w:val="18"/>
        <w:lang w:eastAsia="hr-HR"/>
      </w:rPr>
      <w:t>Tržište veleprodajnog završavanja</w:t>
    </w:r>
    <w:r w:rsidRPr="00391F9C">
      <w:rPr>
        <w:rFonts w:eastAsia="Times New Roman"/>
        <w:sz w:val="18"/>
        <w:lang w:eastAsia="hr-HR"/>
      </w:rPr>
      <w:t xml:space="preserve"> glasovnih po</w:t>
    </w:r>
    <w:r>
      <w:rPr>
        <w:rFonts w:eastAsia="Times New Roman"/>
        <w:sz w:val="18"/>
        <w:lang w:eastAsia="hr-HR"/>
      </w:rPr>
      <w:t>ziva u vlastitoj mobilnoj mreži</w:t>
    </w:r>
  </w:p>
  <w:p w:rsidR="0015566D" w:rsidRPr="00574F86" w:rsidRDefault="0015566D" w:rsidP="004729FF">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rujan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8pt;height:7.2pt" o:bullet="t">
        <v:imagedata r:id="rId1" o:title="art92F8"/>
      </v:shape>
    </w:pict>
  </w:numPicBullet>
  <w:abstractNum w:abstractNumId="0" w15:restartNumberingAfterBreak="0">
    <w:nsid w:val="00806368"/>
    <w:multiLevelType w:val="hybridMultilevel"/>
    <w:tmpl w:val="D088A250"/>
    <w:lvl w:ilvl="0" w:tplc="6CC66C78">
      <w:numFmt w:val="bullet"/>
      <w:lvlText w:val=""/>
      <w:lvlJc w:val="left"/>
      <w:pPr>
        <w:tabs>
          <w:tab w:val="num" w:pos="720"/>
        </w:tabs>
        <w:ind w:left="720" w:hanging="360"/>
      </w:pPr>
      <w:rPr>
        <w:rFonts w:ascii="Symbol" w:eastAsia="Times New Roman" w:hAnsi="Symbol" w:cs="Times New Roman" w:hint="default"/>
        <w:color w:val="auto"/>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8276F7F"/>
    <w:multiLevelType w:val="hybridMultilevel"/>
    <w:tmpl w:val="B388195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DEC3AC4"/>
    <w:multiLevelType w:val="hybridMultilevel"/>
    <w:tmpl w:val="4E3498C2"/>
    <w:lvl w:ilvl="0" w:tplc="041A0005">
      <w:start w:val="1"/>
      <w:numFmt w:val="bullet"/>
      <w:lvlText w:val=""/>
      <w:lvlJc w:val="left"/>
      <w:pPr>
        <w:ind w:left="720" w:hanging="360"/>
      </w:pPr>
      <w:rPr>
        <w:rFonts w:ascii="Wingdings" w:hAnsi="Wingdings" w:hint="default"/>
      </w:rPr>
    </w:lvl>
    <w:lvl w:ilvl="1" w:tplc="041A0005">
      <w:start w:val="1"/>
      <w:numFmt w:val="bullet"/>
      <w:lvlText w:val=""/>
      <w:lvlJc w:val="left"/>
      <w:pPr>
        <w:ind w:left="1440" w:hanging="360"/>
      </w:pPr>
      <w:rPr>
        <w:rFonts w:ascii="Wingdings" w:hAnsi="Wingdings"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0D44D9A"/>
    <w:multiLevelType w:val="hybridMultilevel"/>
    <w:tmpl w:val="9774B6B8"/>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162A0529"/>
    <w:multiLevelType w:val="hybridMultilevel"/>
    <w:tmpl w:val="351A9AB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8897E3B"/>
    <w:multiLevelType w:val="hybridMultilevel"/>
    <w:tmpl w:val="624691F8"/>
    <w:lvl w:ilvl="0" w:tplc="394A20D2">
      <w:start w:val="1"/>
      <w:numFmt w:val="decimal"/>
      <w:suff w:val="nothing"/>
      <w:lvlText w:val="%1."/>
      <w:lvlJc w:val="left"/>
      <w:pPr>
        <w:ind w:left="357" w:firstLine="0"/>
      </w:pPr>
      <w:rPr>
        <w:rFonts w:hint="default"/>
        <w:b w:val="0"/>
        <w:color w:val="auto"/>
        <w:sz w:val="20"/>
        <w:szCs w:val="20"/>
      </w:rPr>
    </w:lvl>
    <w:lvl w:ilvl="1" w:tplc="041A0019" w:tentative="1">
      <w:start w:val="1"/>
      <w:numFmt w:val="lowerLetter"/>
      <w:lvlText w:val="%2."/>
      <w:lvlJc w:val="left"/>
      <w:pPr>
        <w:ind w:left="1222" w:hanging="360"/>
      </w:pPr>
    </w:lvl>
    <w:lvl w:ilvl="2" w:tplc="041A001B" w:tentative="1">
      <w:start w:val="1"/>
      <w:numFmt w:val="lowerRoman"/>
      <w:lvlText w:val="%3."/>
      <w:lvlJc w:val="right"/>
      <w:pPr>
        <w:ind w:left="1942" w:hanging="180"/>
      </w:pPr>
    </w:lvl>
    <w:lvl w:ilvl="3" w:tplc="041A000F" w:tentative="1">
      <w:start w:val="1"/>
      <w:numFmt w:val="decimal"/>
      <w:lvlText w:val="%4."/>
      <w:lvlJc w:val="left"/>
      <w:pPr>
        <w:ind w:left="2662" w:hanging="360"/>
      </w:pPr>
    </w:lvl>
    <w:lvl w:ilvl="4" w:tplc="041A0019" w:tentative="1">
      <w:start w:val="1"/>
      <w:numFmt w:val="lowerLetter"/>
      <w:lvlText w:val="%5."/>
      <w:lvlJc w:val="left"/>
      <w:pPr>
        <w:ind w:left="3382" w:hanging="360"/>
      </w:pPr>
    </w:lvl>
    <w:lvl w:ilvl="5" w:tplc="041A001B" w:tentative="1">
      <w:start w:val="1"/>
      <w:numFmt w:val="lowerRoman"/>
      <w:lvlText w:val="%6."/>
      <w:lvlJc w:val="right"/>
      <w:pPr>
        <w:ind w:left="4102" w:hanging="180"/>
      </w:pPr>
    </w:lvl>
    <w:lvl w:ilvl="6" w:tplc="041A000F" w:tentative="1">
      <w:start w:val="1"/>
      <w:numFmt w:val="decimal"/>
      <w:lvlText w:val="%7."/>
      <w:lvlJc w:val="left"/>
      <w:pPr>
        <w:ind w:left="4822" w:hanging="360"/>
      </w:pPr>
    </w:lvl>
    <w:lvl w:ilvl="7" w:tplc="041A0019" w:tentative="1">
      <w:start w:val="1"/>
      <w:numFmt w:val="lowerLetter"/>
      <w:lvlText w:val="%8."/>
      <w:lvlJc w:val="left"/>
      <w:pPr>
        <w:ind w:left="5542" w:hanging="360"/>
      </w:pPr>
    </w:lvl>
    <w:lvl w:ilvl="8" w:tplc="041A001B" w:tentative="1">
      <w:start w:val="1"/>
      <w:numFmt w:val="lowerRoman"/>
      <w:lvlText w:val="%9."/>
      <w:lvlJc w:val="right"/>
      <w:pPr>
        <w:ind w:left="6262" w:hanging="180"/>
      </w:pPr>
    </w:lvl>
  </w:abstractNum>
  <w:abstractNum w:abstractNumId="6" w15:restartNumberingAfterBreak="0">
    <w:nsid w:val="1B5B1680"/>
    <w:multiLevelType w:val="hybridMultilevel"/>
    <w:tmpl w:val="BAAAC56E"/>
    <w:lvl w:ilvl="0" w:tplc="90049420">
      <w:start w:val="1"/>
      <w:numFmt w:val="bullet"/>
      <w:lvlText w:val="•"/>
      <w:lvlJc w:val="left"/>
      <w:pPr>
        <w:tabs>
          <w:tab w:val="num" w:pos="720"/>
        </w:tabs>
        <w:ind w:left="720" w:hanging="360"/>
      </w:pPr>
      <w:rPr>
        <w:rFonts w:ascii="Arial" w:hAnsi="Arial" w:hint="default"/>
      </w:rPr>
    </w:lvl>
    <w:lvl w:ilvl="1" w:tplc="20C22ADA" w:tentative="1">
      <w:start w:val="1"/>
      <w:numFmt w:val="bullet"/>
      <w:lvlText w:val="•"/>
      <w:lvlJc w:val="left"/>
      <w:pPr>
        <w:tabs>
          <w:tab w:val="num" w:pos="1440"/>
        </w:tabs>
        <w:ind w:left="1440" w:hanging="360"/>
      </w:pPr>
      <w:rPr>
        <w:rFonts w:ascii="Arial" w:hAnsi="Arial" w:hint="default"/>
      </w:rPr>
    </w:lvl>
    <w:lvl w:ilvl="2" w:tplc="628C26C4" w:tentative="1">
      <w:start w:val="1"/>
      <w:numFmt w:val="bullet"/>
      <w:lvlText w:val="•"/>
      <w:lvlJc w:val="left"/>
      <w:pPr>
        <w:tabs>
          <w:tab w:val="num" w:pos="2160"/>
        </w:tabs>
        <w:ind w:left="2160" w:hanging="360"/>
      </w:pPr>
      <w:rPr>
        <w:rFonts w:ascii="Arial" w:hAnsi="Arial" w:hint="default"/>
      </w:rPr>
    </w:lvl>
    <w:lvl w:ilvl="3" w:tplc="945E46F6" w:tentative="1">
      <w:start w:val="1"/>
      <w:numFmt w:val="bullet"/>
      <w:lvlText w:val="•"/>
      <w:lvlJc w:val="left"/>
      <w:pPr>
        <w:tabs>
          <w:tab w:val="num" w:pos="2880"/>
        </w:tabs>
        <w:ind w:left="2880" w:hanging="360"/>
      </w:pPr>
      <w:rPr>
        <w:rFonts w:ascii="Arial" w:hAnsi="Arial" w:hint="default"/>
      </w:rPr>
    </w:lvl>
    <w:lvl w:ilvl="4" w:tplc="B1E8BAAE" w:tentative="1">
      <w:start w:val="1"/>
      <w:numFmt w:val="bullet"/>
      <w:lvlText w:val="•"/>
      <w:lvlJc w:val="left"/>
      <w:pPr>
        <w:tabs>
          <w:tab w:val="num" w:pos="3600"/>
        </w:tabs>
        <w:ind w:left="3600" w:hanging="360"/>
      </w:pPr>
      <w:rPr>
        <w:rFonts w:ascii="Arial" w:hAnsi="Arial" w:hint="default"/>
      </w:rPr>
    </w:lvl>
    <w:lvl w:ilvl="5" w:tplc="2F90F88A" w:tentative="1">
      <w:start w:val="1"/>
      <w:numFmt w:val="bullet"/>
      <w:lvlText w:val="•"/>
      <w:lvlJc w:val="left"/>
      <w:pPr>
        <w:tabs>
          <w:tab w:val="num" w:pos="4320"/>
        </w:tabs>
        <w:ind w:left="4320" w:hanging="360"/>
      </w:pPr>
      <w:rPr>
        <w:rFonts w:ascii="Arial" w:hAnsi="Arial" w:hint="default"/>
      </w:rPr>
    </w:lvl>
    <w:lvl w:ilvl="6" w:tplc="8B9ECA92" w:tentative="1">
      <w:start w:val="1"/>
      <w:numFmt w:val="bullet"/>
      <w:lvlText w:val="•"/>
      <w:lvlJc w:val="left"/>
      <w:pPr>
        <w:tabs>
          <w:tab w:val="num" w:pos="5040"/>
        </w:tabs>
        <w:ind w:left="5040" w:hanging="360"/>
      </w:pPr>
      <w:rPr>
        <w:rFonts w:ascii="Arial" w:hAnsi="Arial" w:hint="default"/>
      </w:rPr>
    </w:lvl>
    <w:lvl w:ilvl="7" w:tplc="B8CE5BF2" w:tentative="1">
      <w:start w:val="1"/>
      <w:numFmt w:val="bullet"/>
      <w:lvlText w:val="•"/>
      <w:lvlJc w:val="left"/>
      <w:pPr>
        <w:tabs>
          <w:tab w:val="num" w:pos="5760"/>
        </w:tabs>
        <w:ind w:left="5760" w:hanging="360"/>
      </w:pPr>
      <w:rPr>
        <w:rFonts w:ascii="Arial" w:hAnsi="Arial" w:hint="default"/>
      </w:rPr>
    </w:lvl>
    <w:lvl w:ilvl="8" w:tplc="CA96836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01E65BB"/>
    <w:multiLevelType w:val="hybridMultilevel"/>
    <w:tmpl w:val="2BF6F386"/>
    <w:lvl w:ilvl="0" w:tplc="0E5C37D8">
      <w:start w:val="1"/>
      <w:numFmt w:val="bullet"/>
      <w:lvlText w:val="•"/>
      <w:lvlJc w:val="left"/>
      <w:pPr>
        <w:tabs>
          <w:tab w:val="num" w:pos="720"/>
        </w:tabs>
        <w:ind w:left="720" w:hanging="360"/>
      </w:pPr>
      <w:rPr>
        <w:rFonts w:ascii="Arial" w:hAnsi="Arial" w:hint="default"/>
      </w:rPr>
    </w:lvl>
    <w:lvl w:ilvl="1" w:tplc="C8B8E64C" w:tentative="1">
      <w:start w:val="1"/>
      <w:numFmt w:val="bullet"/>
      <w:lvlText w:val="•"/>
      <w:lvlJc w:val="left"/>
      <w:pPr>
        <w:tabs>
          <w:tab w:val="num" w:pos="1440"/>
        </w:tabs>
        <w:ind w:left="1440" w:hanging="360"/>
      </w:pPr>
      <w:rPr>
        <w:rFonts w:ascii="Arial" w:hAnsi="Arial" w:hint="default"/>
      </w:rPr>
    </w:lvl>
    <w:lvl w:ilvl="2" w:tplc="96584002" w:tentative="1">
      <w:start w:val="1"/>
      <w:numFmt w:val="bullet"/>
      <w:lvlText w:val="•"/>
      <w:lvlJc w:val="left"/>
      <w:pPr>
        <w:tabs>
          <w:tab w:val="num" w:pos="2160"/>
        </w:tabs>
        <w:ind w:left="2160" w:hanging="360"/>
      </w:pPr>
      <w:rPr>
        <w:rFonts w:ascii="Arial" w:hAnsi="Arial" w:hint="default"/>
      </w:rPr>
    </w:lvl>
    <w:lvl w:ilvl="3" w:tplc="F0DA62F8" w:tentative="1">
      <w:start w:val="1"/>
      <w:numFmt w:val="bullet"/>
      <w:lvlText w:val="•"/>
      <w:lvlJc w:val="left"/>
      <w:pPr>
        <w:tabs>
          <w:tab w:val="num" w:pos="2880"/>
        </w:tabs>
        <w:ind w:left="2880" w:hanging="360"/>
      </w:pPr>
      <w:rPr>
        <w:rFonts w:ascii="Arial" w:hAnsi="Arial" w:hint="default"/>
      </w:rPr>
    </w:lvl>
    <w:lvl w:ilvl="4" w:tplc="2552312C" w:tentative="1">
      <w:start w:val="1"/>
      <w:numFmt w:val="bullet"/>
      <w:lvlText w:val="•"/>
      <w:lvlJc w:val="left"/>
      <w:pPr>
        <w:tabs>
          <w:tab w:val="num" w:pos="3600"/>
        </w:tabs>
        <w:ind w:left="3600" w:hanging="360"/>
      </w:pPr>
      <w:rPr>
        <w:rFonts w:ascii="Arial" w:hAnsi="Arial" w:hint="default"/>
      </w:rPr>
    </w:lvl>
    <w:lvl w:ilvl="5" w:tplc="E1DC56E8" w:tentative="1">
      <w:start w:val="1"/>
      <w:numFmt w:val="bullet"/>
      <w:lvlText w:val="•"/>
      <w:lvlJc w:val="left"/>
      <w:pPr>
        <w:tabs>
          <w:tab w:val="num" w:pos="4320"/>
        </w:tabs>
        <w:ind w:left="4320" w:hanging="360"/>
      </w:pPr>
      <w:rPr>
        <w:rFonts w:ascii="Arial" w:hAnsi="Arial" w:hint="default"/>
      </w:rPr>
    </w:lvl>
    <w:lvl w:ilvl="6" w:tplc="56A21DCE" w:tentative="1">
      <w:start w:val="1"/>
      <w:numFmt w:val="bullet"/>
      <w:lvlText w:val="•"/>
      <w:lvlJc w:val="left"/>
      <w:pPr>
        <w:tabs>
          <w:tab w:val="num" w:pos="5040"/>
        </w:tabs>
        <w:ind w:left="5040" w:hanging="360"/>
      </w:pPr>
      <w:rPr>
        <w:rFonts w:ascii="Arial" w:hAnsi="Arial" w:hint="default"/>
      </w:rPr>
    </w:lvl>
    <w:lvl w:ilvl="7" w:tplc="DE028ADA" w:tentative="1">
      <w:start w:val="1"/>
      <w:numFmt w:val="bullet"/>
      <w:lvlText w:val="•"/>
      <w:lvlJc w:val="left"/>
      <w:pPr>
        <w:tabs>
          <w:tab w:val="num" w:pos="5760"/>
        </w:tabs>
        <w:ind w:left="5760" w:hanging="360"/>
      </w:pPr>
      <w:rPr>
        <w:rFonts w:ascii="Arial" w:hAnsi="Arial" w:hint="default"/>
      </w:rPr>
    </w:lvl>
    <w:lvl w:ilvl="8" w:tplc="3E60730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8B43584"/>
    <w:multiLevelType w:val="hybridMultilevel"/>
    <w:tmpl w:val="6B0E8736"/>
    <w:lvl w:ilvl="0" w:tplc="9F4E20FC">
      <w:start w:val="1"/>
      <w:numFmt w:val="bullet"/>
      <w:lvlText w:val="•"/>
      <w:lvlJc w:val="left"/>
      <w:pPr>
        <w:tabs>
          <w:tab w:val="num" w:pos="720"/>
        </w:tabs>
        <w:ind w:left="720" w:hanging="360"/>
      </w:pPr>
      <w:rPr>
        <w:rFonts w:ascii="Arial" w:hAnsi="Arial" w:hint="default"/>
      </w:rPr>
    </w:lvl>
    <w:lvl w:ilvl="1" w:tplc="BAB2F656" w:tentative="1">
      <w:start w:val="1"/>
      <w:numFmt w:val="bullet"/>
      <w:lvlText w:val="•"/>
      <w:lvlJc w:val="left"/>
      <w:pPr>
        <w:tabs>
          <w:tab w:val="num" w:pos="1440"/>
        </w:tabs>
        <w:ind w:left="1440" w:hanging="360"/>
      </w:pPr>
      <w:rPr>
        <w:rFonts w:ascii="Arial" w:hAnsi="Arial" w:hint="default"/>
      </w:rPr>
    </w:lvl>
    <w:lvl w:ilvl="2" w:tplc="DFE4CDB0" w:tentative="1">
      <w:start w:val="1"/>
      <w:numFmt w:val="bullet"/>
      <w:lvlText w:val="•"/>
      <w:lvlJc w:val="left"/>
      <w:pPr>
        <w:tabs>
          <w:tab w:val="num" w:pos="2160"/>
        </w:tabs>
        <w:ind w:left="2160" w:hanging="360"/>
      </w:pPr>
      <w:rPr>
        <w:rFonts w:ascii="Arial" w:hAnsi="Arial" w:hint="default"/>
      </w:rPr>
    </w:lvl>
    <w:lvl w:ilvl="3" w:tplc="75CA4970" w:tentative="1">
      <w:start w:val="1"/>
      <w:numFmt w:val="bullet"/>
      <w:lvlText w:val="•"/>
      <w:lvlJc w:val="left"/>
      <w:pPr>
        <w:tabs>
          <w:tab w:val="num" w:pos="2880"/>
        </w:tabs>
        <w:ind w:left="2880" w:hanging="360"/>
      </w:pPr>
      <w:rPr>
        <w:rFonts w:ascii="Arial" w:hAnsi="Arial" w:hint="default"/>
      </w:rPr>
    </w:lvl>
    <w:lvl w:ilvl="4" w:tplc="B1268E2A" w:tentative="1">
      <w:start w:val="1"/>
      <w:numFmt w:val="bullet"/>
      <w:lvlText w:val="•"/>
      <w:lvlJc w:val="left"/>
      <w:pPr>
        <w:tabs>
          <w:tab w:val="num" w:pos="3600"/>
        </w:tabs>
        <w:ind w:left="3600" w:hanging="360"/>
      </w:pPr>
      <w:rPr>
        <w:rFonts w:ascii="Arial" w:hAnsi="Arial" w:hint="default"/>
      </w:rPr>
    </w:lvl>
    <w:lvl w:ilvl="5" w:tplc="756A0322" w:tentative="1">
      <w:start w:val="1"/>
      <w:numFmt w:val="bullet"/>
      <w:lvlText w:val="•"/>
      <w:lvlJc w:val="left"/>
      <w:pPr>
        <w:tabs>
          <w:tab w:val="num" w:pos="4320"/>
        </w:tabs>
        <w:ind w:left="4320" w:hanging="360"/>
      </w:pPr>
      <w:rPr>
        <w:rFonts w:ascii="Arial" w:hAnsi="Arial" w:hint="default"/>
      </w:rPr>
    </w:lvl>
    <w:lvl w:ilvl="6" w:tplc="8A624BDA" w:tentative="1">
      <w:start w:val="1"/>
      <w:numFmt w:val="bullet"/>
      <w:lvlText w:val="•"/>
      <w:lvlJc w:val="left"/>
      <w:pPr>
        <w:tabs>
          <w:tab w:val="num" w:pos="5040"/>
        </w:tabs>
        <w:ind w:left="5040" w:hanging="360"/>
      </w:pPr>
      <w:rPr>
        <w:rFonts w:ascii="Arial" w:hAnsi="Arial" w:hint="default"/>
      </w:rPr>
    </w:lvl>
    <w:lvl w:ilvl="7" w:tplc="4A7CE4DE" w:tentative="1">
      <w:start w:val="1"/>
      <w:numFmt w:val="bullet"/>
      <w:lvlText w:val="•"/>
      <w:lvlJc w:val="left"/>
      <w:pPr>
        <w:tabs>
          <w:tab w:val="num" w:pos="5760"/>
        </w:tabs>
        <w:ind w:left="5760" w:hanging="360"/>
      </w:pPr>
      <w:rPr>
        <w:rFonts w:ascii="Arial" w:hAnsi="Arial" w:hint="default"/>
      </w:rPr>
    </w:lvl>
    <w:lvl w:ilvl="8" w:tplc="DD68900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A7E5543"/>
    <w:multiLevelType w:val="hybridMultilevel"/>
    <w:tmpl w:val="878EECFE"/>
    <w:lvl w:ilvl="0" w:tplc="04090001">
      <w:start w:val="1"/>
      <w:numFmt w:val="decimal"/>
      <w:lvlText w:val="%1."/>
      <w:lvlJc w:val="left"/>
      <w:pPr>
        <w:tabs>
          <w:tab w:val="num" w:pos="720"/>
        </w:tabs>
        <w:ind w:left="720" w:hanging="360"/>
      </w:pPr>
      <w:rPr>
        <w:rFonts w:hint="default"/>
        <w:color w:val="auto"/>
      </w:rPr>
    </w:lvl>
    <w:lvl w:ilvl="1" w:tplc="04090003">
      <w:numFmt w:val="bullet"/>
      <w:lvlText w:val="-"/>
      <w:lvlJc w:val="left"/>
      <w:pPr>
        <w:tabs>
          <w:tab w:val="num" w:pos="1800"/>
        </w:tabs>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365D4084"/>
    <w:multiLevelType w:val="hybridMultilevel"/>
    <w:tmpl w:val="7550DD18"/>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1313B2"/>
    <w:multiLevelType w:val="hybridMultilevel"/>
    <w:tmpl w:val="A3C43A78"/>
    <w:lvl w:ilvl="0" w:tplc="6CC66C78">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3E9643CB"/>
    <w:multiLevelType w:val="hybridMultilevel"/>
    <w:tmpl w:val="0C00C3D4"/>
    <w:lvl w:ilvl="0" w:tplc="041A0005">
      <w:start w:val="1"/>
      <w:numFmt w:val="bullet"/>
      <w:lvlText w:val=""/>
      <w:lvlJc w:val="left"/>
      <w:pPr>
        <w:ind w:left="2469" w:hanging="360"/>
      </w:pPr>
      <w:rPr>
        <w:rFonts w:ascii="Wingdings" w:hAnsi="Wingdings" w:hint="default"/>
      </w:rPr>
    </w:lvl>
    <w:lvl w:ilvl="1" w:tplc="041A0003" w:tentative="1">
      <w:start w:val="1"/>
      <w:numFmt w:val="bullet"/>
      <w:lvlText w:val="o"/>
      <w:lvlJc w:val="left"/>
      <w:pPr>
        <w:ind w:left="3189" w:hanging="360"/>
      </w:pPr>
      <w:rPr>
        <w:rFonts w:ascii="Courier New" w:hAnsi="Courier New" w:cs="Courier New" w:hint="default"/>
      </w:rPr>
    </w:lvl>
    <w:lvl w:ilvl="2" w:tplc="041A0005" w:tentative="1">
      <w:start w:val="1"/>
      <w:numFmt w:val="bullet"/>
      <w:lvlText w:val=""/>
      <w:lvlJc w:val="left"/>
      <w:pPr>
        <w:ind w:left="3909" w:hanging="360"/>
      </w:pPr>
      <w:rPr>
        <w:rFonts w:ascii="Wingdings" w:hAnsi="Wingdings" w:hint="default"/>
      </w:rPr>
    </w:lvl>
    <w:lvl w:ilvl="3" w:tplc="041A0001" w:tentative="1">
      <w:start w:val="1"/>
      <w:numFmt w:val="bullet"/>
      <w:lvlText w:val=""/>
      <w:lvlJc w:val="left"/>
      <w:pPr>
        <w:ind w:left="4629" w:hanging="360"/>
      </w:pPr>
      <w:rPr>
        <w:rFonts w:ascii="Symbol" w:hAnsi="Symbol" w:hint="default"/>
      </w:rPr>
    </w:lvl>
    <w:lvl w:ilvl="4" w:tplc="041A0003" w:tentative="1">
      <w:start w:val="1"/>
      <w:numFmt w:val="bullet"/>
      <w:lvlText w:val="o"/>
      <w:lvlJc w:val="left"/>
      <w:pPr>
        <w:ind w:left="5349" w:hanging="360"/>
      </w:pPr>
      <w:rPr>
        <w:rFonts w:ascii="Courier New" w:hAnsi="Courier New" w:cs="Courier New" w:hint="default"/>
      </w:rPr>
    </w:lvl>
    <w:lvl w:ilvl="5" w:tplc="041A0005" w:tentative="1">
      <w:start w:val="1"/>
      <w:numFmt w:val="bullet"/>
      <w:lvlText w:val=""/>
      <w:lvlJc w:val="left"/>
      <w:pPr>
        <w:ind w:left="6069" w:hanging="360"/>
      </w:pPr>
      <w:rPr>
        <w:rFonts w:ascii="Wingdings" w:hAnsi="Wingdings" w:hint="default"/>
      </w:rPr>
    </w:lvl>
    <w:lvl w:ilvl="6" w:tplc="041A0001" w:tentative="1">
      <w:start w:val="1"/>
      <w:numFmt w:val="bullet"/>
      <w:lvlText w:val=""/>
      <w:lvlJc w:val="left"/>
      <w:pPr>
        <w:ind w:left="6789" w:hanging="360"/>
      </w:pPr>
      <w:rPr>
        <w:rFonts w:ascii="Symbol" w:hAnsi="Symbol" w:hint="default"/>
      </w:rPr>
    </w:lvl>
    <w:lvl w:ilvl="7" w:tplc="041A0003" w:tentative="1">
      <w:start w:val="1"/>
      <w:numFmt w:val="bullet"/>
      <w:lvlText w:val="o"/>
      <w:lvlJc w:val="left"/>
      <w:pPr>
        <w:ind w:left="7509" w:hanging="360"/>
      </w:pPr>
      <w:rPr>
        <w:rFonts w:ascii="Courier New" w:hAnsi="Courier New" w:cs="Courier New" w:hint="default"/>
      </w:rPr>
    </w:lvl>
    <w:lvl w:ilvl="8" w:tplc="041A0005" w:tentative="1">
      <w:start w:val="1"/>
      <w:numFmt w:val="bullet"/>
      <w:lvlText w:val=""/>
      <w:lvlJc w:val="left"/>
      <w:pPr>
        <w:ind w:left="8229" w:hanging="360"/>
      </w:pPr>
      <w:rPr>
        <w:rFonts w:ascii="Wingdings" w:hAnsi="Wingdings" w:hint="default"/>
      </w:rPr>
    </w:lvl>
  </w:abstractNum>
  <w:abstractNum w:abstractNumId="13" w15:restartNumberingAfterBreak="0">
    <w:nsid w:val="41035FCD"/>
    <w:multiLevelType w:val="hybridMultilevel"/>
    <w:tmpl w:val="EA26644C"/>
    <w:lvl w:ilvl="0" w:tplc="3886DB5C">
      <w:start w:val="1"/>
      <w:numFmt w:val="bullet"/>
      <w:lvlText w:val="•"/>
      <w:lvlJc w:val="left"/>
      <w:pPr>
        <w:tabs>
          <w:tab w:val="num" w:pos="720"/>
        </w:tabs>
        <w:ind w:left="720" w:hanging="360"/>
      </w:pPr>
      <w:rPr>
        <w:rFonts w:ascii="Arial" w:hAnsi="Arial" w:hint="default"/>
      </w:rPr>
    </w:lvl>
    <w:lvl w:ilvl="1" w:tplc="D8142DDE" w:tentative="1">
      <w:start w:val="1"/>
      <w:numFmt w:val="bullet"/>
      <w:lvlText w:val="•"/>
      <w:lvlJc w:val="left"/>
      <w:pPr>
        <w:tabs>
          <w:tab w:val="num" w:pos="1440"/>
        </w:tabs>
        <w:ind w:left="1440" w:hanging="360"/>
      </w:pPr>
      <w:rPr>
        <w:rFonts w:ascii="Arial" w:hAnsi="Arial" w:hint="default"/>
      </w:rPr>
    </w:lvl>
    <w:lvl w:ilvl="2" w:tplc="1EAACFEC" w:tentative="1">
      <w:start w:val="1"/>
      <w:numFmt w:val="bullet"/>
      <w:lvlText w:val="•"/>
      <w:lvlJc w:val="left"/>
      <w:pPr>
        <w:tabs>
          <w:tab w:val="num" w:pos="2160"/>
        </w:tabs>
        <w:ind w:left="2160" w:hanging="360"/>
      </w:pPr>
      <w:rPr>
        <w:rFonts w:ascii="Arial" w:hAnsi="Arial" w:hint="default"/>
      </w:rPr>
    </w:lvl>
    <w:lvl w:ilvl="3" w:tplc="25C6A020" w:tentative="1">
      <w:start w:val="1"/>
      <w:numFmt w:val="bullet"/>
      <w:lvlText w:val="•"/>
      <w:lvlJc w:val="left"/>
      <w:pPr>
        <w:tabs>
          <w:tab w:val="num" w:pos="2880"/>
        </w:tabs>
        <w:ind w:left="2880" w:hanging="360"/>
      </w:pPr>
      <w:rPr>
        <w:rFonts w:ascii="Arial" w:hAnsi="Arial" w:hint="default"/>
      </w:rPr>
    </w:lvl>
    <w:lvl w:ilvl="4" w:tplc="61AA3408" w:tentative="1">
      <w:start w:val="1"/>
      <w:numFmt w:val="bullet"/>
      <w:lvlText w:val="•"/>
      <w:lvlJc w:val="left"/>
      <w:pPr>
        <w:tabs>
          <w:tab w:val="num" w:pos="3600"/>
        </w:tabs>
        <w:ind w:left="3600" w:hanging="360"/>
      </w:pPr>
      <w:rPr>
        <w:rFonts w:ascii="Arial" w:hAnsi="Arial" w:hint="default"/>
      </w:rPr>
    </w:lvl>
    <w:lvl w:ilvl="5" w:tplc="70C47490" w:tentative="1">
      <w:start w:val="1"/>
      <w:numFmt w:val="bullet"/>
      <w:lvlText w:val="•"/>
      <w:lvlJc w:val="left"/>
      <w:pPr>
        <w:tabs>
          <w:tab w:val="num" w:pos="4320"/>
        </w:tabs>
        <w:ind w:left="4320" w:hanging="360"/>
      </w:pPr>
      <w:rPr>
        <w:rFonts w:ascii="Arial" w:hAnsi="Arial" w:hint="default"/>
      </w:rPr>
    </w:lvl>
    <w:lvl w:ilvl="6" w:tplc="5B485B72" w:tentative="1">
      <w:start w:val="1"/>
      <w:numFmt w:val="bullet"/>
      <w:lvlText w:val="•"/>
      <w:lvlJc w:val="left"/>
      <w:pPr>
        <w:tabs>
          <w:tab w:val="num" w:pos="5040"/>
        </w:tabs>
        <w:ind w:left="5040" w:hanging="360"/>
      </w:pPr>
      <w:rPr>
        <w:rFonts w:ascii="Arial" w:hAnsi="Arial" w:hint="default"/>
      </w:rPr>
    </w:lvl>
    <w:lvl w:ilvl="7" w:tplc="8CB44162" w:tentative="1">
      <w:start w:val="1"/>
      <w:numFmt w:val="bullet"/>
      <w:lvlText w:val="•"/>
      <w:lvlJc w:val="left"/>
      <w:pPr>
        <w:tabs>
          <w:tab w:val="num" w:pos="5760"/>
        </w:tabs>
        <w:ind w:left="5760" w:hanging="360"/>
      </w:pPr>
      <w:rPr>
        <w:rFonts w:ascii="Arial" w:hAnsi="Arial" w:hint="default"/>
      </w:rPr>
    </w:lvl>
    <w:lvl w:ilvl="8" w:tplc="C46AA08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1411AAB"/>
    <w:multiLevelType w:val="hybridMultilevel"/>
    <w:tmpl w:val="79ECE2E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4F926081"/>
    <w:multiLevelType w:val="hybridMultilevel"/>
    <w:tmpl w:val="29C4AA44"/>
    <w:lvl w:ilvl="0" w:tplc="D850ED2E">
      <w:start w:val="1"/>
      <w:numFmt w:val="upperRoman"/>
      <w:lvlText w:val="%1."/>
      <w:lvlJc w:val="left"/>
      <w:pPr>
        <w:tabs>
          <w:tab w:val="num" w:pos="1080"/>
        </w:tabs>
        <w:ind w:left="1080" w:hanging="720"/>
      </w:pPr>
      <w:rPr>
        <w:rFonts w:hint="default"/>
      </w:rPr>
    </w:lvl>
    <w:lvl w:ilvl="1" w:tplc="041A0001">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5BC85CF8"/>
    <w:multiLevelType w:val="hybridMultilevel"/>
    <w:tmpl w:val="E370F17A"/>
    <w:lvl w:ilvl="0" w:tplc="041A0005">
      <w:start w:val="1"/>
      <w:numFmt w:val="bullet"/>
      <w:lvlText w:val=""/>
      <w:lvlJc w:val="left"/>
      <w:pPr>
        <w:ind w:left="1068" w:hanging="360"/>
      </w:pPr>
      <w:rPr>
        <w:rFonts w:ascii="Wingdings" w:hAnsi="Wingdings"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7" w15:restartNumberingAfterBreak="0">
    <w:nsid w:val="67F60647"/>
    <w:multiLevelType w:val="hybridMultilevel"/>
    <w:tmpl w:val="103C3234"/>
    <w:lvl w:ilvl="0" w:tplc="41C47586">
      <w:start w:val="1"/>
      <w:numFmt w:val="bullet"/>
      <w:lvlText w:val="•"/>
      <w:lvlJc w:val="left"/>
      <w:pPr>
        <w:tabs>
          <w:tab w:val="num" w:pos="720"/>
        </w:tabs>
        <w:ind w:left="720" w:hanging="360"/>
      </w:pPr>
      <w:rPr>
        <w:rFonts w:ascii="Arial" w:hAnsi="Arial" w:hint="default"/>
      </w:rPr>
    </w:lvl>
    <w:lvl w:ilvl="1" w:tplc="27CAD2EC" w:tentative="1">
      <w:start w:val="1"/>
      <w:numFmt w:val="bullet"/>
      <w:lvlText w:val="•"/>
      <w:lvlJc w:val="left"/>
      <w:pPr>
        <w:tabs>
          <w:tab w:val="num" w:pos="1440"/>
        </w:tabs>
        <w:ind w:left="1440" w:hanging="360"/>
      </w:pPr>
      <w:rPr>
        <w:rFonts w:ascii="Arial" w:hAnsi="Arial" w:hint="default"/>
      </w:rPr>
    </w:lvl>
    <w:lvl w:ilvl="2" w:tplc="5F96589E" w:tentative="1">
      <w:start w:val="1"/>
      <w:numFmt w:val="bullet"/>
      <w:lvlText w:val="•"/>
      <w:lvlJc w:val="left"/>
      <w:pPr>
        <w:tabs>
          <w:tab w:val="num" w:pos="2160"/>
        </w:tabs>
        <w:ind w:left="2160" w:hanging="360"/>
      </w:pPr>
      <w:rPr>
        <w:rFonts w:ascii="Arial" w:hAnsi="Arial" w:hint="default"/>
      </w:rPr>
    </w:lvl>
    <w:lvl w:ilvl="3" w:tplc="4120DEC6" w:tentative="1">
      <w:start w:val="1"/>
      <w:numFmt w:val="bullet"/>
      <w:lvlText w:val="•"/>
      <w:lvlJc w:val="left"/>
      <w:pPr>
        <w:tabs>
          <w:tab w:val="num" w:pos="2880"/>
        </w:tabs>
        <w:ind w:left="2880" w:hanging="360"/>
      </w:pPr>
      <w:rPr>
        <w:rFonts w:ascii="Arial" w:hAnsi="Arial" w:hint="default"/>
      </w:rPr>
    </w:lvl>
    <w:lvl w:ilvl="4" w:tplc="D8921C68" w:tentative="1">
      <w:start w:val="1"/>
      <w:numFmt w:val="bullet"/>
      <w:lvlText w:val="•"/>
      <w:lvlJc w:val="left"/>
      <w:pPr>
        <w:tabs>
          <w:tab w:val="num" w:pos="3600"/>
        </w:tabs>
        <w:ind w:left="3600" w:hanging="360"/>
      </w:pPr>
      <w:rPr>
        <w:rFonts w:ascii="Arial" w:hAnsi="Arial" w:hint="default"/>
      </w:rPr>
    </w:lvl>
    <w:lvl w:ilvl="5" w:tplc="201AF5EC" w:tentative="1">
      <w:start w:val="1"/>
      <w:numFmt w:val="bullet"/>
      <w:lvlText w:val="•"/>
      <w:lvlJc w:val="left"/>
      <w:pPr>
        <w:tabs>
          <w:tab w:val="num" w:pos="4320"/>
        </w:tabs>
        <w:ind w:left="4320" w:hanging="360"/>
      </w:pPr>
      <w:rPr>
        <w:rFonts w:ascii="Arial" w:hAnsi="Arial" w:hint="default"/>
      </w:rPr>
    </w:lvl>
    <w:lvl w:ilvl="6" w:tplc="24BC924E" w:tentative="1">
      <w:start w:val="1"/>
      <w:numFmt w:val="bullet"/>
      <w:lvlText w:val="•"/>
      <w:lvlJc w:val="left"/>
      <w:pPr>
        <w:tabs>
          <w:tab w:val="num" w:pos="5040"/>
        </w:tabs>
        <w:ind w:left="5040" w:hanging="360"/>
      </w:pPr>
      <w:rPr>
        <w:rFonts w:ascii="Arial" w:hAnsi="Arial" w:hint="default"/>
      </w:rPr>
    </w:lvl>
    <w:lvl w:ilvl="7" w:tplc="209678D2" w:tentative="1">
      <w:start w:val="1"/>
      <w:numFmt w:val="bullet"/>
      <w:lvlText w:val="•"/>
      <w:lvlJc w:val="left"/>
      <w:pPr>
        <w:tabs>
          <w:tab w:val="num" w:pos="5760"/>
        </w:tabs>
        <w:ind w:left="5760" w:hanging="360"/>
      </w:pPr>
      <w:rPr>
        <w:rFonts w:ascii="Arial" w:hAnsi="Arial" w:hint="default"/>
      </w:rPr>
    </w:lvl>
    <w:lvl w:ilvl="8" w:tplc="A81A849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A2737B0"/>
    <w:multiLevelType w:val="hybridMultilevel"/>
    <w:tmpl w:val="A9825128"/>
    <w:lvl w:ilvl="0" w:tplc="041A000F">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9" w15:restartNumberingAfterBreak="0">
    <w:nsid w:val="6CB11491"/>
    <w:multiLevelType w:val="multilevel"/>
    <w:tmpl w:val="E0B4DA60"/>
    <w:lvl w:ilvl="0">
      <w:start w:val="1"/>
      <w:numFmt w:val="decimal"/>
      <w:pStyle w:val="Heading1"/>
      <w:lvlText w:val="%1"/>
      <w:lvlJc w:val="left"/>
      <w:pPr>
        <w:ind w:left="574" w:hanging="432"/>
      </w:pPr>
    </w:lvl>
    <w:lvl w:ilvl="1">
      <w:start w:val="1"/>
      <w:numFmt w:val="decimal"/>
      <w:pStyle w:val="Heading2"/>
      <w:lvlText w:val="%1.%2"/>
      <w:lvlJc w:val="left"/>
      <w:pPr>
        <w:ind w:left="860" w:hanging="576"/>
      </w:pPr>
    </w:lvl>
    <w:lvl w:ilvl="2">
      <w:start w:val="1"/>
      <w:numFmt w:val="decimal"/>
      <w:pStyle w:val="Heading3"/>
      <w:lvlText w:val="%1.%2.%3"/>
      <w:lvlJc w:val="left"/>
      <w:pPr>
        <w:ind w:left="1571" w:hanging="720"/>
      </w:pPr>
    </w:lvl>
    <w:lvl w:ilvl="3">
      <w:start w:val="1"/>
      <w:numFmt w:val="decimal"/>
      <w:pStyle w:val="Heading4"/>
      <w:lvlText w:val="%1.%2.%3.%4"/>
      <w:lvlJc w:val="left"/>
      <w:pPr>
        <w:ind w:left="1148"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0" w15:restartNumberingAfterBreak="0">
    <w:nsid w:val="6D1F7FA5"/>
    <w:multiLevelType w:val="hybridMultilevel"/>
    <w:tmpl w:val="F2C86D6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6D982A74"/>
    <w:multiLevelType w:val="hybridMultilevel"/>
    <w:tmpl w:val="AA4801CA"/>
    <w:lvl w:ilvl="0" w:tplc="1714DFD4">
      <w:start w:val="1"/>
      <w:numFmt w:val="bullet"/>
      <w:lvlText w:val="•"/>
      <w:lvlJc w:val="left"/>
      <w:pPr>
        <w:tabs>
          <w:tab w:val="num" w:pos="720"/>
        </w:tabs>
        <w:ind w:left="720" w:hanging="360"/>
      </w:pPr>
      <w:rPr>
        <w:rFonts w:ascii="Arial" w:hAnsi="Arial" w:hint="default"/>
      </w:rPr>
    </w:lvl>
    <w:lvl w:ilvl="1" w:tplc="433A5B4E" w:tentative="1">
      <w:start w:val="1"/>
      <w:numFmt w:val="bullet"/>
      <w:lvlText w:val="•"/>
      <w:lvlJc w:val="left"/>
      <w:pPr>
        <w:tabs>
          <w:tab w:val="num" w:pos="1440"/>
        </w:tabs>
        <w:ind w:left="1440" w:hanging="360"/>
      </w:pPr>
      <w:rPr>
        <w:rFonts w:ascii="Arial" w:hAnsi="Arial" w:hint="default"/>
      </w:rPr>
    </w:lvl>
    <w:lvl w:ilvl="2" w:tplc="24AE9BB8" w:tentative="1">
      <w:start w:val="1"/>
      <w:numFmt w:val="bullet"/>
      <w:lvlText w:val="•"/>
      <w:lvlJc w:val="left"/>
      <w:pPr>
        <w:tabs>
          <w:tab w:val="num" w:pos="2160"/>
        </w:tabs>
        <w:ind w:left="2160" w:hanging="360"/>
      </w:pPr>
      <w:rPr>
        <w:rFonts w:ascii="Arial" w:hAnsi="Arial" w:hint="default"/>
      </w:rPr>
    </w:lvl>
    <w:lvl w:ilvl="3" w:tplc="77182E04" w:tentative="1">
      <w:start w:val="1"/>
      <w:numFmt w:val="bullet"/>
      <w:lvlText w:val="•"/>
      <w:lvlJc w:val="left"/>
      <w:pPr>
        <w:tabs>
          <w:tab w:val="num" w:pos="2880"/>
        </w:tabs>
        <w:ind w:left="2880" w:hanging="360"/>
      </w:pPr>
      <w:rPr>
        <w:rFonts w:ascii="Arial" w:hAnsi="Arial" w:hint="default"/>
      </w:rPr>
    </w:lvl>
    <w:lvl w:ilvl="4" w:tplc="C120A3EE" w:tentative="1">
      <w:start w:val="1"/>
      <w:numFmt w:val="bullet"/>
      <w:lvlText w:val="•"/>
      <w:lvlJc w:val="left"/>
      <w:pPr>
        <w:tabs>
          <w:tab w:val="num" w:pos="3600"/>
        </w:tabs>
        <w:ind w:left="3600" w:hanging="360"/>
      </w:pPr>
      <w:rPr>
        <w:rFonts w:ascii="Arial" w:hAnsi="Arial" w:hint="default"/>
      </w:rPr>
    </w:lvl>
    <w:lvl w:ilvl="5" w:tplc="8CB47F24" w:tentative="1">
      <w:start w:val="1"/>
      <w:numFmt w:val="bullet"/>
      <w:lvlText w:val="•"/>
      <w:lvlJc w:val="left"/>
      <w:pPr>
        <w:tabs>
          <w:tab w:val="num" w:pos="4320"/>
        </w:tabs>
        <w:ind w:left="4320" w:hanging="360"/>
      </w:pPr>
      <w:rPr>
        <w:rFonts w:ascii="Arial" w:hAnsi="Arial" w:hint="default"/>
      </w:rPr>
    </w:lvl>
    <w:lvl w:ilvl="6" w:tplc="FC807ADA" w:tentative="1">
      <w:start w:val="1"/>
      <w:numFmt w:val="bullet"/>
      <w:lvlText w:val="•"/>
      <w:lvlJc w:val="left"/>
      <w:pPr>
        <w:tabs>
          <w:tab w:val="num" w:pos="5040"/>
        </w:tabs>
        <w:ind w:left="5040" w:hanging="360"/>
      </w:pPr>
      <w:rPr>
        <w:rFonts w:ascii="Arial" w:hAnsi="Arial" w:hint="default"/>
      </w:rPr>
    </w:lvl>
    <w:lvl w:ilvl="7" w:tplc="9BDE2D4C" w:tentative="1">
      <w:start w:val="1"/>
      <w:numFmt w:val="bullet"/>
      <w:lvlText w:val="•"/>
      <w:lvlJc w:val="left"/>
      <w:pPr>
        <w:tabs>
          <w:tab w:val="num" w:pos="5760"/>
        </w:tabs>
        <w:ind w:left="5760" w:hanging="360"/>
      </w:pPr>
      <w:rPr>
        <w:rFonts w:ascii="Arial" w:hAnsi="Arial" w:hint="default"/>
      </w:rPr>
    </w:lvl>
    <w:lvl w:ilvl="8" w:tplc="26968D0E"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E4464F8"/>
    <w:multiLevelType w:val="hybridMultilevel"/>
    <w:tmpl w:val="922AC3A8"/>
    <w:lvl w:ilvl="0" w:tplc="041A0001">
      <w:start w:val="1"/>
      <w:numFmt w:val="bullet"/>
      <w:lvlText w:val=""/>
      <w:lvlJc w:val="left"/>
      <w:pPr>
        <w:ind w:left="720" w:hanging="360"/>
      </w:pPr>
      <w:rPr>
        <w:rFonts w:ascii="Symbol" w:hAnsi="Symbol"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3" w15:restartNumberingAfterBreak="0">
    <w:nsid w:val="7107658B"/>
    <w:multiLevelType w:val="hybridMultilevel"/>
    <w:tmpl w:val="8564ED3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746762ED"/>
    <w:multiLevelType w:val="hybridMultilevel"/>
    <w:tmpl w:val="C456AD54"/>
    <w:lvl w:ilvl="0" w:tplc="041A000F">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5" w15:restartNumberingAfterBreak="0">
    <w:nsid w:val="7E902E2E"/>
    <w:multiLevelType w:val="hybridMultilevel"/>
    <w:tmpl w:val="A058FEB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9"/>
  </w:num>
  <w:num w:numId="2">
    <w:abstractNumId w:val="23"/>
  </w:num>
  <w:num w:numId="3">
    <w:abstractNumId w:val="3"/>
  </w:num>
  <w:num w:numId="4">
    <w:abstractNumId w:val="4"/>
  </w:num>
  <w:num w:numId="5">
    <w:abstractNumId w:val="2"/>
  </w:num>
  <w:num w:numId="6">
    <w:abstractNumId w:val="12"/>
  </w:num>
  <w:num w:numId="7">
    <w:abstractNumId w:val="14"/>
  </w:num>
  <w:num w:numId="8">
    <w:abstractNumId w:val="16"/>
  </w:num>
  <w:num w:numId="9">
    <w:abstractNumId w:val="24"/>
  </w:num>
  <w:num w:numId="10">
    <w:abstractNumId w:val="10"/>
  </w:num>
  <w:num w:numId="11">
    <w:abstractNumId w:val="11"/>
  </w:num>
  <w:num w:numId="12">
    <w:abstractNumId w:val="0"/>
  </w:num>
  <w:num w:numId="13">
    <w:abstractNumId w:val="18"/>
  </w:num>
  <w:num w:numId="14">
    <w:abstractNumId w:val="22"/>
  </w:num>
  <w:num w:numId="15">
    <w:abstractNumId w:val="1"/>
  </w:num>
  <w:num w:numId="16">
    <w:abstractNumId w:val="10"/>
  </w:num>
  <w:num w:numId="17">
    <w:abstractNumId w:val="5"/>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19"/>
  </w:num>
  <w:num w:numId="21">
    <w:abstractNumId w:val="19"/>
  </w:num>
  <w:num w:numId="22">
    <w:abstractNumId w:val="20"/>
  </w:num>
  <w:num w:numId="23">
    <w:abstractNumId w:val="9"/>
    <w:lvlOverride w:ilvl="0">
      <w:startOverride w:val="1"/>
    </w:lvlOverride>
    <w:lvlOverride w:ilvl="1"/>
    <w:lvlOverride w:ilvl="2"/>
    <w:lvlOverride w:ilvl="3"/>
    <w:lvlOverride w:ilvl="4"/>
    <w:lvlOverride w:ilvl="5"/>
    <w:lvlOverride w:ilvl="6"/>
    <w:lvlOverride w:ilvl="7"/>
    <w:lvlOverride w:ilvl="8"/>
  </w:num>
  <w:num w:numId="24">
    <w:abstractNumId w:val="13"/>
  </w:num>
  <w:num w:numId="25">
    <w:abstractNumId w:val="8"/>
  </w:num>
  <w:num w:numId="26">
    <w:abstractNumId w:val="17"/>
  </w:num>
  <w:num w:numId="27">
    <w:abstractNumId w:val="7"/>
  </w:num>
  <w:num w:numId="28">
    <w:abstractNumId w:val="6"/>
  </w:num>
  <w:num w:numId="29">
    <w:abstractNumId w:val="21"/>
  </w:num>
  <w:num w:numId="30">
    <w:abstractNumId w:val="15"/>
  </w:num>
  <w:num w:numId="31">
    <w:abstractNumId w:val="25"/>
  </w:num>
  <w:num w:numId="32">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1750"/>
    <w:rsid w:val="0000378E"/>
    <w:rsid w:val="00004496"/>
    <w:rsid w:val="00006985"/>
    <w:rsid w:val="00010801"/>
    <w:rsid w:val="00010AEE"/>
    <w:rsid w:val="00010DCB"/>
    <w:rsid w:val="00011203"/>
    <w:rsid w:val="0001174D"/>
    <w:rsid w:val="00015773"/>
    <w:rsid w:val="00016FAF"/>
    <w:rsid w:val="0001715A"/>
    <w:rsid w:val="00022048"/>
    <w:rsid w:val="00022F80"/>
    <w:rsid w:val="00023BE9"/>
    <w:rsid w:val="00023C5D"/>
    <w:rsid w:val="00024D8E"/>
    <w:rsid w:val="000253D7"/>
    <w:rsid w:val="00025550"/>
    <w:rsid w:val="0003047D"/>
    <w:rsid w:val="00030FDC"/>
    <w:rsid w:val="00043E91"/>
    <w:rsid w:val="00044110"/>
    <w:rsid w:val="00044521"/>
    <w:rsid w:val="00046C1D"/>
    <w:rsid w:val="00050B01"/>
    <w:rsid w:val="000513CC"/>
    <w:rsid w:val="00052E18"/>
    <w:rsid w:val="00054675"/>
    <w:rsid w:val="0005483A"/>
    <w:rsid w:val="0006023D"/>
    <w:rsid w:val="000608E6"/>
    <w:rsid w:val="0006300B"/>
    <w:rsid w:val="00063304"/>
    <w:rsid w:val="000641B4"/>
    <w:rsid w:val="00064E92"/>
    <w:rsid w:val="0007173C"/>
    <w:rsid w:val="00073E2A"/>
    <w:rsid w:val="00076BE8"/>
    <w:rsid w:val="00076DDA"/>
    <w:rsid w:val="00080181"/>
    <w:rsid w:val="00080C5A"/>
    <w:rsid w:val="00080D81"/>
    <w:rsid w:val="00083A62"/>
    <w:rsid w:val="0008406B"/>
    <w:rsid w:val="00086230"/>
    <w:rsid w:val="00086317"/>
    <w:rsid w:val="0008675D"/>
    <w:rsid w:val="00086A35"/>
    <w:rsid w:val="00087118"/>
    <w:rsid w:val="00087F03"/>
    <w:rsid w:val="00091BE8"/>
    <w:rsid w:val="00093EA5"/>
    <w:rsid w:val="00094E70"/>
    <w:rsid w:val="00095C9B"/>
    <w:rsid w:val="00095E71"/>
    <w:rsid w:val="00096117"/>
    <w:rsid w:val="000978D2"/>
    <w:rsid w:val="00097B51"/>
    <w:rsid w:val="00097BEE"/>
    <w:rsid w:val="000A01BF"/>
    <w:rsid w:val="000A0478"/>
    <w:rsid w:val="000A1226"/>
    <w:rsid w:val="000A44D8"/>
    <w:rsid w:val="000A4FA3"/>
    <w:rsid w:val="000A6FCC"/>
    <w:rsid w:val="000B0C1B"/>
    <w:rsid w:val="000B128F"/>
    <w:rsid w:val="000B2733"/>
    <w:rsid w:val="000B3D84"/>
    <w:rsid w:val="000B3E4A"/>
    <w:rsid w:val="000B4B58"/>
    <w:rsid w:val="000B5B97"/>
    <w:rsid w:val="000B6AA0"/>
    <w:rsid w:val="000C049E"/>
    <w:rsid w:val="000C247C"/>
    <w:rsid w:val="000C2A39"/>
    <w:rsid w:val="000C2EAC"/>
    <w:rsid w:val="000C5846"/>
    <w:rsid w:val="000C5EFB"/>
    <w:rsid w:val="000C681D"/>
    <w:rsid w:val="000D029E"/>
    <w:rsid w:val="000D0AFA"/>
    <w:rsid w:val="000D192D"/>
    <w:rsid w:val="000D20B6"/>
    <w:rsid w:val="000D5B7E"/>
    <w:rsid w:val="000D5CEF"/>
    <w:rsid w:val="000D5EAA"/>
    <w:rsid w:val="000D7CDB"/>
    <w:rsid w:val="000E239D"/>
    <w:rsid w:val="000E250A"/>
    <w:rsid w:val="000E4ECF"/>
    <w:rsid w:val="000E50A5"/>
    <w:rsid w:val="000E51AC"/>
    <w:rsid w:val="000E5999"/>
    <w:rsid w:val="000E5F87"/>
    <w:rsid w:val="000E6BC9"/>
    <w:rsid w:val="000E75DB"/>
    <w:rsid w:val="000F1BA9"/>
    <w:rsid w:val="000F2C81"/>
    <w:rsid w:val="000F353C"/>
    <w:rsid w:val="000F7531"/>
    <w:rsid w:val="00101CB9"/>
    <w:rsid w:val="0010328D"/>
    <w:rsid w:val="00104288"/>
    <w:rsid w:val="00106E71"/>
    <w:rsid w:val="001071AC"/>
    <w:rsid w:val="00110BF0"/>
    <w:rsid w:val="00110FAE"/>
    <w:rsid w:val="00117A1C"/>
    <w:rsid w:val="00120FA2"/>
    <w:rsid w:val="00121515"/>
    <w:rsid w:val="001246F2"/>
    <w:rsid w:val="00125942"/>
    <w:rsid w:val="00126145"/>
    <w:rsid w:val="001268E6"/>
    <w:rsid w:val="00126D4F"/>
    <w:rsid w:val="00127C39"/>
    <w:rsid w:val="001335FA"/>
    <w:rsid w:val="00134AC0"/>
    <w:rsid w:val="00137DCD"/>
    <w:rsid w:val="001413D9"/>
    <w:rsid w:val="00143B99"/>
    <w:rsid w:val="001443FF"/>
    <w:rsid w:val="001451F6"/>
    <w:rsid w:val="0014579E"/>
    <w:rsid w:val="0014612A"/>
    <w:rsid w:val="001462FE"/>
    <w:rsid w:val="0014721A"/>
    <w:rsid w:val="001508A4"/>
    <w:rsid w:val="00151D66"/>
    <w:rsid w:val="00154758"/>
    <w:rsid w:val="001548E7"/>
    <w:rsid w:val="001554C1"/>
    <w:rsid w:val="0015566D"/>
    <w:rsid w:val="00155954"/>
    <w:rsid w:val="00155BFE"/>
    <w:rsid w:val="00157DFC"/>
    <w:rsid w:val="00157FB7"/>
    <w:rsid w:val="001611C0"/>
    <w:rsid w:val="00161D23"/>
    <w:rsid w:val="00164C01"/>
    <w:rsid w:val="00165078"/>
    <w:rsid w:val="00166393"/>
    <w:rsid w:val="00167E1B"/>
    <w:rsid w:val="00170A60"/>
    <w:rsid w:val="00171778"/>
    <w:rsid w:val="00171CCD"/>
    <w:rsid w:val="0017374B"/>
    <w:rsid w:val="001741CA"/>
    <w:rsid w:val="00174946"/>
    <w:rsid w:val="00176307"/>
    <w:rsid w:val="001770D5"/>
    <w:rsid w:val="001808D2"/>
    <w:rsid w:val="0018224A"/>
    <w:rsid w:val="001831C3"/>
    <w:rsid w:val="00184148"/>
    <w:rsid w:val="0018454C"/>
    <w:rsid w:val="00184F33"/>
    <w:rsid w:val="00185F91"/>
    <w:rsid w:val="00186372"/>
    <w:rsid w:val="00186676"/>
    <w:rsid w:val="00187DA1"/>
    <w:rsid w:val="001906B9"/>
    <w:rsid w:val="00190EEE"/>
    <w:rsid w:val="00190F8B"/>
    <w:rsid w:val="00191590"/>
    <w:rsid w:val="00192A00"/>
    <w:rsid w:val="00194CDE"/>
    <w:rsid w:val="001951A5"/>
    <w:rsid w:val="001953DD"/>
    <w:rsid w:val="001963E3"/>
    <w:rsid w:val="0019667F"/>
    <w:rsid w:val="001966D9"/>
    <w:rsid w:val="0019755C"/>
    <w:rsid w:val="001A0972"/>
    <w:rsid w:val="001A0EBC"/>
    <w:rsid w:val="001A4A87"/>
    <w:rsid w:val="001A672A"/>
    <w:rsid w:val="001B05DB"/>
    <w:rsid w:val="001B1B19"/>
    <w:rsid w:val="001B22A6"/>
    <w:rsid w:val="001B3B78"/>
    <w:rsid w:val="001B405E"/>
    <w:rsid w:val="001B416A"/>
    <w:rsid w:val="001B7829"/>
    <w:rsid w:val="001C0AF9"/>
    <w:rsid w:val="001C3236"/>
    <w:rsid w:val="001C37C8"/>
    <w:rsid w:val="001C48D1"/>
    <w:rsid w:val="001C580C"/>
    <w:rsid w:val="001C5ACE"/>
    <w:rsid w:val="001C5EAA"/>
    <w:rsid w:val="001C74C6"/>
    <w:rsid w:val="001C7C67"/>
    <w:rsid w:val="001D333F"/>
    <w:rsid w:val="001D49F3"/>
    <w:rsid w:val="001E0E79"/>
    <w:rsid w:val="001E0F6C"/>
    <w:rsid w:val="001E1003"/>
    <w:rsid w:val="001E17A1"/>
    <w:rsid w:val="001E1BC6"/>
    <w:rsid w:val="001E5075"/>
    <w:rsid w:val="001E51EC"/>
    <w:rsid w:val="001E7A3A"/>
    <w:rsid w:val="001F2A20"/>
    <w:rsid w:val="001F2ADE"/>
    <w:rsid w:val="001F4F85"/>
    <w:rsid w:val="001F65A5"/>
    <w:rsid w:val="001F7618"/>
    <w:rsid w:val="00200A36"/>
    <w:rsid w:val="00200A68"/>
    <w:rsid w:val="00201DE0"/>
    <w:rsid w:val="00201ED2"/>
    <w:rsid w:val="00204957"/>
    <w:rsid w:val="002076C3"/>
    <w:rsid w:val="00207E91"/>
    <w:rsid w:val="00210826"/>
    <w:rsid w:val="00210965"/>
    <w:rsid w:val="00213087"/>
    <w:rsid w:val="00215BBD"/>
    <w:rsid w:val="00215EEB"/>
    <w:rsid w:val="002169D7"/>
    <w:rsid w:val="00221235"/>
    <w:rsid w:val="00221616"/>
    <w:rsid w:val="00226802"/>
    <w:rsid w:val="00230176"/>
    <w:rsid w:val="00231601"/>
    <w:rsid w:val="002333F0"/>
    <w:rsid w:val="00234192"/>
    <w:rsid w:val="00236D57"/>
    <w:rsid w:val="00236D9D"/>
    <w:rsid w:val="0023730C"/>
    <w:rsid w:val="0023787E"/>
    <w:rsid w:val="002418DF"/>
    <w:rsid w:val="00245FC6"/>
    <w:rsid w:val="002474C5"/>
    <w:rsid w:val="00247BC9"/>
    <w:rsid w:val="00250E12"/>
    <w:rsid w:val="002513D1"/>
    <w:rsid w:val="00252221"/>
    <w:rsid w:val="00253995"/>
    <w:rsid w:val="002554C1"/>
    <w:rsid w:val="0026012F"/>
    <w:rsid w:val="002605C3"/>
    <w:rsid w:val="00260602"/>
    <w:rsid w:val="002626C3"/>
    <w:rsid w:val="0026505A"/>
    <w:rsid w:val="00265EA4"/>
    <w:rsid w:val="00265FC2"/>
    <w:rsid w:val="0026629C"/>
    <w:rsid w:val="002665F4"/>
    <w:rsid w:val="00267E3D"/>
    <w:rsid w:val="0027195D"/>
    <w:rsid w:val="0027346A"/>
    <w:rsid w:val="00274283"/>
    <w:rsid w:val="00274992"/>
    <w:rsid w:val="00274EE8"/>
    <w:rsid w:val="002754DF"/>
    <w:rsid w:val="002776F3"/>
    <w:rsid w:val="00280899"/>
    <w:rsid w:val="00282F7D"/>
    <w:rsid w:val="002833DF"/>
    <w:rsid w:val="00283A67"/>
    <w:rsid w:val="00284A8B"/>
    <w:rsid w:val="00285C0F"/>
    <w:rsid w:val="00287FB7"/>
    <w:rsid w:val="002920EC"/>
    <w:rsid w:val="00293FAF"/>
    <w:rsid w:val="00295BAC"/>
    <w:rsid w:val="00296BD7"/>
    <w:rsid w:val="002978FB"/>
    <w:rsid w:val="002A25C4"/>
    <w:rsid w:val="002A4AF2"/>
    <w:rsid w:val="002A5880"/>
    <w:rsid w:val="002A6440"/>
    <w:rsid w:val="002A6EB3"/>
    <w:rsid w:val="002B2763"/>
    <w:rsid w:val="002B487B"/>
    <w:rsid w:val="002B5711"/>
    <w:rsid w:val="002B5831"/>
    <w:rsid w:val="002B5BEE"/>
    <w:rsid w:val="002B5C90"/>
    <w:rsid w:val="002C03E7"/>
    <w:rsid w:val="002C0D43"/>
    <w:rsid w:val="002C1729"/>
    <w:rsid w:val="002C2268"/>
    <w:rsid w:val="002C243C"/>
    <w:rsid w:val="002C353C"/>
    <w:rsid w:val="002C37D1"/>
    <w:rsid w:val="002C4934"/>
    <w:rsid w:val="002C4CC9"/>
    <w:rsid w:val="002C4E49"/>
    <w:rsid w:val="002D0288"/>
    <w:rsid w:val="002D22A9"/>
    <w:rsid w:val="002D2359"/>
    <w:rsid w:val="002D46C6"/>
    <w:rsid w:val="002E3600"/>
    <w:rsid w:val="002E717D"/>
    <w:rsid w:val="002F0DA9"/>
    <w:rsid w:val="002F219B"/>
    <w:rsid w:val="002F2D80"/>
    <w:rsid w:val="002F2FD0"/>
    <w:rsid w:val="002F5CC9"/>
    <w:rsid w:val="002F5D7C"/>
    <w:rsid w:val="00305145"/>
    <w:rsid w:val="00305D82"/>
    <w:rsid w:val="00310269"/>
    <w:rsid w:val="00314ACE"/>
    <w:rsid w:val="0031512B"/>
    <w:rsid w:val="0031662C"/>
    <w:rsid w:val="00316D76"/>
    <w:rsid w:val="00321008"/>
    <w:rsid w:val="00323239"/>
    <w:rsid w:val="00323C4C"/>
    <w:rsid w:val="003247BC"/>
    <w:rsid w:val="00325A9D"/>
    <w:rsid w:val="003313C8"/>
    <w:rsid w:val="00331A18"/>
    <w:rsid w:val="00332D37"/>
    <w:rsid w:val="0033406D"/>
    <w:rsid w:val="00335BCA"/>
    <w:rsid w:val="00336B0F"/>
    <w:rsid w:val="00337EB9"/>
    <w:rsid w:val="0034314C"/>
    <w:rsid w:val="0034463E"/>
    <w:rsid w:val="003455E1"/>
    <w:rsid w:val="0034776C"/>
    <w:rsid w:val="003478B4"/>
    <w:rsid w:val="00347BEB"/>
    <w:rsid w:val="00347D07"/>
    <w:rsid w:val="0035085F"/>
    <w:rsid w:val="00351511"/>
    <w:rsid w:val="00351722"/>
    <w:rsid w:val="0035328D"/>
    <w:rsid w:val="003551A8"/>
    <w:rsid w:val="003566C9"/>
    <w:rsid w:val="00356C37"/>
    <w:rsid w:val="00357A77"/>
    <w:rsid w:val="003611F0"/>
    <w:rsid w:val="00362775"/>
    <w:rsid w:val="00362902"/>
    <w:rsid w:val="00362F41"/>
    <w:rsid w:val="003631A0"/>
    <w:rsid w:val="003632E2"/>
    <w:rsid w:val="003637A1"/>
    <w:rsid w:val="00365C84"/>
    <w:rsid w:val="0036625A"/>
    <w:rsid w:val="00370939"/>
    <w:rsid w:val="003712BF"/>
    <w:rsid w:val="003730C2"/>
    <w:rsid w:val="00374E27"/>
    <w:rsid w:val="00375F87"/>
    <w:rsid w:val="00376760"/>
    <w:rsid w:val="003803FA"/>
    <w:rsid w:val="00382150"/>
    <w:rsid w:val="00383553"/>
    <w:rsid w:val="00384BCF"/>
    <w:rsid w:val="00386F4C"/>
    <w:rsid w:val="00391F9C"/>
    <w:rsid w:val="00393033"/>
    <w:rsid w:val="00393303"/>
    <w:rsid w:val="00395758"/>
    <w:rsid w:val="00395794"/>
    <w:rsid w:val="003A079A"/>
    <w:rsid w:val="003A2465"/>
    <w:rsid w:val="003A27BE"/>
    <w:rsid w:val="003A2CD0"/>
    <w:rsid w:val="003A347B"/>
    <w:rsid w:val="003A3795"/>
    <w:rsid w:val="003A3F28"/>
    <w:rsid w:val="003A617A"/>
    <w:rsid w:val="003B0228"/>
    <w:rsid w:val="003B1B78"/>
    <w:rsid w:val="003B2B98"/>
    <w:rsid w:val="003B333C"/>
    <w:rsid w:val="003B54BD"/>
    <w:rsid w:val="003B6704"/>
    <w:rsid w:val="003C02D4"/>
    <w:rsid w:val="003C03AA"/>
    <w:rsid w:val="003C10DB"/>
    <w:rsid w:val="003C261C"/>
    <w:rsid w:val="003C4A82"/>
    <w:rsid w:val="003C4B07"/>
    <w:rsid w:val="003C4C49"/>
    <w:rsid w:val="003C552E"/>
    <w:rsid w:val="003C6F54"/>
    <w:rsid w:val="003C7960"/>
    <w:rsid w:val="003C7FF7"/>
    <w:rsid w:val="003D1CFE"/>
    <w:rsid w:val="003D2B78"/>
    <w:rsid w:val="003D3588"/>
    <w:rsid w:val="003D4A43"/>
    <w:rsid w:val="003D54CD"/>
    <w:rsid w:val="003D7B66"/>
    <w:rsid w:val="003E0B7D"/>
    <w:rsid w:val="003E1A2B"/>
    <w:rsid w:val="003E2C67"/>
    <w:rsid w:val="003E404E"/>
    <w:rsid w:val="003E48E7"/>
    <w:rsid w:val="003F18FD"/>
    <w:rsid w:val="003F3358"/>
    <w:rsid w:val="003F52AB"/>
    <w:rsid w:val="003F58DC"/>
    <w:rsid w:val="003F7B6D"/>
    <w:rsid w:val="00400237"/>
    <w:rsid w:val="004007AB"/>
    <w:rsid w:val="00401726"/>
    <w:rsid w:val="00401C63"/>
    <w:rsid w:val="00403AEA"/>
    <w:rsid w:val="004074AB"/>
    <w:rsid w:val="00413399"/>
    <w:rsid w:val="00414524"/>
    <w:rsid w:val="00414E4A"/>
    <w:rsid w:val="0041590C"/>
    <w:rsid w:val="004172F1"/>
    <w:rsid w:val="00417C73"/>
    <w:rsid w:val="0042485D"/>
    <w:rsid w:val="00424F54"/>
    <w:rsid w:val="00427884"/>
    <w:rsid w:val="00430C97"/>
    <w:rsid w:val="00431EF2"/>
    <w:rsid w:val="00431FD9"/>
    <w:rsid w:val="0043382D"/>
    <w:rsid w:val="00433E58"/>
    <w:rsid w:val="004360A3"/>
    <w:rsid w:val="004370B6"/>
    <w:rsid w:val="00437821"/>
    <w:rsid w:val="00437971"/>
    <w:rsid w:val="00437D57"/>
    <w:rsid w:val="00440F2E"/>
    <w:rsid w:val="0044565F"/>
    <w:rsid w:val="00445CDF"/>
    <w:rsid w:val="00450FEF"/>
    <w:rsid w:val="004522A2"/>
    <w:rsid w:val="004522E6"/>
    <w:rsid w:val="00452A5E"/>
    <w:rsid w:val="004534AE"/>
    <w:rsid w:val="004541F7"/>
    <w:rsid w:val="00454A55"/>
    <w:rsid w:val="00455F3E"/>
    <w:rsid w:val="00457289"/>
    <w:rsid w:val="004577B2"/>
    <w:rsid w:val="00460A27"/>
    <w:rsid w:val="00463A5F"/>
    <w:rsid w:val="00463F79"/>
    <w:rsid w:val="004648FE"/>
    <w:rsid w:val="00470AB0"/>
    <w:rsid w:val="00471C13"/>
    <w:rsid w:val="00471F11"/>
    <w:rsid w:val="004729FF"/>
    <w:rsid w:val="00472F8E"/>
    <w:rsid w:val="00473001"/>
    <w:rsid w:val="0047334F"/>
    <w:rsid w:val="004746C5"/>
    <w:rsid w:val="00475499"/>
    <w:rsid w:val="00475604"/>
    <w:rsid w:val="00481200"/>
    <w:rsid w:val="004841DB"/>
    <w:rsid w:val="00485A58"/>
    <w:rsid w:val="00487ED9"/>
    <w:rsid w:val="00492383"/>
    <w:rsid w:val="004924FB"/>
    <w:rsid w:val="004934E6"/>
    <w:rsid w:val="00493850"/>
    <w:rsid w:val="00493ED3"/>
    <w:rsid w:val="00496E16"/>
    <w:rsid w:val="004A0CA2"/>
    <w:rsid w:val="004A0F52"/>
    <w:rsid w:val="004A1D53"/>
    <w:rsid w:val="004A3D21"/>
    <w:rsid w:val="004A5F58"/>
    <w:rsid w:val="004A7FEF"/>
    <w:rsid w:val="004B04ED"/>
    <w:rsid w:val="004B4841"/>
    <w:rsid w:val="004B65C1"/>
    <w:rsid w:val="004B6ABB"/>
    <w:rsid w:val="004B7132"/>
    <w:rsid w:val="004C195B"/>
    <w:rsid w:val="004C1A67"/>
    <w:rsid w:val="004C2F5C"/>
    <w:rsid w:val="004C397E"/>
    <w:rsid w:val="004C5967"/>
    <w:rsid w:val="004C59DD"/>
    <w:rsid w:val="004C5DCE"/>
    <w:rsid w:val="004C601A"/>
    <w:rsid w:val="004C681E"/>
    <w:rsid w:val="004C7B20"/>
    <w:rsid w:val="004D2501"/>
    <w:rsid w:val="004D3174"/>
    <w:rsid w:val="004D3D67"/>
    <w:rsid w:val="004D494B"/>
    <w:rsid w:val="004D60AE"/>
    <w:rsid w:val="004D6564"/>
    <w:rsid w:val="004D6645"/>
    <w:rsid w:val="004D6A0C"/>
    <w:rsid w:val="004D7D9F"/>
    <w:rsid w:val="004E15CE"/>
    <w:rsid w:val="004E25B0"/>
    <w:rsid w:val="004E2EE3"/>
    <w:rsid w:val="004E35B2"/>
    <w:rsid w:val="004E4893"/>
    <w:rsid w:val="004E4EB0"/>
    <w:rsid w:val="004E5FA3"/>
    <w:rsid w:val="004F069B"/>
    <w:rsid w:val="004F0989"/>
    <w:rsid w:val="004F3346"/>
    <w:rsid w:val="004F3CA1"/>
    <w:rsid w:val="004F4136"/>
    <w:rsid w:val="004F530A"/>
    <w:rsid w:val="004F757F"/>
    <w:rsid w:val="00502CF8"/>
    <w:rsid w:val="00502D37"/>
    <w:rsid w:val="00506C0D"/>
    <w:rsid w:val="005071D9"/>
    <w:rsid w:val="00510F61"/>
    <w:rsid w:val="00512BE5"/>
    <w:rsid w:val="00515350"/>
    <w:rsid w:val="00515702"/>
    <w:rsid w:val="00515A14"/>
    <w:rsid w:val="005166E9"/>
    <w:rsid w:val="00516775"/>
    <w:rsid w:val="00522E4B"/>
    <w:rsid w:val="00523B8F"/>
    <w:rsid w:val="00525CBB"/>
    <w:rsid w:val="00526FD5"/>
    <w:rsid w:val="00527B5D"/>
    <w:rsid w:val="005317A0"/>
    <w:rsid w:val="00531BA7"/>
    <w:rsid w:val="00532A52"/>
    <w:rsid w:val="00534290"/>
    <w:rsid w:val="0053555A"/>
    <w:rsid w:val="005358E9"/>
    <w:rsid w:val="00536EC7"/>
    <w:rsid w:val="005371BC"/>
    <w:rsid w:val="00537CB0"/>
    <w:rsid w:val="0054063C"/>
    <w:rsid w:val="00542530"/>
    <w:rsid w:val="005428FC"/>
    <w:rsid w:val="00543179"/>
    <w:rsid w:val="00544A5B"/>
    <w:rsid w:val="00546DB9"/>
    <w:rsid w:val="00547516"/>
    <w:rsid w:val="005506E0"/>
    <w:rsid w:val="0055076B"/>
    <w:rsid w:val="00551657"/>
    <w:rsid w:val="00551A61"/>
    <w:rsid w:val="00552B9E"/>
    <w:rsid w:val="005622FB"/>
    <w:rsid w:val="0056272E"/>
    <w:rsid w:val="00563718"/>
    <w:rsid w:val="0056599F"/>
    <w:rsid w:val="0056602E"/>
    <w:rsid w:val="005661AF"/>
    <w:rsid w:val="00566B3E"/>
    <w:rsid w:val="00567057"/>
    <w:rsid w:val="005727CE"/>
    <w:rsid w:val="005756BF"/>
    <w:rsid w:val="00575A47"/>
    <w:rsid w:val="00575C8E"/>
    <w:rsid w:val="005771AD"/>
    <w:rsid w:val="00581A44"/>
    <w:rsid w:val="005836DE"/>
    <w:rsid w:val="00583D76"/>
    <w:rsid w:val="00584460"/>
    <w:rsid w:val="00585362"/>
    <w:rsid w:val="00587153"/>
    <w:rsid w:val="00587F48"/>
    <w:rsid w:val="0059043F"/>
    <w:rsid w:val="005909D8"/>
    <w:rsid w:val="005918EC"/>
    <w:rsid w:val="00592667"/>
    <w:rsid w:val="00593C0B"/>
    <w:rsid w:val="00595C44"/>
    <w:rsid w:val="00596A8C"/>
    <w:rsid w:val="0059758D"/>
    <w:rsid w:val="005A045B"/>
    <w:rsid w:val="005A27B1"/>
    <w:rsid w:val="005A3FFD"/>
    <w:rsid w:val="005B00E8"/>
    <w:rsid w:val="005B14B9"/>
    <w:rsid w:val="005B336F"/>
    <w:rsid w:val="005B76A8"/>
    <w:rsid w:val="005B77E4"/>
    <w:rsid w:val="005C3127"/>
    <w:rsid w:val="005C4332"/>
    <w:rsid w:val="005C5EC4"/>
    <w:rsid w:val="005C64F3"/>
    <w:rsid w:val="005C77FB"/>
    <w:rsid w:val="005C7C88"/>
    <w:rsid w:val="005D113B"/>
    <w:rsid w:val="005D23B3"/>
    <w:rsid w:val="005D34B8"/>
    <w:rsid w:val="005D435D"/>
    <w:rsid w:val="005D4F4E"/>
    <w:rsid w:val="005D6B4E"/>
    <w:rsid w:val="005D70F5"/>
    <w:rsid w:val="005D7DB3"/>
    <w:rsid w:val="005E0113"/>
    <w:rsid w:val="005E03EF"/>
    <w:rsid w:val="005E2210"/>
    <w:rsid w:val="005E2813"/>
    <w:rsid w:val="005E4EE5"/>
    <w:rsid w:val="005E6654"/>
    <w:rsid w:val="005E6FD6"/>
    <w:rsid w:val="005F0022"/>
    <w:rsid w:val="005F2911"/>
    <w:rsid w:val="005F46E4"/>
    <w:rsid w:val="005F4BA3"/>
    <w:rsid w:val="005F4F63"/>
    <w:rsid w:val="005F72E8"/>
    <w:rsid w:val="005F7C67"/>
    <w:rsid w:val="006015C3"/>
    <w:rsid w:val="00601BFB"/>
    <w:rsid w:val="00606D52"/>
    <w:rsid w:val="0061086C"/>
    <w:rsid w:val="00611E5E"/>
    <w:rsid w:val="006162F6"/>
    <w:rsid w:val="006202A4"/>
    <w:rsid w:val="006237EE"/>
    <w:rsid w:val="00623BF9"/>
    <w:rsid w:val="00627419"/>
    <w:rsid w:val="006314C3"/>
    <w:rsid w:val="00632D3D"/>
    <w:rsid w:val="0063535A"/>
    <w:rsid w:val="006373D1"/>
    <w:rsid w:val="00637F26"/>
    <w:rsid w:val="00640413"/>
    <w:rsid w:val="006404AF"/>
    <w:rsid w:val="0064086E"/>
    <w:rsid w:val="00642FFA"/>
    <w:rsid w:val="00643462"/>
    <w:rsid w:val="00644CA8"/>
    <w:rsid w:val="00644E02"/>
    <w:rsid w:val="0064597B"/>
    <w:rsid w:val="006472D2"/>
    <w:rsid w:val="006518A6"/>
    <w:rsid w:val="00653528"/>
    <w:rsid w:val="006544BE"/>
    <w:rsid w:val="00654F74"/>
    <w:rsid w:val="006573DB"/>
    <w:rsid w:val="00657C6C"/>
    <w:rsid w:val="006609A0"/>
    <w:rsid w:val="0066125F"/>
    <w:rsid w:val="00665BF4"/>
    <w:rsid w:val="00673BE8"/>
    <w:rsid w:val="00676A66"/>
    <w:rsid w:val="00680C9D"/>
    <w:rsid w:val="00681081"/>
    <w:rsid w:val="0068177A"/>
    <w:rsid w:val="00687E50"/>
    <w:rsid w:val="00690395"/>
    <w:rsid w:val="00692277"/>
    <w:rsid w:val="00692351"/>
    <w:rsid w:val="006928DF"/>
    <w:rsid w:val="00692CB9"/>
    <w:rsid w:val="00692CE7"/>
    <w:rsid w:val="0069732C"/>
    <w:rsid w:val="00697B48"/>
    <w:rsid w:val="006A1C9F"/>
    <w:rsid w:val="006A2823"/>
    <w:rsid w:val="006A449F"/>
    <w:rsid w:val="006A6393"/>
    <w:rsid w:val="006B2B19"/>
    <w:rsid w:val="006B396E"/>
    <w:rsid w:val="006B42C9"/>
    <w:rsid w:val="006B4FF1"/>
    <w:rsid w:val="006B566F"/>
    <w:rsid w:val="006B5C35"/>
    <w:rsid w:val="006B6A81"/>
    <w:rsid w:val="006C0385"/>
    <w:rsid w:val="006C53D7"/>
    <w:rsid w:val="006C572A"/>
    <w:rsid w:val="006D1144"/>
    <w:rsid w:val="006D1FCE"/>
    <w:rsid w:val="006D3F38"/>
    <w:rsid w:val="006E15EB"/>
    <w:rsid w:val="006E38D0"/>
    <w:rsid w:val="006E56F3"/>
    <w:rsid w:val="006E5BD8"/>
    <w:rsid w:val="006F29A9"/>
    <w:rsid w:val="006F2B84"/>
    <w:rsid w:val="006F6DDF"/>
    <w:rsid w:val="0070110E"/>
    <w:rsid w:val="007013AC"/>
    <w:rsid w:val="0070140C"/>
    <w:rsid w:val="007027C1"/>
    <w:rsid w:val="00704FB1"/>
    <w:rsid w:val="00706D62"/>
    <w:rsid w:val="00710350"/>
    <w:rsid w:val="0071069C"/>
    <w:rsid w:val="00712E4B"/>
    <w:rsid w:val="007133D4"/>
    <w:rsid w:val="00714F33"/>
    <w:rsid w:val="00715890"/>
    <w:rsid w:val="00715FA1"/>
    <w:rsid w:val="00716023"/>
    <w:rsid w:val="0071732F"/>
    <w:rsid w:val="0071759B"/>
    <w:rsid w:val="00722A74"/>
    <w:rsid w:val="007233A0"/>
    <w:rsid w:val="007240C3"/>
    <w:rsid w:val="007240E9"/>
    <w:rsid w:val="00724F4C"/>
    <w:rsid w:val="00725083"/>
    <w:rsid w:val="00726BFB"/>
    <w:rsid w:val="007305FC"/>
    <w:rsid w:val="007315B7"/>
    <w:rsid w:val="007320F5"/>
    <w:rsid w:val="007324FF"/>
    <w:rsid w:val="00732C2C"/>
    <w:rsid w:val="00733B64"/>
    <w:rsid w:val="00734856"/>
    <w:rsid w:val="007349C2"/>
    <w:rsid w:val="007352F3"/>
    <w:rsid w:val="0073618F"/>
    <w:rsid w:val="00736858"/>
    <w:rsid w:val="00736F91"/>
    <w:rsid w:val="00737795"/>
    <w:rsid w:val="00737848"/>
    <w:rsid w:val="00737E37"/>
    <w:rsid w:val="007415F2"/>
    <w:rsid w:val="00741DA7"/>
    <w:rsid w:val="00742956"/>
    <w:rsid w:val="00742D9D"/>
    <w:rsid w:val="00743163"/>
    <w:rsid w:val="007437D9"/>
    <w:rsid w:val="0074476B"/>
    <w:rsid w:val="00747116"/>
    <w:rsid w:val="00747B15"/>
    <w:rsid w:val="00752713"/>
    <w:rsid w:val="00752B8C"/>
    <w:rsid w:val="00757E5C"/>
    <w:rsid w:val="007607AF"/>
    <w:rsid w:val="00760BEA"/>
    <w:rsid w:val="00763E0D"/>
    <w:rsid w:val="007644DD"/>
    <w:rsid w:val="007646F7"/>
    <w:rsid w:val="007655B7"/>
    <w:rsid w:val="007658EF"/>
    <w:rsid w:val="00767175"/>
    <w:rsid w:val="00767C76"/>
    <w:rsid w:val="00770B32"/>
    <w:rsid w:val="00771615"/>
    <w:rsid w:val="0077365C"/>
    <w:rsid w:val="00773A88"/>
    <w:rsid w:val="00774052"/>
    <w:rsid w:val="007742DE"/>
    <w:rsid w:val="00774E07"/>
    <w:rsid w:val="0077705B"/>
    <w:rsid w:val="0077755F"/>
    <w:rsid w:val="00777F62"/>
    <w:rsid w:val="00781B31"/>
    <w:rsid w:val="0078227C"/>
    <w:rsid w:val="00782C3F"/>
    <w:rsid w:val="00784D5B"/>
    <w:rsid w:val="0078632C"/>
    <w:rsid w:val="00786B4D"/>
    <w:rsid w:val="00790CA3"/>
    <w:rsid w:val="00790E4F"/>
    <w:rsid w:val="00791FCD"/>
    <w:rsid w:val="00792D20"/>
    <w:rsid w:val="007956A6"/>
    <w:rsid w:val="00797EF5"/>
    <w:rsid w:val="007A00A0"/>
    <w:rsid w:val="007A264B"/>
    <w:rsid w:val="007A3C7C"/>
    <w:rsid w:val="007A3D74"/>
    <w:rsid w:val="007A68F3"/>
    <w:rsid w:val="007A6DD8"/>
    <w:rsid w:val="007B0AEB"/>
    <w:rsid w:val="007B18D7"/>
    <w:rsid w:val="007B1A1D"/>
    <w:rsid w:val="007B3CBF"/>
    <w:rsid w:val="007B6758"/>
    <w:rsid w:val="007B7905"/>
    <w:rsid w:val="007B7B2D"/>
    <w:rsid w:val="007C0F9E"/>
    <w:rsid w:val="007C1107"/>
    <w:rsid w:val="007C2FCD"/>
    <w:rsid w:val="007C42AB"/>
    <w:rsid w:val="007C6863"/>
    <w:rsid w:val="007D17CE"/>
    <w:rsid w:val="007D548C"/>
    <w:rsid w:val="007D6564"/>
    <w:rsid w:val="007D71B1"/>
    <w:rsid w:val="007D73D4"/>
    <w:rsid w:val="007D7DF5"/>
    <w:rsid w:val="007E1BFD"/>
    <w:rsid w:val="007E2CCF"/>
    <w:rsid w:val="007E3992"/>
    <w:rsid w:val="007E3D8A"/>
    <w:rsid w:val="007E48D5"/>
    <w:rsid w:val="007E7E38"/>
    <w:rsid w:val="007F34B1"/>
    <w:rsid w:val="007F3CCE"/>
    <w:rsid w:val="007F5495"/>
    <w:rsid w:val="007F71BD"/>
    <w:rsid w:val="00803046"/>
    <w:rsid w:val="0080582B"/>
    <w:rsid w:val="0080665C"/>
    <w:rsid w:val="00807F4E"/>
    <w:rsid w:val="00811867"/>
    <w:rsid w:val="008159DA"/>
    <w:rsid w:val="00815E5D"/>
    <w:rsid w:val="00820028"/>
    <w:rsid w:val="008210F9"/>
    <w:rsid w:val="008211AA"/>
    <w:rsid w:val="008212C8"/>
    <w:rsid w:val="008251BA"/>
    <w:rsid w:val="00827702"/>
    <w:rsid w:val="00827EC5"/>
    <w:rsid w:val="0083065B"/>
    <w:rsid w:val="00831120"/>
    <w:rsid w:val="008330D3"/>
    <w:rsid w:val="00835169"/>
    <w:rsid w:val="00836219"/>
    <w:rsid w:val="00837715"/>
    <w:rsid w:val="008377AB"/>
    <w:rsid w:val="00837AF0"/>
    <w:rsid w:val="00837B77"/>
    <w:rsid w:val="00837C6E"/>
    <w:rsid w:val="008402B8"/>
    <w:rsid w:val="00840857"/>
    <w:rsid w:val="00843EC2"/>
    <w:rsid w:val="00845762"/>
    <w:rsid w:val="0084695D"/>
    <w:rsid w:val="00847179"/>
    <w:rsid w:val="0085246A"/>
    <w:rsid w:val="00852ABB"/>
    <w:rsid w:val="00854497"/>
    <w:rsid w:val="008548E4"/>
    <w:rsid w:val="008559C0"/>
    <w:rsid w:val="00857444"/>
    <w:rsid w:val="0086254F"/>
    <w:rsid w:val="008632A1"/>
    <w:rsid w:val="00863576"/>
    <w:rsid w:val="0086385D"/>
    <w:rsid w:val="00865450"/>
    <w:rsid w:val="008660F4"/>
    <w:rsid w:val="00866913"/>
    <w:rsid w:val="00871E06"/>
    <w:rsid w:val="00872148"/>
    <w:rsid w:val="0087257A"/>
    <w:rsid w:val="00873881"/>
    <w:rsid w:val="008739A0"/>
    <w:rsid w:val="00874F08"/>
    <w:rsid w:val="00875A6A"/>
    <w:rsid w:val="00875E22"/>
    <w:rsid w:val="00876626"/>
    <w:rsid w:val="00876D20"/>
    <w:rsid w:val="00880B58"/>
    <w:rsid w:val="00881F0D"/>
    <w:rsid w:val="008820E1"/>
    <w:rsid w:val="00882A92"/>
    <w:rsid w:val="0088462B"/>
    <w:rsid w:val="0088467F"/>
    <w:rsid w:val="00886951"/>
    <w:rsid w:val="008869AC"/>
    <w:rsid w:val="00891583"/>
    <w:rsid w:val="008932C4"/>
    <w:rsid w:val="00893785"/>
    <w:rsid w:val="008937BA"/>
    <w:rsid w:val="00893F76"/>
    <w:rsid w:val="00894BFC"/>
    <w:rsid w:val="00896E07"/>
    <w:rsid w:val="008A065F"/>
    <w:rsid w:val="008A1E2A"/>
    <w:rsid w:val="008A216F"/>
    <w:rsid w:val="008A32A3"/>
    <w:rsid w:val="008A351B"/>
    <w:rsid w:val="008A5387"/>
    <w:rsid w:val="008A5BB5"/>
    <w:rsid w:val="008A7121"/>
    <w:rsid w:val="008B0F6B"/>
    <w:rsid w:val="008B0F78"/>
    <w:rsid w:val="008B206E"/>
    <w:rsid w:val="008B23C8"/>
    <w:rsid w:val="008B4FE0"/>
    <w:rsid w:val="008B65EB"/>
    <w:rsid w:val="008B7288"/>
    <w:rsid w:val="008B73CD"/>
    <w:rsid w:val="008B7BC9"/>
    <w:rsid w:val="008C0AA4"/>
    <w:rsid w:val="008C423A"/>
    <w:rsid w:val="008C68D1"/>
    <w:rsid w:val="008C752D"/>
    <w:rsid w:val="008D447B"/>
    <w:rsid w:val="008D53BF"/>
    <w:rsid w:val="008D586B"/>
    <w:rsid w:val="008D6FA3"/>
    <w:rsid w:val="008E240F"/>
    <w:rsid w:val="008E2690"/>
    <w:rsid w:val="008E46CB"/>
    <w:rsid w:val="008E5982"/>
    <w:rsid w:val="008F1415"/>
    <w:rsid w:val="008F215B"/>
    <w:rsid w:val="008F7B89"/>
    <w:rsid w:val="0090033F"/>
    <w:rsid w:val="0090086C"/>
    <w:rsid w:val="00901064"/>
    <w:rsid w:val="0090394B"/>
    <w:rsid w:val="00903DC2"/>
    <w:rsid w:val="0090575A"/>
    <w:rsid w:val="009078C0"/>
    <w:rsid w:val="009108D1"/>
    <w:rsid w:val="00910AB7"/>
    <w:rsid w:val="00911928"/>
    <w:rsid w:val="00912809"/>
    <w:rsid w:val="0091486E"/>
    <w:rsid w:val="00914BCD"/>
    <w:rsid w:val="009233F9"/>
    <w:rsid w:val="00925F76"/>
    <w:rsid w:val="00926415"/>
    <w:rsid w:val="009307E0"/>
    <w:rsid w:val="009309EB"/>
    <w:rsid w:val="009325A6"/>
    <w:rsid w:val="00934FE7"/>
    <w:rsid w:val="00940F1C"/>
    <w:rsid w:val="009431A7"/>
    <w:rsid w:val="00943429"/>
    <w:rsid w:val="00943880"/>
    <w:rsid w:val="0094404D"/>
    <w:rsid w:val="00944F01"/>
    <w:rsid w:val="00946BDE"/>
    <w:rsid w:val="0095106E"/>
    <w:rsid w:val="00952912"/>
    <w:rsid w:val="00952FB5"/>
    <w:rsid w:val="009564AA"/>
    <w:rsid w:val="0095760A"/>
    <w:rsid w:val="009576BC"/>
    <w:rsid w:val="0096006B"/>
    <w:rsid w:val="00961539"/>
    <w:rsid w:val="009624F3"/>
    <w:rsid w:val="00962BB2"/>
    <w:rsid w:val="00963FE9"/>
    <w:rsid w:val="009656B5"/>
    <w:rsid w:val="00965FFE"/>
    <w:rsid w:val="00970CFB"/>
    <w:rsid w:val="009739CC"/>
    <w:rsid w:val="009750F7"/>
    <w:rsid w:val="00982278"/>
    <w:rsid w:val="009837E9"/>
    <w:rsid w:val="009839F3"/>
    <w:rsid w:val="00983ABD"/>
    <w:rsid w:val="009852C3"/>
    <w:rsid w:val="009855DD"/>
    <w:rsid w:val="0098717F"/>
    <w:rsid w:val="00990B08"/>
    <w:rsid w:val="0099182B"/>
    <w:rsid w:val="00993CE4"/>
    <w:rsid w:val="00993D14"/>
    <w:rsid w:val="00997300"/>
    <w:rsid w:val="009A16D0"/>
    <w:rsid w:val="009A2038"/>
    <w:rsid w:val="009A4907"/>
    <w:rsid w:val="009A5D8D"/>
    <w:rsid w:val="009A6649"/>
    <w:rsid w:val="009A6A63"/>
    <w:rsid w:val="009B347B"/>
    <w:rsid w:val="009B55FF"/>
    <w:rsid w:val="009B6DCB"/>
    <w:rsid w:val="009C131C"/>
    <w:rsid w:val="009C3BB3"/>
    <w:rsid w:val="009C495D"/>
    <w:rsid w:val="009C495E"/>
    <w:rsid w:val="009C55CF"/>
    <w:rsid w:val="009C6578"/>
    <w:rsid w:val="009C70D3"/>
    <w:rsid w:val="009C7E8E"/>
    <w:rsid w:val="009D027F"/>
    <w:rsid w:val="009D40F6"/>
    <w:rsid w:val="009D4581"/>
    <w:rsid w:val="009D4E67"/>
    <w:rsid w:val="009D6D4C"/>
    <w:rsid w:val="009E0223"/>
    <w:rsid w:val="009E23D0"/>
    <w:rsid w:val="009E334C"/>
    <w:rsid w:val="009E47BB"/>
    <w:rsid w:val="009E63EA"/>
    <w:rsid w:val="009E6942"/>
    <w:rsid w:val="009F0131"/>
    <w:rsid w:val="009F2222"/>
    <w:rsid w:val="009F376A"/>
    <w:rsid w:val="009F6769"/>
    <w:rsid w:val="009F7893"/>
    <w:rsid w:val="009F7CD5"/>
    <w:rsid w:val="00A00AA1"/>
    <w:rsid w:val="00A01801"/>
    <w:rsid w:val="00A0320E"/>
    <w:rsid w:val="00A03BC2"/>
    <w:rsid w:val="00A03E88"/>
    <w:rsid w:val="00A04EA0"/>
    <w:rsid w:val="00A052D4"/>
    <w:rsid w:val="00A05733"/>
    <w:rsid w:val="00A132A3"/>
    <w:rsid w:val="00A13C2C"/>
    <w:rsid w:val="00A15BE2"/>
    <w:rsid w:val="00A2220D"/>
    <w:rsid w:val="00A23CA4"/>
    <w:rsid w:val="00A23FE6"/>
    <w:rsid w:val="00A2765B"/>
    <w:rsid w:val="00A27BA3"/>
    <w:rsid w:val="00A300B2"/>
    <w:rsid w:val="00A303CE"/>
    <w:rsid w:val="00A30601"/>
    <w:rsid w:val="00A324E3"/>
    <w:rsid w:val="00A329CB"/>
    <w:rsid w:val="00A36D82"/>
    <w:rsid w:val="00A40369"/>
    <w:rsid w:val="00A44F11"/>
    <w:rsid w:val="00A45449"/>
    <w:rsid w:val="00A46682"/>
    <w:rsid w:val="00A47596"/>
    <w:rsid w:val="00A5017D"/>
    <w:rsid w:val="00A5042D"/>
    <w:rsid w:val="00A53807"/>
    <w:rsid w:val="00A6039A"/>
    <w:rsid w:val="00A60701"/>
    <w:rsid w:val="00A613D1"/>
    <w:rsid w:val="00A6168E"/>
    <w:rsid w:val="00A641D5"/>
    <w:rsid w:val="00A65FC2"/>
    <w:rsid w:val="00A665DF"/>
    <w:rsid w:val="00A673C1"/>
    <w:rsid w:val="00A676D3"/>
    <w:rsid w:val="00A67EBD"/>
    <w:rsid w:val="00A716D1"/>
    <w:rsid w:val="00A71B90"/>
    <w:rsid w:val="00A72097"/>
    <w:rsid w:val="00A76272"/>
    <w:rsid w:val="00A80EF0"/>
    <w:rsid w:val="00A81685"/>
    <w:rsid w:val="00A81DEE"/>
    <w:rsid w:val="00A822BA"/>
    <w:rsid w:val="00A82775"/>
    <w:rsid w:val="00A82CE4"/>
    <w:rsid w:val="00A83D90"/>
    <w:rsid w:val="00A8626D"/>
    <w:rsid w:val="00A873CB"/>
    <w:rsid w:val="00A87BE8"/>
    <w:rsid w:val="00A91413"/>
    <w:rsid w:val="00A92F05"/>
    <w:rsid w:val="00A954D6"/>
    <w:rsid w:val="00A97C4F"/>
    <w:rsid w:val="00AA16D6"/>
    <w:rsid w:val="00AA4EF7"/>
    <w:rsid w:val="00AA5B68"/>
    <w:rsid w:val="00AA7FBC"/>
    <w:rsid w:val="00AB0369"/>
    <w:rsid w:val="00AB1E8E"/>
    <w:rsid w:val="00AB348F"/>
    <w:rsid w:val="00AB649C"/>
    <w:rsid w:val="00AB6AE0"/>
    <w:rsid w:val="00AC1370"/>
    <w:rsid w:val="00AC2527"/>
    <w:rsid w:val="00AC6C9A"/>
    <w:rsid w:val="00AD071C"/>
    <w:rsid w:val="00AD0786"/>
    <w:rsid w:val="00AD1D39"/>
    <w:rsid w:val="00AD20AB"/>
    <w:rsid w:val="00AD3BC8"/>
    <w:rsid w:val="00AD4746"/>
    <w:rsid w:val="00AD55D4"/>
    <w:rsid w:val="00AD5A79"/>
    <w:rsid w:val="00AE2A99"/>
    <w:rsid w:val="00AE504C"/>
    <w:rsid w:val="00AE6E35"/>
    <w:rsid w:val="00AF021F"/>
    <w:rsid w:val="00AF078B"/>
    <w:rsid w:val="00AF607D"/>
    <w:rsid w:val="00AF6218"/>
    <w:rsid w:val="00AF69EB"/>
    <w:rsid w:val="00AF6B76"/>
    <w:rsid w:val="00B00BD0"/>
    <w:rsid w:val="00B0775A"/>
    <w:rsid w:val="00B11221"/>
    <w:rsid w:val="00B12B4F"/>
    <w:rsid w:val="00B22F98"/>
    <w:rsid w:val="00B26A26"/>
    <w:rsid w:val="00B30270"/>
    <w:rsid w:val="00B31442"/>
    <w:rsid w:val="00B31DA7"/>
    <w:rsid w:val="00B32C2C"/>
    <w:rsid w:val="00B3394E"/>
    <w:rsid w:val="00B36724"/>
    <w:rsid w:val="00B369EA"/>
    <w:rsid w:val="00B36AA1"/>
    <w:rsid w:val="00B37178"/>
    <w:rsid w:val="00B41A0B"/>
    <w:rsid w:val="00B41DD0"/>
    <w:rsid w:val="00B43B7E"/>
    <w:rsid w:val="00B44326"/>
    <w:rsid w:val="00B46B43"/>
    <w:rsid w:val="00B47BC5"/>
    <w:rsid w:val="00B47D36"/>
    <w:rsid w:val="00B50AC7"/>
    <w:rsid w:val="00B5289C"/>
    <w:rsid w:val="00B52C26"/>
    <w:rsid w:val="00B52CF7"/>
    <w:rsid w:val="00B53AEE"/>
    <w:rsid w:val="00B53C13"/>
    <w:rsid w:val="00B53D95"/>
    <w:rsid w:val="00B544F4"/>
    <w:rsid w:val="00B54609"/>
    <w:rsid w:val="00B54792"/>
    <w:rsid w:val="00B55D9E"/>
    <w:rsid w:val="00B61FC5"/>
    <w:rsid w:val="00B62E0C"/>
    <w:rsid w:val="00B65AB1"/>
    <w:rsid w:val="00B66B61"/>
    <w:rsid w:val="00B67143"/>
    <w:rsid w:val="00B67480"/>
    <w:rsid w:val="00B67651"/>
    <w:rsid w:val="00B7086E"/>
    <w:rsid w:val="00B72586"/>
    <w:rsid w:val="00B736CD"/>
    <w:rsid w:val="00B73860"/>
    <w:rsid w:val="00B73CEA"/>
    <w:rsid w:val="00B747AC"/>
    <w:rsid w:val="00B7574F"/>
    <w:rsid w:val="00B759B1"/>
    <w:rsid w:val="00B764EE"/>
    <w:rsid w:val="00B766D4"/>
    <w:rsid w:val="00B804A4"/>
    <w:rsid w:val="00B838D9"/>
    <w:rsid w:val="00B84776"/>
    <w:rsid w:val="00B8506D"/>
    <w:rsid w:val="00B87029"/>
    <w:rsid w:val="00B87A8D"/>
    <w:rsid w:val="00B90D35"/>
    <w:rsid w:val="00B91237"/>
    <w:rsid w:val="00B93586"/>
    <w:rsid w:val="00BA079D"/>
    <w:rsid w:val="00BA3157"/>
    <w:rsid w:val="00BA66BE"/>
    <w:rsid w:val="00BB0B90"/>
    <w:rsid w:val="00BB1446"/>
    <w:rsid w:val="00BB3941"/>
    <w:rsid w:val="00BB45F4"/>
    <w:rsid w:val="00BB4878"/>
    <w:rsid w:val="00BB7F55"/>
    <w:rsid w:val="00BC004A"/>
    <w:rsid w:val="00BC0BA9"/>
    <w:rsid w:val="00BC15AB"/>
    <w:rsid w:val="00BC53CC"/>
    <w:rsid w:val="00BC6AF9"/>
    <w:rsid w:val="00BD1737"/>
    <w:rsid w:val="00BD1DEE"/>
    <w:rsid w:val="00BD2E1F"/>
    <w:rsid w:val="00BD4EEF"/>
    <w:rsid w:val="00BD6111"/>
    <w:rsid w:val="00BD6A24"/>
    <w:rsid w:val="00BD715A"/>
    <w:rsid w:val="00BD71E2"/>
    <w:rsid w:val="00BE06E0"/>
    <w:rsid w:val="00BE0BBB"/>
    <w:rsid w:val="00BE1B6F"/>
    <w:rsid w:val="00BE3E8D"/>
    <w:rsid w:val="00BE5C94"/>
    <w:rsid w:val="00BF17FD"/>
    <w:rsid w:val="00BF3F5F"/>
    <w:rsid w:val="00BF638C"/>
    <w:rsid w:val="00BF6FA8"/>
    <w:rsid w:val="00C0094C"/>
    <w:rsid w:val="00C0365A"/>
    <w:rsid w:val="00C07769"/>
    <w:rsid w:val="00C07B8D"/>
    <w:rsid w:val="00C10278"/>
    <w:rsid w:val="00C10E1D"/>
    <w:rsid w:val="00C13D7F"/>
    <w:rsid w:val="00C142E4"/>
    <w:rsid w:val="00C16E92"/>
    <w:rsid w:val="00C177F8"/>
    <w:rsid w:val="00C20523"/>
    <w:rsid w:val="00C20F84"/>
    <w:rsid w:val="00C217E2"/>
    <w:rsid w:val="00C224C0"/>
    <w:rsid w:val="00C22C06"/>
    <w:rsid w:val="00C237B9"/>
    <w:rsid w:val="00C23B2A"/>
    <w:rsid w:val="00C269E8"/>
    <w:rsid w:val="00C30667"/>
    <w:rsid w:val="00C3085C"/>
    <w:rsid w:val="00C30EA7"/>
    <w:rsid w:val="00C32614"/>
    <w:rsid w:val="00C34BDA"/>
    <w:rsid w:val="00C422C8"/>
    <w:rsid w:val="00C425CF"/>
    <w:rsid w:val="00C42C3C"/>
    <w:rsid w:val="00C43A6A"/>
    <w:rsid w:val="00C44046"/>
    <w:rsid w:val="00C44114"/>
    <w:rsid w:val="00C46083"/>
    <w:rsid w:val="00C4616E"/>
    <w:rsid w:val="00C47D9A"/>
    <w:rsid w:val="00C528FB"/>
    <w:rsid w:val="00C52D72"/>
    <w:rsid w:val="00C53759"/>
    <w:rsid w:val="00C561EF"/>
    <w:rsid w:val="00C574BE"/>
    <w:rsid w:val="00C5771A"/>
    <w:rsid w:val="00C5780C"/>
    <w:rsid w:val="00C5790D"/>
    <w:rsid w:val="00C57EDF"/>
    <w:rsid w:val="00C620B6"/>
    <w:rsid w:val="00C65788"/>
    <w:rsid w:val="00C66E65"/>
    <w:rsid w:val="00C67786"/>
    <w:rsid w:val="00C678CC"/>
    <w:rsid w:val="00C731F2"/>
    <w:rsid w:val="00C76BFA"/>
    <w:rsid w:val="00C80C9E"/>
    <w:rsid w:val="00C84DF6"/>
    <w:rsid w:val="00C856C9"/>
    <w:rsid w:val="00C85F3C"/>
    <w:rsid w:val="00C87545"/>
    <w:rsid w:val="00C87998"/>
    <w:rsid w:val="00C92510"/>
    <w:rsid w:val="00C92EFA"/>
    <w:rsid w:val="00C9665C"/>
    <w:rsid w:val="00C96776"/>
    <w:rsid w:val="00C96BE3"/>
    <w:rsid w:val="00C9730A"/>
    <w:rsid w:val="00C976D8"/>
    <w:rsid w:val="00C9787C"/>
    <w:rsid w:val="00CA06B5"/>
    <w:rsid w:val="00CA0BD9"/>
    <w:rsid w:val="00CB1297"/>
    <w:rsid w:val="00CB22FE"/>
    <w:rsid w:val="00CB449F"/>
    <w:rsid w:val="00CB6354"/>
    <w:rsid w:val="00CB64C3"/>
    <w:rsid w:val="00CB654D"/>
    <w:rsid w:val="00CC32F8"/>
    <w:rsid w:val="00CC3DE6"/>
    <w:rsid w:val="00CD0E06"/>
    <w:rsid w:val="00CD1FE1"/>
    <w:rsid w:val="00CD2244"/>
    <w:rsid w:val="00CD234E"/>
    <w:rsid w:val="00CD35F3"/>
    <w:rsid w:val="00CD595E"/>
    <w:rsid w:val="00CD61E2"/>
    <w:rsid w:val="00CD6624"/>
    <w:rsid w:val="00CE02E1"/>
    <w:rsid w:val="00CE0449"/>
    <w:rsid w:val="00CE05E7"/>
    <w:rsid w:val="00CE2163"/>
    <w:rsid w:val="00CE23BC"/>
    <w:rsid w:val="00CE2924"/>
    <w:rsid w:val="00CE3344"/>
    <w:rsid w:val="00CE3CD6"/>
    <w:rsid w:val="00CE3D5C"/>
    <w:rsid w:val="00CE4ED0"/>
    <w:rsid w:val="00CE5432"/>
    <w:rsid w:val="00CE6822"/>
    <w:rsid w:val="00CF04ED"/>
    <w:rsid w:val="00CF1938"/>
    <w:rsid w:val="00CF36FB"/>
    <w:rsid w:val="00CF3F56"/>
    <w:rsid w:val="00CF4A2E"/>
    <w:rsid w:val="00CF67C2"/>
    <w:rsid w:val="00CF7E3F"/>
    <w:rsid w:val="00D020F6"/>
    <w:rsid w:val="00D03F94"/>
    <w:rsid w:val="00D0416F"/>
    <w:rsid w:val="00D049C7"/>
    <w:rsid w:val="00D049E5"/>
    <w:rsid w:val="00D104C8"/>
    <w:rsid w:val="00D10C45"/>
    <w:rsid w:val="00D16605"/>
    <w:rsid w:val="00D16D91"/>
    <w:rsid w:val="00D1748A"/>
    <w:rsid w:val="00D20B9C"/>
    <w:rsid w:val="00D22CDE"/>
    <w:rsid w:val="00D22D70"/>
    <w:rsid w:val="00D238A2"/>
    <w:rsid w:val="00D24A9D"/>
    <w:rsid w:val="00D2609E"/>
    <w:rsid w:val="00D3094F"/>
    <w:rsid w:val="00D31B7B"/>
    <w:rsid w:val="00D324BE"/>
    <w:rsid w:val="00D337FA"/>
    <w:rsid w:val="00D3416F"/>
    <w:rsid w:val="00D359EF"/>
    <w:rsid w:val="00D36150"/>
    <w:rsid w:val="00D4009A"/>
    <w:rsid w:val="00D40BAD"/>
    <w:rsid w:val="00D43D87"/>
    <w:rsid w:val="00D45142"/>
    <w:rsid w:val="00D45A56"/>
    <w:rsid w:val="00D47606"/>
    <w:rsid w:val="00D52FCF"/>
    <w:rsid w:val="00D53C2C"/>
    <w:rsid w:val="00D53CFB"/>
    <w:rsid w:val="00D5434E"/>
    <w:rsid w:val="00D5459D"/>
    <w:rsid w:val="00D54C0A"/>
    <w:rsid w:val="00D5531D"/>
    <w:rsid w:val="00D61307"/>
    <w:rsid w:val="00D635C4"/>
    <w:rsid w:val="00D640AD"/>
    <w:rsid w:val="00D640E6"/>
    <w:rsid w:val="00D64322"/>
    <w:rsid w:val="00D66EFF"/>
    <w:rsid w:val="00D66F9F"/>
    <w:rsid w:val="00D67883"/>
    <w:rsid w:val="00D70D83"/>
    <w:rsid w:val="00D72372"/>
    <w:rsid w:val="00D7259F"/>
    <w:rsid w:val="00D739CC"/>
    <w:rsid w:val="00D800BC"/>
    <w:rsid w:val="00D83B7E"/>
    <w:rsid w:val="00D858A1"/>
    <w:rsid w:val="00D909AE"/>
    <w:rsid w:val="00D91467"/>
    <w:rsid w:val="00D91D11"/>
    <w:rsid w:val="00D9432F"/>
    <w:rsid w:val="00D95925"/>
    <w:rsid w:val="00D96569"/>
    <w:rsid w:val="00D96840"/>
    <w:rsid w:val="00D96E14"/>
    <w:rsid w:val="00D96F73"/>
    <w:rsid w:val="00DA1F10"/>
    <w:rsid w:val="00DA24D9"/>
    <w:rsid w:val="00DA43E0"/>
    <w:rsid w:val="00DA5618"/>
    <w:rsid w:val="00DA5E4D"/>
    <w:rsid w:val="00DB0817"/>
    <w:rsid w:val="00DB0CA0"/>
    <w:rsid w:val="00DB6081"/>
    <w:rsid w:val="00DB7784"/>
    <w:rsid w:val="00DB7CF5"/>
    <w:rsid w:val="00DC10FC"/>
    <w:rsid w:val="00DC13BA"/>
    <w:rsid w:val="00DC1AB4"/>
    <w:rsid w:val="00DC2BF0"/>
    <w:rsid w:val="00DC3649"/>
    <w:rsid w:val="00DC39C7"/>
    <w:rsid w:val="00DC47E1"/>
    <w:rsid w:val="00DC4B63"/>
    <w:rsid w:val="00DC4B95"/>
    <w:rsid w:val="00DC4D02"/>
    <w:rsid w:val="00DC5376"/>
    <w:rsid w:val="00DC678B"/>
    <w:rsid w:val="00DC6C46"/>
    <w:rsid w:val="00DC7FDF"/>
    <w:rsid w:val="00DD1F80"/>
    <w:rsid w:val="00DD270C"/>
    <w:rsid w:val="00DD2AAF"/>
    <w:rsid w:val="00DD5405"/>
    <w:rsid w:val="00DD5673"/>
    <w:rsid w:val="00DD5B9A"/>
    <w:rsid w:val="00DD5CFE"/>
    <w:rsid w:val="00DE0A84"/>
    <w:rsid w:val="00DE0DFC"/>
    <w:rsid w:val="00DE1C07"/>
    <w:rsid w:val="00DE2533"/>
    <w:rsid w:val="00DE2F73"/>
    <w:rsid w:val="00DE5B0E"/>
    <w:rsid w:val="00DE6387"/>
    <w:rsid w:val="00DE75AB"/>
    <w:rsid w:val="00DE75BA"/>
    <w:rsid w:val="00DF5630"/>
    <w:rsid w:val="00DF5D31"/>
    <w:rsid w:val="00DF658E"/>
    <w:rsid w:val="00E018C3"/>
    <w:rsid w:val="00E02802"/>
    <w:rsid w:val="00E03039"/>
    <w:rsid w:val="00E03D70"/>
    <w:rsid w:val="00E04FC6"/>
    <w:rsid w:val="00E06143"/>
    <w:rsid w:val="00E11C94"/>
    <w:rsid w:val="00E135BE"/>
    <w:rsid w:val="00E13640"/>
    <w:rsid w:val="00E14D72"/>
    <w:rsid w:val="00E14E51"/>
    <w:rsid w:val="00E163C8"/>
    <w:rsid w:val="00E169FB"/>
    <w:rsid w:val="00E16D74"/>
    <w:rsid w:val="00E175AC"/>
    <w:rsid w:val="00E17B5A"/>
    <w:rsid w:val="00E2041B"/>
    <w:rsid w:val="00E212A9"/>
    <w:rsid w:val="00E23BAF"/>
    <w:rsid w:val="00E23E6A"/>
    <w:rsid w:val="00E26255"/>
    <w:rsid w:val="00E262B6"/>
    <w:rsid w:val="00E26383"/>
    <w:rsid w:val="00E2703A"/>
    <w:rsid w:val="00E2706B"/>
    <w:rsid w:val="00E2716D"/>
    <w:rsid w:val="00E27C9B"/>
    <w:rsid w:val="00E31C6A"/>
    <w:rsid w:val="00E32649"/>
    <w:rsid w:val="00E36612"/>
    <w:rsid w:val="00E36EA9"/>
    <w:rsid w:val="00E438A0"/>
    <w:rsid w:val="00E440A1"/>
    <w:rsid w:val="00E44A1F"/>
    <w:rsid w:val="00E45DB1"/>
    <w:rsid w:val="00E51562"/>
    <w:rsid w:val="00E517F3"/>
    <w:rsid w:val="00E53606"/>
    <w:rsid w:val="00E61439"/>
    <w:rsid w:val="00E6338C"/>
    <w:rsid w:val="00E64F58"/>
    <w:rsid w:val="00E67A20"/>
    <w:rsid w:val="00E7158C"/>
    <w:rsid w:val="00E734D9"/>
    <w:rsid w:val="00E73DB1"/>
    <w:rsid w:val="00E7485D"/>
    <w:rsid w:val="00E752AE"/>
    <w:rsid w:val="00E75AAC"/>
    <w:rsid w:val="00E771AC"/>
    <w:rsid w:val="00E813B0"/>
    <w:rsid w:val="00E8280E"/>
    <w:rsid w:val="00E834B0"/>
    <w:rsid w:val="00E83DAF"/>
    <w:rsid w:val="00E84068"/>
    <w:rsid w:val="00E863F6"/>
    <w:rsid w:val="00E864DC"/>
    <w:rsid w:val="00E8774C"/>
    <w:rsid w:val="00E87936"/>
    <w:rsid w:val="00E87A07"/>
    <w:rsid w:val="00E9157A"/>
    <w:rsid w:val="00E919BC"/>
    <w:rsid w:val="00E91AE6"/>
    <w:rsid w:val="00E92230"/>
    <w:rsid w:val="00E92D55"/>
    <w:rsid w:val="00E93082"/>
    <w:rsid w:val="00E94068"/>
    <w:rsid w:val="00E966D6"/>
    <w:rsid w:val="00E96868"/>
    <w:rsid w:val="00E9687B"/>
    <w:rsid w:val="00EA0B3B"/>
    <w:rsid w:val="00EA2E46"/>
    <w:rsid w:val="00EA4D14"/>
    <w:rsid w:val="00EA4D9F"/>
    <w:rsid w:val="00EA4E44"/>
    <w:rsid w:val="00EA5451"/>
    <w:rsid w:val="00EB0286"/>
    <w:rsid w:val="00EB2059"/>
    <w:rsid w:val="00EB2C1B"/>
    <w:rsid w:val="00EB2E27"/>
    <w:rsid w:val="00EB4FC0"/>
    <w:rsid w:val="00EB6F39"/>
    <w:rsid w:val="00EB71E1"/>
    <w:rsid w:val="00EC0A00"/>
    <w:rsid w:val="00EC208C"/>
    <w:rsid w:val="00EC2940"/>
    <w:rsid w:val="00EC4F64"/>
    <w:rsid w:val="00EC6DCF"/>
    <w:rsid w:val="00EC7F44"/>
    <w:rsid w:val="00ED0AC1"/>
    <w:rsid w:val="00ED11FF"/>
    <w:rsid w:val="00ED13ED"/>
    <w:rsid w:val="00ED41DE"/>
    <w:rsid w:val="00ED6A05"/>
    <w:rsid w:val="00EE24AE"/>
    <w:rsid w:val="00EE2BA2"/>
    <w:rsid w:val="00EE42F5"/>
    <w:rsid w:val="00EE7E15"/>
    <w:rsid w:val="00EF0450"/>
    <w:rsid w:val="00EF2941"/>
    <w:rsid w:val="00EF2C27"/>
    <w:rsid w:val="00EF61EC"/>
    <w:rsid w:val="00EF62B4"/>
    <w:rsid w:val="00EF6A06"/>
    <w:rsid w:val="00EF7A83"/>
    <w:rsid w:val="00F04FB5"/>
    <w:rsid w:val="00F11D83"/>
    <w:rsid w:val="00F1351E"/>
    <w:rsid w:val="00F137E0"/>
    <w:rsid w:val="00F1671B"/>
    <w:rsid w:val="00F16A88"/>
    <w:rsid w:val="00F17303"/>
    <w:rsid w:val="00F20B6B"/>
    <w:rsid w:val="00F240F6"/>
    <w:rsid w:val="00F2540F"/>
    <w:rsid w:val="00F2571C"/>
    <w:rsid w:val="00F259B2"/>
    <w:rsid w:val="00F33AC0"/>
    <w:rsid w:val="00F33C28"/>
    <w:rsid w:val="00F3458F"/>
    <w:rsid w:val="00F36ABA"/>
    <w:rsid w:val="00F370EC"/>
    <w:rsid w:val="00F3785D"/>
    <w:rsid w:val="00F40B47"/>
    <w:rsid w:val="00F410F1"/>
    <w:rsid w:val="00F41848"/>
    <w:rsid w:val="00F42E55"/>
    <w:rsid w:val="00F45B17"/>
    <w:rsid w:val="00F45CCA"/>
    <w:rsid w:val="00F46786"/>
    <w:rsid w:val="00F47FCC"/>
    <w:rsid w:val="00F52126"/>
    <w:rsid w:val="00F522C8"/>
    <w:rsid w:val="00F52627"/>
    <w:rsid w:val="00F5300B"/>
    <w:rsid w:val="00F5328A"/>
    <w:rsid w:val="00F53304"/>
    <w:rsid w:val="00F54D9D"/>
    <w:rsid w:val="00F55F0E"/>
    <w:rsid w:val="00F5697E"/>
    <w:rsid w:val="00F56B0C"/>
    <w:rsid w:val="00F61687"/>
    <w:rsid w:val="00F61E0D"/>
    <w:rsid w:val="00F62B2D"/>
    <w:rsid w:val="00F65674"/>
    <w:rsid w:val="00F658E7"/>
    <w:rsid w:val="00F70E3F"/>
    <w:rsid w:val="00F72647"/>
    <w:rsid w:val="00F7313E"/>
    <w:rsid w:val="00F745D1"/>
    <w:rsid w:val="00F75D5E"/>
    <w:rsid w:val="00F768C9"/>
    <w:rsid w:val="00F82291"/>
    <w:rsid w:val="00F82576"/>
    <w:rsid w:val="00F8288C"/>
    <w:rsid w:val="00F840B9"/>
    <w:rsid w:val="00F841BE"/>
    <w:rsid w:val="00F85A38"/>
    <w:rsid w:val="00F87148"/>
    <w:rsid w:val="00F876AA"/>
    <w:rsid w:val="00F87AF6"/>
    <w:rsid w:val="00F87C66"/>
    <w:rsid w:val="00F87F0F"/>
    <w:rsid w:val="00F91F43"/>
    <w:rsid w:val="00F94820"/>
    <w:rsid w:val="00F96C32"/>
    <w:rsid w:val="00F97B0B"/>
    <w:rsid w:val="00FA032C"/>
    <w:rsid w:val="00FA1B0F"/>
    <w:rsid w:val="00FA2280"/>
    <w:rsid w:val="00FA40A7"/>
    <w:rsid w:val="00FA4830"/>
    <w:rsid w:val="00FA625A"/>
    <w:rsid w:val="00FA7ECB"/>
    <w:rsid w:val="00FB036F"/>
    <w:rsid w:val="00FB1041"/>
    <w:rsid w:val="00FB2470"/>
    <w:rsid w:val="00FB28C3"/>
    <w:rsid w:val="00FB2DF9"/>
    <w:rsid w:val="00FB4E0D"/>
    <w:rsid w:val="00FB6AF6"/>
    <w:rsid w:val="00FB6D05"/>
    <w:rsid w:val="00FB6F32"/>
    <w:rsid w:val="00FC2747"/>
    <w:rsid w:val="00FC361C"/>
    <w:rsid w:val="00FC4BD5"/>
    <w:rsid w:val="00FC4F5C"/>
    <w:rsid w:val="00FD054C"/>
    <w:rsid w:val="00FD2057"/>
    <w:rsid w:val="00FD3CBA"/>
    <w:rsid w:val="00FD6A34"/>
    <w:rsid w:val="00FD777A"/>
    <w:rsid w:val="00FD7C82"/>
    <w:rsid w:val="00FE00E9"/>
    <w:rsid w:val="00FE0B2B"/>
    <w:rsid w:val="00FE1BB7"/>
    <w:rsid w:val="00FE2F4F"/>
    <w:rsid w:val="00FE4AF6"/>
    <w:rsid w:val="00FE6576"/>
    <w:rsid w:val="00FE7123"/>
    <w:rsid w:val="00FE7658"/>
    <w:rsid w:val="00FF0D60"/>
    <w:rsid w:val="00FF5080"/>
    <w:rsid w:val="00FF5202"/>
    <w:rsid w:val="00FF705A"/>
    <w:rsid w:val="00FF78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5AD9895-892D-47AE-95F8-0F864AEBE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83A62"/>
    <w:pPr>
      <w:keepNext/>
      <w:keepLines/>
      <w:numPr>
        <w:numId w:val="1"/>
      </w:numPr>
      <w:spacing w:before="480" w:after="0" w:line="240" w:lineRule="auto"/>
      <w:jc w:val="both"/>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083A62"/>
    <w:pPr>
      <w:keepNext/>
      <w:keepLines/>
      <w:numPr>
        <w:ilvl w:val="1"/>
        <w:numId w:val="1"/>
      </w:numPr>
      <w:spacing w:before="200" w:after="240" w:line="240" w:lineRule="auto"/>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224C0"/>
    <w:pPr>
      <w:keepNext/>
      <w:keepLines/>
      <w:numPr>
        <w:ilvl w:val="2"/>
        <w:numId w:val="1"/>
      </w:numPr>
      <w:spacing w:before="200" w:after="240" w:line="240" w:lineRule="auto"/>
      <w:jc w:val="both"/>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083A62"/>
    <w:pPr>
      <w:keepNext/>
      <w:keepLines/>
      <w:numPr>
        <w:ilvl w:val="3"/>
        <w:numId w:val="1"/>
      </w:numPr>
      <w:spacing w:before="200" w:after="240" w:line="240" w:lineRule="auto"/>
      <w:jc w:val="both"/>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7D6564"/>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7D656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rsid w:val="008B0F78"/>
    <w:rPr>
      <w:rFonts w:ascii="Times New Roman" w:eastAsia="Times New Roman" w:hAnsi="Times New Roman" w:cs="Times New Roman"/>
      <w:sz w:val="20"/>
      <w:szCs w:val="20"/>
    </w:rPr>
  </w:style>
  <w:style w:type="character" w:styleId="FootnoteReference">
    <w:name w:val="footnote reference"/>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rsid w:val="00083A6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083A62"/>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nhideWhenUsed/>
    <w:qFormat/>
    <w:rsid w:val="00E92230"/>
    <w:pPr>
      <w:spacing w:line="240" w:lineRule="auto"/>
    </w:pPr>
    <w:rPr>
      <w:b/>
      <w:bCs/>
      <w:color w:val="4F81BD" w:themeColor="accent1"/>
      <w:sz w:val="18"/>
      <w:szCs w:val="18"/>
    </w:rPr>
  </w:style>
  <w:style w:type="character" w:customStyle="1" w:styleId="Heading3Char">
    <w:name w:val="Heading 3 Char"/>
    <w:basedOn w:val="DefaultParagraphFont"/>
    <w:link w:val="Heading3"/>
    <w:rsid w:val="00C224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083A6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7D656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D6A2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iPriority w:val="99"/>
    <w:unhideWhenUsed/>
    <w:rsid w:val="002F2FD0"/>
    <w:rPr>
      <w:sz w:val="16"/>
      <w:szCs w:val="16"/>
    </w:rPr>
  </w:style>
  <w:style w:type="paragraph" w:styleId="CommentText">
    <w:name w:val="annotation text"/>
    <w:basedOn w:val="Normal"/>
    <w:link w:val="CommentTextChar"/>
    <w:uiPriority w:val="99"/>
    <w:semiHidden/>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semiHidden/>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F87C66"/>
    <w:pPr>
      <w:spacing w:before="360" w:after="360"/>
    </w:pPr>
    <w:rPr>
      <w:rFonts w:cstheme="minorHAnsi"/>
      <w:b/>
      <w:bCs/>
      <w:caps/>
      <w:u w:val="single"/>
    </w:rPr>
  </w:style>
  <w:style w:type="paragraph" w:styleId="TOC2">
    <w:name w:val="toc 2"/>
    <w:basedOn w:val="Normal"/>
    <w:next w:val="Normal"/>
    <w:autoRedefine/>
    <w:uiPriority w:val="39"/>
    <w:unhideWhenUsed/>
    <w:rsid w:val="00207E91"/>
    <w:pPr>
      <w:spacing w:after="0"/>
    </w:pPr>
    <w:rPr>
      <w:rFonts w:cstheme="minorHAnsi"/>
      <w:b/>
      <w:bCs/>
      <w:smallCaps/>
    </w:rPr>
  </w:style>
  <w:style w:type="paragraph" w:styleId="TOC3">
    <w:name w:val="toc 3"/>
    <w:basedOn w:val="Normal"/>
    <w:next w:val="Normal"/>
    <w:autoRedefine/>
    <w:uiPriority w:val="39"/>
    <w:unhideWhenUsed/>
    <w:rsid w:val="00A30601"/>
    <w:pPr>
      <w:spacing w:after="0"/>
    </w:pPr>
    <w:rPr>
      <w:rFonts w:cstheme="minorHAnsi"/>
      <w:smallCaps/>
    </w:r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rPr>
      <w:lang w:eastAsia="hr-HR"/>
    </w:r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Default">
    <w:name w:val="Default"/>
    <w:rsid w:val="0000378E"/>
    <w:pPr>
      <w:autoSpaceDE w:val="0"/>
      <w:autoSpaceDN w:val="0"/>
      <w:adjustRightInd w:val="0"/>
      <w:spacing w:after="0" w:line="240" w:lineRule="auto"/>
    </w:pPr>
    <w:rPr>
      <w:rFonts w:ascii="Times New Roman" w:hAnsi="Times New Roman" w:cs="Times New Roman"/>
      <w:color w:val="000000"/>
      <w:sz w:val="24"/>
      <w:szCs w:val="24"/>
    </w:rPr>
  </w:style>
  <w:style w:type="paragraph" w:styleId="Revision">
    <w:name w:val="Revision"/>
    <w:hidden/>
    <w:uiPriority w:val="99"/>
    <w:semiHidden/>
    <w:rsid w:val="0064086E"/>
    <w:pPr>
      <w:spacing w:after="0" w:line="240" w:lineRule="auto"/>
    </w:pPr>
  </w:style>
  <w:style w:type="table" w:styleId="LightGrid-Accent5">
    <w:name w:val="Light Grid Accent 5"/>
    <w:basedOn w:val="TableNormal"/>
    <w:uiPriority w:val="62"/>
    <w:rsid w:val="002169D7"/>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customStyle="1" w:styleId="NASLOV2">
    <w:name w:val="NASLOV 2"/>
    <w:basedOn w:val="Heading2"/>
    <w:qFormat/>
    <w:rsid w:val="00880B58"/>
    <w:pPr>
      <w:numPr>
        <w:ilvl w:val="0"/>
        <w:numId w:val="0"/>
      </w:numPr>
      <w:spacing w:before="0"/>
      <w:ind w:left="578" w:hanging="578"/>
    </w:pPr>
    <w:rPr>
      <w:lang w:eastAsia="hr-HR"/>
    </w:rPr>
  </w:style>
  <w:style w:type="paragraph" w:styleId="TOC4">
    <w:name w:val="toc 4"/>
    <w:basedOn w:val="Normal"/>
    <w:next w:val="Normal"/>
    <w:autoRedefine/>
    <w:uiPriority w:val="39"/>
    <w:unhideWhenUsed/>
    <w:rsid w:val="006D1FCE"/>
    <w:pPr>
      <w:spacing w:after="0"/>
    </w:pPr>
    <w:rPr>
      <w:rFonts w:cstheme="minorHAnsi"/>
    </w:rPr>
  </w:style>
  <w:style w:type="paragraph" w:styleId="TOC5">
    <w:name w:val="toc 5"/>
    <w:basedOn w:val="Normal"/>
    <w:next w:val="Normal"/>
    <w:autoRedefine/>
    <w:uiPriority w:val="39"/>
    <w:unhideWhenUsed/>
    <w:rsid w:val="006D1FCE"/>
    <w:pPr>
      <w:spacing w:after="0"/>
    </w:pPr>
    <w:rPr>
      <w:rFonts w:cstheme="minorHAnsi"/>
    </w:rPr>
  </w:style>
  <w:style w:type="paragraph" w:styleId="TOC6">
    <w:name w:val="toc 6"/>
    <w:basedOn w:val="Normal"/>
    <w:next w:val="Normal"/>
    <w:autoRedefine/>
    <w:uiPriority w:val="39"/>
    <w:unhideWhenUsed/>
    <w:rsid w:val="006D1FCE"/>
    <w:pPr>
      <w:spacing w:after="0"/>
    </w:pPr>
    <w:rPr>
      <w:rFonts w:cstheme="minorHAnsi"/>
    </w:rPr>
  </w:style>
  <w:style w:type="paragraph" w:styleId="TOC7">
    <w:name w:val="toc 7"/>
    <w:basedOn w:val="Normal"/>
    <w:next w:val="Normal"/>
    <w:autoRedefine/>
    <w:uiPriority w:val="39"/>
    <w:unhideWhenUsed/>
    <w:rsid w:val="006D1FCE"/>
    <w:pPr>
      <w:spacing w:after="0"/>
    </w:pPr>
    <w:rPr>
      <w:rFonts w:cstheme="minorHAnsi"/>
    </w:rPr>
  </w:style>
  <w:style w:type="paragraph" w:styleId="TOC8">
    <w:name w:val="toc 8"/>
    <w:basedOn w:val="Normal"/>
    <w:next w:val="Normal"/>
    <w:autoRedefine/>
    <w:uiPriority w:val="39"/>
    <w:unhideWhenUsed/>
    <w:rsid w:val="006D1FCE"/>
    <w:pPr>
      <w:spacing w:after="0"/>
    </w:pPr>
    <w:rPr>
      <w:rFonts w:cstheme="minorHAnsi"/>
    </w:rPr>
  </w:style>
  <w:style w:type="paragraph" w:styleId="TOC9">
    <w:name w:val="toc 9"/>
    <w:basedOn w:val="Normal"/>
    <w:next w:val="Normal"/>
    <w:autoRedefine/>
    <w:uiPriority w:val="39"/>
    <w:unhideWhenUsed/>
    <w:rsid w:val="006D1FCE"/>
    <w:pPr>
      <w:spacing w:after="0"/>
    </w:pPr>
    <w:rPr>
      <w:rFonts w:cstheme="minorHAnsi"/>
    </w:rPr>
  </w:style>
  <w:style w:type="paragraph" w:styleId="NormalWeb">
    <w:name w:val="Normal (Web)"/>
    <w:basedOn w:val="Normal"/>
    <w:uiPriority w:val="99"/>
    <w:semiHidden/>
    <w:unhideWhenUsed/>
    <w:rsid w:val="00CB449F"/>
    <w:pPr>
      <w:spacing w:before="100" w:beforeAutospacing="1" w:after="100" w:afterAutospacing="1" w:line="240" w:lineRule="auto"/>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40961">
      <w:bodyDiv w:val="1"/>
      <w:marLeft w:val="0"/>
      <w:marRight w:val="0"/>
      <w:marTop w:val="0"/>
      <w:marBottom w:val="0"/>
      <w:divBdr>
        <w:top w:val="none" w:sz="0" w:space="0" w:color="auto"/>
        <w:left w:val="none" w:sz="0" w:space="0" w:color="auto"/>
        <w:bottom w:val="none" w:sz="0" w:space="0" w:color="auto"/>
        <w:right w:val="none" w:sz="0" w:space="0" w:color="auto"/>
      </w:divBdr>
    </w:div>
    <w:div w:id="23798604">
      <w:bodyDiv w:val="1"/>
      <w:marLeft w:val="0"/>
      <w:marRight w:val="0"/>
      <w:marTop w:val="0"/>
      <w:marBottom w:val="0"/>
      <w:divBdr>
        <w:top w:val="none" w:sz="0" w:space="0" w:color="auto"/>
        <w:left w:val="none" w:sz="0" w:space="0" w:color="auto"/>
        <w:bottom w:val="none" w:sz="0" w:space="0" w:color="auto"/>
        <w:right w:val="none" w:sz="0" w:space="0" w:color="auto"/>
      </w:divBdr>
    </w:div>
    <w:div w:id="326792253">
      <w:bodyDiv w:val="1"/>
      <w:marLeft w:val="0"/>
      <w:marRight w:val="0"/>
      <w:marTop w:val="0"/>
      <w:marBottom w:val="0"/>
      <w:divBdr>
        <w:top w:val="none" w:sz="0" w:space="0" w:color="auto"/>
        <w:left w:val="none" w:sz="0" w:space="0" w:color="auto"/>
        <w:bottom w:val="none" w:sz="0" w:space="0" w:color="auto"/>
        <w:right w:val="none" w:sz="0" w:space="0" w:color="auto"/>
      </w:divBdr>
    </w:div>
    <w:div w:id="462775583">
      <w:bodyDiv w:val="1"/>
      <w:marLeft w:val="0"/>
      <w:marRight w:val="0"/>
      <w:marTop w:val="0"/>
      <w:marBottom w:val="0"/>
      <w:divBdr>
        <w:top w:val="none" w:sz="0" w:space="0" w:color="auto"/>
        <w:left w:val="none" w:sz="0" w:space="0" w:color="auto"/>
        <w:bottom w:val="none" w:sz="0" w:space="0" w:color="auto"/>
        <w:right w:val="none" w:sz="0" w:space="0" w:color="auto"/>
      </w:divBdr>
    </w:div>
    <w:div w:id="495733683">
      <w:bodyDiv w:val="1"/>
      <w:marLeft w:val="0"/>
      <w:marRight w:val="0"/>
      <w:marTop w:val="0"/>
      <w:marBottom w:val="0"/>
      <w:divBdr>
        <w:top w:val="none" w:sz="0" w:space="0" w:color="auto"/>
        <w:left w:val="none" w:sz="0" w:space="0" w:color="auto"/>
        <w:bottom w:val="none" w:sz="0" w:space="0" w:color="auto"/>
        <w:right w:val="none" w:sz="0" w:space="0" w:color="auto"/>
      </w:divBdr>
      <w:divsChild>
        <w:div w:id="364791593">
          <w:marLeft w:val="706"/>
          <w:marRight w:val="0"/>
          <w:marTop w:val="72"/>
          <w:marBottom w:val="0"/>
          <w:divBdr>
            <w:top w:val="none" w:sz="0" w:space="0" w:color="auto"/>
            <w:left w:val="none" w:sz="0" w:space="0" w:color="auto"/>
            <w:bottom w:val="none" w:sz="0" w:space="0" w:color="auto"/>
            <w:right w:val="none" w:sz="0" w:space="0" w:color="auto"/>
          </w:divBdr>
        </w:div>
      </w:divsChild>
    </w:div>
    <w:div w:id="537855556">
      <w:bodyDiv w:val="1"/>
      <w:marLeft w:val="0"/>
      <w:marRight w:val="0"/>
      <w:marTop w:val="0"/>
      <w:marBottom w:val="0"/>
      <w:divBdr>
        <w:top w:val="none" w:sz="0" w:space="0" w:color="auto"/>
        <w:left w:val="none" w:sz="0" w:space="0" w:color="auto"/>
        <w:bottom w:val="none" w:sz="0" w:space="0" w:color="auto"/>
        <w:right w:val="none" w:sz="0" w:space="0" w:color="auto"/>
      </w:divBdr>
    </w:div>
    <w:div w:id="603802559">
      <w:bodyDiv w:val="1"/>
      <w:marLeft w:val="0"/>
      <w:marRight w:val="0"/>
      <w:marTop w:val="0"/>
      <w:marBottom w:val="0"/>
      <w:divBdr>
        <w:top w:val="none" w:sz="0" w:space="0" w:color="auto"/>
        <w:left w:val="none" w:sz="0" w:space="0" w:color="auto"/>
        <w:bottom w:val="none" w:sz="0" w:space="0" w:color="auto"/>
        <w:right w:val="none" w:sz="0" w:space="0" w:color="auto"/>
      </w:divBdr>
    </w:div>
    <w:div w:id="678889658">
      <w:bodyDiv w:val="1"/>
      <w:marLeft w:val="0"/>
      <w:marRight w:val="0"/>
      <w:marTop w:val="0"/>
      <w:marBottom w:val="0"/>
      <w:divBdr>
        <w:top w:val="none" w:sz="0" w:space="0" w:color="auto"/>
        <w:left w:val="none" w:sz="0" w:space="0" w:color="auto"/>
        <w:bottom w:val="none" w:sz="0" w:space="0" w:color="auto"/>
        <w:right w:val="none" w:sz="0" w:space="0" w:color="auto"/>
      </w:divBdr>
    </w:div>
    <w:div w:id="694577836">
      <w:bodyDiv w:val="1"/>
      <w:marLeft w:val="0"/>
      <w:marRight w:val="0"/>
      <w:marTop w:val="0"/>
      <w:marBottom w:val="0"/>
      <w:divBdr>
        <w:top w:val="none" w:sz="0" w:space="0" w:color="auto"/>
        <w:left w:val="none" w:sz="0" w:space="0" w:color="auto"/>
        <w:bottom w:val="none" w:sz="0" w:space="0" w:color="auto"/>
        <w:right w:val="none" w:sz="0" w:space="0" w:color="auto"/>
      </w:divBdr>
      <w:divsChild>
        <w:div w:id="796879325">
          <w:marLeft w:val="274"/>
          <w:marRight w:val="0"/>
          <w:marTop w:val="0"/>
          <w:marBottom w:val="0"/>
          <w:divBdr>
            <w:top w:val="none" w:sz="0" w:space="0" w:color="auto"/>
            <w:left w:val="none" w:sz="0" w:space="0" w:color="auto"/>
            <w:bottom w:val="none" w:sz="0" w:space="0" w:color="auto"/>
            <w:right w:val="none" w:sz="0" w:space="0" w:color="auto"/>
          </w:divBdr>
        </w:div>
        <w:div w:id="1339967160">
          <w:marLeft w:val="274"/>
          <w:marRight w:val="0"/>
          <w:marTop w:val="0"/>
          <w:marBottom w:val="0"/>
          <w:divBdr>
            <w:top w:val="none" w:sz="0" w:space="0" w:color="auto"/>
            <w:left w:val="none" w:sz="0" w:space="0" w:color="auto"/>
            <w:bottom w:val="none" w:sz="0" w:space="0" w:color="auto"/>
            <w:right w:val="none" w:sz="0" w:space="0" w:color="auto"/>
          </w:divBdr>
        </w:div>
        <w:div w:id="1705666270">
          <w:marLeft w:val="274"/>
          <w:marRight w:val="0"/>
          <w:marTop w:val="0"/>
          <w:marBottom w:val="0"/>
          <w:divBdr>
            <w:top w:val="none" w:sz="0" w:space="0" w:color="auto"/>
            <w:left w:val="none" w:sz="0" w:space="0" w:color="auto"/>
            <w:bottom w:val="none" w:sz="0" w:space="0" w:color="auto"/>
            <w:right w:val="none" w:sz="0" w:space="0" w:color="auto"/>
          </w:divBdr>
        </w:div>
        <w:div w:id="1433817255">
          <w:marLeft w:val="274"/>
          <w:marRight w:val="0"/>
          <w:marTop w:val="0"/>
          <w:marBottom w:val="0"/>
          <w:divBdr>
            <w:top w:val="none" w:sz="0" w:space="0" w:color="auto"/>
            <w:left w:val="none" w:sz="0" w:space="0" w:color="auto"/>
            <w:bottom w:val="none" w:sz="0" w:space="0" w:color="auto"/>
            <w:right w:val="none" w:sz="0" w:space="0" w:color="auto"/>
          </w:divBdr>
        </w:div>
        <w:div w:id="1129934795">
          <w:marLeft w:val="274"/>
          <w:marRight w:val="0"/>
          <w:marTop w:val="0"/>
          <w:marBottom w:val="0"/>
          <w:divBdr>
            <w:top w:val="none" w:sz="0" w:space="0" w:color="auto"/>
            <w:left w:val="none" w:sz="0" w:space="0" w:color="auto"/>
            <w:bottom w:val="none" w:sz="0" w:space="0" w:color="auto"/>
            <w:right w:val="none" w:sz="0" w:space="0" w:color="auto"/>
          </w:divBdr>
        </w:div>
        <w:div w:id="1217085588">
          <w:marLeft w:val="274"/>
          <w:marRight w:val="0"/>
          <w:marTop w:val="0"/>
          <w:marBottom w:val="0"/>
          <w:divBdr>
            <w:top w:val="none" w:sz="0" w:space="0" w:color="auto"/>
            <w:left w:val="none" w:sz="0" w:space="0" w:color="auto"/>
            <w:bottom w:val="none" w:sz="0" w:space="0" w:color="auto"/>
            <w:right w:val="none" w:sz="0" w:space="0" w:color="auto"/>
          </w:divBdr>
        </w:div>
        <w:div w:id="1664747214">
          <w:marLeft w:val="274"/>
          <w:marRight w:val="0"/>
          <w:marTop w:val="0"/>
          <w:marBottom w:val="0"/>
          <w:divBdr>
            <w:top w:val="none" w:sz="0" w:space="0" w:color="auto"/>
            <w:left w:val="none" w:sz="0" w:space="0" w:color="auto"/>
            <w:bottom w:val="none" w:sz="0" w:space="0" w:color="auto"/>
            <w:right w:val="none" w:sz="0" w:space="0" w:color="auto"/>
          </w:divBdr>
        </w:div>
        <w:div w:id="1436749847">
          <w:marLeft w:val="274"/>
          <w:marRight w:val="0"/>
          <w:marTop w:val="0"/>
          <w:marBottom w:val="0"/>
          <w:divBdr>
            <w:top w:val="none" w:sz="0" w:space="0" w:color="auto"/>
            <w:left w:val="none" w:sz="0" w:space="0" w:color="auto"/>
            <w:bottom w:val="none" w:sz="0" w:space="0" w:color="auto"/>
            <w:right w:val="none" w:sz="0" w:space="0" w:color="auto"/>
          </w:divBdr>
        </w:div>
        <w:div w:id="1880778817">
          <w:marLeft w:val="274"/>
          <w:marRight w:val="0"/>
          <w:marTop w:val="0"/>
          <w:marBottom w:val="0"/>
          <w:divBdr>
            <w:top w:val="none" w:sz="0" w:space="0" w:color="auto"/>
            <w:left w:val="none" w:sz="0" w:space="0" w:color="auto"/>
            <w:bottom w:val="none" w:sz="0" w:space="0" w:color="auto"/>
            <w:right w:val="none" w:sz="0" w:space="0" w:color="auto"/>
          </w:divBdr>
        </w:div>
        <w:div w:id="519315289">
          <w:marLeft w:val="274"/>
          <w:marRight w:val="0"/>
          <w:marTop w:val="0"/>
          <w:marBottom w:val="0"/>
          <w:divBdr>
            <w:top w:val="none" w:sz="0" w:space="0" w:color="auto"/>
            <w:left w:val="none" w:sz="0" w:space="0" w:color="auto"/>
            <w:bottom w:val="none" w:sz="0" w:space="0" w:color="auto"/>
            <w:right w:val="none" w:sz="0" w:space="0" w:color="auto"/>
          </w:divBdr>
        </w:div>
        <w:div w:id="94332214">
          <w:marLeft w:val="274"/>
          <w:marRight w:val="0"/>
          <w:marTop w:val="0"/>
          <w:marBottom w:val="0"/>
          <w:divBdr>
            <w:top w:val="none" w:sz="0" w:space="0" w:color="auto"/>
            <w:left w:val="none" w:sz="0" w:space="0" w:color="auto"/>
            <w:bottom w:val="none" w:sz="0" w:space="0" w:color="auto"/>
            <w:right w:val="none" w:sz="0" w:space="0" w:color="auto"/>
          </w:divBdr>
        </w:div>
        <w:div w:id="185950057">
          <w:marLeft w:val="274"/>
          <w:marRight w:val="0"/>
          <w:marTop w:val="0"/>
          <w:marBottom w:val="0"/>
          <w:divBdr>
            <w:top w:val="none" w:sz="0" w:space="0" w:color="auto"/>
            <w:left w:val="none" w:sz="0" w:space="0" w:color="auto"/>
            <w:bottom w:val="none" w:sz="0" w:space="0" w:color="auto"/>
            <w:right w:val="none" w:sz="0" w:space="0" w:color="auto"/>
          </w:divBdr>
        </w:div>
        <w:div w:id="1045983067">
          <w:marLeft w:val="274"/>
          <w:marRight w:val="0"/>
          <w:marTop w:val="0"/>
          <w:marBottom w:val="0"/>
          <w:divBdr>
            <w:top w:val="none" w:sz="0" w:space="0" w:color="auto"/>
            <w:left w:val="none" w:sz="0" w:space="0" w:color="auto"/>
            <w:bottom w:val="none" w:sz="0" w:space="0" w:color="auto"/>
            <w:right w:val="none" w:sz="0" w:space="0" w:color="auto"/>
          </w:divBdr>
        </w:div>
        <w:div w:id="404956067">
          <w:marLeft w:val="274"/>
          <w:marRight w:val="0"/>
          <w:marTop w:val="0"/>
          <w:marBottom w:val="0"/>
          <w:divBdr>
            <w:top w:val="none" w:sz="0" w:space="0" w:color="auto"/>
            <w:left w:val="none" w:sz="0" w:space="0" w:color="auto"/>
            <w:bottom w:val="none" w:sz="0" w:space="0" w:color="auto"/>
            <w:right w:val="none" w:sz="0" w:space="0" w:color="auto"/>
          </w:divBdr>
        </w:div>
      </w:divsChild>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07872729">
      <w:bodyDiv w:val="1"/>
      <w:marLeft w:val="0"/>
      <w:marRight w:val="0"/>
      <w:marTop w:val="0"/>
      <w:marBottom w:val="0"/>
      <w:divBdr>
        <w:top w:val="none" w:sz="0" w:space="0" w:color="auto"/>
        <w:left w:val="none" w:sz="0" w:space="0" w:color="auto"/>
        <w:bottom w:val="none" w:sz="0" w:space="0" w:color="auto"/>
        <w:right w:val="none" w:sz="0" w:space="0" w:color="auto"/>
      </w:divBdr>
    </w:div>
    <w:div w:id="762796264">
      <w:bodyDiv w:val="1"/>
      <w:marLeft w:val="0"/>
      <w:marRight w:val="0"/>
      <w:marTop w:val="0"/>
      <w:marBottom w:val="0"/>
      <w:divBdr>
        <w:top w:val="none" w:sz="0" w:space="0" w:color="auto"/>
        <w:left w:val="none" w:sz="0" w:space="0" w:color="auto"/>
        <w:bottom w:val="none" w:sz="0" w:space="0" w:color="auto"/>
        <w:right w:val="none" w:sz="0" w:space="0" w:color="auto"/>
      </w:divBdr>
    </w:div>
    <w:div w:id="856501352">
      <w:bodyDiv w:val="1"/>
      <w:marLeft w:val="0"/>
      <w:marRight w:val="0"/>
      <w:marTop w:val="0"/>
      <w:marBottom w:val="0"/>
      <w:divBdr>
        <w:top w:val="none" w:sz="0" w:space="0" w:color="auto"/>
        <w:left w:val="none" w:sz="0" w:space="0" w:color="auto"/>
        <w:bottom w:val="none" w:sz="0" w:space="0" w:color="auto"/>
        <w:right w:val="none" w:sz="0" w:space="0" w:color="auto"/>
      </w:divBdr>
    </w:div>
    <w:div w:id="954601700">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141727029">
      <w:bodyDiv w:val="1"/>
      <w:marLeft w:val="0"/>
      <w:marRight w:val="0"/>
      <w:marTop w:val="0"/>
      <w:marBottom w:val="0"/>
      <w:divBdr>
        <w:top w:val="none" w:sz="0" w:space="0" w:color="auto"/>
        <w:left w:val="none" w:sz="0" w:space="0" w:color="auto"/>
        <w:bottom w:val="none" w:sz="0" w:space="0" w:color="auto"/>
        <w:right w:val="none" w:sz="0" w:space="0" w:color="auto"/>
      </w:divBdr>
    </w:div>
    <w:div w:id="1319458295">
      <w:bodyDiv w:val="1"/>
      <w:marLeft w:val="0"/>
      <w:marRight w:val="0"/>
      <w:marTop w:val="0"/>
      <w:marBottom w:val="0"/>
      <w:divBdr>
        <w:top w:val="none" w:sz="0" w:space="0" w:color="auto"/>
        <w:left w:val="none" w:sz="0" w:space="0" w:color="auto"/>
        <w:bottom w:val="none" w:sz="0" w:space="0" w:color="auto"/>
        <w:right w:val="none" w:sz="0" w:space="0" w:color="auto"/>
      </w:divBdr>
    </w:div>
    <w:div w:id="1336952509">
      <w:bodyDiv w:val="1"/>
      <w:marLeft w:val="0"/>
      <w:marRight w:val="0"/>
      <w:marTop w:val="0"/>
      <w:marBottom w:val="0"/>
      <w:divBdr>
        <w:top w:val="none" w:sz="0" w:space="0" w:color="auto"/>
        <w:left w:val="none" w:sz="0" w:space="0" w:color="auto"/>
        <w:bottom w:val="none" w:sz="0" w:space="0" w:color="auto"/>
        <w:right w:val="none" w:sz="0" w:space="0" w:color="auto"/>
      </w:divBdr>
    </w:div>
    <w:div w:id="1396464603">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714188773">
      <w:bodyDiv w:val="1"/>
      <w:marLeft w:val="0"/>
      <w:marRight w:val="0"/>
      <w:marTop w:val="0"/>
      <w:marBottom w:val="0"/>
      <w:divBdr>
        <w:top w:val="none" w:sz="0" w:space="0" w:color="auto"/>
        <w:left w:val="none" w:sz="0" w:space="0" w:color="auto"/>
        <w:bottom w:val="none" w:sz="0" w:space="0" w:color="auto"/>
        <w:right w:val="none" w:sz="0" w:space="0" w:color="auto"/>
      </w:divBdr>
    </w:div>
    <w:div w:id="1806002656">
      <w:bodyDiv w:val="1"/>
      <w:marLeft w:val="0"/>
      <w:marRight w:val="0"/>
      <w:marTop w:val="0"/>
      <w:marBottom w:val="0"/>
      <w:divBdr>
        <w:top w:val="none" w:sz="0" w:space="0" w:color="auto"/>
        <w:left w:val="none" w:sz="0" w:space="0" w:color="auto"/>
        <w:bottom w:val="none" w:sz="0" w:space="0" w:color="auto"/>
        <w:right w:val="none" w:sz="0" w:space="0" w:color="auto"/>
      </w:divBdr>
    </w:div>
    <w:div w:id="1819809297">
      <w:bodyDiv w:val="1"/>
      <w:marLeft w:val="0"/>
      <w:marRight w:val="0"/>
      <w:marTop w:val="0"/>
      <w:marBottom w:val="0"/>
      <w:divBdr>
        <w:top w:val="none" w:sz="0" w:space="0" w:color="auto"/>
        <w:left w:val="none" w:sz="0" w:space="0" w:color="auto"/>
        <w:bottom w:val="none" w:sz="0" w:space="0" w:color="auto"/>
        <w:right w:val="none" w:sz="0" w:space="0" w:color="auto"/>
      </w:divBdr>
    </w:div>
    <w:div w:id="1852449734">
      <w:bodyDiv w:val="1"/>
      <w:marLeft w:val="0"/>
      <w:marRight w:val="0"/>
      <w:marTop w:val="0"/>
      <w:marBottom w:val="0"/>
      <w:divBdr>
        <w:top w:val="none" w:sz="0" w:space="0" w:color="auto"/>
        <w:left w:val="none" w:sz="0" w:space="0" w:color="auto"/>
        <w:bottom w:val="none" w:sz="0" w:space="0" w:color="auto"/>
        <w:right w:val="none" w:sz="0" w:space="0" w:color="auto"/>
      </w:divBdr>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1976791638">
      <w:bodyDiv w:val="1"/>
      <w:marLeft w:val="0"/>
      <w:marRight w:val="0"/>
      <w:marTop w:val="0"/>
      <w:marBottom w:val="0"/>
      <w:divBdr>
        <w:top w:val="none" w:sz="0" w:space="0" w:color="auto"/>
        <w:left w:val="none" w:sz="0" w:space="0" w:color="auto"/>
        <w:bottom w:val="none" w:sz="0" w:space="0" w:color="auto"/>
        <w:right w:val="none" w:sz="0" w:space="0" w:color="auto"/>
      </w:divBdr>
      <w:divsChild>
        <w:div w:id="434522238">
          <w:marLeft w:val="0"/>
          <w:marRight w:val="0"/>
          <w:marTop w:val="0"/>
          <w:marBottom w:val="0"/>
          <w:divBdr>
            <w:top w:val="none" w:sz="0" w:space="0" w:color="auto"/>
            <w:left w:val="none" w:sz="0" w:space="0" w:color="auto"/>
            <w:bottom w:val="none" w:sz="0" w:space="0" w:color="auto"/>
            <w:right w:val="none" w:sz="0" w:space="0" w:color="auto"/>
          </w:divBdr>
        </w:div>
        <w:div w:id="471674117">
          <w:marLeft w:val="0"/>
          <w:marRight w:val="0"/>
          <w:marTop w:val="0"/>
          <w:marBottom w:val="0"/>
          <w:divBdr>
            <w:top w:val="none" w:sz="0" w:space="0" w:color="auto"/>
            <w:left w:val="none" w:sz="0" w:space="0" w:color="auto"/>
            <w:bottom w:val="none" w:sz="0" w:space="0" w:color="auto"/>
            <w:right w:val="none" w:sz="0" w:space="0" w:color="auto"/>
          </w:divBdr>
        </w:div>
        <w:div w:id="936447449">
          <w:marLeft w:val="0"/>
          <w:marRight w:val="0"/>
          <w:marTop w:val="0"/>
          <w:marBottom w:val="0"/>
          <w:divBdr>
            <w:top w:val="none" w:sz="0" w:space="0" w:color="auto"/>
            <w:left w:val="none" w:sz="0" w:space="0" w:color="auto"/>
            <w:bottom w:val="none" w:sz="0" w:space="0" w:color="auto"/>
            <w:right w:val="none" w:sz="0" w:space="0" w:color="auto"/>
          </w:divBdr>
        </w:div>
        <w:div w:id="1364212716">
          <w:marLeft w:val="0"/>
          <w:marRight w:val="0"/>
          <w:marTop w:val="0"/>
          <w:marBottom w:val="0"/>
          <w:divBdr>
            <w:top w:val="none" w:sz="0" w:space="0" w:color="auto"/>
            <w:left w:val="none" w:sz="0" w:space="0" w:color="auto"/>
            <w:bottom w:val="none" w:sz="0" w:space="0" w:color="auto"/>
            <w:right w:val="none" w:sz="0" w:space="0" w:color="auto"/>
          </w:divBdr>
        </w:div>
        <w:div w:id="1580869121">
          <w:marLeft w:val="0"/>
          <w:marRight w:val="0"/>
          <w:marTop w:val="0"/>
          <w:marBottom w:val="0"/>
          <w:divBdr>
            <w:top w:val="none" w:sz="0" w:space="0" w:color="auto"/>
            <w:left w:val="none" w:sz="0" w:space="0" w:color="auto"/>
            <w:bottom w:val="none" w:sz="0" w:space="0" w:color="auto"/>
            <w:right w:val="none" w:sz="0" w:space="0" w:color="auto"/>
          </w:divBdr>
        </w:div>
        <w:div w:id="364185677">
          <w:marLeft w:val="0"/>
          <w:marRight w:val="0"/>
          <w:marTop w:val="0"/>
          <w:marBottom w:val="0"/>
          <w:divBdr>
            <w:top w:val="none" w:sz="0" w:space="0" w:color="auto"/>
            <w:left w:val="none" w:sz="0" w:space="0" w:color="auto"/>
            <w:bottom w:val="none" w:sz="0" w:space="0" w:color="auto"/>
            <w:right w:val="none" w:sz="0" w:space="0" w:color="auto"/>
          </w:divBdr>
        </w:div>
        <w:div w:id="1823738405">
          <w:marLeft w:val="0"/>
          <w:marRight w:val="0"/>
          <w:marTop w:val="0"/>
          <w:marBottom w:val="0"/>
          <w:divBdr>
            <w:top w:val="none" w:sz="0" w:space="0" w:color="auto"/>
            <w:left w:val="none" w:sz="0" w:space="0" w:color="auto"/>
            <w:bottom w:val="none" w:sz="0" w:space="0" w:color="auto"/>
            <w:right w:val="none" w:sz="0" w:space="0" w:color="auto"/>
          </w:divBdr>
        </w:div>
        <w:div w:id="1072696338">
          <w:marLeft w:val="0"/>
          <w:marRight w:val="0"/>
          <w:marTop w:val="0"/>
          <w:marBottom w:val="0"/>
          <w:divBdr>
            <w:top w:val="none" w:sz="0" w:space="0" w:color="auto"/>
            <w:left w:val="none" w:sz="0" w:space="0" w:color="auto"/>
            <w:bottom w:val="none" w:sz="0" w:space="0" w:color="auto"/>
            <w:right w:val="none" w:sz="0" w:space="0" w:color="auto"/>
          </w:divBdr>
        </w:div>
        <w:div w:id="707611666">
          <w:marLeft w:val="0"/>
          <w:marRight w:val="0"/>
          <w:marTop w:val="0"/>
          <w:marBottom w:val="0"/>
          <w:divBdr>
            <w:top w:val="none" w:sz="0" w:space="0" w:color="auto"/>
            <w:left w:val="none" w:sz="0" w:space="0" w:color="auto"/>
            <w:bottom w:val="none" w:sz="0" w:space="0" w:color="auto"/>
            <w:right w:val="none" w:sz="0" w:space="0" w:color="auto"/>
          </w:divBdr>
        </w:div>
        <w:div w:id="1625885482">
          <w:marLeft w:val="0"/>
          <w:marRight w:val="0"/>
          <w:marTop w:val="0"/>
          <w:marBottom w:val="0"/>
          <w:divBdr>
            <w:top w:val="none" w:sz="0" w:space="0" w:color="auto"/>
            <w:left w:val="none" w:sz="0" w:space="0" w:color="auto"/>
            <w:bottom w:val="none" w:sz="0" w:space="0" w:color="auto"/>
            <w:right w:val="none" w:sz="0" w:space="0" w:color="auto"/>
          </w:divBdr>
        </w:div>
        <w:div w:id="1113209483">
          <w:marLeft w:val="0"/>
          <w:marRight w:val="0"/>
          <w:marTop w:val="0"/>
          <w:marBottom w:val="0"/>
          <w:divBdr>
            <w:top w:val="none" w:sz="0" w:space="0" w:color="auto"/>
            <w:left w:val="none" w:sz="0" w:space="0" w:color="auto"/>
            <w:bottom w:val="none" w:sz="0" w:space="0" w:color="auto"/>
            <w:right w:val="none" w:sz="0" w:space="0" w:color="auto"/>
          </w:divBdr>
        </w:div>
        <w:div w:id="1825512093">
          <w:marLeft w:val="0"/>
          <w:marRight w:val="0"/>
          <w:marTop w:val="0"/>
          <w:marBottom w:val="0"/>
          <w:divBdr>
            <w:top w:val="none" w:sz="0" w:space="0" w:color="auto"/>
            <w:left w:val="none" w:sz="0" w:space="0" w:color="auto"/>
            <w:bottom w:val="none" w:sz="0" w:space="0" w:color="auto"/>
            <w:right w:val="none" w:sz="0" w:space="0" w:color="auto"/>
          </w:divBdr>
        </w:div>
        <w:div w:id="90013134">
          <w:marLeft w:val="0"/>
          <w:marRight w:val="0"/>
          <w:marTop w:val="0"/>
          <w:marBottom w:val="0"/>
          <w:divBdr>
            <w:top w:val="none" w:sz="0" w:space="0" w:color="auto"/>
            <w:left w:val="none" w:sz="0" w:space="0" w:color="auto"/>
            <w:bottom w:val="none" w:sz="0" w:space="0" w:color="auto"/>
            <w:right w:val="none" w:sz="0" w:space="0" w:color="auto"/>
          </w:divBdr>
        </w:div>
        <w:div w:id="1891262153">
          <w:marLeft w:val="0"/>
          <w:marRight w:val="0"/>
          <w:marTop w:val="0"/>
          <w:marBottom w:val="0"/>
          <w:divBdr>
            <w:top w:val="none" w:sz="0" w:space="0" w:color="auto"/>
            <w:left w:val="none" w:sz="0" w:space="0" w:color="auto"/>
            <w:bottom w:val="none" w:sz="0" w:space="0" w:color="auto"/>
            <w:right w:val="none" w:sz="0" w:space="0" w:color="auto"/>
          </w:divBdr>
        </w:div>
        <w:div w:id="1492600422">
          <w:marLeft w:val="0"/>
          <w:marRight w:val="0"/>
          <w:marTop w:val="0"/>
          <w:marBottom w:val="0"/>
          <w:divBdr>
            <w:top w:val="none" w:sz="0" w:space="0" w:color="auto"/>
            <w:left w:val="none" w:sz="0" w:space="0" w:color="auto"/>
            <w:bottom w:val="none" w:sz="0" w:space="0" w:color="auto"/>
            <w:right w:val="none" w:sz="0" w:space="0" w:color="auto"/>
          </w:divBdr>
        </w:div>
        <w:div w:id="1252591534">
          <w:marLeft w:val="0"/>
          <w:marRight w:val="0"/>
          <w:marTop w:val="0"/>
          <w:marBottom w:val="0"/>
          <w:divBdr>
            <w:top w:val="none" w:sz="0" w:space="0" w:color="auto"/>
            <w:left w:val="none" w:sz="0" w:space="0" w:color="auto"/>
            <w:bottom w:val="none" w:sz="0" w:space="0" w:color="auto"/>
            <w:right w:val="none" w:sz="0" w:space="0" w:color="auto"/>
          </w:divBdr>
        </w:div>
        <w:div w:id="558371299">
          <w:marLeft w:val="0"/>
          <w:marRight w:val="0"/>
          <w:marTop w:val="0"/>
          <w:marBottom w:val="0"/>
          <w:divBdr>
            <w:top w:val="none" w:sz="0" w:space="0" w:color="auto"/>
            <w:left w:val="none" w:sz="0" w:space="0" w:color="auto"/>
            <w:bottom w:val="none" w:sz="0" w:space="0" w:color="auto"/>
            <w:right w:val="none" w:sz="0" w:space="0" w:color="auto"/>
          </w:divBdr>
        </w:div>
        <w:div w:id="1028214383">
          <w:marLeft w:val="0"/>
          <w:marRight w:val="0"/>
          <w:marTop w:val="0"/>
          <w:marBottom w:val="0"/>
          <w:divBdr>
            <w:top w:val="none" w:sz="0" w:space="0" w:color="auto"/>
            <w:left w:val="none" w:sz="0" w:space="0" w:color="auto"/>
            <w:bottom w:val="none" w:sz="0" w:space="0" w:color="auto"/>
            <w:right w:val="none" w:sz="0" w:space="0" w:color="auto"/>
          </w:divBdr>
        </w:div>
        <w:div w:id="392654525">
          <w:marLeft w:val="0"/>
          <w:marRight w:val="0"/>
          <w:marTop w:val="0"/>
          <w:marBottom w:val="0"/>
          <w:divBdr>
            <w:top w:val="none" w:sz="0" w:space="0" w:color="auto"/>
            <w:left w:val="none" w:sz="0" w:space="0" w:color="auto"/>
            <w:bottom w:val="none" w:sz="0" w:space="0" w:color="auto"/>
            <w:right w:val="none" w:sz="0" w:space="0" w:color="auto"/>
          </w:divBdr>
        </w:div>
        <w:div w:id="1958948580">
          <w:marLeft w:val="0"/>
          <w:marRight w:val="0"/>
          <w:marTop w:val="0"/>
          <w:marBottom w:val="0"/>
          <w:divBdr>
            <w:top w:val="none" w:sz="0" w:space="0" w:color="auto"/>
            <w:left w:val="none" w:sz="0" w:space="0" w:color="auto"/>
            <w:bottom w:val="none" w:sz="0" w:space="0" w:color="auto"/>
            <w:right w:val="none" w:sz="0" w:space="0" w:color="auto"/>
          </w:divBdr>
        </w:div>
        <w:div w:id="1865360900">
          <w:marLeft w:val="0"/>
          <w:marRight w:val="0"/>
          <w:marTop w:val="0"/>
          <w:marBottom w:val="0"/>
          <w:divBdr>
            <w:top w:val="none" w:sz="0" w:space="0" w:color="auto"/>
            <w:left w:val="none" w:sz="0" w:space="0" w:color="auto"/>
            <w:bottom w:val="none" w:sz="0" w:space="0" w:color="auto"/>
            <w:right w:val="none" w:sz="0" w:space="0" w:color="auto"/>
          </w:divBdr>
        </w:div>
        <w:div w:id="1917859093">
          <w:marLeft w:val="0"/>
          <w:marRight w:val="0"/>
          <w:marTop w:val="0"/>
          <w:marBottom w:val="0"/>
          <w:divBdr>
            <w:top w:val="none" w:sz="0" w:space="0" w:color="auto"/>
            <w:left w:val="none" w:sz="0" w:space="0" w:color="auto"/>
            <w:bottom w:val="none" w:sz="0" w:space="0" w:color="auto"/>
            <w:right w:val="none" w:sz="0" w:space="0" w:color="auto"/>
          </w:divBdr>
        </w:div>
        <w:div w:id="1899123708">
          <w:marLeft w:val="0"/>
          <w:marRight w:val="0"/>
          <w:marTop w:val="0"/>
          <w:marBottom w:val="0"/>
          <w:divBdr>
            <w:top w:val="none" w:sz="0" w:space="0" w:color="auto"/>
            <w:left w:val="none" w:sz="0" w:space="0" w:color="auto"/>
            <w:bottom w:val="none" w:sz="0" w:space="0" w:color="auto"/>
            <w:right w:val="none" w:sz="0" w:space="0" w:color="auto"/>
          </w:divBdr>
        </w:div>
        <w:div w:id="2082946948">
          <w:marLeft w:val="0"/>
          <w:marRight w:val="0"/>
          <w:marTop w:val="0"/>
          <w:marBottom w:val="0"/>
          <w:divBdr>
            <w:top w:val="none" w:sz="0" w:space="0" w:color="auto"/>
            <w:left w:val="none" w:sz="0" w:space="0" w:color="auto"/>
            <w:bottom w:val="none" w:sz="0" w:space="0" w:color="auto"/>
            <w:right w:val="none" w:sz="0" w:space="0" w:color="auto"/>
          </w:divBdr>
        </w:div>
        <w:div w:id="1288198146">
          <w:marLeft w:val="0"/>
          <w:marRight w:val="0"/>
          <w:marTop w:val="0"/>
          <w:marBottom w:val="0"/>
          <w:divBdr>
            <w:top w:val="none" w:sz="0" w:space="0" w:color="auto"/>
            <w:left w:val="none" w:sz="0" w:space="0" w:color="auto"/>
            <w:bottom w:val="none" w:sz="0" w:space="0" w:color="auto"/>
            <w:right w:val="none" w:sz="0" w:space="0" w:color="auto"/>
          </w:divBdr>
        </w:div>
        <w:div w:id="1412388567">
          <w:marLeft w:val="0"/>
          <w:marRight w:val="0"/>
          <w:marTop w:val="0"/>
          <w:marBottom w:val="0"/>
          <w:divBdr>
            <w:top w:val="none" w:sz="0" w:space="0" w:color="auto"/>
            <w:left w:val="none" w:sz="0" w:space="0" w:color="auto"/>
            <w:bottom w:val="none" w:sz="0" w:space="0" w:color="auto"/>
            <w:right w:val="none" w:sz="0" w:space="0" w:color="auto"/>
          </w:divBdr>
        </w:div>
        <w:div w:id="677273243">
          <w:marLeft w:val="0"/>
          <w:marRight w:val="0"/>
          <w:marTop w:val="0"/>
          <w:marBottom w:val="0"/>
          <w:divBdr>
            <w:top w:val="none" w:sz="0" w:space="0" w:color="auto"/>
            <w:left w:val="none" w:sz="0" w:space="0" w:color="auto"/>
            <w:bottom w:val="none" w:sz="0" w:space="0" w:color="auto"/>
            <w:right w:val="none" w:sz="0" w:space="0" w:color="auto"/>
          </w:divBdr>
        </w:div>
        <w:div w:id="2111922660">
          <w:marLeft w:val="0"/>
          <w:marRight w:val="0"/>
          <w:marTop w:val="0"/>
          <w:marBottom w:val="0"/>
          <w:divBdr>
            <w:top w:val="none" w:sz="0" w:space="0" w:color="auto"/>
            <w:left w:val="none" w:sz="0" w:space="0" w:color="auto"/>
            <w:bottom w:val="none" w:sz="0" w:space="0" w:color="auto"/>
            <w:right w:val="none" w:sz="0" w:space="0" w:color="auto"/>
          </w:divBdr>
        </w:div>
        <w:div w:id="293877056">
          <w:marLeft w:val="0"/>
          <w:marRight w:val="0"/>
          <w:marTop w:val="0"/>
          <w:marBottom w:val="0"/>
          <w:divBdr>
            <w:top w:val="none" w:sz="0" w:space="0" w:color="auto"/>
            <w:left w:val="none" w:sz="0" w:space="0" w:color="auto"/>
            <w:bottom w:val="none" w:sz="0" w:space="0" w:color="auto"/>
            <w:right w:val="none" w:sz="0" w:space="0" w:color="auto"/>
          </w:divBdr>
        </w:div>
        <w:div w:id="2019767523">
          <w:marLeft w:val="0"/>
          <w:marRight w:val="0"/>
          <w:marTop w:val="0"/>
          <w:marBottom w:val="0"/>
          <w:divBdr>
            <w:top w:val="none" w:sz="0" w:space="0" w:color="auto"/>
            <w:left w:val="none" w:sz="0" w:space="0" w:color="auto"/>
            <w:bottom w:val="none" w:sz="0" w:space="0" w:color="auto"/>
            <w:right w:val="none" w:sz="0" w:space="0" w:color="auto"/>
          </w:divBdr>
        </w:div>
      </w:divsChild>
    </w:div>
    <w:div w:id="2040813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hakom.hr/UserDocsImages/2018/odluke_rjesenja_presude/Odluka-%20Uvjeti%20IP%20me&#273;upovezivanja_20180206_v%201.0.pdf" TargetMode="External"/><Relationship Id="rId26"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www.hakom.hr/UserDocsImages/2017/odluke_rjesenja_presude/Odluka-%20izmjena%20Analize%2020171114_v%201.0.pdf" TargetMode="External"/><Relationship Id="rId25"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hyperlink" Target="https://www.hakom.hr/UserDocsImages/2016/odluke_rjesenja_presude/1_Odluka-OPR-MTR%20od%201.7.2017._kona&#269;na%20odluka-20160914.pdf" TargetMode="External"/><Relationship Id="rId20" Type="http://schemas.openxmlformats.org/officeDocument/2006/relationships/chart" Target="charts/chart1.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5.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hakom.hr/UserDocsImages/2015/odluke_rjesenja_presude/Dokument-Analiza%20tr&#382;i&#353;ta%20zavr&#353;avanja%20glasovnih%20poziva%20u%20vl.mob.%20mre&#382;u-M2%202014-%2020150330.pdf" TargetMode="External"/><Relationship Id="rId23" Type="http://schemas.openxmlformats.org/officeDocument/2006/relationships/chart" Target="charts/chart4.xml"/><Relationship Id="rId28" Type="http://schemas.openxmlformats.org/officeDocument/2006/relationships/image" Target="media/image4.png"/><Relationship Id="rId10" Type="http://schemas.openxmlformats.org/officeDocument/2006/relationships/image" Target="media/image3.wmf"/><Relationship Id="rId19" Type="http://schemas.openxmlformats.org/officeDocument/2006/relationships/hyperlink" Target="https://www.hakom.hr/UserDocsImages/2018/odluke_rjesenja_presude/Rjesenje-Terrakom-Tele2-EU%20pozivi-20180511.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hakom.hr/UserDocsImages/2015/odluke_rjesenja_presude/Odluka-%20Analiza%20tr&#382;i&#353;ta%20M2%202014-20150330.pdf" TargetMode="Externa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footer" Target="footer4.xml"/></Relationships>
</file>

<file path=word/_rels/footnotes.xml.rels><?xml version="1.0" encoding="UTF-8" standalone="yes"?>
<Relationships xmlns="http://schemas.openxmlformats.org/package/2006/relationships"><Relationship Id="rId1" Type="http://schemas.openxmlformats.org/officeDocument/2006/relationships/hyperlink" Target="http://ec.europa.eu/information_society/newsroom/cf/dae/document.cfm?doc_id=705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D:\udjeli%20M2.xlsx"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7.011111111111111E-2"/>
                  <c:y val="-5.55555555555556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6.0999999999999999E-2"/>
                  <c:y val="-5.5555555555555552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6.099999999999995E-2"/>
                  <c:y val="-5.5555555555555552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6.0999999999999999E-2"/>
                  <c:y val="-5.5555555555555552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3.8777777777777779E-2"/>
                  <c:y val="-5.0925925925925923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3.59999999999999E-2"/>
                  <c:y val="-4.1666666666666664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2.8220472440944881E-2"/>
                  <c:y val="-3.2407407407407406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'Gustoća i popul.pokrivenost'!$B$3:$H$3</c:f>
              <c:strCache>
                <c:ptCount val="7"/>
                <c:pt idx="0">
                  <c:v>2014/2</c:v>
                </c:pt>
                <c:pt idx="1">
                  <c:v>2015/1</c:v>
                </c:pt>
                <c:pt idx="2">
                  <c:v>2015/2</c:v>
                </c:pt>
                <c:pt idx="3">
                  <c:v>2016/1</c:v>
                </c:pt>
                <c:pt idx="4">
                  <c:v>2016/2</c:v>
                </c:pt>
                <c:pt idx="5">
                  <c:v>2017/1</c:v>
                </c:pt>
                <c:pt idx="6">
                  <c:v>2017/2</c:v>
                </c:pt>
              </c:strCache>
            </c:strRef>
          </c:cat>
          <c:val>
            <c:numRef>
              <c:f>'Gustoća i popul.pokrivenost'!$B$4:$H$4</c:f>
              <c:numCache>
                <c:formatCode>0.00%</c:formatCode>
                <c:ptCount val="7"/>
                <c:pt idx="0">
                  <c:v>1.041182630401861</c:v>
                </c:pt>
                <c:pt idx="1">
                  <c:v>1.0396808412073217</c:v>
                </c:pt>
                <c:pt idx="2">
                  <c:v>1.0305191102966729</c:v>
                </c:pt>
                <c:pt idx="3">
                  <c:v>1.0385167503755639</c:v>
                </c:pt>
                <c:pt idx="4">
                  <c:v>1.0302126846226356</c:v>
                </c:pt>
                <c:pt idx="5">
                  <c:v>1.0117062542343571</c:v>
                </c:pt>
                <c:pt idx="6">
                  <c:v>1.0071626126137689</c:v>
                </c:pt>
              </c:numCache>
            </c:numRef>
          </c:val>
          <c:smooth val="0"/>
        </c:ser>
        <c:dLbls>
          <c:dLblPos val="ctr"/>
          <c:showLegendKey val="0"/>
          <c:showVal val="1"/>
          <c:showCatName val="0"/>
          <c:showSerName val="0"/>
          <c:showPercent val="0"/>
          <c:showBubbleSize val="0"/>
        </c:dLbls>
        <c:smooth val="0"/>
        <c:axId val="-356761520"/>
        <c:axId val="-356765872"/>
      </c:lineChart>
      <c:catAx>
        <c:axId val="-35676152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65872"/>
        <c:crosses val="autoZero"/>
        <c:auto val="1"/>
        <c:lblAlgn val="ctr"/>
        <c:lblOffset val="100"/>
        <c:noMultiLvlLbl val="0"/>
      </c:catAx>
      <c:valAx>
        <c:axId val="-3567658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61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9121122375749243E-2"/>
          <c:y val="3.9494470774091628E-2"/>
          <c:w val="0.87734443175347621"/>
          <c:h val="0.77459168314861115"/>
        </c:manualLayout>
      </c:layout>
      <c:bar3DChart>
        <c:barDir val="col"/>
        <c:grouping val="stacked"/>
        <c:varyColors val="0"/>
        <c:ser>
          <c:idx val="0"/>
          <c:order val="0"/>
          <c:tx>
            <c:strRef>
              <c:f>'pre-post-paid-odnos'!$B$21</c:f>
              <c:strCache>
                <c:ptCount val="1"/>
                <c:pt idx="0">
                  <c:v>prepaid</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'pre-post-paid-odnos'!$C$20:$I$20</c:f>
              <c:strCache>
                <c:ptCount val="7"/>
                <c:pt idx="0">
                  <c:v>2014/2</c:v>
                </c:pt>
                <c:pt idx="1">
                  <c:v>2015/1</c:v>
                </c:pt>
                <c:pt idx="2">
                  <c:v>2015/2</c:v>
                </c:pt>
                <c:pt idx="3">
                  <c:v>2016/1</c:v>
                </c:pt>
                <c:pt idx="4">
                  <c:v>2016/2</c:v>
                </c:pt>
                <c:pt idx="5">
                  <c:v>2017/1</c:v>
                </c:pt>
                <c:pt idx="6">
                  <c:v>2017/2</c:v>
                </c:pt>
              </c:strCache>
            </c:strRef>
          </c:cat>
          <c:val>
            <c:numRef>
              <c:f>'pre-post-paid-odnos'!$C$21:$I$21</c:f>
              <c:numCache>
                <c:formatCode>0.00%</c:formatCode>
                <c:ptCount val="7"/>
                <c:pt idx="0">
                  <c:v>0.55472713204427715</c:v>
                </c:pt>
                <c:pt idx="1">
                  <c:v>0.54584548952906264</c:v>
                </c:pt>
                <c:pt idx="2">
                  <c:v>0.53570474176000871</c:v>
                </c:pt>
                <c:pt idx="3">
                  <c:v>0.52975541856959962</c:v>
                </c:pt>
                <c:pt idx="4">
                  <c:v>0.51830497240022133</c:v>
                </c:pt>
                <c:pt idx="5">
                  <c:v>0.52104070795970236</c:v>
                </c:pt>
                <c:pt idx="6">
                  <c:v>0.49589533735905716</c:v>
                </c:pt>
              </c:numCache>
            </c:numRef>
          </c:val>
        </c:ser>
        <c:ser>
          <c:idx val="1"/>
          <c:order val="1"/>
          <c:tx>
            <c:strRef>
              <c:f>'pre-post-paid-odnos'!$B$22</c:f>
              <c:strCache>
                <c:ptCount val="1"/>
                <c:pt idx="0">
                  <c:v>postpaid</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'pre-post-paid-odnos'!$C$20:$I$20</c:f>
              <c:strCache>
                <c:ptCount val="7"/>
                <c:pt idx="0">
                  <c:v>2014/2</c:v>
                </c:pt>
                <c:pt idx="1">
                  <c:v>2015/1</c:v>
                </c:pt>
                <c:pt idx="2">
                  <c:v>2015/2</c:v>
                </c:pt>
                <c:pt idx="3">
                  <c:v>2016/1</c:v>
                </c:pt>
                <c:pt idx="4">
                  <c:v>2016/2</c:v>
                </c:pt>
                <c:pt idx="5">
                  <c:v>2017/1</c:v>
                </c:pt>
                <c:pt idx="6">
                  <c:v>2017/2</c:v>
                </c:pt>
              </c:strCache>
            </c:strRef>
          </c:cat>
          <c:val>
            <c:numRef>
              <c:f>'pre-post-paid-odnos'!$C$22:$I$22</c:f>
              <c:numCache>
                <c:formatCode>0.00%</c:formatCode>
                <c:ptCount val="7"/>
                <c:pt idx="0">
                  <c:v>0.44527286795572285</c:v>
                </c:pt>
                <c:pt idx="1">
                  <c:v>0.45415451047093741</c:v>
                </c:pt>
                <c:pt idx="2">
                  <c:v>0.46429525823999129</c:v>
                </c:pt>
                <c:pt idx="3">
                  <c:v>0.47024458143040038</c:v>
                </c:pt>
                <c:pt idx="4">
                  <c:v>0.48169502759977861</c:v>
                </c:pt>
                <c:pt idx="5">
                  <c:v>0.47895929204029758</c:v>
                </c:pt>
                <c:pt idx="6">
                  <c:v>0.50410466264094278</c:v>
                </c:pt>
              </c:numCache>
            </c:numRef>
          </c:val>
        </c:ser>
        <c:dLbls>
          <c:showLegendKey val="0"/>
          <c:showVal val="1"/>
          <c:showCatName val="0"/>
          <c:showSerName val="0"/>
          <c:showPercent val="0"/>
          <c:showBubbleSize val="0"/>
        </c:dLbls>
        <c:gapWidth val="79"/>
        <c:shape val="box"/>
        <c:axId val="-356763152"/>
        <c:axId val="-356772944"/>
        <c:axId val="0"/>
      </c:bar3DChart>
      <c:catAx>
        <c:axId val="-3567631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sr-Latn-RS"/>
          </a:p>
        </c:txPr>
        <c:crossAx val="-356772944"/>
        <c:crosses val="autoZero"/>
        <c:auto val="1"/>
        <c:lblAlgn val="ctr"/>
        <c:lblOffset val="100"/>
        <c:noMultiLvlLbl val="0"/>
      </c:catAx>
      <c:valAx>
        <c:axId val="-356772944"/>
        <c:scaling>
          <c:orientation val="minMax"/>
        </c:scaling>
        <c:delete val="1"/>
        <c:axPos val="l"/>
        <c:numFmt formatCode="0.00%" sourceLinked="1"/>
        <c:majorTickMark val="none"/>
        <c:minorTickMark val="none"/>
        <c:tickLblPos val="nextTo"/>
        <c:crossAx val="-356763152"/>
        <c:crosses val="autoZero"/>
        <c:crossBetween val="between"/>
      </c:valAx>
      <c:spPr>
        <a:noFill/>
        <a:ln>
          <a:noFill/>
        </a:ln>
        <a:effectLst/>
      </c:spPr>
    </c:plotArea>
    <c:legend>
      <c:legendPos val="t"/>
      <c:layout>
        <c:manualLayout>
          <c:xMode val="edge"/>
          <c:yMode val="edge"/>
          <c:x val="0.4076676179366468"/>
          <c:y val="0.8954008954008954"/>
          <c:w val="0.2111196169923204"/>
          <c:h val="6.868179939046081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'Udjeli operatora'!$A$11</c:f>
              <c:strCache>
                <c:ptCount val="1"/>
                <c:pt idx="0">
                  <c:v>HT</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'Udjeli operatora'!$B$10:$H$10</c:f>
              <c:strCache>
                <c:ptCount val="7"/>
                <c:pt idx="0">
                  <c:v>2014/2</c:v>
                </c:pt>
                <c:pt idx="1">
                  <c:v>2015/1</c:v>
                </c:pt>
                <c:pt idx="2">
                  <c:v>2015/2</c:v>
                </c:pt>
                <c:pt idx="3">
                  <c:v>2016/1</c:v>
                </c:pt>
                <c:pt idx="4">
                  <c:v>2016/2</c:v>
                </c:pt>
                <c:pt idx="5">
                  <c:v>2017/1</c:v>
                </c:pt>
                <c:pt idx="6">
                  <c:v>2017/2</c:v>
                </c:pt>
              </c:strCache>
            </c:strRef>
          </c:cat>
          <c:val>
            <c:numRef>
              <c:f>'Udjeli operatora'!$B$11:$H$11</c:f>
              <c:numCache>
                <c:formatCode>0.00%</c:formatCode>
                <c:ptCount val="7"/>
                <c:pt idx="0">
                  <c:v>0.46798347227477233</c:v>
                </c:pt>
                <c:pt idx="1">
                  <c:v>0.46681049276563402</c:v>
                </c:pt>
                <c:pt idx="2">
                  <c:v>0.47113342059850621</c:v>
                </c:pt>
                <c:pt idx="3">
                  <c:v>0.47225764725684388</c:v>
                </c:pt>
                <c:pt idx="4">
                  <c:v>0.47617303306695191</c:v>
                </c:pt>
                <c:pt idx="5">
                  <c:v>0.45907716383367292</c:v>
                </c:pt>
                <c:pt idx="6">
                  <c:v>0.46357986643741977</c:v>
                </c:pt>
              </c:numCache>
            </c:numRef>
          </c:val>
        </c:ser>
        <c:ser>
          <c:idx val="1"/>
          <c:order val="1"/>
          <c:tx>
            <c:strRef>
              <c:f>'Udjeli operatora'!$A$12</c:f>
              <c:strCache>
                <c:ptCount val="1"/>
                <c:pt idx="0">
                  <c:v>VIPnet</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'Udjeli operatora'!$B$10:$H$10</c:f>
              <c:strCache>
                <c:ptCount val="7"/>
                <c:pt idx="0">
                  <c:v>2014/2</c:v>
                </c:pt>
                <c:pt idx="1">
                  <c:v>2015/1</c:v>
                </c:pt>
                <c:pt idx="2">
                  <c:v>2015/2</c:v>
                </c:pt>
                <c:pt idx="3">
                  <c:v>2016/1</c:v>
                </c:pt>
                <c:pt idx="4">
                  <c:v>2016/2</c:v>
                </c:pt>
                <c:pt idx="5">
                  <c:v>2017/1</c:v>
                </c:pt>
                <c:pt idx="6">
                  <c:v>2017/2</c:v>
                </c:pt>
              </c:strCache>
            </c:strRef>
          </c:cat>
          <c:val>
            <c:numRef>
              <c:f>'Udjeli operatora'!$B$12:$H$12</c:f>
              <c:numCache>
                <c:formatCode>0.00%</c:formatCode>
                <c:ptCount val="7"/>
                <c:pt idx="0">
                  <c:v>0.35166738692665361</c:v>
                </c:pt>
                <c:pt idx="1">
                  <c:v>0.35318458233902</c:v>
                </c:pt>
                <c:pt idx="2">
                  <c:v>0.35397381138946388</c:v>
                </c:pt>
                <c:pt idx="3">
                  <c:v>0.35085346305525322</c:v>
                </c:pt>
                <c:pt idx="4">
                  <c:v>0.34719971039884268</c:v>
                </c:pt>
                <c:pt idx="5">
                  <c:v>0.35935049407746028</c:v>
                </c:pt>
                <c:pt idx="6">
                  <c:v>0.35349709656639433</c:v>
                </c:pt>
              </c:numCache>
            </c:numRef>
          </c:val>
        </c:ser>
        <c:ser>
          <c:idx val="2"/>
          <c:order val="2"/>
          <c:tx>
            <c:strRef>
              <c:f>'Udjeli operatora'!$A$13</c:f>
              <c:strCache>
                <c:ptCount val="1"/>
                <c:pt idx="0">
                  <c:v>Tele2</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'Udjeli operatora'!$B$10:$H$10</c:f>
              <c:strCache>
                <c:ptCount val="7"/>
                <c:pt idx="0">
                  <c:v>2014/2</c:v>
                </c:pt>
                <c:pt idx="1">
                  <c:v>2015/1</c:v>
                </c:pt>
                <c:pt idx="2">
                  <c:v>2015/2</c:v>
                </c:pt>
                <c:pt idx="3">
                  <c:v>2016/1</c:v>
                </c:pt>
                <c:pt idx="4">
                  <c:v>2016/2</c:v>
                </c:pt>
                <c:pt idx="5">
                  <c:v>2017/1</c:v>
                </c:pt>
                <c:pt idx="6">
                  <c:v>2017/2</c:v>
                </c:pt>
              </c:strCache>
            </c:strRef>
          </c:cat>
          <c:val>
            <c:numRef>
              <c:f>'Udjeli operatora'!$B$13:$H$13</c:f>
              <c:numCache>
                <c:formatCode>0.00%</c:formatCode>
                <c:ptCount val="7"/>
                <c:pt idx="0">
                  <c:v>0.18034914079857406</c:v>
                </c:pt>
                <c:pt idx="1">
                  <c:v>0.18000492489534597</c:v>
                </c:pt>
                <c:pt idx="2">
                  <c:v>0.17489276801202991</c:v>
                </c:pt>
                <c:pt idx="3">
                  <c:v>0.17688888968790289</c:v>
                </c:pt>
                <c:pt idx="4">
                  <c:v>0.17662725653420541</c:v>
                </c:pt>
                <c:pt idx="5">
                  <c:v>0.18157234208886683</c:v>
                </c:pt>
                <c:pt idx="6">
                  <c:v>0.18292303699618592</c:v>
                </c:pt>
              </c:numCache>
            </c:numRef>
          </c:val>
        </c:ser>
        <c:dLbls>
          <c:showLegendKey val="0"/>
          <c:showVal val="0"/>
          <c:showCatName val="0"/>
          <c:showSerName val="0"/>
          <c:showPercent val="0"/>
          <c:showBubbleSize val="0"/>
        </c:dLbls>
        <c:gapWidth val="83"/>
        <c:gapDepth val="71"/>
        <c:shape val="box"/>
        <c:axId val="-356771312"/>
        <c:axId val="-356759344"/>
        <c:axId val="0"/>
      </c:bar3DChart>
      <c:catAx>
        <c:axId val="-356771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59344"/>
        <c:crosses val="autoZero"/>
        <c:auto val="1"/>
        <c:lblAlgn val="ctr"/>
        <c:lblOffset val="100"/>
        <c:noMultiLvlLbl val="0"/>
      </c:catAx>
      <c:valAx>
        <c:axId val="-3567593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713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'Trajanje završenih poziva ukupn'!$B$3:$B$6</c:f>
              <c:strCache>
                <c:ptCount val="4"/>
                <c:pt idx="0">
                  <c:v>2014.</c:v>
                </c:pt>
                <c:pt idx="1">
                  <c:v>2015.</c:v>
                </c:pt>
                <c:pt idx="2">
                  <c:v>2016.</c:v>
                </c:pt>
                <c:pt idx="3">
                  <c:v>2017.</c:v>
                </c:pt>
              </c:strCache>
            </c:strRef>
          </c:cat>
          <c:val>
            <c:numRef>
              <c:f>'Trajanje završenih poziva ukupn'!$C$3:$C$6</c:f>
              <c:numCache>
                <c:formatCode>_-* #,##0\ _k_n_-;\-* #,##0\ _k_n_-;_-* "-"??\ _k_n_-;_-@_-</c:formatCode>
                <c:ptCount val="4"/>
                <c:pt idx="0">
                  <c:v>8282056240.2778358</c:v>
                </c:pt>
                <c:pt idx="1">
                  <c:v>8396796874</c:v>
                </c:pt>
                <c:pt idx="2">
                  <c:v>8629949769</c:v>
                </c:pt>
                <c:pt idx="3">
                  <c:v>8888835377</c:v>
                </c:pt>
              </c:numCache>
            </c:numRef>
          </c:val>
        </c:ser>
        <c:dLbls>
          <c:showLegendKey val="0"/>
          <c:showVal val="1"/>
          <c:showCatName val="0"/>
          <c:showSerName val="0"/>
          <c:showPercent val="0"/>
          <c:showBubbleSize val="0"/>
        </c:dLbls>
        <c:gapWidth val="150"/>
        <c:shape val="box"/>
        <c:axId val="-356762608"/>
        <c:axId val="-356768048"/>
        <c:axId val="0"/>
      </c:bar3DChart>
      <c:catAx>
        <c:axId val="-35676260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68048"/>
        <c:crosses val="autoZero"/>
        <c:auto val="1"/>
        <c:lblAlgn val="ctr"/>
        <c:lblOffset val="100"/>
        <c:noMultiLvlLbl val="0"/>
      </c:catAx>
      <c:valAx>
        <c:axId val="-356768048"/>
        <c:scaling>
          <c:orientation val="minMax"/>
        </c:scaling>
        <c:delete val="0"/>
        <c:axPos val="l"/>
        <c:majorGridlines>
          <c:spPr>
            <a:ln w="9525" cap="flat" cmpd="sng" algn="ctr">
              <a:solidFill>
                <a:schemeClr val="tx1">
                  <a:lumMod val="15000"/>
                  <a:lumOff val="85000"/>
                </a:schemeClr>
              </a:solidFill>
              <a:round/>
            </a:ln>
            <a:effectLst/>
          </c:spPr>
        </c:majorGridlines>
        <c:numFmt formatCode="_-* #,##0\ _k_n_-;\-* #,##0\ _k_n_-;_-* &quot;-&quot;??\ _k_n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62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'Udjeli operatora'!$A$33</c:f>
              <c:strCache>
                <c:ptCount val="1"/>
                <c:pt idx="0">
                  <c:v>HT</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'Udjeli operatora'!$B$32:$H$32</c:f>
              <c:strCache>
                <c:ptCount val="7"/>
                <c:pt idx="0">
                  <c:v>2014/2</c:v>
                </c:pt>
                <c:pt idx="1">
                  <c:v>2015/1</c:v>
                </c:pt>
                <c:pt idx="2">
                  <c:v>2015/2</c:v>
                </c:pt>
                <c:pt idx="3">
                  <c:v>2016/1</c:v>
                </c:pt>
                <c:pt idx="4">
                  <c:v>2016/2</c:v>
                </c:pt>
                <c:pt idx="5">
                  <c:v>2017/1</c:v>
                </c:pt>
                <c:pt idx="6">
                  <c:v>2017/2</c:v>
                </c:pt>
              </c:strCache>
            </c:strRef>
          </c:cat>
          <c:val>
            <c:numRef>
              <c:f>'Udjeli operatora'!$B$33:$H$33</c:f>
              <c:numCache>
                <c:formatCode>0.00%</c:formatCode>
                <c:ptCount val="7"/>
                <c:pt idx="0">
                  <c:v>0.47065269933969989</c:v>
                </c:pt>
                <c:pt idx="1">
                  <c:v>0.46273801325674302</c:v>
                </c:pt>
                <c:pt idx="2">
                  <c:v>0.45953363355154608</c:v>
                </c:pt>
                <c:pt idx="3">
                  <c:v>0.4577091349964903</c:v>
                </c:pt>
                <c:pt idx="4">
                  <c:v>0.45450124508623679</c:v>
                </c:pt>
                <c:pt idx="5">
                  <c:v>0.45845933181051751</c:v>
                </c:pt>
                <c:pt idx="6">
                  <c:v>0.44728674091564241</c:v>
                </c:pt>
              </c:numCache>
            </c:numRef>
          </c:val>
        </c:ser>
        <c:ser>
          <c:idx val="1"/>
          <c:order val="1"/>
          <c:tx>
            <c:strRef>
              <c:f>'Udjeli operatora'!$A$34</c:f>
              <c:strCache>
                <c:ptCount val="1"/>
                <c:pt idx="0">
                  <c:v>VIPnet</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'Udjeli operatora'!$B$32:$H$32</c:f>
              <c:strCache>
                <c:ptCount val="7"/>
                <c:pt idx="0">
                  <c:v>2014/2</c:v>
                </c:pt>
                <c:pt idx="1">
                  <c:v>2015/1</c:v>
                </c:pt>
                <c:pt idx="2">
                  <c:v>2015/2</c:v>
                </c:pt>
                <c:pt idx="3">
                  <c:v>2016/1</c:v>
                </c:pt>
                <c:pt idx="4">
                  <c:v>2016/2</c:v>
                </c:pt>
                <c:pt idx="5">
                  <c:v>2017/1</c:v>
                </c:pt>
                <c:pt idx="6">
                  <c:v>2017/2</c:v>
                </c:pt>
              </c:strCache>
            </c:strRef>
          </c:cat>
          <c:val>
            <c:numRef>
              <c:f>'Udjeli operatora'!$B$34:$H$34</c:f>
              <c:numCache>
                <c:formatCode>0.00%</c:formatCode>
                <c:ptCount val="7"/>
                <c:pt idx="0">
                  <c:v>0.34918355576814381</c:v>
                </c:pt>
                <c:pt idx="1">
                  <c:v>0.35834644666683807</c:v>
                </c:pt>
                <c:pt idx="2">
                  <c:v>0.35958477780573267</c:v>
                </c:pt>
                <c:pt idx="3">
                  <c:v>0.36379550162244995</c:v>
                </c:pt>
                <c:pt idx="4">
                  <c:v>0.36460804236220307</c:v>
                </c:pt>
                <c:pt idx="5">
                  <c:v>0.3594176949426609</c:v>
                </c:pt>
                <c:pt idx="6">
                  <c:v>0.36721381991047486</c:v>
                </c:pt>
              </c:numCache>
            </c:numRef>
          </c:val>
        </c:ser>
        <c:ser>
          <c:idx val="2"/>
          <c:order val="2"/>
          <c:tx>
            <c:strRef>
              <c:f>'Udjeli operatora'!$A$35</c:f>
              <c:strCache>
                <c:ptCount val="1"/>
                <c:pt idx="0">
                  <c:v>Tele2</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'Udjeli operatora'!$B$32:$H$32</c:f>
              <c:strCache>
                <c:ptCount val="7"/>
                <c:pt idx="0">
                  <c:v>2014/2</c:v>
                </c:pt>
                <c:pt idx="1">
                  <c:v>2015/1</c:v>
                </c:pt>
                <c:pt idx="2">
                  <c:v>2015/2</c:v>
                </c:pt>
                <c:pt idx="3">
                  <c:v>2016/1</c:v>
                </c:pt>
                <c:pt idx="4">
                  <c:v>2016/2</c:v>
                </c:pt>
                <c:pt idx="5">
                  <c:v>2017/1</c:v>
                </c:pt>
                <c:pt idx="6">
                  <c:v>2017/2</c:v>
                </c:pt>
              </c:strCache>
            </c:strRef>
          </c:cat>
          <c:val>
            <c:numRef>
              <c:f>'Udjeli operatora'!$B$35:$H$35</c:f>
              <c:numCache>
                <c:formatCode>0.00%</c:formatCode>
                <c:ptCount val="7"/>
                <c:pt idx="0">
                  <c:v>0.18016374489215645</c:v>
                </c:pt>
                <c:pt idx="1">
                  <c:v>0.17891554007641899</c:v>
                </c:pt>
                <c:pt idx="2">
                  <c:v>0.18088158864272122</c:v>
                </c:pt>
                <c:pt idx="3">
                  <c:v>0.17849536338105981</c:v>
                </c:pt>
                <c:pt idx="4">
                  <c:v>0.18089071255156008</c:v>
                </c:pt>
                <c:pt idx="5">
                  <c:v>0.18212297324682172</c:v>
                </c:pt>
                <c:pt idx="6">
                  <c:v>0.18549943917388276</c:v>
                </c:pt>
              </c:numCache>
            </c:numRef>
          </c:val>
        </c:ser>
        <c:dLbls>
          <c:showLegendKey val="0"/>
          <c:showVal val="0"/>
          <c:showCatName val="0"/>
          <c:showSerName val="0"/>
          <c:showPercent val="0"/>
          <c:showBubbleSize val="0"/>
        </c:dLbls>
        <c:gapWidth val="74"/>
        <c:shape val="box"/>
        <c:axId val="-356763696"/>
        <c:axId val="-356760976"/>
        <c:axId val="0"/>
      </c:bar3DChart>
      <c:catAx>
        <c:axId val="-3567636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60976"/>
        <c:crosses val="autoZero"/>
        <c:auto val="1"/>
        <c:lblAlgn val="ctr"/>
        <c:lblOffset val="100"/>
        <c:noMultiLvlLbl val="0"/>
      </c:catAx>
      <c:valAx>
        <c:axId val="-3567609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6369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baseline="0">
                <a:solidFill>
                  <a:sysClr val="windowText" lastClr="000000"/>
                </a:solidFill>
                <a:latin typeface="+mn-lt"/>
                <a:ea typeface="+mn-ea"/>
                <a:cs typeface="+mn-cs"/>
              </a:defRPr>
            </a:pPr>
            <a:r>
              <a:rPr lang="hr-HR" sz="1050">
                <a:solidFill>
                  <a:sysClr val="windowText" lastClr="000000"/>
                </a:solidFill>
              </a:rPr>
              <a:t>Odnos operatora HT-a</a:t>
            </a:r>
            <a:r>
              <a:rPr lang="hr-HR" sz="1050" baseline="0">
                <a:solidFill>
                  <a:sysClr val="windowText" lastClr="000000"/>
                </a:solidFill>
              </a:rPr>
              <a:t> i VIPnet-a</a:t>
            </a:r>
            <a:r>
              <a:rPr lang="hr-HR" sz="1050">
                <a:solidFill>
                  <a:sysClr val="windowText" lastClr="000000"/>
                </a:solidFill>
              </a:rPr>
              <a:t> </a:t>
            </a: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43588801399825"/>
          <c:y val="0.1938211433463865"/>
          <c:w val="0.85341885389326333"/>
          <c:h val="0.61498432487605714"/>
        </c:manualLayout>
      </c:layout>
      <c:bar3DChart>
        <c:barDir val="col"/>
        <c:grouping val="clustered"/>
        <c:varyColors val="0"/>
        <c:ser>
          <c:idx val="0"/>
          <c:order val="0"/>
          <c:tx>
            <c:strRef>
              <c:f>'Odnosi operatora'!$B$7</c:f>
              <c:strCache>
                <c:ptCount val="1"/>
                <c:pt idx="0">
                  <c:v>u Vipnet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'Odnosi operatora'!$C$3:$I$3</c:f>
              <c:strCache>
                <c:ptCount val="7"/>
                <c:pt idx="0">
                  <c:v>2014/2</c:v>
                </c:pt>
                <c:pt idx="1">
                  <c:v>2015/1</c:v>
                </c:pt>
                <c:pt idx="2">
                  <c:v>2015/2</c:v>
                </c:pt>
                <c:pt idx="3">
                  <c:v>2016/1</c:v>
                </c:pt>
                <c:pt idx="4">
                  <c:v>2016/2</c:v>
                </c:pt>
                <c:pt idx="5">
                  <c:v>2017/1</c:v>
                </c:pt>
                <c:pt idx="6">
                  <c:v>2017/2</c:v>
                </c:pt>
              </c:strCache>
            </c:strRef>
          </c:cat>
          <c:val>
            <c:numRef>
              <c:f>'Odnosi operatora'!$C$7:$I$7</c:f>
              <c:numCache>
                <c:formatCode>0.00%</c:formatCode>
                <c:ptCount val="7"/>
                <c:pt idx="0">
                  <c:v>0.45586481278234137</c:v>
                </c:pt>
                <c:pt idx="1">
                  <c:v>0.4566765877139507</c:v>
                </c:pt>
                <c:pt idx="2">
                  <c:v>0.47447050189406131</c:v>
                </c:pt>
                <c:pt idx="3">
                  <c:v>0.48357369662300997</c:v>
                </c:pt>
                <c:pt idx="4">
                  <c:v>0.49170739083687093</c:v>
                </c:pt>
                <c:pt idx="5">
                  <c:v>0.49078693472964752</c:v>
                </c:pt>
                <c:pt idx="6">
                  <c:v>0.49651619076608411</c:v>
                </c:pt>
              </c:numCache>
            </c:numRef>
          </c:val>
        </c:ser>
        <c:ser>
          <c:idx val="1"/>
          <c:order val="1"/>
          <c:tx>
            <c:strRef>
              <c:f>'Odnosi operatora'!$B$8</c:f>
              <c:strCache>
                <c:ptCount val="1"/>
                <c:pt idx="0">
                  <c:v>u HT</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dLbl>
              <c:idx val="6"/>
              <c:layout>
                <c:manualLayout>
                  <c:x val="2.222222222222206E-2"/>
                  <c:y val="-2.6737967914438585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2">
                          <a:lumMod val="35000"/>
                          <a:lumOff val="65000"/>
                        </a:schemeClr>
                      </a:solidFill>
                    </a:ln>
                    <a:effectLst/>
                  </c:spPr>
                </c15:leaderLines>
              </c:ext>
            </c:extLst>
          </c:dLbls>
          <c:cat>
            <c:strRef>
              <c:f>'Odnosi operatora'!$C$3:$I$3</c:f>
              <c:strCache>
                <c:ptCount val="7"/>
                <c:pt idx="0">
                  <c:v>2014/2</c:v>
                </c:pt>
                <c:pt idx="1">
                  <c:v>2015/1</c:v>
                </c:pt>
                <c:pt idx="2">
                  <c:v>2015/2</c:v>
                </c:pt>
                <c:pt idx="3">
                  <c:v>2016/1</c:v>
                </c:pt>
                <c:pt idx="4">
                  <c:v>2016/2</c:v>
                </c:pt>
                <c:pt idx="5">
                  <c:v>2017/1</c:v>
                </c:pt>
                <c:pt idx="6">
                  <c:v>2017/2</c:v>
                </c:pt>
              </c:strCache>
            </c:strRef>
          </c:cat>
          <c:val>
            <c:numRef>
              <c:f>'Odnosi operatora'!$C$8:$I$8</c:f>
              <c:numCache>
                <c:formatCode>0.00%</c:formatCode>
                <c:ptCount val="7"/>
                <c:pt idx="0">
                  <c:v>0.54413518721765863</c:v>
                </c:pt>
                <c:pt idx="1">
                  <c:v>0.5433234122860493</c:v>
                </c:pt>
                <c:pt idx="2">
                  <c:v>0.52552949810593874</c:v>
                </c:pt>
                <c:pt idx="3">
                  <c:v>0.51642630337699003</c:v>
                </c:pt>
                <c:pt idx="4">
                  <c:v>0.50829260916312913</c:v>
                </c:pt>
                <c:pt idx="5">
                  <c:v>0.50921306527035248</c:v>
                </c:pt>
                <c:pt idx="6">
                  <c:v>0.50348380923391578</c:v>
                </c:pt>
              </c:numCache>
            </c:numRef>
          </c:val>
        </c:ser>
        <c:dLbls>
          <c:showLegendKey val="0"/>
          <c:showVal val="0"/>
          <c:showCatName val="0"/>
          <c:showSerName val="0"/>
          <c:showPercent val="0"/>
          <c:showBubbleSize val="0"/>
        </c:dLbls>
        <c:gapWidth val="150"/>
        <c:shape val="box"/>
        <c:axId val="-356762064"/>
        <c:axId val="-356773488"/>
        <c:axId val="0"/>
      </c:bar3DChart>
      <c:catAx>
        <c:axId val="-356762064"/>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r-Latn-RS"/>
          </a:p>
        </c:txPr>
        <c:crossAx val="-356773488"/>
        <c:crosses val="autoZero"/>
        <c:auto val="1"/>
        <c:lblAlgn val="ctr"/>
        <c:lblOffset val="100"/>
        <c:noMultiLvlLbl val="0"/>
      </c:catAx>
      <c:valAx>
        <c:axId val="-356773488"/>
        <c:scaling>
          <c:orientation val="minMax"/>
        </c:scaling>
        <c:delete val="1"/>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crossAx val="-3567620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sr-Latn-R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ysClr val="windowText" lastClr="000000"/>
                </a:solidFill>
                <a:latin typeface="+mn-lt"/>
                <a:ea typeface="+mn-ea"/>
                <a:cs typeface="+mn-cs"/>
              </a:defRPr>
            </a:pPr>
            <a:r>
              <a:rPr lang="hr-HR" sz="1050" b="1">
                <a:solidFill>
                  <a:sysClr val="windowText" lastClr="000000"/>
                </a:solidFill>
              </a:rPr>
              <a:t>Odnos</a:t>
            </a:r>
            <a:r>
              <a:rPr lang="hr-HR" sz="1050" b="1" baseline="0">
                <a:solidFill>
                  <a:sysClr val="windowText" lastClr="000000"/>
                </a:solidFill>
              </a:rPr>
              <a:t> operatora HT-a i TELE2</a:t>
            </a:r>
            <a:endParaRPr lang="hr-HR" sz="1050" b="1">
              <a:solidFill>
                <a:sysClr val="windowText" lastClr="000000"/>
              </a:solidFill>
            </a:endParaRPr>
          </a:p>
        </c:rich>
      </c:tx>
      <c:layout>
        <c:manualLayout>
          <c:xMode val="edge"/>
          <c:yMode val="edge"/>
          <c:x val="0.23890266841644789"/>
          <c:y val="2.7777777777777776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'Odnosi operatora'!$B$16</c:f>
              <c:strCache>
                <c:ptCount val="1"/>
                <c:pt idx="0">
                  <c:v>u TELE2</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'Odnosi operatora'!$C$12:$I$12</c:f>
              <c:strCache>
                <c:ptCount val="7"/>
                <c:pt idx="0">
                  <c:v>2014/2</c:v>
                </c:pt>
                <c:pt idx="1">
                  <c:v>2015/1</c:v>
                </c:pt>
                <c:pt idx="2">
                  <c:v>2015/2</c:v>
                </c:pt>
                <c:pt idx="3">
                  <c:v>2016/1</c:v>
                </c:pt>
                <c:pt idx="4">
                  <c:v>2016/2</c:v>
                </c:pt>
                <c:pt idx="5">
                  <c:v>2017/1</c:v>
                </c:pt>
                <c:pt idx="6">
                  <c:v>2017/2</c:v>
                </c:pt>
              </c:strCache>
            </c:strRef>
          </c:cat>
          <c:val>
            <c:numRef>
              <c:f>'Odnosi operatora'!$C$16:$I$16</c:f>
              <c:numCache>
                <c:formatCode>0.00%</c:formatCode>
                <c:ptCount val="7"/>
                <c:pt idx="0">
                  <c:v>0.43305797420555264</c:v>
                </c:pt>
                <c:pt idx="1">
                  <c:v>0.45060233328235039</c:v>
                </c:pt>
                <c:pt idx="2">
                  <c:v>0.45889410781343981</c:v>
                </c:pt>
                <c:pt idx="3">
                  <c:v>0.47031955002795445</c:v>
                </c:pt>
                <c:pt idx="4">
                  <c:v>0.46764936712354899</c:v>
                </c:pt>
                <c:pt idx="5">
                  <c:v>0.47192858927951087</c:v>
                </c:pt>
                <c:pt idx="6">
                  <c:v>0.47428958619832379</c:v>
                </c:pt>
              </c:numCache>
            </c:numRef>
          </c:val>
        </c:ser>
        <c:ser>
          <c:idx val="1"/>
          <c:order val="1"/>
          <c:tx>
            <c:strRef>
              <c:f>'Odnosi operatora'!$B$17</c:f>
              <c:strCache>
                <c:ptCount val="1"/>
                <c:pt idx="0">
                  <c:v>u HT</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'Odnosi operatora'!$C$12:$I$12</c:f>
              <c:strCache>
                <c:ptCount val="7"/>
                <c:pt idx="0">
                  <c:v>2014/2</c:v>
                </c:pt>
                <c:pt idx="1">
                  <c:v>2015/1</c:v>
                </c:pt>
                <c:pt idx="2">
                  <c:v>2015/2</c:v>
                </c:pt>
                <c:pt idx="3">
                  <c:v>2016/1</c:v>
                </c:pt>
                <c:pt idx="4">
                  <c:v>2016/2</c:v>
                </c:pt>
                <c:pt idx="5">
                  <c:v>2017/1</c:v>
                </c:pt>
                <c:pt idx="6">
                  <c:v>2017/2</c:v>
                </c:pt>
              </c:strCache>
            </c:strRef>
          </c:cat>
          <c:val>
            <c:numRef>
              <c:f>'Odnosi operatora'!$C$17:$I$17</c:f>
              <c:numCache>
                <c:formatCode>0.00%</c:formatCode>
                <c:ptCount val="7"/>
                <c:pt idx="0">
                  <c:v>0.5669420257944473</c:v>
                </c:pt>
                <c:pt idx="1">
                  <c:v>0.54939766671764956</c:v>
                </c:pt>
                <c:pt idx="2">
                  <c:v>0.54110589218656013</c:v>
                </c:pt>
                <c:pt idx="3">
                  <c:v>0.52968044997204555</c:v>
                </c:pt>
                <c:pt idx="4">
                  <c:v>0.53235063287645101</c:v>
                </c:pt>
                <c:pt idx="5">
                  <c:v>0.52807141072048913</c:v>
                </c:pt>
                <c:pt idx="6">
                  <c:v>0.52571041380167616</c:v>
                </c:pt>
              </c:numCache>
            </c:numRef>
          </c:val>
        </c:ser>
        <c:dLbls>
          <c:showLegendKey val="0"/>
          <c:showVal val="0"/>
          <c:showCatName val="0"/>
          <c:showSerName val="0"/>
          <c:showPercent val="0"/>
          <c:showBubbleSize val="0"/>
        </c:dLbls>
        <c:gapWidth val="150"/>
        <c:shape val="box"/>
        <c:axId val="-356765328"/>
        <c:axId val="-356758800"/>
        <c:axId val="0"/>
      </c:bar3DChart>
      <c:catAx>
        <c:axId val="-3567653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58800"/>
        <c:crosses val="autoZero"/>
        <c:auto val="1"/>
        <c:lblAlgn val="ctr"/>
        <c:lblOffset val="100"/>
        <c:noMultiLvlLbl val="0"/>
      </c:catAx>
      <c:valAx>
        <c:axId val="-356758800"/>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3567653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ysClr val="windowText" lastClr="000000"/>
                </a:solidFill>
                <a:latin typeface="+mn-lt"/>
                <a:ea typeface="+mn-ea"/>
                <a:cs typeface="+mn-cs"/>
              </a:defRPr>
            </a:pPr>
            <a:r>
              <a:rPr lang="hr-HR" sz="1050" b="1">
                <a:solidFill>
                  <a:sysClr val="windowText" lastClr="000000"/>
                </a:solidFill>
              </a:rPr>
              <a:t>Odnos operatora VIPnet-a</a:t>
            </a:r>
            <a:r>
              <a:rPr lang="hr-HR" sz="1050" b="1" baseline="0">
                <a:solidFill>
                  <a:sysClr val="windowText" lastClr="000000"/>
                </a:solidFill>
              </a:rPr>
              <a:t> i TELE2</a:t>
            </a:r>
            <a:endParaRPr lang="hr-HR" sz="1050" b="1">
              <a:solidFill>
                <a:sysClr val="windowText" lastClr="000000"/>
              </a:solidFill>
            </a:endParaRP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'Odnosi operatora'!$B$24</c:f>
              <c:strCache>
                <c:ptCount val="1"/>
                <c:pt idx="0">
                  <c:v>u Vipnet</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'Odnosi operatora'!$C$20:$I$20</c:f>
              <c:strCache>
                <c:ptCount val="7"/>
                <c:pt idx="0">
                  <c:v>2014/2</c:v>
                </c:pt>
                <c:pt idx="1">
                  <c:v>2015/1</c:v>
                </c:pt>
                <c:pt idx="2">
                  <c:v>2015/2</c:v>
                </c:pt>
                <c:pt idx="3">
                  <c:v>2016/1</c:v>
                </c:pt>
                <c:pt idx="4">
                  <c:v>2016/2</c:v>
                </c:pt>
                <c:pt idx="5">
                  <c:v>2017/1</c:v>
                </c:pt>
                <c:pt idx="6">
                  <c:v>2017/2</c:v>
                </c:pt>
              </c:strCache>
            </c:strRef>
          </c:cat>
          <c:val>
            <c:numRef>
              <c:f>'Odnosi operatora'!$C$24:$I$24</c:f>
              <c:numCache>
                <c:formatCode>0.00%</c:formatCode>
                <c:ptCount val="7"/>
                <c:pt idx="0">
                  <c:v>0.52673049330295152</c:v>
                </c:pt>
                <c:pt idx="1">
                  <c:v>0.50888706786882965</c:v>
                </c:pt>
                <c:pt idx="2">
                  <c:v>0.51614233146718014</c:v>
                </c:pt>
                <c:pt idx="3">
                  <c:v>0.51224819075281469</c:v>
                </c:pt>
                <c:pt idx="4">
                  <c:v>0.51909348432059943</c:v>
                </c:pt>
                <c:pt idx="5">
                  <c:v>0.51954975768078482</c:v>
                </c:pt>
                <c:pt idx="6">
                  <c:v>0.5125902188421626</c:v>
                </c:pt>
              </c:numCache>
            </c:numRef>
          </c:val>
        </c:ser>
        <c:ser>
          <c:idx val="1"/>
          <c:order val="1"/>
          <c:tx>
            <c:strRef>
              <c:f>'Odnosi operatora'!$B$25</c:f>
              <c:strCache>
                <c:ptCount val="1"/>
                <c:pt idx="0">
                  <c:v>u Tele2</c:v>
                </c:pt>
              </c:strCache>
            </c:strRef>
          </c:tx>
          <c:spPr>
            <a:solidFill>
              <a:schemeClr val="accent2"/>
            </a:solidFill>
            <a:ln>
              <a:noFill/>
            </a:ln>
            <a:effectLst/>
            <a:sp3d/>
          </c:spPr>
          <c:invertIfNegative val="0"/>
          <c:dLbls>
            <c:dLbl>
              <c:idx val="1"/>
              <c:layout>
                <c:manualLayout>
                  <c:x val="2.2492127755285651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6990553306342781E-2"/>
                  <c:y val="-4.662004662004662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9239766081871264E-2"/>
                  <c:y val="4.662004662004662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923976608187118E-2"/>
                  <c:y val="-4.6620046620047479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2.6990553306342781E-2"/>
                  <c:y val="-4.662004662004662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2.6990553306342781E-2"/>
                  <c:y val="-8.5469098123770586E-17"/>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'Odnosi operatora'!$C$20:$I$20</c:f>
              <c:strCache>
                <c:ptCount val="7"/>
                <c:pt idx="0">
                  <c:v>2014/2</c:v>
                </c:pt>
                <c:pt idx="1">
                  <c:v>2015/1</c:v>
                </c:pt>
                <c:pt idx="2">
                  <c:v>2015/2</c:v>
                </c:pt>
                <c:pt idx="3">
                  <c:v>2016/1</c:v>
                </c:pt>
                <c:pt idx="4">
                  <c:v>2016/2</c:v>
                </c:pt>
                <c:pt idx="5">
                  <c:v>2017/1</c:v>
                </c:pt>
                <c:pt idx="6">
                  <c:v>2017/2</c:v>
                </c:pt>
              </c:strCache>
            </c:strRef>
          </c:cat>
          <c:val>
            <c:numRef>
              <c:f>'Odnosi operatora'!$C$25:$I$25</c:f>
              <c:numCache>
                <c:formatCode>0.00%</c:formatCode>
                <c:ptCount val="7"/>
                <c:pt idx="0">
                  <c:v>0.47326950669704854</c:v>
                </c:pt>
                <c:pt idx="1">
                  <c:v>0.4911129321311703</c:v>
                </c:pt>
                <c:pt idx="2">
                  <c:v>0.48385766853281997</c:v>
                </c:pt>
                <c:pt idx="3">
                  <c:v>0.48775180924718531</c:v>
                </c:pt>
                <c:pt idx="4">
                  <c:v>0.48090651567940051</c:v>
                </c:pt>
                <c:pt idx="5">
                  <c:v>0.48045024231921524</c:v>
                </c:pt>
                <c:pt idx="6">
                  <c:v>0.48740978115783734</c:v>
                </c:pt>
              </c:numCache>
            </c:numRef>
          </c:val>
        </c:ser>
        <c:dLbls>
          <c:showLegendKey val="0"/>
          <c:showVal val="0"/>
          <c:showCatName val="0"/>
          <c:showSerName val="0"/>
          <c:showPercent val="0"/>
          <c:showBubbleSize val="0"/>
        </c:dLbls>
        <c:gapWidth val="150"/>
        <c:shape val="box"/>
        <c:axId val="-356767504"/>
        <c:axId val="-356769136"/>
        <c:axId val="0"/>
      </c:bar3DChart>
      <c:catAx>
        <c:axId val="-356767504"/>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356769136"/>
        <c:crosses val="autoZero"/>
        <c:auto val="1"/>
        <c:lblAlgn val="ctr"/>
        <c:lblOffset val="100"/>
        <c:noMultiLvlLbl val="0"/>
      </c:catAx>
      <c:valAx>
        <c:axId val="-356769136"/>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crossAx val="-35676750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5C10AE-A07B-45AF-B9E6-F9BE2FA60F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15753</Words>
  <Characters>89797</Characters>
  <Application>Microsoft Office Word</Application>
  <DocSecurity>4</DocSecurity>
  <Lines>748</Lines>
  <Paragraphs>210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Ana Mijalić</dc:creator>
  <cp:lastModifiedBy>Jurica Bradvić</cp:lastModifiedBy>
  <cp:revision>2</cp:revision>
  <cp:lastPrinted>2018-09-27T07:06:00Z</cp:lastPrinted>
  <dcterms:created xsi:type="dcterms:W3CDTF">2018-09-27T11:23:00Z</dcterms:created>
  <dcterms:modified xsi:type="dcterms:W3CDTF">2018-09-27T11:23:00Z</dcterms:modified>
</cp:coreProperties>
</file>