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1672" w:rsidRPr="00391672" w:rsidRDefault="00391672" w:rsidP="00391672">
      <w:pPr>
        <w:rPr>
          <w:rFonts w:ascii="Times New Roman" w:eastAsia="Times New Roman" w:hAnsi="Times New Roman" w:cs="Times New Roman"/>
          <w:szCs w:val="24"/>
        </w:rPr>
      </w:pPr>
      <w:bookmarkStart w:id="0" w:name="_Toc236634785"/>
      <w:r w:rsidRPr="00391672">
        <w:rPr>
          <w:rFonts w:ascii="Times New Roman" w:eastAsia="Times New Roman" w:hAnsi="Times New Roman" w:cs="Times New Roman"/>
          <w:szCs w:val="24"/>
        </w:rPr>
        <w:t>KLASA: UP/I-344-01/18-03/02</w:t>
      </w:r>
    </w:p>
    <w:p w:rsidR="00391672" w:rsidRPr="00391672" w:rsidRDefault="000343B9" w:rsidP="00391672">
      <w:pPr>
        <w:rPr>
          <w:rFonts w:ascii="Times New Roman" w:eastAsia="Times New Roman" w:hAnsi="Times New Roman" w:cs="Times New Roman"/>
          <w:szCs w:val="24"/>
        </w:rPr>
      </w:pPr>
      <w:r>
        <w:rPr>
          <w:rFonts w:ascii="Times New Roman" w:eastAsia="Times New Roman" w:hAnsi="Times New Roman" w:cs="Times New Roman"/>
          <w:szCs w:val="24"/>
        </w:rPr>
        <w:t>URBROJ: 376-11-18-15</w:t>
      </w:r>
      <w:bookmarkStart w:id="1" w:name="_GoBack"/>
      <w:bookmarkEnd w:id="1"/>
    </w:p>
    <w:p w:rsidR="00391672" w:rsidRPr="00391672" w:rsidRDefault="00391672" w:rsidP="00391672">
      <w:pPr>
        <w:spacing w:after="240"/>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Zagreb, 30. listopada 2018. </w:t>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p>
    <w:p w:rsidR="00391672" w:rsidRPr="00391672" w:rsidRDefault="00391672" w:rsidP="00391672">
      <w:pPr>
        <w:autoSpaceDE w:val="0"/>
        <w:autoSpaceDN w:val="0"/>
        <w:adjustRightInd w:val="0"/>
        <w:spacing w:after="12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Na temelju članka 12. stavka 1. točke 3. i članka 52. Zakona o elektroničkim komunikacijama (NN br. 73/08, 90/11, 133/12, 80/13, 71/14 i 72/17) u postupku analize tržišta veleprodajnog završavanja poziva u vlastitoj javnoj telefonskoj mreži koja se pruža na fiksnoj lokaciji, Vijeće Hrvatske regulatorne agencije za mrežne djelatnosti na sjednici održanoj 30. listopada 2018. donosi </w:t>
      </w:r>
    </w:p>
    <w:p w:rsidR="00391672" w:rsidRPr="00391672" w:rsidRDefault="00391672" w:rsidP="00391672">
      <w:pPr>
        <w:spacing w:before="360" w:after="480"/>
        <w:jc w:val="center"/>
        <w:rPr>
          <w:rFonts w:ascii="Times New Roman" w:eastAsia="Times New Roman" w:hAnsi="Times New Roman" w:cs="Times New Roman"/>
          <w:b/>
          <w:color w:val="000000"/>
          <w:szCs w:val="24"/>
        </w:rPr>
      </w:pPr>
      <w:r w:rsidRPr="00391672">
        <w:rPr>
          <w:rFonts w:ascii="Times New Roman" w:eastAsia="Times New Roman" w:hAnsi="Times New Roman" w:cs="Times New Roman"/>
          <w:b/>
          <w:color w:val="000000"/>
          <w:szCs w:val="24"/>
        </w:rPr>
        <w:t>ODLUKU</w:t>
      </w:r>
    </w:p>
    <w:p w:rsidR="00391672" w:rsidRPr="00391672" w:rsidRDefault="00391672" w:rsidP="00391672">
      <w:pPr>
        <w:numPr>
          <w:ilvl w:val="0"/>
          <w:numId w:val="41"/>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Utvrđuje se da je mjerodavno tržište veleprodajnog završavanja poziva u vlastitoj javnoj telefonskoj mreži koja se pruža na fiksnoj lokaciji, podložno prethodnoj regulaciji.</w:t>
      </w:r>
    </w:p>
    <w:p w:rsidR="00391672" w:rsidRPr="00391672" w:rsidRDefault="00391672" w:rsidP="00391672">
      <w:pPr>
        <w:autoSpaceDE w:val="0"/>
        <w:autoSpaceDN w:val="0"/>
        <w:adjustRightInd w:val="0"/>
        <w:ind w:left="1080"/>
        <w:jc w:val="both"/>
        <w:rPr>
          <w:rFonts w:ascii="Times New Roman" w:eastAsia="Times New Roman" w:hAnsi="Times New Roman" w:cs="Times New Roman"/>
          <w:szCs w:val="24"/>
        </w:rPr>
      </w:pPr>
    </w:p>
    <w:p w:rsidR="00391672" w:rsidRPr="00391672" w:rsidRDefault="00391672" w:rsidP="00391672">
      <w:pPr>
        <w:numPr>
          <w:ilvl w:val="0"/>
          <w:numId w:val="41"/>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Trgovačka društva: </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4 </w:t>
      </w:r>
      <w:proofErr w:type="spellStart"/>
      <w:r w:rsidRPr="00391672">
        <w:rPr>
          <w:rFonts w:ascii="Times New Roman" w:eastAsia="Times New Roman" w:hAnsi="Times New Roman" w:cs="Times New Roman"/>
          <w:szCs w:val="24"/>
        </w:rPr>
        <w:t>Tel</w:t>
      </w:r>
      <w:proofErr w:type="spellEnd"/>
      <w:r w:rsidRPr="00391672">
        <w:rPr>
          <w:rFonts w:ascii="Times New Roman" w:eastAsia="Times New Roman" w:hAnsi="Times New Roman" w:cs="Times New Roman"/>
          <w:szCs w:val="24"/>
        </w:rPr>
        <w:t xml:space="preserve"> komunikacije d.o.o., Samobor, Cvjetno naselje 16;</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A1 Hrvatska d.o.o., Zagreb, Vrtni put 1;</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Akton</w:t>
      </w:r>
      <w:proofErr w:type="spellEnd"/>
      <w:r w:rsidRPr="00391672">
        <w:rPr>
          <w:rFonts w:ascii="Times New Roman" w:eastAsia="Times New Roman" w:hAnsi="Times New Roman" w:cs="Times New Roman"/>
          <w:szCs w:val="24"/>
        </w:rPr>
        <w:t xml:space="preserve"> d.o.o., Zagreb, Bani 75;</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BT Net d.o.o., Zagreb, Dubravkin trg 5;</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Chaos</w:t>
      </w:r>
      <w:proofErr w:type="spellEnd"/>
      <w:r w:rsidRPr="00391672">
        <w:rPr>
          <w:rFonts w:ascii="Times New Roman" w:eastAsia="Times New Roman" w:hAnsi="Times New Roman" w:cs="Times New Roman"/>
          <w:szCs w:val="24"/>
        </w:rPr>
        <w:t xml:space="preserve"> d.o.o., Varaždin, Ive </w:t>
      </w:r>
      <w:proofErr w:type="spellStart"/>
      <w:r w:rsidRPr="00391672">
        <w:rPr>
          <w:rFonts w:ascii="Times New Roman" w:eastAsia="Times New Roman" w:hAnsi="Times New Roman" w:cs="Times New Roman"/>
          <w:szCs w:val="24"/>
        </w:rPr>
        <w:t>Režeka</w:t>
      </w:r>
      <w:proofErr w:type="spellEnd"/>
      <w:r w:rsidRPr="00391672">
        <w:rPr>
          <w:rFonts w:ascii="Times New Roman" w:eastAsia="Times New Roman" w:hAnsi="Times New Roman" w:cs="Times New Roman"/>
          <w:szCs w:val="24"/>
        </w:rPr>
        <w:t xml:space="preserve"> 15;</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Dialoga</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Servicios</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Interactivos</w:t>
      </w:r>
      <w:proofErr w:type="spellEnd"/>
      <w:r w:rsidRPr="00391672">
        <w:rPr>
          <w:rFonts w:ascii="Times New Roman" w:eastAsia="Times New Roman" w:hAnsi="Times New Roman" w:cs="Times New Roman"/>
          <w:szCs w:val="24"/>
        </w:rPr>
        <w:t xml:space="preserve">, S.A., Plaza </w:t>
      </w:r>
      <w:proofErr w:type="spellStart"/>
      <w:r w:rsidRPr="00391672">
        <w:rPr>
          <w:rFonts w:ascii="Times New Roman" w:eastAsia="Times New Roman" w:hAnsi="Times New Roman" w:cs="Times New Roman"/>
          <w:szCs w:val="24"/>
        </w:rPr>
        <w:t>Euskadi</w:t>
      </w:r>
      <w:proofErr w:type="spellEnd"/>
      <w:r w:rsidRPr="00391672">
        <w:rPr>
          <w:rFonts w:ascii="Times New Roman" w:eastAsia="Times New Roman" w:hAnsi="Times New Roman" w:cs="Times New Roman"/>
          <w:szCs w:val="24"/>
        </w:rPr>
        <w:t xml:space="preserve"> n°5, </w:t>
      </w:r>
      <w:proofErr w:type="spellStart"/>
      <w:r w:rsidRPr="00391672">
        <w:rPr>
          <w:rFonts w:ascii="Times New Roman" w:eastAsia="Times New Roman" w:hAnsi="Times New Roman" w:cs="Times New Roman"/>
          <w:szCs w:val="24"/>
        </w:rPr>
        <w:t>Planta</w:t>
      </w:r>
      <w:proofErr w:type="spellEnd"/>
      <w:r w:rsidRPr="00391672">
        <w:rPr>
          <w:rFonts w:ascii="Times New Roman" w:eastAsia="Times New Roman" w:hAnsi="Times New Roman" w:cs="Times New Roman"/>
          <w:szCs w:val="24"/>
        </w:rPr>
        <w:t xml:space="preserve"> 12a, </w:t>
      </w:r>
      <w:proofErr w:type="spellStart"/>
      <w:r w:rsidRPr="00391672">
        <w:rPr>
          <w:rFonts w:ascii="Times New Roman" w:eastAsia="Times New Roman" w:hAnsi="Times New Roman" w:cs="Times New Roman"/>
          <w:szCs w:val="24"/>
        </w:rPr>
        <w:t>Torre</w:t>
      </w:r>
      <w:proofErr w:type="spellEnd"/>
      <w:r w:rsidRPr="00391672">
        <w:rPr>
          <w:rFonts w:ascii="Times New Roman" w:eastAsia="Times New Roman" w:hAnsi="Times New Roman" w:cs="Times New Roman"/>
          <w:szCs w:val="24"/>
        </w:rPr>
        <w:t xml:space="preserve"> Iberdrola, </w:t>
      </w:r>
      <w:proofErr w:type="spellStart"/>
      <w:r w:rsidRPr="00391672">
        <w:rPr>
          <w:rFonts w:ascii="Times New Roman" w:eastAsia="Times New Roman" w:hAnsi="Times New Roman" w:cs="Times New Roman"/>
          <w:szCs w:val="24"/>
        </w:rPr>
        <w:t>Bilbao</w:t>
      </w:r>
      <w:proofErr w:type="spellEnd"/>
      <w:r w:rsidRPr="00391672">
        <w:rPr>
          <w:rFonts w:ascii="Times New Roman" w:eastAsia="Times New Roman" w:hAnsi="Times New Roman" w:cs="Times New Roman"/>
          <w:szCs w:val="24"/>
        </w:rPr>
        <w:t>, Španjolska;</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Fenice</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telekom</w:t>
      </w:r>
      <w:proofErr w:type="spellEnd"/>
      <w:r w:rsidRPr="00391672">
        <w:rPr>
          <w:rFonts w:ascii="Times New Roman" w:eastAsia="Times New Roman" w:hAnsi="Times New Roman" w:cs="Times New Roman"/>
          <w:szCs w:val="24"/>
        </w:rPr>
        <w:t xml:space="preserve"> grupa d.o.o., Rijeka, Gornja </w:t>
      </w:r>
      <w:proofErr w:type="spellStart"/>
      <w:r w:rsidRPr="00391672">
        <w:rPr>
          <w:rFonts w:ascii="Times New Roman" w:eastAsia="Times New Roman" w:hAnsi="Times New Roman" w:cs="Times New Roman"/>
          <w:szCs w:val="24"/>
        </w:rPr>
        <w:t>Vežica</w:t>
      </w:r>
      <w:proofErr w:type="spellEnd"/>
      <w:r w:rsidRPr="00391672">
        <w:rPr>
          <w:rFonts w:ascii="Times New Roman" w:eastAsia="Times New Roman" w:hAnsi="Times New Roman" w:cs="Times New Roman"/>
          <w:szCs w:val="24"/>
        </w:rPr>
        <w:t xml:space="preserve"> 16/a; </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Hrvatski Telekom d.d., Zagreb, Roberta Frangeša Mihanovića 9;</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Informatika Projekt d.o.o., Zagreb, Kozjak 56;</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Iskon Internet d.d., Zagreb, </w:t>
      </w:r>
      <w:proofErr w:type="spellStart"/>
      <w:r w:rsidRPr="00391672">
        <w:rPr>
          <w:rFonts w:ascii="Times New Roman" w:eastAsia="Times New Roman" w:hAnsi="Times New Roman" w:cs="Times New Roman"/>
          <w:szCs w:val="24"/>
        </w:rPr>
        <w:t>Garićgradska</w:t>
      </w:r>
      <w:proofErr w:type="spellEnd"/>
      <w:r w:rsidRPr="00391672">
        <w:rPr>
          <w:rFonts w:ascii="Times New Roman" w:eastAsia="Times New Roman" w:hAnsi="Times New Roman" w:cs="Times New Roman"/>
          <w:szCs w:val="24"/>
        </w:rPr>
        <w:t xml:space="preserve"> 18;</w:t>
      </w:r>
    </w:p>
    <w:p w:rsidR="00391672" w:rsidRPr="00391672" w:rsidRDefault="00391672" w:rsidP="00391672">
      <w:pPr>
        <w:numPr>
          <w:ilvl w:val="1"/>
          <w:numId w:val="41"/>
        </w:numPr>
        <w:contextualSpacing/>
        <w:rPr>
          <w:rFonts w:ascii="Times New Roman" w:eastAsia="Times New Roman" w:hAnsi="Times New Roman" w:cs="Times New Roman"/>
          <w:szCs w:val="24"/>
        </w:rPr>
      </w:pPr>
      <w:r w:rsidRPr="00391672">
        <w:rPr>
          <w:rFonts w:ascii="Times New Roman" w:eastAsia="Times New Roman" w:hAnsi="Times New Roman" w:cs="Times New Roman"/>
          <w:szCs w:val="24"/>
        </w:rPr>
        <w:t>IT Jedan d.o.o., Zagreb, Selska cesta 90A;</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Magić</w:t>
      </w:r>
      <w:proofErr w:type="spellEnd"/>
      <w:r w:rsidRPr="00391672">
        <w:rPr>
          <w:rFonts w:ascii="Times New Roman" w:eastAsia="Times New Roman" w:hAnsi="Times New Roman" w:cs="Times New Roman"/>
          <w:szCs w:val="24"/>
        </w:rPr>
        <w:t xml:space="preserve"> Net d.o.o., Ludbreg, Koprivnička 17/c;</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Net-</w:t>
      </w:r>
      <w:proofErr w:type="spellStart"/>
      <w:r w:rsidRPr="00391672">
        <w:rPr>
          <w:rFonts w:ascii="Times New Roman" w:eastAsia="Times New Roman" w:hAnsi="Times New Roman" w:cs="Times New Roman"/>
          <w:szCs w:val="24"/>
        </w:rPr>
        <w:t>connect</w:t>
      </w:r>
      <w:proofErr w:type="spellEnd"/>
      <w:r w:rsidRPr="00391672">
        <w:rPr>
          <w:rFonts w:ascii="Times New Roman" w:eastAsia="Times New Roman" w:hAnsi="Times New Roman" w:cs="Times New Roman"/>
          <w:szCs w:val="24"/>
        </w:rPr>
        <w:t xml:space="preserve"> d.o.o. Zagreb, </w:t>
      </w:r>
      <w:proofErr w:type="spellStart"/>
      <w:r w:rsidRPr="00391672">
        <w:rPr>
          <w:rFonts w:ascii="Times New Roman" w:eastAsia="Times New Roman" w:hAnsi="Times New Roman" w:cs="Times New Roman"/>
          <w:szCs w:val="24"/>
        </w:rPr>
        <w:t>Petrovaradinska</w:t>
      </w:r>
      <w:proofErr w:type="spellEnd"/>
      <w:r w:rsidRPr="00391672">
        <w:rPr>
          <w:rFonts w:ascii="Times New Roman" w:eastAsia="Times New Roman" w:hAnsi="Times New Roman" w:cs="Times New Roman"/>
          <w:szCs w:val="24"/>
        </w:rPr>
        <w:t xml:space="preserve"> 1;</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Nexcom</w:t>
      </w:r>
      <w:proofErr w:type="spellEnd"/>
      <w:r w:rsidRPr="00391672">
        <w:rPr>
          <w:rFonts w:ascii="Times New Roman" w:eastAsia="Times New Roman" w:hAnsi="Times New Roman" w:cs="Times New Roman"/>
          <w:szCs w:val="24"/>
        </w:rPr>
        <w:t xml:space="preserve"> d.o.o., Zagreb, Trnjanska cesta 45;</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Novi-Net d.o.o., </w:t>
      </w:r>
      <w:proofErr w:type="spellStart"/>
      <w:r w:rsidRPr="00391672">
        <w:rPr>
          <w:rFonts w:ascii="Times New Roman" w:eastAsia="Times New Roman" w:hAnsi="Times New Roman" w:cs="Times New Roman"/>
          <w:szCs w:val="24"/>
        </w:rPr>
        <w:t>Selnica</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Merhatovec</w:t>
      </w:r>
      <w:proofErr w:type="spellEnd"/>
      <w:r w:rsidRPr="00391672">
        <w:rPr>
          <w:rFonts w:ascii="Times New Roman" w:eastAsia="Times New Roman" w:hAnsi="Times New Roman" w:cs="Times New Roman"/>
          <w:szCs w:val="24"/>
        </w:rPr>
        <w:t xml:space="preserve"> 5;</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Raystrom</w:t>
      </w:r>
      <w:proofErr w:type="spellEnd"/>
      <w:r w:rsidRPr="00391672">
        <w:rPr>
          <w:rFonts w:ascii="Times New Roman" w:eastAsia="Times New Roman" w:hAnsi="Times New Roman" w:cs="Times New Roman"/>
          <w:szCs w:val="24"/>
        </w:rPr>
        <w:t xml:space="preserve"> d.o.o., Zagreb, Radnička cesta 52/R3</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Omonia</w:t>
      </w:r>
      <w:proofErr w:type="spellEnd"/>
      <w:r w:rsidRPr="00391672">
        <w:rPr>
          <w:rFonts w:ascii="Times New Roman" w:eastAsia="Times New Roman" w:hAnsi="Times New Roman" w:cs="Times New Roman"/>
          <w:szCs w:val="24"/>
        </w:rPr>
        <w:t xml:space="preserve"> d.o.o., Zagreb, Sisačka cesta 20/a;</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Optika kabel TV d.o.o., Zaprešić, Drage </w:t>
      </w:r>
      <w:proofErr w:type="spellStart"/>
      <w:r w:rsidRPr="00391672">
        <w:rPr>
          <w:rFonts w:ascii="Times New Roman" w:eastAsia="Times New Roman" w:hAnsi="Times New Roman" w:cs="Times New Roman"/>
          <w:szCs w:val="24"/>
        </w:rPr>
        <w:t>Švajcera</w:t>
      </w:r>
      <w:proofErr w:type="spellEnd"/>
      <w:r w:rsidRPr="00391672">
        <w:rPr>
          <w:rFonts w:ascii="Times New Roman" w:eastAsia="Times New Roman" w:hAnsi="Times New Roman" w:cs="Times New Roman"/>
          <w:szCs w:val="24"/>
        </w:rPr>
        <w:t xml:space="preserve"> 1;</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Orinoco d.o.o., Zagreb, </w:t>
      </w:r>
      <w:proofErr w:type="spellStart"/>
      <w:r w:rsidRPr="00391672">
        <w:rPr>
          <w:rFonts w:ascii="Times New Roman" w:eastAsia="Times New Roman" w:hAnsi="Times New Roman" w:cs="Times New Roman"/>
          <w:szCs w:val="24"/>
        </w:rPr>
        <w:t>Hebrangova</w:t>
      </w:r>
      <w:proofErr w:type="spellEnd"/>
      <w:r w:rsidRPr="00391672">
        <w:rPr>
          <w:rFonts w:ascii="Times New Roman" w:eastAsia="Times New Roman" w:hAnsi="Times New Roman" w:cs="Times New Roman"/>
          <w:szCs w:val="24"/>
        </w:rPr>
        <w:t xml:space="preserve"> 38;</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OT-</w:t>
      </w:r>
      <w:proofErr w:type="spellStart"/>
      <w:r w:rsidRPr="00391672">
        <w:rPr>
          <w:rFonts w:ascii="Times New Roman" w:eastAsia="Times New Roman" w:hAnsi="Times New Roman" w:cs="Times New Roman"/>
          <w:szCs w:val="24"/>
        </w:rPr>
        <w:t>Optima</w:t>
      </w:r>
      <w:proofErr w:type="spellEnd"/>
      <w:r w:rsidRPr="00391672">
        <w:rPr>
          <w:rFonts w:ascii="Times New Roman" w:eastAsia="Times New Roman" w:hAnsi="Times New Roman" w:cs="Times New Roman"/>
          <w:szCs w:val="24"/>
        </w:rPr>
        <w:t xml:space="preserve"> Telekom d.d., Zagreb, Bani 75/a;</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Primo</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Teh</w:t>
      </w:r>
      <w:proofErr w:type="spellEnd"/>
      <w:r w:rsidRPr="00391672">
        <w:rPr>
          <w:rFonts w:ascii="Times New Roman" w:eastAsia="Times New Roman" w:hAnsi="Times New Roman" w:cs="Times New Roman"/>
          <w:szCs w:val="24"/>
        </w:rPr>
        <w:t xml:space="preserve"> d.o.o., Rijeka, </w:t>
      </w:r>
      <w:proofErr w:type="spellStart"/>
      <w:r w:rsidRPr="00391672">
        <w:rPr>
          <w:rFonts w:ascii="Times New Roman" w:eastAsia="Times New Roman" w:hAnsi="Times New Roman" w:cs="Times New Roman"/>
          <w:szCs w:val="24"/>
        </w:rPr>
        <w:t>Drežnička</w:t>
      </w:r>
      <w:proofErr w:type="spellEnd"/>
      <w:r w:rsidRPr="00391672">
        <w:rPr>
          <w:rFonts w:ascii="Times New Roman" w:eastAsia="Times New Roman" w:hAnsi="Times New Roman" w:cs="Times New Roman"/>
          <w:szCs w:val="24"/>
        </w:rPr>
        <w:t xml:space="preserve"> 3;</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Siol</w:t>
      </w:r>
      <w:proofErr w:type="spellEnd"/>
      <w:r w:rsidRPr="00391672">
        <w:rPr>
          <w:rFonts w:ascii="Times New Roman" w:eastAsia="Times New Roman" w:hAnsi="Times New Roman" w:cs="Times New Roman"/>
          <w:szCs w:val="24"/>
        </w:rPr>
        <w:t xml:space="preserve"> d.o.o., Zagreb, </w:t>
      </w:r>
      <w:proofErr w:type="spellStart"/>
      <w:r w:rsidRPr="00391672">
        <w:rPr>
          <w:rFonts w:ascii="Times New Roman" w:eastAsia="Times New Roman" w:hAnsi="Times New Roman" w:cs="Times New Roman"/>
          <w:szCs w:val="24"/>
        </w:rPr>
        <w:t>Margaretska</w:t>
      </w:r>
      <w:proofErr w:type="spellEnd"/>
      <w:r w:rsidRPr="00391672">
        <w:rPr>
          <w:rFonts w:ascii="Times New Roman" w:eastAsia="Times New Roman" w:hAnsi="Times New Roman" w:cs="Times New Roman"/>
          <w:szCs w:val="24"/>
        </w:rPr>
        <w:t xml:space="preserve"> 3;</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Skvid</w:t>
      </w:r>
      <w:proofErr w:type="spellEnd"/>
      <w:r w:rsidRPr="00391672">
        <w:rPr>
          <w:rFonts w:ascii="Times New Roman" w:eastAsia="Times New Roman" w:hAnsi="Times New Roman" w:cs="Times New Roman"/>
          <w:szCs w:val="24"/>
        </w:rPr>
        <w:t xml:space="preserve"> d.o.o., Zagreb, </w:t>
      </w:r>
      <w:proofErr w:type="spellStart"/>
      <w:r w:rsidRPr="00391672">
        <w:rPr>
          <w:rFonts w:ascii="Times New Roman" w:eastAsia="Times New Roman" w:hAnsi="Times New Roman" w:cs="Times New Roman"/>
          <w:szCs w:val="24"/>
        </w:rPr>
        <w:t>Jalševečka</w:t>
      </w:r>
      <w:proofErr w:type="spellEnd"/>
      <w:r w:rsidRPr="00391672">
        <w:rPr>
          <w:rFonts w:ascii="Times New Roman" w:eastAsia="Times New Roman" w:hAnsi="Times New Roman" w:cs="Times New Roman"/>
          <w:szCs w:val="24"/>
        </w:rPr>
        <w:t xml:space="preserve"> cesta 40;</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lastRenderedPageBreak/>
        <w:t>Softnet</w:t>
      </w:r>
      <w:proofErr w:type="spellEnd"/>
      <w:r w:rsidRPr="00391672">
        <w:rPr>
          <w:rFonts w:ascii="Times New Roman" w:eastAsia="Times New Roman" w:hAnsi="Times New Roman" w:cs="Times New Roman"/>
          <w:szCs w:val="24"/>
        </w:rPr>
        <w:t xml:space="preserve"> d.o.o., Zagreb, </w:t>
      </w:r>
      <w:proofErr w:type="spellStart"/>
      <w:r w:rsidRPr="00391672">
        <w:rPr>
          <w:rFonts w:ascii="Times New Roman" w:eastAsia="Times New Roman" w:hAnsi="Times New Roman" w:cs="Times New Roman"/>
          <w:szCs w:val="24"/>
        </w:rPr>
        <w:t>Cebini</w:t>
      </w:r>
      <w:proofErr w:type="spellEnd"/>
      <w:r w:rsidRPr="00391672">
        <w:rPr>
          <w:rFonts w:ascii="Times New Roman" w:eastAsia="Times New Roman" w:hAnsi="Times New Roman" w:cs="Times New Roman"/>
          <w:szCs w:val="24"/>
        </w:rPr>
        <w:t xml:space="preserve"> 37/2;</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Terrakom</w:t>
      </w:r>
      <w:proofErr w:type="spellEnd"/>
      <w:r w:rsidRPr="00391672">
        <w:rPr>
          <w:rFonts w:ascii="Times New Roman" w:eastAsia="Times New Roman" w:hAnsi="Times New Roman" w:cs="Times New Roman"/>
          <w:szCs w:val="24"/>
        </w:rPr>
        <w:t xml:space="preserve"> d.o.o., Zagreb, Radnička cesta 48/1;</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VM Telekom d.o.o., Rijeka, Riva Boduli 1;</w:t>
      </w:r>
    </w:p>
    <w:p w:rsidR="00391672" w:rsidRPr="00391672" w:rsidRDefault="00391672" w:rsidP="00391672">
      <w:pPr>
        <w:numPr>
          <w:ilvl w:val="1"/>
          <w:numId w:val="41"/>
        </w:numPr>
        <w:autoSpaceDE w:val="0"/>
        <w:autoSpaceDN w:val="0"/>
        <w:adjustRightInd w:val="0"/>
        <w:contextualSpacing/>
        <w:jc w:val="both"/>
        <w:rPr>
          <w:rFonts w:ascii="Times New Roman" w:eastAsia="Times New Roman" w:hAnsi="Times New Roman" w:cs="Times New Roman"/>
          <w:szCs w:val="24"/>
        </w:rPr>
      </w:pPr>
      <w:proofErr w:type="spellStart"/>
      <w:r w:rsidRPr="00391672">
        <w:rPr>
          <w:rFonts w:ascii="Times New Roman" w:eastAsia="Times New Roman" w:hAnsi="Times New Roman" w:cs="Times New Roman"/>
          <w:szCs w:val="24"/>
        </w:rPr>
        <w:t>Vocalis</w:t>
      </w:r>
      <w:proofErr w:type="spellEnd"/>
      <w:r w:rsidRPr="00391672">
        <w:rPr>
          <w:rFonts w:ascii="Times New Roman" w:eastAsia="Times New Roman" w:hAnsi="Times New Roman" w:cs="Times New Roman"/>
          <w:szCs w:val="24"/>
        </w:rPr>
        <w:t xml:space="preserve"> d.o.o., Opatija, Antona </w:t>
      </w:r>
      <w:proofErr w:type="spellStart"/>
      <w:r w:rsidRPr="00391672">
        <w:rPr>
          <w:rFonts w:ascii="Times New Roman" w:eastAsia="Times New Roman" w:hAnsi="Times New Roman" w:cs="Times New Roman"/>
          <w:szCs w:val="24"/>
        </w:rPr>
        <w:t>Mihića</w:t>
      </w:r>
      <w:proofErr w:type="spellEnd"/>
      <w:r w:rsidRPr="00391672">
        <w:rPr>
          <w:rFonts w:ascii="Times New Roman" w:eastAsia="Times New Roman" w:hAnsi="Times New Roman" w:cs="Times New Roman"/>
          <w:szCs w:val="24"/>
        </w:rPr>
        <w:t xml:space="preserve"> 12;</w:t>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p>
    <w:p w:rsidR="00391672" w:rsidRPr="00391672" w:rsidRDefault="00391672" w:rsidP="00391672">
      <w:pPr>
        <w:autoSpaceDE w:val="0"/>
        <w:autoSpaceDN w:val="0"/>
        <w:adjustRightInd w:val="0"/>
        <w:ind w:left="108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određuju se operatorima sa značajnom tržišnom snagom na tržištu veleprodajnog završavanja poziva u vlastitoj javnoj telefonskoj mreži koja se pruža na fiksnoj lokaciji.</w:t>
      </w:r>
    </w:p>
    <w:p w:rsidR="00391672" w:rsidRPr="00391672" w:rsidRDefault="00391672" w:rsidP="00391672">
      <w:pPr>
        <w:autoSpaceDE w:val="0"/>
        <w:autoSpaceDN w:val="0"/>
        <w:adjustRightInd w:val="0"/>
        <w:ind w:left="1080"/>
        <w:jc w:val="both"/>
        <w:rPr>
          <w:rFonts w:ascii="Times New Roman" w:eastAsia="Times New Roman" w:hAnsi="Times New Roman" w:cs="Times New Roman"/>
          <w:szCs w:val="24"/>
        </w:rPr>
      </w:pPr>
    </w:p>
    <w:p w:rsidR="00391672" w:rsidRPr="00391672" w:rsidRDefault="00391672" w:rsidP="00391672">
      <w:pPr>
        <w:numPr>
          <w:ilvl w:val="0"/>
          <w:numId w:val="41"/>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Trgovačkom društvu Hrvatski Telekom d.d. određuju se sljedeće regulatorne obveze: obveza pristupa i korištenja posebnih dijelova mreže, obveza nediskriminacije, obveza transparentnosti, obveza nadzora cijena i vođenja troškovnog računovodstva i obveza računovodstvenog razdvajanja, dok se ostalim trgovačkim društvima iz točke II. izreke ove odluke određuju sljedeće regulatorne obveze: obveza pristupa i korištenja posebnih dijelova mreže, obveza nediskriminacije, obveza transparentnosti, obveza nadzora cijena.</w:t>
      </w:r>
    </w:p>
    <w:p w:rsidR="00391672" w:rsidRPr="00391672" w:rsidRDefault="00391672" w:rsidP="00391672">
      <w:pPr>
        <w:autoSpaceDE w:val="0"/>
        <w:autoSpaceDN w:val="0"/>
        <w:adjustRightInd w:val="0"/>
        <w:ind w:left="1080"/>
        <w:jc w:val="both"/>
        <w:rPr>
          <w:rFonts w:ascii="Times New Roman" w:eastAsia="Times New Roman" w:hAnsi="Times New Roman" w:cs="Times New Roman"/>
          <w:szCs w:val="24"/>
        </w:rPr>
      </w:pPr>
    </w:p>
    <w:p w:rsidR="00391672" w:rsidRPr="00391672" w:rsidRDefault="00391672" w:rsidP="00391672">
      <w:pPr>
        <w:numPr>
          <w:ilvl w:val="0"/>
          <w:numId w:val="41"/>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Način, uvjeti i rokovi provođenja regulatornih obveza iz točke III. ove odluke propisani su dokumentom Hrvatske regulatorne agencije za mrežne djelatnosti „</w:t>
      </w:r>
      <w:r w:rsidRPr="00391672">
        <w:rPr>
          <w:rFonts w:ascii="Times New Roman" w:eastAsia="Times New Roman" w:hAnsi="Times New Roman" w:cs="Times New Roman"/>
          <w:i/>
          <w:szCs w:val="24"/>
        </w:rPr>
        <w:t>Tržište veleprodajnog završavanja poziva u vlastitoj javnoj telefonskoj mreži koja se pruža na fiksnoj lokaciji</w:t>
      </w:r>
      <w:r w:rsidRPr="00391672">
        <w:rPr>
          <w:rFonts w:ascii="Times New Roman" w:eastAsia="Times New Roman" w:hAnsi="Times New Roman" w:cs="Times New Roman"/>
          <w:szCs w:val="24"/>
        </w:rPr>
        <w:t>“ koji je u cijelosti sastavni dio ove odluke, a trgovačka društva iz točke II. izreke ove odluke obvezna su u potpunosti izvršavati sve određene im regulatorne obveze.</w:t>
      </w:r>
    </w:p>
    <w:p w:rsidR="00391672" w:rsidRPr="00391672" w:rsidRDefault="00391672" w:rsidP="00391672">
      <w:pPr>
        <w:autoSpaceDE w:val="0"/>
        <w:autoSpaceDN w:val="0"/>
        <w:adjustRightInd w:val="0"/>
        <w:ind w:left="1080"/>
        <w:jc w:val="both"/>
        <w:rPr>
          <w:rFonts w:ascii="Times New Roman" w:eastAsia="Times New Roman" w:hAnsi="Times New Roman" w:cs="Times New Roman"/>
          <w:szCs w:val="24"/>
        </w:rPr>
      </w:pPr>
    </w:p>
    <w:p w:rsidR="00391672" w:rsidRPr="00391672" w:rsidRDefault="00391672" w:rsidP="00391672">
      <w:pPr>
        <w:numPr>
          <w:ilvl w:val="0"/>
          <w:numId w:val="41"/>
        </w:numPr>
        <w:contextualSpacing/>
        <w:jc w:val="both"/>
        <w:rPr>
          <w:rFonts w:ascii="Times New Roman" w:eastAsia="Times New Roman" w:hAnsi="Times New Roman" w:cs="Times New Roman"/>
          <w:szCs w:val="24"/>
        </w:rPr>
      </w:pPr>
      <w:r w:rsidRPr="00391672">
        <w:rPr>
          <w:rFonts w:ascii="Times New Roman" w:eastAsia="Times New Roman" w:hAnsi="Times New Roman" w:cs="Times New Roman"/>
          <w:szCs w:val="24"/>
        </w:rPr>
        <w:t>Ukidaju se regulatorne obveze određene odlukom o analizi tržišta veleprodajnog završavanja poziva u vlastitoj javnoj telefonskoj mreži koja se pruža na fiksnoj lokaciji (KLASA: UP/I-344-01/14-03/14, URBROJ: 376-11-15-12 od 30. ožujka 2015.) kao i svim njezinim izmjenama i dopunama.</w:t>
      </w:r>
    </w:p>
    <w:p w:rsidR="00391672" w:rsidRPr="00391672" w:rsidRDefault="00391672" w:rsidP="00391672">
      <w:pPr>
        <w:ind w:left="720"/>
        <w:contextualSpacing/>
        <w:rPr>
          <w:rFonts w:ascii="Times New Roman" w:eastAsia="Times New Roman" w:hAnsi="Times New Roman" w:cs="Times New Roman"/>
          <w:szCs w:val="24"/>
        </w:rPr>
      </w:pPr>
    </w:p>
    <w:p w:rsidR="00391672" w:rsidRPr="00391672" w:rsidRDefault="00391672" w:rsidP="00391672">
      <w:pPr>
        <w:ind w:left="1080"/>
        <w:contextualSpacing/>
        <w:jc w:val="both"/>
        <w:rPr>
          <w:rFonts w:ascii="Times New Roman" w:eastAsia="Times New Roman" w:hAnsi="Times New Roman" w:cs="Times New Roman"/>
          <w:szCs w:val="24"/>
        </w:rPr>
      </w:pPr>
    </w:p>
    <w:p w:rsidR="00391672" w:rsidRPr="00391672" w:rsidRDefault="00391672" w:rsidP="00391672">
      <w:pPr>
        <w:jc w:val="both"/>
        <w:rPr>
          <w:rFonts w:ascii="Times New Roman" w:eastAsia="Times New Roman" w:hAnsi="Times New Roman" w:cs="Times New Roman"/>
          <w:szCs w:val="24"/>
        </w:rPr>
      </w:pPr>
    </w:p>
    <w:p w:rsidR="00391672" w:rsidRPr="00391672" w:rsidRDefault="00391672" w:rsidP="00391672">
      <w:pPr>
        <w:spacing w:before="120" w:after="120"/>
        <w:jc w:val="center"/>
        <w:rPr>
          <w:rFonts w:ascii="Times New Roman" w:eastAsia="Times New Roman" w:hAnsi="Times New Roman" w:cs="Times New Roman"/>
          <w:b/>
          <w:i/>
          <w:szCs w:val="24"/>
        </w:rPr>
      </w:pPr>
      <w:r w:rsidRPr="00391672">
        <w:rPr>
          <w:rFonts w:ascii="Times New Roman" w:eastAsia="Times New Roman" w:hAnsi="Times New Roman" w:cs="Times New Roman"/>
          <w:b/>
          <w:i/>
          <w:szCs w:val="24"/>
        </w:rPr>
        <w:t>Obrazloženje</w:t>
      </w:r>
    </w:p>
    <w:p w:rsidR="00391672" w:rsidRPr="00391672" w:rsidRDefault="00391672" w:rsidP="00391672">
      <w:pPr>
        <w:spacing w:before="120" w:after="120"/>
        <w:jc w:val="center"/>
        <w:rPr>
          <w:rFonts w:ascii="Times New Roman" w:eastAsia="Times New Roman" w:hAnsi="Times New Roman" w:cs="Times New Roman"/>
          <w:b/>
          <w:i/>
          <w:szCs w:val="24"/>
        </w:rPr>
      </w:pPr>
    </w:p>
    <w:p w:rsidR="00391672" w:rsidRPr="00391672" w:rsidRDefault="00391672" w:rsidP="00391672">
      <w:pPr>
        <w:tabs>
          <w:tab w:val="num" w:pos="1080"/>
        </w:tabs>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Hrvatska regulatorna agencija za mrežne djelatnosti (dalje: HAKOM) pokrenula je, u skladu s člankom 53. stavka 1. Zakona o elektroničkim komunikacijama (NN br. 73/08, 90/11, 133/12, 80/13, 71/14 i 72/17, dalje: ZEK) postupak utvrđivanja mjerodavnog tržišta veleprodajnog završavanja poziva u vlastitoj javnoj telefonskoj mreži koja se pruža na fiksnoj lokaciji, budući da su od zadnje analize ovog tržišta prošle tri godine. </w:t>
      </w:r>
    </w:p>
    <w:p w:rsidR="00391672" w:rsidRPr="00391672" w:rsidRDefault="00391672" w:rsidP="00391672">
      <w:pPr>
        <w:tabs>
          <w:tab w:val="num" w:pos="1080"/>
        </w:tabs>
        <w:autoSpaceDE w:val="0"/>
        <w:autoSpaceDN w:val="0"/>
        <w:adjustRightInd w:val="0"/>
        <w:jc w:val="both"/>
        <w:rPr>
          <w:rFonts w:ascii="Times New Roman" w:eastAsia="Times New Roman" w:hAnsi="Times New Roman" w:cs="Times New Roman"/>
          <w:szCs w:val="24"/>
        </w:rPr>
      </w:pPr>
    </w:p>
    <w:p w:rsidR="00391672" w:rsidRPr="00391672" w:rsidRDefault="00391672" w:rsidP="00391672">
      <w:pPr>
        <w:jc w:val="both"/>
        <w:rPr>
          <w:rFonts w:ascii="Times New Roman" w:eastAsia="Times New Roman" w:hAnsi="Times New Roman" w:cs="Times New Roman"/>
          <w:szCs w:val="24"/>
        </w:rPr>
      </w:pPr>
      <w:r w:rsidRPr="00391672">
        <w:rPr>
          <w:rFonts w:ascii="Times New Roman" w:eastAsia="Times New Roman" w:hAnsi="Times New Roman" w:cs="Times New Roman"/>
          <w:szCs w:val="24"/>
        </w:rPr>
        <w:t>U provedbi postupka analize tržišta, HAKOM je sukladno članku 53. stavku 1. ZEK-a u svezi s člankom 52. stavkom 6. ZEK-a osobito vodio računa o primjeni mjerodavne Preporuke Europske komisije o mjerodavnim tržištima podložnima prethodnoj (</w:t>
      </w:r>
      <w:r w:rsidRPr="00391672">
        <w:rPr>
          <w:rFonts w:ascii="Times New Roman" w:eastAsia="Times New Roman" w:hAnsi="Times New Roman" w:cs="Times New Roman"/>
          <w:i/>
          <w:iCs/>
          <w:szCs w:val="24"/>
        </w:rPr>
        <w:t>ex ante</w:t>
      </w:r>
      <w:r w:rsidRPr="00391672">
        <w:rPr>
          <w:rFonts w:ascii="Times New Roman" w:eastAsia="Times New Roman" w:hAnsi="Times New Roman" w:cs="Times New Roman"/>
          <w:szCs w:val="24"/>
        </w:rPr>
        <w:t>) regulaciji (dalje: Preporuka EK) i mjerodavnim Smjernicama Europske komisije za analizu tržišta i ocjenu značajne tržišne snage na temelju regulatornog okvira EU-a za elektroničke komunikacijske mreže i usluge. S obzirom da se ovo mjerodavno tržište, prema Preporuci EK, nalazi na popisu tržišta podložnih prethodnoj regulaciji, HAKOM je, uzevši u obzir stanje na domaćem tržištu elektroničkih komunikacijskih mreža i usluga odlučio kao u točki I. izreke ove odluke.</w:t>
      </w:r>
    </w:p>
    <w:p w:rsidR="00391672" w:rsidRPr="00391672" w:rsidRDefault="00391672" w:rsidP="00391672">
      <w:pPr>
        <w:tabs>
          <w:tab w:val="num" w:pos="1080"/>
        </w:tabs>
        <w:autoSpaceDE w:val="0"/>
        <w:autoSpaceDN w:val="0"/>
        <w:adjustRightInd w:val="0"/>
        <w:jc w:val="both"/>
        <w:rPr>
          <w:rFonts w:ascii="Times New Roman" w:eastAsia="Times New Roman" w:hAnsi="Times New Roman" w:cs="Times New Roman"/>
          <w:szCs w:val="24"/>
        </w:rPr>
      </w:pPr>
    </w:p>
    <w:p w:rsidR="00391672" w:rsidRPr="00391672" w:rsidRDefault="00391672" w:rsidP="00391672">
      <w:pPr>
        <w:tabs>
          <w:tab w:val="left" w:pos="1080"/>
        </w:tabs>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lastRenderedPageBreak/>
        <w:t>U postupku određivanja mjerodavnog tržišta, HAKOM je, sukladno članku 54. stavku 3. ZEK-a, odredio dimenziju usluga i zemljopisnu dimenziju mjerodavnog tržišta. Temeljem provedene analize, HAKOM je odredio mjerodavno tržište veleprodajnog završavanja poziva u vlastitoj javnoj telefonskoj mreži koja se pruža na fiksnoj lokaciji, na način da su definirana zasebna tržišta veleprodajnog završavanja poziva u mrežu svakog od operatora točke II. izreke ove odluke, neovisno o elektroničkoj komunikacijskoj mreži u kojoj je poziv započeo.</w:t>
      </w:r>
    </w:p>
    <w:p w:rsidR="00391672" w:rsidRPr="00391672" w:rsidRDefault="00391672" w:rsidP="00391672">
      <w:pPr>
        <w:tabs>
          <w:tab w:val="left" w:pos="1080"/>
        </w:tabs>
        <w:autoSpaceDE w:val="0"/>
        <w:autoSpaceDN w:val="0"/>
        <w:adjustRightInd w:val="0"/>
        <w:jc w:val="both"/>
        <w:rPr>
          <w:rFonts w:ascii="Times New Roman" w:eastAsia="Times New Roman" w:hAnsi="Times New Roman" w:cs="Times New Roman"/>
          <w:szCs w:val="24"/>
        </w:rPr>
      </w:pPr>
    </w:p>
    <w:p w:rsidR="00391672" w:rsidRPr="00391672" w:rsidRDefault="00391672" w:rsidP="00391672">
      <w:pPr>
        <w:tabs>
          <w:tab w:val="left" w:pos="1080"/>
        </w:tabs>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Nadalje, HAKOM je odredio da je mjerodavno tržište u zemljopisnoj dimenziji nacionalni teritorij Republike Hrvatske.</w:t>
      </w:r>
    </w:p>
    <w:p w:rsidR="00391672" w:rsidRPr="00391672" w:rsidRDefault="00391672" w:rsidP="00391672">
      <w:pPr>
        <w:tabs>
          <w:tab w:val="left" w:pos="1080"/>
        </w:tabs>
        <w:autoSpaceDE w:val="0"/>
        <w:autoSpaceDN w:val="0"/>
        <w:adjustRightInd w:val="0"/>
        <w:jc w:val="both"/>
        <w:rPr>
          <w:rFonts w:ascii="Times New Roman" w:eastAsia="Times New Roman" w:hAnsi="Times New Roman" w:cs="Times New Roman"/>
          <w:szCs w:val="24"/>
        </w:rPr>
      </w:pPr>
    </w:p>
    <w:p w:rsidR="00391672" w:rsidRPr="00391672" w:rsidRDefault="00391672" w:rsidP="00391672">
      <w:pPr>
        <w:tabs>
          <w:tab w:val="left" w:pos="1080"/>
        </w:tabs>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Nakon što je odredio mjerodavno tržište, HAKOM je, na temelju određenih mjerila iz članka 55. stavka 3. ZEK-a, utvrdio da su svi operatori iz točke II. izreke ove odluke operatori sa značajnom tržišnom snagom na tržištu veleprodajnog završavanja poziva u vlastitoj javnoj telefonskoj mreži koja se pruža na fiksnoj lokaciji.</w:t>
      </w:r>
    </w:p>
    <w:p w:rsidR="00391672" w:rsidRPr="00391672" w:rsidRDefault="00391672" w:rsidP="00391672">
      <w:pPr>
        <w:tabs>
          <w:tab w:val="left" w:pos="1080"/>
        </w:tabs>
        <w:autoSpaceDE w:val="0"/>
        <w:autoSpaceDN w:val="0"/>
        <w:adjustRightInd w:val="0"/>
        <w:jc w:val="both"/>
        <w:rPr>
          <w:rFonts w:ascii="Times New Roman" w:eastAsia="Times New Roman" w:hAnsi="Times New Roman" w:cs="Times New Roman"/>
          <w:szCs w:val="24"/>
        </w:rPr>
      </w:pP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Nastavno na navedeno, na temelju prepreka razvoju tržišnog natjecanja koje se mogu pojaviti na mjerodavnom tržištu, HAKOM je HT-u odredio sljedeće regulatorne obveze:</w:t>
      </w:r>
    </w:p>
    <w:p w:rsidR="00391672" w:rsidRPr="00391672" w:rsidRDefault="00391672" w:rsidP="00391672">
      <w:pPr>
        <w:numPr>
          <w:ilvl w:val="0"/>
          <w:numId w:val="40"/>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obveza pristupa i korištenja posebnih dijelova mreže (članak 61. ZEK-a), </w:t>
      </w:r>
    </w:p>
    <w:p w:rsidR="00391672" w:rsidRPr="00391672" w:rsidRDefault="00391672" w:rsidP="00391672">
      <w:pPr>
        <w:numPr>
          <w:ilvl w:val="0"/>
          <w:numId w:val="40"/>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obveza nediskriminacije (članak 59. ZEK-a),</w:t>
      </w:r>
    </w:p>
    <w:p w:rsidR="00391672" w:rsidRPr="00391672" w:rsidRDefault="00391672" w:rsidP="00391672">
      <w:pPr>
        <w:numPr>
          <w:ilvl w:val="0"/>
          <w:numId w:val="40"/>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obveza transparentnosti (članak 58. ZEK-a),</w:t>
      </w:r>
    </w:p>
    <w:p w:rsidR="00391672" w:rsidRPr="00391672" w:rsidRDefault="00391672" w:rsidP="00391672">
      <w:pPr>
        <w:numPr>
          <w:ilvl w:val="0"/>
          <w:numId w:val="40"/>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obvezu nadzora cijena i vođenja troškovnog računovodstva (članak 62. ZEK-a),</w:t>
      </w:r>
    </w:p>
    <w:p w:rsidR="00391672" w:rsidRPr="00391672" w:rsidRDefault="00391672" w:rsidP="00391672">
      <w:pPr>
        <w:numPr>
          <w:ilvl w:val="0"/>
          <w:numId w:val="40"/>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obvezu računovodstvenog razdvajanja (članak 60. ZEK-a). </w:t>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Ostalim operatorima iz točke II. izreke ove odluke HAKOM je odredio sljedeće regulatorne obveze:</w:t>
      </w:r>
    </w:p>
    <w:p w:rsidR="00391672" w:rsidRPr="00391672" w:rsidRDefault="00391672" w:rsidP="00391672">
      <w:pPr>
        <w:numPr>
          <w:ilvl w:val="0"/>
          <w:numId w:val="40"/>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obveza pristupa i korištenja posebnih dijelova mreže (članak 61. ZEK-a), </w:t>
      </w:r>
    </w:p>
    <w:p w:rsidR="00391672" w:rsidRPr="00391672" w:rsidRDefault="00391672" w:rsidP="00391672">
      <w:pPr>
        <w:numPr>
          <w:ilvl w:val="0"/>
          <w:numId w:val="40"/>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obveza nediskriminacije (članak 59. ZEK-a),</w:t>
      </w:r>
    </w:p>
    <w:p w:rsidR="00391672" w:rsidRPr="00391672" w:rsidRDefault="00391672" w:rsidP="00391672">
      <w:pPr>
        <w:numPr>
          <w:ilvl w:val="0"/>
          <w:numId w:val="40"/>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obveza transparentnosti (članak 58. ZEK-a),</w:t>
      </w:r>
    </w:p>
    <w:p w:rsidR="00391672" w:rsidRPr="00391672" w:rsidRDefault="00391672" w:rsidP="00391672">
      <w:pPr>
        <w:numPr>
          <w:ilvl w:val="0"/>
          <w:numId w:val="40"/>
        </w:num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obvezu nadzora cijena (članak 62. ZEK-a).</w:t>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O ovom prijedlogu odluke i pripadajućem dokumentu „</w:t>
      </w:r>
      <w:r w:rsidRPr="00391672">
        <w:rPr>
          <w:rFonts w:ascii="Times New Roman" w:eastAsia="Times New Roman" w:hAnsi="Times New Roman" w:cs="Times New Roman"/>
          <w:i/>
          <w:szCs w:val="24"/>
        </w:rPr>
        <w:t>Tržište veleprodajnog završavanja poziva u vlastitoj javnoj telefonskoj mreži koja se pruža na fiksnoj lokaciji</w:t>
      </w:r>
      <w:r w:rsidRPr="00391672">
        <w:rPr>
          <w:rFonts w:ascii="Times New Roman" w:eastAsia="Times New Roman" w:hAnsi="Times New Roman" w:cs="Times New Roman"/>
          <w:szCs w:val="24"/>
        </w:rPr>
        <w:t xml:space="preserve">“ (dalje: Dokument) HAKOM je proveo javnu raspravu od 27. rujna do 22. listopada 2018. Međutim, u tijeku javne rasprave, HAKOM je utvrdio da </w:t>
      </w:r>
      <w:proofErr w:type="spellStart"/>
      <w:r w:rsidRPr="00391672">
        <w:rPr>
          <w:rFonts w:ascii="Times New Roman" w:eastAsia="Times New Roman" w:hAnsi="Times New Roman" w:cs="Times New Roman"/>
          <w:szCs w:val="24"/>
        </w:rPr>
        <w:t>Dialoga</w:t>
      </w:r>
      <w:proofErr w:type="spellEnd"/>
      <w:r w:rsidRPr="00391672">
        <w:rPr>
          <w:rFonts w:ascii="Times New Roman" w:eastAsia="Times New Roman" w:hAnsi="Times New Roman" w:cs="Times New Roman"/>
          <w:szCs w:val="24"/>
        </w:rPr>
        <w:t xml:space="preserve"> d.o.o. (dalje: </w:t>
      </w:r>
      <w:proofErr w:type="spellStart"/>
      <w:r w:rsidRPr="00391672">
        <w:rPr>
          <w:rFonts w:ascii="Times New Roman" w:eastAsia="Times New Roman" w:hAnsi="Times New Roman" w:cs="Times New Roman"/>
          <w:szCs w:val="24"/>
        </w:rPr>
        <w:t>Dialoga</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Raystorm</w:t>
      </w:r>
      <w:proofErr w:type="spellEnd"/>
      <w:r w:rsidRPr="00391672">
        <w:rPr>
          <w:rFonts w:ascii="Times New Roman" w:eastAsia="Times New Roman" w:hAnsi="Times New Roman" w:cs="Times New Roman"/>
          <w:szCs w:val="24"/>
        </w:rPr>
        <w:t xml:space="preserve"> d.o.o. (dalje: </w:t>
      </w:r>
      <w:proofErr w:type="spellStart"/>
      <w:r w:rsidRPr="00391672">
        <w:rPr>
          <w:rFonts w:ascii="Times New Roman" w:eastAsia="Times New Roman" w:hAnsi="Times New Roman" w:cs="Times New Roman"/>
          <w:szCs w:val="24"/>
        </w:rPr>
        <w:t>Raystorm</w:t>
      </w:r>
      <w:proofErr w:type="spellEnd"/>
      <w:r w:rsidRPr="00391672">
        <w:rPr>
          <w:rFonts w:ascii="Times New Roman" w:eastAsia="Times New Roman" w:hAnsi="Times New Roman" w:cs="Times New Roman"/>
          <w:szCs w:val="24"/>
        </w:rPr>
        <w:t xml:space="preserve">), 4Tel komunikacije d.o.o. (dalje: 4Tel), </w:t>
      </w:r>
      <w:proofErr w:type="spellStart"/>
      <w:r w:rsidRPr="00391672">
        <w:rPr>
          <w:rFonts w:ascii="Times New Roman" w:eastAsia="Times New Roman" w:hAnsi="Times New Roman" w:cs="Times New Roman"/>
          <w:szCs w:val="24"/>
        </w:rPr>
        <w:t>Siol</w:t>
      </w:r>
      <w:proofErr w:type="spellEnd"/>
      <w:r w:rsidRPr="00391672">
        <w:rPr>
          <w:rFonts w:ascii="Times New Roman" w:eastAsia="Times New Roman" w:hAnsi="Times New Roman" w:cs="Times New Roman"/>
          <w:szCs w:val="24"/>
        </w:rPr>
        <w:t xml:space="preserve"> d.o.o. (dalje: </w:t>
      </w:r>
      <w:proofErr w:type="spellStart"/>
      <w:r w:rsidRPr="00391672">
        <w:rPr>
          <w:rFonts w:ascii="Times New Roman" w:eastAsia="Times New Roman" w:hAnsi="Times New Roman" w:cs="Times New Roman"/>
          <w:szCs w:val="24"/>
        </w:rPr>
        <w:t>Siol</w:t>
      </w:r>
      <w:proofErr w:type="spellEnd"/>
      <w:r w:rsidRPr="00391672">
        <w:rPr>
          <w:rFonts w:ascii="Times New Roman" w:eastAsia="Times New Roman" w:hAnsi="Times New Roman" w:cs="Times New Roman"/>
          <w:szCs w:val="24"/>
        </w:rPr>
        <w:t xml:space="preserve">), IT Jedan d.o.o. (dalje: IT Jedan), </w:t>
      </w:r>
      <w:proofErr w:type="spellStart"/>
      <w:r w:rsidRPr="00391672">
        <w:rPr>
          <w:rFonts w:ascii="Times New Roman" w:eastAsia="Times New Roman" w:hAnsi="Times New Roman" w:cs="Times New Roman"/>
          <w:szCs w:val="24"/>
        </w:rPr>
        <w:t>Chaos</w:t>
      </w:r>
      <w:proofErr w:type="spellEnd"/>
      <w:r w:rsidRPr="00391672">
        <w:rPr>
          <w:rFonts w:ascii="Times New Roman" w:eastAsia="Times New Roman" w:hAnsi="Times New Roman" w:cs="Times New Roman"/>
          <w:szCs w:val="24"/>
        </w:rPr>
        <w:t xml:space="preserve"> d.o.o. (dalje: </w:t>
      </w:r>
      <w:proofErr w:type="spellStart"/>
      <w:r w:rsidRPr="00391672">
        <w:rPr>
          <w:rFonts w:ascii="Times New Roman" w:eastAsia="Times New Roman" w:hAnsi="Times New Roman" w:cs="Times New Roman"/>
          <w:szCs w:val="24"/>
        </w:rPr>
        <w:t>Chaos</w:t>
      </w:r>
      <w:proofErr w:type="spellEnd"/>
      <w:r w:rsidRPr="00391672">
        <w:rPr>
          <w:rFonts w:ascii="Times New Roman" w:eastAsia="Times New Roman" w:hAnsi="Times New Roman" w:cs="Times New Roman"/>
          <w:szCs w:val="24"/>
        </w:rPr>
        <w:t xml:space="preserve">), Informatika Projekt d.o.o. (dalje: </w:t>
      </w:r>
      <w:proofErr w:type="spellStart"/>
      <w:r w:rsidRPr="00391672">
        <w:rPr>
          <w:rFonts w:ascii="Times New Roman" w:eastAsia="Times New Roman" w:hAnsi="Times New Roman" w:cs="Times New Roman"/>
          <w:szCs w:val="24"/>
        </w:rPr>
        <w:t>iProjekt</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Primo</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Teh</w:t>
      </w:r>
      <w:proofErr w:type="spellEnd"/>
      <w:r w:rsidRPr="00391672">
        <w:rPr>
          <w:rFonts w:ascii="Times New Roman" w:eastAsia="Times New Roman" w:hAnsi="Times New Roman" w:cs="Times New Roman"/>
          <w:szCs w:val="24"/>
        </w:rPr>
        <w:t xml:space="preserve"> d.o.o. (dalje: </w:t>
      </w:r>
      <w:proofErr w:type="spellStart"/>
      <w:r w:rsidRPr="00391672">
        <w:rPr>
          <w:rFonts w:ascii="Times New Roman" w:eastAsia="Times New Roman" w:hAnsi="Times New Roman" w:cs="Times New Roman"/>
          <w:szCs w:val="24"/>
        </w:rPr>
        <w:t>Primo</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Teh</w:t>
      </w:r>
      <w:proofErr w:type="spellEnd"/>
      <w:r w:rsidRPr="00391672">
        <w:rPr>
          <w:rFonts w:ascii="Times New Roman" w:eastAsia="Times New Roman" w:hAnsi="Times New Roman" w:cs="Times New Roman"/>
          <w:szCs w:val="24"/>
        </w:rPr>
        <w:t xml:space="preserve">), VM Telekom d.o.o. (dalje: VM Telekom) i </w:t>
      </w:r>
      <w:proofErr w:type="spellStart"/>
      <w:r w:rsidRPr="00391672">
        <w:rPr>
          <w:rFonts w:ascii="Times New Roman" w:eastAsia="Times New Roman" w:hAnsi="Times New Roman" w:cs="Times New Roman"/>
          <w:szCs w:val="24"/>
        </w:rPr>
        <w:t>Nexcom</w:t>
      </w:r>
      <w:proofErr w:type="spellEnd"/>
      <w:r w:rsidRPr="00391672">
        <w:rPr>
          <w:rFonts w:ascii="Times New Roman" w:eastAsia="Times New Roman" w:hAnsi="Times New Roman" w:cs="Times New Roman"/>
          <w:szCs w:val="24"/>
        </w:rPr>
        <w:t xml:space="preserve"> d.o.o. (dalje: </w:t>
      </w:r>
      <w:proofErr w:type="spellStart"/>
      <w:r w:rsidRPr="00391672">
        <w:rPr>
          <w:rFonts w:ascii="Times New Roman" w:eastAsia="Times New Roman" w:hAnsi="Times New Roman" w:cs="Times New Roman"/>
          <w:szCs w:val="24"/>
        </w:rPr>
        <w:t>Nexcom</w:t>
      </w:r>
      <w:proofErr w:type="spellEnd"/>
      <w:r w:rsidRPr="00391672">
        <w:rPr>
          <w:rFonts w:ascii="Times New Roman" w:eastAsia="Times New Roman" w:hAnsi="Times New Roman" w:cs="Times New Roman"/>
          <w:szCs w:val="24"/>
        </w:rPr>
        <w:t xml:space="preserve">) imaju potpisane ugovore o međupovezivanju, a što je osnova da isti operatori budu određeni operatorima sa značajnom tržišnom snagom na ovom mjerodavnom tržištu. S tim u vezi, HAKOM je dopunio prijedlog odluke na način da su trgovačka društva </w:t>
      </w:r>
      <w:proofErr w:type="spellStart"/>
      <w:r w:rsidRPr="00391672">
        <w:rPr>
          <w:rFonts w:ascii="Times New Roman" w:eastAsia="Times New Roman" w:hAnsi="Times New Roman" w:cs="Times New Roman"/>
          <w:szCs w:val="24"/>
        </w:rPr>
        <w:t>Dialoga</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Raystorm</w:t>
      </w:r>
      <w:proofErr w:type="spellEnd"/>
      <w:r w:rsidRPr="00391672">
        <w:rPr>
          <w:rFonts w:ascii="Times New Roman" w:eastAsia="Times New Roman" w:hAnsi="Times New Roman" w:cs="Times New Roman"/>
          <w:szCs w:val="24"/>
        </w:rPr>
        <w:t xml:space="preserve">, 4Tel, </w:t>
      </w:r>
      <w:proofErr w:type="spellStart"/>
      <w:r w:rsidRPr="00391672">
        <w:rPr>
          <w:rFonts w:ascii="Times New Roman" w:eastAsia="Times New Roman" w:hAnsi="Times New Roman" w:cs="Times New Roman"/>
          <w:szCs w:val="24"/>
        </w:rPr>
        <w:t>Siol</w:t>
      </w:r>
      <w:proofErr w:type="spellEnd"/>
      <w:r w:rsidRPr="00391672">
        <w:rPr>
          <w:rFonts w:ascii="Times New Roman" w:eastAsia="Times New Roman" w:hAnsi="Times New Roman" w:cs="Times New Roman"/>
          <w:szCs w:val="24"/>
        </w:rPr>
        <w:t xml:space="preserve">, IT Jedan, </w:t>
      </w:r>
      <w:proofErr w:type="spellStart"/>
      <w:r w:rsidRPr="00391672">
        <w:rPr>
          <w:rFonts w:ascii="Times New Roman" w:eastAsia="Times New Roman" w:hAnsi="Times New Roman" w:cs="Times New Roman"/>
          <w:szCs w:val="24"/>
        </w:rPr>
        <w:t>Chaos</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iProjekt</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Primo</w:t>
      </w:r>
      <w:proofErr w:type="spellEnd"/>
      <w:r w:rsidRPr="00391672">
        <w:rPr>
          <w:rFonts w:ascii="Times New Roman" w:eastAsia="Times New Roman" w:hAnsi="Times New Roman" w:cs="Times New Roman"/>
          <w:szCs w:val="24"/>
        </w:rPr>
        <w:t xml:space="preserve"> </w:t>
      </w:r>
      <w:proofErr w:type="spellStart"/>
      <w:r w:rsidRPr="00391672">
        <w:rPr>
          <w:rFonts w:ascii="Times New Roman" w:eastAsia="Times New Roman" w:hAnsi="Times New Roman" w:cs="Times New Roman"/>
          <w:szCs w:val="24"/>
        </w:rPr>
        <w:t>Teh</w:t>
      </w:r>
      <w:proofErr w:type="spellEnd"/>
      <w:r w:rsidRPr="00391672">
        <w:rPr>
          <w:rFonts w:ascii="Times New Roman" w:eastAsia="Times New Roman" w:hAnsi="Times New Roman" w:cs="Times New Roman"/>
          <w:szCs w:val="24"/>
        </w:rPr>
        <w:t xml:space="preserve">, VM Telekom i </w:t>
      </w:r>
      <w:proofErr w:type="spellStart"/>
      <w:r w:rsidRPr="00391672">
        <w:rPr>
          <w:rFonts w:ascii="Times New Roman" w:eastAsia="Times New Roman" w:hAnsi="Times New Roman" w:cs="Times New Roman"/>
          <w:szCs w:val="24"/>
        </w:rPr>
        <w:t>Nexcom</w:t>
      </w:r>
      <w:proofErr w:type="spellEnd"/>
      <w:r w:rsidRPr="00391672">
        <w:rPr>
          <w:rFonts w:ascii="Times New Roman" w:eastAsia="Times New Roman" w:hAnsi="Times New Roman" w:cs="Times New Roman"/>
          <w:szCs w:val="24"/>
        </w:rPr>
        <w:t xml:space="preserve"> određeni operatorima sa značajnom tržišnom snagom predmetnom tržištu.</w:t>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Slijedom navedenog, HAKOM je 30. listopada 2018. otvorio drugi krug javne rasprave o dopunjenom prijedlogu odluke i pripadajućem Dokumentu. </w:t>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Trgovačka društva koja su određena operatorima sa značajnom tržišnom snagom obvezna su izvršavati sve regulatorne obveze na način, pod uvjetima i u rokovima kako je to propisano u Dokumentu koji je u cijelosti sastavni dio ove odluke. Slijedom navedenog, HAKOM je </w:t>
      </w:r>
      <w:r w:rsidRPr="00391672">
        <w:rPr>
          <w:rFonts w:ascii="Times New Roman" w:eastAsia="Times New Roman" w:hAnsi="Times New Roman" w:cs="Times New Roman"/>
          <w:szCs w:val="24"/>
        </w:rPr>
        <w:lastRenderedPageBreak/>
        <w:t xml:space="preserve">odlučio kao u točki IV. izreke ove odluke. </w:t>
      </w:r>
      <w:r w:rsidRPr="00391672">
        <w:rPr>
          <w:rFonts w:ascii="Times New Roman" w:eastAsia="Times New Roman" w:hAnsi="Times New Roman" w:cs="Times New Roman"/>
          <w:szCs w:val="24"/>
        </w:rPr>
        <w:cr/>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Regulatorne obveze koje su HT-u, i ostalim operatorima iz točke II. izreke ove odluke, određene odlukom o analizi tržišta veleprodajnog završavanja poziva u vlastitoj javnoj telefonskoj mreži koja se pruža na fiksnoj lokaciji (KLASA: UP/I-344-01/14-03/14, URBROJ: 376-11-15-12  od 30. ožujka 2015.) te odlukom o izmjeni analize tržišta veleprodajnog završavanja poziva u vlastitoj javnoj telefonskoj mreži koja se pruža na fiksnoj lokaciji (KLASA: UP/I-344-01/15-05/13, URBROJ: 376-11-15-13 od 23. prosinca 2015.) se ukidaju, pa je slijedom toga odlučeno kao u točki V. izreke ove odluke.</w:t>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Sukladno članku 54. stavku 5. ZEK-a, HAKOM će zatražiti mišljenje Agencije za zaštitu tržišnog natjecanja (dalje: AZTN) o načinu na koji je HAKOM utvrdio operatore sa značajnom tržišnom snagom. Mišljenje AZTN-a o načinu na koji je HAKOM odredio mjerodavno tržište, HAKOM je zaprimio 18. listopada 2018. </w:t>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r w:rsidRPr="00391672">
        <w:rPr>
          <w:rFonts w:ascii="Times New Roman" w:eastAsia="Times New Roman" w:hAnsi="Times New Roman" w:cs="Times New Roman"/>
          <w:szCs w:val="24"/>
        </w:rPr>
        <w:t xml:space="preserve">Sukladno članku 22. ZEK-a o ovom prijedlogu provest će se javna rasprava. </w:t>
      </w:r>
    </w:p>
    <w:p w:rsidR="00391672" w:rsidRPr="00391672" w:rsidRDefault="00391672" w:rsidP="00391672">
      <w:pPr>
        <w:autoSpaceDE w:val="0"/>
        <w:autoSpaceDN w:val="0"/>
        <w:adjustRightInd w:val="0"/>
        <w:jc w:val="both"/>
        <w:rPr>
          <w:rFonts w:ascii="Times New Roman" w:eastAsia="Times New Roman" w:hAnsi="Times New Roman" w:cs="Times New Roman"/>
          <w:szCs w:val="24"/>
        </w:rPr>
      </w:pPr>
    </w:p>
    <w:tbl>
      <w:tblPr>
        <w:tblW w:w="9854" w:type="dxa"/>
        <w:tblLook w:val="01E0" w:firstRow="1" w:lastRow="1" w:firstColumn="1" w:lastColumn="1" w:noHBand="0" w:noVBand="0"/>
      </w:tblPr>
      <w:tblGrid>
        <w:gridCol w:w="4927"/>
        <w:gridCol w:w="4927"/>
      </w:tblGrid>
      <w:tr w:rsidR="00391672" w:rsidRPr="00391672" w:rsidTr="006D39AC">
        <w:tc>
          <w:tcPr>
            <w:tcW w:w="4927" w:type="dxa"/>
            <w:shd w:val="clear" w:color="auto" w:fill="auto"/>
          </w:tcPr>
          <w:p w:rsidR="00391672" w:rsidRPr="00391672" w:rsidRDefault="00391672" w:rsidP="00391672">
            <w:pPr>
              <w:rPr>
                <w:rFonts w:ascii="Times New Roman" w:eastAsia="Times New Roman" w:hAnsi="Times New Roman" w:cs="Times New Roman"/>
                <w:szCs w:val="24"/>
              </w:rPr>
            </w:pPr>
          </w:p>
          <w:p w:rsidR="00391672" w:rsidRPr="00391672" w:rsidRDefault="00391672" w:rsidP="00391672">
            <w:pPr>
              <w:rPr>
                <w:rFonts w:ascii="Times New Roman" w:eastAsia="Times New Roman" w:hAnsi="Times New Roman" w:cs="Times New Roman"/>
                <w:szCs w:val="24"/>
              </w:rPr>
            </w:pPr>
          </w:p>
          <w:p w:rsidR="00391672" w:rsidRPr="00391672" w:rsidRDefault="00391672" w:rsidP="00391672">
            <w:pPr>
              <w:rPr>
                <w:rFonts w:ascii="Times New Roman" w:eastAsia="Times New Roman" w:hAnsi="Times New Roman" w:cs="Times New Roman"/>
                <w:szCs w:val="24"/>
              </w:rPr>
            </w:pPr>
          </w:p>
        </w:tc>
        <w:tc>
          <w:tcPr>
            <w:tcW w:w="4927" w:type="dxa"/>
            <w:shd w:val="clear" w:color="auto" w:fill="auto"/>
          </w:tcPr>
          <w:p w:rsidR="00391672" w:rsidRPr="00391672" w:rsidRDefault="00391672" w:rsidP="00391672">
            <w:pPr>
              <w:tabs>
                <w:tab w:val="center" w:pos="7655"/>
              </w:tabs>
              <w:spacing w:before="240" w:after="600"/>
              <w:jc w:val="center"/>
              <w:rPr>
                <w:rFonts w:ascii="Times New Roman" w:eastAsia="Times New Roman" w:hAnsi="Times New Roman" w:cs="Times New Roman"/>
                <w:b/>
                <w:i/>
                <w:caps/>
                <w:sz w:val="20"/>
                <w:szCs w:val="24"/>
              </w:rPr>
            </w:pPr>
            <w:r w:rsidRPr="00391672">
              <w:rPr>
                <w:rFonts w:ascii="Times New Roman" w:eastAsia="Times New Roman" w:hAnsi="Times New Roman" w:cs="Times New Roman"/>
                <w:b/>
                <w:i/>
                <w:caps/>
                <w:sz w:val="20"/>
                <w:szCs w:val="24"/>
              </w:rPr>
              <w:t>Predsjednik Vijeća</w:t>
            </w:r>
          </w:p>
        </w:tc>
      </w:tr>
      <w:tr w:rsidR="00391672" w:rsidRPr="00391672" w:rsidTr="006D39AC">
        <w:tc>
          <w:tcPr>
            <w:tcW w:w="4927" w:type="dxa"/>
            <w:shd w:val="clear" w:color="auto" w:fill="auto"/>
          </w:tcPr>
          <w:p w:rsidR="00391672" w:rsidRPr="00391672" w:rsidRDefault="00391672" w:rsidP="00391672">
            <w:pPr>
              <w:rPr>
                <w:rFonts w:ascii="Times New Roman" w:eastAsia="Times New Roman" w:hAnsi="Times New Roman" w:cs="Times New Roman"/>
                <w:szCs w:val="24"/>
              </w:rPr>
            </w:pPr>
          </w:p>
        </w:tc>
        <w:tc>
          <w:tcPr>
            <w:tcW w:w="4927" w:type="dxa"/>
            <w:shd w:val="clear" w:color="auto" w:fill="auto"/>
          </w:tcPr>
          <w:p w:rsidR="00391672" w:rsidRPr="00391672" w:rsidRDefault="00391672" w:rsidP="00391672">
            <w:pPr>
              <w:tabs>
                <w:tab w:val="center" w:pos="7655"/>
              </w:tabs>
              <w:spacing w:after="600"/>
              <w:jc w:val="center"/>
              <w:rPr>
                <w:rFonts w:ascii="Times New Roman" w:eastAsia="Times New Roman" w:hAnsi="Times New Roman" w:cs="Times New Roman"/>
                <w:b/>
                <w:i/>
                <w:sz w:val="22"/>
                <w:szCs w:val="24"/>
              </w:rPr>
            </w:pPr>
            <w:proofErr w:type="spellStart"/>
            <w:r w:rsidRPr="00391672">
              <w:rPr>
                <w:rFonts w:ascii="Times New Roman" w:eastAsia="Times New Roman" w:hAnsi="Times New Roman" w:cs="Times New Roman"/>
                <w:b/>
                <w:i/>
                <w:sz w:val="22"/>
                <w:szCs w:val="24"/>
              </w:rPr>
              <w:t>Tonko</w:t>
            </w:r>
            <w:proofErr w:type="spellEnd"/>
            <w:r w:rsidRPr="00391672">
              <w:rPr>
                <w:rFonts w:ascii="Times New Roman" w:eastAsia="Times New Roman" w:hAnsi="Times New Roman" w:cs="Times New Roman"/>
                <w:b/>
                <w:i/>
                <w:sz w:val="22"/>
                <w:szCs w:val="24"/>
              </w:rPr>
              <w:t xml:space="preserve"> </w:t>
            </w:r>
            <w:proofErr w:type="spellStart"/>
            <w:r w:rsidRPr="00391672">
              <w:rPr>
                <w:rFonts w:ascii="Times New Roman" w:eastAsia="Times New Roman" w:hAnsi="Times New Roman" w:cs="Times New Roman"/>
                <w:b/>
                <w:i/>
                <w:sz w:val="22"/>
                <w:szCs w:val="24"/>
              </w:rPr>
              <w:t>Obuljen</w:t>
            </w:r>
            <w:proofErr w:type="spellEnd"/>
          </w:p>
        </w:tc>
      </w:tr>
    </w:tbl>
    <w:p w:rsidR="00391672" w:rsidRPr="00391672" w:rsidRDefault="00391672" w:rsidP="00391672">
      <w:pPr>
        <w:rPr>
          <w:rFonts w:ascii="Times New Roman" w:eastAsia="Times New Roman" w:hAnsi="Times New Roman" w:cs="Times New Roman"/>
          <w:sz w:val="20"/>
          <w:szCs w:val="20"/>
        </w:rPr>
      </w:pPr>
    </w:p>
    <w:p w:rsidR="00391672" w:rsidRDefault="00391672">
      <w:pPr>
        <w:rPr>
          <w:rFonts w:ascii="Calibri" w:hAnsi="Calibri"/>
        </w:rPr>
        <w:sectPr w:rsidR="00391672" w:rsidSect="00347A2E">
          <w:footerReference w:type="default" r:id="rId10"/>
          <w:headerReference w:type="first" r:id="rId11"/>
          <w:footerReference w:type="first" r:id="rId12"/>
          <w:pgSz w:w="11906" w:h="16838"/>
          <w:pgMar w:top="1417" w:right="1417" w:bottom="1417" w:left="1417" w:header="708" w:footer="708" w:gutter="0"/>
          <w:cols w:space="708"/>
          <w:titlePg/>
          <w:docGrid w:linePitch="360"/>
        </w:sectPr>
      </w:pPr>
    </w:p>
    <w:p w:rsidR="004E1FC7" w:rsidRPr="0005566C" w:rsidRDefault="004E1FC7">
      <w:pPr>
        <w:rPr>
          <w:rFonts w:ascii="Calibri" w:hAnsi="Calibri"/>
        </w:rPr>
      </w:pPr>
    </w:p>
    <w:tbl>
      <w:tblPr>
        <w:tblStyle w:val="MediumList2-Accent1"/>
        <w:tblpPr w:leftFromText="187" w:rightFromText="187" w:vertAnchor="page" w:horzAnchor="page" w:tblpX="1971" w:tblpY="6196"/>
        <w:tblW w:w="5022" w:type="pct"/>
        <w:tblLook w:val="06A0" w:firstRow="1" w:lastRow="0" w:firstColumn="1" w:lastColumn="0" w:noHBand="1" w:noVBand="1"/>
      </w:tblPr>
      <w:tblGrid>
        <w:gridCol w:w="6367"/>
        <w:gridCol w:w="1016"/>
        <w:gridCol w:w="1946"/>
      </w:tblGrid>
      <w:tr w:rsidR="00ED4D44" w:rsidRPr="00347A2E" w:rsidTr="00ED4D44">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205" w:type="dxa"/>
            <w:shd w:val="clear" w:color="auto" w:fill="auto"/>
          </w:tcPr>
          <w:p w:rsidR="00ED4D44" w:rsidRDefault="00ED4D44" w:rsidP="00ED4D44">
            <w:pPr>
              <w:rPr>
                <w:sz w:val="44"/>
                <w:szCs w:val="44"/>
              </w:rPr>
            </w:pPr>
            <w:r w:rsidRPr="00347A2E">
              <w:rPr>
                <w:sz w:val="44"/>
                <w:szCs w:val="44"/>
              </w:rPr>
              <w:t xml:space="preserve">TRŽIŠTE </w:t>
            </w:r>
            <w:r>
              <w:rPr>
                <w:sz w:val="44"/>
                <w:szCs w:val="44"/>
              </w:rPr>
              <w:t>VELEPRODAJNOG ZAVRŠAVANJA POZIVA U VLASTITOJ JAVNOJ TELEFONSKOJ MREŽI KOJA SE PRUŽA NA FIKSNOJ LOKACIJI</w:t>
            </w:r>
          </w:p>
          <w:p w:rsidR="00ED4D44" w:rsidRDefault="00ED4D44" w:rsidP="00ED4D44">
            <w:pPr>
              <w:rPr>
                <w:sz w:val="44"/>
                <w:szCs w:val="44"/>
              </w:rPr>
            </w:pPr>
          </w:p>
          <w:p w:rsidR="00ED4D44" w:rsidRPr="00347A2E" w:rsidRDefault="00ED4D44" w:rsidP="00ED4D44">
            <w:pPr>
              <w:spacing w:line="276" w:lineRule="auto"/>
              <w:rPr>
                <w:i/>
                <w:sz w:val="26"/>
                <w:szCs w:val="26"/>
              </w:rPr>
            </w:pPr>
            <w:r w:rsidRPr="00A832F2">
              <w:rPr>
                <w:i/>
                <w:sz w:val="26"/>
                <w:szCs w:val="26"/>
              </w:rPr>
              <w:t>Prijedlog za javnu raspravu</w:t>
            </w:r>
            <w:r w:rsidR="004476D2">
              <w:rPr>
                <w:i/>
                <w:sz w:val="26"/>
                <w:szCs w:val="26"/>
              </w:rPr>
              <w:t>- 2. krug</w:t>
            </w:r>
          </w:p>
        </w:tc>
        <w:tc>
          <w:tcPr>
            <w:tcW w:w="2887" w:type="dxa"/>
            <w:gridSpan w:val="2"/>
            <w:shd w:val="clear" w:color="auto" w:fill="auto"/>
          </w:tcPr>
          <w:p w:rsidR="00ED4D44" w:rsidRPr="00347A2E" w:rsidRDefault="00ED4D44" w:rsidP="00ED4D44">
            <w:pPr>
              <w:cnfStyle w:val="100000000000" w:firstRow="1" w:lastRow="0" w:firstColumn="0" w:lastColumn="0" w:oddVBand="0" w:evenVBand="0" w:oddHBand="0" w:evenHBand="0" w:firstRowFirstColumn="0" w:firstRowLastColumn="0" w:lastRowFirstColumn="0" w:lastRowLastColumn="0"/>
              <w:rPr>
                <w:sz w:val="40"/>
                <w:szCs w:val="40"/>
                <w:lang w:eastAsia="hr-HR"/>
              </w:rPr>
            </w:pPr>
          </w:p>
          <w:p w:rsidR="00ED4D44" w:rsidRPr="00347A2E" w:rsidRDefault="00ED4D44" w:rsidP="00ED4D44">
            <w:pPr>
              <w:cnfStyle w:val="100000000000" w:firstRow="1" w:lastRow="0" w:firstColumn="0" w:lastColumn="0" w:oddVBand="0" w:evenVBand="0" w:oddHBand="0" w:evenHBand="0" w:firstRowFirstColumn="0" w:firstRowLastColumn="0" w:lastRowFirstColumn="0" w:lastRowLastColumn="0"/>
              <w:rPr>
                <w:sz w:val="44"/>
                <w:szCs w:val="44"/>
                <w:lang w:eastAsia="hr-HR"/>
                <w14:numForm w14:val="oldStyle"/>
              </w:rPr>
            </w:pPr>
            <w:r w:rsidRPr="00347A2E">
              <w:rPr>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201</w:t>
            </w:r>
            <w:r>
              <w:rPr>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8</w:t>
            </w:r>
          </w:p>
        </w:tc>
      </w:tr>
      <w:tr w:rsidR="00ED4D44" w:rsidRPr="00347A2E" w:rsidTr="00ED4D44">
        <w:trPr>
          <w:trHeight w:val="737"/>
        </w:trPr>
        <w:tc>
          <w:tcPr>
            <w:cnfStyle w:val="001000000000" w:firstRow="0" w:lastRow="0" w:firstColumn="1" w:lastColumn="0" w:oddVBand="0" w:evenVBand="0" w:oddHBand="0" w:evenHBand="0" w:firstRowFirstColumn="0" w:firstRowLastColumn="0" w:lastRowFirstColumn="0" w:lastRowLastColumn="0"/>
            <w:tcW w:w="7195" w:type="dxa"/>
            <w:gridSpan w:val="2"/>
          </w:tcPr>
          <w:p w:rsidR="00ED4D44" w:rsidRPr="00347A2E" w:rsidRDefault="00ED4D44" w:rsidP="00ED4D44">
            <w:pPr>
              <w:numPr>
                <w:ilvl w:val="1"/>
                <w:numId w:val="0"/>
              </w:numPr>
              <w:rPr>
                <w:i/>
                <w:iCs/>
                <w:color w:val="4F81BD" w:themeColor="accent1"/>
                <w:spacing w:val="15"/>
                <w:sz w:val="28"/>
                <w:szCs w:val="28"/>
                <w:lang w:eastAsia="hr-HR"/>
              </w:rPr>
            </w:pPr>
            <w:r w:rsidRPr="00347A2E">
              <w:rPr>
                <w:i/>
                <w:iCs/>
                <w:color w:val="4F81BD" w:themeColor="accent1"/>
                <w:spacing w:val="15"/>
                <w:sz w:val="28"/>
                <w:szCs w:val="28"/>
                <w:lang w:eastAsia="hr-HR"/>
              </w:rPr>
              <w:t>Hrvatska regulatorna agencija za mrežne djelatnosti</w:t>
            </w:r>
          </w:p>
        </w:tc>
        <w:tc>
          <w:tcPr>
            <w:tcW w:w="1897" w:type="dxa"/>
            <w:vAlign w:val="center"/>
          </w:tcPr>
          <w:p w:rsidR="00ED4D44" w:rsidRPr="00347A2E" w:rsidRDefault="00ED4D44" w:rsidP="00ED4D44">
            <w:pPr>
              <w:jc w:val="right"/>
              <w:cnfStyle w:val="000000000000" w:firstRow="0" w:lastRow="0" w:firstColumn="0" w:lastColumn="0" w:oddVBand="0" w:evenVBand="0" w:oddHBand="0" w:evenHBand="0" w:firstRowFirstColumn="0" w:firstRowLastColumn="0" w:lastRowFirstColumn="0" w:lastRowLastColumn="0"/>
              <w:rPr>
                <w:sz w:val="40"/>
                <w:szCs w:val="40"/>
                <w:lang w:eastAsia="hr-HR"/>
              </w:rPr>
            </w:pPr>
            <w:r w:rsidRPr="00347A2E">
              <w:rPr>
                <w:noProof/>
                <w:sz w:val="20"/>
                <w:lang w:val="en-US"/>
              </w:rPr>
              <w:drawing>
                <wp:anchor distT="0" distB="0" distL="114300" distR="114300" simplePos="0" relativeHeight="251658240" behindDoc="1" locked="0" layoutInCell="1" allowOverlap="1" wp14:anchorId="59BB19B5" wp14:editId="79D62358">
                  <wp:simplePos x="0" y="0"/>
                  <wp:positionH relativeFrom="column">
                    <wp:posOffset>342265</wp:posOffset>
                  </wp:positionH>
                  <wp:positionV relativeFrom="paragraph">
                    <wp:posOffset>-4445</wp:posOffset>
                  </wp:positionV>
                  <wp:extent cx="342900" cy="224790"/>
                  <wp:effectExtent l="0" t="0" r="0" b="381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D7656B" w:rsidRDefault="004E1FC7" w:rsidP="00F77841">
      <w:pPr>
        <w:rPr>
          <w:noProof/>
        </w:rPr>
      </w:pPr>
      <w:r w:rsidRPr="0005566C">
        <w:rPr>
          <w:rFonts w:ascii="Calibri" w:eastAsia="Times New Roman" w:hAnsi="Calibri"/>
          <w:b/>
          <w:sz w:val="40"/>
          <w:szCs w:val="40"/>
        </w:rPr>
        <w:br w:type="page"/>
      </w:r>
      <w:r w:rsidR="001A106E" w:rsidRPr="00F12CB5">
        <w:rPr>
          <w:rFonts w:asciiTheme="majorHAnsi" w:hAnsiTheme="majorHAnsi"/>
          <w:b/>
          <w:color w:val="4F81BD" w:themeColor="accent1"/>
          <w:sz w:val="28"/>
          <w:szCs w:val="28"/>
        </w:rPr>
        <w:lastRenderedPageBreak/>
        <w:t>Sadržaj</w:t>
      </w:r>
      <w:r w:rsidR="00B6294D">
        <w:rPr>
          <w:rFonts w:asciiTheme="majorHAnsi" w:hAnsiTheme="majorHAnsi"/>
          <w:b/>
          <w:color w:val="4F81BD" w:themeColor="accent1"/>
          <w:sz w:val="28"/>
          <w:szCs w:val="28"/>
        </w:rPr>
        <w:fldChar w:fldCharType="begin"/>
      </w:r>
      <w:r w:rsidR="00B6294D">
        <w:rPr>
          <w:rFonts w:asciiTheme="majorHAnsi" w:hAnsiTheme="majorHAnsi"/>
          <w:b/>
          <w:color w:val="4F81BD" w:themeColor="accent1"/>
          <w:sz w:val="28"/>
          <w:szCs w:val="28"/>
        </w:rPr>
        <w:instrText xml:space="preserve"> TOC \o "1-3" \h \z \u </w:instrText>
      </w:r>
      <w:r w:rsidR="00B6294D">
        <w:rPr>
          <w:rFonts w:asciiTheme="majorHAnsi" w:hAnsiTheme="majorHAnsi"/>
          <w:b/>
          <w:color w:val="4F81BD" w:themeColor="accent1"/>
          <w:sz w:val="28"/>
          <w:szCs w:val="28"/>
        </w:rPr>
        <w:fldChar w:fldCharType="separate"/>
      </w:r>
    </w:p>
    <w:p w:rsidR="00D7656B" w:rsidRDefault="000343B9">
      <w:pPr>
        <w:pStyle w:val="TOC1"/>
        <w:tabs>
          <w:tab w:val="left" w:pos="332"/>
          <w:tab w:val="right" w:leader="dot" w:pos="9062"/>
        </w:tabs>
        <w:rPr>
          <w:rFonts w:eastAsiaTheme="minorEastAsia" w:cstheme="minorBidi"/>
          <w:b w:val="0"/>
          <w:bCs w:val="0"/>
          <w:caps w:val="0"/>
          <w:noProof/>
          <w:u w:val="none"/>
        </w:rPr>
      </w:pPr>
      <w:hyperlink w:anchor="_Toc525729828" w:history="1">
        <w:r w:rsidR="00D7656B" w:rsidRPr="00125856">
          <w:rPr>
            <w:rStyle w:val="Hyperlink"/>
            <w:noProof/>
          </w:rPr>
          <w:t>1</w:t>
        </w:r>
        <w:r w:rsidR="00D7656B">
          <w:rPr>
            <w:rFonts w:eastAsiaTheme="minorEastAsia" w:cstheme="minorBidi"/>
            <w:b w:val="0"/>
            <w:bCs w:val="0"/>
            <w:caps w:val="0"/>
            <w:noProof/>
            <w:u w:val="none"/>
          </w:rPr>
          <w:tab/>
        </w:r>
        <w:r w:rsidR="00D7656B" w:rsidRPr="00125856">
          <w:rPr>
            <w:rStyle w:val="Hyperlink"/>
            <w:noProof/>
          </w:rPr>
          <w:t>Sažeti pregled dokumenta</w:t>
        </w:r>
        <w:r w:rsidR="00D7656B">
          <w:rPr>
            <w:noProof/>
            <w:webHidden/>
          </w:rPr>
          <w:tab/>
        </w:r>
        <w:r w:rsidR="00D7656B">
          <w:rPr>
            <w:noProof/>
            <w:webHidden/>
          </w:rPr>
          <w:fldChar w:fldCharType="begin"/>
        </w:r>
        <w:r w:rsidR="00D7656B">
          <w:rPr>
            <w:noProof/>
            <w:webHidden/>
          </w:rPr>
          <w:instrText xml:space="preserve"> PAGEREF _Toc525729828 \h </w:instrText>
        </w:r>
        <w:r w:rsidR="00D7656B">
          <w:rPr>
            <w:noProof/>
            <w:webHidden/>
          </w:rPr>
        </w:r>
        <w:r w:rsidR="00D7656B">
          <w:rPr>
            <w:noProof/>
            <w:webHidden/>
          </w:rPr>
          <w:fldChar w:fldCharType="separate"/>
        </w:r>
        <w:r w:rsidR="00391672">
          <w:rPr>
            <w:noProof/>
            <w:webHidden/>
          </w:rPr>
          <w:t>1</w:t>
        </w:r>
        <w:r w:rsidR="00D7656B">
          <w:rPr>
            <w:noProof/>
            <w:webHidden/>
          </w:rPr>
          <w:fldChar w:fldCharType="end"/>
        </w:r>
      </w:hyperlink>
    </w:p>
    <w:p w:rsidR="00D7656B" w:rsidRDefault="000343B9">
      <w:pPr>
        <w:pStyle w:val="TOC1"/>
        <w:tabs>
          <w:tab w:val="left" w:pos="332"/>
          <w:tab w:val="right" w:leader="dot" w:pos="9062"/>
        </w:tabs>
        <w:rPr>
          <w:rFonts w:eastAsiaTheme="minorEastAsia" w:cstheme="minorBidi"/>
          <w:b w:val="0"/>
          <w:bCs w:val="0"/>
          <w:caps w:val="0"/>
          <w:noProof/>
          <w:u w:val="none"/>
        </w:rPr>
      </w:pPr>
      <w:hyperlink w:anchor="_Toc525729829" w:history="1">
        <w:r w:rsidR="00D7656B" w:rsidRPr="00125856">
          <w:rPr>
            <w:rStyle w:val="Hyperlink"/>
            <w:noProof/>
          </w:rPr>
          <w:t>2</w:t>
        </w:r>
        <w:r w:rsidR="00D7656B">
          <w:rPr>
            <w:rFonts w:eastAsiaTheme="minorEastAsia" w:cstheme="minorBidi"/>
            <w:b w:val="0"/>
            <w:bCs w:val="0"/>
            <w:caps w:val="0"/>
            <w:noProof/>
            <w:u w:val="none"/>
          </w:rPr>
          <w:tab/>
        </w:r>
        <w:r w:rsidR="00D7656B" w:rsidRPr="00125856">
          <w:rPr>
            <w:rStyle w:val="Hyperlink"/>
            <w:noProof/>
          </w:rPr>
          <w:t>Uvod</w:t>
        </w:r>
        <w:r w:rsidR="00D7656B">
          <w:rPr>
            <w:noProof/>
            <w:webHidden/>
          </w:rPr>
          <w:tab/>
        </w:r>
        <w:r w:rsidR="00D7656B">
          <w:rPr>
            <w:noProof/>
            <w:webHidden/>
          </w:rPr>
          <w:fldChar w:fldCharType="begin"/>
        </w:r>
        <w:r w:rsidR="00D7656B">
          <w:rPr>
            <w:noProof/>
            <w:webHidden/>
          </w:rPr>
          <w:instrText xml:space="preserve"> PAGEREF _Toc525729829 \h </w:instrText>
        </w:r>
        <w:r w:rsidR="00D7656B">
          <w:rPr>
            <w:noProof/>
            <w:webHidden/>
          </w:rPr>
        </w:r>
        <w:r w:rsidR="00D7656B">
          <w:rPr>
            <w:noProof/>
            <w:webHidden/>
          </w:rPr>
          <w:fldChar w:fldCharType="separate"/>
        </w:r>
        <w:r w:rsidR="00391672">
          <w:rPr>
            <w:noProof/>
            <w:webHidden/>
          </w:rPr>
          <w:t>3</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30" w:history="1">
        <w:r w:rsidR="00D7656B" w:rsidRPr="00125856">
          <w:rPr>
            <w:rStyle w:val="Hyperlink"/>
            <w:noProof/>
            <w14:scene3d>
              <w14:camera w14:prst="orthographicFront"/>
              <w14:lightRig w14:rig="threePt" w14:dir="t">
                <w14:rot w14:lat="0" w14:lon="0" w14:rev="0"/>
              </w14:lightRig>
            </w14:scene3d>
          </w:rPr>
          <w:t>2.1</w:t>
        </w:r>
        <w:r w:rsidR="00D7656B">
          <w:rPr>
            <w:rFonts w:eastAsiaTheme="minorEastAsia" w:cstheme="minorBidi"/>
            <w:b w:val="0"/>
            <w:bCs w:val="0"/>
            <w:smallCaps w:val="0"/>
            <w:noProof/>
          </w:rPr>
          <w:tab/>
        </w:r>
        <w:r w:rsidR="00D7656B" w:rsidRPr="00125856">
          <w:rPr>
            <w:rStyle w:val="Hyperlink"/>
            <w:noProof/>
          </w:rPr>
          <w:t>Europski regulatorni okvir za elektroničke komunikacije</w:t>
        </w:r>
        <w:r w:rsidR="00D7656B">
          <w:rPr>
            <w:noProof/>
            <w:webHidden/>
          </w:rPr>
          <w:tab/>
        </w:r>
        <w:r w:rsidR="00D7656B">
          <w:rPr>
            <w:noProof/>
            <w:webHidden/>
          </w:rPr>
          <w:fldChar w:fldCharType="begin"/>
        </w:r>
        <w:r w:rsidR="00D7656B">
          <w:rPr>
            <w:noProof/>
            <w:webHidden/>
          </w:rPr>
          <w:instrText xml:space="preserve"> PAGEREF _Toc525729830 \h </w:instrText>
        </w:r>
        <w:r w:rsidR="00D7656B">
          <w:rPr>
            <w:noProof/>
            <w:webHidden/>
          </w:rPr>
        </w:r>
        <w:r w:rsidR="00D7656B">
          <w:rPr>
            <w:noProof/>
            <w:webHidden/>
          </w:rPr>
          <w:fldChar w:fldCharType="separate"/>
        </w:r>
        <w:r w:rsidR="00391672">
          <w:rPr>
            <w:noProof/>
            <w:webHidden/>
          </w:rPr>
          <w:t>3</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31" w:history="1">
        <w:r w:rsidR="00D7656B" w:rsidRPr="00125856">
          <w:rPr>
            <w:rStyle w:val="Hyperlink"/>
            <w:noProof/>
            <w14:scene3d>
              <w14:camera w14:prst="orthographicFront"/>
              <w14:lightRig w14:rig="threePt" w14:dir="t">
                <w14:rot w14:lat="0" w14:lon="0" w14:rev="0"/>
              </w14:lightRig>
            </w14:scene3d>
          </w:rPr>
          <w:t>2.2</w:t>
        </w:r>
        <w:r w:rsidR="00D7656B">
          <w:rPr>
            <w:rFonts w:eastAsiaTheme="minorEastAsia" w:cstheme="minorBidi"/>
            <w:b w:val="0"/>
            <w:bCs w:val="0"/>
            <w:smallCaps w:val="0"/>
            <w:noProof/>
          </w:rPr>
          <w:tab/>
        </w:r>
        <w:r w:rsidR="00D7656B" w:rsidRPr="00125856">
          <w:rPr>
            <w:rStyle w:val="Hyperlink"/>
            <w:noProof/>
          </w:rPr>
          <w:t>Zakon o elektroničkim komunikacijama</w:t>
        </w:r>
        <w:r w:rsidR="00D7656B">
          <w:rPr>
            <w:noProof/>
            <w:webHidden/>
          </w:rPr>
          <w:tab/>
        </w:r>
        <w:r w:rsidR="00D7656B">
          <w:rPr>
            <w:noProof/>
            <w:webHidden/>
          </w:rPr>
          <w:fldChar w:fldCharType="begin"/>
        </w:r>
        <w:r w:rsidR="00D7656B">
          <w:rPr>
            <w:noProof/>
            <w:webHidden/>
          </w:rPr>
          <w:instrText xml:space="preserve"> PAGEREF _Toc525729831 \h </w:instrText>
        </w:r>
        <w:r w:rsidR="00D7656B">
          <w:rPr>
            <w:noProof/>
            <w:webHidden/>
          </w:rPr>
        </w:r>
        <w:r w:rsidR="00D7656B">
          <w:rPr>
            <w:noProof/>
            <w:webHidden/>
          </w:rPr>
          <w:fldChar w:fldCharType="separate"/>
        </w:r>
        <w:r w:rsidR="00391672">
          <w:rPr>
            <w:noProof/>
            <w:webHidden/>
          </w:rPr>
          <w:t>4</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32" w:history="1">
        <w:r w:rsidR="00D7656B" w:rsidRPr="00125856">
          <w:rPr>
            <w:rStyle w:val="Hyperlink"/>
            <w:noProof/>
            <w14:scene3d>
              <w14:camera w14:prst="orthographicFront"/>
              <w14:lightRig w14:rig="threePt" w14:dir="t">
                <w14:rot w14:lat="0" w14:lon="0" w14:rev="0"/>
              </w14:lightRig>
            </w14:scene3d>
          </w:rPr>
          <w:t>2.3</w:t>
        </w:r>
        <w:r w:rsidR="00D7656B">
          <w:rPr>
            <w:rFonts w:eastAsiaTheme="minorEastAsia" w:cstheme="minorBidi"/>
            <w:b w:val="0"/>
            <w:bCs w:val="0"/>
            <w:smallCaps w:val="0"/>
            <w:noProof/>
          </w:rPr>
          <w:tab/>
        </w:r>
        <w:r w:rsidR="00D7656B" w:rsidRPr="00125856">
          <w:rPr>
            <w:rStyle w:val="Hyperlink"/>
            <w:noProof/>
          </w:rPr>
          <w:t>Odnos prema drugim zakonima</w:t>
        </w:r>
        <w:r w:rsidR="00D7656B">
          <w:rPr>
            <w:noProof/>
            <w:webHidden/>
          </w:rPr>
          <w:tab/>
        </w:r>
        <w:r w:rsidR="00D7656B">
          <w:rPr>
            <w:noProof/>
            <w:webHidden/>
          </w:rPr>
          <w:fldChar w:fldCharType="begin"/>
        </w:r>
        <w:r w:rsidR="00D7656B">
          <w:rPr>
            <w:noProof/>
            <w:webHidden/>
          </w:rPr>
          <w:instrText xml:space="preserve"> PAGEREF _Toc525729832 \h </w:instrText>
        </w:r>
        <w:r w:rsidR="00D7656B">
          <w:rPr>
            <w:noProof/>
            <w:webHidden/>
          </w:rPr>
        </w:r>
        <w:r w:rsidR="00D7656B">
          <w:rPr>
            <w:noProof/>
            <w:webHidden/>
          </w:rPr>
          <w:fldChar w:fldCharType="separate"/>
        </w:r>
        <w:r w:rsidR="00391672">
          <w:rPr>
            <w:noProof/>
            <w:webHidden/>
          </w:rPr>
          <w:t>5</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33" w:history="1">
        <w:r w:rsidR="00D7656B" w:rsidRPr="00125856">
          <w:rPr>
            <w:rStyle w:val="Hyperlink"/>
            <w:noProof/>
            <w14:scene3d>
              <w14:camera w14:prst="orthographicFront"/>
              <w14:lightRig w14:rig="threePt" w14:dir="t">
                <w14:rot w14:lat="0" w14:lon="0" w14:rev="0"/>
              </w14:lightRig>
            </w14:scene3d>
          </w:rPr>
          <w:t>2.4</w:t>
        </w:r>
        <w:r w:rsidR="00D7656B">
          <w:rPr>
            <w:rFonts w:eastAsiaTheme="minorEastAsia" w:cstheme="minorBidi"/>
            <w:b w:val="0"/>
            <w:bCs w:val="0"/>
            <w:smallCaps w:val="0"/>
            <w:noProof/>
          </w:rPr>
          <w:tab/>
        </w:r>
        <w:r w:rsidR="00D7656B" w:rsidRPr="00125856">
          <w:rPr>
            <w:rStyle w:val="Hyperlink"/>
            <w:noProof/>
          </w:rPr>
          <w:t>Osvrt na odluku o analizi tržišta završavanja (terminacije) poziva u određenu javnu komunikacijsku mrežu koje se pruža na fiksnoj lokaciji poziva i s njima povezane odluke</w:t>
        </w:r>
        <w:r w:rsidR="00D7656B">
          <w:rPr>
            <w:noProof/>
            <w:webHidden/>
          </w:rPr>
          <w:tab/>
        </w:r>
        <w:r w:rsidR="00D7656B">
          <w:rPr>
            <w:noProof/>
            <w:webHidden/>
          </w:rPr>
          <w:fldChar w:fldCharType="begin"/>
        </w:r>
        <w:r w:rsidR="00D7656B">
          <w:rPr>
            <w:noProof/>
            <w:webHidden/>
          </w:rPr>
          <w:instrText xml:space="preserve"> PAGEREF _Toc525729833 \h </w:instrText>
        </w:r>
        <w:r w:rsidR="00D7656B">
          <w:rPr>
            <w:noProof/>
            <w:webHidden/>
          </w:rPr>
        </w:r>
        <w:r w:rsidR="00D7656B">
          <w:rPr>
            <w:noProof/>
            <w:webHidden/>
          </w:rPr>
          <w:fldChar w:fldCharType="separate"/>
        </w:r>
        <w:r w:rsidR="00391672">
          <w:rPr>
            <w:noProof/>
            <w:webHidden/>
          </w:rPr>
          <w:t>5</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34" w:history="1">
        <w:r w:rsidR="00D7656B" w:rsidRPr="00125856">
          <w:rPr>
            <w:rStyle w:val="Hyperlink"/>
            <w:noProof/>
            <w14:scene3d>
              <w14:camera w14:prst="orthographicFront"/>
              <w14:lightRig w14:rig="threePt" w14:dir="t">
                <w14:rot w14:lat="0" w14:lon="0" w14:rev="0"/>
              </w14:lightRig>
            </w14:scene3d>
          </w:rPr>
          <w:t>2.5</w:t>
        </w:r>
        <w:r w:rsidR="00D7656B">
          <w:rPr>
            <w:rFonts w:eastAsiaTheme="minorEastAsia" w:cstheme="minorBidi"/>
            <w:b w:val="0"/>
            <w:bCs w:val="0"/>
            <w:smallCaps w:val="0"/>
            <w:noProof/>
          </w:rPr>
          <w:tab/>
        </w:r>
        <w:r w:rsidR="00D7656B" w:rsidRPr="00125856">
          <w:rPr>
            <w:rStyle w:val="Hyperlink"/>
            <w:noProof/>
          </w:rPr>
          <w:t>Kronološki slijed aktivnosti</w:t>
        </w:r>
        <w:r w:rsidR="00D7656B">
          <w:rPr>
            <w:noProof/>
            <w:webHidden/>
          </w:rPr>
          <w:tab/>
        </w:r>
        <w:r w:rsidR="00D7656B">
          <w:rPr>
            <w:noProof/>
            <w:webHidden/>
          </w:rPr>
          <w:fldChar w:fldCharType="begin"/>
        </w:r>
        <w:r w:rsidR="00D7656B">
          <w:rPr>
            <w:noProof/>
            <w:webHidden/>
          </w:rPr>
          <w:instrText xml:space="preserve"> PAGEREF _Toc525729834 \h </w:instrText>
        </w:r>
        <w:r w:rsidR="00D7656B">
          <w:rPr>
            <w:noProof/>
            <w:webHidden/>
          </w:rPr>
        </w:r>
        <w:r w:rsidR="00D7656B">
          <w:rPr>
            <w:noProof/>
            <w:webHidden/>
          </w:rPr>
          <w:fldChar w:fldCharType="separate"/>
        </w:r>
        <w:r w:rsidR="00391672">
          <w:rPr>
            <w:noProof/>
            <w:webHidden/>
          </w:rPr>
          <w:t>7</w:t>
        </w:r>
        <w:r w:rsidR="00D7656B">
          <w:rPr>
            <w:noProof/>
            <w:webHidden/>
          </w:rPr>
          <w:fldChar w:fldCharType="end"/>
        </w:r>
      </w:hyperlink>
    </w:p>
    <w:p w:rsidR="00D7656B" w:rsidRDefault="000343B9">
      <w:pPr>
        <w:pStyle w:val="TOC1"/>
        <w:tabs>
          <w:tab w:val="left" w:pos="332"/>
          <w:tab w:val="right" w:leader="dot" w:pos="9062"/>
        </w:tabs>
        <w:rPr>
          <w:rFonts w:eastAsiaTheme="minorEastAsia" w:cstheme="minorBidi"/>
          <w:b w:val="0"/>
          <w:bCs w:val="0"/>
          <w:caps w:val="0"/>
          <w:noProof/>
          <w:u w:val="none"/>
        </w:rPr>
      </w:pPr>
      <w:hyperlink w:anchor="_Toc525729835" w:history="1">
        <w:r w:rsidR="00D7656B" w:rsidRPr="00125856">
          <w:rPr>
            <w:rStyle w:val="Hyperlink"/>
            <w:noProof/>
          </w:rPr>
          <w:t>3</w:t>
        </w:r>
        <w:r w:rsidR="00D7656B">
          <w:rPr>
            <w:rFonts w:eastAsiaTheme="minorEastAsia" w:cstheme="minorBidi"/>
            <w:b w:val="0"/>
            <w:bCs w:val="0"/>
            <w:caps w:val="0"/>
            <w:noProof/>
            <w:u w:val="none"/>
          </w:rPr>
          <w:tab/>
        </w:r>
        <w:r w:rsidR="00D7656B" w:rsidRPr="00125856">
          <w:rPr>
            <w:rStyle w:val="Hyperlink"/>
            <w:noProof/>
          </w:rPr>
          <w:t>Nepokretne mreže i međupovezivanje u Republici Hrvatskoj</w:t>
        </w:r>
        <w:r w:rsidR="00D7656B">
          <w:rPr>
            <w:noProof/>
            <w:webHidden/>
          </w:rPr>
          <w:tab/>
        </w:r>
        <w:r w:rsidR="00D7656B">
          <w:rPr>
            <w:noProof/>
            <w:webHidden/>
          </w:rPr>
          <w:fldChar w:fldCharType="begin"/>
        </w:r>
        <w:r w:rsidR="00D7656B">
          <w:rPr>
            <w:noProof/>
            <w:webHidden/>
          </w:rPr>
          <w:instrText xml:space="preserve"> PAGEREF _Toc525729835 \h </w:instrText>
        </w:r>
        <w:r w:rsidR="00D7656B">
          <w:rPr>
            <w:noProof/>
            <w:webHidden/>
          </w:rPr>
        </w:r>
        <w:r w:rsidR="00D7656B">
          <w:rPr>
            <w:noProof/>
            <w:webHidden/>
          </w:rPr>
          <w:fldChar w:fldCharType="separate"/>
        </w:r>
        <w:r w:rsidR="00391672">
          <w:rPr>
            <w:noProof/>
            <w:webHidden/>
          </w:rPr>
          <w:t>9</w:t>
        </w:r>
        <w:r w:rsidR="00D7656B">
          <w:rPr>
            <w:noProof/>
            <w:webHidden/>
          </w:rPr>
          <w:fldChar w:fldCharType="end"/>
        </w:r>
      </w:hyperlink>
    </w:p>
    <w:p w:rsidR="00D7656B" w:rsidRDefault="000343B9">
      <w:pPr>
        <w:pStyle w:val="TOC1"/>
        <w:tabs>
          <w:tab w:val="left" w:pos="332"/>
          <w:tab w:val="right" w:leader="dot" w:pos="9062"/>
        </w:tabs>
        <w:rPr>
          <w:rFonts w:eastAsiaTheme="minorEastAsia" w:cstheme="minorBidi"/>
          <w:b w:val="0"/>
          <w:bCs w:val="0"/>
          <w:caps w:val="0"/>
          <w:noProof/>
          <w:u w:val="none"/>
        </w:rPr>
      </w:pPr>
      <w:hyperlink w:anchor="_Toc525729836" w:history="1">
        <w:r w:rsidR="00D7656B" w:rsidRPr="00125856">
          <w:rPr>
            <w:rStyle w:val="Hyperlink"/>
            <w:noProof/>
          </w:rPr>
          <w:t>4</w:t>
        </w:r>
        <w:r w:rsidR="00D7656B">
          <w:rPr>
            <w:rFonts w:eastAsiaTheme="minorEastAsia" w:cstheme="minorBidi"/>
            <w:b w:val="0"/>
            <w:bCs w:val="0"/>
            <w:caps w:val="0"/>
            <w:noProof/>
            <w:u w:val="none"/>
          </w:rPr>
          <w:tab/>
        </w:r>
        <w:r w:rsidR="00D7656B" w:rsidRPr="00125856">
          <w:rPr>
            <w:rStyle w:val="Hyperlink"/>
            <w:noProof/>
          </w:rPr>
          <w:t>Utvrđivanje mjerodavnog tržišta</w:t>
        </w:r>
        <w:r w:rsidR="00D7656B">
          <w:rPr>
            <w:noProof/>
            <w:webHidden/>
          </w:rPr>
          <w:tab/>
        </w:r>
        <w:r w:rsidR="00D7656B">
          <w:rPr>
            <w:noProof/>
            <w:webHidden/>
          </w:rPr>
          <w:fldChar w:fldCharType="begin"/>
        </w:r>
        <w:r w:rsidR="00D7656B">
          <w:rPr>
            <w:noProof/>
            <w:webHidden/>
          </w:rPr>
          <w:instrText xml:space="preserve"> PAGEREF _Toc525729836 \h </w:instrText>
        </w:r>
        <w:r w:rsidR="00D7656B">
          <w:rPr>
            <w:noProof/>
            <w:webHidden/>
          </w:rPr>
        </w:r>
        <w:r w:rsidR="00D7656B">
          <w:rPr>
            <w:noProof/>
            <w:webHidden/>
          </w:rPr>
          <w:fldChar w:fldCharType="separate"/>
        </w:r>
        <w:r w:rsidR="00391672">
          <w:rPr>
            <w:noProof/>
            <w:webHidden/>
          </w:rPr>
          <w:t>12</w:t>
        </w:r>
        <w:r w:rsidR="00D7656B">
          <w:rPr>
            <w:noProof/>
            <w:webHidden/>
          </w:rPr>
          <w:fldChar w:fldCharType="end"/>
        </w:r>
      </w:hyperlink>
    </w:p>
    <w:p w:rsidR="00D7656B" w:rsidRDefault="000343B9">
      <w:pPr>
        <w:pStyle w:val="TOC1"/>
        <w:tabs>
          <w:tab w:val="left" w:pos="332"/>
          <w:tab w:val="right" w:leader="dot" w:pos="9062"/>
        </w:tabs>
        <w:rPr>
          <w:rFonts w:eastAsiaTheme="minorEastAsia" w:cstheme="minorBidi"/>
          <w:b w:val="0"/>
          <w:bCs w:val="0"/>
          <w:caps w:val="0"/>
          <w:noProof/>
          <w:u w:val="none"/>
        </w:rPr>
      </w:pPr>
      <w:hyperlink w:anchor="_Toc525729837" w:history="1">
        <w:r w:rsidR="00D7656B" w:rsidRPr="00125856">
          <w:rPr>
            <w:rStyle w:val="Hyperlink"/>
            <w:noProof/>
          </w:rPr>
          <w:t>5</w:t>
        </w:r>
        <w:r w:rsidR="00D7656B">
          <w:rPr>
            <w:rFonts w:eastAsiaTheme="minorEastAsia" w:cstheme="minorBidi"/>
            <w:b w:val="0"/>
            <w:bCs w:val="0"/>
            <w:caps w:val="0"/>
            <w:noProof/>
            <w:u w:val="none"/>
          </w:rPr>
          <w:tab/>
        </w:r>
        <w:r w:rsidR="00D7656B" w:rsidRPr="00125856">
          <w:rPr>
            <w:rStyle w:val="Hyperlink"/>
            <w:noProof/>
          </w:rPr>
          <w:t>Određivanje granica mjerodavnog tržišta</w:t>
        </w:r>
        <w:r w:rsidR="00D7656B">
          <w:rPr>
            <w:noProof/>
            <w:webHidden/>
          </w:rPr>
          <w:tab/>
        </w:r>
        <w:r w:rsidR="00D7656B">
          <w:rPr>
            <w:noProof/>
            <w:webHidden/>
          </w:rPr>
          <w:fldChar w:fldCharType="begin"/>
        </w:r>
        <w:r w:rsidR="00D7656B">
          <w:rPr>
            <w:noProof/>
            <w:webHidden/>
          </w:rPr>
          <w:instrText xml:space="preserve"> PAGEREF _Toc525729837 \h </w:instrText>
        </w:r>
        <w:r w:rsidR="00D7656B">
          <w:rPr>
            <w:noProof/>
            <w:webHidden/>
          </w:rPr>
        </w:r>
        <w:r w:rsidR="00D7656B">
          <w:rPr>
            <w:noProof/>
            <w:webHidden/>
          </w:rPr>
          <w:fldChar w:fldCharType="separate"/>
        </w:r>
        <w:r w:rsidR="00391672">
          <w:rPr>
            <w:noProof/>
            <w:webHidden/>
          </w:rPr>
          <w:t>13</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38" w:history="1">
        <w:r w:rsidR="00D7656B" w:rsidRPr="00125856">
          <w:rPr>
            <w:rStyle w:val="Hyperlink"/>
            <w:noProof/>
            <w14:scene3d>
              <w14:camera w14:prst="orthographicFront"/>
              <w14:lightRig w14:rig="threePt" w14:dir="t">
                <w14:rot w14:lat="0" w14:lon="0" w14:rev="0"/>
              </w14:lightRig>
            </w14:scene3d>
          </w:rPr>
          <w:t>5.1</w:t>
        </w:r>
        <w:r w:rsidR="00D7656B">
          <w:rPr>
            <w:rFonts w:eastAsiaTheme="minorEastAsia" w:cstheme="minorBidi"/>
            <w:b w:val="0"/>
            <w:bCs w:val="0"/>
            <w:smallCaps w:val="0"/>
            <w:noProof/>
          </w:rPr>
          <w:tab/>
        </w:r>
        <w:r w:rsidR="00D7656B" w:rsidRPr="00125856">
          <w:rPr>
            <w:rStyle w:val="Hyperlink"/>
            <w:noProof/>
          </w:rPr>
          <w:t>Mjerodavno tržište u dimenziji usluga</w:t>
        </w:r>
        <w:r w:rsidR="00D7656B">
          <w:rPr>
            <w:noProof/>
            <w:webHidden/>
          </w:rPr>
          <w:tab/>
        </w:r>
        <w:r w:rsidR="00D7656B">
          <w:rPr>
            <w:noProof/>
            <w:webHidden/>
          </w:rPr>
          <w:fldChar w:fldCharType="begin"/>
        </w:r>
        <w:r w:rsidR="00D7656B">
          <w:rPr>
            <w:noProof/>
            <w:webHidden/>
          </w:rPr>
          <w:instrText xml:space="preserve"> PAGEREF _Toc525729838 \h </w:instrText>
        </w:r>
        <w:r w:rsidR="00D7656B">
          <w:rPr>
            <w:noProof/>
            <w:webHidden/>
          </w:rPr>
        </w:r>
        <w:r w:rsidR="00D7656B">
          <w:rPr>
            <w:noProof/>
            <w:webHidden/>
          </w:rPr>
          <w:fldChar w:fldCharType="separate"/>
        </w:r>
        <w:r w:rsidR="00391672">
          <w:rPr>
            <w:noProof/>
            <w:webHidden/>
          </w:rPr>
          <w:t>13</w:t>
        </w:r>
        <w:r w:rsidR="00D7656B">
          <w:rPr>
            <w:noProof/>
            <w:webHidden/>
          </w:rPr>
          <w:fldChar w:fldCharType="end"/>
        </w:r>
      </w:hyperlink>
    </w:p>
    <w:p w:rsidR="00D7656B" w:rsidRDefault="000343B9">
      <w:pPr>
        <w:pStyle w:val="TOC3"/>
        <w:tabs>
          <w:tab w:val="left" w:pos="666"/>
          <w:tab w:val="right" w:leader="dot" w:pos="9062"/>
        </w:tabs>
        <w:rPr>
          <w:rFonts w:eastAsiaTheme="minorEastAsia" w:cstheme="minorBidi"/>
          <w:smallCaps w:val="0"/>
          <w:noProof/>
        </w:rPr>
      </w:pPr>
      <w:hyperlink w:anchor="_Toc525729839" w:history="1">
        <w:r w:rsidR="00D7656B" w:rsidRPr="00125856">
          <w:rPr>
            <w:rStyle w:val="Hyperlink"/>
            <w:noProof/>
            <w14:scene3d>
              <w14:camera w14:prst="orthographicFront"/>
              <w14:lightRig w14:rig="threePt" w14:dir="t">
                <w14:rot w14:lat="0" w14:lon="0" w14:rev="0"/>
              </w14:lightRig>
            </w14:scene3d>
          </w:rPr>
          <w:t>5.1.1</w:t>
        </w:r>
        <w:r w:rsidR="00D7656B">
          <w:rPr>
            <w:rFonts w:eastAsiaTheme="minorEastAsia" w:cstheme="minorBidi"/>
            <w:smallCaps w:val="0"/>
            <w:noProof/>
          </w:rPr>
          <w:tab/>
        </w:r>
        <w:r w:rsidR="00D7656B" w:rsidRPr="00125856">
          <w:rPr>
            <w:rStyle w:val="Hyperlink"/>
            <w:noProof/>
          </w:rPr>
          <w:t>Zamjenjivost na strani potražnje - maloprodajna razina</w:t>
        </w:r>
        <w:r w:rsidR="00D7656B">
          <w:rPr>
            <w:noProof/>
            <w:webHidden/>
          </w:rPr>
          <w:tab/>
        </w:r>
        <w:r w:rsidR="00D7656B">
          <w:rPr>
            <w:noProof/>
            <w:webHidden/>
          </w:rPr>
          <w:fldChar w:fldCharType="begin"/>
        </w:r>
        <w:r w:rsidR="00D7656B">
          <w:rPr>
            <w:noProof/>
            <w:webHidden/>
          </w:rPr>
          <w:instrText xml:space="preserve"> PAGEREF _Toc525729839 \h </w:instrText>
        </w:r>
        <w:r w:rsidR="00D7656B">
          <w:rPr>
            <w:noProof/>
            <w:webHidden/>
          </w:rPr>
        </w:r>
        <w:r w:rsidR="00D7656B">
          <w:rPr>
            <w:noProof/>
            <w:webHidden/>
          </w:rPr>
          <w:fldChar w:fldCharType="separate"/>
        </w:r>
        <w:r w:rsidR="00391672">
          <w:rPr>
            <w:noProof/>
            <w:webHidden/>
          </w:rPr>
          <w:t>13</w:t>
        </w:r>
        <w:r w:rsidR="00D7656B">
          <w:rPr>
            <w:noProof/>
            <w:webHidden/>
          </w:rPr>
          <w:fldChar w:fldCharType="end"/>
        </w:r>
      </w:hyperlink>
    </w:p>
    <w:p w:rsidR="00D7656B" w:rsidRDefault="000343B9">
      <w:pPr>
        <w:pStyle w:val="TOC3"/>
        <w:tabs>
          <w:tab w:val="left" w:pos="666"/>
          <w:tab w:val="right" w:leader="dot" w:pos="9062"/>
        </w:tabs>
        <w:rPr>
          <w:rFonts w:eastAsiaTheme="minorEastAsia" w:cstheme="minorBidi"/>
          <w:smallCaps w:val="0"/>
          <w:noProof/>
        </w:rPr>
      </w:pPr>
      <w:hyperlink w:anchor="_Toc525729840" w:history="1">
        <w:r w:rsidR="00D7656B" w:rsidRPr="00125856">
          <w:rPr>
            <w:rStyle w:val="Hyperlink"/>
            <w:noProof/>
            <w14:scene3d>
              <w14:camera w14:prst="orthographicFront"/>
              <w14:lightRig w14:rig="threePt" w14:dir="t">
                <w14:rot w14:lat="0" w14:lon="0" w14:rev="0"/>
              </w14:lightRig>
            </w14:scene3d>
          </w:rPr>
          <w:t>5.1.2</w:t>
        </w:r>
        <w:r w:rsidR="00D7656B">
          <w:rPr>
            <w:rFonts w:eastAsiaTheme="minorEastAsia" w:cstheme="minorBidi"/>
            <w:smallCaps w:val="0"/>
            <w:noProof/>
          </w:rPr>
          <w:tab/>
        </w:r>
        <w:r w:rsidR="00D7656B" w:rsidRPr="00125856">
          <w:rPr>
            <w:rStyle w:val="Hyperlink"/>
            <w:noProof/>
          </w:rPr>
          <w:t>Zamjenjivost na strani potražnje i ponude - veleprodajna razina</w:t>
        </w:r>
        <w:r w:rsidR="00D7656B">
          <w:rPr>
            <w:noProof/>
            <w:webHidden/>
          </w:rPr>
          <w:tab/>
        </w:r>
        <w:r w:rsidR="00D7656B">
          <w:rPr>
            <w:noProof/>
            <w:webHidden/>
          </w:rPr>
          <w:fldChar w:fldCharType="begin"/>
        </w:r>
        <w:r w:rsidR="00D7656B">
          <w:rPr>
            <w:noProof/>
            <w:webHidden/>
          </w:rPr>
          <w:instrText xml:space="preserve"> PAGEREF _Toc525729840 \h </w:instrText>
        </w:r>
        <w:r w:rsidR="00D7656B">
          <w:rPr>
            <w:noProof/>
            <w:webHidden/>
          </w:rPr>
        </w:r>
        <w:r w:rsidR="00D7656B">
          <w:rPr>
            <w:noProof/>
            <w:webHidden/>
          </w:rPr>
          <w:fldChar w:fldCharType="separate"/>
        </w:r>
        <w:r w:rsidR="00391672">
          <w:rPr>
            <w:noProof/>
            <w:webHidden/>
          </w:rPr>
          <w:t>16</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41" w:history="1">
        <w:r w:rsidR="00D7656B" w:rsidRPr="00125856">
          <w:rPr>
            <w:rStyle w:val="Hyperlink"/>
            <w:noProof/>
            <w14:scene3d>
              <w14:camera w14:prst="orthographicFront"/>
              <w14:lightRig w14:rig="threePt" w14:dir="t">
                <w14:rot w14:lat="0" w14:lon="0" w14:rev="0"/>
              </w14:lightRig>
            </w14:scene3d>
          </w:rPr>
          <w:t>5.2</w:t>
        </w:r>
        <w:r w:rsidR="00D7656B">
          <w:rPr>
            <w:rFonts w:eastAsiaTheme="minorEastAsia" w:cstheme="minorBidi"/>
            <w:b w:val="0"/>
            <w:bCs w:val="0"/>
            <w:smallCaps w:val="0"/>
            <w:noProof/>
          </w:rPr>
          <w:tab/>
        </w:r>
        <w:r w:rsidR="00D7656B" w:rsidRPr="00125856">
          <w:rPr>
            <w:rStyle w:val="Hyperlink"/>
            <w:noProof/>
          </w:rPr>
          <w:t>Mjerodavno tržište u zemljopisnoj dimenziji</w:t>
        </w:r>
        <w:r w:rsidR="00D7656B">
          <w:rPr>
            <w:noProof/>
            <w:webHidden/>
          </w:rPr>
          <w:tab/>
        </w:r>
        <w:r w:rsidR="00D7656B">
          <w:rPr>
            <w:noProof/>
            <w:webHidden/>
          </w:rPr>
          <w:fldChar w:fldCharType="begin"/>
        </w:r>
        <w:r w:rsidR="00D7656B">
          <w:rPr>
            <w:noProof/>
            <w:webHidden/>
          </w:rPr>
          <w:instrText xml:space="preserve"> PAGEREF _Toc525729841 \h </w:instrText>
        </w:r>
        <w:r w:rsidR="00D7656B">
          <w:rPr>
            <w:noProof/>
            <w:webHidden/>
          </w:rPr>
        </w:r>
        <w:r w:rsidR="00D7656B">
          <w:rPr>
            <w:noProof/>
            <w:webHidden/>
          </w:rPr>
          <w:fldChar w:fldCharType="separate"/>
        </w:r>
        <w:r w:rsidR="00391672">
          <w:rPr>
            <w:noProof/>
            <w:webHidden/>
          </w:rPr>
          <w:t>17</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42" w:history="1">
        <w:r w:rsidR="00D7656B" w:rsidRPr="00125856">
          <w:rPr>
            <w:rStyle w:val="Hyperlink"/>
            <w:noProof/>
            <w14:scene3d>
              <w14:camera w14:prst="orthographicFront"/>
              <w14:lightRig w14:rig="threePt" w14:dir="t">
                <w14:rot w14:lat="0" w14:lon="0" w14:rev="0"/>
              </w14:lightRig>
            </w14:scene3d>
          </w:rPr>
          <w:t>5.3</w:t>
        </w:r>
        <w:r w:rsidR="00D7656B">
          <w:rPr>
            <w:rFonts w:eastAsiaTheme="minorEastAsia" w:cstheme="minorBidi"/>
            <w:b w:val="0"/>
            <w:bCs w:val="0"/>
            <w:smallCaps w:val="0"/>
            <w:noProof/>
          </w:rPr>
          <w:tab/>
        </w:r>
        <w:r w:rsidR="00D7656B" w:rsidRPr="00125856">
          <w:rPr>
            <w:rStyle w:val="Hyperlink"/>
            <w:noProof/>
          </w:rPr>
          <w:t>Stajalište HAKOM-a o određivanju mjerodavnog tržišta</w:t>
        </w:r>
        <w:r w:rsidR="00D7656B">
          <w:rPr>
            <w:noProof/>
            <w:webHidden/>
          </w:rPr>
          <w:tab/>
        </w:r>
        <w:r w:rsidR="00D7656B">
          <w:rPr>
            <w:noProof/>
            <w:webHidden/>
          </w:rPr>
          <w:fldChar w:fldCharType="begin"/>
        </w:r>
        <w:r w:rsidR="00D7656B">
          <w:rPr>
            <w:noProof/>
            <w:webHidden/>
          </w:rPr>
          <w:instrText xml:space="preserve"> PAGEREF _Toc525729842 \h </w:instrText>
        </w:r>
        <w:r w:rsidR="00D7656B">
          <w:rPr>
            <w:noProof/>
            <w:webHidden/>
          </w:rPr>
        </w:r>
        <w:r w:rsidR="00D7656B">
          <w:rPr>
            <w:noProof/>
            <w:webHidden/>
          </w:rPr>
          <w:fldChar w:fldCharType="separate"/>
        </w:r>
        <w:r w:rsidR="00391672">
          <w:rPr>
            <w:noProof/>
            <w:webHidden/>
          </w:rPr>
          <w:t>18</w:t>
        </w:r>
        <w:r w:rsidR="00D7656B">
          <w:rPr>
            <w:noProof/>
            <w:webHidden/>
          </w:rPr>
          <w:fldChar w:fldCharType="end"/>
        </w:r>
      </w:hyperlink>
    </w:p>
    <w:p w:rsidR="00D7656B" w:rsidRDefault="000343B9">
      <w:pPr>
        <w:pStyle w:val="TOC1"/>
        <w:tabs>
          <w:tab w:val="left" w:pos="332"/>
          <w:tab w:val="right" w:leader="dot" w:pos="9062"/>
        </w:tabs>
        <w:rPr>
          <w:rFonts w:eastAsiaTheme="minorEastAsia" w:cstheme="minorBidi"/>
          <w:b w:val="0"/>
          <w:bCs w:val="0"/>
          <w:caps w:val="0"/>
          <w:noProof/>
          <w:u w:val="none"/>
        </w:rPr>
      </w:pPr>
      <w:hyperlink w:anchor="_Toc525729843" w:history="1">
        <w:r w:rsidR="00D7656B" w:rsidRPr="00125856">
          <w:rPr>
            <w:rStyle w:val="Hyperlink"/>
            <w:noProof/>
          </w:rPr>
          <w:t>6</w:t>
        </w:r>
        <w:r w:rsidR="00D7656B">
          <w:rPr>
            <w:rFonts w:eastAsiaTheme="minorEastAsia" w:cstheme="minorBidi"/>
            <w:b w:val="0"/>
            <w:bCs w:val="0"/>
            <w:caps w:val="0"/>
            <w:noProof/>
            <w:u w:val="none"/>
          </w:rPr>
          <w:tab/>
        </w:r>
        <w:r w:rsidR="00D7656B" w:rsidRPr="00125856">
          <w:rPr>
            <w:rStyle w:val="Hyperlink"/>
            <w:noProof/>
          </w:rPr>
          <w:t>Procjena postojanja operatora sa značajnom tržišnom snagom</w:t>
        </w:r>
        <w:r w:rsidR="00D7656B">
          <w:rPr>
            <w:noProof/>
            <w:webHidden/>
          </w:rPr>
          <w:tab/>
        </w:r>
        <w:r w:rsidR="00D7656B">
          <w:rPr>
            <w:noProof/>
            <w:webHidden/>
          </w:rPr>
          <w:fldChar w:fldCharType="begin"/>
        </w:r>
        <w:r w:rsidR="00D7656B">
          <w:rPr>
            <w:noProof/>
            <w:webHidden/>
          </w:rPr>
          <w:instrText xml:space="preserve"> PAGEREF _Toc525729843 \h </w:instrText>
        </w:r>
        <w:r w:rsidR="00D7656B">
          <w:rPr>
            <w:noProof/>
            <w:webHidden/>
          </w:rPr>
        </w:r>
        <w:r w:rsidR="00D7656B">
          <w:rPr>
            <w:noProof/>
            <w:webHidden/>
          </w:rPr>
          <w:fldChar w:fldCharType="separate"/>
        </w:r>
        <w:r w:rsidR="00391672">
          <w:rPr>
            <w:noProof/>
            <w:webHidden/>
          </w:rPr>
          <w:t>19</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44" w:history="1">
        <w:r w:rsidR="00D7656B" w:rsidRPr="00125856">
          <w:rPr>
            <w:rStyle w:val="Hyperlink"/>
            <w:noProof/>
            <w14:scene3d>
              <w14:camera w14:prst="orthographicFront"/>
              <w14:lightRig w14:rig="threePt" w14:dir="t">
                <w14:rot w14:lat="0" w14:lon="0" w14:rev="0"/>
              </w14:lightRig>
            </w14:scene3d>
          </w:rPr>
          <w:t>6.1</w:t>
        </w:r>
        <w:r w:rsidR="00D7656B">
          <w:rPr>
            <w:rFonts w:eastAsiaTheme="minorEastAsia" w:cstheme="minorBidi"/>
            <w:b w:val="0"/>
            <w:bCs w:val="0"/>
            <w:smallCaps w:val="0"/>
            <w:noProof/>
          </w:rPr>
          <w:tab/>
        </w:r>
        <w:r w:rsidR="00D7656B" w:rsidRPr="00125856">
          <w:rPr>
            <w:rStyle w:val="Hyperlink"/>
            <w:noProof/>
          </w:rPr>
          <w:t>Cilj i predmet analize mjerodavnog tržišta</w:t>
        </w:r>
        <w:r w:rsidR="00D7656B">
          <w:rPr>
            <w:noProof/>
            <w:webHidden/>
          </w:rPr>
          <w:tab/>
        </w:r>
        <w:r w:rsidR="00D7656B">
          <w:rPr>
            <w:noProof/>
            <w:webHidden/>
          </w:rPr>
          <w:fldChar w:fldCharType="begin"/>
        </w:r>
        <w:r w:rsidR="00D7656B">
          <w:rPr>
            <w:noProof/>
            <w:webHidden/>
          </w:rPr>
          <w:instrText xml:space="preserve"> PAGEREF _Toc525729844 \h </w:instrText>
        </w:r>
        <w:r w:rsidR="00D7656B">
          <w:rPr>
            <w:noProof/>
            <w:webHidden/>
          </w:rPr>
        </w:r>
        <w:r w:rsidR="00D7656B">
          <w:rPr>
            <w:noProof/>
            <w:webHidden/>
          </w:rPr>
          <w:fldChar w:fldCharType="separate"/>
        </w:r>
        <w:r w:rsidR="00391672">
          <w:rPr>
            <w:noProof/>
            <w:webHidden/>
          </w:rPr>
          <w:t>19</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45" w:history="1">
        <w:r w:rsidR="00D7656B" w:rsidRPr="00125856">
          <w:rPr>
            <w:rStyle w:val="Hyperlink"/>
            <w:noProof/>
            <w14:scene3d>
              <w14:camera w14:prst="orthographicFront"/>
              <w14:lightRig w14:rig="threePt" w14:dir="t">
                <w14:rot w14:lat="0" w14:lon="0" w14:rev="0"/>
              </w14:lightRig>
            </w14:scene3d>
          </w:rPr>
          <w:t>6.2</w:t>
        </w:r>
        <w:r w:rsidR="00D7656B">
          <w:rPr>
            <w:rFonts w:eastAsiaTheme="minorEastAsia" w:cstheme="minorBidi"/>
            <w:b w:val="0"/>
            <w:bCs w:val="0"/>
            <w:smallCaps w:val="0"/>
            <w:noProof/>
          </w:rPr>
          <w:tab/>
        </w:r>
        <w:r w:rsidR="00D7656B" w:rsidRPr="00125856">
          <w:rPr>
            <w:rStyle w:val="Hyperlink"/>
            <w:noProof/>
          </w:rPr>
          <w:t>Analiza podataka na tržištu veleprodajnog završavanja poziva u vlastitoj javnoj telefonskoj mreži koja se pruža na fiksnoj lokaciji</w:t>
        </w:r>
        <w:r w:rsidR="00D7656B">
          <w:rPr>
            <w:noProof/>
            <w:webHidden/>
          </w:rPr>
          <w:tab/>
        </w:r>
        <w:r w:rsidR="00D7656B">
          <w:rPr>
            <w:noProof/>
            <w:webHidden/>
          </w:rPr>
          <w:fldChar w:fldCharType="begin"/>
        </w:r>
        <w:r w:rsidR="00D7656B">
          <w:rPr>
            <w:noProof/>
            <w:webHidden/>
          </w:rPr>
          <w:instrText xml:space="preserve"> PAGEREF _Toc525729845 \h </w:instrText>
        </w:r>
        <w:r w:rsidR="00D7656B">
          <w:rPr>
            <w:noProof/>
            <w:webHidden/>
          </w:rPr>
        </w:r>
        <w:r w:rsidR="00D7656B">
          <w:rPr>
            <w:noProof/>
            <w:webHidden/>
          </w:rPr>
          <w:fldChar w:fldCharType="separate"/>
        </w:r>
        <w:r w:rsidR="00391672">
          <w:rPr>
            <w:noProof/>
            <w:webHidden/>
          </w:rPr>
          <w:t>19</w:t>
        </w:r>
        <w:r w:rsidR="00D7656B">
          <w:rPr>
            <w:noProof/>
            <w:webHidden/>
          </w:rPr>
          <w:fldChar w:fldCharType="end"/>
        </w:r>
      </w:hyperlink>
    </w:p>
    <w:p w:rsidR="00D7656B" w:rsidRDefault="000343B9">
      <w:pPr>
        <w:pStyle w:val="TOC3"/>
        <w:tabs>
          <w:tab w:val="left" w:pos="666"/>
          <w:tab w:val="right" w:leader="dot" w:pos="9062"/>
        </w:tabs>
        <w:rPr>
          <w:rFonts w:eastAsiaTheme="minorEastAsia" w:cstheme="minorBidi"/>
          <w:smallCaps w:val="0"/>
          <w:noProof/>
        </w:rPr>
      </w:pPr>
      <w:hyperlink w:anchor="_Toc525729846" w:history="1">
        <w:r w:rsidR="00D7656B" w:rsidRPr="00125856">
          <w:rPr>
            <w:rStyle w:val="Hyperlink"/>
            <w:noProof/>
            <w14:scene3d>
              <w14:camera w14:prst="orthographicFront"/>
              <w14:lightRig w14:rig="threePt" w14:dir="t">
                <w14:rot w14:lat="0" w14:lon="0" w14:rev="0"/>
              </w14:lightRig>
            </w14:scene3d>
          </w:rPr>
          <w:t>6.2.1</w:t>
        </w:r>
        <w:r w:rsidR="00D7656B">
          <w:rPr>
            <w:rFonts w:eastAsiaTheme="minorEastAsia" w:cstheme="minorBidi"/>
            <w:smallCaps w:val="0"/>
            <w:noProof/>
          </w:rPr>
          <w:tab/>
        </w:r>
        <w:r w:rsidR="00D7656B" w:rsidRPr="00125856">
          <w:rPr>
            <w:rStyle w:val="Hyperlink"/>
            <w:noProof/>
          </w:rPr>
          <w:t>Tržišni udjel operatora na mjerodavnom tržištu</w:t>
        </w:r>
        <w:r w:rsidR="00D7656B">
          <w:rPr>
            <w:noProof/>
            <w:webHidden/>
          </w:rPr>
          <w:tab/>
        </w:r>
        <w:r w:rsidR="00D7656B">
          <w:rPr>
            <w:noProof/>
            <w:webHidden/>
          </w:rPr>
          <w:fldChar w:fldCharType="begin"/>
        </w:r>
        <w:r w:rsidR="00D7656B">
          <w:rPr>
            <w:noProof/>
            <w:webHidden/>
          </w:rPr>
          <w:instrText xml:space="preserve"> PAGEREF _Toc525729846 \h </w:instrText>
        </w:r>
        <w:r w:rsidR="00D7656B">
          <w:rPr>
            <w:noProof/>
            <w:webHidden/>
          </w:rPr>
        </w:r>
        <w:r w:rsidR="00D7656B">
          <w:rPr>
            <w:noProof/>
            <w:webHidden/>
          </w:rPr>
          <w:fldChar w:fldCharType="separate"/>
        </w:r>
        <w:r w:rsidR="00391672">
          <w:rPr>
            <w:noProof/>
            <w:webHidden/>
          </w:rPr>
          <w:t>19</w:t>
        </w:r>
        <w:r w:rsidR="00D7656B">
          <w:rPr>
            <w:noProof/>
            <w:webHidden/>
          </w:rPr>
          <w:fldChar w:fldCharType="end"/>
        </w:r>
      </w:hyperlink>
    </w:p>
    <w:p w:rsidR="00D7656B" w:rsidRDefault="000343B9">
      <w:pPr>
        <w:pStyle w:val="TOC3"/>
        <w:tabs>
          <w:tab w:val="left" w:pos="666"/>
          <w:tab w:val="right" w:leader="dot" w:pos="9062"/>
        </w:tabs>
        <w:rPr>
          <w:rFonts w:eastAsiaTheme="minorEastAsia" w:cstheme="minorBidi"/>
          <w:smallCaps w:val="0"/>
          <w:noProof/>
        </w:rPr>
      </w:pPr>
      <w:hyperlink w:anchor="_Toc525729847" w:history="1">
        <w:r w:rsidR="00D7656B" w:rsidRPr="00125856">
          <w:rPr>
            <w:rStyle w:val="Hyperlink"/>
            <w:noProof/>
            <w14:scene3d>
              <w14:camera w14:prst="orthographicFront"/>
              <w14:lightRig w14:rig="threePt" w14:dir="t">
                <w14:rot w14:lat="0" w14:lon="0" w14:rev="0"/>
              </w14:lightRig>
            </w14:scene3d>
          </w:rPr>
          <w:t>6.2.2</w:t>
        </w:r>
        <w:r w:rsidR="00D7656B">
          <w:rPr>
            <w:rFonts w:eastAsiaTheme="minorEastAsia" w:cstheme="minorBidi"/>
            <w:smallCaps w:val="0"/>
            <w:noProof/>
          </w:rPr>
          <w:tab/>
        </w:r>
        <w:r w:rsidR="00D7656B" w:rsidRPr="00125856">
          <w:rPr>
            <w:rStyle w:val="Hyperlink"/>
            <w:noProof/>
          </w:rPr>
          <w:t>Nedostatak protutežne kupovne moći</w:t>
        </w:r>
        <w:r w:rsidR="00D7656B">
          <w:rPr>
            <w:noProof/>
            <w:webHidden/>
          </w:rPr>
          <w:tab/>
        </w:r>
        <w:r w:rsidR="00D7656B">
          <w:rPr>
            <w:noProof/>
            <w:webHidden/>
          </w:rPr>
          <w:fldChar w:fldCharType="begin"/>
        </w:r>
        <w:r w:rsidR="00D7656B">
          <w:rPr>
            <w:noProof/>
            <w:webHidden/>
          </w:rPr>
          <w:instrText xml:space="preserve"> PAGEREF _Toc525729847 \h </w:instrText>
        </w:r>
        <w:r w:rsidR="00D7656B">
          <w:rPr>
            <w:noProof/>
            <w:webHidden/>
          </w:rPr>
        </w:r>
        <w:r w:rsidR="00D7656B">
          <w:rPr>
            <w:noProof/>
            <w:webHidden/>
          </w:rPr>
          <w:fldChar w:fldCharType="separate"/>
        </w:r>
        <w:r w:rsidR="00391672">
          <w:rPr>
            <w:noProof/>
            <w:webHidden/>
          </w:rPr>
          <w:t>21</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48" w:history="1">
        <w:r w:rsidR="00D7656B" w:rsidRPr="00125856">
          <w:rPr>
            <w:rStyle w:val="Hyperlink"/>
            <w:noProof/>
            <w14:scene3d>
              <w14:camera w14:prst="orthographicFront"/>
              <w14:lightRig w14:rig="threePt" w14:dir="t">
                <w14:rot w14:lat="0" w14:lon="0" w14:rev="0"/>
              </w14:lightRig>
            </w14:scene3d>
          </w:rPr>
          <w:t>6.3</w:t>
        </w:r>
        <w:r w:rsidR="00D7656B">
          <w:rPr>
            <w:rFonts w:eastAsiaTheme="minorEastAsia" w:cstheme="minorBidi"/>
            <w:b w:val="0"/>
            <w:bCs w:val="0"/>
            <w:smallCaps w:val="0"/>
            <w:noProof/>
          </w:rPr>
          <w:tab/>
        </w:r>
        <w:r w:rsidR="00D7656B" w:rsidRPr="00125856">
          <w:rPr>
            <w:rStyle w:val="Hyperlink"/>
            <w:noProof/>
          </w:rPr>
          <w:t>Stajalište nadležnog regulatornog tijela o procjeni postojanja operatora sa značajnom tržišnom snagom</w:t>
        </w:r>
        <w:r w:rsidR="00D7656B">
          <w:rPr>
            <w:noProof/>
            <w:webHidden/>
          </w:rPr>
          <w:tab/>
        </w:r>
        <w:r w:rsidR="00D7656B">
          <w:rPr>
            <w:noProof/>
            <w:webHidden/>
          </w:rPr>
          <w:fldChar w:fldCharType="begin"/>
        </w:r>
        <w:r w:rsidR="00D7656B">
          <w:rPr>
            <w:noProof/>
            <w:webHidden/>
          </w:rPr>
          <w:instrText xml:space="preserve"> PAGEREF _Toc525729848 \h </w:instrText>
        </w:r>
        <w:r w:rsidR="00D7656B">
          <w:rPr>
            <w:noProof/>
            <w:webHidden/>
          </w:rPr>
        </w:r>
        <w:r w:rsidR="00D7656B">
          <w:rPr>
            <w:noProof/>
            <w:webHidden/>
          </w:rPr>
          <w:fldChar w:fldCharType="separate"/>
        </w:r>
        <w:r w:rsidR="00391672">
          <w:rPr>
            <w:noProof/>
            <w:webHidden/>
          </w:rPr>
          <w:t>21</w:t>
        </w:r>
        <w:r w:rsidR="00D7656B">
          <w:rPr>
            <w:noProof/>
            <w:webHidden/>
          </w:rPr>
          <w:fldChar w:fldCharType="end"/>
        </w:r>
      </w:hyperlink>
    </w:p>
    <w:p w:rsidR="00D7656B" w:rsidRDefault="000343B9">
      <w:pPr>
        <w:pStyle w:val="TOC1"/>
        <w:tabs>
          <w:tab w:val="left" w:pos="332"/>
          <w:tab w:val="right" w:leader="dot" w:pos="9062"/>
        </w:tabs>
        <w:rPr>
          <w:rFonts w:eastAsiaTheme="minorEastAsia" w:cstheme="minorBidi"/>
          <w:b w:val="0"/>
          <w:bCs w:val="0"/>
          <w:caps w:val="0"/>
          <w:noProof/>
          <w:u w:val="none"/>
        </w:rPr>
      </w:pPr>
      <w:hyperlink w:anchor="_Toc525729849" w:history="1">
        <w:r w:rsidR="00D7656B" w:rsidRPr="00125856">
          <w:rPr>
            <w:rStyle w:val="Hyperlink"/>
            <w:noProof/>
          </w:rPr>
          <w:t>7</w:t>
        </w:r>
        <w:r w:rsidR="00D7656B">
          <w:rPr>
            <w:rFonts w:eastAsiaTheme="minorEastAsia" w:cstheme="minorBidi"/>
            <w:b w:val="0"/>
            <w:bCs w:val="0"/>
            <w:caps w:val="0"/>
            <w:noProof/>
            <w:u w:val="none"/>
          </w:rPr>
          <w:tab/>
        </w:r>
        <w:r w:rsidR="00D7656B" w:rsidRPr="00125856">
          <w:rPr>
            <w:rStyle w:val="Hyperlink"/>
            <w:noProof/>
          </w:rPr>
          <w:t>Prepreke razvoju tržišnog natjecanja na tržištu veleprodajnog završavanja poziva u vlastitu javnu telefonsku mrežu koja se pruža na fiksnoj lokaciji</w:t>
        </w:r>
        <w:r w:rsidR="00D7656B">
          <w:rPr>
            <w:noProof/>
            <w:webHidden/>
          </w:rPr>
          <w:tab/>
        </w:r>
        <w:r w:rsidR="00D7656B">
          <w:rPr>
            <w:noProof/>
            <w:webHidden/>
          </w:rPr>
          <w:fldChar w:fldCharType="begin"/>
        </w:r>
        <w:r w:rsidR="00D7656B">
          <w:rPr>
            <w:noProof/>
            <w:webHidden/>
          </w:rPr>
          <w:instrText xml:space="preserve"> PAGEREF _Toc525729849 \h </w:instrText>
        </w:r>
        <w:r w:rsidR="00D7656B">
          <w:rPr>
            <w:noProof/>
            <w:webHidden/>
          </w:rPr>
        </w:r>
        <w:r w:rsidR="00D7656B">
          <w:rPr>
            <w:noProof/>
            <w:webHidden/>
          </w:rPr>
          <w:fldChar w:fldCharType="separate"/>
        </w:r>
        <w:r w:rsidR="00391672">
          <w:rPr>
            <w:noProof/>
            <w:webHidden/>
          </w:rPr>
          <w:t>22</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50" w:history="1">
        <w:r w:rsidR="00D7656B" w:rsidRPr="00125856">
          <w:rPr>
            <w:rStyle w:val="Hyperlink"/>
            <w:noProof/>
            <w14:scene3d>
              <w14:camera w14:prst="orthographicFront"/>
              <w14:lightRig w14:rig="threePt" w14:dir="t">
                <w14:rot w14:lat="0" w14:lon="0" w14:rev="0"/>
              </w14:lightRig>
            </w14:scene3d>
          </w:rPr>
          <w:t>7.1</w:t>
        </w:r>
        <w:r w:rsidR="00D7656B">
          <w:rPr>
            <w:rFonts w:eastAsiaTheme="minorEastAsia" w:cstheme="minorBidi"/>
            <w:b w:val="0"/>
            <w:bCs w:val="0"/>
            <w:smallCaps w:val="0"/>
            <w:noProof/>
          </w:rPr>
          <w:tab/>
        </w:r>
        <w:r w:rsidR="00D7656B" w:rsidRPr="00125856">
          <w:rPr>
            <w:rStyle w:val="Hyperlink"/>
            <w:noProof/>
          </w:rPr>
          <w:t>Odbijanje dogovora /uskraćivanje međupovezivanja</w:t>
        </w:r>
        <w:r w:rsidR="00D7656B">
          <w:rPr>
            <w:noProof/>
            <w:webHidden/>
          </w:rPr>
          <w:tab/>
        </w:r>
        <w:r w:rsidR="00D7656B">
          <w:rPr>
            <w:noProof/>
            <w:webHidden/>
          </w:rPr>
          <w:fldChar w:fldCharType="begin"/>
        </w:r>
        <w:r w:rsidR="00D7656B">
          <w:rPr>
            <w:noProof/>
            <w:webHidden/>
          </w:rPr>
          <w:instrText xml:space="preserve"> PAGEREF _Toc525729850 \h </w:instrText>
        </w:r>
        <w:r w:rsidR="00D7656B">
          <w:rPr>
            <w:noProof/>
            <w:webHidden/>
          </w:rPr>
        </w:r>
        <w:r w:rsidR="00D7656B">
          <w:rPr>
            <w:noProof/>
            <w:webHidden/>
          </w:rPr>
          <w:fldChar w:fldCharType="separate"/>
        </w:r>
        <w:r w:rsidR="00391672">
          <w:rPr>
            <w:noProof/>
            <w:webHidden/>
          </w:rPr>
          <w:t>22</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51" w:history="1">
        <w:r w:rsidR="00D7656B" w:rsidRPr="00125856">
          <w:rPr>
            <w:rStyle w:val="Hyperlink"/>
            <w:noProof/>
            <w14:scene3d>
              <w14:camera w14:prst="orthographicFront"/>
              <w14:lightRig w14:rig="threePt" w14:dir="t">
                <w14:rot w14:lat="0" w14:lon="0" w14:rev="0"/>
              </w14:lightRig>
            </w14:scene3d>
          </w:rPr>
          <w:t>7.2</w:t>
        </w:r>
        <w:r w:rsidR="00D7656B">
          <w:rPr>
            <w:rFonts w:eastAsiaTheme="minorEastAsia" w:cstheme="minorBidi"/>
            <w:b w:val="0"/>
            <w:bCs w:val="0"/>
            <w:smallCaps w:val="0"/>
            <w:noProof/>
          </w:rPr>
          <w:tab/>
        </w:r>
        <w:r w:rsidR="00D7656B" w:rsidRPr="00125856">
          <w:rPr>
            <w:rStyle w:val="Hyperlink"/>
            <w:noProof/>
          </w:rPr>
          <w:t>Prenošenje značajne tržišne snage na osnovama nevezanim uz cijene</w:t>
        </w:r>
        <w:r w:rsidR="00D7656B">
          <w:rPr>
            <w:noProof/>
            <w:webHidden/>
          </w:rPr>
          <w:tab/>
        </w:r>
        <w:r w:rsidR="00D7656B">
          <w:rPr>
            <w:noProof/>
            <w:webHidden/>
          </w:rPr>
          <w:fldChar w:fldCharType="begin"/>
        </w:r>
        <w:r w:rsidR="00D7656B">
          <w:rPr>
            <w:noProof/>
            <w:webHidden/>
          </w:rPr>
          <w:instrText xml:space="preserve"> PAGEREF _Toc525729851 \h </w:instrText>
        </w:r>
        <w:r w:rsidR="00D7656B">
          <w:rPr>
            <w:noProof/>
            <w:webHidden/>
          </w:rPr>
        </w:r>
        <w:r w:rsidR="00D7656B">
          <w:rPr>
            <w:noProof/>
            <w:webHidden/>
          </w:rPr>
          <w:fldChar w:fldCharType="separate"/>
        </w:r>
        <w:r w:rsidR="00391672">
          <w:rPr>
            <w:noProof/>
            <w:webHidden/>
          </w:rPr>
          <w:t>23</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52" w:history="1">
        <w:r w:rsidR="00D7656B" w:rsidRPr="00125856">
          <w:rPr>
            <w:rStyle w:val="Hyperlink"/>
            <w:noProof/>
            <w14:scene3d>
              <w14:camera w14:prst="orthographicFront"/>
              <w14:lightRig w14:rig="threePt" w14:dir="t">
                <w14:rot w14:lat="0" w14:lon="0" w14:rev="0"/>
              </w14:lightRig>
            </w14:scene3d>
          </w:rPr>
          <w:t>7.3</w:t>
        </w:r>
        <w:r w:rsidR="00D7656B">
          <w:rPr>
            <w:rFonts w:eastAsiaTheme="minorEastAsia" w:cstheme="minorBidi"/>
            <w:b w:val="0"/>
            <w:bCs w:val="0"/>
            <w:smallCaps w:val="0"/>
            <w:noProof/>
          </w:rPr>
          <w:tab/>
        </w:r>
        <w:r w:rsidR="00D7656B" w:rsidRPr="00125856">
          <w:rPr>
            <w:rStyle w:val="Hyperlink"/>
            <w:noProof/>
          </w:rPr>
          <w:t>Prenošenje značajne tržišne snage na osnovama vezanim uz cijene</w:t>
        </w:r>
        <w:r w:rsidR="00D7656B">
          <w:rPr>
            <w:noProof/>
            <w:webHidden/>
          </w:rPr>
          <w:tab/>
        </w:r>
        <w:r w:rsidR="00D7656B">
          <w:rPr>
            <w:noProof/>
            <w:webHidden/>
          </w:rPr>
          <w:fldChar w:fldCharType="begin"/>
        </w:r>
        <w:r w:rsidR="00D7656B">
          <w:rPr>
            <w:noProof/>
            <w:webHidden/>
          </w:rPr>
          <w:instrText xml:space="preserve"> PAGEREF _Toc525729852 \h </w:instrText>
        </w:r>
        <w:r w:rsidR="00D7656B">
          <w:rPr>
            <w:noProof/>
            <w:webHidden/>
          </w:rPr>
        </w:r>
        <w:r w:rsidR="00D7656B">
          <w:rPr>
            <w:noProof/>
            <w:webHidden/>
          </w:rPr>
          <w:fldChar w:fldCharType="separate"/>
        </w:r>
        <w:r w:rsidR="00391672">
          <w:rPr>
            <w:noProof/>
            <w:webHidden/>
          </w:rPr>
          <w:t>24</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53" w:history="1">
        <w:r w:rsidR="00D7656B" w:rsidRPr="00125856">
          <w:rPr>
            <w:rStyle w:val="Hyperlink"/>
            <w:noProof/>
            <w14:scene3d>
              <w14:camera w14:prst="orthographicFront"/>
              <w14:lightRig w14:rig="threePt" w14:dir="t">
                <w14:rot w14:lat="0" w14:lon="0" w14:rev="0"/>
              </w14:lightRig>
            </w14:scene3d>
          </w:rPr>
          <w:t>7.4</w:t>
        </w:r>
        <w:r w:rsidR="00D7656B">
          <w:rPr>
            <w:rFonts w:eastAsiaTheme="minorEastAsia" w:cstheme="minorBidi"/>
            <w:b w:val="0"/>
            <w:bCs w:val="0"/>
            <w:smallCaps w:val="0"/>
            <w:noProof/>
          </w:rPr>
          <w:tab/>
        </w:r>
        <w:r w:rsidR="00D7656B" w:rsidRPr="00125856">
          <w:rPr>
            <w:rStyle w:val="Hyperlink"/>
            <w:noProof/>
          </w:rPr>
          <w:t>Neravnopravni položaj hrvatskih operatora nepokretnih mreža u odnosu na operatore izvan EEA zemalja</w:t>
        </w:r>
        <w:r w:rsidR="00D7656B">
          <w:rPr>
            <w:noProof/>
            <w:webHidden/>
          </w:rPr>
          <w:tab/>
        </w:r>
        <w:r w:rsidR="00D7656B">
          <w:rPr>
            <w:noProof/>
            <w:webHidden/>
          </w:rPr>
          <w:fldChar w:fldCharType="begin"/>
        </w:r>
        <w:r w:rsidR="00D7656B">
          <w:rPr>
            <w:noProof/>
            <w:webHidden/>
          </w:rPr>
          <w:instrText xml:space="preserve"> PAGEREF _Toc525729853 \h </w:instrText>
        </w:r>
        <w:r w:rsidR="00D7656B">
          <w:rPr>
            <w:noProof/>
            <w:webHidden/>
          </w:rPr>
        </w:r>
        <w:r w:rsidR="00D7656B">
          <w:rPr>
            <w:noProof/>
            <w:webHidden/>
          </w:rPr>
          <w:fldChar w:fldCharType="separate"/>
        </w:r>
        <w:r w:rsidR="00391672">
          <w:rPr>
            <w:noProof/>
            <w:webHidden/>
          </w:rPr>
          <w:t>27</w:t>
        </w:r>
        <w:r w:rsidR="00D7656B">
          <w:rPr>
            <w:noProof/>
            <w:webHidden/>
          </w:rPr>
          <w:fldChar w:fldCharType="end"/>
        </w:r>
      </w:hyperlink>
    </w:p>
    <w:p w:rsidR="00D7656B" w:rsidRDefault="000343B9">
      <w:pPr>
        <w:pStyle w:val="TOC1"/>
        <w:tabs>
          <w:tab w:val="left" w:pos="332"/>
          <w:tab w:val="right" w:leader="dot" w:pos="9062"/>
        </w:tabs>
        <w:rPr>
          <w:rFonts w:eastAsiaTheme="minorEastAsia" w:cstheme="minorBidi"/>
          <w:b w:val="0"/>
          <w:bCs w:val="0"/>
          <w:caps w:val="0"/>
          <w:noProof/>
          <w:u w:val="none"/>
        </w:rPr>
      </w:pPr>
      <w:hyperlink w:anchor="_Toc525729854" w:history="1">
        <w:r w:rsidR="00D7656B" w:rsidRPr="00125856">
          <w:rPr>
            <w:rStyle w:val="Hyperlink"/>
            <w:noProof/>
          </w:rPr>
          <w:t>8</w:t>
        </w:r>
        <w:r w:rsidR="00D7656B">
          <w:rPr>
            <w:rFonts w:eastAsiaTheme="minorEastAsia" w:cstheme="minorBidi"/>
            <w:b w:val="0"/>
            <w:bCs w:val="0"/>
            <w:caps w:val="0"/>
            <w:noProof/>
            <w:u w:val="none"/>
          </w:rPr>
          <w:tab/>
        </w:r>
        <w:r w:rsidR="00D7656B" w:rsidRPr="00125856">
          <w:rPr>
            <w:rStyle w:val="Hyperlink"/>
            <w:noProof/>
          </w:rPr>
          <w:t>Regulatorne obveze određene operatorima sa značajnom tržišnom snagom</w:t>
        </w:r>
        <w:r w:rsidR="00D7656B">
          <w:rPr>
            <w:noProof/>
            <w:webHidden/>
          </w:rPr>
          <w:tab/>
        </w:r>
        <w:r w:rsidR="00D7656B">
          <w:rPr>
            <w:noProof/>
            <w:webHidden/>
          </w:rPr>
          <w:fldChar w:fldCharType="begin"/>
        </w:r>
        <w:r w:rsidR="00D7656B">
          <w:rPr>
            <w:noProof/>
            <w:webHidden/>
          </w:rPr>
          <w:instrText xml:space="preserve"> PAGEREF _Toc525729854 \h </w:instrText>
        </w:r>
        <w:r w:rsidR="00D7656B">
          <w:rPr>
            <w:noProof/>
            <w:webHidden/>
          </w:rPr>
        </w:r>
        <w:r w:rsidR="00D7656B">
          <w:rPr>
            <w:noProof/>
            <w:webHidden/>
          </w:rPr>
          <w:fldChar w:fldCharType="separate"/>
        </w:r>
        <w:r w:rsidR="00391672">
          <w:rPr>
            <w:noProof/>
            <w:webHidden/>
          </w:rPr>
          <w:t>28</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55" w:history="1">
        <w:r w:rsidR="00D7656B" w:rsidRPr="00125856">
          <w:rPr>
            <w:rStyle w:val="Hyperlink"/>
            <w:noProof/>
            <w14:scene3d>
              <w14:camera w14:prst="orthographicFront"/>
              <w14:lightRig w14:rig="threePt" w14:dir="t">
                <w14:rot w14:lat="0" w14:lon="0" w14:rev="0"/>
              </w14:lightRig>
            </w14:scene3d>
          </w:rPr>
          <w:t>8.1</w:t>
        </w:r>
        <w:r w:rsidR="00D7656B">
          <w:rPr>
            <w:rFonts w:eastAsiaTheme="minorEastAsia" w:cstheme="minorBidi"/>
            <w:b w:val="0"/>
            <w:bCs w:val="0"/>
            <w:smallCaps w:val="0"/>
            <w:noProof/>
          </w:rPr>
          <w:tab/>
        </w:r>
        <w:r w:rsidR="00D7656B" w:rsidRPr="00125856">
          <w:rPr>
            <w:rStyle w:val="Hyperlink"/>
            <w:noProof/>
          </w:rPr>
          <w:t>Obveza pristupa i korištenja posebnih dijelova mreže</w:t>
        </w:r>
        <w:r w:rsidR="00D7656B">
          <w:rPr>
            <w:noProof/>
            <w:webHidden/>
          </w:rPr>
          <w:tab/>
        </w:r>
        <w:r w:rsidR="00D7656B">
          <w:rPr>
            <w:noProof/>
            <w:webHidden/>
          </w:rPr>
          <w:fldChar w:fldCharType="begin"/>
        </w:r>
        <w:r w:rsidR="00D7656B">
          <w:rPr>
            <w:noProof/>
            <w:webHidden/>
          </w:rPr>
          <w:instrText xml:space="preserve"> PAGEREF _Toc525729855 \h </w:instrText>
        </w:r>
        <w:r w:rsidR="00D7656B">
          <w:rPr>
            <w:noProof/>
            <w:webHidden/>
          </w:rPr>
        </w:r>
        <w:r w:rsidR="00D7656B">
          <w:rPr>
            <w:noProof/>
            <w:webHidden/>
          </w:rPr>
          <w:fldChar w:fldCharType="separate"/>
        </w:r>
        <w:r w:rsidR="00391672">
          <w:rPr>
            <w:noProof/>
            <w:webHidden/>
          </w:rPr>
          <w:t>28</w:t>
        </w:r>
        <w:r w:rsidR="00D7656B">
          <w:rPr>
            <w:noProof/>
            <w:webHidden/>
          </w:rPr>
          <w:fldChar w:fldCharType="end"/>
        </w:r>
      </w:hyperlink>
    </w:p>
    <w:p w:rsidR="00D7656B" w:rsidRDefault="000343B9">
      <w:pPr>
        <w:pStyle w:val="TOC3"/>
        <w:tabs>
          <w:tab w:val="left" w:pos="666"/>
          <w:tab w:val="right" w:leader="dot" w:pos="9062"/>
        </w:tabs>
        <w:rPr>
          <w:rFonts w:eastAsiaTheme="minorEastAsia" w:cstheme="minorBidi"/>
          <w:smallCaps w:val="0"/>
          <w:noProof/>
        </w:rPr>
      </w:pPr>
      <w:hyperlink w:anchor="_Toc525729856" w:history="1">
        <w:r w:rsidR="00D7656B" w:rsidRPr="00125856">
          <w:rPr>
            <w:rStyle w:val="Hyperlink"/>
            <w:rFonts w:eastAsiaTheme="majorEastAsia"/>
            <w:noProof/>
            <w14:scene3d>
              <w14:camera w14:prst="orthographicFront"/>
              <w14:lightRig w14:rig="threePt" w14:dir="t">
                <w14:rot w14:lat="0" w14:lon="0" w14:rev="0"/>
              </w14:lightRig>
            </w14:scene3d>
          </w:rPr>
          <w:t>8.1.1</w:t>
        </w:r>
        <w:r w:rsidR="00D7656B">
          <w:rPr>
            <w:rFonts w:eastAsiaTheme="minorEastAsia" w:cstheme="minorBidi"/>
            <w:smallCaps w:val="0"/>
            <w:noProof/>
          </w:rPr>
          <w:tab/>
        </w:r>
        <w:r w:rsidR="00D7656B" w:rsidRPr="00125856">
          <w:rPr>
            <w:rStyle w:val="Hyperlink"/>
            <w:rFonts w:eastAsiaTheme="majorEastAsia"/>
            <w:iCs/>
            <w:noProof/>
            <w:spacing w:val="15"/>
          </w:rPr>
          <w:t>Regulatorna obveza pristupa i korištenja posebnih dijelova mreža određena svim operatorima sa značajnom tržišnom snagom na ovom mjerodavnom tržištu</w:t>
        </w:r>
        <w:r w:rsidR="00D7656B">
          <w:rPr>
            <w:noProof/>
            <w:webHidden/>
          </w:rPr>
          <w:tab/>
        </w:r>
        <w:r w:rsidR="00D7656B">
          <w:rPr>
            <w:noProof/>
            <w:webHidden/>
          </w:rPr>
          <w:fldChar w:fldCharType="begin"/>
        </w:r>
        <w:r w:rsidR="00D7656B">
          <w:rPr>
            <w:noProof/>
            <w:webHidden/>
          </w:rPr>
          <w:instrText xml:space="preserve"> PAGEREF _Toc525729856 \h </w:instrText>
        </w:r>
        <w:r w:rsidR="00D7656B">
          <w:rPr>
            <w:noProof/>
            <w:webHidden/>
          </w:rPr>
        </w:r>
        <w:r w:rsidR="00D7656B">
          <w:rPr>
            <w:noProof/>
            <w:webHidden/>
          </w:rPr>
          <w:fldChar w:fldCharType="separate"/>
        </w:r>
        <w:r w:rsidR="00391672">
          <w:rPr>
            <w:noProof/>
            <w:webHidden/>
          </w:rPr>
          <w:t>29</w:t>
        </w:r>
        <w:r w:rsidR="00D7656B">
          <w:rPr>
            <w:noProof/>
            <w:webHidden/>
          </w:rPr>
          <w:fldChar w:fldCharType="end"/>
        </w:r>
      </w:hyperlink>
    </w:p>
    <w:p w:rsidR="00D7656B" w:rsidRDefault="000343B9">
      <w:pPr>
        <w:pStyle w:val="TOC3"/>
        <w:tabs>
          <w:tab w:val="left" w:pos="666"/>
          <w:tab w:val="right" w:leader="dot" w:pos="9062"/>
        </w:tabs>
        <w:rPr>
          <w:rFonts w:eastAsiaTheme="minorEastAsia" w:cstheme="minorBidi"/>
          <w:smallCaps w:val="0"/>
          <w:noProof/>
        </w:rPr>
      </w:pPr>
      <w:hyperlink w:anchor="_Toc525729857" w:history="1">
        <w:r w:rsidR="00D7656B" w:rsidRPr="00125856">
          <w:rPr>
            <w:rStyle w:val="Hyperlink"/>
            <w:noProof/>
            <w14:scene3d>
              <w14:camera w14:prst="orthographicFront"/>
              <w14:lightRig w14:rig="threePt" w14:dir="t">
                <w14:rot w14:lat="0" w14:lon="0" w14:rev="0"/>
              </w14:lightRig>
            </w14:scene3d>
          </w:rPr>
          <w:t>8.1.2</w:t>
        </w:r>
        <w:r w:rsidR="00D7656B">
          <w:rPr>
            <w:rFonts w:eastAsiaTheme="minorEastAsia" w:cstheme="minorBidi"/>
            <w:smallCaps w:val="0"/>
            <w:noProof/>
          </w:rPr>
          <w:tab/>
        </w:r>
        <w:r w:rsidR="00D7656B" w:rsidRPr="00125856">
          <w:rPr>
            <w:rStyle w:val="Hyperlink"/>
            <w:rFonts w:eastAsiaTheme="majorEastAsia"/>
            <w:noProof/>
          </w:rPr>
          <w:t>Regulatorna</w:t>
        </w:r>
        <w:r w:rsidR="00D7656B" w:rsidRPr="00125856">
          <w:rPr>
            <w:rStyle w:val="Hyperlink"/>
            <w:noProof/>
          </w:rPr>
          <w:t xml:space="preserve"> obveza pristupa i korištenja posebnih dijelova mreže određena samo HT-u kao operatoru sa značajnom tržišnom snagom na ovom mjerodavnom tržištu</w:t>
        </w:r>
        <w:r w:rsidR="00D7656B">
          <w:rPr>
            <w:noProof/>
            <w:webHidden/>
          </w:rPr>
          <w:tab/>
        </w:r>
        <w:r w:rsidR="00D7656B">
          <w:rPr>
            <w:noProof/>
            <w:webHidden/>
          </w:rPr>
          <w:fldChar w:fldCharType="begin"/>
        </w:r>
        <w:r w:rsidR="00D7656B">
          <w:rPr>
            <w:noProof/>
            <w:webHidden/>
          </w:rPr>
          <w:instrText xml:space="preserve"> PAGEREF _Toc525729857 \h </w:instrText>
        </w:r>
        <w:r w:rsidR="00D7656B">
          <w:rPr>
            <w:noProof/>
            <w:webHidden/>
          </w:rPr>
        </w:r>
        <w:r w:rsidR="00D7656B">
          <w:rPr>
            <w:noProof/>
            <w:webHidden/>
          </w:rPr>
          <w:fldChar w:fldCharType="separate"/>
        </w:r>
        <w:r w:rsidR="00391672">
          <w:rPr>
            <w:noProof/>
            <w:webHidden/>
          </w:rPr>
          <w:t>31</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58" w:history="1">
        <w:r w:rsidR="00D7656B" w:rsidRPr="00125856">
          <w:rPr>
            <w:rStyle w:val="Hyperlink"/>
            <w:noProof/>
            <w14:scene3d>
              <w14:camera w14:prst="orthographicFront"/>
              <w14:lightRig w14:rig="threePt" w14:dir="t">
                <w14:rot w14:lat="0" w14:lon="0" w14:rev="0"/>
              </w14:lightRig>
            </w14:scene3d>
          </w:rPr>
          <w:t>8.2</w:t>
        </w:r>
        <w:r w:rsidR="00D7656B">
          <w:rPr>
            <w:rFonts w:eastAsiaTheme="minorEastAsia" w:cstheme="minorBidi"/>
            <w:b w:val="0"/>
            <w:bCs w:val="0"/>
            <w:smallCaps w:val="0"/>
            <w:noProof/>
          </w:rPr>
          <w:tab/>
        </w:r>
        <w:r w:rsidR="00D7656B" w:rsidRPr="00125856">
          <w:rPr>
            <w:rStyle w:val="Hyperlink"/>
            <w:noProof/>
          </w:rPr>
          <w:t>Obveza nediskriminacije</w:t>
        </w:r>
        <w:r w:rsidR="00D7656B">
          <w:rPr>
            <w:noProof/>
            <w:webHidden/>
          </w:rPr>
          <w:tab/>
        </w:r>
        <w:r w:rsidR="00D7656B">
          <w:rPr>
            <w:noProof/>
            <w:webHidden/>
          </w:rPr>
          <w:fldChar w:fldCharType="begin"/>
        </w:r>
        <w:r w:rsidR="00D7656B">
          <w:rPr>
            <w:noProof/>
            <w:webHidden/>
          </w:rPr>
          <w:instrText xml:space="preserve"> PAGEREF _Toc525729858 \h </w:instrText>
        </w:r>
        <w:r w:rsidR="00D7656B">
          <w:rPr>
            <w:noProof/>
            <w:webHidden/>
          </w:rPr>
        </w:r>
        <w:r w:rsidR="00D7656B">
          <w:rPr>
            <w:noProof/>
            <w:webHidden/>
          </w:rPr>
          <w:fldChar w:fldCharType="separate"/>
        </w:r>
        <w:r w:rsidR="00391672">
          <w:rPr>
            <w:noProof/>
            <w:webHidden/>
          </w:rPr>
          <w:t>32</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59" w:history="1">
        <w:r w:rsidR="00D7656B" w:rsidRPr="00125856">
          <w:rPr>
            <w:rStyle w:val="Hyperlink"/>
            <w:noProof/>
            <w14:scene3d>
              <w14:camera w14:prst="orthographicFront"/>
              <w14:lightRig w14:rig="threePt" w14:dir="t">
                <w14:rot w14:lat="0" w14:lon="0" w14:rev="0"/>
              </w14:lightRig>
            </w14:scene3d>
          </w:rPr>
          <w:t>8.3</w:t>
        </w:r>
        <w:r w:rsidR="00D7656B">
          <w:rPr>
            <w:rFonts w:eastAsiaTheme="minorEastAsia" w:cstheme="minorBidi"/>
            <w:b w:val="0"/>
            <w:bCs w:val="0"/>
            <w:smallCaps w:val="0"/>
            <w:noProof/>
          </w:rPr>
          <w:tab/>
        </w:r>
        <w:r w:rsidR="00D7656B" w:rsidRPr="00125856">
          <w:rPr>
            <w:rStyle w:val="Hyperlink"/>
            <w:noProof/>
          </w:rPr>
          <w:t>Obveza transparentnosti</w:t>
        </w:r>
        <w:r w:rsidR="00D7656B">
          <w:rPr>
            <w:noProof/>
            <w:webHidden/>
          </w:rPr>
          <w:tab/>
        </w:r>
        <w:r w:rsidR="00D7656B">
          <w:rPr>
            <w:noProof/>
            <w:webHidden/>
          </w:rPr>
          <w:fldChar w:fldCharType="begin"/>
        </w:r>
        <w:r w:rsidR="00D7656B">
          <w:rPr>
            <w:noProof/>
            <w:webHidden/>
          </w:rPr>
          <w:instrText xml:space="preserve"> PAGEREF _Toc525729859 \h </w:instrText>
        </w:r>
        <w:r w:rsidR="00D7656B">
          <w:rPr>
            <w:noProof/>
            <w:webHidden/>
          </w:rPr>
        </w:r>
        <w:r w:rsidR="00D7656B">
          <w:rPr>
            <w:noProof/>
            <w:webHidden/>
          </w:rPr>
          <w:fldChar w:fldCharType="separate"/>
        </w:r>
        <w:r w:rsidR="00391672">
          <w:rPr>
            <w:noProof/>
            <w:webHidden/>
          </w:rPr>
          <w:t>33</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60" w:history="1">
        <w:r w:rsidR="00D7656B" w:rsidRPr="00125856">
          <w:rPr>
            <w:rStyle w:val="Hyperlink"/>
            <w:noProof/>
            <w14:scene3d>
              <w14:camera w14:prst="orthographicFront"/>
              <w14:lightRig w14:rig="threePt" w14:dir="t">
                <w14:rot w14:lat="0" w14:lon="0" w14:rev="0"/>
              </w14:lightRig>
            </w14:scene3d>
          </w:rPr>
          <w:t>8.4</w:t>
        </w:r>
        <w:r w:rsidR="00D7656B">
          <w:rPr>
            <w:rFonts w:eastAsiaTheme="minorEastAsia" w:cstheme="minorBidi"/>
            <w:b w:val="0"/>
            <w:bCs w:val="0"/>
            <w:smallCaps w:val="0"/>
            <w:noProof/>
          </w:rPr>
          <w:tab/>
        </w:r>
        <w:r w:rsidR="00D7656B" w:rsidRPr="00125856">
          <w:rPr>
            <w:rStyle w:val="Hyperlink"/>
            <w:noProof/>
          </w:rPr>
          <w:t>Obveza nadzora cijena i vođenja troškovnog računovodstva</w:t>
        </w:r>
        <w:r w:rsidR="00D7656B">
          <w:rPr>
            <w:noProof/>
            <w:webHidden/>
          </w:rPr>
          <w:tab/>
        </w:r>
        <w:r w:rsidR="00D7656B">
          <w:rPr>
            <w:noProof/>
            <w:webHidden/>
          </w:rPr>
          <w:fldChar w:fldCharType="begin"/>
        </w:r>
        <w:r w:rsidR="00D7656B">
          <w:rPr>
            <w:noProof/>
            <w:webHidden/>
          </w:rPr>
          <w:instrText xml:space="preserve"> PAGEREF _Toc525729860 \h </w:instrText>
        </w:r>
        <w:r w:rsidR="00D7656B">
          <w:rPr>
            <w:noProof/>
            <w:webHidden/>
          </w:rPr>
        </w:r>
        <w:r w:rsidR="00D7656B">
          <w:rPr>
            <w:noProof/>
            <w:webHidden/>
          </w:rPr>
          <w:fldChar w:fldCharType="separate"/>
        </w:r>
        <w:r w:rsidR="00391672">
          <w:rPr>
            <w:noProof/>
            <w:webHidden/>
          </w:rPr>
          <w:t>38</w:t>
        </w:r>
        <w:r w:rsidR="00D7656B">
          <w:rPr>
            <w:noProof/>
            <w:webHidden/>
          </w:rPr>
          <w:fldChar w:fldCharType="end"/>
        </w:r>
      </w:hyperlink>
    </w:p>
    <w:p w:rsidR="00D7656B" w:rsidRDefault="000343B9">
      <w:pPr>
        <w:pStyle w:val="TOC2"/>
        <w:tabs>
          <w:tab w:val="left" w:pos="502"/>
          <w:tab w:val="right" w:leader="dot" w:pos="9062"/>
        </w:tabs>
        <w:rPr>
          <w:rFonts w:eastAsiaTheme="minorEastAsia" w:cstheme="minorBidi"/>
          <w:b w:val="0"/>
          <w:bCs w:val="0"/>
          <w:smallCaps w:val="0"/>
          <w:noProof/>
        </w:rPr>
      </w:pPr>
      <w:hyperlink w:anchor="_Toc525729861" w:history="1">
        <w:r w:rsidR="00D7656B" w:rsidRPr="00125856">
          <w:rPr>
            <w:rStyle w:val="Hyperlink"/>
            <w:noProof/>
            <w14:scene3d>
              <w14:camera w14:prst="orthographicFront"/>
              <w14:lightRig w14:rig="threePt" w14:dir="t">
                <w14:rot w14:lat="0" w14:lon="0" w14:rev="0"/>
              </w14:lightRig>
            </w14:scene3d>
          </w:rPr>
          <w:t>8.5</w:t>
        </w:r>
        <w:r w:rsidR="00D7656B">
          <w:rPr>
            <w:rFonts w:eastAsiaTheme="minorEastAsia" w:cstheme="minorBidi"/>
            <w:b w:val="0"/>
            <w:bCs w:val="0"/>
            <w:smallCaps w:val="0"/>
            <w:noProof/>
          </w:rPr>
          <w:tab/>
        </w:r>
        <w:r w:rsidR="00D7656B" w:rsidRPr="00125856">
          <w:rPr>
            <w:rStyle w:val="Hyperlink"/>
            <w:noProof/>
          </w:rPr>
          <w:t>Obveza računovodstvenog razdvajanja</w:t>
        </w:r>
        <w:r w:rsidR="00D7656B">
          <w:rPr>
            <w:noProof/>
            <w:webHidden/>
          </w:rPr>
          <w:tab/>
        </w:r>
        <w:r w:rsidR="00D7656B">
          <w:rPr>
            <w:noProof/>
            <w:webHidden/>
          </w:rPr>
          <w:fldChar w:fldCharType="begin"/>
        </w:r>
        <w:r w:rsidR="00D7656B">
          <w:rPr>
            <w:noProof/>
            <w:webHidden/>
          </w:rPr>
          <w:instrText xml:space="preserve"> PAGEREF _Toc525729861 \h </w:instrText>
        </w:r>
        <w:r w:rsidR="00D7656B">
          <w:rPr>
            <w:noProof/>
            <w:webHidden/>
          </w:rPr>
        </w:r>
        <w:r w:rsidR="00D7656B">
          <w:rPr>
            <w:noProof/>
            <w:webHidden/>
          </w:rPr>
          <w:fldChar w:fldCharType="separate"/>
        </w:r>
        <w:r w:rsidR="00391672">
          <w:rPr>
            <w:noProof/>
            <w:webHidden/>
          </w:rPr>
          <w:t>42</w:t>
        </w:r>
        <w:r w:rsidR="00D7656B">
          <w:rPr>
            <w:noProof/>
            <w:webHidden/>
          </w:rPr>
          <w:fldChar w:fldCharType="end"/>
        </w:r>
      </w:hyperlink>
    </w:p>
    <w:p w:rsidR="00D7656B" w:rsidRDefault="000343B9">
      <w:pPr>
        <w:pStyle w:val="TOC1"/>
        <w:tabs>
          <w:tab w:val="left" w:pos="332"/>
          <w:tab w:val="right" w:leader="dot" w:pos="9062"/>
        </w:tabs>
        <w:rPr>
          <w:rFonts w:eastAsiaTheme="minorEastAsia" w:cstheme="minorBidi"/>
          <w:b w:val="0"/>
          <w:bCs w:val="0"/>
          <w:caps w:val="0"/>
          <w:noProof/>
          <w:u w:val="none"/>
        </w:rPr>
      </w:pPr>
      <w:hyperlink w:anchor="_Toc525729862" w:history="1">
        <w:r w:rsidR="00D7656B" w:rsidRPr="00125856">
          <w:rPr>
            <w:rStyle w:val="Hyperlink"/>
            <w:noProof/>
          </w:rPr>
          <w:t>9</w:t>
        </w:r>
        <w:r w:rsidR="00D7656B">
          <w:rPr>
            <w:rFonts w:eastAsiaTheme="minorEastAsia" w:cstheme="minorBidi"/>
            <w:b w:val="0"/>
            <w:bCs w:val="0"/>
            <w:caps w:val="0"/>
            <w:noProof/>
            <w:u w:val="none"/>
          </w:rPr>
          <w:tab/>
        </w:r>
        <w:r w:rsidR="00D7656B" w:rsidRPr="00125856">
          <w:rPr>
            <w:rStyle w:val="Hyperlink"/>
            <w:noProof/>
          </w:rPr>
          <w:t>Popis slika</w:t>
        </w:r>
        <w:r w:rsidR="00D7656B">
          <w:rPr>
            <w:noProof/>
            <w:webHidden/>
          </w:rPr>
          <w:tab/>
        </w:r>
        <w:r w:rsidR="00D7656B">
          <w:rPr>
            <w:noProof/>
            <w:webHidden/>
          </w:rPr>
          <w:fldChar w:fldCharType="begin"/>
        </w:r>
        <w:r w:rsidR="00D7656B">
          <w:rPr>
            <w:noProof/>
            <w:webHidden/>
          </w:rPr>
          <w:instrText xml:space="preserve"> PAGEREF _Toc525729862 \h </w:instrText>
        </w:r>
        <w:r w:rsidR="00D7656B">
          <w:rPr>
            <w:noProof/>
            <w:webHidden/>
          </w:rPr>
        </w:r>
        <w:r w:rsidR="00D7656B">
          <w:rPr>
            <w:noProof/>
            <w:webHidden/>
          </w:rPr>
          <w:fldChar w:fldCharType="separate"/>
        </w:r>
        <w:r w:rsidR="00391672">
          <w:rPr>
            <w:noProof/>
            <w:webHidden/>
          </w:rPr>
          <w:t>44</w:t>
        </w:r>
        <w:r w:rsidR="00D7656B">
          <w:rPr>
            <w:noProof/>
            <w:webHidden/>
          </w:rPr>
          <w:fldChar w:fldCharType="end"/>
        </w:r>
      </w:hyperlink>
    </w:p>
    <w:p w:rsidR="00D7656B" w:rsidRDefault="000343B9">
      <w:pPr>
        <w:pStyle w:val="TOC1"/>
        <w:tabs>
          <w:tab w:val="left" w:pos="443"/>
          <w:tab w:val="right" w:leader="dot" w:pos="9062"/>
        </w:tabs>
        <w:rPr>
          <w:rFonts w:eastAsiaTheme="minorEastAsia" w:cstheme="minorBidi"/>
          <w:b w:val="0"/>
          <w:bCs w:val="0"/>
          <w:caps w:val="0"/>
          <w:noProof/>
          <w:u w:val="none"/>
        </w:rPr>
      </w:pPr>
      <w:hyperlink w:anchor="_Toc525729863" w:history="1">
        <w:r w:rsidR="00D7656B" w:rsidRPr="00125856">
          <w:rPr>
            <w:rStyle w:val="Hyperlink"/>
            <w:noProof/>
          </w:rPr>
          <w:t>10</w:t>
        </w:r>
        <w:r w:rsidR="00D7656B">
          <w:rPr>
            <w:rFonts w:eastAsiaTheme="minorEastAsia" w:cstheme="minorBidi"/>
            <w:b w:val="0"/>
            <w:bCs w:val="0"/>
            <w:caps w:val="0"/>
            <w:noProof/>
            <w:u w:val="none"/>
          </w:rPr>
          <w:tab/>
        </w:r>
        <w:r w:rsidR="00D7656B" w:rsidRPr="00125856">
          <w:rPr>
            <w:rStyle w:val="Hyperlink"/>
            <w:noProof/>
          </w:rPr>
          <w:t>Popis tablica</w:t>
        </w:r>
        <w:r w:rsidR="00D7656B">
          <w:rPr>
            <w:noProof/>
            <w:webHidden/>
          </w:rPr>
          <w:tab/>
        </w:r>
        <w:r w:rsidR="00D7656B">
          <w:rPr>
            <w:noProof/>
            <w:webHidden/>
          </w:rPr>
          <w:fldChar w:fldCharType="begin"/>
        </w:r>
        <w:r w:rsidR="00D7656B">
          <w:rPr>
            <w:noProof/>
            <w:webHidden/>
          </w:rPr>
          <w:instrText xml:space="preserve"> PAGEREF _Toc525729863 \h </w:instrText>
        </w:r>
        <w:r w:rsidR="00D7656B">
          <w:rPr>
            <w:noProof/>
            <w:webHidden/>
          </w:rPr>
        </w:r>
        <w:r w:rsidR="00D7656B">
          <w:rPr>
            <w:noProof/>
            <w:webHidden/>
          </w:rPr>
          <w:fldChar w:fldCharType="separate"/>
        </w:r>
        <w:r w:rsidR="00391672">
          <w:rPr>
            <w:noProof/>
            <w:webHidden/>
          </w:rPr>
          <w:t>44</w:t>
        </w:r>
        <w:r w:rsidR="00D7656B">
          <w:rPr>
            <w:noProof/>
            <w:webHidden/>
          </w:rPr>
          <w:fldChar w:fldCharType="end"/>
        </w:r>
      </w:hyperlink>
    </w:p>
    <w:p w:rsidR="00D7656B" w:rsidRDefault="000343B9">
      <w:pPr>
        <w:pStyle w:val="TOC1"/>
        <w:tabs>
          <w:tab w:val="left" w:pos="443"/>
          <w:tab w:val="right" w:leader="dot" w:pos="9062"/>
        </w:tabs>
        <w:rPr>
          <w:rFonts w:eastAsiaTheme="minorEastAsia" w:cstheme="minorBidi"/>
          <w:b w:val="0"/>
          <w:bCs w:val="0"/>
          <w:caps w:val="0"/>
          <w:noProof/>
          <w:u w:val="none"/>
        </w:rPr>
      </w:pPr>
      <w:hyperlink w:anchor="_Toc525729864" w:history="1">
        <w:r w:rsidR="00D7656B" w:rsidRPr="00125856">
          <w:rPr>
            <w:rStyle w:val="Hyperlink"/>
            <w:noProof/>
          </w:rPr>
          <w:t>11</w:t>
        </w:r>
        <w:r w:rsidR="00D7656B">
          <w:rPr>
            <w:rFonts w:eastAsiaTheme="minorEastAsia" w:cstheme="minorBidi"/>
            <w:b w:val="0"/>
            <w:bCs w:val="0"/>
            <w:caps w:val="0"/>
            <w:noProof/>
            <w:u w:val="none"/>
          </w:rPr>
          <w:tab/>
        </w:r>
        <w:r w:rsidR="00D7656B" w:rsidRPr="00125856">
          <w:rPr>
            <w:rStyle w:val="Hyperlink"/>
            <w:noProof/>
          </w:rPr>
          <w:t>Privici</w:t>
        </w:r>
        <w:r w:rsidR="00D7656B">
          <w:rPr>
            <w:noProof/>
            <w:webHidden/>
          </w:rPr>
          <w:tab/>
        </w:r>
        <w:r w:rsidR="00D7656B">
          <w:rPr>
            <w:noProof/>
            <w:webHidden/>
          </w:rPr>
          <w:fldChar w:fldCharType="begin"/>
        </w:r>
        <w:r w:rsidR="00D7656B">
          <w:rPr>
            <w:noProof/>
            <w:webHidden/>
          </w:rPr>
          <w:instrText xml:space="preserve"> PAGEREF _Toc525729864 \h </w:instrText>
        </w:r>
        <w:r w:rsidR="00D7656B">
          <w:rPr>
            <w:noProof/>
            <w:webHidden/>
          </w:rPr>
        </w:r>
        <w:r w:rsidR="00D7656B">
          <w:rPr>
            <w:noProof/>
            <w:webHidden/>
          </w:rPr>
          <w:fldChar w:fldCharType="separate"/>
        </w:r>
        <w:r w:rsidR="00391672">
          <w:rPr>
            <w:noProof/>
            <w:webHidden/>
          </w:rPr>
          <w:t>45</w:t>
        </w:r>
        <w:r w:rsidR="00D7656B">
          <w:rPr>
            <w:noProof/>
            <w:webHidden/>
          </w:rPr>
          <w:fldChar w:fldCharType="end"/>
        </w:r>
      </w:hyperlink>
    </w:p>
    <w:p w:rsidR="00D7656B" w:rsidRDefault="000343B9">
      <w:pPr>
        <w:pStyle w:val="TOC2"/>
        <w:tabs>
          <w:tab w:val="left" w:pos="613"/>
          <w:tab w:val="right" w:leader="dot" w:pos="9062"/>
        </w:tabs>
        <w:rPr>
          <w:rFonts w:eastAsiaTheme="minorEastAsia" w:cstheme="minorBidi"/>
          <w:b w:val="0"/>
          <w:bCs w:val="0"/>
          <w:smallCaps w:val="0"/>
          <w:noProof/>
        </w:rPr>
      </w:pPr>
      <w:hyperlink w:anchor="_Toc525729865" w:history="1">
        <w:r w:rsidR="00D7656B" w:rsidRPr="00125856">
          <w:rPr>
            <w:rStyle w:val="Hyperlink"/>
            <w:noProof/>
            <w14:scene3d>
              <w14:camera w14:prst="orthographicFront"/>
              <w14:lightRig w14:rig="threePt" w14:dir="t">
                <w14:rot w14:lat="0" w14:lon="0" w14:rev="0"/>
              </w14:lightRig>
            </w14:scene3d>
          </w:rPr>
          <w:t>11.1</w:t>
        </w:r>
        <w:r w:rsidR="00D7656B">
          <w:rPr>
            <w:rFonts w:eastAsiaTheme="minorEastAsia" w:cstheme="minorBidi"/>
            <w:b w:val="0"/>
            <w:bCs w:val="0"/>
            <w:smallCaps w:val="0"/>
            <w:noProof/>
          </w:rPr>
          <w:tab/>
        </w:r>
        <w:r w:rsidR="00D7656B" w:rsidRPr="00125856">
          <w:rPr>
            <w:rStyle w:val="Hyperlink"/>
            <w:noProof/>
          </w:rPr>
          <w:t>Privitak 1 – Arhitektura IP međupovezivanja</w:t>
        </w:r>
        <w:r w:rsidR="00D7656B">
          <w:rPr>
            <w:noProof/>
            <w:webHidden/>
          </w:rPr>
          <w:tab/>
        </w:r>
        <w:r w:rsidR="00D7656B">
          <w:rPr>
            <w:noProof/>
            <w:webHidden/>
          </w:rPr>
          <w:fldChar w:fldCharType="begin"/>
        </w:r>
        <w:r w:rsidR="00D7656B">
          <w:rPr>
            <w:noProof/>
            <w:webHidden/>
          </w:rPr>
          <w:instrText xml:space="preserve"> PAGEREF _Toc525729865 \h </w:instrText>
        </w:r>
        <w:r w:rsidR="00D7656B">
          <w:rPr>
            <w:noProof/>
            <w:webHidden/>
          </w:rPr>
        </w:r>
        <w:r w:rsidR="00D7656B">
          <w:rPr>
            <w:noProof/>
            <w:webHidden/>
          </w:rPr>
          <w:fldChar w:fldCharType="separate"/>
        </w:r>
        <w:r w:rsidR="00391672">
          <w:rPr>
            <w:noProof/>
            <w:webHidden/>
          </w:rPr>
          <w:t>45</w:t>
        </w:r>
        <w:r w:rsidR="00D7656B">
          <w:rPr>
            <w:noProof/>
            <w:webHidden/>
          </w:rPr>
          <w:fldChar w:fldCharType="end"/>
        </w:r>
      </w:hyperlink>
    </w:p>
    <w:p w:rsidR="00D7656B" w:rsidRDefault="000343B9">
      <w:pPr>
        <w:pStyle w:val="TOC2"/>
        <w:tabs>
          <w:tab w:val="left" w:pos="613"/>
          <w:tab w:val="right" w:leader="dot" w:pos="9062"/>
        </w:tabs>
        <w:rPr>
          <w:rFonts w:eastAsiaTheme="minorEastAsia" w:cstheme="minorBidi"/>
          <w:b w:val="0"/>
          <w:bCs w:val="0"/>
          <w:smallCaps w:val="0"/>
          <w:noProof/>
        </w:rPr>
      </w:pPr>
      <w:hyperlink w:anchor="_Toc525729866" w:history="1">
        <w:r w:rsidR="00D7656B" w:rsidRPr="00125856">
          <w:rPr>
            <w:rStyle w:val="Hyperlink"/>
            <w:noProof/>
            <w14:scene3d>
              <w14:camera w14:prst="orthographicFront"/>
              <w14:lightRig w14:rig="threePt" w14:dir="t">
                <w14:rot w14:lat="0" w14:lon="0" w14:rev="0"/>
              </w14:lightRig>
            </w14:scene3d>
          </w:rPr>
          <w:t>11.2</w:t>
        </w:r>
        <w:r w:rsidR="00D7656B">
          <w:rPr>
            <w:rFonts w:eastAsiaTheme="minorEastAsia" w:cstheme="minorBidi"/>
            <w:b w:val="0"/>
            <w:bCs w:val="0"/>
            <w:smallCaps w:val="0"/>
            <w:noProof/>
          </w:rPr>
          <w:tab/>
        </w:r>
        <w:r w:rsidR="00D7656B" w:rsidRPr="00125856">
          <w:rPr>
            <w:rStyle w:val="Hyperlink"/>
            <w:noProof/>
          </w:rPr>
          <w:t>Privitak 2 – Operatori sa značajnom tržišnom snagom na mjerodavnom tržištu</w:t>
        </w:r>
        <w:r w:rsidR="00D7656B">
          <w:rPr>
            <w:noProof/>
            <w:webHidden/>
          </w:rPr>
          <w:tab/>
        </w:r>
        <w:r w:rsidR="00D7656B">
          <w:rPr>
            <w:noProof/>
            <w:webHidden/>
          </w:rPr>
          <w:fldChar w:fldCharType="begin"/>
        </w:r>
        <w:r w:rsidR="00D7656B">
          <w:rPr>
            <w:noProof/>
            <w:webHidden/>
          </w:rPr>
          <w:instrText xml:space="preserve"> PAGEREF _Toc525729866 \h </w:instrText>
        </w:r>
        <w:r w:rsidR="00D7656B">
          <w:rPr>
            <w:noProof/>
            <w:webHidden/>
          </w:rPr>
        </w:r>
        <w:r w:rsidR="00D7656B">
          <w:rPr>
            <w:noProof/>
            <w:webHidden/>
          </w:rPr>
          <w:fldChar w:fldCharType="separate"/>
        </w:r>
        <w:r w:rsidR="00391672">
          <w:rPr>
            <w:noProof/>
            <w:webHidden/>
          </w:rPr>
          <w:t>49</w:t>
        </w:r>
        <w:r w:rsidR="00D7656B">
          <w:rPr>
            <w:noProof/>
            <w:webHidden/>
          </w:rPr>
          <w:fldChar w:fldCharType="end"/>
        </w:r>
      </w:hyperlink>
    </w:p>
    <w:p w:rsidR="00D7656B" w:rsidRDefault="000343B9">
      <w:pPr>
        <w:pStyle w:val="TOC2"/>
        <w:tabs>
          <w:tab w:val="left" w:pos="613"/>
          <w:tab w:val="right" w:leader="dot" w:pos="9062"/>
        </w:tabs>
        <w:rPr>
          <w:rFonts w:eastAsiaTheme="minorEastAsia" w:cstheme="minorBidi"/>
          <w:b w:val="0"/>
          <w:bCs w:val="0"/>
          <w:smallCaps w:val="0"/>
          <w:noProof/>
        </w:rPr>
      </w:pPr>
      <w:hyperlink w:anchor="_Toc525729867" w:history="1">
        <w:r w:rsidR="00D7656B" w:rsidRPr="00125856">
          <w:rPr>
            <w:rStyle w:val="Hyperlink"/>
            <w:noProof/>
            <w14:scene3d>
              <w14:camera w14:prst="orthographicFront"/>
              <w14:lightRig w14:rig="threePt" w14:dir="t">
                <w14:rot w14:lat="0" w14:lon="0" w14:rev="0"/>
              </w14:lightRig>
            </w14:scene3d>
          </w:rPr>
          <w:t>11.3</w:t>
        </w:r>
        <w:r w:rsidR="00D7656B">
          <w:rPr>
            <w:rFonts w:eastAsiaTheme="minorEastAsia" w:cstheme="minorBidi"/>
            <w:b w:val="0"/>
            <w:bCs w:val="0"/>
            <w:smallCaps w:val="0"/>
            <w:noProof/>
          </w:rPr>
          <w:tab/>
        </w:r>
        <w:r w:rsidR="00D7656B" w:rsidRPr="00125856">
          <w:rPr>
            <w:rStyle w:val="Hyperlink"/>
            <w:noProof/>
          </w:rPr>
          <w:t>Privitak 3 – Pregled regulatornih obveza</w:t>
        </w:r>
        <w:r w:rsidR="00D7656B">
          <w:rPr>
            <w:noProof/>
            <w:webHidden/>
          </w:rPr>
          <w:tab/>
        </w:r>
        <w:r w:rsidR="00D7656B">
          <w:rPr>
            <w:noProof/>
            <w:webHidden/>
          </w:rPr>
          <w:fldChar w:fldCharType="begin"/>
        </w:r>
        <w:r w:rsidR="00D7656B">
          <w:rPr>
            <w:noProof/>
            <w:webHidden/>
          </w:rPr>
          <w:instrText xml:space="preserve"> PAGEREF _Toc525729867 \h </w:instrText>
        </w:r>
        <w:r w:rsidR="00D7656B">
          <w:rPr>
            <w:noProof/>
            <w:webHidden/>
          </w:rPr>
        </w:r>
        <w:r w:rsidR="00D7656B">
          <w:rPr>
            <w:noProof/>
            <w:webHidden/>
          </w:rPr>
          <w:fldChar w:fldCharType="separate"/>
        </w:r>
        <w:r w:rsidR="00391672">
          <w:rPr>
            <w:noProof/>
            <w:webHidden/>
          </w:rPr>
          <w:t>50</w:t>
        </w:r>
        <w:r w:rsidR="00D7656B">
          <w:rPr>
            <w:noProof/>
            <w:webHidden/>
          </w:rPr>
          <w:fldChar w:fldCharType="end"/>
        </w:r>
      </w:hyperlink>
    </w:p>
    <w:p w:rsidR="00D7656B" w:rsidRDefault="000343B9">
      <w:pPr>
        <w:pStyle w:val="TOC2"/>
        <w:tabs>
          <w:tab w:val="left" w:pos="613"/>
          <w:tab w:val="right" w:leader="dot" w:pos="9062"/>
        </w:tabs>
        <w:rPr>
          <w:rFonts w:eastAsiaTheme="minorEastAsia" w:cstheme="minorBidi"/>
          <w:b w:val="0"/>
          <w:bCs w:val="0"/>
          <w:smallCaps w:val="0"/>
          <w:noProof/>
        </w:rPr>
      </w:pPr>
      <w:hyperlink w:anchor="_Toc525729868" w:history="1">
        <w:r w:rsidR="00D7656B" w:rsidRPr="00125856">
          <w:rPr>
            <w:rStyle w:val="Hyperlink"/>
            <w:noProof/>
            <w:lang w:eastAsia="en-US"/>
            <w14:scene3d>
              <w14:camera w14:prst="orthographicFront"/>
              <w14:lightRig w14:rig="threePt" w14:dir="t">
                <w14:rot w14:lat="0" w14:lon="0" w14:rev="0"/>
              </w14:lightRig>
            </w14:scene3d>
          </w:rPr>
          <w:t>11.4</w:t>
        </w:r>
        <w:r w:rsidR="00D7656B">
          <w:rPr>
            <w:rFonts w:eastAsiaTheme="minorEastAsia" w:cstheme="minorBidi"/>
            <w:b w:val="0"/>
            <w:bCs w:val="0"/>
            <w:smallCaps w:val="0"/>
            <w:noProof/>
          </w:rPr>
          <w:tab/>
        </w:r>
        <w:r w:rsidR="001B34C8">
          <w:rPr>
            <w:rStyle w:val="Hyperlink"/>
            <w:noProof/>
            <w:lang w:eastAsia="en-US"/>
          </w:rPr>
          <w:t>Privitak 4</w:t>
        </w:r>
        <w:r w:rsidR="00D7656B" w:rsidRPr="00125856">
          <w:rPr>
            <w:rStyle w:val="Hyperlink"/>
            <w:noProof/>
            <w:lang w:eastAsia="en-US"/>
          </w:rPr>
          <w:t xml:space="preserve"> -</w:t>
        </w:r>
        <w:r w:rsidR="00D7656B">
          <w:rPr>
            <w:rStyle w:val="Hyperlink"/>
            <w:noProof/>
            <w:lang w:eastAsia="en-US"/>
          </w:rPr>
          <w:t xml:space="preserve"> </w:t>
        </w:r>
        <w:r w:rsidR="00D7656B" w:rsidRPr="00125856">
          <w:rPr>
            <w:rStyle w:val="Hyperlink"/>
            <w:noProof/>
            <w:lang w:eastAsia="en-US"/>
          </w:rPr>
          <w:t>Mišljenje Agencije za zaštitu tržišnog natjecanja</w:t>
        </w:r>
        <w:r w:rsidR="00D7656B">
          <w:rPr>
            <w:noProof/>
            <w:webHidden/>
          </w:rPr>
          <w:tab/>
        </w:r>
        <w:r w:rsidR="00D7656B">
          <w:rPr>
            <w:noProof/>
            <w:webHidden/>
          </w:rPr>
          <w:fldChar w:fldCharType="begin"/>
        </w:r>
        <w:r w:rsidR="00D7656B">
          <w:rPr>
            <w:noProof/>
            <w:webHidden/>
          </w:rPr>
          <w:instrText xml:space="preserve"> PAGEREF _Toc525729868 \h </w:instrText>
        </w:r>
        <w:r w:rsidR="00D7656B">
          <w:rPr>
            <w:noProof/>
            <w:webHidden/>
          </w:rPr>
        </w:r>
        <w:r w:rsidR="00D7656B">
          <w:rPr>
            <w:noProof/>
            <w:webHidden/>
          </w:rPr>
          <w:fldChar w:fldCharType="separate"/>
        </w:r>
        <w:r w:rsidR="00391672">
          <w:rPr>
            <w:noProof/>
            <w:webHidden/>
          </w:rPr>
          <w:t>51</w:t>
        </w:r>
        <w:r w:rsidR="00D7656B">
          <w:rPr>
            <w:noProof/>
            <w:webHidden/>
          </w:rPr>
          <w:fldChar w:fldCharType="end"/>
        </w:r>
      </w:hyperlink>
    </w:p>
    <w:p w:rsidR="00D7656B" w:rsidRDefault="000343B9">
      <w:pPr>
        <w:pStyle w:val="TOC2"/>
        <w:tabs>
          <w:tab w:val="left" w:pos="613"/>
          <w:tab w:val="right" w:leader="dot" w:pos="9062"/>
        </w:tabs>
        <w:rPr>
          <w:rFonts w:eastAsiaTheme="minorEastAsia" w:cstheme="minorBidi"/>
          <w:b w:val="0"/>
          <w:bCs w:val="0"/>
          <w:smallCaps w:val="0"/>
          <w:noProof/>
        </w:rPr>
      </w:pPr>
      <w:hyperlink w:anchor="_Toc525729869" w:history="1">
        <w:r w:rsidR="00D7656B" w:rsidRPr="00125856">
          <w:rPr>
            <w:rStyle w:val="Hyperlink"/>
            <w:noProof/>
            <w:lang w:eastAsia="en-US"/>
            <w14:scene3d>
              <w14:camera w14:prst="orthographicFront"/>
              <w14:lightRig w14:rig="threePt" w14:dir="t">
                <w14:rot w14:lat="0" w14:lon="0" w14:rev="0"/>
              </w14:lightRig>
            </w14:scene3d>
          </w:rPr>
          <w:t>11.5</w:t>
        </w:r>
        <w:r w:rsidR="00D7656B">
          <w:rPr>
            <w:rFonts w:eastAsiaTheme="minorEastAsia" w:cstheme="minorBidi"/>
            <w:b w:val="0"/>
            <w:bCs w:val="0"/>
            <w:smallCaps w:val="0"/>
            <w:noProof/>
          </w:rPr>
          <w:tab/>
        </w:r>
        <w:r w:rsidR="00112F45">
          <w:rPr>
            <w:rStyle w:val="Hyperlink"/>
            <w:noProof/>
            <w:lang w:eastAsia="en-US"/>
          </w:rPr>
          <w:t>Privitak 5</w:t>
        </w:r>
        <w:r w:rsidR="00D7656B" w:rsidRPr="00125856">
          <w:rPr>
            <w:rStyle w:val="Hyperlink"/>
            <w:noProof/>
            <w:lang w:eastAsia="en-US"/>
          </w:rPr>
          <w:t xml:space="preserve"> – Komentari na dokument analize</w:t>
        </w:r>
        <w:r w:rsidR="00D7656B">
          <w:rPr>
            <w:noProof/>
            <w:webHidden/>
          </w:rPr>
          <w:tab/>
        </w:r>
        <w:r w:rsidR="00D7656B">
          <w:rPr>
            <w:noProof/>
            <w:webHidden/>
          </w:rPr>
          <w:fldChar w:fldCharType="begin"/>
        </w:r>
        <w:r w:rsidR="00D7656B">
          <w:rPr>
            <w:noProof/>
            <w:webHidden/>
          </w:rPr>
          <w:instrText xml:space="preserve"> PAGEREF _Toc525729869 \h </w:instrText>
        </w:r>
        <w:r w:rsidR="00D7656B">
          <w:rPr>
            <w:noProof/>
            <w:webHidden/>
          </w:rPr>
        </w:r>
        <w:r w:rsidR="00D7656B">
          <w:rPr>
            <w:noProof/>
            <w:webHidden/>
          </w:rPr>
          <w:fldChar w:fldCharType="separate"/>
        </w:r>
        <w:r w:rsidR="00391672">
          <w:rPr>
            <w:noProof/>
            <w:webHidden/>
          </w:rPr>
          <w:t>52</w:t>
        </w:r>
        <w:r w:rsidR="00D7656B">
          <w:rPr>
            <w:noProof/>
            <w:webHidden/>
          </w:rPr>
          <w:fldChar w:fldCharType="end"/>
        </w:r>
      </w:hyperlink>
    </w:p>
    <w:p w:rsidR="001A106E" w:rsidRDefault="00B6294D" w:rsidP="00F77841">
      <w:pPr>
        <w:rPr>
          <w:rFonts w:asciiTheme="majorHAnsi" w:hAnsiTheme="majorHAnsi"/>
          <w:b/>
          <w:color w:val="4F81BD" w:themeColor="accent1"/>
          <w:sz w:val="28"/>
          <w:szCs w:val="28"/>
        </w:rPr>
      </w:pPr>
      <w:r>
        <w:rPr>
          <w:rFonts w:asciiTheme="majorHAnsi" w:hAnsiTheme="majorHAnsi"/>
          <w:b/>
          <w:color w:val="4F81BD" w:themeColor="accent1"/>
          <w:sz w:val="28"/>
          <w:szCs w:val="28"/>
        </w:rPr>
        <w:fldChar w:fldCharType="end"/>
      </w:r>
    </w:p>
    <w:p w:rsidR="00886F4C" w:rsidRPr="00F12CB5" w:rsidRDefault="00886F4C" w:rsidP="00F77841">
      <w:pPr>
        <w:rPr>
          <w:rFonts w:asciiTheme="majorHAnsi" w:hAnsiTheme="majorHAnsi"/>
          <w:b/>
          <w:sz w:val="28"/>
          <w:szCs w:val="28"/>
        </w:rPr>
      </w:pPr>
    </w:p>
    <w:p w:rsidR="003F0F9C" w:rsidRPr="0005566C" w:rsidRDefault="003F0F9C" w:rsidP="000F1D71">
      <w:pPr>
        <w:spacing w:line="23" w:lineRule="atLeast"/>
        <w:rPr>
          <w:rFonts w:ascii="Calibri" w:hAnsi="Calibri"/>
          <w:b/>
          <w:bCs/>
        </w:rPr>
      </w:pPr>
    </w:p>
    <w:p w:rsidR="001A106E" w:rsidRPr="0005566C" w:rsidRDefault="001A106E">
      <w:pPr>
        <w:rPr>
          <w:rFonts w:ascii="Calibri" w:hAnsi="Calibri"/>
        </w:rPr>
      </w:pPr>
    </w:p>
    <w:p w:rsidR="003F0F9C" w:rsidRPr="00D65505" w:rsidRDefault="003F0F9C" w:rsidP="005A144C">
      <w:pPr>
        <w:pStyle w:val="Heading1"/>
        <w:sectPr w:rsidR="003F0F9C" w:rsidRPr="00D65505" w:rsidSect="00347A2E">
          <w:headerReference w:type="default" r:id="rId14"/>
          <w:footerReference w:type="default" r:id="rId15"/>
          <w:headerReference w:type="first" r:id="rId16"/>
          <w:footerReference w:type="first" r:id="rId17"/>
          <w:pgSz w:w="11906" w:h="16838"/>
          <w:pgMar w:top="1417" w:right="1417" w:bottom="1417" w:left="1417" w:header="708" w:footer="708" w:gutter="0"/>
          <w:cols w:space="708"/>
          <w:titlePg/>
          <w:docGrid w:linePitch="360"/>
        </w:sectPr>
      </w:pPr>
    </w:p>
    <w:p w:rsidR="00EF12FD" w:rsidRPr="0012329D" w:rsidRDefault="00722604" w:rsidP="005A144C">
      <w:pPr>
        <w:pStyle w:val="Heading1"/>
      </w:pPr>
      <w:bookmarkStart w:id="2" w:name="_Toc357581365"/>
      <w:bookmarkStart w:id="3" w:name="_Toc524984005"/>
      <w:bookmarkStart w:id="4" w:name="_Toc525072983"/>
      <w:bookmarkStart w:id="5" w:name="_Toc525729828"/>
      <w:r w:rsidRPr="00D852AF">
        <w:lastRenderedPageBreak/>
        <w:t>Sažeti pregled dokumenta</w:t>
      </w:r>
      <w:bookmarkEnd w:id="2"/>
      <w:bookmarkEnd w:id="3"/>
      <w:bookmarkEnd w:id="4"/>
      <w:bookmarkEnd w:id="5"/>
    </w:p>
    <w:p w:rsidR="00D94782" w:rsidRDefault="00D94782" w:rsidP="00F326F5">
      <w:pPr>
        <w:jc w:val="both"/>
      </w:pPr>
      <w:bookmarkStart w:id="6" w:name="_Toc393987036"/>
      <w:bookmarkStart w:id="7" w:name="_Toc393991062"/>
      <w:bookmarkStart w:id="8" w:name="_Toc394047158"/>
    </w:p>
    <w:p w:rsidR="00F326F5" w:rsidRPr="00F326F5" w:rsidRDefault="00F326F5" w:rsidP="00F326F5">
      <w:pPr>
        <w:jc w:val="both"/>
      </w:pPr>
      <w:r w:rsidRPr="00F326F5">
        <w:t>HAKOM</w:t>
      </w:r>
      <w:r w:rsidRPr="00F326F5">
        <w:rPr>
          <w:vertAlign w:val="superscript"/>
        </w:rPr>
        <w:footnoteReference w:id="1"/>
      </w:r>
      <w:r w:rsidRPr="00F326F5">
        <w:t xml:space="preserve"> je nacionalna regulatorna agencija za obavljanje regulatornih i drugih poslova u okviru djelokruga i nadležnosti određenih ZEK-om</w:t>
      </w:r>
      <w:r w:rsidRPr="00F326F5">
        <w:rPr>
          <w:rFonts w:eastAsia="Times New Roman"/>
          <w:bCs/>
          <w:kern w:val="32"/>
          <w:vertAlign w:val="superscript"/>
        </w:rPr>
        <w:footnoteReference w:id="2"/>
      </w:r>
      <w:r w:rsidRPr="00F326F5">
        <w:t xml:space="preserve">. U okviru svojih nadležnosti, HAKOM je zadužen za područje tržišnog natjecanja u elektroničkim komunikacijama </w:t>
      </w:r>
      <w:bookmarkEnd w:id="6"/>
      <w:bookmarkEnd w:id="7"/>
      <w:bookmarkEnd w:id="8"/>
      <w:r w:rsidR="00B02775" w:rsidRPr="00F91F43">
        <w:rPr>
          <w:szCs w:val="24"/>
        </w:rPr>
        <w:t xml:space="preserve">te </w:t>
      </w:r>
      <w:r w:rsidR="00B02775">
        <w:rPr>
          <w:szCs w:val="24"/>
        </w:rPr>
        <w:t>sukladno članku 52. ZEK-a HAKOM provodi postupak analize tržišta.</w:t>
      </w:r>
    </w:p>
    <w:p w:rsidR="00F326F5" w:rsidRPr="00F326F5" w:rsidRDefault="00F326F5" w:rsidP="00F326F5">
      <w:pPr>
        <w:jc w:val="both"/>
      </w:pPr>
    </w:p>
    <w:p w:rsidR="00284946" w:rsidRPr="00284946" w:rsidRDefault="00284946" w:rsidP="00284946">
      <w:pPr>
        <w:jc w:val="both"/>
        <w:rPr>
          <w:szCs w:val="24"/>
        </w:rPr>
      </w:pPr>
      <w:r w:rsidRPr="00284946">
        <w:rPr>
          <w:szCs w:val="24"/>
        </w:rPr>
        <w:t>U provedbi postupka analize tržišta, HAKOM najprije utvrđuje mjerodavna tržišta podložna prethodnoj (ex-ante) regulaciji u skladu sa člankom 53. ZEK-a. Potom, u skladu sa člankom 54. ZEK-a, određuje mjerodavna tržišta i procjenjuje postojanje jednog ili više operatora sa značajnom tržišnom snagom na tom tržištu, u svrhu ocjene djelotvornosti tržišnog natjecanja na mjerodavnom tržištu. Na temelju rezultata provedene analize bit će određene, izmijenjene, zadržane ili ukinute regulatorne obveze navedene u člancima od 58. do 65. ZEK-a.</w:t>
      </w:r>
    </w:p>
    <w:p w:rsidR="00284946" w:rsidRPr="00284946" w:rsidRDefault="00284946" w:rsidP="00284946">
      <w:pPr>
        <w:jc w:val="both"/>
        <w:rPr>
          <w:szCs w:val="24"/>
        </w:rPr>
      </w:pPr>
    </w:p>
    <w:p w:rsidR="00284946" w:rsidRPr="00284946" w:rsidRDefault="00284946" w:rsidP="00284946">
      <w:pPr>
        <w:jc w:val="both"/>
        <w:rPr>
          <w:szCs w:val="24"/>
        </w:rPr>
      </w:pPr>
      <w:r w:rsidRPr="00284946">
        <w:rPr>
          <w:szCs w:val="24"/>
        </w:rPr>
        <w:t xml:space="preserve">HAKOM je u provedbi predmetnog postupka analize tržišta, koji je propisan člankom 52. ZEK-a, osobito vodio računa o primjeni Preporuke (2014/710/EU) od 9. listopada 2014. o mjerodavnim tržištima proizvoda i usluga u sektoru elektroničkih komunikacija podložnima prethodnoj regulaciji  (dalje: Preporuka) i o mjerodavnim Smjernicama za analizu tržišta </w:t>
      </w:r>
      <w:r w:rsidR="004476D2">
        <w:rPr>
          <w:szCs w:val="24"/>
        </w:rPr>
        <w:t>i ocjenu značajne tržišne snage</w:t>
      </w:r>
      <w:r w:rsidRPr="00284946">
        <w:rPr>
          <w:szCs w:val="24"/>
        </w:rPr>
        <w:t>.</w:t>
      </w:r>
    </w:p>
    <w:p w:rsidR="00284946" w:rsidRPr="00284946" w:rsidRDefault="00284946" w:rsidP="00284946">
      <w:pPr>
        <w:jc w:val="both"/>
        <w:rPr>
          <w:szCs w:val="24"/>
        </w:rPr>
      </w:pPr>
    </w:p>
    <w:p w:rsidR="00B02775" w:rsidRDefault="00284946" w:rsidP="00F471CD">
      <w:pPr>
        <w:jc w:val="both"/>
        <w:rPr>
          <w:szCs w:val="24"/>
        </w:rPr>
      </w:pPr>
      <w:r w:rsidRPr="00284946">
        <w:rPr>
          <w:szCs w:val="24"/>
        </w:rPr>
        <w:t xml:space="preserve">Uzimajući u obzir da je predmetno mjerodavno tržište prepoznato unutar mjerodavne Preporuke Europske komisije, nije bilo potrebe za provođenjem postupka iz članka 53. stavka 2. ZEK-a (Test tri mjerila) kako bi utvrdio je li ono podložno prethodnoj regulaciji. </w:t>
      </w:r>
    </w:p>
    <w:p w:rsidR="009B1C62" w:rsidRPr="0005566C" w:rsidRDefault="009B1C62" w:rsidP="00F471CD">
      <w:pPr>
        <w:jc w:val="both"/>
        <w:rPr>
          <w:rFonts w:ascii="Calibri" w:hAnsi="Calibri"/>
        </w:rPr>
      </w:pPr>
    </w:p>
    <w:p w:rsidR="00930379" w:rsidRPr="0005566C" w:rsidRDefault="00A11810" w:rsidP="00F471CD">
      <w:pPr>
        <w:jc w:val="both"/>
        <w:rPr>
          <w:rFonts w:ascii="Calibri" w:hAnsi="Calibri" w:cs="Calibri"/>
        </w:rPr>
      </w:pPr>
      <w:r w:rsidRPr="00373243">
        <w:rPr>
          <w:rFonts w:ascii="Calibri" w:hAnsi="Calibri"/>
        </w:rPr>
        <w:t xml:space="preserve">U procesu određivanja mjerodavnog tržišta, HAKOM je </w:t>
      </w:r>
      <w:r w:rsidR="00F471CD" w:rsidRPr="00373243">
        <w:rPr>
          <w:rFonts w:ascii="Calibri" w:hAnsi="Calibri" w:cs="Calibri"/>
        </w:rPr>
        <w:t xml:space="preserve">odredio dimenziju usluga i zemljopisnu dimenziju te na temelju rezultata provedene analize </w:t>
      </w:r>
      <w:r w:rsidR="00930379" w:rsidRPr="00373243">
        <w:rPr>
          <w:rFonts w:ascii="Calibri" w:eastAsia="Times New Roman" w:hAnsi="Calibri" w:cs="Calibri"/>
        </w:rPr>
        <w:t xml:space="preserve">odredio </w:t>
      </w:r>
      <w:r w:rsidR="002237EE" w:rsidRPr="00373243">
        <w:rPr>
          <w:rFonts w:ascii="Calibri" w:eastAsia="Times New Roman" w:hAnsi="Calibri" w:cs="Calibri"/>
        </w:rPr>
        <w:t>27</w:t>
      </w:r>
      <w:r w:rsidR="00930379" w:rsidRPr="00373243">
        <w:rPr>
          <w:rFonts w:ascii="Calibri" w:eastAsia="Times New Roman" w:hAnsi="Calibri" w:cs="Calibri"/>
        </w:rPr>
        <w:t xml:space="preserve"> mjerodavnih tržišta veleprodajnog završavanja poziva u vlastitoj javnoj telefonskoj mreži koja se pruža na fiksnoj lokaciji, na način da su definirana zasebna tržišta veleprodajnog završavanja poziva u mrežu svakog od operatora iz Privitka 2, neovisno o elektroničkoj komunikacijskoj mreži u kojoj je poziv započeo.</w:t>
      </w:r>
    </w:p>
    <w:p w:rsidR="00ED42BD" w:rsidRDefault="00ED42BD" w:rsidP="001612C3">
      <w:pPr>
        <w:ind w:left="720"/>
        <w:jc w:val="both"/>
        <w:rPr>
          <w:rFonts w:ascii="Calibri" w:hAnsi="Calibri"/>
        </w:rPr>
      </w:pPr>
    </w:p>
    <w:p w:rsidR="00A11810" w:rsidRDefault="00284946" w:rsidP="00A11810">
      <w:pPr>
        <w:jc w:val="both"/>
        <w:rPr>
          <w:rFonts w:ascii="Calibri" w:hAnsi="Calibri" w:cs="Calibri"/>
        </w:rPr>
      </w:pPr>
      <w:r>
        <w:rPr>
          <w:rFonts w:ascii="Calibri" w:hAnsi="Calibri" w:cs="Calibri"/>
        </w:rPr>
        <w:t>Također</w:t>
      </w:r>
      <w:r w:rsidR="00A11810" w:rsidRPr="0005566C">
        <w:rPr>
          <w:rFonts w:ascii="Calibri" w:hAnsi="Calibri" w:cs="Calibri"/>
        </w:rPr>
        <w:t xml:space="preserve">, HAKOM je odredio da je, u zemljopisnoj dimenziji, mjerodavno tržište za uslugu </w:t>
      </w:r>
      <w:r w:rsidR="00C025EE">
        <w:rPr>
          <w:rFonts w:ascii="Calibri" w:hAnsi="Calibri" w:cs="Calibri"/>
        </w:rPr>
        <w:t xml:space="preserve">veleprodajnog završavanja </w:t>
      </w:r>
      <w:r w:rsidR="007E4538">
        <w:rPr>
          <w:rFonts w:ascii="Calibri" w:hAnsi="Calibri" w:cs="Calibri"/>
        </w:rPr>
        <w:t>poziva</w:t>
      </w:r>
      <w:r w:rsidR="00C025EE">
        <w:rPr>
          <w:rFonts w:ascii="Calibri" w:hAnsi="Calibri" w:cs="Calibri"/>
        </w:rPr>
        <w:t xml:space="preserve"> u vlastitoj javnoj telefonskoj mreži koja se pruža na fiksnoj lokaciji</w:t>
      </w:r>
      <w:r w:rsidR="00A11810" w:rsidRPr="0005566C">
        <w:rPr>
          <w:rFonts w:ascii="Calibri" w:hAnsi="Calibri" w:cs="Calibri"/>
        </w:rPr>
        <w:t>, nacionalni teritorij Republike Hrvatske.</w:t>
      </w:r>
    </w:p>
    <w:p w:rsidR="001900C7" w:rsidRDefault="001900C7" w:rsidP="00A11810">
      <w:pPr>
        <w:jc w:val="both"/>
        <w:rPr>
          <w:rFonts w:ascii="Calibri" w:hAnsi="Calibri" w:cs="Calibri"/>
        </w:rPr>
      </w:pPr>
    </w:p>
    <w:p w:rsidR="006C47CF" w:rsidRDefault="00ED12EE" w:rsidP="00CE4F81">
      <w:pPr>
        <w:jc w:val="both"/>
        <w:rPr>
          <w:rFonts w:ascii="Calibri" w:hAnsi="Calibri" w:cs="Calibri"/>
        </w:rPr>
      </w:pPr>
      <w:r w:rsidRPr="0005566C">
        <w:rPr>
          <w:rFonts w:ascii="Calibri" w:hAnsi="Calibri" w:cs="Calibri"/>
        </w:rPr>
        <w:t>N</w:t>
      </w:r>
      <w:r w:rsidR="00F471CD" w:rsidRPr="0005566C">
        <w:rPr>
          <w:rFonts w:ascii="Calibri" w:hAnsi="Calibri" w:cs="Calibri"/>
        </w:rPr>
        <w:t xml:space="preserve">akon što je odredio mjerodavno tržište, </w:t>
      </w:r>
      <w:r w:rsidRPr="0005566C">
        <w:rPr>
          <w:rFonts w:ascii="Calibri" w:hAnsi="Calibri" w:cs="Calibri"/>
        </w:rPr>
        <w:t xml:space="preserve">HAKOM je </w:t>
      </w:r>
      <w:r w:rsidR="00F471CD" w:rsidRPr="0005566C">
        <w:rPr>
          <w:rFonts w:ascii="Calibri" w:hAnsi="Calibri" w:cs="Calibri"/>
        </w:rPr>
        <w:t>na temelju mjerila potrebnih za procjenu operatora sa značajnom tržišnom snagom iz članka 55. stavka 3. ZEK-a,</w:t>
      </w:r>
      <w:r w:rsidR="00A11810">
        <w:rPr>
          <w:rFonts w:ascii="Calibri" w:hAnsi="Calibri" w:cs="Calibri"/>
        </w:rPr>
        <w:t xml:space="preserve"> odredio</w:t>
      </w:r>
      <w:r w:rsidR="00D743D9" w:rsidRPr="0005566C">
        <w:rPr>
          <w:rFonts w:ascii="Calibri" w:hAnsi="Calibri" w:cs="Calibri"/>
        </w:rPr>
        <w:t xml:space="preserve"> </w:t>
      </w:r>
      <w:r w:rsidR="002D057B">
        <w:rPr>
          <w:rFonts w:ascii="Calibri" w:hAnsi="Calibri" w:cs="Calibri"/>
        </w:rPr>
        <w:t>operatore</w:t>
      </w:r>
      <w:r w:rsidR="00CE4F81">
        <w:rPr>
          <w:rFonts w:ascii="Calibri" w:hAnsi="Calibri" w:cs="Calibri"/>
        </w:rPr>
        <w:t xml:space="preserve"> sa značajnom tržišnom snagom</w:t>
      </w:r>
      <w:r w:rsidR="00FA3D8E">
        <w:rPr>
          <w:rFonts w:ascii="Calibri" w:hAnsi="Calibri" w:cs="Calibri"/>
        </w:rPr>
        <w:t xml:space="preserve"> na način da je svakog od operatora odredio kao operatora sa značajnom tržišnom snagom na tržištu veleprodajnog završavanja poziva u vlastitu mrežu</w:t>
      </w:r>
      <w:r w:rsidR="00E00692">
        <w:rPr>
          <w:rFonts w:ascii="Calibri" w:hAnsi="Calibri" w:cs="Calibri"/>
        </w:rPr>
        <w:t>.</w:t>
      </w:r>
      <w:r w:rsidR="00E00692" w:rsidRPr="00E00692">
        <w:t xml:space="preserve"> </w:t>
      </w:r>
      <w:r w:rsidR="00930379">
        <w:rPr>
          <w:rFonts w:ascii="Calibri" w:hAnsi="Calibri" w:cs="Calibri"/>
        </w:rPr>
        <w:t>U Privitku 2</w:t>
      </w:r>
      <w:r w:rsidR="00E00692">
        <w:rPr>
          <w:rFonts w:ascii="Calibri" w:hAnsi="Calibri" w:cs="Calibri"/>
        </w:rPr>
        <w:t xml:space="preserve"> </w:t>
      </w:r>
      <w:r w:rsidR="00FA3D8E">
        <w:rPr>
          <w:rFonts w:ascii="Calibri" w:hAnsi="Calibri" w:cs="Calibri"/>
        </w:rPr>
        <w:t>ovog dokumenta navedeni su</w:t>
      </w:r>
      <w:r w:rsidR="00930379">
        <w:rPr>
          <w:rFonts w:ascii="Calibri" w:hAnsi="Calibri" w:cs="Calibri"/>
        </w:rPr>
        <w:t xml:space="preserve"> operatori sa </w:t>
      </w:r>
      <w:r w:rsidR="00E00692" w:rsidRPr="00E00692">
        <w:rPr>
          <w:rFonts w:ascii="Calibri" w:hAnsi="Calibri" w:cs="Calibri"/>
        </w:rPr>
        <w:t>značajnom tržišnom snagom</w:t>
      </w:r>
      <w:r w:rsidR="007526D3">
        <w:rPr>
          <w:rFonts w:ascii="Calibri" w:hAnsi="Calibri" w:cs="Calibri"/>
        </w:rPr>
        <w:t>.</w:t>
      </w:r>
      <w:r w:rsidR="00CE4F81">
        <w:rPr>
          <w:rFonts w:ascii="Calibri" w:hAnsi="Calibri" w:cs="Calibri"/>
        </w:rPr>
        <w:t xml:space="preserve"> </w:t>
      </w:r>
    </w:p>
    <w:p w:rsidR="008E6F19" w:rsidRDefault="008E6F19" w:rsidP="00CE4F81">
      <w:pPr>
        <w:jc w:val="both"/>
        <w:rPr>
          <w:rFonts w:ascii="Calibri" w:hAnsi="Calibri" w:cs="Calibri"/>
        </w:rPr>
      </w:pPr>
    </w:p>
    <w:p w:rsidR="00013EF8" w:rsidRPr="0005566C" w:rsidRDefault="00284946" w:rsidP="00013EF8">
      <w:pPr>
        <w:jc w:val="both"/>
        <w:rPr>
          <w:rFonts w:ascii="Calibri" w:hAnsi="Calibri" w:cs="Calibri"/>
        </w:rPr>
      </w:pPr>
      <w:r>
        <w:rPr>
          <w:rFonts w:ascii="Calibri" w:hAnsi="Calibri" w:cs="Calibri"/>
        </w:rPr>
        <w:lastRenderedPageBreak/>
        <w:t>Slijedom svega navedenog</w:t>
      </w:r>
      <w:r w:rsidR="00F471CD" w:rsidRPr="0005566C">
        <w:rPr>
          <w:rFonts w:ascii="Calibri" w:hAnsi="Calibri" w:cs="Calibri"/>
        </w:rPr>
        <w:t xml:space="preserve">, HAKOM je, na temelju prepreka koje se mogu pojaviti na tržištu </w:t>
      </w:r>
      <w:r w:rsidR="00C025EE">
        <w:rPr>
          <w:rFonts w:ascii="Calibri" w:hAnsi="Calibri" w:cs="Calibri"/>
        </w:rPr>
        <w:t xml:space="preserve">veleprodajnog završavanja </w:t>
      </w:r>
      <w:r w:rsidR="007E4538">
        <w:rPr>
          <w:rFonts w:ascii="Calibri" w:hAnsi="Calibri" w:cs="Calibri"/>
        </w:rPr>
        <w:t>poziva</w:t>
      </w:r>
      <w:r w:rsidR="00C025EE">
        <w:rPr>
          <w:rFonts w:ascii="Calibri" w:hAnsi="Calibri" w:cs="Calibri"/>
        </w:rPr>
        <w:t xml:space="preserve"> u vlastitoj javnoj telefonskoj mreži koja se pruža na fiksnoj lokaciji</w:t>
      </w:r>
      <w:r w:rsidR="00F471CD" w:rsidRPr="0005566C">
        <w:rPr>
          <w:rFonts w:ascii="Calibri" w:hAnsi="Calibri" w:cs="Calibri"/>
        </w:rPr>
        <w:t xml:space="preserve"> i na pripadajućem maloprodajnom tržištu na koje operator sa značajnom tržišnom snagom može prenijeti svoju značajnu tržišnu </w:t>
      </w:r>
      <w:r w:rsidR="00D14893" w:rsidRPr="0005566C">
        <w:rPr>
          <w:rFonts w:ascii="Calibri" w:hAnsi="Calibri" w:cs="Calibri"/>
        </w:rPr>
        <w:t>snagu,</w:t>
      </w:r>
      <w:r w:rsidR="00D743D9" w:rsidRPr="0005566C">
        <w:rPr>
          <w:rFonts w:ascii="Calibri" w:hAnsi="Calibri" w:cs="Calibri"/>
        </w:rPr>
        <w:t xml:space="preserve"> </w:t>
      </w:r>
      <w:r w:rsidR="00013EF8" w:rsidRPr="0005566C">
        <w:rPr>
          <w:rFonts w:ascii="Calibri" w:hAnsi="Calibri" w:cs="Calibri"/>
        </w:rPr>
        <w:t>odredio HT-u sljedeće regulatorne obveze:</w:t>
      </w:r>
    </w:p>
    <w:p w:rsidR="00013EF8" w:rsidRPr="0005566C" w:rsidRDefault="00013EF8" w:rsidP="00013EF8">
      <w:pPr>
        <w:jc w:val="both"/>
        <w:rPr>
          <w:rFonts w:ascii="Calibri" w:hAnsi="Calibri" w:cs="Calibri"/>
        </w:rPr>
      </w:pPr>
    </w:p>
    <w:p w:rsidR="00013EF8" w:rsidRPr="0005566C" w:rsidRDefault="00013EF8" w:rsidP="00BD3C97">
      <w:pPr>
        <w:numPr>
          <w:ilvl w:val="0"/>
          <w:numId w:val="5"/>
        </w:numPr>
        <w:jc w:val="both"/>
        <w:rPr>
          <w:rFonts w:ascii="Calibri" w:hAnsi="Calibri"/>
        </w:rPr>
      </w:pPr>
      <w:r w:rsidRPr="0005566C">
        <w:rPr>
          <w:rFonts w:ascii="Calibri" w:hAnsi="Calibri"/>
        </w:rPr>
        <w:t>obveza pristupa i korištenja posebnih dijelova mreže;</w:t>
      </w:r>
    </w:p>
    <w:p w:rsidR="00013EF8" w:rsidRPr="0005566C" w:rsidRDefault="00013EF8" w:rsidP="00BD3C97">
      <w:pPr>
        <w:numPr>
          <w:ilvl w:val="0"/>
          <w:numId w:val="5"/>
        </w:numPr>
        <w:jc w:val="both"/>
        <w:rPr>
          <w:rFonts w:ascii="Calibri" w:hAnsi="Calibri"/>
        </w:rPr>
      </w:pPr>
      <w:r w:rsidRPr="0005566C">
        <w:rPr>
          <w:rFonts w:ascii="Calibri" w:hAnsi="Calibri"/>
        </w:rPr>
        <w:t>obveza nediskriminacije;</w:t>
      </w:r>
    </w:p>
    <w:p w:rsidR="00013EF8" w:rsidRPr="0005566C" w:rsidRDefault="00013EF8" w:rsidP="00BD3C97">
      <w:pPr>
        <w:numPr>
          <w:ilvl w:val="0"/>
          <w:numId w:val="5"/>
        </w:numPr>
        <w:jc w:val="both"/>
        <w:rPr>
          <w:rFonts w:ascii="Calibri" w:hAnsi="Calibri"/>
        </w:rPr>
      </w:pPr>
      <w:r w:rsidRPr="0005566C">
        <w:rPr>
          <w:rFonts w:ascii="Calibri" w:hAnsi="Calibri"/>
        </w:rPr>
        <w:t>obveza transparentnosti uz objavu standardne ponude međupovezivanja;</w:t>
      </w:r>
    </w:p>
    <w:p w:rsidR="00013EF8" w:rsidRPr="0005566C" w:rsidRDefault="00013EF8" w:rsidP="00BD3C97">
      <w:pPr>
        <w:numPr>
          <w:ilvl w:val="0"/>
          <w:numId w:val="5"/>
        </w:numPr>
        <w:jc w:val="both"/>
        <w:rPr>
          <w:rFonts w:ascii="Calibri" w:hAnsi="Calibri"/>
        </w:rPr>
      </w:pPr>
      <w:r w:rsidRPr="0005566C">
        <w:rPr>
          <w:rFonts w:ascii="Calibri" w:hAnsi="Calibri"/>
        </w:rPr>
        <w:t>obveza nadzora cijena i vođenja troškovnog računovodstva;</w:t>
      </w:r>
    </w:p>
    <w:p w:rsidR="00013EF8" w:rsidRPr="0005566C" w:rsidRDefault="00013EF8" w:rsidP="00BD3C97">
      <w:pPr>
        <w:numPr>
          <w:ilvl w:val="0"/>
          <w:numId w:val="5"/>
        </w:numPr>
        <w:jc w:val="both"/>
        <w:rPr>
          <w:rFonts w:ascii="Calibri" w:hAnsi="Calibri"/>
        </w:rPr>
      </w:pPr>
      <w:r w:rsidRPr="0005566C">
        <w:rPr>
          <w:rFonts w:ascii="Calibri" w:hAnsi="Calibri"/>
        </w:rPr>
        <w:t>obveza računovodstvenog razdvajanja</w:t>
      </w:r>
    </w:p>
    <w:p w:rsidR="00C637ED" w:rsidRDefault="00C637ED" w:rsidP="00013EF8">
      <w:pPr>
        <w:jc w:val="both"/>
        <w:rPr>
          <w:rFonts w:ascii="Calibri" w:hAnsi="Calibri"/>
        </w:rPr>
      </w:pPr>
    </w:p>
    <w:p w:rsidR="00013EF8" w:rsidRPr="0005566C" w:rsidRDefault="00013EF8" w:rsidP="00013EF8">
      <w:pPr>
        <w:jc w:val="both"/>
        <w:rPr>
          <w:rFonts w:ascii="Calibri" w:hAnsi="Calibri"/>
        </w:rPr>
      </w:pPr>
      <w:r w:rsidRPr="0005566C">
        <w:rPr>
          <w:rFonts w:ascii="Calibri" w:hAnsi="Calibri"/>
        </w:rPr>
        <w:t>dok je ostalim operatorima sa značajnom tržišnom snagom odredio regulatorne obveze kako slijedi:</w:t>
      </w:r>
    </w:p>
    <w:p w:rsidR="00013EF8" w:rsidRPr="0005566C" w:rsidRDefault="00013EF8" w:rsidP="00BD3C97">
      <w:pPr>
        <w:numPr>
          <w:ilvl w:val="0"/>
          <w:numId w:val="5"/>
        </w:numPr>
        <w:jc w:val="both"/>
        <w:rPr>
          <w:rFonts w:ascii="Calibri" w:hAnsi="Calibri"/>
        </w:rPr>
      </w:pPr>
      <w:r w:rsidRPr="0005566C">
        <w:rPr>
          <w:rFonts w:ascii="Calibri" w:hAnsi="Calibri"/>
        </w:rPr>
        <w:t>obveza pristupa i korištenja posebnih dijelova mreže;</w:t>
      </w:r>
    </w:p>
    <w:p w:rsidR="00013EF8" w:rsidRPr="0005566C" w:rsidRDefault="00013EF8" w:rsidP="00BD3C97">
      <w:pPr>
        <w:numPr>
          <w:ilvl w:val="0"/>
          <w:numId w:val="5"/>
        </w:numPr>
        <w:jc w:val="both"/>
        <w:rPr>
          <w:rFonts w:ascii="Calibri" w:hAnsi="Calibri"/>
        </w:rPr>
      </w:pPr>
      <w:r w:rsidRPr="0005566C">
        <w:rPr>
          <w:rFonts w:ascii="Calibri" w:hAnsi="Calibri"/>
        </w:rPr>
        <w:t>obveza nediskriminacije;</w:t>
      </w:r>
    </w:p>
    <w:p w:rsidR="00013EF8" w:rsidRPr="0005566C" w:rsidRDefault="00013EF8" w:rsidP="00BD3C97">
      <w:pPr>
        <w:numPr>
          <w:ilvl w:val="0"/>
          <w:numId w:val="5"/>
        </w:numPr>
        <w:rPr>
          <w:rFonts w:ascii="Calibri" w:hAnsi="Calibri"/>
        </w:rPr>
      </w:pPr>
      <w:r w:rsidRPr="0005566C">
        <w:rPr>
          <w:rFonts w:ascii="Calibri" w:hAnsi="Calibri"/>
        </w:rPr>
        <w:t>obveza transparentnosti uz obvezu objave minimalne ponude uvjeta međupovezivanja;</w:t>
      </w:r>
    </w:p>
    <w:p w:rsidR="00013EF8" w:rsidRDefault="00013EF8" w:rsidP="00BD3C97">
      <w:pPr>
        <w:numPr>
          <w:ilvl w:val="0"/>
          <w:numId w:val="5"/>
        </w:numPr>
        <w:jc w:val="both"/>
        <w:rPr>
          <w:rFonts w:ascii="Calibri" w:hAnsi="Calibri"/>
        </w:rPr>
      </w:pPr>
      <w:r w:rsidRPr="0005566C">
        <w:rPr>
          <w:rFonts w:ascii="Calibri" w:hAnsi="Calibri"/>
        </w:rPr>
        <w:t>obveza nadzora cijena.</w:t>
      </w:r>
    </w:p>
    <w:p w:rsidR="00D1036A" w:rsidRDefault="00D1036A" w:rsidP="00D1036A">
      <w:pPr>
        <w:jc w:val="both"/>
        <w:rPr>
          <w:rFonts w:ascii="Calibri" w:hAnsi="Calibri"/>
        </w:rPr>
      </w:pPr>
    </w:p>
    <w:p w:rsidR="00D1036A" w:rsidRPr="0005566C" w:rsidRDefault="00D1036A" w:rsidP="00D1036A">
      <w:pPr>
        <w:jc w:val="both"/>
        <w:rPr>
          <w:rFonts w:ascii="Calibri" w:hAnsi="Calibri"/>
        </w:rPr>
      </w:pPr>
      <w:r>
        <w:rPr>
          <w:rFonts w:eastAsia="Times New Roman" w:cs="Times New Roman"/>
          <w:szCs w:val="24"/>
        </w:rPr>
        <w:t>Tablični prikaz regulatornih obveza prikazan je u Privitku 3 ovog dokumenta.</w:t>
      </w:r>
    </w:p>
    <w:p w:rsidR="00E95BC5" w:rsidRPr="00376616" w:rsidRDefault="00E95BC5" w:rsidP="00376616">
      <w:pPr>
        <w:jc w:val="both"/>
        <w:rPr>
          <w:rFonts w:ascii="Calibri" w:hAnsi="Calibri" w:cs="Calibri"/>
        </w:rPr>
      </w:pPr>
    </w:p>
    <w:p w:rsidR="00376616" w:rsidRDefault="00376616">
      <w:pPr>
        <w:spacing w:after="200" w:line="276" w:lineRule="auto"/>
        <w:rPr>
          <w:rFonts w:asciiTheme="majorHAnsi" w:eastAsiaTheme="majorEastAsia" w:hAnsiTheme="majorHAnsi" w:cstheme="majorBidi"/>
          <w:b/>
          <w:bCs/>
          <w:color w:val="365F91" w:themeColor="accent1" w:themeShade="BF"/>
          <w:sz w:val="28"/>
          <w:szCs w:val="28"/>
        </w:rPr>
      </w:pPr>
      <w:bookmarkStart w:id="9" w:name="_Toc357581366"/>
      <w:r>
        <w:br w:type="page"/>
      </w:r>
    </w:p>
    <w:p w:rsidR="00AB32FB" w:rsidRPr="00913622" w:rsidRDefault="00663367" w:rsidP="005A144C">
      <w:pPr>
        <w:pStyle w:val="Heading1"/>
      </w:pPr>
      <w:bookmarkStart w:id="10" w:name="_Toc524984006"/>
      <w:bookmarkStart w:id="11" w:name="_Toc525072984"/>
      <w:bookmarkStart w:id="12" w:name="_Toc525729829"/>
      <w:r w:rsidRPr="00913622">
        <w:lastRenderedPageBreak/>
        <w:t>Uvod</w:t>
      </w:r>
      <w:bookmarkStart w:id="13" w:name="_Toc236634786"/>
      <w:bookmarkStart w:id="14" w:name="_Toc357581367"/>
      <w:bookmarkEnd w:id="0"/>
      <w:bookmarkEnd w:id="9"/>
      <w:bookmarkEnd w:id="10"/>
      <w:bookmarkEnd w:id="11"/>
      <w:bookmarkEnd w:id="12"/>
    </w:p>
    <w:p w:rsidR="00663367" w:rsidRPr="00AB32FB" w:rsidRDefault="00663367" w:rsidP="00ED4D44">
      <w:pPr>
        <w:pStyle w:val="Heading2"/>
      </w:pPr>
      <w:bookmarkStart w:id="15" w:name="_Toc409066961"/>
      <w:bookmarkStart w:id="16" w:name="_Toc409068418"/>
      <w:bookmarkStart w:id="17" w:name="_Toc409652013"/>
      <w:bookmarkStart w:id="18" w:name="_Toc409066962"/>
      <w:bookmarkStart w:id="19" w:name="_Toc409068419"/>
      <w:bookmarkStart w:id="20" w:name="_Toc409652014"/>
      <w:bookmarkStart w:id="21" w:name="_Toc524984007"/>
      <w:bookmarkStart w:id="22" w:name="_Toc525072985"/>
      <w:bookmarkStart w:id="23" w:name="_Toc525729830"/>
      <w:bookmarkEnd w:id="15"/>
      <w:bookmarkEnd w:id="16"/>
      <w:bookmarkEnd w:id="17"/>
      <w:bookmarkEnd w:id="18"/>
      <w:bookmarkEnd w:id="19"/>
      <w:bookmarkEnd w:id="20"/>
      <w:r w:rsidRPr="00AB32FB">
        <w:t>Europski regulatorni okvir za elektroničke komunikacije</w:t>
      </w:r>
      <w:bookmarkEnd w:id="13"/>
      <w:bookmarkEnd w:id="14"/>
      <w:bookmarkEnd w:id="21"/>
      <w:bookmarkEnd w:id="22"/>
      <w:bookmarkEnd w:id="23"/>
    </w:p>
    <w:p w:rsidR="002D057B" w:rsidRDefault="002D057B" w:rsidP="00376616">
      <w:pPr>
        <w:ind w:left="1"/>
        <w:jc w:val="both"/>
        <w:rPr>
          <w:rFonts w:eastAsia="Times New Roman" w:cstheme="minorHAnsi"/>
        </w:rPr>
      </w:pPr>
      <w:r w:rsidRPr="002D057B">
        <w:rPr>
          <w:rFonts w:eastAsia="Times New Roman" w:cstheme="minorHAnsi"/>
        </w:rPr>
        <w:t>Europska komisija je u ožujku 2002. usvojila četiri direktive koje predstavljaju Regulatorni okvir iz 2002. na području elektroničkih mreža i komunikacijskih usluga, a peta direktiva, koja također predstavlja Regulatorni okvir, usvojena je u listopadu 2002. Direktive su sljedeće:</w:t>
      </w:r>
    </w:p>
    <w:p w:rsidR="00376616" w:rsidRPr="002D057B" w:rsidRDefault="00376616" w:rsidP="00376616">
      <w:pPr>
        <w:ind w:left="1"/>
        <w:jc w:val="both"/>
        <w:rPr>
          <w:rFonts w:eastAsia="Times New Roman" w:cstheme="minorHAnsi"/>
        </w:rPr>
      </w:pPr>
    </w:p>
    <w:p w:rsidR="002D057B" w:rsidRPr="002D057B" w:rsidRDefault="002D057B" w:rsidP="00376616">
      <w:pPr>
        <w:numPr>
          <w:ilvl w:val="0"/>
          <w:numId w:val="1"/>
        </w:numPr>
        <w:jc w:val="both"/>
        <w:rPr>
          <w:rFonts w:eastAsia="Times New Roman" w:cstheme="minorHAnsi"/>
        </w:rPr>
      </w:pPr>
      <w:r w:rsidRPr="002D057B">
        <w:rPr>
          <w:rFonts w:eastAsia="Times New Roman" w:cstheme="minorHAnsi"/>
        </w:rPr>
        <w:t>Direktiva 2002/19/EC Europskog parlamenta i Vijeća od 7. ožujka 2002. o pristupu i međusobnom povezivanju elektroničkih komunikacijskih mreža i pripadajuće opreme (</w:t>
      </w:r>
      <w:r w:rsidRPr="002D057B">
        <w:rPr>
          <w:rFonts w:eastAsia="Times New Roman" w:cstheme="minorHAnsi"/>
          <w:i/>
        </w:rPr>
        <w:t>„Direktiva o pristupu“</w:t>
      </w:r>
      <w:r w:rsidRPr="002D057B">
        <w:rPr>
          <w:rFonts w:eastAsia="Times New Roman" w:cstheme="minorHAnsi"/>
        </w:rPr>
        <w:t>); izmijenjena i dopunjena Direktivom 2009/140/EC Europskog parlamenta i Vijeća od 25. studeno</w:t>
      </w:r>
      <w:r w:rsidR="0012329D">
        <w:rPr>
          <w:rFonts w:eastAsia="Times New Roman" w:cstheme="minorHAnsi"/>
        </w:rPr>
        <w:t>ga</w:t>
      </w:r>
      <w:r w:rsidRPr="002D057B">
        <w:rPr>
          <w:rFonts w:eastAsia="Times New Roman" w:cstheme="minorHAnsi"/>
        </w:rPr>
        <w:t>2009.</w:t>
      </w:r>
    </w:p>
    <w:p w:rsidR="002D057B" w:rsidRPr="002D057B" w:rsidRDefault="002D057B" w:rsidP="00376616">
      <w:pPr>
        <w:jc w:val="both"/>
        <w:rPr>
          <w:rFonts w:eastAsia="Times New Roman" w:cstheme="minorHAnsi"/>
        </w:rPr>
      </w:pPr>
    </w:p>
    <w:p w:rsidR="002D057B" w:rsidRPr="002D057B" w:rsidRDefault="002D057B" w:rsidP="00376616">
      <w:pPr>
        <w:numPr>
          <w:ilvl w:val="0"/>
          <w:numId w:val="1"/>
        </w:numPr>
        <w:jc w:val="both"/>
        <w:rPr>
          <w:rFonts w:eastAsia="Times New Roman" w:cstheme="minorHAnsi"/>
        </w:rPr>
      </w:pPr>
      <w:r w:rsidRPr="002D057B">
        <w:rPr>
          <w:rFonts w:eastAsia="Times New Roman" w:cstheme="minorHAnsi"/>
        </w:rPr>
        <w:t>Direktiva 2002/20/EC Europskog parlamenta i Vijeća od 7. ožujka 2002. o ovlaštenju na području elektroničkih komunikacijskih mreža i usluga (</w:t>
      </w:r>
      <w:r w:rsidRPr="002D057B">
        <w:rPr>
          <w:rFonts w:eastAsia="Times New Roman" w:cstheme="minorHAnsi"/>
          <w:i/>
        </w:rPr>
        <w:t>„Direktiva o ovlaštenju“</w:t>
      </w:r>
      <w:r w:rsidRPr="002D057B">
        <w:rPr>
          <w:rFonts w:eastAsia="Times New Roman" w:cstheme="minorHAnsi"/>
        </w:rPr>
        <w:t>); izmijenjena i dopunjena Direktivom 2009/140/EC Europskog parlamenta i Vijeća od 25. studenog</w:t>
      </w:r>
      <w:r w:rsidR="00E01D60">
        <w:rPr>
          <w:rFonts w:eastAsia="Times New Roman" w:cstheme="minorHAnsi"/>
        </w:rPr>
        <w:t>a</w:t>
      </w:r>
      <w:r w:rsidRPr="002D057B">
        <w:rPr>
          <w:rFonts w:eastAsia="Times New Roman" w:cstheme="minorHAnsi"/>
        </w:rPr>
        <w:t xml:space="preserve"> 2009.</w:t>
      </w:r>
    </w:p>
    <w:p w:rsidR="002D057B" w:rsidRPr="002D057B" w:rsidRDefault="002D057B" w:rsidP="00376616">
      <w:pPr>
        <w:jc w:val="both"/>
        <w:rPr>
          <w:rFonts w:eastAsia="Times New Roman" w:cstheme="minorHAnsi"/>
        </w:rPr>
      </w:pPr>
    </w:p>
    <w:p w:rsidR="002D057B" w:rsidRPr="002D057B" w:rsidRDefault="002D057B" w:rsidP="00376616">
      <w:pPr>
        <w:numPr>
          <w:ilvl w:val="0"/>
          <w:numId w:val="1"/>
        </w:numPr>
        <w:jc w:val="both"/>
        <w:rPr>
          <w:rFonts w:eastAsia="Times New Roman" w:cstheme="minorHAnsi"/>
        </w:rPr>
      </w:pPr>
      <w:r w:rsidRPr="002D057B">
        <w:rPr>
          <w:rFonts w:eastAsia="Times New Roman" w:cstheme="minorHAnsi"/>
        </w:rPr>
        <w:t>Direktiva 2002/21/EC Europskog parlamenta i Vijeća od 7. ožujka 2002. o zajedničkom regulatornom okviru za elektroničke komunikacijske mreže i usluge (</w:t>
      </w:r>
      <w:r w:rsidRPr="002D057B">
        <w:rPr>
          <w:rFonts w:eastAsia="Times New Roman" w:cstheme="minorHAnsi"/>
          <w:i/>
        </w:rPr>
        <w:t>„Okvirna direktiva“</w:t>
      </w:r>
      <w:r w:rsidRPr="002D057B">
        <w:rPr>
          <w:rFonts w:eastAsia="Times New Roman" w:cstheme="minorHAnsi"/>
        </w:rPr>
        <w:t xml:space="preserve">); izmijenjena i dopunjena Direktivom 2009/140/EC Europskog parlamenta i Vijeća od 25. </w:t>
      </w:r>
      <w:r w:rsidR="006A4884">
        <w:rPr>
          <w:rFonts w:eastAsia="Times New Roman" w:cstheme="minorHAnsi"/>
        </w:rPr>
        <w:t>studenog</w:t>
      </w:r>
      <w:r w:rsidR="00E01D60">
        <w:rPr>
          <w:rFonts w:eastAsia="Times New Roman" w:cstheme="minorHAnsi"/>
        </w:rPr>
        <w:t>a</w:t>
      </w:r>
      <w:r w:rsidRPr="002D057B">
        <w:rPr>
          <w:rFonts w:eastAsia="Times New Roman" w:cstheme="minorHAnsi"/>
        </w:rPr>
        <w:t xml:space="preserve"> 2009.</w:t>
      </w:r>
    </w:p>
    <w:p w:rsidR="002D057B" w:rsidRPr="002D057B" w:rsidRDefault="002D057B" w:rsidP="00376616">
      <w:pPr>
        <w:jc w:val="both"/>
        <w:rPr>
          <w:rFonts w:eastAsia="Times New Roman" w:cstheme="minorHAnsi"/>
        </w:rPr>
      </w:pPr>
    </w:p>
    <w:p w:rsidR="002D057B" w:rsidRPr="002D057B" w:rsidRDefault="002D057B" w:rsidP="00376616">
      <w:pPr>
        <w:numPr>
          <w:ilvl w:val="0"/>
          <w:numId w:val="1"/>
        </w:numPr>
        <w:jc w:val="both"/>
        <w:rPr>
          <w:rFonts w:eastAsia="Times New Roman" w:cstheme="minorHAnsi"/>
          <w:b/>
          <w:bCs/>
        </w:rPr>
      </w:pPr>
      <w:r w:rsidRPr="002D057B">
        <w:rPr>
          <w:rFonts w:eastAsia="Times New Roman" w:cstheme="minorHAnsi"/>
        </w:rPr>
        <w:t>Direktiva 2002/22/EC Europskog parlamenta i Vijeća od 7. ožujka 2002. o univerzalnoj usluzi i pravima korisnika vezanim uz elektroničke komunikacijske mreže i usluge (</w:t>
      </w:r>
      <w:r w:rsidRPr="002D057B">
        <w:rPr>
          <w:rFonts w:eastAsia="Times New Roman" w:cstheme="minorHAnsi"/>
          <w:i/>
        </w:rPr>
        <w:t>„Direktiva o univerzalnoj usluzi“</w:t>
      </w:r>
      <w:r w:rsidRPr="002D057B">
        <w:rPr>
          <w:rFonts w:eastAsia="Times New Roman" w:cstheme="minorHAnsi"/>
        </w:rPr>
        <w:t>); izmijenjena i dopunjena</w:t>
      </w:r>
      <w:r w:rsidRPr="002D057B">
        <w:rPr>
          <w:rFonts w:eastAsia="Times New Roman" w:cstheme="minorHAnsi"/>
          <w:b/>
          <w:bCs/>
        </w:rPr>
        <w:t xml:space="preserve"> </w:t>
      </w:r>
      <w:r w:rsidRPr="002D057B">
        <w:rPr>
          <w:rFonts w:eastAsia="Times New Roman" w:cstheme="minorHAnsi"/>
          <w:bCs/>
        </w:rPr>
        <w:t xml:space="preserve">Direktivom 2009/136/EZ Europskog parlamenta i Vijeća od 25. studenoga 2009. </w:t>
      </w:r>
    </w:p>
    <w:p w:rsidR="002D057B" w:rsidRPr="002D057B" w:rsidRDefault="002D057B" w:rsidP="00376616">
      <w:pPr>
        <w:jc w:val="both"/>
        <w:rPr>
          <w:rFonts w:eastAsia="Times New Roman" w:cstheme="minorHAnsi"/>
        </w:rPr>
      </w:pPr>
    </w:p>
    <w:p w:rsidR="002D057B" w:rsidRPr="002D057B" w:rsidRDefault="002D057B" w:rsidP="00376616">
      <w:pPr>
        <w:numPr>
          <w:ilvl w:val="0"/>
          <w:numId w:val="1"/>
        </w:numPr>
        <w:jc w:val="both"/>
        <w:rPr>
          <w:rFonts w:eastAsia="Times New Roman" w:cstheme="minorHAnsi"/>
        </w:rPr>
      </w:pPr>
      <w:r w:rsidRPr="002D057B">
        <w:rPr>
          <w:rFonts w:eastAsia="Times New Roman" w:cstheme="minorHAnsi"/>
        </w:rPr>
        <w:t>Direktiva 2002/58/EC Europskog parlamenta i Vijeća od 12. srpnja 2002. o obradi osobnih podataka i zaštiti privatnosti u elektroničkom komunikacijskom sektoru (</w:t>
      </w:r>
      <w:r w:rsidRPr="002D057B">
        <w:rPr>
          <w:rFonts w:eastAsia="Times New Roman" w:cstheme="minorHAnsi"/>
          <w:i/>
        </w:rPr>
        <w:t>„Direktiva o privatnosti u elektroničkim komunikacijama“</w:t>
      </w:r>
      <w:r w:rsidRPr="002D057B">
        <w:rPr>
          <w:rFonts w:eastAsia="Times New Roman" w:cstheme="minorHAnsi"/>
        </w:rPr>
        <w:t>), izmijenjena i dopunjena</w:t>
      </w:r>
      <w:r w:rsidRPr="002D057B">
        <w:rPr>
          <w:rFonts w:eastAsia="Times New Roman" w:cstheme="minorHAnsi"/>
          <w:b/>
          <w:bCs/>
        </w:rPr>
        <w:t xml:space="preserve"> </w:t>
      </w:r>
      <w:r w:rsidRPr="002D057B">
        <w:rPr>
          <w:rFonts w:eastAsia="Times New Roman" w:cstheme="minorHAnsi"/>
          <w:bCs/>
        </w:rPr>
        <w:t>Direktivom 2009/136/EZ Europskog parlamenta i Vijeća od 25. studenoga 2009.</w:t>
      </w:r>
    </w:p>
    <w:p w:rsidR="002D057B" w:rsidRPr="002D057B" w:rsidRDefault="002D057B" w:rsidP="00376616">
      <w:pPr>
        <w:jc w:val="both"/>
        <w:rPr>
          <w:rFonts w:eastAsia="Times New Roman" w:cstheme="minorHAnsi"/>
        </w:rPr>
      </w:pPr>
    </w:p>
    <w:p w:rsidR="002D057B" w:rsidRPr="002D057B" w:rsidRDefault="00262BB3" w:rsidP="00376616">
      <w:pPr>
        <w:jc w:val="both"/>
        <w:rPr>
          <w:rFonts w:eastAsia="Times New Roman" w:cstheme="minorHAnsi"/>
        </w:rPr>
      </w:pPr>
      <w:r>
        <w:rPr>
          <w:rFonts w:eastAsia="Times New Roman" w:cstheme="minorHAnsi"/>
        </w:rPr>
        <w:t xml:space="preserve">Namjera direktiva Europske komisije jest promicanje harmonizacije u području elektroničkih komunikacija. </w:t>
      </w:r>
      <w:r w:rsidR="002D057B" w:rsidRPr="002D057B">
        <w:rPr>
          <w:rFonts w:eastAsia="Times New Roman" w:cstheme="minorHAnsi"/>
        </w:rPr>
        <w:t xml:space="preserve">Europska komisija je 2009. usvojila i uredbu 1211/2009 o osnivanju posebnog tijela europskih regulatora za elektroničke komunikacije i njegovog Ureda (BEREC) koja </w:t>
      </w:r>
      <w:r w:rsidR="00287A5C" w:rsidRPr="002D057B">
        <w:rPr>
          <w:rFonts w:eastAsia="Times New Roman" w:cstheme="minorHAnsi"/>
        </w:rPr>
        <w:t xml:space="preserve">je </w:t>
      </w:r>
      <w:r w:rsidR="002D057B" w:rsidRPr="002D057B">
        <w:rPr>
          <w:rFonts w:eastAsia="Times New Roman" w:cstheme="minorHAnsi"/>
        </w:rPr>
        <w:t xml:space="preserve">neposredno primjenjiva u državama članicama. </w:t>
      </w:r>
    </w:p>
    <w:p w:rsidR="002D057B" w:rsidRPr="002D057B" w:rsidRDefault="002D057B" w:rsidP="00376616">
      <w:pPr>
        <w:jc w:val="both"/>
        <w:rPr>
          <w:rFonts w:eastAsia="Times New Roman" w:cstheme="minorHAnsi"/>
        </w:rPr>
      </w:pPr>
    </w:p>
    <w:p w:rsidR="00B47078" w:rsidRPr="00B47078" w:rsidRDefault="00B47078" w:rsidP="00B47078">
      <w:pPr>
        <w:jc w:val="both"/>
        <w:rPr>
          <w:rFonts w:eastAsia="Times New Roman" w:cstheme="minorHAnsi"/>
        </w:rPr>
      </w:pPr>
      <w:r w:rsidRPr="00B47078">
        <w:rPr>
          <w:rFonts w:eastAsia="Times New Roman" w:cstheme="minorHAnsi"/>
        </w:rPr>
        <w:t xml:space="preserve">Na temelju prvog odlomka članka 15. Okvirne direktive (Direktiva 2002/21/EC), Europska komisija je usvojila Preporuku (2014/710/EU) od 9. listopada 2014. o mjerodavnim tržištima proizvoda i usluga u sektoru elektroničkih komunikacija podložnima prethodnoj </w:t>
      </w:r>
      <w:r w:rsidR="00262BB3">
        <w:rPr>
          <w:rFonts w:eastAsia="Times New Roman" w:cstheme="minorHAnsi"/>
        </w:rPr>
        <w:t>regulaciji</w:t>
      </w:r>
      <w:r w:rsidR="00262BB3">
        <w:rPr>
          <w:rStyle w:val="FootnoteReference"/>
          <w:rFonts w:eastAsia="Times New Roman" w:cstheme="minorHAnsi"/>
        </w:rPr>
        <w:footnoteReference w:id="3"/>
      </w:r>
      <w:r w:rsidRPr="00B47078">
        <w:rPr>
          <w:rFonts w:eastAsia="Times New Roman" w:cstheme="minorHAnsi"/>
        </w:rPr>
        <w:t xml:space="preserve"> (dalje: Preporuka) čime je zamijenjena Preporuka (2007/879/EC) od 17. prosinca 2007. o mjerodavnim tržištima na području elektroničkih komunikacija podložnima prethodnoj regulaciji</w:t>
      </w:r>
      <w:r w:rsidR="00262BB3">
        <w:rPr>
          <w:rStyle w:val="FootnoteReference"/>
          <w:rFonts w:eastAsia="Times New Roman" w:cstheme="minorHAnsi"/>
        </w:rPr>
        <w:footnoteReference w:id="4"/>
      </w:r>
      <w:r w:rsidRPr="00B47078">
        <w:rPr>
          <w:rFonts w:eastAsia="Times New Roman" w:cstheme="minorHAnsi"/>
        </w:rPr>
        <w:t xml:space="preserve">. </w:t>
      </w:r>
    </w:p>
    <w:p w:rsidR="00A70DC4" w:rsidRPr="002D057B" w:rsidRDefault="00A70DC4" w:rsidP="00376616">
      <w:pPr>
        <w:jc w:val="both"/>
        <w:rPr>
          <w:rFonts w:eastAsia="Times New Roman" w:cstheme="minorHAnsi"/>
        </w:rPr>
      </w:pPr>
    </w:p>
    <w:p w:rsidR="008E5389" w:rsidRDefault="002D057B" w:rsidP="00376616">
      <w:pPr>
        <w:jc w:val="both"/>
        <w:rPr>
          <w:rFonts w:eastAsia="Times New Roman" w:cstheme="minorHAnsi"/>
        </w:rPr>
      </w:pPr>
      <w:r w:rsidRPr="00363F9B">
        <w:rPr>
          <w:rFonts w:eastAsia="Times New Roman" w:cstheme="minorHAnsi"/>
        </w:rPr>
        <w:lastRenderedPageBreak/>
        <w:t>U provedbi postupka analize</w:t>
      </w:r>
      <w:r w:rsidRPr="00202E8A">
        <w:rPr>
          <w:rFonts w:eastAsia="Times New Roman" w:cstheme="minorHAnsi"/>
        </w:rPr>
        <w:t xml:space="preserve"> tržišta, HAKOM je primijenio i</w:t>
      </w:r>
      <w:r w:rsidRPr="00363F9B">
        <w:rPr>
          <w:rFonts w:eastAsia="Times New Roman" w:cstheme="minorHAnsi"/>
        </w:rPr>
        <w:t xml:space="preserve"> </w:t>
      </w:r>
      <w:r w:rsidRPr="002D057B">
        <w:rPr>
          <w:rFonts w:eastAsia="Times New Roman" w:cstheme="minorHAnsi"/>
        </w:rPr>
        <w:t>Preporuku o regulaciji cijena završavanja poziva</w:t>
      </w:r>
      <w:r w:rsidRPr="002D057B">
        <w:rPr>
          <w:rFonts w:eastAsia="Times New Roman"/>
          <w:vertAlign w:val="superscript"/>
        </w:rPr>
        <w:footnoteReference w:id="5"/>
      </w:r>
      <w:r w:rsidRPr="002D057B">
        <w:rPr>
          <w:rFonts w:eastAsia="Times New Roman" w:cstheme="minorHAnsi"/>
        </w:rPr>
        <w:t>.</w:t>
      </w:r>
    </w:p>
    <w:bookmarkStart w:id="24" w:name="_Toc236634787"/>
    <w:p w:rsidR="009C0A70" w:rsidRPr="00740F26" w:rsidRDefault="00AA64FF" w:rsidP="00ED4D44">
      <w:pPr>
        <w:pStyle w:val="Heading2"/>
      </w:pPr>
      <w:r w:rsidRPr="00D65505">
        <w:fldChar w:fldCharType="begin"/>
      </w:r>
      <w:r w:rsidRPr="00D65505">
        <w:instrText xml:space="preserve"> HYPERLINK \l "_Toc180396856" </w:instrText>
      </w:r>
      <w:r w:rsidRPr="00D65505">
        <w:fldChar w:fldCharType="separate"/>
      </w:r>
      <w:bookmarkStart w:id="25" w:name="_Toc357581368"/>
      <w:bookmarkStart w:id="26" w:name="_Toc524984008"/>
      <w:bookmarkStart w:id="27" w:name="_Toc525072986"/>
      <w:bookmarkStart w:id="28" w:name="_Toc525729831"/>
      <w:r w:rsidR="00663367" w:rsidRPr="00D65505">
        <w:t>Zakon</w:t>
      </w:r>
      <w:r w:rsidRPr="00D65505">
        <w:fldChar w:fldCharType="end"/>
      </w:r>
      <w:r w:rsidR="00663367" w:rsidRPr="00D65505">
        <w:t xml:space="preserve"> o elektroničkim komunikacijama</w:t>
      </w:r>
      <w:bookmarkEnd w:id="24"/>
      <w:bookmarkEnd w:id="25"/>
      <w:bookmarkEnd w:id="26"/>
      <w:bookmarkEnd w:id="27"/>
      <w:bookmarkEnd w:id="28"/>
    </w:p>
    <w:p w:rsidR="002D057B" w:rsidRPr="00E170AC" w:rsidRDefault="002D057B" w:rsidP="002D057B">
      <w:pPr>
        <w:jc w:val="both"/>
        <w:rPr>
          <w:rFonts w:eastAsia="Times New Roman" w:cstheme="minorHAnsi"/>
        </w:rPr>
      </w:pPr>
      <w:r w:rsidRPr="002D057B">
        <w:rPr>
          <w:rFonts w:eastAsia="Times New Roman"/>
        </w:rPr>
        <w:t xml:space="preserve">Sve prethodno </w:t>
      </w:r>
      <w:r w:rsidR="00262BB3">
        <w:rPr>
          <w:rFonts w:eastAsia="Times New Roman"/>
        </w:rPr>
        <w:t>nav</w:t>
      </w:r>
      <w:r w:rsidR="004476D2">
        <w:rPr>
          <w:rFonts w:eastAsia="Times New Roman"/>
        </w:rPr>
        <w:t>e</w:t>
      </w:r>
      <w:r w:rsidR="00262BB3">
        <w:rPr>
          <w:rFonts w:eastAsia="Times New Roman"/>
        </w:rPr>
        <w:t>dene</w:t>
      </w:r>
      <w:r w:rsidRPr="002D057B">
        <w:rPr>
          <w:rFonts w:eastAsia="Times New Roman"/>
        </w:rPr>
        <w:t xml:space="preserve"> direktive implementirane su u hrvatsko zakonodavstvo kroz ZEK kojim se, između ostalog, propisuju uvjeti obavljanja djelatnosti elektroničkih komunikacijskih mreža i usluga. HAKOM, primjenom odredaba ZEK-a, osigurava uvjete za djelotvorno tržišno natjecanje, odnosno omogućava jednake uvjete za sve operatore koji djeluju na tržištima elektroničkih komunikacija.</w:t>
      </w:r>
      <w:r w:rsidR="00262BB3">
        <w:rPr>
          <w:rFonts w:eastAsia="Times New Roman"/>
        </w:rPr>
        <w:t xml:space="preserve"> </w:t>
      </w:r>
      <w:r w:rsidR="00262BB3">
        <w:rPr>
          <w:rFonts w:eastAsia="Times New Roman" w:cstheme="minorHAnsi"/>
        </w:rPr>
        <w:t>ZEK</w:t>
      </w:r>
      <w:r w:rsidRPr="00E170AC">
        <w:rPr>
          <w:rFonts w:eastAsia="Times New Roman" w:cstheme="minorHAnsi"/>
        </w:rPr>
        <w:t xml:space="preserve"> propisuje postupak analize tržišta na način kako slijedi.</w:t>
      </w:r>
    </w:p>
    <w:p w:rsidR="002D057B" w:rsidRPr="00E170AC" w:rsidRDefault="002D057B" w:rsidP="002D057B">
      <w:pPr>
        <w:jc w:val="both"/>
        <w:rPr>
          <w:rFonts w:eastAsia="Times New Roman" w:cstheme="minorHAnsi"/>
        </w:rPr>
      </w:pPr>
    </w:p>
    <w:p w:rsidR="002D057B" w:rsidRPr="00E170AC" w:rsidRDefault="00B47078" w:rsidP="002D057B">
      <w:pPr>
        <w:jc w:val="both"/>
        <w:rPr>
          <w:rFonts w:eastAsia="Times New Roman" w:cstheme="minorHAnsi"/>
        </w:rPr>
      </w:pPr>
      <w:r w:rsidRPr="00B47078">
        <w:rPr>
          <w:rFonts w:eastAsia="Times New Roman" w:cstheme="minorHAnsi"/>
        </w:rPr>
        <w:t>Utvrđivanje mjerodavnih tržišta podložnih prethodnoj regulaciji u skladu je s člankom 53. ZEK-a uz primjenu važeće Preporuke o mjerodavnim tržištima. Važeća preporuka sadrži četiri tržišta podložnih prethodnoj regulaciji, pa je HAKOM u mogućnosti, bez dokazivanja da su istodobno zadovoljena tri mjerila (Test tri mjerila), prethodno regulirati samo ta četiri tržišta.</w:t>
      </w:r>
      <w:r w:rsidR="002D057B" w:rsidRPr="00E170AC">
        <w:rPr>
          <w:rFonts w:eastAsia="Times New Roman" w:cstheme="minorHAnsi"/>
        </w:rPr>
        <w:t xml:space="preserve"> Međutim, u skladu s člankom 53. stavkom 2. ZEK-a, HAKOM može odlukom utvrditi da su i druga mjerodavna tržišta koja su specifična za područje elektroničkih komunikacijskih mreža i usluga u RH podložna prethodnoj regulaciji ako su na tim tržištima istodobno zadovoljena sljedeća tri mjerila:</w:t>
      </w:r>
    </w:p>
    <w:p w:rsidR="002D057B" w:rsidRPr="00E170AC" w:rsidRDefault="002D057B" w:rsidP="00BD3C97">
      <w:pPr>
        <w:numPr>
          <w:ilvl w:val="0"/>
          <w:numId w:val="9"/>
        </w:numPr>
        <w:tabs>
          <w:tab w:val="clear" w:pos="360"/>
          <w:tab w:val="num" w:pos="1080"/>
        </w:tabs>
        <w:ind w:left="1080"/>
        <w:jc w:val="both"/>
        <w:rPr>
          <w:rFonts w:eastAsia="Times New Roman" w:cstheme="minorHAnsi"/>
        </w:rPr>
      </w:pPr>
      <w:r w:rsidRPr="00E170AC">
        <w:rPr>
          <w:rFonts w:eastAsia="Times New Roman" w:cstheme="minorHAnsi"/>
        </w:rPr>
        <w:t>prisutnost visokih i trajnih zapreka za ulazak na tržište, strukturne, pravne ili regulatorne prirode;</w:t>
      </w:r>
    </w:p>
    <w:p w:rsidR="002D057B" w:rsidRPr="00E170AC" w:rsidRDefault="002D057B" w:rsidP="00BD3C97">
      <w:pPr>
        <w:numPr>
          <w:ilvl w:val="0"/>
          <w:numId w:val="9"/>
        </w:numPr>
        <w:tabs>
          <w:tab w:val="clear" w:pos="360"/>
          <w:tab w:val="num" w:pos="1080"/>
        </w:tabs>
        <w:ind w:left="1080"/>
        <w:jc w:val="both"/>
        <w:rPr>
          <w:rFonts w:eastAsia="Times New Roman" w:cstheme="minorHAnsi"/>
        </w:rPr>
      </w:pPr>
      <w:r w:rsidRPr="00E170AC">
        <w:rPr>
          <w:rFonts w:eastAsia="Times New Roman" w:cstheme="minorHAnsi"/>
        </w:rPr>
        <w:t>struktura tržišta koja ne teži razvoju djelotvornog tržišnog natjecanja unutar odgovarajućeg vremenskog okvira;</w:t>
      </w:r>
    </w:p>
    <w:p w:rsidR="002D057B" w:rsidRPr="00E170AC" w:rsidRDefault="002D057B" w:rsidP="00BD3C97">
      <w:pPr>
        <w:numPr>
          <w:ilvl w:val="0"/>
          <w:numId w:val="9"/>
        </w:numPr>
        <w:tabs>
          <w:tab w:val="clear" w:pos="360"/>
          <w:tab w:val="num" w:pos="1080"/>
        </w:tabs>
        <w:ind w:left="1080"/>
        <w:jc w:val="both"/>
        <w:rPr>
          <w:rFonts w:eastAsia="Times New Roman" w:cstheme="minorHAnsi"/>
        </w:rPr>
      </w:pPr>
      <w:r w:rsidRPr="00E170AC">
        <w:rPr>
          <w:rFonts w:eastAsia="Times New Roman" w:cstheme="minorHAnsi"/>
        </w:rPr>
        <w:t>primjena mjerodavnih propisa o zaštiti tržišnog natjecanja sama po sebi ne omogućuje na odgovarajući način uklanjanja nedostataka na tržištu.</w:t>
      </w:r>
    </w:p>
    <w:p w:rsidR="002D057B" w:rsidRPr="00E170AC" w:rsidRDefault="002D057B" w:rsidP="005C3C0A">
      <w:pPr>
        <w:ind w:left="360"/>
        <w:jc w:val="both"/>
        <w:rPr>
          <w:rFonts w:eastAsia="Times New Roman" w:cstheme="minorHAnsi"/>
        </w:rPr>
      </w:pPr>
    </w:p>
    <w:p w:rsidR="002D057B" w:rsidRPr="00E170AC" w:rsidRDefault="002D057B" w:rsidP="002D057B">
      <w:pPr>
        <w:jc w:val="both"/>
        <w:rPr>
          <w:rFonts w:eastAsia="Times New Roman" w:cstheme="minorHAnsi"/>
        </w:rPr>
      </w:pPr>
      <w:r w:rsidRPr="00E170AC">
        <w:rPr>
          <w:rFonts w:eastAsia="Times New Roman" w:cstheme="minorHAnsi"/>
        </w:rPr>
        <w:t>U nastavku se provodi postupak koji se sastoji od određivanja mjerodavnog tržišta i procjene postojanja jednog ili više operatora sa značajnom tržišnom snagom na tom mjerodavnom tržištu.</w:t>
      </w:r>
      <w:r w:rsidRPr="00E170AC">
        <w:rPr>
          <w:rFonts w:cstheme="minorHAnsi"/>
        </w:rPr>
        <w:t xml:space="preserve"> </w:t>
      </w:r>
      <w:r w:rsidRPr="00E170AC">
        <w:rPr>
          <w:rFonts w:eastAsia="Times New Roman" w:cstheme="minorHAnsi"/>
        </w:rPr>
        <w:t xml:space="preserve">U svrhu određivanja mjerodavnog tržišta, prema članku 54. ZEK-a, HAKOM utvrđuje dimenziju usluga i zemljopisnu dimenziju tržišta, vodeći osobito računa </w:t>
      </w:r>
      <w:r w:rsidR="00B47078">
        <w:rPr>
          <w:rFonts w:eastAsia="Times New Roman" w:cstheme="minorHAnsi"/>
        </w:rPr>
        <w:t xml:space="preserve">o </w:t>
      </w:r>
      <w:r w:rsidR="00B47078" w:rsidRPr="00B47078">
        <w:rPr>
          <w:rFonts w:eastAsia="Times New Roman" w:cstheme="minorHAnsi"/>
        </w:rPr>
        <w:t>mjerodavnim Smjernicama za analizu tržišta i ocjenu značajne tržišne snage te o mjerodavnoj pravnoj stečevini EU iz područja tržišnog natjecanja.</w:t>
      </w:r>
    </w:p>
    <w:p w:rsidR="002D057B" w:rsidRPr="002D057B" w:rsidRDefault="002D057B" w:rsidP="002D057B">
      <w:pPr>
        <w:jc w:val="both"/>
        <w:rPr>
          <w:rFonts w:eastAsia="Times New Roman" w:cstheme="minorHAnsi"/>
        </w:rPr>
      </w:pPr>
    </w:p>
    <w:p w:rsidR="002D057B" w:rsidRPr="00E170AC" w:rsidRDefault="00B47078" w:rsidP="002D057B">
      <w:pPr>
        <w:jc w:val="both"/>
        <w:rPr>
          <w:rFonts w:eastAsia="Times New Roman" w:cstheme="minorHAnsi"/>
        </w:rPr>
      </w:pPr>
      <w:r w:rsidRPr="00B47078">
        <w:rPr>
          <w:rFonts w:eastAsia="Times New Roman" w:cstheme="minorHAnsi"/>
        </w:rPr>
        <w:t>Po određivanju mjerodavnog tržišta u objema navedenim dimenzijama, HAKOM, u suradnji s AZTN-om, sukladno članku 54. stavku 5. ZEK-a, ocjenjuje djelotvornost tržišnog natjecanja na tom tržištu. U slučaju nedostatka djelotvornog tržišnog natjecanja, HAKOM, sukladno članku 55. ZEK-a, procjenjuje postoji li na tom mjerodavnom tržištu operator/operatori sa značajnom tržišnom snagom te ukoliko da HAKOM donosi odluku kojom svakom operatoru sa značajnom tržišnom snagom određuje najmanje jednu regulatornu obvezu iz članaka 58. do 65. ZEK-a.</w:t>
      </w:r>
    </w:p>
    <w:p w:rsidR="002D057B" w:rsidRPr="00E170AC" w:rsidRDefault="002D057B" w:rsidP="002D057B">
      <w:pPr>
        <w:jc w:val="both"/>
        <w:rPr>
          <w:rFonts w:eastAsia="Times New Roman"/>
        </w:rPr>
      </w:pPr>
    </w:p>
    <w:p w:rsidR="002D057B" w:rsidRPr="00E170AC" w:rsidRDefault="002D057B" w:rsidP="002D057B">
      <w:pPr>
        <w:jc w:val="both"/>
        <w:rPr>
          <w:rFonts w:eastAsia="Times New Roman"/>
        </w:rPr>
      </w:pPr>
      <w:r w:rsidRPr="00E170AC">
        <w:rPr>
          <w:rFonts w:eastAsia="Times New Roman"/>
        </w:rPr>
        <w:t xml:space="preserve">Odluku u navedenom postupku, HAKOM je prethodno obvezan </w:t>
      </w:r>
      <w:proofErr w:type="spellStart"/>
      <w:r w:rsidRPr="00E170AC">
        <w:rPr>
          <w:rFonts w:eastAsia="Times New Roman"/>
        </w:rPr>
        <w:t>notificirati</w:t>
      </w:r>
      <w:proofErr w:type="spellEnd"/>
      <w:r w:rsidRPr="00E170AC">
        <w:rPr>
          <w:rFonts w:eastAsia="Times New Roman"/>
        </w:rPr>
        <w:t xml:space="preserve"> Europskoj komisiji.</w:t>
      </w:r>
    </w:p>
    <w:p w:rsidR="007E7FD2" w:rsidRDefault="007E7FD2" w:rsidP="00F471CD">
      <w:pPr>
        <w:jc w:val="both"/>
        <w:rPr>
          <w:rFonts w:ascii="Calibri" w:eastAsia="Times New Roman" w:hAnsi="Calibri" w:cs="Calibri"/>
          <w:i/>
          <w:highlight w:val="yellow"/>
        </w:rPr>
      </w:pPr>
    </w:p>
    <w:p w:rsidR="00FE493C" w:rsidRPr="000C5040" w:rsidRDefault="00FE493C" w:rsidP="00F471CD">
      <w:pPr>
        <w:jc w:val="both"/>
        <w:rPr>
          <w:rFonts w:ascii="Calibri" w:eastAsia="Times New Roman" w:hAnsi="Calibri" w:cs="Calibri"/>
          <w:highlight w:val="yellow"/>
        </w:rPr>
      </w:pPr>
      <w:r w:rsidRPr="00FE493C">
        <w:rPr>
          <w:rFonts w:ascii="Calibri" w:eastAsia="Times New Roman" w:hAnsi="Calibri" w:cs="Calibri"/>
        </w:rPr>
        <w:lastRenderedPageBreak/>
        <w:t xml:space="preserve">Zaključno, predmetno tržište </w:t>
      </w:r>
      <w:r w:rsidRPr="00E170AC">
        <w:rPr>
          <w:rStyle w:val="SubtitleChar"/>
        </w:rPr>
        <w:t xml:space="preserve">veleprodajnog završavanja </w:t>
      </w:r>
      <w:r w:rsidR="007E4538" w:rsidRPr="00E170AC">
        <w:rPr>
          <w:rStyle w:val="SubtitleChar"/>
        </w:rPr>
        <w:t>poziva</w:t>
      </w:r>
      <w:r w:rsidRPr="00E170AC">
        <w:rPr>
          <w:rStyle w:val="SubtitleChar"/>
        </w:rPr>
        <w:t xml:space="preserve"> u vlastitoj javnoj telefonskoj mreži koja se pruža na fiksnoj lokaciji</w:t>
      </w:r>
      <w:r>
        <w:rPr>
          <w:rFonts w:ascii="Calibri" w:eastAsia="Times New Roman" w:hAnsi="Calibri" w:cs="Calibri"/>
        </w:rPr>
        <w:t xml:space="preserve"> </w:t>
      </w:r>
      <w:r w:rsidRPr="00FE493C">
        <w:rPr>
          <w:rFonts w:ascii="Calibri" w:eastAsia="Times New Roman" w:hAnsi="Calibri" w:cs="Calibri"/>
        </w:rPr>
        <w:t>navedeno je u mjerodavnoj Preporuci</w:t>
      </w:r>
      <w:r>
        <w:rPr>
          <w:rStyle w:val="FootnoteReference"/>
          <w:rFonts w:ascii="Calibri" w:eastAsia="Times New Roman" w:hAnsi="Calibri" w:cs="Calibri"/>
        </w:rPr>
        <w:footnoteReference w:id="6"/>
      </w:r>
      <w:r>
        <w:rPr>
          <w:rFonts w:ascii="Calibri" w:eastAsia="Times New Roman" w:hAnsi="Calibri" w:cs="Calibri"/>
        </w:rPr>
        <w:t>,</w:t>
      </w:r>
      <w:r w:rsidRPr="00FE493C">
        <w:rPr>
          <w:rFonts w:ascii="Calibri" w:eastAsia="Times New Roman" w:hAnsi="Calibri" w:cs="Calibri"/>
        </w:rPr>
        <w:t xml:space="preserve"> stoga je HAKOM u mogućnosti isto prethodno regulirati, a samim time i utvrditi bez dokazivanja da su istodobno zadovoljena tri mjerila navedena u članku 53. stavku 2. ZEK-a.</w:t>
      </w:r>
    </w:p>
    <w:p w:rsidR="00BD557E" w:rsidRPr="001370C5" w:rsidRDefault="00786AF3" w:rsidP="00ED4D44">
      <w:pPr>
        <w:pStyle w:val="Heading2"/>
      </w:pPr>
      <w:bookmarkStart w:id="29" w:name="_Toc357581369"/>
      <w:bookmarkStart w:id="30" w:name="_Toc524984009"/>
      <w:bookmarkStart w:id="31" w:name="_Toc525072987"/>
      <w:bookmarkStart w:id="32" w:name="_Toc525729832"/>
      <w:r w:rsidRPr="001370C5">
        <w:t>Odnos prema drugim zakonima</w:t>
      </w:r>
      <w:bookmarkEnd w:id="29"/>
      <w:bookmarkEnd w:id="30"/>
      <w:bookmarkEnd w:id="31"/>
      <w:bookmarkEnd w:id="32"/>
    </w:p>
    <w:p w:rsidR="006972E7" w:rsidRPr="002E4D4C" w:rsidRDefault="006972E7" w:rsidP="002E4D4C">
      <w:pPr>
        <w:jc w:val="both"/>
        <w:rPr>
          <w:rFonts w:eastAsia="Times New Roman" w:cstheme="minorHAnsi"/>
        </w:rPr>
      </w:pPr>
      <w:r w:rsidRPr="002E4D4C">
        <w:rPr>
          <w:rFonts w:eastAsia="Times New Roman" w:cstheme="minorHAnsi"/>
        </w:rPr>
        <w:t>Sukladno</w:t>
      </w:r>
      <w:r w:rsidR="00871169" w:rsidRPr="002E4D4C">
        <w:rPr>
          <w:rFonts w:eastAsia="Times New Roman" w:cstheme="minorHAnsi"/>
        </w:rPr>
        <w:t xml:space="preserve"> članku 6. stav</w:t>
      </w:r>
      <w:r w:rsidRPr="002E4D4C">
        <w:rPr>
          <w:rFonts w:eastAsia="Times New Roman" w:cstheme="minorHAnsi"/>
        </w:rPr>
        <w:t>ku</w:t>
      </w:r>
      <w:r w:rsidR="00871169" w:rsidRPr="002E4D4C">
        <w:rPr>
          <w:rFonts w:eastAsia="Times New Roman" w:cstheme="minorHAnsi"/>
        </w:rPr>
        <w:t xml:space="preserve"> 4</w:t>
      </w:r>
      <w:r w:rsidR="00102C26" w:rsidRPr="002E4D4C">
        <w:rPr>
          <w:rFonts w:eastAsia="Times New Roman" w:cstheme="minorHAnsi"/>
        </w:rPr>
        <w:t>.</w:t>
      </w:r>
      <w:r w:rsidR="00871169" w:rsidRPr="002E4D4C">
        <w:rPr>
          <w:rFonts w:eastAsia="Times New Roman" w:cstheme="minorHAnsi"/>
        </w:rPr>
        <w:t xml:space="preserve"> ZEK-a</w:t>
      </w:r>
      <w:r w:rsidR="0028782D" w:rsidRPr="002E4D4C">
        <w:rPr>
          <w:rFonts w:eastAsia="Times New Roman" w:cstheme="minorHAnsi"/>
        </w:rPr>
        <w:t>,</w:t>
      </w:r>
      <w:r w:rsidR="00871169" w:rsidRPr="002E4D4C">
        <w:rPr>
          <w:rFonts w:eastAsia="Times New Roman" w:cstheme="minorHAnsi"/>
        </w:rPr>
        <w:t xml:space="preserve"> HAKOM</w:t>
      </w:r>
      <w:r w:rsidRPr="002E4D4C">
        <w:rPr>
          <w:rFonts w:eastAsia="Times New Roman" w:cstheme="minorHAnsi"/>
        </w:rPr>
        <w:t>,</w:t>
      </w:r>
      <w:r w:rsidR="00871169" w:rsidRPr="002E4D4C">
        <w:rPr>
          <w:rFonts w:eastAsia="Times New Roman" w:cstheme="minorHAnsi"/>
        </w:rPr>
        <w:t xml:space="preserve"> između ostalih, osobito surađuje s </w:t>
      </w:r>
      <w:r w:rsidR="002A183D" w:rsidRPr="002E4D4C">
        <w:rPr>
          <w:rFonts w:eastAsia="Times New Roman" w:cstheme="minorHAnsi"/>
        </w:rPr>
        <w:t>AZTN</w:t>
      </w:r>
      <w:r w:rsidR="00AE24A2" w:rsidRPr="002E4D4C">
        <w:rPr>
          <w:rFonts w:eastAsia="Times New Roman" w:cstheme="minorHAnsi"/>
        </w:rPr>
        <w:t>-om</w:t>
      </w:r>
      <w:r w:rsidR="00B47078">
        <w:rPr>
          <w:rFonts w:eastAsia="Times New Roman" w:cstheme="minorHAnsi"/>
        </w:rPr>
        <w:t>.</w:t>
      </w:r>
      <w:r w:rsidRPr="002E4D4C">
        <w:rPr>
          <w:rFonts w:eastAsia="Times New Roman" w:cstheme="minorHAnsi"/>
        </w:rPr>
        <w:t xml:space="preserve"> </w:t>
      </w:r>
      <w:r w:rsidR="002A183D" w:rsidRPr="002E4D4C">
        <w:rPr>
          <w:rFonts w:eastAsia="Times New Roman" w:cstheme="minorHAnsi"/>
        </w:rPr>
        <w:t>AZTN</w:t>
      </w:r>
      <w:r w:rsidRPr="002E4D4C">
        <w:rPr>
          <w:rFonts w:eastAsia="Times New Roman" w:cstheme="minorHAnsi"/>
        </w:rPr>
        <w:t xml:space="preserve"> je pravna osoba s javnim ovlastima koja samostalno i neovisno obavlja poslove u okviru djelokruga i nadležnosti određenih Zakonom o zaštiti tržišnog natjecanja</w:t>
      </w:r>
      <w:r w:rsidR="00381015" w:rsidRPr="002D4DEA">
        <w:rPr>
          <w:rFonts w:eastAsia="Times New Roman" w:cstheme="minorHAnsi"/>
          <w:vertAlign w:val="superscript"/>
        </w:rPr>
        <w:footnoteReference w:id="7"/>
      </w:r>
      <w:r w:rsidRPr="002E4D4C">
        <w:rPr>
          <w:rFonts w:eastAsia="Times New Roman" w:cstheme="minorHAnsi"/>
        </w:rPr>
        <w:t xml:space="preserve"> za što odgovara Hrvatskom saboru.</w:t>
      </w:r>
    </w:p>
    <w:p w:rsidR="00621066" w:rsidRPr="002E4D4C" w:rsidRDefault="00621066" w:rsidP="002E4D4C">
      <w:pPr>
        <w:jc w:val="both"/>
        <w:rPr>
          <w:rFonts w:eastAsia="Times New Roman" w:cstheme="minorHAnsi"/>
        </w:rPr>
      </w:pPr>
    </w:p>
    <w:p w:rsidR="00D92B3C" w:rsidRPr="00C52A0A" w:rsidRDefault="00AF5D5E" w:rsidP="00F471CD">
      <w:pPr>
        <w:jc w:val="both"/>
        <w:rPr>
          <w:rFonts w:eastAsia="Times New Roman" w:cstheme="minorHAnsi"/>
        </w:rPr>
      </w:pPr>
      <w:r w:rsidRPr="00AF5D5E">
        <w:rPr>
          <w:rFonts w:eastAsia="Times New Roman" w:cstheme="minorHAnsi"/>
        </w:rPr>
        <w:t>Zakonska je mogućnost</w:t>
      </w:r>
      <w:r w:rsidR="006972E7" w:rsidRPr="002E4D4C">
        <w:rPr>
          <w:rFonts w:eastAsia="Times New Roman" w:cstheme="minorHAnsi"/>
        </w:rPr>
        <w:t xml:space="preserve"> </w:t>
      </w:r>
      <w:r w:rsidR="00DE7CD2" w:rsidRPr="002E4D4C">
        <w:rPr>
          <w:rFonts w:eastAsia="Times New Roman" w:cstheme="minorHAnsi"/>
        </w:rPr>
        <w:t>HAKOM</w:t>
      </w:r>
      <w:r w:rsidR="006972E7" w:rsidRPr="002E4D4C">
        <w:rPr>
          <w:rFonts w:eastAsia="Times New Roman" w:cstheme="minorHAnsi"/>
        </w:rPr>
        <w:t>-a</w:t>
      </w:r>
      <w:r w:rsidR="00DE7CD2" w:rsidRPr="002E4D4C">
        <w:rPr>
          <w:rFonts w:eastAsia="Times New Roman" w:cstheme="minorHAnsi"/>
        </w:rPr>
        <w:t xml:space="preserve"> u </w:t>
      </w:r>
      <w:r w:rsidR="006972E7" w:rsidRPr="002E4D4C">
        <w:rPr>
          <w:rFonts w:eastAsia="Times New Roman" w:cstheme="minorHAnsi"/>
        </w:rPr>
        <w:t xml:space="preserve">postupku </w:t>
      </w:r>
      <w:r w:rsidR="00DE7CD2" w:rsidRPr="002E4D4C">
        <w:rPr>
          <w:rFonts w:eastAsia="Times New Roman" w:cstheme="minorHAnsi"/>
        </w:rPr>
        <w:t>analiz</w:t>
      </w:r>
      <w:r w:rsidR="006972E7" w:rsidRPr="002E4D4C">
        <w:rPr>
          <w:rFonts w:eastAsia="Times New Roman" w:cstheme="minorHAnsi"/>
        </w:rPr>
        <w:t>e</w:t>
      </w:r>
      <w:r w:rsidR="00DE7CD2" w:rsidRPr="002E4D4C">
        <w:rPr>
          <w:rFonts w:eastAsia="Times New Roman" w:cstheme="minorHAnsi"/>
        </w:rPr>
        <w:t xml:space="preserve"> tržišta</w:t>
      </w:r>
      <w:r w:rsidR="002A183D" w:rsidRPr="002E4D4C">
        <w:rPr>
          <w:rFonts w:eastAsia="Times New Roman" w:cstheme="minorHAnsi"/>
        </w:rPr>
        <w:t xml:space="preserve">, </w:t>
      </w:r>
      <w:r w:rsidR="00FA38E2" w:rsidRPr="002E4D4C">
        <w:rPr>
          <w:rFonts w:eastAsia="Times New Roman" w:cstheme="minorHAnsi"/>
        </w:rPr>
        <w:t>a</w:t>
      </w:r>
      <w:r w:rsidR="002A183D" w:rsidRPr="002E4D4C">
        <w:rPr>
          <w:rFonts w:eastAsia="Times New Roman" w:cstheme="minorHAnsi"/>
        </w:rPr>
        <w:t xml:space="preserve"> sukladno</w:t>
      </w:r>
      <w:r w:rsidR="00DE7CD2" w:rsidRPr="002E4D4C">
        <w:rPr>
          <w:rFonts w:eastAsia="Times New Roman" w:cstheme="minorHAnsi"/>
        </w:rPr>
        <w:t xml:space="preserve"> članku 54. stav</w:t>
      </w:r>
      <w:r w:rsidR="002A183D" w:rsidRPr="002E4D4C">
        <w:rPr>
          <w:rFonts w:eastAsia="Times New Roman" w:cstheme="minorHAnsi"/>
        </w:rPr>
        <w:t>ku</w:t>
      </w:r>
      <w:r w:rsidR="00DE7CD2" w:rsidRPr="002E4D4C">
        <w:rPr>
          <w:rFonts w:eastAsia="Times New Roman" w:cstheme="minorHAnsi"/>
        </w:rPr>
        <w:t xml:space="preserve"> 5</w:t>
      </w:r>
      <w:r w:rsidR="006945DA" w:rsidRPr="002E4D4C">
        <w:rPr>
          <w:rFonts w:eastAsia="Times New Roman" w:cstheme="minorHAnsi"/>
        </w:rPr>
        <w:t>.</w:t>
      </w:r>
      <w:r w:rsidR="00DE7CD2" w:rsidRPr="002E4D4C">
        <w:rPr>
          <w:rFonts w:eastAsia="Times New Roman" w:cstheme="minorHAnsi"/>
        </w:rPr>
        <w:t xml:space="preserve"> </w:t>
      </w:r>
      <w:r w:rsidR="002A183D" w:rsidRPr="002E4D4C">
        <w:rPr>
          <w:rFonts w:eastAsia="Times New Roman" w:cstheme="minorHAnsi"/>
        </w:rPr>
        <w:t xml:space="preserve">ZEK-a, </w:t>
      </w:r>
      <w:r w:rsidR="00DE7CD2" w:rsidRPr="002E4D4C">
        <w:rPr>
          <w:rFonts w:eastAsia="Times New Roman" w:cstheme="minorHAnsi"/>
        </w:rPr>
        <w:t xml:space="preserve">zatražiti mišljenje </w:t>
      </w:r>
      <w:r w:rsidR="002A183D" w:rsidRPr="002E4D4C">
        <w:rPr>
          <w:rFonts w:eastAsia="Times New Roman" w:cstheme="minorHAnsi"/>
        </w:rPr>
        <w:t xml:space="preserve">AZTN-a na prijedlog odluke o određivanju </w:t>
      </w:r>
      <w:r w:rsidR="00521A82" w:rsidRPr="002E4D4C">
        <w:rPr>
          <w:rFonts w:eastAsia="Times New Roman" w:cstheme="minorHAnsi"/>
        </w:rPr>
        <w:t>mjerodavnog tržišta i procjene postojanja jednog ili više operatora sa značajnom tržišnom snagom</w:t>
      </w:r>
      <w:r w:rsidR="00621066" w:rsidRPr="002E4D4C">
        <w:rPr>
          <w:rFonts w:eastAsia="Times New Roman" w:cstheme="minorHAnsi"/>
        </w:rPr>
        <w:t xml:space="preserve">. </w:t>
      </w:r>
      <w:r w:rsidR="00786AF3" w:rsidRPr="002E4D4C">
        <w:rPr>
          <w:rFonts w:eastAsia="Times New Roman" w:cstheme="minorHAnsi"/>
        </w:rPr>
        <w:t xml:space="preserve">U okviru suradnje s AZTN-om, HAKOM od AZTN-a </w:t>
      </w:r>
      <w:r>
        <w:rPr>
          <w:rFonts w:eastAsia="Times New Roman" w:cstheme="minorHAnsi"/>
        </w:rPr>
        <w:t>traži</w:t>
      </w:r>
      <w:r w:rsidR="00786AF3" w:rsidRPr="002E4D4C">
        <w:rPr>
          <w:rFonts w:eastAsia="Times New Roman" w:cstheme="minorHAnsi"/>
        </w:rPr>
        <w:t xml:space="preserve"> mišljenje ili predlaže pokretanje postupka pred AZTN-om u svim slučajevima sprečavanja, ograničavanja ili narušavanja tržišnog natjecanja, u skladu s posebnim zakonom kojim je uređena zaštita tržišnog natjecanja.</w:t>
      </w:r>
    </w:p>
    <w:p w:rsidR="002C3F51" w:rsidRPr="00D65505" w:rsidRDefault="002C3F51" w:rsidP="00ED4D44">
      <w:pPr>
        <w:pStyle w:val="Heading2"/>
      </w:pPr>
      <w:bookmarkStart w:id="33" w:name="_Toc357581370"/>
      <w:bookmarkStart w:id="34" w:name="_Toc524984010"/>
      <w:bookmarkStart w:id="35" w:name="_Toc525072988"/>
      <w:bookmarkStart w:id="36" w:name="_Toc525729833"/>
      <w:bookmarkStart w:id="37" w:name="_Toc236634788"/>
      <w:bookmarkStart w:id="38" w:name="_Toc357581371"/>
      <w:r>
        <w:t>Osvrt na odluk</w:t>
      </w:r>
      <w:r w:rsidR="00ED4D44">
        <w:t>u</w:t>
      </w:r>
      <w:r w:rsidRPr="00D65505">
        <w:t xml:space="preserve"> o analizi </w:t>
      </w:r>
      <w:r w:rsidRPr="00005EAE">
        <w:t>tržišta završavanja (</w:t>
      </w:r>
      <w:proofErr w:type="spellStart"/>
      <w:r w:rsidRPr="00005EAE">
        <w:t>terminacije</w:t>
      </w:r>
      <w:proofErr w:type="spellEnd"/>
      <w:r w:rsidRPr="00005EAE">
        <w:t xml:space="preserve">) poziva u određenu javnu komunikacijsku mrežu koje se pruža na fiksnoj lokaciji </w:t>
      </w:r>
      <w:r>
        <w:t>poziva</w:t>
      </w:r>
      <w:bookmarkEnd w:id="33"/>
      <w:r>
        <w:t xml:space="preserve"> i s njima povezane odluke</w:t>
      </w:r>
      <w:bookmarkEnd w:id="34"/>
      <w:bookmarkEnd w:id="35"/>
      <w:bookmarkEnd w:id="36"/>
    </w:p>
    <w:p w:rsidR="00F31507" w:rsidRDefault="002C3F51" w:rsidP="002C3F51">
      <w:pPr>
        <w:jc w:val="both"/>
        <w:rPr>
          <w:rFonts w:ascii="Calibri" w:eastAsia="Times New Roman" w:hAnsi="Calibri" w:cs="Calibri"/>
        </w:rPr>
      </w:pPr>
      <w:r w:rsidRPr="0005566C">
        <w:rPr>
          <w:rFonts w:ascii="Calibri" w:eastAsia="Times New Roman" w:hAnsi="Calibri" w:cs="Calibri"/>
        </w:rPr>
        <w:t xml:space="preserve">U </w:t>
      </w:r>
      <w:r>
        <w:rPr>
          <w:rFonts w:ascii="Calibri" w:eastAsia="Times New Roman" w:hAnsi="Calibri" w:cs="Calibri"/>
        </w:rPr>
        <w:t>ožujku</w:t>
      </w:r>
      <w:r w:rsidRPr="0005566C">
        <w:rPr>
          <w:rFonts w:ascii="Calibri" w:eastAsia="Times New Roman" w:hAnsi="Calibri" w:cs="Calibri"/>
        </w:rPr>
        <w:t xml:space="preserve"> 20</w:t>
      </w:r>
      <w:r>
        <w:rPr>
          <w:rFonts w:ascii="Calibri" w:eastAsia="Times New Roman" w:hAnsi="Calibri" w:cs="Calibri"/>
        </w:rPr>
        <w:t>15</w:t>
      </w:r>
      <w:r w:rsidRPr="0005566C">
        <w:rPr>
          <w:rFonts w:ascii="Calibri" w:eastAsia="Times New Roman" w:hAnsi="Calibri" w:cs="Calibri"/>
        </w:rPr>
        <w:t xml:space="preserve">. HAKOM je </w:t>
      </w:r>
      <w:r w:rsidR="00A276AA">
        <w:rPr>
          <w:rFonts w:ascii="Calibri" w:eastAsia="Times New Roman" w:hAnsi="Calibri" w:cs="Calibri"/>
        </w:rPr>
        <w:t xml:space="preserve">donio </w:t>
      </w:r>
      <w:hyperlink r:id="rId18" w:history="1">
        <w:r w:rsidR="00A276AA" w:rsidRPr="00A276AA">
          <w:rPr>
            <w:rStyle w:val="Hyperlink"/>
            <w:rFonts w:ascii="Calibri" w:eastAsia="Times New Roman" w:hAnsi="Calibri" w:cs="Calibri"/>
          </w:rPr>
          <w:t>odluku</w:t>
        </w:r>
      </w:hyperlink>
      <w:r w:rsidRPr="0005566C">
        <w:rPr>
          <w:rFonts w:ascii="Calibri" w:eastAsia="Times New Roman" w:hAnsi="Calibri" w:cs="Calibri"/>
        </w:rPr>
        <w:t xml:space="preserve"> </w:t>
      </w:r>
      <w:r w:rsidR="00A276AA">
        <w:rPr>
          <w:rFonts w:ascii="Calibri" w:eastAsia="Times New Roman" w:hAnsi="Calibri" w:cs="Calibri"/>
        </w:rPr>
        <w:t xml:space="preserve">u </w:t>
      </w:r>
      <w:r w:rsidRPr="0005566C">
        <w:rPr>
          <w:rFonts w:ascii="Calibri" w:eastAsia="Times New Roman" w:hAnsi="Calibri" w:cs="Calibri"/>
        </w:rPr>
        <w:t>postup</w:t>
      </w:r>
      <w:r w:rsidR="00A276AA">
        <w:rPr>
          <w:rFonts w:ascii="Calibri" w:eastAsia="Times New Roman" w:hAnsi="Calibri" w:cs="Calibri"/>
        </w:rPr>
        <w:t>ku</w:t>
      </w:r>
      <w:r w:rsidRPr="0005566C">
        <w:rPr>
          <w:rFonts w:ascii="Calibri" w:eastAsia="Times New Roman" w:hAnsi="Calibri" w:cs="Calibri"/>
        </w:rPr>
        <w:t xml:space="preserve"> analize tržišta</w:t>
      </w:r>
      <w:r w:rsidR="00A276AA">
        <w:rPr>
          <w:rStyle w:val="FootnoteReference"/>
          <w:rFonts w:ascii="Calibri" w:eastAsia="Times New Roman" w:hAnsi="Calibri" w:cs="Calibri"/>
        </w:rPr>
        <w:footnoteReference w:id="8"/>
      </w:r>
      <w:r w:rsidRPr="0005566C">
        <w:rPr>
          <w:rFonts w:ascii="Calibri" w:eastAsia="Times New Roman" w:hAnsi="Calibri" w:cs="Calibri"/>
        </w:rPr>
        <w:t xml:space="preserve"> te u skladu s navedenim odredio dimenziju usluga i zemljopisnu dimenziju mjerodavnog tržišta </w:t>
      </w:r>
      <w:r w:rsidR="00AF5D5E">
        <w:rPr>
          <w:rFonts w:ascii="Calibri" w:eastAsia="Times New Roman" w:hAnsi="Calibri" w:cs="Calibri"/>
        </w:rPr>
        <w:t xml:space="preserve">veleprodajnog </w:t>
      </w:r>
      <w:r w:rsidRPr="00FE493C">
        <w:rPr>
          <w:rFonts w:ascii="Calibri" w:eastAsia="Times New Roman" w:hAnsi="Calibri" w:cs="Calibri"/>
        </w:rPr>
        <w:t>završavanja (</w:t>
      </w:r>
      <w:proofErr w:type="spellStart"/>
      <w:r w:rsidRPr="00FE493C">
        <w:rPr>
          <w:rFonts w:ascii="Calibri" w:eastAsia="Times New Roman" w:hAnsi="Calibri" w:cs="Calibri"/>
        </w:rPr>
        <w:t>terminacije</w:t>
      </w:r>
      <w:proofErr w:type="spellEnd"/>
      <w:r w:rsidRPr="00FE493C">
        <w:rPr>
          <w:rFonts w:ascii="Calibri" w:eastAsia="Times New Roman" w:hAnsi="Calibri" w:cs="Calibri"/>
        </w:rPr>
        <w:t xml:space="preserve">) poziva u </w:t>
      </w:r>
      <w:r w:rsidR="00AF5D5E">
        <w:rPr>
          <w:rFonts w:ascii="Calibri" w:eastAsia="Times New Roman" w:hAnsi="Calibri" w:cs="Calibri"/>
        </w:rPr>
        <w:t>vlastitoj</w:t>
      </w:r>
      <w:r w:rsidRPr="00FE493C">
        <w:rPr>
          <w:rFonts w:ascii="Calibri" w:eastAsia="Times New Roman" w:hAnsi="Calibri" w:cs="Calibri"/>
        </w:rPr>
        <w:t xml:space="preserve"> javn</w:t>
      </w:r>
      <w:r w:rsidR="00AF5D5E">
        <w:rPr>
          <w:rFonts w:ascii="Calibri" w:eastAsia="Times New Roman" w:hAnsi="Calibri" w:cs="Calibri"/>
        </w:rPr>
        <w:t>oj</w:t>
      </w:r>
      <w:r w:rsidRPr="00FE493C">
        <w:rPr>
          <w:rFonts w:ascii="Calibri" w:eastAsia="Times New Roman" w:hAnsi="Calibri" w:cs="Calibri"/>
        </w:rPr>
        <w:t xml:space="preserve"> komunikacijs</w:t>
      </w:r>
      <w:r w:rsidR="00AF5D5E">
        <w:rPr>
          <w:rFonts w:ascii="Calibri" w:eastAsia="Times New Roman" w:hAnsi="Calibri" w:cs="Calibri"/>
        </w:rPr>
        <w:t>koj</w:t>
      </w:r>
      <w:r w:rsidRPr="00FE493C">
        <w:rPr>
          <w:rFonts w:ascii="Calibri" w:eastAsia="Times New Roman" w:hAnsi="Calibri" w:cs="Calibri"/>
        </w:rPr>
        <w:t xml:space="preserve"> mrež</w:t>
      </w:r>
      <w:r w:rsidR="00AF5D5E">
        <w:rPr>
          <w:rFonts w:ascii="Calibri" w:eastAsia="Times New Roman" w:hAnsi="Calibri" w:cs="Calibri"/>
        </w:rPr>
        <w:t>i</w:t>
      </w:r>
      <w:r w:rsidRPr="00FE493C">
        <w:rPr>
          <w:rFonts w:ascii="Calibri" w:eastAsia="Times New Roman" w:hAnsi="Calibri" w:cs="Calibri"/>
        </w:rPr>
        <w:t xml:space="preserve"> koje se pruža na fiksnoj lokaciji</w:t>
      </w:r>
      <w:r w:rsidRPr="0005566C">
        <w:rPr>
          <w:rFonts w:ascii="Calibri" w:eastAsia="Times New Roman" w:hAnsi="Calibri" w:cs="Calibri"/>
        </w:rPr>
        <w:t xml:space="preserve">. </w:t>
      </w:r>
    </w:p>
    <w:p w:rsidR="00F31507" w:rsidRDefault="00F31507" w:rsidP="002C3F51">
      <w:pPr>
        <w:jc w:val="both"/>
        <w:rPr>
          <w:rFonts w:ascii="Calibri" w:eastAsia="Times New Roman" w:hAnsi="Calibri" w:cs="Calibri"/>
        </w:rPr>
      </w:pPr>
    </w:p>
    <w:p w:rsidR="00A276AA" w:rsidRDefault="002C3F51" w:rsidP="002C3F51">
      <w:pPr>
        <w:jc w:val="both"/>
        <w:rPr>
          <w:rFonts w:ascii="Calibri" w:hAnsi="Calibri" w:cs="Calibri"/>
        </w:rPr>
      </w:pPr>
      <w:r w:rsidRPr="0005566C">
        <w:rPr>
          <w:rFonts w:ascii="Calibri" w:eastAsia="Times New Roman" w:hAnsi="Calibri" w:cs="Calibri"/>
        </w:rPr>
        <w:t xml:space="preserve">Nakon što je odredio mjerodavno tržište, HAKOM je, na temelju mjerila potrebnih za procjenu operatora sa značajnom tržišnom snagom iz članka 55. stavka 3. ZEK-a, </w:t>
      </w:r>
      <w:r w:rsidRPr="0005566C">
        <w:rPr>
          <w:rFonts w:ascii="Calibri" w:hAnsi="Calibri" w:cs="Calibri"/>
        </w:rPr>
        <w:t xml:space="preserve">trgovačka društva: </w:t>
      </w:r>
      <w:proofErr w:type="spellStart"/>
      <w:r w:rsidRPr="0005566C">
        <w:rPr>
          <w:rFonts w:ascii="Calibri" w:hAnsi="Calibri" w:cs="Calibri"/>
        </w:rPr>
        <w:t>Amis</w:t>
      </w:r>
      <w:proofErr w:type="spellEnd"/>
      <w:r w:rsidRPr="0005566C">
        <w:rPr>
          <w:rFonts w:ascii="Calibri" w:hAnsi="Calibri" w:cs="Calibri"/>
        </w:rPr>
        <w:t xml:space="preserve"> Telekom d.o.o.,</w:t>
      </w:r>
      <w:r w:rsidR="00930379">
        <w:rPr>
          <w:rFonts w:ascii="Calibri" w:hAnsi="Calibri" w:cs="Calibri"/>
        </w:rPr>
        <w:t xml:space="preserve"> </w:t>
      </w:r>
      <w:proofErr w:type="spellStart"/>
      <w:r>
        <w:rPr>
          <w:rFonts w:ascii="Calibri" w:hAnsi="Calibri" w:cs="Calibri"/>
        </w:rPr>
        <w:t>Btnet</w:t>
      </w:r>
      <w:proofErr w:type="spellEnd"/>
      <w:r>
        <w:rPr>
          <w:rFonts w:ascii="Calibri" w:hAnsi="Calibri" w:cs="Calibri"/>
        </w:rPr>
        <w:t xml:space="preserve"> d.o.o.,</w:t>
      </w:r>
      <w:r w:rsidRPr="0005566C">
        <w:rPr>
          <w:rFonts w:ascii="Calibri" w:hAnsi="Calibri" w:cs="Calibri"/>
        </w:rPr>
        <w:t xml:space="preserve"> </w:t>
      </w:r>
      <w:proofErr w:type="spellStart"/>
      <w:r>
        <w:rPr>
          <w:rFonts w:ascii="Calibri" w:hAnsi="Calibri" w:cs="Calibri"/>
        </w:rPr>
        <w:t>Fenice</w:t>
      </w:r>
      <w:proofErr w:type="spellEnd"/>
      <w:r>
        <w:rPr>
          <w:rFonts w:ascii="Calibri" w:hAnsi="Calibri" w:cs="Calibri"/>
        </w:rPr>
        <w:t xml:space="preserve"> </w:t>
      </w:r>
      <w:proofErr w:type="spellStart"/>
      <w:r>
        <w:rPr>
          <w:rFonts w:ascii="Calibri" w:hAnsi="Calibri" w:cs="Calibri"/>
        </w:rPr>
        <w:t>telekom</w:t>
      </w:r>
      <w:proofErr w:type="spellEnd"/>
      <w:r>
        <w:rPr>
          <w:rFonts w:ascii="Calibri" w:hAnsi="Calibri" w:cs="Calibri"/>
        </w:rPr>
        <w:t xml:space="preserve"> grupa d.o.o., </w:t>
      </w:r>
      <w:r w:rsidRPr="0005566C">
        <w:rPr>
          <w:rFonts w:ascii="Calibri" w:hAnsi="Calibri" w:cs="Calibri"/>
        </w:rPr>
        <w:t>H1 Telekom d.d., HT-Hrvatske telekomunikacije d.d., Iskon Internet d.d.,</w:t>
      </w:r>
      <w:r>
        <w:rPr>
          <w:rFonts w:ascii="Calibri" w:hAnsi="Calibri" w:cs="Calibri"/>
        </w:rPr>
        <w:t xml:space="preserve"> </w:t>
      </w:r>
      <w:proofErr w:type="spellStart"/>
      <w:r>
        <w:rPr>
          <w:rFonts w:ascii="Calibri" w:hAnsi="Calibri" w:cs="Calibri"/>
        </w:rPr>
        <w:t>Magić</w:t>
      </w:r>
      <w:proofErr w:type="spellEnd"/>
      <w:r>
        <w:rPr>
          <w:rFonts w:ascii="Calibri" w:hAnsi="Calibri" w:cs="Calibri"/>
        </w:rPr>
        <w:t xml:space="preserve"> net d.o.o., </w:t>
      </w:r>
      <w:proofErr w:type="spellStart"/>
      <w:r>
        <w:rPr>
          <w:rFonts w:ascii="Calibri" w:hAnsi="Calibri" w:cs="Calibri"/>
        </w:rPr>
        <w:t>Metronet</w:t>
      </w:r>
      <w:proofErr w:type="spellEnd"/>
      <w:r>
        <w:rPr>
          <w:rFonts w:ascii="Calibri" w:hAnsi="Calibri" w:cs="Calibri"/>
        </w:rPr>
        <w:t xml:space="preserve"> d.o.o</w:t>
      </w:r>
      <w:r w:rsidR="00AF5D5E">
        <w:rPr>
          <w:rFonts w:ascii="Calibri" w:hAnsi="Calibri" w:cs="Calibri"/>
        </w:rPr>
        <w:t>.,</w:t>
      </w:r>
      <w:r w:rsidRPr="0005566C">
        <w:rPr>
          <w:rFonts w:ascii="Calibri" w:hAnsi="Calibri" w:cs="Calibri"/>
        </w:rPr>
        <w:t xml:space="preserve"> </w:t>
      </w:r>
      <w:proofErr w:type="spellStart"/>
      <w:r w:rsidRPr="0005566C">
        <w:rPr>
          <w:rFonts w:ascii="Calibri" w:hAnsi="Calibri" w:cs="Calibri"/>
        </w:rPr>
        <w:t>Metronet</w:t>
      </w:r>
      <w:proofErr w:type="spellEnd"/>
      <w:r w:rsidRPr="0005566C">
        <w:rPr>
          <w:rFonts w:ascii="Calibri" w:hAnsi="Calibri" w:cs="Calibri"/>
        </w:rPr>
        <w:t xml:space="preserve"> telekomunikacije d.d.,</w:t>
      </w:r>
      <w:r>
        <w:rPr>
          <w:rFonts w:ascii="Calibri" w:hAnsi="Calibri" w:cs="Calibri"/>
        </w:rPr>
        <w:t xml:space="preserve"> Net-Connect d.o.o.,</w:t>
      </w:r>
      <w:r w:rsidRPr="0005566C">
        <w:rPr>
          <w:rFonts w:ascii="Calibri" w:hAnsi="Calibri" w:cs="Calibri"/>
        </w:rPr>
        <w:t xml:space="preserve"> </w:t>
      </w:r>
      <w:proofErr w:type="spellStart"/>
      <w:r>
        <w:rPr>
          <w:rFonts w:ascii="Calibri" w:hAnsi="Calibri" w:cs="Calibri"/>
        </w:rPr>
        <w:t>Omonia</w:t>
      </w:r>
      <w:proofErr w:type="spellEnd"/>
      <w:r>
        <w:rPr>
          <w:rFonts w:ascii="Calibri" w:hAnsi="Calibri" w:cs="Calibri"/>
        </w:rPr>
        <w:t xml:space="preserve"> d.o.o.,</w:t>
      </w:r>
      <w:r w:rsidR="00AF5D5E">
        <w:rPr>
          <w:rFonts w:ascii="Calibri" w:hAnsi="Calibri" w:cs="Calibri"/>
        </w:rPr>
        <w:t xml:space="preserve"> </w:t>
      </w:r>
      <w:r w:rsidRPr="0005566C">
        <w:rPr>
          <w:rFonts w:ascii="Calibri" w:hAnsi="Calibri" w:cs="Calibri"/>
        </w:rPr>
        <w:t>OT-</w:t>
      </w:r>
      <w:proofErr w:type="spellStart"/>
      <w:r w:rsidRPr="0005566C">
        <w:rPr>
          <w:rFonts w:ascii="Calibri" w:hAnsi="Calibri" w:cs="Calibri"/>
        </w:rPr>
        <w:t>Optima</w:t>
      </w:r>
      <w:proofErr w:type="spellEnd"/>
      <w:r w:rsidRPr="0005566C">
        <w:rPr>
          <w:rFonts w:ascii="Calibri" w:hAnsi="Calibri" w:cs="Calibri"/>
        </w:rPr>
        <w:t xml:space="preserve"> Telekom d.d., </w:t>
      </w:r>
      <w:proofErr w:type="spellStart"/>
      <w:r>
        <w:rPr>
          <w:rFonts w:ascii="Calibri" w:hAnsi="Calibri" w:cs="Calibri"/>
        </w:rPr>
        <w:t>Softnet</w:t>
      </w:r>
      <w:proofErr w:type="spellEnd"/>
      <w:r>
        <w:rPr>
          <w:rFonts w:ascii="Calibri" w:hAnsi="Calibri" w:cs="Calibri"/>
        </w:rPr>
        <w:t xml:space="preserve"> d.o.o., Optika kabel TV d.o.o., Orinoco d.o.o., </w:t>
      </w:r>
      <w:proofErr w:type="spellStart"/>
      <w:r>
        <w:rPr>
          <w:rFonts w:ascii="Calibri" w:hAnsi="Calibri" w:cs="Calibri"/>
        </w:rPr>
        <w:t>Skvid</w:t>
      </w:r>
      <w:proofErr w:type="spellEnd"/>
      <w:r>
        <w:rPr>
          <w:rFonts w:ascii="Calibri" w:hAnsi="Calibri" w:cs="Calibri"/>
        </w:rPr>
        <w:t xml:space="preserve"> d.o.o., </w:t>
      </w:r>
      <w:proofErr w:type="spellStart"/>
      <w:r>
        <w:rPr>
          <w:rFonts w:ascii="Calibri" w:hAnsi="Calibri" w:cs="Calibri"/>
        </w:rPr>
        <w:t>Softnet</w:t>
      </w:r>
      <w:proofErr w:type="spellEnd"/>
      <w:r>
        <w:rPr>
          <w:rFonts w:ascii="Calibri" w:hAnsi="Calibri" w:cs="Calibri"/>
        </w:rPr>
        <w:t xml:space="preserve"> d.o.o.</w:t>
      </w:r>
      <w:r w:rsidR="00AF5D5E">
        <w:rPr>
          <w:rFonts w:ascii="Calibri" w:hAnsi="Calibri" w:cs="Calibri"/>
        </w:rPr>
        <w:t>,</w:t>
      </w:r>
      <w:r>
        <w:rPr>
          <w:rFonts w:ascii="Calibri" w:hAnsi="Calibri" w:cs="Calibri"/>
        </w:rPr>
        <w:t xml:space="preserve"> </w:t>
      </w:r>
      <w:proofErr w:type="spellStart"/>
      <w:r w:rsidR="00262BB3">
        <w:rPr>
          <w:rFonts w:ascii="Calibri" w:hAnsi="Calibri" w:cs="Calibri"/>
        </w:rPr>
        <w:t>VIPnet</w:t>
      </w:r>
      <w:proofErr w:type="spellEnd"/>
      <w:r w:rsidR="00262BB3">
        <w:rPr>
          <w:rFonts w:ascii="Calibri" w:hAnsi="Calibri" w:cs="Calibri"/>
        </w:rPr>
        <w:t xml:space="preserve"> d.o.o.</w:t>
      </w:r>
      <w:r w:rsidRPr="0005566C">
        <w:rPr>
          <w:rFonts w:ascii="Calibri" w:hAnsi="Calibri" w:cs="Calibri"/>
        </w:rPr>
        <w:t xml:space="preserve"> i </w:t>
      </w:r>
      <w:proofErr w:type="spellStart"/>
      <w:r>
        <w:rPr>
          <w:rFonts w:ascii="Calibri" w:hAnsi="Calibri" w:cs="Calibri"/>
        </w:rPr>
        <w:t>Terrakom</w:t>
      </w:r>
      <w:proofErr w:type="spellEnd"/>
      <w:r w:rsidRPr="0005566C">
        <w:rPr>
          <w:rFonts w:ascii="Calibri" w:hAnsi="Calibri" w:cs="Calibri"/>
        </w:rPr>
        <w:t xml:space="preserve"> d.o.o. </w:t>
      </w:r>
      <w:r>
        <w:rPr>
          <w:rFonts w:ascii="Calibri" w:hAnsi="Calibri" w:cs="Calibri"/>
        </w:rPr>
        <w:t xml:space="preserve">odredio </w:t>
      </w:r>
      <w:r w:rsidRPr="0005566C">
        <w:rPr>
          <w:rFonts w:ascii="Calibri" w:hAnsi="Calibri" w:cs="Calibri"/>
        </w:rPr>
        <w:t xml:space="preserve">operatorima sa značajnom tržišnom snagom te istima odredio regulatorne obveze na temelju utvrđenih nedostataka na tržištu. Prethodno spomenuto je detaljno obrazloženo u dokumentu </w:t>
      </w:r>
      <w:hyperlink r:id="rId19" w:history="1">
        <w:r w:rsidRPr="001702DF">
          <w:rPr>
            <w:rStyle w:val="Hyperlink"/>
            <w:rFonts w:ascii="Calibri" w:hAnsi="Calibri" w:cs="Calibri"/>
          </w:rPr>
          <w:t>„</w:t>
        </w:r>
        <w:r w:rsidR="00AF5D5E">
          <w:rPr>
            <w:rStyle w:val="Hyperlink"/>
            <w:rFonts w:ascii="Calibri" w:hAnsi="Calibri" w:cs="Calibri"/>
            <w:i/>
          </w:rPr>
          <w:t>T</w:t>
        </w:r>
        <w:r w:rsidRPr="001702DF">
          <w:rPr>
            <w:rStyle w:val="Hyperlink"/>
            <w:rFonts w:ascii="Calibri" w:hAnsi="Calibri" w:cs="Calibri"/>
            <w:i/>
          </w:rPr>
          <w:t>ržišta završavanja (</w:t>
        </w:r>
        <w:proofErr w:type="spellStart"/>
        <w:r w:rsidRPr="001702DF">
          <w:rPr>
            <w:rStyle w:val="Hyperlink"/>
            <w:rFonts w:ascii="Calibri" w:hAnsi="Calibri" w:cs="Calibri"/>
            <w:i/>
          </w:rPr>
          <w:t>terminacije</w:t>
        </w:r>
        <w:proofErr w:type="spellEnd"/>
        <w:r w:rsidRPr="001702DF">
          <w:rPr>
            <w:rStyle w:val="Hyperlink"/>
            <w:rFonts w:ascii="Calibri" w:hAnsi="Calibri" w:cs="Calibri"/>
            <w:i/>
          </w:rPr>
          <w:t>) poziva u određenu javnu komunikacijsku mrežu koje se pruža na fiksnoj lokaciji</w:t>
        </w:r>
        <w:r w:rsidRPr="001702DF">
          <w:rPr>
            <w:rStyle w:val="Hyperlink"/>
            <w:rFonts w:ascii="Calibri" w:hAnsi="Calibri" w:cs="Calibri"/>
          </w:rPr>
          <w:t>“</w:t>
        </w:r>
      </w:hyperlink>
      <w:r>
        <w:rPr>
          <w:rFonts w:ascii="Calibri" w:hAnsi="Calibri" w:cs="Calibri"/>
        </w:rPr>
        <w:t>.</w:t>
      </w:r>
    </w:p>
    <w:p w:rsidR="00A276AA" w:rsidRDefault="00A276AA" w:rsidP="002C3F51">
      <w:pPr>
        <w:jc w:val="both"/>
        <w:rPr>
          <w:rFonts w:ascii="Calibri" w:hAnsi="Calibri" w:cs="Calibri"/>
        </w:rPr>
      </w:pPr>
    </w:p>
    <w:p w:rsidR="002C3F51" w:rsidRDefault="00AF5D5E" w:rsidP="002C3F51">
      <w:pPr>
        <w:jc w:val="both"/>
        <w:rPr>
          <w:rFonts w:ascii="Calibri" w:hAnsi="Calibri" w:cs="Calibri"/>
        </w:rPr>
      </w:pPr>
      <w:r w:rsidRPr="00AF5D5E">
        <w:rPr>
          <w:rFonts w:ascii="Calibri" w:hAnsi="Calibri" w:cs="Calibri"/>
        </w:rPr>
        <w:t xml:space="preserve">Navedenom analizom HAKOM je uveo segmentiranu regulatornu obvezu nadzora cijena </w:t>
      </w:r>
      <w:proofErr w:type="spellStart"/>
      <w:r w:rsidRPr="00AF5D5E">
        <w:rPr>
          <w:rFonts w:ascii="Calibri" w:hAnsi="Calibri" w:cs="Calibri"/>
        </w:rPr>
        <w:t>terminacije</w:t>
      </w:r>
      <w:proofErr w:type="spellEnd"/>
      <w:r w:rsidRPr="00AF5D5E">
        <w:rPr>
          <w:rFonts w:ascii="Calibri" w:hAnsi="Calibri" w:cs="Calibri"/>
        </w:rPr>
        <w:t xml:space="preserve"> ovisno o A broju, i to na način se obveza nadzora cijena primjenjuje samo za uslugu završavanja poziva započetih s A brojeva koji pripadaju nekom od nacionalnih ili EEA operatora, neovisno o mreži u kojoj je poziv započeo</w:t>
      </w:r>
      <w:r w:rsidR="00B02775">
        <w:rPr>
          <w:rStyle w:val="FootnoteReference"/>
          <w:rFonts w:ascii="Calibri" w:hAnsi="Calibri" w:cs="Calibri"/>
        </w:rPr>
        <w:footnoteReference w:id="9"/>
      </w:r>
      <w:r w:rsidRPr="00AF5D5E">
        <w:rPr>
          <w:rFonts w:ascii="Calibri" w:hAnsi="Calibri" w:cs="Calibri"/>
        </w:rPr>
        <w:t xml:space="preserve">. Istovremeno, cijene </w:t>
      </w:r>
      <w:proofErr w:type="spellStart"/>
      <w:r w:rsidRPr="00AF5D5E">
        <w:rPr>
          <w:rFonts w:ascii="Calibri" w:hAnsi="Calibri" w:cs="Calibri"/>
        </w:rPr>
        <w:t>terminacije</w:t>
      </w:r>
      <w:proofErr w:type="spellEnd"/>
      <w:r w:rsidRPr="00AF5D5E">
        <w:rPr>
          <w:rFonts w:ascii="Calibri" w:hAnsi="Calibri" w:cs="Calibri"/>
        </w:rPr>
        <w:t xml:space="preserve"> za </w:t>
      </w:r>
      <w:r w:rsidRPr="00AF5D5E">
        <w:rPr>
          <w:rFonts w:ascii="Calibri" w:hAnsi="Calibri" w:cs="Calibri"/>
        </w:rPr>
        <w:lastRenderedPageBreak/>
        <w:t>uslugu završavanja poziva započetih s A brojeva koji pripadaju nekom od operatora izvan EEA područja, neovisno o mreži u kojoj je poziv započeo, određuju se na komercijalnoj osnovi</w:t>
      </w:r>
      <w:r w:rsidR="002C3F51">
        <w:rPr>
          <w:rFonts w:ascii="Calibri" w:hAnsi="Calibri" w:cs="Calibri"/>
        </w:rPr>
        <w:t xml:space="preserve">. </w:t>
      </w:r>
    </w:p>
    <w:p w:rsidR="00916E7B" w:rsidRPr="00587A8B" w:rsidRDefault="00916E7B" w:rsidP="002C3F51">
      <w:pPr>
        <w:jc w:val="both"/>
        <w:rPr>
          <w:rFonts w:ascii="Calibri" w:eastAsia="Times New Roman" w:hAnsi="Calibri" w:cs="Calibri"/>
        </w:rPr>
      </w:pPr>
    </w:p>
    <w:p w:rsidR="002C3F51" w:rsidRDefault="00916E7B" w:rsidP="002C3F51">
      <w:pPr>
        <w:jc w:val="both"/>
        <w:rPr>
          <w:rFonts w:ascii="Calibri" w:hAnsi="Calibri" w:cs="Calibri"/>
        </w:rPr>
      </w:pPr>
      <w:r>
        <w:t xml:space="preserve">U prosincu 2015. HAKOM je donio </w:t>
      </w:r>
      <w:hyperlink r:id="rId20" w:history="1">
        <w:r w:rsidRPr="00FD5E15">
          <w:rPr>
            <w:rStyle w:val="Hyperlink"/>
          </w:rPr>
          <w:t>odluku</w:t>
        </w:r>
      </w:hyperlink>
      <w:r w:rsidR="002C3F51" w:rsidRPr="00F91250">
        <w:rPr>
          <w:rStyle w:val="FootnoteReference"/>
          <w:rFonts w:ascii="Calibri" w:hAnsi="Calibri" w:cs="Calibri"/>
        </w:rPr>
        <w:footnoteReference w:id="10"/>
      </w:r>
      <w:r w:rsidR="002C3F51" w:rsidRPr="00F91250">
        <w:rPr>
          <w:rFonts w:ascii="Calibri" w:hAnsi="Calibri" w:cs="Calibri"/>
        </w:rPr>
        <w:t xml:space="preserve"> o </w:t>
      </w:r>
      <w:r>
        <w:rPr>
          <w:rFonts w:ascii="Calibri" w:hAnsi="Calibri" w:cs="Calibri"/>
        </w:rPr>
        <w:t>i</w:t>
      </w:r>
      <w:r w:rsidRPr="00FD5E15">
        <w:rPr>
          <w:rFonts w:ascii="Calibri" w:hAnsi="Calibri" w:cs="Calibri"/>
        </w:rPr>
        <w:t xml:space="preserve">zmjeni </w:t>
      </w:r>
      <w:r w:rsidR="00FD5E15">
        <w:rPr>
          <w:rFonts w:ascii="Calibri" w:hAnsi="Calibri" w:cs="Calibri"/>
        </w:rPr>
        <w:t>A</w:t>
      </w:r>
      <w:r w:rsidRPr="00FD5E15">
        <w:rPr>
          <w:rFonts w:ascii="Calibri" w:hAnsi="Calibri" w:cs="Calibri"/>
        </w:rPr>
        <w:t>nalize tržišta završavanja (</w:t>
      </w:r>
      <w:proofErr w:type="spellStart"/>
      <w:r w:rsidRPr="00FD5E15">
        <w:rPr>
          <w:rFonts w:ascii="Calibri" w:hAnsi="Calibri" w:cs="Calibri"/>
        </w:rPr>
        <w:t>terminacije</w:t>
      </w:r>
      <w:proofErr w:type="spellEnd"/>
      <w:r w:rsidRPr="00FD5E15">
        <w:rPr>
          <w:rFonts w:ascii="Calibri" w:hAnsi="Calibri" w:cs="Calibri"/>
        </w:rPr>
        <w:t>) poziva u određenoj javnoj komunikacijskoj mreži koje se pruža na fiksnoj lokaciji</w:t>
      </w:r>
      <w:r>
        <w:rPr>
          <w:rFonts w:ascii="Calibri" w:hAnsi="Calibri" w:cs="Calibri"/>
        </w:rPr>
        <w:t>, u koj</w:t>
      </w:r>
      <w:r w:rsidR="00FD5E15">
        <w:rPr>
          <w:rFonts w:ascii="Calibri" w:hAnsi="Calibri" w:cs="Calibri"/>
        </w:rPr>
        <w:t>oj</w:t>
      </w:r>
      <w:r>
        <w:rPr>
          <w:rFonts w:ascii="Calibri" w:hAnsi="Calibri" w:cs="Calibri"/>
        </w:rPr>
        <w:t xml:space="preserve"> se dodatno</w:t>
      </w:r>
      <w:r w:rsidR="002C3F51" w:rsidRPr="00F91250">
        <w:rPr>
          <w:rFonts w:ascii="Calibri" w:hAnsi="Calibri" w:cs="Calibri"/>
        </w:rPr>
        <w:t xml:space="preserve"> određuju</w:t>
      </w:r>
      <w:r w:rsidR="002C3F51">
        <w:rPr>
          <w:rFonts w:ascii="Calibri" w:hAnsi="Calibri" w:cs="Calibri"/>
        </w:rPr>
        <w:t xml:space="preserve"> </w:t>
      </w:r>
      <w:r w:rsidR="002C3F51" w:rsidRPr="00F91250">
        <w:rPr>
          <w:rFonts w:ascii="Calibri" w:hAnsi="Calibri" w:cs="Calibri"/>
        </w:rPr>
        <w:t>sljedeća tr</w:t>
      </w:r>
      <w:r w:rsidR="00262BB3">
        <w:rPr>
          <w:rFonts w:ascii="Calibri" w:hAnsi="Calibri" w:cs="Calibri"/>
        </w:rPr>
        <w:t xml:space="preserve">govačka društva </w:t>
      </w:r>
      <w:proofErr w:type="spellStart"/>
      <w:r w:rsidR="00262BB3">
        <w:rPr>
          <w:rFonts w:ascii="Calibri" w:hAnsi="Calibri" w:cs="Calibri"/>
        </w:rPr>
        <w:t>Akton</w:t>
      </w:r>
      <w:proofErr w:type="spellEnd"/>
      <w:r w:rsidR="00262BB3">
        <w:rPr>
          <w:rFonts w:ascii="Calibri" w:hAnsi="Calibri" w:cs="Calibri"/>
        </w:rPr>
        <w:t xml:space="preserve"> d.o.o. i </w:t>
      </w:r>
      <w:proofErr w:type="spellStart"/>
      <w:r w:rsidR="002C3F51" w:rsidRPr="00F91250">
        <w:rPr>
          <w:rFonts w:ascii="Calibri" w:hAnsi="Calibri" w:cs="Calibri"/>
        </w:rPr>
        <w:t>Vocalis</w:t>
      </w:r>
      <w:proofErr w:type="spellEnd"/>
      <w:r w:rsidR="002C3F51" w:rsidRPr="00F91250">
        <w:rPr>
          <w:rFonts w:ascii="Calibri" w:hAnsi="Calibri" w:cs="Calibri"/>
        </w:rPr>
        <w:t xml:space="preserve"> d.o.o.</w:t>
      </w:r>
      <w:r w:rsidR="00FD5E15">
        <w:rPr>
          <w:rFonts w:ascii="Calibri" w:hAnsi="Calibri" w:cs="Calibri"/>
        </w:rPr>
        <w:t xml:space="preserve"> </w:t>
      </w:r>
      <w:r w:rsidR="00FD5E15" w:rsidRPr="00FD5E15">
        <w:rPr>
          <w:rFonts w:ascii="Calibri" w:hAnsi="Calibri" w:cs="Calibri"/>
        </w:rPr>
        <w:t>operatorima sa značajnom tržišnom snagom na</w:t>
      </w:r>
      <w:r w:rsidR="00FD5E15">
        <w:rPr>
          <w:rFonts w:ascii="Calibri" w:hAnsi="Calibri" w:cs="Calibri"/>
        </w:rPr>
        <w:t xml:space="preserve"> mjerodavnom</w:t>
      </w:r>
      <w:r w:rsidR="00FD5E15" w:rsidRPr="00FD5E15">
        <w:rPr>
          <w:rFonts w:ascii="Calibri" w:hAnsi="Calibri" w:cs="Calibri"/>
        </w:rPr>
        <w:t xml:space="preserve"> tržištu </w:t>
      </w:r>
      <w:r w:rsidR="002C3F51" w:rsidRPr="00F91250">
        <w:rPr>
          <w:rFonts w:ascii="Calibri" w:hAnsi="Calibri" w:cs="Calibri"/>
        </w:rPr>
        <w:t>te im se propisuju regulatorne obveze</w:t>
      </w:r>
      <w:r w:rsidR="002C3F51" w:rsidRPr="00F91250">
        <w:t xml:space="preserve"> </w:t>
      </w:r>
      <w:r w:rsidR="002C3F51" w:rsidRPr="00F91250">
        <w:rPr>
          <w:rFonts w:ascii="Calibri" w:hAnsi="Calibri" w:cs="Calibri"/>
        </w:rPr>
        <w:t>pristupa i kor</w:t>
      </w:r>
      <w:r w:rsidR="00262BB3">
        <w:rPr>
          <w:rFonts w:ascii="Calibri" w:hAnsi="Calibri" w:cs="Calibri"/>
        </w:rPr>
        <w:t>ištenja posebnih dijelova mreže, obveza nediskriminacije</w:t>
      </w:r>
      <w:r w:rsidR="002C3F51" w:rsidRPr="00F91250">
        <w:rPr>
          <w:rFonts w:ascii="Calibri" w:hAnsi="Calibri" w:cs="Calibri"/>
        </w:rPr>
        <w:t>, obveza transparentnosti uz obvezu objave minimaln</w:t>
      </w:r>
      <w:r w:rsidR="00262BB3">
        <w:rPr>
          <w:rFonts w:ascii="Calibri" w:hAnsi="Calibri" w:cs="Calibri"/>
        </w:rPr>
        <w:t>e ponude uvjeta međupovezivanja</w:t>
      </w:r>
      <w:r w:rsidR="002C3F51" w:rsidRPr="00F91250">
        <w:rPr>
          <w:rFonts w:ascii="Calibri" w:hAnsi="Calibri" w:cs="Calibri"/>
        </w:rPr>
        <w:t xml:space="preserve"> te obveza nadzora cijena</w:t>
      </w:r>
      <w:r w:rsidR="00FD5E15">
        <w:rPr>
          <w:rFonts w:ascii="Calibri" w:hAnsi="Calibri" w:cs="Calibri"/>
        </w:rPr>
        <w:t>.</w:t>
      </w:r>
    </w:p>
    <w:p w:rsidR="002C3F51" w:rsidRPr="0005566C" w:rsidRDefault="002C3F51" w:rsidP="002C3F51">
      <w:pPr>
        <w:jc w:val="both"/>
        <w:rPr>
          <w:rFonts w:ascii="Calibri" w:eastAsia="Times New Roman" w:hAnsi="Calibri" w:cs="Calibri"/>
        </w:rPr>
      </w:pPr>
    </w:p>
    <w:p w:rsidR="00F31507" w:rsidRDefault="002C3F51" w:rsidP="002C3F51">
      <w:pPr>
        <w:jc w:val="both"/>
      </w:pPr>
      <w:r>
        <w:rPr>
          <w:rFonts w:ascii="Calibri" w:eastAsia="Times New Roman" w:hAnsi="Calibri" w:cs="Calibri"/>
        </w:rPr>
        <w:t>U</w:t>
      </w:r>
      <w:r w:rsidRPr="00B97D01">
        <w:t xml:space="preserve"> </w:t>
      </w:r>
      <w:r>
        <w:t>rujnu</w:t>
      </w:r>
      <w:r w:rsidRPr="00B97D01">
        <w:t xml:space="preserve"> 201</w:t>
      </w:r>
      <w:r>
        <w:t>6</w:t>
      </w:r>
      <w:r w:rsidRPr="00B97D01">
        <w:t>. HAKOM</w:t>
      </w:r>
      <w:r>
        <w:t xml:space="preserve"> je</w:t>
      </w:r>
      <w:r w:rsidRPr="00B97D01">
        <w:t xml:space="preserve"> donio </w:t>
      </w:r>
      <w:hyperlink r:id="rId21" w:history="1">
        <w:r w:rsidRPr="00F65739">
          <w:rPr>
            <w:rStyle w:val="Hyperlink"/>
          </w:rPr>
          <w:t>odluku</w:t>
        </w:r>
      </w:hyperlink>
      <w:r w:rsidRPr="00F65739">
        <w:rPr>
          <w:vertAlign w:val="superscript"/>
        </w:rPr>
        <w:footnoteReference w:id="11"/>
      </w:r>
      <w:r>
        <w:t xml:space="preserve"> </w:t>
      </w:r>
      <w:r w:rsidRPr="00B97D01">
        <w:t xml:space="preserve">kojom su propisane nove cijene veleprodajnog završavanja </w:t>
      </w:r>
      <w:r>
        <w:t>poziva</w:t>
      </w:r>
      <w:r w:rsidRPr="00B97D01">
        <w:t xml:space="preserve"> u javnoj komunikacijskoj mreži HT-a</w:t>
      </w:r>
      <w:r>
        <w:t xml:space="preserve"> i ostalih operatora koji su proglašeni operatorima sa značajnom tržišnom snagom na mjerodavnom tržištu</w:t>
      </w:r>
      <w:r w:rsidRPr="00B97D01">
        <w:t xml:space="preserve">, a koje su izračunate </w:t>
      </w:r>
      <w:r w:rsidRPr="00F6713A">
        <w:t xml:space="preserve">na temelju </w:t>
      </w:r>
      <w:proofErr w:type="spellStart"/>
      <w:r w:rsidRPr="00F6713A">
        <w:rPr>
          <w:i/>
        </w:rPr>
        <w:t>bottom</w:t>
      </w:r>
      <w:proofErr w:type="spellEnd"/>
      <w:r w:rsidRPr="00F6713A">
        <w:rPr>
          <w:i/>
        </w:rPr>
        <w:t>-</w:t>
      </w:r>
      <w:proofErr w:type="spellStart"/>
      <w:r w:rsidRPr="00F6713A">
        <w:rPr>
          <w:i/>
        </w:rPr>
        <w:t>up</w:t>
      </w:r>
      <w:proofErr w:type="spellEnd"/>
      <w:r w:rsidRPr="00F6713A">
        <w:t xml:space="preserve"> troškovnog modela uz primjenu </w:t>
      </w:r>
      <w:r w:rsidRPr="00F6713A">
        <w:rPr>
          <w:i/>
        </w:rPr>
        <w:t>pure</w:t>
      </w:r>
      <w:r w:rsidRPr="00F6713A">
        <w:t xml:space="preserve"> LRIC pristupa</w:t>
      </w:r>
      <w:r w:rsidRPr="00DF4934">
        <w:t xml:space="preserve"> u iznosu od 0,88 lipa/minuta u vrijeme jakog prometa i 0,44 lipa/minuta u vrijeme slabog prometa.</w:t>
      </w:r>
      <w:r w:rsidRPr="00B97D01">
        <w:t xml:space="preserve"> </w:t>
      </w:r>
      <w:r>
        <w:t xml:space="preserve">HAKOM je istom odlukom propisao da će se navedene cijene završavanja poziva početi primjenjivati od 1. srpnja 2017. </w:t>
      </w:r>
    </w:p>
    <w:p w:rsidR="00F31507" w:rsidRDefault="00F31507" w:rsidP="002C3F51">
      <w:pPr>
        <w:jc w:val="both"/>
      </w:pPr>
    </w:p>
    <w:p w:rsidR="00173A7B" w:rsidRDefault="002C3F51" w:rsidP="002C3F51">
      <w:pPr>
        <w:jc w:val="both"/>
      </w:pPr>
      <w:r>
        <w:t>U svibnju 2015</w:t>
      </w:r>
      <w:r w:rsidR="00F31507">
        <w:t>.,</w:t>
      </w:r>
      <w:r>
        <w:t xml:space="preserve"> HAKOM je donio </w:t>
      </w:r>
      <w:hyperlink r:id="rId22" w:history="1">
        <w:r w:rsidRPr="001371D0">
          <w:rPr>
            <w:rStyle w:val="Hyperlink"/>
          </w:rPr>
          <w:t>odluku</w:t>
        </w:r>
      </w:hyperlink>
      <w:r>
        <w:rPr>
          <w:rStyle w:val="FootnoteReference"/>
        </w:rPr>
        <w:footnoteReference w:id="12"/>
      </w:r>
      <w:r>
        <w:t xml:space="preserve"> i </w:t>
      </w:r>
      <w:hyperlink r:id="rId23" w:history="1">
        <w:r w:rsidRPr="00DB4EB9">
          <w:rPr>
            <w:rStyle w:val="Hyperlink"/>
          </w:rPr>
          <w:t>Dokument o uvjetima IP međupovezivanja</w:t>
        </w:r>
      </w:hyperlink>
      <w:r>
        <w:t xml:space="preserve"> kojim su detaljnije propisani uvjeti IP međupovezivanja između nepokretnih mreža. Navedena odluka i Dokument o uvjetima IP međupovezivanja su ažurirani novom </w:t>
      </w:r>
      <w:hyperlink r:id="rId24" w:history="1">
        <w:r w:rsidRPr="001371D0">
          <w:rPr>
            <w:rStyle w:val="Hyperlink"/>
          </w:rPr>
          <w:t>odlukom</w:t>
        </w:r>
      </w:hyperlink>
      <w:r>
        <w:rPr>
          <w:rStyle w:val="FootnoteReference"/>
        </w:rPr>
        <w:footnoteReference w:id="13"/>
      </w:r>
      <w:r>
        <w:t xml:space="preserve">  i </w:t>
      </w:r>
      <w:hyperlink r:id="rId25" w:history="1">
        <w:r w:rsidRPr="009769F9">
          <w:rPr>
            <w:rStyle w:val="Hyperlink"/>
          </w:rPr>
          <w:t>Dokumentom o uvjetima IP međupovezivanja</w:t>
        </w:r>
      </w:hyperlink>
      <w:r>
        <w:t xml:space="preserve"> iz veljače 2017. na način da odražavaju trenutačnu situaciju na tržištu IP međupovezi</w:t>
      </w:r>
      <w:r w:rsidR="00173A7B">
        <w:t xml:space="preserve">vanja između nepokretnih mreža te </w:t>
      </w:r>
      <w:hyperlink r:id="rId26" w:history="1">
        <w:r w:rsidR="00173A7B" w:rsidRPr="00173A7B">
          <w:rPr>
            <w:rStyle w:val="Hyperlink"/>
          </w:rPr>
          <w:t>odlukom</w:t>
        </w:r>
      </w:hyperlink>
      <w:r w:rsidR="00173A7B">
        <w:rPr>
          <w:rStyle w:val="FootnoteReference"/>
        </w:rPr>
        <w:footnoteReference w:id="14"/>
      </w:r>
      <w:r w:rsidR="00173A7B">
        <w:t xml:space="preserve"> i Dokumentom o uvjetima IP međupovezivanja iz veljače 2018</w:t>
      </w:r>
      <w:r w:rsidR="001A039E">
        <w:t>.</w:t>
      </w:r>
      <w:r w:rsidR="00173A7B">
        <w:t xml:space="preserve">, na način da odražavaju specifičnosti IP međupovezivanja s pokretnim mrežama u Republici Hrvatskoj. </w:t>
      </w:r>
    </w:p>
    <w:p w:rsidR="002C3F51" w:rsidRDefault="002C3F51" w:rsidP="002C3F51">
      <w:pPr>
        <w:jc w:val="both"/>
        <w:rPr>
          <w:rFonts w:ascii="Calibri" w:eastAsia="Times New Roman" w:hAnsi="Calibri" w:cs="Calibri"/>
        </w:rPr>
      </w:pPr>
    </w:p>
    <w:p w:rsidR="0088495D" w:rsidRDefault="0088495D" w:rsidP="002C3F51">
      <w:pPr>
        <w:jc w:val="both"/>
        <w:rPr>
          <w:rFonts w:ascii="Calibri" w:eastAsia="Times New Roman" w:hAnsi="Calibri" w:cs="Calibri"/>
        </w:rPr>
      </w:pPr>
      <w:r w:rsidRPr="0088495D">
        <w:rPr>
          <w:rFonts w:ascii="Calibri" w:eastAsia="Times New Roman" w:hAnsi="Calibri" w:cs="Calibri"/>
        </w:rPr>
        <w:t xml:space="preserve">HAKOM je u studenom 2016. donio </w:t>
      </w:r>
      <w:hyperlink r:id="rId27" w:history="1">
        <w:r w:rsidR="00CD7A79" w:rsidRPr="00320B05">
          <w:rPr>
            <w:rStyle w:val="Hyperlink"/>
            <w:rFonts w:ascii="Calibri" w:eastAsia="Times New Roman" w:hAnsi="Calibri" w:cs="Calibri"/>
          </w:rPr>
          <w:t>r</w:t>
        </w:r>
        <w:r w:rsidRPr="00320B05">
          <w:rPr>
            <w:rStyle w:val="Hyperlink"/>
            <w:rFonts w:ascii="Calibri" w:eastAsia="Times New Roman" w:hAnsi="Calibri" w:cs="Calibri"/>
          </w:rPr>
          <w:t>ješenje</w:t>
        </w:r>
      </w:hyperlink>
      <w:r w:rsidR="00320B05">
        <w:rPr>
          <w:rStyle w:val="FootnoteReference"/>
          <w:rFonts w:ascii="Calibri" w:eastAsia="Times New Roman" w:hAnsi="Calibri" w:cs="Calibri"/>
        </w:rPr>
        <w:footnoteReference w:id="15"/>
      </w:r>
      <w:r w:rsidRPr="0088495D">
        <w:rPr>
          <w:rFonts w:ascii="Calibri" w:eastAsia="Times New Roman" w:hAnsi="Calibri" w:cs="Calibri"/>
        </w:rPr>
        <w:t xml:space="preserve"> kojim se djelomično usv</w:t>
      </w:r>
      <w:r w:rsidR="00CA2AFD">
        <w:rPr>
          <w:rFonts w:ascii="Calibri" w:eastAsia="Times New Roman" w:hAnsi="Calibri" w:cs="Calibri"/>
        </w:rPr>
        <w:t xml:space="preserve">ojio </w:t>
      </w:r>
      <w:r w:rsidRPr="0088495D">
        <w:rPr>
          <w:rFonts w:ascii="Calibri" w:eastAsia="Times New Roman" w:hAnsi="Calibri" w:cs="Calibri"/>
        </w:rPr>
        <w:t>zahtjev H1 i nal</w:t>
      </w:r>
      <w:r w:rsidR="00CA2AFD">
        <w:rPr>
          <w:rFonts w:ascii="Calibri" w:eastAsia="Times New Roman" w:hAnsi="Calibri" w:cs="Calibri"/>
        </w:rPr>
        <w:t>ožilo</w:t>
      </w:r>
      <w:r w:rsidRPr="0088495D">
        <w:rPr>
          <w:rFonts w:ascii="Calibri" w:eastAsia="Times New Roman" w:hAnsi="Calibri" w:cs="Calibri"/>
        </w:rPr>
        <w:t xml:space="preserve"> se </w:t>
      </w:r>
      <w:proofErr w:type="spellStart"/>
      <w:r w:rsidRPr="0088495D">
        <w:rPr>
          <w:rFonts w:ascii="Calibri" w:eastAsia="Times New Roman" w:hAnsi="Calibri" w:cs="Calibri"/>
        </w:rPr>
        <w:t>Optimi</w:t>
      </w:r>
      <w:proofErr w:type="spellEnd"/>
      <w:r w:rsidRPr="0088495D">
        <w:rPr>
          <w:rFonts w:ascii="Calibri" w:eastAsia="Times New Roman" w:hAnsi="Calibri" w:cs="Calibri"/>
        </w:rPr>
        <w:t xml:space="preserve"> da u roku od 15 dana od zaprimanja odluke izda H1 odobrenje za izdane račune za naknadu za </w:t>
      </w:r>
      <w:proofErr w:type="spellStart"/>
      <w:r w:rsidRPr="0088495D">
        <w:rPr>
          <w:rFonts w:ascii="Calibri" w:eastAsia="Times New Roman" w:hAnsi="Calibri" w:cs="Calibri"/>
        </w:rPr>
        <w:t>interkonekcijski</w:t>
      </w:r>
      <w:proofErr w:type="spellEnd"/>
      <w:r w:rsidRPr="0088495D">
        <w:rPr>
          <w:rFonts w:ascii="Calibri" w:eastAsia="Times New Roman" w:hAnsi="Calibri" w:cs="Calibri"/>
        </w:rPr>
        <w:t xml:space="preserve"> promet za indirektnu međunarodnu </w:t>
      </w:r>
      <w:proofErr w:type="spellStart"/>
      <w:r w:rsidRPr="0088495D">
        <w:rPr>
          <w:rFonts w:ascii="Calibri" w:eastAsia="Times New Roman" w:hAnsi="Calibri" w:cs="Calibri"/>
        </w:rPr>
        <w:t>terminaciju</w:t>
      </w:r>
      <w:proofErr w:type="spellEnd"/>
      <w:r w:rsidRPr="0088495D">
        <w:rPr>
          <w:rFonts w:ascii="Calibri" w:eastAsia="Times New Roman" w:hAnsi="Calibri" w:cs="Calibri"/>
        </w:rPr>
        <w:t xml:space="preserve"> za razdoblje od rujna 2015. do siječnja 2016., na način da od spornog iznosa kao </w:t>
      </w:r>
      <w:r w:rsidR="00320B05">
        <w:rPr>
          <w:rFonts w:ascii="Calibri" w:eastAsia="Times New Roman" w:hAnsi="Calibri" w:cs="Calibri"/>
        </w:rPr>
        <w:t>promet izvan</w:t>
      </w:r>
      <w:r w:rsidRPr="0088495D">
        <w:rPr>
          <w:rFonts w:ascii="Calibri" w:eastAsia="Times New Roman" w:hAnsi="Calibri" w:cs="Calibri"/>
        </w:rPr>
        <w:t xml:space="preserve"> EU/EEA obračuna samo one stavke u kojima su povratnim pozivom dobiveni signalizacijski odgovori </w:t>
      </w:r>
      <w:r w:rsidRPr="00CA2AFD">
        <w:rPr>
          <w:rFonts w:ascii="Calibri" w:eastAsia="Times New Roman" w:hAnsi="Calibri" w:cs="Calibri"/>
          <w:i/>
        </w:rPr>
        <w:t xml:space="preserve">Invalid </w:t>
      </w:r>
      <w:proofErr w:type="spellStart"/>
      <w:r w:rsidRPr="00CA2AFD">
        <w:rPr>
          <w:rFonts w:ascii="Calibri" w:eastAsia="Times New Roman" w:hAnsi="Calibri" w:cs="Calibri"/>
          <w:i/>
        </w:rPr>
        <w:t>number</w:t>
      </w:r>
      <w:proofErr w:type="spellEnd"/>
      <w:r w:rsidRPr="00CA2AFD">
        <w:rPr>
          <w:rFonts w:ascii="Calibri" w:eastAsia="Times New Roman" w:hAnsi="Calibri" w:cs="Calibri"/>
          <w:i/>
        </w:rPr>
        <w:t xml:space="preserve"> format</w:t>
      </w:r>
      <w:r w:rsidRPr="0088495D">
        <w:rPr>
          <w:rFonts w:ascii="Calibri" w:eastAsia="Times New Roman" w:hAnsi="Calibri" w:cs="Calibri"/>
        </w:rPr>
        <w:t xml:space="preserve"> i </w:t>
      </w:r>
      <w:proofErr w:type="spellStart"/>
      <w:r w:rsidRPr="00CA2AFD">
        <w:rPr>
          <w:rFonts w:ascii="Calibri" w:eastAsia="Times New Roman" w:hAnsi="Calibri" w:cs="Calibri"/>
          <w:i/>
        </w:rPr>
        <w:t>Unallocated</w:t>
      </w:r>
      <w:proofErr w:type="spellEnd"/>
      <w:r w:rsidRPr="00CA2AFD">
        <w:rPr>
          <w:rFonts w:ascii="Calibri" w:eastAsia="Times New Roman" w:hAnsi="Calibri" w:cs="Calibri"/>
          <w:i/>
        </w:rPr>
        <w:t xml:space="preserve"> (</w:t>
      </w:r>
      <w:proofErr w:type="spellStart"/>
      <w:r w:rsidRPr="00CA2AFD">
        <w:rPr>
          <w:rFonts w:ascii="Calibri" w:eastAsia="Times New Roman" w:hAnsi="Calibri" w:cs="Calibri"/>
          <w:i/>
        </w:rPr>
        <w:t>unassigned</w:t>
      </w:r>
      <w:proofErr w:type="spellEnd"/>
      <w:r w:rsidRPr="00CA2AFD">
        <w:rPr>
          <w:rFonts w:ascii="Calibri" w:eastAsia="Times New Roman" w:hAnsi="Calibri" w:cs="Calibri"/>
          <w:i/>
        </w:rPr>
        <w:t xml:space="preserve">) </w:t>
      </w:r>
      <w:proofErr w:type="spellStart"/>
      <w:r w:rsidRPr="00CA2AFD">
        <w:rPr>
          <w:rFonts w:ascii="Calibri" w:eastAsia="Times New Roman" w:hAnsi="Calibri" w:cs="Calibri"/>
          <w:i/>
        </w:rPr>
        <w:t>numbe</w:t>
      </w:r>
      <w:r w:rsidRPr="0088495D">
        <w:rPr>
          <w:rFonts w:ascii="Calibri" w:eastAsia="Times New Roman" w:hAnsi="Calibri" w:cs="Calibri"/>
        </w:rPr>
        <w:t>r</w:t>
      </w:r>
      <w:proofErr w:type="spellEnd"/>
      <w:r w:rsidRPr="0088495D">
        <w:rPr>
          <w:rFonts w:ascii="Calibri" w:eastAsia="Times New Roman" w:hAnsi="Calibri" w:cs="Calibri"/>
        </w:rPr>
        <w:t xml:space="preserve">, pozive započete iz mreže operatora </w:t>
      </w:r>
      <w:proofErr w:type="spellStart"/>
      <w:r w:rsidRPr="0088495D">
        <w:rPr>
          <w:rFonts w:ascii="Calibri" w:eastAsia="Times New Roman" w:hAnsi="Calibri" w:cs="Calibri"/>
        </w:rPr>
        <w:t>Fenice</w:t>
      </w:r>
      <w:proofErr w:type="spellEnd"/>
      <w:r w:rsidRPr="0088495D">
        <w:rPr>
          <w:rFonts w:ascii="Calibri" w:eastAsia="Times New Roman" w:hAnsi="Calibri" w:cs="Calibri"/>
        </w:rPr>
        <w:t xml:space="preserve"> Telekom i pozive započete iz </w:t>
      </w:r>
      <w:r w:rsidR="00CA2AFD">
        <w:rPr>
          <w:rFonts w:ascii="Calibri" w:eastAsia="Times New Roman" w:hAnsi="Calibri" w:cs="Calibri"/>
        </w:rPr>
        <w:t xml:space="preserve">određenog </w:t>
      </w:r>
      <w:r w:rsidRPr="0088495D">
        <w:rPr>
          <w:rFonts w:ascii="Calibri" w:eastAsia="Times New Roman" w:hAnsi="Calibri" w:cs="Calibri"/>
        </w:rPr>
        <w:t xml:space="preserve">numeracijskog raspona belgijskog operatora </w:t>
      </w:r>
      <w:proofErr w:type="spellStart"/>
      <w:r w:rsidRPr="0088495D">
        <w:rPr>
          <w:rFonts w:ascii="Calibri" w:eastAsia="Times New Roman" w:hAnsi="Calibri" w:cs="Calibri"/>
        </w:rPr>
        <w:t>Proximus</w:t>
      </w:r>
      <w:proofErr w:type="spellEnd"/>
      <w:r w:rsidR="00CA2AFD">
        <w:rPr>
          <w:rFonts w:ascii="Calibri" w:eastAsia="Times New Roman" w:hAnsi="Calibri" w:cs="Calibri"/>
        </w:rPr>
        <w:t xml:space="preserve">. </w:t>
      </w:r>
      <w:r w:rsidRPr="0088495D">
        <w:rPr>
          <w:rFonts w:ascii="Calibri" w:eastAsia="Times New Roman" w:hAnsi="Calibri" w:cs="Calibri"/>
        </w:rPr>
        <w:t xml:space="preserve">Naime, H1 je u ožujku 2016. pokrenuo </w:t>
      </w:r>
      <w:r w:rsidR="00CA2AFD">
        <w:rPr>
          <w:rFonts w:ascii="Calibri" w:eastAsia="Times New Roman" w:hAnsi="Calibri" w:cs="Calibri"/>
        </w:rPr>
        <w:t xml:space="preserve">navedeni </w:t>
      </w:r>
      <w:r w:rsidRPr="0088495D">
        <w:rPr>
          <w:rFonts w:ascii="Calibri" w:eastAsia="Times New Roman" w:hAnsi="Calibri" w:cs="Calibri"/>
        </w:rPr>
        <w:t xml:space="preserve">spor </w:t>
      </w:r>
      <w:r w:rsidR="00CA2AFD">
        <w:rPr>
          <w:rFonts w:ascii="Calibri" w:eastAsia="Times New Roman" w:hAnsi="Calibri" w:cs="Calibri"/>
        </w:rPr>
        <w:t>te je k</w:t>
      </w:r>
      <w:r w:rsidRPr="0088495D">
        <w:rPr>
          <w:rFonts w:ascii="Calibri" w:eastAsia="Times New Roman" w:hAnsi="Calibri" w:cs="Calibri"/>
        </w:rPr>
        <w:t xml:space="preserve">ao razlog osporavanja navedenih potraživanja </w:t>
      </w:r>
      <w:r w:rsidR="00CA2AFD">
        <w:rPr>
          <w:rFonts w:ascii="Calibri" w:eastAsia="Times New Roman" w:hAnsi="Calibri" w:cs="Calibri"/>
        </w:rPr>
        <w:t>naveo</w:t>
      </w:r>
      <w:r w:rsidRPr="0088495D">
        <w:rPr>
          <w:rFonts w:ascii="Calibri" w:eastAsia="Times New Roman" w:hAnsi="Calibri" w:cs="Calibri"/>
        </w:rPr>
        <w:t xml:space="preserve"> postupanje po kojem </w:t>
      </w:r>
      <w:proofErr w:type="spellStart"/>
      <w:r w:rsidRPr="0088495D">
        <w:rPr>
          <w:rFonts w:ascii="Calibri" w:eastAsia="Times New Roman" w:hAnsi="Calibri" w:cs="Calibri"/>
        </w:rPr>
        <w:t>O</w:t>
      </w:r>
      <w:r w:rsidR="00CA2AFD">
        <w:rPr>
          <w:rFonts w:ascii="Calibri" w:eastAsia="Times New Roman" w:hAnsi="Calibri" w:cs="Calibri"/>
        </w:rPr>
        <w:t>ptima</w:t>
      </w:r>
      <w:proofErr w:type="spellEnd"/>
      <w:r w:rsidRPr="0088495D">
        <w:rPr>
          <w:rFonts w:ascii="Calibri" w:eastAsia="Times New Roman" w:hAnsi="Calibri" w:cs="Calibri"/>
        </w:rPr>
        <w:t xml:space="preserve"> prilikom naplate završavanja glasovnih poziva u</w:t>
      </w:r>
      <w:r w:rsidR="00CA2AFD">
        <w:rPr>
          <w:rFonts w:ascii="Calibri" w:eastAsia="Times New Roman" w:hAnsi="Calibri" w:cs="Calibri"/>
        </w:rPr>
        <w:t xml:space="preserve"> svoju</w:t>
      </w:r>
      <w:r w:rsidRPr="0088495D">
        <w:rPr>
          <w:rFonts w:ascii="Calibri" w:eastAsia="Times New Roman" w:hAnsi="Calibri" w:cs="Calibri"/>
        </w:rPr>
        <w:t xml:space="preserve"> mrežu dodatno obračunava pojedini EU/EEA promet kao</w:t>
      </w:r>
      <w:r w:rsidR="00B02775">
        <w:rPr>
          <w:rFonts w:ascii="Calibri" w:eastAsia="Times New Roman" w:hAnsi="Calibri" w:cs="Calibri"/>
        </w:rPr>
        <w:t xml:space="preserve"> promet</w:t>
      </w:r>
      <w:r w:rsidR="00320B05">
        <w:rPr>
          <w:rFonts w:ascii="Calibri" w:eastAsia="Times New Roman" w:hAnsi="Calibri" w:cs="Calibri"/>
        </w:rPr>
        <w:t xml:space="preserve"> izvan</w:t>
      </w:r>
      <w:r w:rsidRPr="0088495D">
        <w:rPr>
          <w:rFonts w:ascii="Calibri" w:eastAsia="Times New Roman" w:hAnsi="Calibri" w:cs="Calibri"/>
        </w:rPr>
        <w:t xml:space="preserve"> EU/EEA, bez dostave jasnih specifikacija takvog obračuna. HAKOM smatra da sustav povratnog poziva koji je radila </w:t>
      </w:r>
      <w:proofErr w:type="spellStart"/>
      <w:r w:rsidRPr="0088495D">
        <w:rPr>
          <w:rFonts w:ascii="Calibri" w:eastAsia="Times New Roman" w:hAnsi="Calibri" w:cs="Calibri"/>
        </w:rPr>
        <w:t>O</w:t>
      </w:r>
      <w:r w:rsidR="00CA2AFD">
        <w:rPr>
          <w:rFonts w:ascii="Calibri" w:eastAsia="Times New Roman" w:hAnsi="Calibri" w:cs="Calibri"/>
        </w:rPr>
        <w:t>ptima</w:t>
      </w:r>
      <w:proofErr w:type="spellEnd"/>
      <w:r w:rsidRPr="0088495D">
        <w:rPr>
          <w:rFonts w:ascii="Calibri" w:eastAsia="Times New Roman" w:hAnsi="Calibri" w:cs="Calibri"/>
        </w:rPr>
        <w:t xml:space="preserve"> može biti odgovarajući mehanizam za dodatnu provjeru rezultata sustava raspoznavanja A broj</w:t>
      </w:r>
      <w:r w:rsidR="00CA2AFD">
        <w:rPr>
          <w:rFonts w:ascii="Calibri" w:eastAsia="Times New Roman" w:hAnsi="Calibri" w:cs="Calibri"/>
        </w:rPr>
        <w:t>a</w:t>
      </w:r>
      <w:r w:rsidRPr="0088495D">
        <w:rPr>
          <w:rFonts w:ascii="Calibri" w:eastAsia="Times New Roman" w:hAnsi="Calibri" w:cs="Calibri"/>
        </w:rPr>
        <w:t xml:space="preserve">. Međutim, nesporno je da su povratnim pozivima zaprimljeni dopušteni signalizacijski odgovori koji ne dokazuju da je </w:t>
      </w:r>
      <w:r w:rsidRPr="0088495D">
        <w:rPr>
          <w:rFonts w:ascii="Calibri" w:eastAsia="Times New Roman" w:hAnsi="Calibri" w:cs="Calibri"/>
        </w:rPr>
        <w:lastRenderedPageBreak/>
        <w:t xml:space="preserve">nužno riječ o broju koji je </w:t>
      </w:r>
      <w:r w:rsidR="00CA2AFD" w:rsidRPr="0088495D">
        <w:rPr>
          <w:rFonts w:ascii="Calibri" w:eastAsia="Times New Roman" w:hAnsi="Calibri" w:cs="Calibri"/>
        </w:rPr>
        <w:t>neispravan</w:t>
      </w:r>
      <w:r w:rsidRPr="0088495D">
        <w:rPr>
          <w:rFonts w:ascii="Calibri" w:eastAsia="Times New Roman" w:hAnsi="Calibri" w:cs="Calibri"/>
        </w:rPr>
        <w:t xml:space="preserve"> odnosno broju koji ne dolazi s EU/EEA destinacije. HAKOM je usvojio one navode </w:t>
      </w:r>
      <w:proofErr w:type="spellStart"/>
      <w:r w:rsidR="00CA2AFD">
        <w:rPr>
          <w:rFonts w:ascii="Calibri" w:eastAsia="Times New Roman" w:hAnsi="Calibri" w:cs="Calibri"/>
        </w:rPr>
        <w:t>Optime</w:t>
      </w:r>
      <w:proofErr w:type="spellEnd"/>
      <w:r w:rsidRPr="0088495D">
        <w:rPr>
          <w:rFonts w:ascii="Calibri" w:eastAsia="Times New Roman" w:hAnsi="Calibri" w:cs="Calibri"/>
        </w:rPr>
        <w:t xml:space="preserve"> da je riječ o </w:t>
      </w:r>
      <w:r w:rsidR="00320B05">
        <w:rPr>
          <w:rFonts w:ascii="Calibri" w:eastAsia="Times New Roman" w:hAnsi="Calibri" w:cs="Calibri"/>
        </w:rPr>
        <w:t>izvan</w:t>
      </w:r>
      <w:r w:rsidR="00B02775">
        <w:rPr>
          <w:rFonts w:ascii="Calibri" w:eastAsia="Times New Roman" w:hAnsi="Calibri" w:cs="Calibri"/>
        </w:rPr>
        <w:t xml:space="preserve"> </w:t>
      </w:r>
      <w:r w:rsidRPr="0088495D">
        <w:rPr>
          <w:rFonts w:ascii="Calibri" w:eastAsia="Times New Roman" w:hAnsi="Calibri" w:cs="Calibri"/>
        </w:rPr>
        <w:t xml:space="preserve">EU/EEA brojevima u slučaju onih poziva za koje je zaprimljen signalizacijski odgovor </w:t>
      </w:r>
      <w:r w:rsidRPr="00CA2AFD">
        <w:rPr>
          <w:rFonts w:ascii="Calibri" w:eastAsia="Times New Roman" w:hAnsi="Calibri" w:cs="Calibri"/>
          <w:i/>
        </w:rPr>
        <w:t xml:space="preserve">Invalid </w:t>
      </w:r>
      <w:proofErr w:type="spellStart"/>
      <w:r w:rsidRPr="00CA2AFD">
        <w:rPr>
          <w:rFonts w:ascii="Calibri" w:eastAsia="Times New Roman" w:hAnsi="Calibri" w:cs="Calibri"/>
          <w:i/>
        </w:rPr>
        <w:t>number</w:t>
      </w:r>
      <w:proofErr w:type="spellEnd"/>
      <w:r w:rsidRPr="00CA2AFD">
        <w:rPr>
          <w:rFonts w:ascii="Calibri" w:eastAsia="Times New Roman" w:hAnsi="Calibri" w:cs="Calibri"/>
          <w:i/>
        </w:rPr>
        <w:t xml:space="preserve"> format</w:t>
      </w:r>
      <w:r w:rsidRPr="0088495D">
        <w:rPr>
          <w:rFonts w:ascii="Calibri" w:eastAsia="Times New Roman" w:hAnsi="Calibri" w:cs="Calibri"/>
        </w:rPr>
        <w:t xml:space="preserve"> i </w:t>
      </w:r>
      <w:proofErr w:type="spellStart"/>
      <w:r w:rsidRPr="00CA2AFD">
        <w:rPr>
          <w:rFonts w:ascii="Calibri" w:eastAsia="Times New Roman" w:hAnsi="Calibri" w:cs="Calibri"/>
          <w:i/>
        </w:rPr>
        <w:t>Unallocated</w:t>
      </w:r>
      <w:proofErr w:type="spellEnd"/>
      <w:r w:rsidRPr="00CA2AFD">
        <w:rPr>
          <w:rFonts w:ascii="Calibri" w:eastAsia="Times New Roman" w:hAnsi="Calibri" w:cs="Calibri"/>
          <w:i/>
        </w:rPr>
        <w:t xml:space="preserve"> (</w:t>
      </w:r>
      <w:proofErr w:type="spellStart"/>
      <w:r w:rsidRPr="00CA2AFD">
        <w:rPr>
          <w:rFonts w:ascii="Calibri" w:eastAsia="Times New Roman" w:hAnsi="Calibri" w:cs="Calibri"/>
          <w:i/>
        </w:rPr>
        <w:t>unassigned</w:t>
      </w:r>
      <w:proofErr w:type="spellEnd"/>
      <w:r w:rsidRPr="00CA2AFD">
        <w:rPr>
          <w:rFonts w:ascii="Calibri" w:eastAsia="Times New Roman" w:hAnsi="Calibri" w:cs="Calibri"/>
          <w:i/>
        </w:rPr>
        <w:t xml:space="preserve">) </w:t>
      </w:r>
      <w:proofErr w:type="spellStart"/>
      <w:r w:rsidRPr="00CA2AFD">
        <w:rPr>
          <w:rFonts w:ascii="Calibri" w:eastAsia="Times New Roman" w:hAnsi="Calibri" w:cs="Calibri"/>
          <w:i/>
        </w:rPr>
        <w:t>number</w:t>
      </w:r>
      <w:proofErr w:type="spellEnd"/>
      <w:r w:rsidRPr="0088495D">
        <w:rPr>
          <w:rFonts w:ascii="Calibri" w:eastAsia="Times New Roman" w:hAnsi="Calibri" w:cs="Calibri"/>
        </w:rPr>
        <w:t xml:space="preserve"> te je odlučio kako je gore navedeno.</w:t>
      </w:r>
      <w:r>
        <w:rPr>
          <w:rFonts w:ascii="Calibri" w:eastAsia="Times New Roman" w:hAnsi="Calibri" w:cs="Calibri"/>
        </w:rPr>
        <w:t xml:space="preserve"> </w:t>
      </w:r>
    </w:p>
    <w:p w:rsidR="0088495D" w:rsidRDefault="0088495D" w:rsidP="002C3F51">
      <w:pPr>
        <w:jc w:val="both"/>
        <w:rPr>
          <w:rFonts w:ascii="Calibri" w:eastAsia="Times New Roman" w:hAnsi="Calibri" w:cs="Calibri"/>
        </w:rPr>
      </w:pPr>
    </w:p>
    <w:p w:rsidR="0088495D" w:rsidRDefault="0088495D" w:rsidP="002C3F51">
      <w:pPr>
        <w:jc w:val="both"/>
        <w:rPr>
          <w:rFonts w:ascii="Calibri" w:eastAsia="Times New Roman" w:hAnsi="Calibri" w:cs="Calibri"/>
        </w:rPr>
      </w:pPr>
      <w:r>
        <w:rPr>
          <w:rFonts w:ascii="Calibri" w:eastAsia="Times New Roman" w:hAnsi="Calibri" w:cs="Calibri"/>
        </w:rPr>
        <w:t xml:space="preserve">Nadalje, </w:t>
      </w:r>
      <w:r w:rsidRPr="0088495D">
        <w:rPr>
          <w:rFonts w:ascii="Calibri" w:eastAsia="Times New Roman" w:hAnsi="Calibri" w:cs="Calibri"/>
        </w:rPr>
        <w:t xml:space="preserve">HAKOM je u svibnju 2018. donio </w:t>
      </w:r>
      <w:hyperlink r:id="rId28" w:history="1">
        <w:r w:rsidR="00320B05" w:rsidRPr="00320B05">
          <w:rPr>
            <w:rStyle w:val="Hyperlink"/>
            <w:rFonts w:ascii="Calibri" w:eastAsia="Times New Roman" w:hAnsi="Calibri" w:cs="Calibri"/>
          </w:rPr>
          <w:t>r</w:t>
        </w:r>
        <w:r w:rsidRPr="00320B05">
          <w:rPr>
            <w:rStyle w:val="Hyperlink"/>
            <w:rFonts w:ascii="Calibri" w:eastAsia="Times New Roman" w:hAnsi="Calibri" w:cs="Calibri"/>
          </w:rPr>
          <w:t>ješenje</w:t>
        </w:r>
      </w:hyperlink>
      <w:r w:rsidR="00320B05">
        <w:rPr>
          <w:rStyle w:val="FootnoteReference"/>
          <w:rFonts w:ascii="Calibri" w:eastAsia="Times New Roman" w:hAnsi="Calibri" w:cs="Calibri"/>
        </w:rPr>
        <w:footnoteReference w:id="16"/>
      </w:r>
      <w:r w:rsidRPr="0088495D">
        <w:rPr>
          <w:rFonts w:ascii="Calibri" w:eastAsia="Times New Roman" w:hAnsi="Calibri" w:cs="Calibri"/>
        </w:rPr>
        <w:t xml:space="preserve"> kojim se odbija zahtjev trgovačkog društva </w:t>
      </w:r>
      <w:proofErr w:type="spellStart"/>
      <w:r w:rsidRPr="0088495D">
        <w:rPr>
          <w:rFonts w:ascii="Calibri" w:eastAsia="Times New Roman" w:hAnsi="Calibri" w:cs="Calibri"/>
        </w:rPr>
        <w:t>Terrakom</w:t>
      </w:r>
      <w:proofErr w:type="spellEnd"/>
      <w:r w:rsidRPr="0088495D">
        <w:rPr>
          <w:rFonts w:ascii="Calibri" w:eastAsia="Times New Roman" w:hAnsi="Calibri" w:cs="Calibri"/>
        </w:rPr>
        <w:t xml:space="preserve"> d.o.o. protiv trgovačkog društva Tele2 d.o.o. vezano uz obračun </w:t>
      </w:r>
      <w:proofErr w:type="spellStart"/>
      <w:r w:rsidRPr="0088495D">
        <w:rPr>
          <w:rFonts w:ascii="Calibri" w:eastAsia="Times New Roman" w:hAnsi="Calibri" w:cs="Calibri"/>
        </w:rPr>
        <w:t>interkonekcijskog</w:t>
      </w:r>
      <w:proofErr w:type="spellEnd"/>
      <w:r w:rsidRPr="0088495D">
        <w:rPr>
          <w:rFonts w:ascii="Calibri" w:eastAsia="Times New Roman" w:hAnsi="Calibri" w:cs="Calibri"/>
        </w:rPr>
        <w:t xml:space="preserve"> prometa za indirektnu međunarodnu </w:t>
      </w:r>
      <w:proofErr w:type="spellStart"/>
      <w:r w:rsidRPr="0088495D">
        <w:rPr>
          <w:rFonts w:ascii="Calibri" w:eastAsia="Times New Roman" w:hAnsi="Calibri" w:cs="Calibri"/>
        </w:rPr>
        <w:t>terminaciju</w:t>
      </w:r>
      <w:proofErr w:type="spellEnd"/>
      <w:r w:rsidRPr="0088495D">
        <w:rPr>
          <w:rFonts w:ascii="Calibri" w:eastAsia="Times New Roman" w:hAnsi="Calibri" w:cs="Calibri"/>
        </w:rPr>
        <w:t xml:space="preserve"> za razdoblje svibanj 2017. do rujan 2017. kao neosnovan. U navedenom sporu </w:t>
      </w:r>
      <w:proofErr w:type="spellStart"/>
      <w:r w:rsidRPr="0088495D">
        <w:rPr>
          <w:rFonts w:ascii="Calibri" w:eastAsia="Times New Roman" w:hAnsi="Calibri" w:cs="Calibri"/>
        </w:rPr>
        <w:t>Terrakom</w:t>
      </w:r>
      <w:proofErr w:type="spellEnd"/>
      <w:r w:rsidRPr="0088495D">
        <w:rPr>
          <w:rFonts w:ascii="Calibri" w:eastAsia="Times New Roman" w:hAnsi="Calibri" w:cs="Calibri"/>
        </w:rPr>
        <w:t xml:space="preserve"> smatra kako je Tele2 sporni promet pogrešno obračunavao prema cijenama za </w:t>
      </w:r>
      <w:proofErr w:type="spellStart"/>
      <w:r w:rsidRPr="0088495D">
        <w:rPr>
          <w:rFonts w:ascii="Calibri" w:eastAsia="Times New Roman" w:hAnsi="Calibri" w:cs="Calibri"/>
        </w:rPr>
        <w:t>non</w:t>
      </w:r>
      <w:proofErr w:type="spellEnd"/>
      <w:r w:rsidRPr="0088495D">
        <w:rPr>
          <w:rFonts w:ascii="Calibri" w:eastAsia="Times New Roman" w:hAnsi="Calibri" w:cs="Calibri"/>
        </w:rPr>
        <w:t xml:space="preserve">-EU/EEA promet, da je iz CDR zapisa dostavljenih od strane Tele2 i vlastite evidencije poziva razvidno kako je riječ o pozivima s EU brojeva. Analizom svih relevantnih činjenica u predmetnom postupku HAKOM je utvrdio da je zahtjev </w:t>
      </w:r>
      <w:proofErr w:type="spellStart"/>
      <w:r w:rsidRPr="0088495D">
        <w:rPr>
          <w:rFonts w:ascii="Calibri" w:eastAsia="Times New Roman" w:hAnsi="Calibri" w:cs="Calibri"/>
        </w:rPr>
        <w:t>Terrakom</w:t>
      </w:r>
      <w:proofErr w:type="spellEnd"/>
      <w:r w:rsidRPr="0088495D">
        <w:rPr>
          <w:rFonts w:ascii="Calibri" w:eastAsia="Times New Roman" w:hAnsi="Calibri" w:cs="Calibri"/>
        </w:rPr>
        <w:t>-a neosnovan iz niza razlo</w:t>
      </w:r>
      <w:r w:rsidR="00154235">
        <w:rPr>
          <w:rFonts w:ascii="Calibri" w:eastAsia="Times New Roman" w:hAnsi="Calibri" w:cs="Calibri"/>
        </w:rPr>
        <w:t>ga koji su opisani predmetnim r</w:t>
      </w:r>
      <w:r w:rsidRPr="0088495D">
        <w:rPr>
          <w:rFonts w:ascii="Calibri" w:eastAsia="Times New Roman" w:hAnsi="Calibri" w:cs="Calibri"/>
        </w:rPr>
        <w:t xml:space="preserve">ješenjem. Ovdje, ilustracije radi, navodimo samo jedan od tih razloga, a to su dostavljeni rezultati ankete koju je Tele2 proveo nad svojim korisnicima kojima su upućivani pozivi sa spornih A brojeva, iz kojih proizlazi da pojedini pozivi nisu upućivani iz Slovenije, pri čemu su se neki očitovali da je riječ </w:t>
      </w:r>
      <w:r>
        <w:rPr>
          <w:rFonts w:ascii="Calibri" w:eastAsia="Times New Roman" w:hAnsi="Calibri" w:cs="Calibri"/>
        </w:rPr>
        <w:t xml:space="preserve">o pozivima iz </w:t>
      </w:r>
      <w:proofErr w:type="spellStart"/>
      <w:r>
        <w:rPr>
          <w:rFonts w:ascii="Calibri" w:eastAsia="Times New Roman" w:hAnsi="Calibri" w:cs="Calibri"/>
        </w:rPr>
        <w:t>non</w:t>
      </w:r>
      <w:proofErr w:type="spellEnd"/>
      <w:r>
        <w:rPr>
          <w:rFonts w:ascii="Calibri" w:eastAsia="Times New Roman" w:hAnsi="Calibri" w:cs="Calibri"/>
        </w:rPr>
        <w:t>-EU zemalja, ka</w:t>
      </w:r>
      <w:r w:rsidRPr="0088495D">
        <w:rPr>
          <w:rFonts w:ascii="Calibri" w:eastAsia="Times New Roman" w:hAnsi="Calibri" w:cs="Calibri"/>
        </w:rPr>
        <w:t xml:space="preserve">o primjerice država iz Afrike, Srbije, Koreje.   </w:t>
      </w:r>
    </w:p>
    <w:p w:rsidR="00CC1ECC" w:rsidRDefault="00CC1ECC" w:rsidP="002C3F51">
      <w:pPr>
        <w:jc w:val="both"/>
        <w:rPr>
          <w:rFonts w:ascii="Calibri" w:eastAsia="Times New Roman" w:hAnsi="Calibri" w:cs="Calibri"/>
        </w:rPr>
      </w:pPr>
    </w:p>
    <w:p w:rsidR="00CC1ECC" w:rsidRDefault="00CC1ECC" w:rsidP="00ED4D44">
      <w:pPr>
        <w:pStyle w:val="Heading2"/>
      </w:pPr>
      <w:bookmarkStart w:id="39" w:name="_Toc222023899"/>
      <w:bookmarkStart w:id="40" w:name="_Toc236635248"/>
      <w:bookmarkStart w:id="41" w:name="_Toc357581373"/>
      <w:bookmarkStart w:id="42" w:name="_Toc236634790"/>
      <w:bookmarkStart w:id="43" w:name="_Toc357581372"/>
      <w:bookmarkEnd w:id="37"/>
      <w:bookmarkEnd w:id="38"/>
      <w:r>
        <w:tab/>
      </w:r>
      <w:bookmarkStart w:id="44" w:name="_Toc525072989"/>
      <w:bookmarkStart w:id="45" w:name="_Toc525729834"/>
      <w:r>
        <w:t>Kronološki slijed aktivnosti</w:t>
      </w:r>
      <w:bookmarkEnd w:id="44"/>
      <w:bookmarkEnd w:id="45"/>
      <w:r>
        <w:t xml:space="preserve"> </w:t>
      </w:r>
    </w:p>
    <w:p w:rsidR="00E31146" w:rsidRPr="00E31146" w:rsidRDefault="00E31146" w:rsidP="00E31146">
      <w:pPr>
        <w:jc w:val="both"/>
        <w:rPr>
          <w:rFonts w:ascii="Calibri" w:hAnsi="Calibri" w:cs="Calibri"/>
        </w:rPr>
      </w:pPr>
      <w:r w:rsidRPr="00E31146">
        <w:rPr>
          <w:rFonts w:ascii="Calibri" w:hAnsi="Calibri" w:cs="Calibri"/>
        </w:rPr>
        <w:t>Sukladno članku 52. stavku 2. ZEK-a, s obzirom da je od trenutka donošenja odluke o završenom postupku analize iz članka 52. stavka 1. ZEK-a prošlo razdoblje od tri godine, HAKOM je započeo postupak analize ovog mjerodavnog tržišta. Ovo je četvrti krug Analize tržišta veleprodajnog završavanja poziva u vlastitoj javnoj telefonskoj mreži koja se pruža na fiksnoj lokaciji. Prethodna tri kruga mjerodavne analize provedena su 2009., 2013. i 2015.</w:t>
      </w:r>
    </w:p>
    <w:p w:rsidR="00E31146" w:rsidRPr="00E31146" w:rsidRDefault="00E31146" w:rsidP="00E31146">
      <w:pPr>
        <w:jc w:val="both"/>
        <w:rPr>
          <w:rFonts w:ascii="Calibri" w:hAnsi="Calibri" w:cs="Calibri"/>
        </w:rPr>
      </w:pPr>
    </w:p>
    <w:p w:rsidR="00E31146" w:rsidRPr="00E31146" w:rsidRDefault="00E31146" w:rsidP="00E31146">
      <w:pPr>
        <w:jc w:val="both"/>
        <w:rPr>
          <w:rFonts w:ascii="Calibri" w:hAnsi="Calibri" w:cs="Calibri"/>
        </w:rPr>
      </w:pPr>
      <w:r w:rsidRPr="00E31146">
        <w:rPr>
          <w:rFonts w:ascii="Calibri" w:hAnsi="Calibri" w:cs="Calibri"/>
        </w:rPr>
        <w:t xml:space="preserve">S obzirom da je od trenutka donošenja odluke o završenom postupku analize tržišta veleprodajnog završavanja poziva u vlastitoj javnoj telefonskoj mreži koja se pruža na fiksnoj lokaciji prošlo razdoblje od tri godine, HAKOM je 26. travnja 2018. od operatora iz nepokretnih mreža zatražio dostavu dodatnih podataka potrebnih za provođenje postupaka analize tržišta, uz postojeće podatke koji su prikupljeni u okviru tromjesečnih upitnika. Predmetni podaci odnose se na razdoblje od drugog polugodišta 2014. do drugog polugodišta 2017. te su zatraženi na šestomjesečnoj razini. </w:t>
      </w:r>
    </w:p>
    <w:p w:rsidR="00E31146" w:rsidRPr="00E31146" w:rsidRDefault="00E31146" w:rsidP="00E31146">
      <w:pPr>
        <w:jc w:val="both"/>
        <w:rPr>
          <w:rFonts w:ascii="Calibri" w:hAnsi="Calibri" w:cs="Calibri"/>
        </w:rPr>
      </w:pPr>
    </w:p>
    <w:p w:rsidR="00AE05E0" w:rsidRPr="00373243" w:rsidRDefault="00E31146" w:rsidP="00373243">
      <w:pPr>
        <w:jc w:val="both"/>
        <w:rPr>
          <w:rFonts w:ascii="Calibri" w:hAnsi="Calibri" w:cs="Calibri"/>
        </w:rPr>
      </w:pPr>
      <w:r w:rsidRPr="00373243">
        <w:rPr>
          <w:rFonts w:ascii="Calibri" w:hAnsi="Calibri" w:cs="Calibri"/>
        </w:rPr>
        <w:t xml:space="preserve">S tim u vezi, HAKOM je 27. rujna. 2018. donio prijedlog odluke čiji je sastavni dio ovaj dokument. Kako bi se svim zainteresiranim stranama omogućilo davanje mišljenja, primjedaba i prijedloga u vezi s predloženim mjerama HAKOM </w:t>
      </w:r>
      <w:r w:rsidR="00373243" w:rsidRPr="00373243">
        <w:rPr>
          <w:rFonts w:ascii="Calibri" w:hAnsi="Calibri" w:cs="Calibri"/>
        </w:rPr>
        <w:t>je</w:t>
      </w:r>
      <w:r w:rsidRPr="00373243">
        <w:rPr>
          <w:rFonts w:ascii="Calibri" w:hAnsi="Calibri" w:cs="Calibri"/>
        </w:rPr>
        <w:t xml:space="preserve"> prove</w:t>
      </w:r>
      <w:r w:rsidR="00373243" w:rsidRPr="00373243">
        <w:rPr>
          <w:rFonts w:ascii="Calibri" w:hAnsi="Calibri" w:cs="Calibri"/>
        </w:rPr>
        <w:t>o</w:t>
      </w:r>
      <w:r w:rsidRPr="00373243">
        <w:rPr>
          <w:rFonts w:ascii="Calibri" w:hAnsi="Calibri" w:cs="Calibri"/>
        </w:rPr>
        <w:t xml:space="preserve"> javnu raspravu predviđenu člankom 22. ZEK-a.</w:t>
      </w:r>
      <w:r w:rsidR="00373243" w:rsidRPr="00373243">
        <w:rPr>
          <w:rFonts w:ascii="Calibri" w:hAnsi="Calibri" w:cs="Calibri"/>
        </w:rPr>
        <w:t xml:space="preserve"> P</w:t>
      </w:r>
      <w:r w:rsidR="00AE05E0" w:rsidRPr="00373243">
        <w:rPr>
          <w:rFonts w:ascii="Calibri" w:hAnsi="Calibri" w:cs="Calibri"/>
        </w:rPr>
        <w:t xml:space="preserve">ostupak javne rasprave trajao je od 27. rujna do 22. listopada 2018. </w:t>
      </w:r>
      <w:r w:rsidR="00373243" w:rsidRPr="00373243">
        <w:rPr>
          <w:rFonts w:ascii="Calibri" w:hAnsi="Calibri" w:cs="Calibri"/>
        </w:rPr>
        <w:t>te su zaprimljeni</w:t>
      </w:r>
      <w:r w:rsidR="006D3518" w:rsidRPr="00373243">
        <w:rPr>
          <w:rFonts w:ascii="Calibri" w:hAnsi="Calibri" w:cs="Calibri"/>
        </w:rPr>
        <w:t xml:space="preserve"> komentar</w:t>
      </w:r>
      <w:r w:rsidR="00373243" w:rsidRPr="00373243">
        <w:rPr>
          <w:rFonts w:ascii="Calibri" w:hAnsi="Calibri" w:cs="Calibri"/>
        </w:rPr>
        <w:t>i</w:t>
      </w:r>
      <w:r w:rsidR="006D3518" w:rsidRPr="00373243">
        <w:rPr>
          <w:rFonts w:ascii="Calibri" w:hAnsi="Calibri" w:cs="Calibri"/>
        </w:rPr>
        <w:t xml:space="preserve"> HT-a, A1 Hrvatska, Iskon</w:t>
      </w:r>
      <w:r w:rsidR="00373243">
        <w:rPr>
          <w:rFonts w:ascii="Calibri" w:hAnsi="Calibri" w:cs="Calibri"/>
        </w:rPr>
        <w:t>a</w:t>
      </w:r>
      <w:r w:rsidR="006D3518" w:rsidRPr="00373243">
        <w:rPr>
          <w:rFonts w:ascii="Calibri" w:hAnsi="Calibri" w:cs="Calibri"/>
        </w:rPr>
        <w:t xml:space="preserve"> i </w:t>
      </w:r>
      <w:proofErr w:type="spellStart"/>
      <w:r w:rsidR="006D3518" w:rsidRPr="00373243">
        <w:rPr>
          <w:rFonts w:ascii="Calibri" w:hAnsi="Calibri" w:cs="Calibri"/>
        </w:rPr>
        <w:t>Optime</w:t>
      </w:r>
      <w:proofErr w:type="spellEnd"/>
      <w:r w:rsidR="006D3518" w:rsidRPr="00373243">
        <w:rPr>
          <w:rFonts w:ascii="Calibri" w:hAnsi="Calibri" w:cs="Calibri"/>
        </w:rPr>
        <w:t>.</w:t>
      </w:r>
      <w:r w:rsidR="00373243">
        <w:rPr>
          <w:rFonts w:ascii="Calibri" w:hAnsi="Calibri" w:cs="Calibri"/>
        </w:rPr>
        <w:t xml:space="preserve"> </w:t>
      </w:r>
    </w:p>
    <w:p w:rsidR="00AE05E0" w:rsidRPr="008E6F19" w:rsidRDefault="00AE05E0" w:rsidP="00AE05E0">
      <w:pPr>
        <w:jc w:val="both"/>
        <w:rPr>
          <w:rFonts w:ascii="Calibri" w:hAnsi="Calibri" w:cs="Calibri"/>
          <w:highlight w:val="yellow"/>
        </w:rPr>
      </w:pPr>
    </w:p>
    <w:p w:rsidR="00373243" w:rsidRDefault="00AE05E0" w:rsidP="00E31146">
      <w:pPr>
        <w:jc w:val="both"/>
        <w:rPr>
          <w:rFonts w:ascii="Calibri" w:hAnsi="Calibri" w:cs="Calibri"/>
        </w:rPr>
      </w:pPr>
      <w:r w:rsidRPr="00373243">
        <w:rPr>
          <w:rFonts w:ascii="Calibri" w:hAnsi="Calibri" w:cs="Calibri"/>
        </w:rPr>
        <w:t>U tijeku javne rasprave, HAKOM je utvrdio da</w:t>
      </w:r>
      <w:r w:rsidR="00373243" w:rsidRPr="00373243">
        <w:rPr>
          <w:rFonts w:ascii="Calibri" w:hAnsi="Calibri" w:cs="Calibri"/>
        </w:rPr>
        <w:t xml:space="preserve"> operatori</w:t>
      </w:r>
      <w:r w:rsidR="008E6F19" w:rsidRPr="00373243">
        <w:rPr>
          <w:rFonts w:ascii="Calibri" w:hAnsi="Calibri" w:cs="Calibri"/>
        </w:rPr>
        <w:t xml:space="preserve"> </w:t>
      </w:r>
      <w:proofErr w:type="spellStart"/>
      <w:r w:rsidR="002237EE" w:rsidRPr="00373243">
        <w:rPr>
          <w:rFonts w:ascii="Calibri" w:hAnsi="Calibri" w:cs="Calibri"/>
        </w:rPr>
        <w:t>Dialoga</w:t>
      </w:r>
      <w:proofErr w:type="spellEnd"/>
      <w:r w:rsidR="002237EE" w:rsidRPr="00373243">
        <w:rPr>
          <w:rFonts w:ascii="Calibri" w:hAnsi="Calibri" w:cs="Calibri"/>
        </w:rPr>
        <w:t xml:space="preserve">, </w:t>
      </w:r>
      <w:proofErr w:type="spellStart"/>
      <w:r w:rsidR="002237EE" w:rsidRPr="00373243">
        <w:rPr>
          <w:rFonts w:ascii="Calibri" w:hAnsi="Calibri" w:cs="Calibri"/>
        </w:rPr>
        <w:t>Raystorm</w:t>
      </w:r>
      <w:proofErr w:type="spellEnd"/>
      <w:r w:rsidR="002237EE" w:rsidRPr="00373243">
        <w:rPr>
          <w:rFonts w:ascii="Calibri" w:hAnsi="Calibri" w:cs="Calibri"/>
        </w:rPr>
        <w:t xml:space="preserve">, 4Tel, </w:t>
      </w:r>
      <w:proofErr w:type="spellStart"/>
      <w:r w:rsidR="002237EE" w:rsidRPr="00373243">
        <w:rPr>
          <w:rFonts w:ascii="Calibri" w:hAnsi="Calibri" w:cs="Calibri"/>
        </w:rPr>
        <w:t>Siol</w:t>
      </w:r>
      <w:proofErr w:type="spellEnd"/>
      <w:r w:rsidR="002237EE" w:rsidRPr="00373243">
        <w:rPr>
          <w:rFonts w:ascii="Calibri" w:hAnsi="Calibri" w:cs="Calibri"/>
        </w:rPr>
        <w:t xml:space="preserve">, IT Jedan, </w:t>
      </w:r>
      <w:proofErr w:type="spellStart"/>
      <w:r w:rsidR="002237EE" w:rsidRPr="00373243">
        <w:rPr>
          <w:rFonts w:ascii="Calibri" w:hAnsi="Calibri" w:cs="Calibri"/>
        </w:rPr>
        <w:t>C</w:t>
      </w:r>
      <w:r w:rsidR="00E41783" w:rsidRPr="00373243">
        <w:rPr>
          <w:rFonts w:ascii="Calibri" w:hAnsi="Calibri" w:cs="Calibri"/>
        </w:rPr>
        <w:t>haos</w:t>
      </w:r>
      <w:proofErr w:type="spellEnd"/>
      <w:r w:rsidR="00E41783" w:rsidRPr="00373243">
        <w:rPr>
          <w:rFonts w:ascii="Calibri" w:hAnsi="Calibri" w:cs="Calibri"/>
        </w:rPr>
        <w:t xml:space="preserve">, </w:t>
      </w:r>
      <w:proofErr w:type="spellStart"/>
      <w:r w:rsidR="00E41783" w:rsidRPr="00373243">
        <w:rPr>
          <w:rFonts w:ascii="Calibri" w:hAnsi="Calibri" w:cs="Calibri"/>
        </w:rPr>
        <w:t>iProjekt</w:t>
      </w:r>
      <w:proofErr w:type="spellEnd"/>
      <w:r w:rsidR="00E41783" w:rsidRPr="00373243">
        <w:rPr>
          <w:rFonts w:ascii="Calibri" w:hAnsi="Calibri" w:cs="Calibri"/>
        </w:rPr>
        <w:t xml:space="preserve">, </w:t>
      </w:r>
      <w:proofErr w:type="spellStart"/>
      <w:r w:rsidR="00E41783" w:rsidRPr="00373243">
        <w:rPr>
          <w:rFonts w:ascii="Calibri" w:hAnsi="Calibri" w:cs="Calibri"/>
        </w:rPr>
        <w:t>Primo</w:t>
      </w:r>
      <w:proofErr w:type="spellEnd"/>
      <w:r w:rsidR="00E41783" w:rsidRPr="00373243">
        <w:rPr>
          <w:rFonts w:ascii="Calibri" w:hAnsi="Calibri" w:cs="Calibri"/>
        </w:rPr>
        <w:t xml:space="preserve"> </w:t>
      </w:r>
      <w:proofErr w:type="spellStart"/>
      <w:r w:rsidR="00E41783" w:rsidRPr="00373243">
        <w:rPr>
          <w:rFonts w:ascii="Calibri" w:hAnsi="Calibri" w:cs="Calibri"/>
        </w:rPr>
        <w:t>Teh</w:t>
      </w:r>
      <w:proofErr w:type="spellEnd"/>
      <w:r w:rsidR="00E41783" w:rsidRPr="00373243">
        <w:rPr>
          <w:rFonts w:ascii="Calibri" w:hAnsi="Calibri" w:cs="Calibri"/>
        </w:rPr>
        <w:t>, VM Telekom</w:t>
      </w:r>
      <w:r w:rsidR="002237EE" w:rsidRPr="00373243">
        <w:rPr>
          <w:rFonts w:ascii="Calibri" w:hAnsi="Calibri" w:cs="Calibri"/>
        </w:rPr>
        <w:t xml:space="preserve"> i </w:t>
      </w:r>
      <w:proofErr w:type="spellStart"/>
      <w:r w:rsidR="002237EE" w:rsidRPr="00373243">
        <w:rPr>
          <w:rFonts w:ascii="Calibri" w:hAnsi="Calibri" w:cs="Calibri"/>
        </w:rPr>
        <w:t>Nexcom</w:t>
      </w:r>
      <w:proofErr w:type="spellEnd"/>
      <w:r w:rsidR="002237EE" w:rsidRPr="00373243">
        <w:rPr>
          <w:rFonts w:ascii="Calibri" w:hAnsi="Calibri" w:cs="Calibri"/>
        </w:rPr>
        <w:t>,</w:t>
      </w:r>
      <w:r w:rsidRPr="00373243">
        <w:rPr>
          <w:rFonts w:ascii="Calibri" w:hAnsi="Calibri" w:cs="Calibri"/>
        </w:rPr>
        <w:t xml:space="preserve"> imaju potpisan </w:t>
      </w:r>
      <w:r w:rsidR="002237EE" w:rsidRPr="00373243">
        <w:rPr>
          <w:rFonts w:ascii="Calibri" w:hAnsi="Calibri" w:cs="Calibri"/>
        </w:rPr>
        <w:t>ugovor o međupovezivanju</w:t>
      </w:r>
      <w:r w:rsidRPr="00373243">
        <w:rPr>
          <w:rFonts w:ascii="Calibri" w:hAnsi="Calibri" w:cs="Calibri"/>
        </w:rPr>
        <w:t xml:space="preserve">, </w:t>
      </w:r>
      <w:r w:rsidR="002237EE" w:rsidRPr="00373243">
        <w:rPr>
          <w:rFonts w:ascii="Calibri" w:hAnsi="Calibri" w:cs="Calibri"/>
        </w:rPr>
        <w:t>a što je osnova da isti operatori budu određeni operatorima</w:t>
      </w:r>
      <w:r w:rsidRPr="00373243">
        <w:rPr>
          <w:rFonts w:ascii="Calibri" w:hAnsi="Calibri" w:cs="Calibri"/>
        </w:rPr>
        <w:t xml:space="preserve"> sa značajnom tržišnom snag</w:t>
      </w:r>
      <w:r w:rsidR="00373243" w:rsidRPr="00373243">
        <w:rPr>
          <w:rFonts w:ascii="Calibri" w:hAnsi="Calibri" w:cs="Calibri"/>
        </w:rPr>
        <w:t>om na mjerodavnom tržištu. Stoga je</w:t>
      </w:r>
      <w:r w:rsidR="006D3518" w:rsidRPr="00373243">
        <w:rPr>
          <w:rFonts w:ascii="Calibri" w:hAnsi="Calibri" w:cs="Calibri"/>
        </w:rPr>
        <w:t xml:space="preserve"> HAKOM </w:t>
      </w:r>
      <w:r w:rsidR="00373243" w:rsidRPr="00373243">
        <w:rPr>
          <w:rFonts w:ascii="Calibri" w:hAnsi="Calibri" w:cs="Calibri"/>
        </w:rPr>
        <w:t>dopunio</w:t>
      </w:r>
      <w:r w:rsidRPr="00373243">
        <w:rPr>
          <w:rFonts w:ascii="Calibri" w:hAnsi="Calibri" w:cs="Calibri"/>
        </w:rPr>
        <w:t xml:space="preserve"> prijedlog odluk</w:t>
      </w:r>
      <w:r w:rsidR="00F01B01" w:rsidRPr="00373243">
        <w:rPr>
          <w:rFonts w:ascii="Calibri" w:hAnsi="Calibri" w:cs="Calibri"/>
        </w:rPr>
        <w:t xml:space="preserve">e na </w:t>
      </w:r>
      <w:r w:rsidR="00F01B01" w:rsidRPr="00373243">
        <w:rPr>
          <w:rFonts w:ascii="Calibri" w:hAnsi="Calibri" w:cs="Calibri"/>
        </w:rPr>
        <w:lastRenderedPageBreak/>
        <w:t xml:space="preserve">način da se </w:t>
      </w:r>
      <w:proofErr w:type="spellStart"/>
      <w:r w:rsidR="002237EE" w:rsidRPr="00373243">
        <w:rPr>
          <w:rFonts w:ascii="Calibri" w:hAnsi="Calibri" w:cs="Calibri"/>
        </w:rPr>
        <w:t>Dialoga</w:t>
      </w:r>
      <w:proofErr w:type="spellEnd"/>
      <w:r w:rsidR="002237EE" w:rsidRPr="00373243">
        <w:rPr>
          <w:rFonts w:ascii="Calibri" w:hAnsi="Calibri" w:cs="Calibri"/>
        </w:rPr>
        <w:t xml:space="preserve">, </w:t>
      </w:r>
      <w:proofErr w:type="spellStart"/>
      <w:r w:rsidR="002237EE" w:rsidRPr="00373243">
        <w:rPr>
          <w:rFonts w:ascii="Calibri" w:hAnsi="Calibri" w:cs="Calibri"/>
        </w:rPr>
        <w:t>Raystorm</w:t>
      </w:r>
      <w:proofErr w:type="spellEnd"/>
      <w:r w:rsidR="002237EE" w:rsidRPr="00373243">
        <w:rPr>
          <w:rFonts w:ascii="Calibri" w:hAnsi="Calibri" w:cs="Calibri"/>
        </w:rPr>
        <w:t xml:space="preserve">, 4Tel, </w:t>
      </w:r>
      <w:proofErr w:type="spellStart"/>
      <w:r w:rsidR="002237EE" w:rsidRPr="00373243">
        <w:rPr>
          <w:rFonts w:ascii="Calibri" w:hAnsi="Calibri" w:cs="Calibri"/>
        </w:rPr>
        <w:t>Siol</w:t>
      </w:r>
      <w:proofErr w:type="spellEnd"/>
      <w:r w:rsidR="002237EE" w:rsidRPr="00373243">
        <w:rPr>
          <w:rFonts w:ascii="Calibri" w:hAnsi="Calibri" w:cs="Calibri"/>
        </w:rPr>
        <w:t xml:space="preserve">, IT Jedan, </w:t>
      </w:r>
      <w:proofErr w:type="spellStart"/>
      <w:r w:rsidR="002237EE" w:rsidRPr="00373243">
        <w:rPr>
          <w:rFonts w:ascii="Calibri" w:hAnsi="Calibri" w:cs="Calibri"/>
        </w:rPr>
        <w:t>C</w:t>
      </w:r>
      <w:r w:rsidR="00E41783" w:rsidRPr="00373243">
        <w:rPr>
          <w:rFonts w:ascii="Calibri" w:hAnsi="Calibri" w:cs="Calibri"/>
        </w:rPr>
        <w:t>haos</w:t>
      </w:r>
      <w:proofErr w:type="spellEnd"/>
      <w:r w:rsidR="00E41783" w:rsidRPr="00373243">
        <w:rPr>
          <w:rFonts w:ascii="Calibri" w:hAnsi="Calibri" w:cs="Calibri"/>
        </w:rPr>
        <w:t xml:space="preserve">, </w:t>
      </w:r>
      <w:proofErr w:type="spellStart"/>
      <w:r w:rsidR="00E41783" w:rsidRPr="00373243">
        <w:rPr>
          <w:rFonts w:ascii="Calibri" w:hAnsi="Calibri" w:cs="Calibri"/>
        </w:rPr>
        <w:t>iProjekt</w:t>
      </w:r>
      <w:proofErr w:type="spellEnd"/>
      <w:r w:rsidR="00E41783" w:rsidRPr="00373243">
        <w:rPr>
          <w:rFonts w:ascii="Calibri" w:hAnsi="Calibri" w:cs="Calibri"/>
        </w:rPr>
        <w:t xml:space="preserve">, </w:t>
      </w:r>
      <w:proofErr w:type="spellStart"/>
      <w:r w:rsidR="00E41783" w:rsidRPr="00373243">
        <w:rPr>
          <w:rFonts w:ascii="Calibri" w:hAnsi="Calibri" w:cs="Calibri"/>
        </w:rPr>
        <w:t>Primo</w:t>
      </w:r>
      <w:proofErr w:type="spellEnd"/>
      <w:r w:rsidR="00E41783" w:rsidRPr="00373243">
        <w:rPr>
          <w:rFonts w:ascii="Calibri" w:hAnsi="Calibri" w:cs="Calibri"/>
        </w:rPr>
        <w:t xml:space="preserve"> </w:t>
      </w:r>
      <w:proofErr w:type="spellStart"/>
      <w:r w:rsidR="00E41783" w:rsidRPr="00373243">
        <w:rPr>
          <w:rFonts w:ascii="Calibri" w:hAnsi="Calibri" w:cs="Calibri"/>
        </w:rPr>
        <w:t>Teh</w:t>
      </w:r>
      <w:proofErr w:type="spellEnd"/>
      <w:r w:rsidR="00E41783" w:rsidRPr="00373243">
        <w:rPr>
          <w:rFonts w:ascii="Calibri" w:hAnsi="Calibri" w:cs="Calibri"/>
        </w:rPr>
        <w:t>, VM Telekom</w:t>
      </w:r>
      <w:r w:rsidR="00373243">
        <w:rPr>
          <w:rFonts w:ascii="Calibri" w:hAnsi="Calibri" w:cs="Calibri"/>
        </w:rPr>
        <w:t xml:space="preserve"> i </w:t>
      </w:r>
      <w:proofErr w:type="spellStart"/>
      <w:r w:rsidR="00373243">
        <w:rPr>
          <w:rFonts w:ascii="Calibri" w:hAnsi="Calibri" w:cs="Calibri"/>
        </w:rPr>
        <w:t>Nexcom</w:t>
      </w:r>
      <w:proofErr w:type="spellEnd"/>
      <w:r w:rsidR="002237EE" w:rsidRPr="00373243">
        <w:rPr>
          <w:rFonts w:ascii="Calibri" w:hAnsi="Calibri" w:cs="Calibri"/>
        </w:rPr>
        <w:t xml:space="preserve"> </w:t>
      </w:r>
      <w:r w:rsidRPr="00373243">
        <w:rPr>
          <w:rFonts w:ascii="Calibri" w:hAnsi="Calibri" w:cs="Calibri"/>
        </w:rPr>
        <w:t>odrede operatorima sa značajnom tržišnom snag</w:t>
      </w:r>
      <w:r w:rsidR="00373243">
        <w:rPr>
          <w:rFonts w:ascii="Calibri" w:hAnsi="Calibri" w:cs="Calibri"/>
        </w:rPr>
        <w:t xml:space="preserve">om na ovom mjerodavnom tržištu, o čemu HAKOM provodi drugi krug javne rasprave. Komentari operatora iz prvog kruga javne rasprave bit će uzeti u obzir prilikom </w:t>
      </w:r>
      <w:r w:rsidR="00373243" w:rsidRPr="00373243">
        <w:rPr>
          <w:rFonts w:ascii="Calibri" w:hAnsi="Calibri" w:cs="Calibri"/>
        </w:rPr>
        <w:t>donošenja prijedloga odluke za notifikaciju Europskoj komisiji.</w:t>
      </w:r>
    </w:p>
    <w:p w:rsidR="00373243" w:rsidRDefault="00373243" w:rsidP="00E31146">
      <w:pPr>
        <w:jc w:val="both"/>
        <w:rPr>
          <w:rFonts w:ascii="Calibri" w:hAnsi="Calibri" w:cs="Calibri"/>
        </w:rPr>
      </w:pPr>
    </w:p>
    <w:p w:rsidR="00284946" w:rsidRDefault="00E31146" w:rsidP="00E31146">
      <w:pPr>
        <w:jc w:val="both"/>
        <w:rPr>
          <w:rFonts w:ascii="Calibri" w:hAnsi="Calibri" w:cs="Calibri"/>
        </w:rPr>
      </w:pPr>
      <w:r w:rsidRPr="00373243">
        <w:rPr>
          <w:rFonts w:ascii="Calibri" w:hAnsi="Calibri" w:cs="Calibri"/>
        </w:rPr>
        <w:t xml:space="preserve">Isto tako, sukladno članku 54. stavku 5. ZEK‐a, HAKOM je zatražio mišljenje Agencije za zaštitu tržišnog natjecanja </w:t>
      </w:r>
      <w:r w:rsidR="00AE05E0" w:rsidRPr="00373243">
        <w:rPr>
          <w:rFonts w:ascii="Calibri" w:hAnsi="Calibri" w:cs="Calibri"/>
        </w:rPr>
        <w:t>o oba prijedloga odluke. Mišljenja AZTN-a o načinu na koji je HAKOM odredio mjerodavno tržište te utvrdio operatore sa značajnom tržišnom snagom</w:t>
      </w:r>
      <w:r w:rsidR="009010EA" w:rsidRPr="00373243">
        <w:rPr>
          <w:rFonts w:ascii="Calibri" w:hAnsi="Calibri" w:cs="Calibri"/>
        </w:rPr>
        <w:t xml:space="preserve"> bit će dostupna</w:t>
      </w:r>
      <w:r w:rsidRPr="00373243">
        <w:rPr>
          <w:rFonts w:ascii="Calibri" w:hAnsi="Calibri" w:cs="Calibri"/>
        </w:rPr>
        <w:t xml:space="preserve"> nakon provedene javne rasprave</w:t>
      </w:r>
      <w:r w:rsidR="00B47078" w:rsidRPr="00373243">
        <w:rPr>
          <w:rFonts w:ascii="Calibri" w:hAnsi="Calibri" w:cs="Calibri"/>
        </w:rPr>
        <w:t>.</w:t>
      </w:r>
    </w:p>
    <w:p w:rsidR="009D2350" w:rsidRDefault="009D2350">
      <w:pPr>
        <w:spacing w:after="200" w:line="276" w:lineRule="auto"/>
        <w:rPr>
          <w:rFonts w:asciiTheme="majorHAnsi" w:eastAsiaTheme="majorEastAsia" w:hAnsiTheme="majorHAnsi" w:cstheme="majorBidi"/>
          <w:b/>
          <w:bCs/>
          <w:color w:val="365F91" w:themeColor="accent1" w:themeShade="BF"/>
          <w:sz w:val="28"/>
          <w:szCs w:val="28"/>
        </w:rPr>
      </w:pPr>
      <w:bookmarkStart w:id="46" w:name="_Toc437520982"/>
      <w:bookmarkEnd w:id="39"/>
      <w:bookmarkEnd w:id="40"/>
      <w:bookmarkEnd w:id="41"/>
      <w:r>
        <w:br w:type="page"/>
      </w:r>
    </w:p>
    <w:p w:rsidR="00DC0BA2" w:rsidRPr="00376616" w:rsidRDefault="00DC0BA2" w:rsidP="00DC0BA2">
      <w:pPr>
        <w:pStyle w:val="Heading1"/>
      </w:pPr>
      <w:bookmarkStart w:id="47" w:name="_Toc524984011"/>
      <w:bookmarkStart w:id="48" w:name="_Toc525072990"/>
      <w:bookmarkStart w:id="49" w:name="_Toc525729835"/>
      <w:r w:rsidRPr="00376616">
        <w:lastRenderedPageBreak/>
        <w:t>Nepokretne mreže</w:t>
      </w:r>
      <w:r w:rsidRPr="00376616">
        <w:rPr>
          <w:vertAlign w:val="superscript"/>
        </w:rPr>
        <w:footnoteReference w:id="17"/>
      </w:r>
      <w:r w:rsidRPr="00376616">
        <w:t xml:space="preserve"> i međupovezivanje u Republici Hrvatskoj</w:t>
      </w:r>
      <w:bookmarkStart w:id="50" w:name="_Toc409066971"/>
      <w:bookmarkStart w:id="51" w:name="_Toc409068428"/>
      <w:bookmarkStart w:id="52" w:name="_Toc409652023"/>
      <w:bookmarkStart w:id="53" w:name="_Toc409066972"/>
      <w:bookmarkStart w:id="54" w:name="_Toc409068429"/>
      <w:bookmarkStart w:id="55" w:name="_Toc409652024"/>
      <w:bookmarkStart w:id="56" w:name="_Toc222023900"/>
      <w:bookmarkStart w:id="57" w:name="_Toc236635249"/>
      <w:bookmarkStart w:id="58" w:name="_Toc357581374"/>
      <w:bookmarkEnd w:id="46"/>
      <w:bookmarkEnd w:id="47"/>
      <w:bookmarkEnd w:id="48"/>
      <w:bookmarkEnd w:id="49"/>
      <w:bookmarkEnd w:id="50"/>
      <w:bookmarkEnd w:id="51"/>
      <w:bookmarkEnd w:id="52"/>
      <w:bookmarkEnd w:id="53"/>
      <w:bookmarkEnd w:id="54"/>
      <w:bookmarkEnd w:id="55"/>
    </w:p>
    <w:p w:rsidR="00DC0BA2" w:rsidRDefault="00DC0BA2" w:rsidP="00DC0BA2">
      <w:bookmarkStart w:id="59" w:name="_Toc409066973"/>
      <w:bookmarkStart w:id="60" w:name="_Toc409068430"/>
      <w:bookmarkStart w:id="61" w:name="_Toc409652025"/>
      <w:bookmarkEnd w:id="56"/>
      <w:bookmarkEnd w:id="57"/>
      <w:bookmarkEnd w:id="58"/>
      <w:bookmarkEnd w:id="59"/>
      <w:bookmarkEnd w:id="60"/>
      <w:bookmarkEnd w:id="61"/>
    </w:p>
    <w:p w:rsidR="0011775E" w:rsidRPr="0011775E" w:rsidRDefault="0011775E" w:rsidP="0011775E">
      <w:pPr>
        <w:jc w:val="both"/>
        <w:rPr>
          <w:rFonts w:cs="Calibri"/>
          <w:szCs w:val="24"/>
          <w:lang w:eastAsia="en-US"/>
        </w:rPr>
      </w:pPr>
      <w:r w:rsidRPr="0011775E">
        <w:rPr>
          <w:rFonts w:cs="Calibri"/>
          <w:szCs w:val="24"/>
          <w:lang w:eastAsia="en-US"/>
        </w:rPr>
        <w:t xml:space="preserve">HT je najveći operator koji pruža javno dostupnu telefonsku uslugu u nepokretnoj javnoj komunikacijskoj mreži. HT navedenu uslugu pruža putem IMS tehnologije tj. ista je temeljena na IP protokolu. Naime, HT je završio s postupkom modernizacije svoje elektroničke komunikacijske infrastrukture na način da je prešao s PSTN hijerarhije na hijerarhiju mreža nove generacije (NGN). </w:t>
      </w:r>
    </w:p>
    <w:p w:rsidR="0011775E" w:rsidRPr="0011775E" w:rsidRDefault="0011775E" w:rsidP="0011775E">
      <w:pPr>
        <w:jc w:val="both"/>
        <w:rPr>
          <w:rFonts w:cs="Calibri"/>
          <w:szCs w:val="24"/>
          <w:lang w:eastAsia="en-US"/>
        </w:rPr>
      </w:pPr>
    </w:p>
    <w:p w:rsidR="0011775E" w:rsidRPr="0011775E" w:rsidRDefault="0011775E" w:rsidP="0011775E">
      <w:pPr>
        <w:jc w:val="both"/>
        <w:rPr>
          <w:rFonts w:cs="Calibri"/>
          <w:szCs w:val="24"/>
          <w:lang w:eastAsia="en-US"/>
        </w:rPr>
      </w:pPr>
      <w:r w:rsidRPr="0011775E">
        <w:rPr>
          <w:szCs w:val="24"/>
        </w:rPr>
        <w:t>Kroz godine u kojima je bio monopolist, HT je razvio TDM/PSTN mrežu koja je u početku bila pretežno fokusirana na pružanje javno dostupne telefonske usluge u nepokretnoj mreži na koju je kasnije nadograđivao druge tipove elektroničkih komunikacijskih usluga kao što su podatkovne komunikacije (</w:t>
      </w:r>
      <w:proofErr w:type="spellStart"/>
      <w:r w:rsidRPr="0011775E">
        <w:rPr>
          <w:szCs w:val="24"/>
        </w:rPr>
        <w:t>internet</w:t>
      </w:r>
      <w:proofErr w:type="spellEnd"/>
      <w:r w:rsidRPr="0011775E">
        <w:rPr>
          <w:szCs w:val="24"/>
        </w:rPr>
        <w:t xml:space="preserve">, </w:t>
      </w:r>
      <w:proofErr w:type="spellStart"/>
      <w:r w:rsidRPr="0011775E">
        <w:rPr>
          <w:szCs w:val="24"/>
        </w:rPr>
        <w:t>VoIP</w:t>
      </w:r>
      <w:proofErr w:type="spellEnd"/>
      <w:r w:rsidRPr="0011775E">
        <w:rPr>
          <w:szCs w:val="24"/>
        </w:rPr>
        <w:t xml:space="preserve">, IPTV). </w:t>
      </w:r>
      <w:r w:rsidRPr="0011775E">
        <w:rPr>
          <w:rFonts w:cs="Calibri"/>
          <w:szCs w:val="24"/>
          <w:lang w:eastAsia="en-US"/>
        </w:rPr>
        <w:t xml:space="preserve">Migracija s TDM/PSTN na IP/IMS započela je u HT-u 2010., </w:t>
      </w:r>
      <w:r w:rsidRPr="0011775E">
        <w:rPr>
          <w:rFonts w:cstheme="minorHAnsi"/>
          <w:szCs w:val="24"/>
          <w:lang w:eastAsia="en-US"/>
        </w:rPr>
        <w:t xml:space="preserve">te su PSTN i IMS mreže radile paralelno sve do 1. siječnja 2016. kada je HT u potpunosti prešao na IMS. </w:t>
      </w:r>
      <w:r w:rsidRPr="0011775E">
        <w:rPr>
          <w:rFonts w:cs="Calibri"/>
          <w:szCs w:val="24"/>
          <w:lang w:eastAsia="en-US"/>
        </w:rPr>
        <w:t>Navedena migracija je podrazumijevala postupno gašenje lokalnih pristupnih centrala, odnosno gašenje lokalnih pristupnih točaka. Rješenjem od 17. lipnja 2013</w:t>
      </w:r>
      <w:r w:rsidRPr="0011775E">
        <w:rPr>
          <w:rFonts w:cs="Calibri"/>
          <w:szCs w:val="24"/>
          <w:vertAlign w:val="superscript"/>
          <w:lang w:eastAsia="en-US"/>
        </w:rPr>
        <w:footnoteReference w:id="18"/>
      </w:r>
      <w:r w:rsidRPr="0011775E">
        <w:rPr>
          <w:rFonts w:cs="Calibri"/>
          <w:szCs w:val="24"/>
          <w:lang w:eastAsia="en-US"/>
        </w:rPr>
        <w:t xml:space="preserve">. HAKOM je odobrio plan gašenja lokalnih centrala te utvrdio veleprodajne i druge uvjete za gašenje lokalnih centrala. </w:t>
      </w:r>
    </w:p>
    <w:p w:rsidR="0011775E" w:rsidRPr="0011775E" w:rsidRDefault="0011775E" w:rsidP="0011775E">
      <w:pPr>
        <w:jc w:val="both"/>
        <w:rPr>
          <w:rFonts w:cs="Calibri"/>
          <w:szCs w:val="24"/>
          <w:lang w:eastAsia="en-US"/>
        </w:rPr>
      </w:pPr>
    </w:p>
    <w:p w:rsidR="0011775E" w:rsidRPr="0011775E" w:rsidRDefault="0011775E" w:rsidP="0011775E">
      <w:pPr>
        <w:jc w:val="both"/>
        <w:rPr>
          <w:rFonts w:eastAsia="Times New Roman" w:cs="Times New Roman"/>
          <w:szCs w:val="24"/>
          <w:lang w:eastAsia="en-US"/>
        </w:rPr>
      </w:pPr>
      <w:r w:rsidRPr="0011775E">
        <w:rPr>
          <w:rFonts w:eastAsia="Times New Roman" w:cs="Times New Roman"/>
          <w:szCs w:val="24"/>
          <w:lang w:eastAsia="en-US"/>
        </w:rPr>
        <w:t>Ostali operatori na tržištu imaju mrežu većinom zvjezdaste arhitekture, s glavnim čvorovima u Zagrebu, Osijeku, Rijeci i Splitu. Njihove se mreže uglavnom sastoje od PSTN pristupnika (</w:t>
      </w:r>
      <w:proofErr w:type="spellStart"/>
      <w:r w:rsidRPr="0011775E">
        <w:rPr>
          <w:rFonts w:eastAsia="Times New Roman" w:cs="Times New Roman"/>
          <w:szCs w:val="24"/>
          <w:lang w:eastAsia="en-US"/>
        </w:rPr>
        <w:t>eng</w:t>
      </w:r>
      <w:proofErr w:type="spellEnd"/>
      <w:r w:rsidRPr="0011775E">
        <w:rPr>
          <w:rFonts w:eastAsia="Times New Roman" w:cs="Times New Roman"/>
          <w:szCs w:val="24"/>
          <w:lang w:eastAsia="en-US"/>
        </w:rPr>
        <w:t xml:space="preserve">. </w:t>
      </w:r>
      <w:proofErr w:type="spellStart"/>
      <w:r w:rsidRPr="0011775E">
        <w:rPr>
          <w:rFonts w:eastAsia="Times New Roman" w:cs="Times New Roman"/>
          <w:i/>
          <w:szCs w:val="24"/>
          <w:lang w:eastAsia="en-US"/>
        </w:rPr>
        <w:t>gateway</w:t>
      </w:r>
      <w:proofErr w:type="spellEnd"/>
      <w:r w:rsidRPr="0011775E">
        <w:rPr>
          <w:rFonts w:eastAsia="Times New Roman" w:cs="Times New Roman"/>
          <w:szCs w:val="24"/>
          <w:lang w:eastAsia="en-US"/>
        </w:rPr>
        <w:t>), softverskog/programskog preklopnika/komutatora (</w:t>
      </w:r>
      <w:proofErr w:type="spellStart"/>
      <w:r w:rsidRPr="0011775E">
        <w:rPr>
          <w:rFonts w:eastAsia="Times New Roman" w:cs="Times New Roman"/>
          <w:szCs w:val="24"/>
          <w:lang w:eastAsia="en-US"/>
        </w:rPr>
        <w:t>eng</w:t>
      </w:r>
      <w:proofErr w:type="spellEnd"/>
      <w:r w:rsidRPr="0011775E">
        <w:rPr>
          <w:rFonts w:eastAsia="Times New Roman" w:cs="Times New Roman"/>
          <w:szCs w:val="24"/>
          <w:lang w:eastAsia="en-US"/>
        </w:rPr>
        <w:t xml:space="preserve">. </w:t>
      </w:r>
      <w:proofErr w:type="spellStart"/>
      <w:r w:rsidRPr="0011775E">
        <w:rPr>
          <w:rFonts w:eastAsia="Times New Roman" w:cs="Times New Roman"/>
          <w:i/>
          <w:szCs w:val="24"/>
          <w:lang w:eastAsia="en-US"/>
        </w:rPr>
        <w:t>softswitch</w:t>
      </w:r>
      <w:proofErr w:type="spellEnd"/>
      <w:r w:rsidRPr="0011775E">
        <w:rPr>
          <w:rFonts w:eastAsia="Times New Roman" w:cs="Times New Roman"/>
          <w:szCs w:val="24"/>
          <w:lang w:eastAsia="en-US"/>
        </w:rPr>
        <w:t>) i dr. te se temelje na MPLS/IP tehnologiji. Dakle, u RH alternativni operatori od početka imaju elektroničku komunikacijsku mrežu temeljenu na IP tehnologiji. Sve do trenutka do kada HT nije počeo omogućavati IP međupovezivanje sa svojom mrežom, alternativni operatori su bili povezani s HT-ovom mrežom putem TDM međupovezivanja, iako se mreža alternativnih operatora temeljila na IP tehnologiji. Drugim riječima, na strani alternativnih operatora radila se pretvorba s IP na PSTN prijenos samo u svrhu međupovezivanja.</w:t>
      </w:r>
    </w:p>
    <w:p w:rsidR="0011775E" w:rsidRPr="0011775E" w:rsidRDefault="0011775E" w:rsidP="0011775E">
      <w:pPr>
        <w:jc w:val="both"/>
        <w:rPr>
          <w:szCs w:val="24"/>
        </w:rPr>
      </w:pPr>
    </w:p>
    <w:p w:rsidR="0011775E" w:rsidRPr="0011775E" w:rsidRDefault="0011775E" w:rsidP="0011775E">
      <w:pPr>
        <w:jc w:val="both"/>
        <w:rPr>
          <w:rFonts w:eastAsia="Times New Roman" w:cs="Times New Roman"/>
          <w:szCs w:val="24"/>
          <w:lang w:eastAsia="en-US"/>
        </w:rPr>
      </w:pPr>
      <w:r w:rsidRPr="0011775E">
        <w:rPr>
          <w:rFonts w:eastAsia="Times New Roman" w:cs="Times New Roman"/>
          <w:szCs w:val="24"/>
          <w:lang w:eastAsia="en-US"/>
        </w:rPr>
        <w:t xml:space="preserve">Iako je od 1. siječnja 2016. mreža HT-a temeljena na IP tehnologiji kao i mreže alternativnih operatora, HT je </w:t>
      </w:r>
      <w:r w:rsidRPr="0011775E">
        <w:rPr>
          <w:rFonts w:cstheme="minorHAnsi"/>
          <w:szCs w:val="24"/>
          <w:lang w:eastAsia="en-US"/>
        </w:rPr>
        <w:t>prethodnom analizom ovog mjerodavnog tržišta</w:t>
      </w:r>
      <w:r w:rsidRPr="0011775E">
        <w:rPr>
          <w:rFonts w:eastAsia="Times New Roman" w:cs="Times New Roman"/>
          <w:szCs w:val="24"/>
          <w:lang w:eastAsia="en-US"/>
        </w:rPr>
        <w:t xml:space="preserve"> bio obvezan osigurati paralelno TDM i IP međupovezivanje s nepokretnim mrežama do kraja 2017. Trenutno </w:t>
      </w:r>
      <w:r w:rsidRPr="0011775E">
        <w:rPr>
          <w:rFonts w:cstheme="minorHAnsi"/>
          <w:szCs w:val="24"/>
          <w:lang w:eastAsia="en-US"/>
        </w:rPr>
        <w:t xml:space="preserve">postoji još nekoliko operatora nepokretnih mreža s kojima HT ostvaruje TDM </w:t>
      </w:r>
      <w:r w:rsidRPr="0011775E">
        <w:rPr>
          <w:szCs w:val="24"/>
        </w:rPr>
        <w:t xml:space="preserve">međupovezivanje, međutim </w:t>
      </w:r>
      <w:r w:rsidRPr="0011775E">
        <w:rPr>
          <w:rFonts w:eastAsia="Times New Roman" w:cs="Times New Roman"/>
          <w:szCs w:val="24"/>
          <w:lang w:eastAsia="en-US"/>
        </w:rPr>
        <w:t xml:space="preserve">HT je u postupku prelaska na potpuno IP međupovezivanje. U tom smislu, u slučaju zaprimanja novih zahtjeva za međupovezivanje s nepokretnom mrežom HT-a u razdoblju dok još nije dovršen postupak gašenja TDM kapaciteta, opravdano je takvo novo međupovezivanje omogućavati isključivo temeljem IP međupovezivanja, a sve kako bi se potaknula implementacija IP međupovezivanja, s obzirom da će IP međupovezivanje ubrzo postati i jedino dostupno. </w:t>
      </w:r>
    </w:p>
    <w:p w:rsidR="0011775E" w:rsidRPr="0011775E" w:rsidRDefault="0011775E" w:rsidP="0011775E">
      <w:pPr>
        <w:jc w:val="both"/>
        <w:rPr>
          <w:rFonts w:eastAsia="Times New Roman" w:cs="Times New Roman"/>
          <w:szCs w:val="24"/>
          <w:lang w:eastAsia="en-US"/>
        </w:rPr>
      </w:pPr>
    </w:p>
    <w:p w:rsidR="0011775E" w:rsidRPr="0011775E" w:rsidRDefault="0011775E" w:rsidP="0011775E">
      <w:pPr>
        <w:spacing w:after="200" w:line="276" w:lineRule="auto"/>
        <w:rPr>
          <w:rFonts w:asciiTheme="majorHAnsi" w:eastAsiaTheme="majorEastAsia" w:hAnsiTheme="majorHAnsi" w:cstheme="majorBidi"/>
          <w:i/>
          <w:iCs/>
          <w:color w:val="4F81BD" w:themeColor="accent1"/>
          <w:spacing w:val="15"/>
          <w:szCs w:val="24"/>
          <w:lang w:eastAsia="en-US"/>
        </w:rPr>
      </w:pPr>
      <w:r w:rsidRPr="0011775E">
        <w:rPr>
          <w:rFonts w:asciiTheme="majorHAnsi" w:eastAsiaTheme="majorEastAsia" w:hAnsiTheme="majorHAnsi" w:cstheme="majorBidi"/>
          <w:i/>
          <w:iCs/>
          <w:color w:val="4F81BD" w:themeColor="accent1"/>
          <w:spacing w:val="15"/>
          <w:szCs w:val="24"/>
          <w:lang w:eastAsia="en-US"/>
        </w:rPr>
        <w:br w:type="page"/>
      </w:r>
    </w:p>
    <w:p w:rsidR="0011775E" w:rsidRPr="0011775E" w:rsidRDefault="0011775E" w:rsidP="0011775E">
      <w:pPr>
        <w:jc w:val="both"/>
        <w:rPr>
          <w:rFonts w:cstheme="minorHAnsi"/>
          <w:szCs w:val="24"/>
          <w:lang w:eastAsia="en-US"/>
        </w:rPr>
      </w:pPr>
      <w:r w:rsidRPr="0011775E">
        <w:rPr>
          <w:rFonts w:asciiTheme="majorHAnsi" w:eastAsiaTheme="majorEastAsia" w:hAnsiTheme="majorHAnsi" w:cstheme="majorBidi"/>
          <w:i/>
          <w:iCs/>
          <w:color w:val="4F81BD" w:themeColor="accent1"/>
          <w:spacing w:val="15"/>
          <w:szCs w:val="24"/>
          <w:lang w:eastAsia="en-US"/>
        </w:rPr>
        <w:lastRenderedPageBreak/>
        <w:t>Arhitektura mreže HT-a za potrebe TDM međupovezivanja</w:t>
      </w:r>
      <w:r w:rsidRPr="0011775E">
        <w:rPr>
          <w:rFonts w:cstheme="minorHAnsi"/>
          <w:szCs w:val="24"/>
          <w:lang w:eastAsia="en-US"/>
        </w:rPr>
        <w:t xml:space="preserve"> </w:t>
      </w:r>
    </w:p>
    <w:p w:rsidR="0011775E" w:rsidRPr="0011775E" w:rsidRDefault="0011775E" w:rsidP="0011775E">
      <w:pPr>
        <w:jc w:val="both"/>
        <w:rPr>
          <w:rFonts w:cstheme="minorHAnsi"/>
          <w:szCs w:val="24"/>
          <w:lang w:eastAsia="en-US"/>
        </w:rPr>
      </w:pPr>
    </w:p>
    <w:p w:rsidR="0011775E" w:rsidRPr="0011775E" w:rsidRDefault="0011775E" w:rsidP="0011775E">
      <w:pPr>
        <w:jc w:val="both"/>
        <w:rPr>
          <w:szCs w:val="24"/>
        </w:rPr>
      </w:pPr>
      <w:r w:rsidRPr="0011775E">
        <w:rPr>
          <w:rFonts w:eastAsia="Times New Roman" w:cstheme="minorHAnsi"/>
          <w:szCs w:val="24"/>
          <w:lang w:eastAsia="en-US"/>
        </w:rPr>
        <w:t xml:space="preserve">Usluga veleprodajnog završavanja poziva sastoji se od prenošenja poziva od prve pristupne točke mreže na koju je spojen drugi operator pa do krajnjeg korisnika. </w:t>
      </w:r>
      <w:r w:rsidRPr="0011775E">
        <w:rPr>
          <w:szCs w:val="24"/>
        </w:rPr>
        <w:t xml:space="preserve">Od 1. siječnja 2016. HT ima samo jednu pristupnu razinu za potrebe TDM međupovezivanja, i to regionalnu. Navedeno je prikazano na sljedećoj slici: </w:t>
      </w:r>
    </w:p>
    <w:p w:rsidR="0011775E" w:rsidRPr="0011775E" w:rsidRDefault="0011775E" w:rsidP="0011775E">
      <w:pPr>
        <w:jc w:val="both"/>
        <w:rPr>
          <w:szCs w:val="24"/>
        </w:rPr>
      </w:pPr>
    </w:p>
    <w:p w:rsidR="009D2350" w:rsidRDefault="009D2350" w:rsidP="009D2350">
      <w:pPr>
        <w:pStyle w:val="Caption"/>
        <w:jc w:val="both"/>
      </w:pPr>
      <w:bookmarkStart w:id="62" w:name="_Toc525551857"/>
      <w:r>
        <w:t xml:space="preserve">Slika </w:t>
      </w:r>
      <w:r w:rsidR="00D7656B">
        <w:rPr>
          <w:noProof/>
        </w:rPr>
        <w:fldChar w:fldCharType="begin"/>
      </w:r>
      <w:r w:rsidR="00D7656B">
        <w:rPr>
          <w:noProof/>
        </w:rPr>
        <w:instrText xml:space="preserve"> SEQ Slika \* ARABIC </w:instrText>
      </w:r>
      <w:r w:rsidR="00D7656B">
        <w:rPr>
          <w:noProof/>
        </w:rPr>
        <w:fldChar w:fldCharType="separate"/>
      </w:r>
      <w:r w:rsidR="00B02775">
        <w:rPr>
          <w:noProof/>
        </w:rPr>
        <w:t>1</w:t>
      </w:r>
      <w:r w:rsidR="00D7656B">
        <w:rPr>
          <w:noProof/>
        </w:rPr>
        <w:fldChar w:fldCharType="end"/>
      </w:r>
      <w:r>
        <w:t xml:space="preserve"> </w:t>
      </w:r>
      <w:r w:rsidRPr="0011775E">
        <w:rPr>
          <w:rFonts w:eastAsiaTheme="majorEastAsia" w:cstheme="minorHAnsi"/>
          <w:szCs w:val="24"/>
          <w:lang w:eastAsia="en-US"/>
        </w:rPr>
        <w:t>Usluga završavanja u HT-ovu mrežu od 1.siječnja 2016.</w:t>
      </w:r>
      <w:bookmarkEnd w:id="62"/>
    </w:p>
    <w:p w:rsidR="0011775E" w:rsidRPr="0011775E" w:rsidRDefault="0011775E" w:rsidP="0011775E">
      <w:pPr>
        <w:spacing w:after="200" w:line="276" w:lineRule="auto"/>
        <w:jc w:val="both"/>
        <w:rPr>
          <w:rFonts w:eastAsia="Times New Roman" w:cstheme="minorHAnsi"/>
          <w:szCs w:val="24"/>
          <w:lang w:eastAsia="en-US"/>
        </w:rPr>
      </w:pPr>
      <w:r w:rsidRPr="0011775E">
        <w:rPr>
          <w:noProof/>
          <w:lang w:val="en-US" w:eastAsia="en-US"/>
        </w:rPr>
        <mc:AlternateContent>
          <mc:Choice Requires="wpg">
            <w:drawing>
              <wp:inline distT="0" distB="0" distL="0" distR="0" wp14:anchorId="452A05B2" wp14:editId="78295673">
                <wp:extent cx="4389120" cy="3261995"/>
                <wp:effectExtent l="9525" t="0" r="1905" b="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9120" cy="3261995"/>
                          <a:chOff x="0" y="0"/>
                          <a:chExt cx="52659" cy="34454"/>
                        </a:xfrm>
                      </wpg:grpSpPr>
                      <wps:wsp>
                        <wps:cNvPr id="4" name="Straight Arrow Connector 50"/>
                        <wps:cNvCnPr>
                          <a:cxnSpLocks noChangeShapeType="1"/>
                        </wps:cNvCnPr>
                        <wps:spPr bwMode="auto">
                          <a:xfrm flipH="1">
                            <a:off x="18855" y="18194"/>
                            <a:ext cx="7265" cy="4446"/>
                          </a:xfrm>
                          <a:prstGeom prst="straightConnector1">
                            <a:avLst/>
                          </a:prstGeom>
                          <a:noFill/>
                          <a:ln w="9525">
                            <a:solidFill>
                              <a:srgbClr val="4A7EBB"/>
                            </a:solidFill>
                            <a:round/>
                            <a:headEnd/>
                            <a:tailEnd type="arrow" w="med" len="med"/>
                          </a:ln>
                          <a:extLst>
                            <a:ext uri="{909E8E84-426E-40DD-AFC4-6F175D3DCCD1}">
                              <a14:hiddenFill xmlns:a14="http://schemas.microsoft.com/office/drawing/2010/main">
                                <a:noFill/>
                              </a14:hiddenFill>
                            </a:ext>
                          </a:extLst>
                        </wps:spPr>
                        <wps:bodyPr/>
                      </wps:wsp>
                      <wpg:grpSp>
                        <wpg:cNvPr id="8" name="Group 51"/>
                        <wpg:cNvGrpSpPr>
                          <a:grpSpLocks/>
                        </wpg:cNvGrpSpPr>
                        <wpg:grpSpPr bwMode="auto">
                          <a:xfrm>
                            <a:off x="8997" y="0"/>
                            <a:ext cx="28138" cy="29914"/>
                            <a:chOff x="648" y="0"/>
                            <a:chExt cx="37175" cy="40412"/>
                          </a:xfrm>
                        </wpg:grpSpPr>
                        <wpg:grpSp>
                          <wpg:cNvPr id="9" name="Group 52"/>
                          <wpg:cNvGrpSpPr>
                            <a:grpSpLocks/>
                          </wpg:cNvGrpSpPr>
                          <wpg:grpSpPr bwMode="auto">
                            <a:xfrm>
                              <a:off x="12390" y="0"/>
                              <a:ext cx="25434" cy="15432"/>
                              <a:chOff x="-1727" y="0"/>
                              <a:chExt cx="25433" cy="15432"/>
                            </a:xfrm>
                          </wpg:grpSpPr>
                          <wps:wsp>
                            <wps:cNvPr id="30" name="Cloud 53"/>
                            <wps:cNvSpPr>
                              <a:spLocks/>
                            </wps:cNvSpPr>
                            <wps:spPr bwMode="auto">
                              <a:xfrm>
                                <a:off x="-1727" y="10669"/>
                                <a:ext cx="25418" cy="4763"/>
                              </a:xfrm>
                              <a:custGeom>
                                <a:avLst/>
                                <a:gdLst>
                                  <a:gd name="T0" fmla="*/ 276133 w 43200"/>
                                  <a:gd name="T1" fmla="*/ 288654 h 43200"/>
                                  <a:gd name="T2" fmla="*/ 127093 w 43200"/>
                                  <a:gd name="T3" fmla="*/ 279865 h 43200"/>
                                  <a:gd name="T4" fmla="*/ 407639 w 43200"/>
                                  <a:gd name="T5" fmla="*/ 384831 h 43200"/>
                                  <a:gd name="T6" fmla="*/ 342445 w 43200"/>
                                  <a:gd name="T7" fmla="*/ 389032 h 43200"/>
                                  <a:gd name="T8" fmla="*/ 969555 w 43200"/>
                                  <a:gd name="T9" fmla="*/ 431045 h 43200"/>
                                  <a:gd name="T10" fmla="*/ 930251 w 43200"/>
                                  <a:gd name="T11" fmla="*/ 411858 h 43200"/>
                                  <a:gd name="T12" fmla="*/ 1696163 w 43200"/>
                                  <a:gd name="T13" fmla="*/ 383199 h 43200"/>
                                  <a:gd name="T14" fmla="*/ 1680453 w 43200"/>
                                  <a:gd name="T15" fmla="*/ 404249 h 43200"/>
                                  <a:gd name="T16" fmla="*/ 2008129 w 43200"/>
                                  <a:gd name="T17" fmla="*/ 253114 h 43200"/>
                                  <a:gd name="T18" fmla="*/ 2199416 w 43200"/>
                                  <a:gd name="T19" fmla="*/ 331802 h 43200"/>
                                  <a:gd name="T20" fmla="*/ 2459368 w 43200"/>
                                  <a:gd name="T21" fmla="*/ 169308 h 43200"/>
                                  <a:gd name="T22" fmla="*/ 2374169 w 43200"/>
                                  <a:gd name="T23" fmla="*/ 198817 h 43200"/>
                                  <a:gd name="T24" fmla="*/ 2254960 w 43200"/>
                                  <a:gd name="T25" fmla="*/ 59832 h 43200"/>
                                  <a:gd name="T26" fmla="*/ 2259432 w 43200"/>
                                  <a:gd name="T27" fmla="*/ 73771 h 43200"/>
                                  <a:gd name="T28" fmla="*/ 1710931 w 43200"/>
                                  <a:gd name="T29" fmla="*/ 43579 h 43200"/>
                                  <a:gd name="T30" fmla="*/ 1754590 w 43200"/>
                                  <a:gd name="T31" fmla="*/ 25803 h 43200"/>
                                  <a:gd name="T32" fmla="*/ 1302763 w 43200"/>
                                  <a:gd name="T33" fmla="*/ 52047 h 43200"/>
                                  <a:gd name="T34" fmla="*/ 1323886 w 43200"/>
                                  <a:gd name="T35" fmla="*/ 36720 h 43200"/>
                                  <a:gd name="T36" fmla="*/ 823751 w 43200"/>
                                  <a:gd name="T37" fmla="*/ 57252 h 43200"/>
                                  <a:gd name="T38" fmla="*/ 900242 w 43200"/>
                                  <a:gd name="T39" fmla="*/ 72117 h 43200"/>
                                  <a:gd name="T40" fmla="*/ 242830 w 43200"/>
                                  <a:gd name="T41" fmla="*/ 174105 h 43200"/>
                                  <a:gd name="T42" fmla="*/ 229474 w 43200"/>
                                  <a:gd name="T43" fmla="*/ 158458 h 43200"/>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43200" h="43200">
                                    <a:moveTo>
                                      <a:pt x="3900" y="14370"/>
                                    </a:moveTo>
                                    <a:cubicBezTo>
                                      <a:pt x="3629" y="11657"/>
                                      <a:pt x="4261" y="8921"/>
                                      <a:pt x="5623" y="6907"/>
                                    </a:cubicBezTo>
                                    <a:cubicBezTo>
                                      <a:pt x="7775" y="3726"/>
                                      <a:pt x="11264" y="3017"/>
                                      <a:pt x="14005" y="5202"/>
                                    </a:cubicBezTo>
                                    <a:cubicBezTo>
                                      <a:pt x="15678" y="909"/>
                                      <a:pt x="19914" y="22"/>
                                      <a:pt x="22456" y="3432"/>
                                    </a:cubicBezTo>
                                    <a:cubicBezTo>
                                      <a:pt x="23097" y="1683"/>
                                      <a:pt x="24328" y="474"/>
                                      <a:pt x="25749" y="200"/>
                                    </a:cubicBezTo>
                                    <a:cubicBezTo>
                                      <a:pt x="27313" y="-102"/>
                                      <a:pt x="28875" y="770"/>
                                      <a:pt x="29833" y="2481"/>
                                    </a:cubicBezTo>
                                    <a:cubicBezTo>
                                      <a:pt x="31215" y="267"/>
                                      <a:pt x="33501" y="-460"/>
                                      <a:pt x="35463" y="690"/>
                                    </a:cubicBezTo>
                                    <a:cubicBezTo>
                                      <a:pt x="36958" y="1566"/>
                                      <a:pt x="38030" y="3400"/>
                                      <a:pt x="38318" y="5576"/>
                                    </a:cubicBezTo>
                                    <a:cubicBezTo>
                                      <a:pt x="40046" y="6218"/>
                                      <a:pt x="41422" y="7998"/>
                                      <a:pt x="41982" y="10318"/>
                                    </a:cubicBezTo>
                                    <a:cubicBezTo>
                                      <a:pt x="42389" y="12002"/>
                                      <a:pt x="42331" y="13831"/>
                                      <a:pt x="41818" y="15460"/>
                                    </a:cubicBezTo>
                                    <a:cubicBezTo>
                                      <a:pt x="43079" y="17694"/>
                                      <a:pt x="43520" y="20590"/>
                                      <a:pt x="43016" y="23322"/>
                                    </a:cubicBezTo>
                                    <a:cubicBezTo>
                                      <a:pt x="42346" y="26954"/>
                                      <a:pt x="40128" y="29674"/>
                                      <a:pt x="37404" y="30204"/>
                                    </a:cubicBezTo>
                                    <a:cubicBezTo>
                                      <a:pt x="37391" y="32471"/>
                                      <a:pt x="36658" y="34621"/>
                                      <a:pt x="35395" y="36101"/>
                                    </a:cubicBezTo>
                                    <a:cubicBezTo>
                                      <a:pt x="33476" y="38350"/>
                                      <a:pt x="30704" y="38639"/>
                                      <a:pt x="28555" y="36815"/>
                                    </a:cubicBezTo>
                                    <a:cubicBezTo>
                                      <a:pt x="27860" y="39948"/>
                                      <a:pt x="25999" y="42343"/>
                                      <a:pt x="23667" y="43106"/>
                                    </a:cubicBezTo>
                                    <a:cubicBezTo>
                                      <a:pt x="20919" y="44005"/>
                                      <a:pt x="18051" y="42473"/>
                                      <a:pt x="16480" y="39266"/>
                                    </a:cubicBezTo>
                                    <a:cubicBezTo>
                                      <a:pt x="12772" y="42310"/>
                                      <a:pt x="7956" y="40599"/>
                                      <a:pt x="5804" y="35472"/>
                                    </a:cubicBezTo>
                                    <a:cubicBezTo>
                                      <a:pt x="3690" y="35809"/>
                                      <a:pt x="1705" y="34024"/>
                                      <a:pt x="1110" y="31250"/>
                                    </a:cubicBezTo>
                                    <a:cubicBezTo>
                                      <a:pt x="679" y="29243"/>
                                      <a:pt x="1060" y="27077"/>
                                      <a:pt x="2113" y="25551"/>
                                    </a:cubicBezTo>
                                    <a:cubicBezTo>
                                      <a:pt x="619" y="24354"/>
                                      <a:pt x="-213" y="22057"/>
                                      <a:pt x="-5" y="19704"/>
                                    </a:cubicBezTo>
                                    <a:cubicBezTo>
                                      <a:pt x="239" y="16949"/>
                                      <a:pt x="1845" y="14791"/>
                                      <a:pt x="3863" y="14507"/>
                                    </a:cubicBezTo>
                                    <a:cubicBezTo>
                                      <a:pt x="3875" y="14461"/>
                                      <a:pt x="3888" y="14416"/>
                                      <a:pt x="3900" y="14370"/>
                                    </a:cubicBezTo>
                                    <a:close/>
                                  </a:path>
                                  <a:path w="43200" h="43200" fill="none">
                                    <a:moveTo>
                                      <a:pt x="4693" y="26177"/>
                                    </a:moveTo>
                                    <a:cubicBezTo>
                                      <a:pt x="3809" y="26271"/>
                                      <a:pt x="2925" y="25993"/>
                                      <a:pt x="2160" y="25380"/>
                                    </a:cubicBezTo>
                                    <a:moveTo>
                                      <a:pt x="6928" y="34899"/>
                                    </a:moveTo>
                                    <a:cubicBezTo>
                                      <a:pt x="6573" y="35092"/>
                                      <a:pt x="6200" y="35220"/>
                                      <a:pt x="5820" y="35280"/>
                                    </a:cubicBezTo>
                                    <a:moveTo>
                                      <a:pt x="16478" y="39090"/>
                                    </a:moveTo>
                                    <a:cubicBezTo>
                                      <a:pt x="16211" y="38544"/>
                                      <a:pt x="15987" y="37961"/>
                                      <a:pt x="15810" y="37350"/>
                                    </a:cubicBezTo>
                                    <a:moveTo>
                                      <a:pt x="28827" y="34751"/>
                                    </a:moveTo>
                                    <a:cubicBezTo>
                                      <a:pt x="28788" y="35398"/>
                                      <a:pt x="28698" y="36038"/>
                                      <a:pt x="28560" y="36660"/>
                                    </a:cubicBezTo>
                                    <a:moveTo>
                                      <a:pt x="34129" y="22954"/>
                                    </a:moveTo>
                                    <a:cubicBezTo>
                                      <a:pt x="36133" y="24282"/>
                                      <a:pt x="37398" y="27058"/>
                                      <a:pt x="37380" y="30090"/>
                                    </a:cubicBezTo>
                                    <a:moveTo>
                                      <a:pt x="41798" y="15354"/>
                                    </a:moveTo>
                                    <a:cubicBezTo>
                                      <a:pt x="41473" y="16386"/>
                                      <a:pt x="40978" y="17302"/>
                                      <a:pt x="40350" y="18030"/>
                                    </a:cubicBezTo>
                                    <a:moveTo>
                                      <a:pt x="38324" y="5426"/>
                                    </a:moveTo>
                                    <a:cubicBezTo>
                                      <a:pt x="38379" y="5843"/>
                                      <a:pt x="38405" y="6266"/>
                                      <a:pt x="38400" y="6690"/>
                                    </a:cubicBezTo>
                                    <a:moveTo>
                                      <a:pt x="29078" y="3952"/>
                                    </a:moveTo>
                                    <a:cubicBezTo>
                                      <a:pt x="29267" y="3369"/>
                                      <a:pt x="29516" y="2826"/>
                                      <a:pt x="29820" y="2340"/>
                                    </a:cubicBezTo>
                                    <a:moveTo>
                                      <a:pt x="22141" y="4720"/>
                                    </a:moveTo>
                                    <a:cubicBezTo>
                                      <a:pt x="22218" y="4238"/>
                                      <a:pt x="22339" y="3771"/>
                                      <a:pt x="22500" y="3330"/>
                                    </a:cubicBezTo>
                                    <a:moveTo>
                                      <a:pt x="14000" y="5192"/>
                                    </a:moveTo>
                                    <a:cubicBezTo>
                                      <a:pt x="14472" y="5568"/>
                                      <a:pt x="14908" y="6021"/>
                                      <a:pt x="15300" y="6540"/>
                                    </a:cubicBezTo>
                                    <a:moveTo>
                                      <a:pt x="4127" y="15789"/>
                                    </a:moveTo>
                                    <a:cubicBezTo>
                                      <a:pt x="4024" y="15325"/>
                                      <a:pt x="3948" y="14851"/>
                                      <a:pt x="3900" y="14370"/>
                                    </a:cubicBezTo>
                                  </a:path>
                                </a:pathLst>
                              </a:custGeom>
                              <a:noFill/>
                              <a:ln w="6350">
                                <a:solidFill>
                                  <a:srgbClr val="3760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1" name="Text Box 54"/>
                            <wps:cNvSpPr txBox="1">
                              <a:spLocks noChangeArrowheads="1"/>
                            </wps:cNvSpPr>
                            <wps:spPr bwMode="auto">
                              <a:xfrm>
                                <a:off x="-1727" y="11263"/>
                                <a:ext cx="25432" cy="3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73243" w:rsidRPr="002E3F41" w:rsidRDefault="00373243" w:rsidP="0011775E">
                                  <w:pPr>
                                    <w:jc w:val="center"/>
                                    <w:rPr>
                                      <w:color w:val="365F91" w:themeColor="accent1" w:themeShade="BF"/>
                                      <w:sz w:val="16"/>
                                      <w:szCs w:val="16"/>
                                    </w:rPr>
                                  </w:pPr>
                                  <w:r w:rsidRPr="002E3F41">
                                    <w:rPr>
                                      <w:color w:val="365F91" w:themeColor="accent1" w:themeShade="BF"/>
                                      <w:sz w:val="16"/>
                                      <w:szCs w:val="16"/>
                                    </w:rPr>
                                    <w:t xml:space="preserve">Operator </w:t>
                                  </w:r>
                                  <w:r>
                                    <w:rPr>
                                      <w:color w:val="365F91" w:themeColor="accent1" w:themeShade="BF"/>
                                      <w:sz w:val="16"/>
                                      <w:szCs w:val="16"/>
                                    </w:rPr>
                                    <w:t>B</w:t>
                                  </w:r>
                                </w:p>
                              </w:txbxContent>
                            </wps:txbx>
                            <wps:bodyPr rot="0" vert="horz" wrap="square" lIns="91440" tIns="45720" rIns="91440" bIns="45720" anchor="t" anchorCtr="0" upright="1">
                              <a:noAutofit/>
                            </wps:bodyPr>
                          </wps:wsp>
                          <pic:pic xmlns:pic="http://schemas.openxmlformats.org/drawingml/2006/picture">
                            <pic:nvPicPr>
                              <pic:cNvPr id="32" name="Picture 55"/>
                              <pic:cNvPicPr>
                                <a:picLocks noChangeAspect="1"/>
                              </pic:cNvPicPr>
                            </pic:nvPicPr>
                            <pic:blipFill>
                              <a:blip r:embed="rId29">
                                <a:extLst>
                                  <a:ext uri="{28A0092B-C50C-407E-A947-70E740481C1C}">
                                    <a14:useLocalDpi xmlns:a14="http://schemas.microsoft.com/office/drawing/2010/main" val="0"/>
                                  </a:ext>
                                </a:extLst>
                              </a:blip>
                              <a:srcRect/>
                              <a:stretch>
                                <a:fillRect/>
                              </a:stretch>
                            </pic:blipFill>
                            <pic:spPr bwMode="auto">
                              <a:xfrm>
                                <a:off x="7827" y="0"/>
                                <a:ext cx="6819" cy="6071"/>
                              </a:xfrm>
                              <a:prstGeom prst="rect">
                                <a:avLst/>
                              </a:prstGeom>
                              <a:noFill/>
                              <a:extLst>
                                <a:ext uri="{909E8E84-426E-40DD-AFC4-6F175D3DCCD1}">
                                  <a14:hiddenFill xmlns:a14="http://schemas.microsoft.com/office/drawing/2010/main">
                                    <a:solidFill>
                                      <a:srgbClr val="FFFFFF"/>
                                    </a:solidFill>
                                  </a14:hiddenFill>
                                </a:ext>
                              </a:extLst>
                            </pic:spPr>
                          </pic:pic>
                          <wps:wsp>
                            <wps:cNvPr id="33" name="Straight Connector 56"/>
                            <wps:cNvCnPr>
                              <a:cxnSpLocks noChangeShapeType="1"/>
                            </wps:cNvCnPr>
                            <wps:spPr bwMode="auto">
                              <a:xfrm flipH="1">
                                <a:off x="10981" y="6070"/>
                                <a:ext cx="256" cy="4871"/>
                              </a:xfrm>
                              <a:prstGeom prst="line">
                                <a:avLst/>
                              </a:prstGeom>
                              <a:noFill/>
                              <a:ln w="9525">
                                <a:solidFill>
                                  <a:srgbClr val="4A7EBB"/>
                                </a:solidFill>
                                <a:round/>
                                <a:headEnd/>
                                <a:tailEnd/>
                              </a:ln>
                              <a:extLst>
                                <a:ext uri="{909E8E84-426E-40DD-AFC4-6F175D3DCCD1}">
                                  <a14:hiddenFill xmlns:a14="http://schemas.microsoft.com/office/drawing/2010/main">
                                    <a:noFill/>
                                  </a14:hiddenFill>
                                </a:ext>
                              </a:extLst>
                            </wps:spPr>
                            <wps:bodyPr/>
                          </wps:wsp>
                        </wpg:grpSp>
                        <pic:pic xmlns:pic="http://schemas.openxmlformats.org/drawingml/2006/picture">
                          <pic:nvPicPr>
                            <pic:cNvPr id="34" name="Picture 57"/>
                            <pic:cNvPicPr>
                              <a:picLocks noChangeAspect="1"/>
                            </pic:cNvPicPr>
                          </pic:nvPicPr>
                          <pic:blipFill>
                            <a:blip r:embed="rId29">
                              <a:extLst>
                                <a:ext uri="{28A0092B-C50C-407E-A947-70E740481C1C}">
                                  <a14:useLocalDpi xmlns:a14="http://schemas.microsoft.com/office/drawing/2010/main" val="0"/>
                                </a:ext>
                              </a:extLst>
                            </a:blip>
                            <a:srcRect/>
                            <a:stretch>
                              <a:fillRect/>
                            </a:stretch>
                          </pic:blipFill>
                          <pic:spPr bwMode="auto">
                            <a:xfrm>
                              <a:off x="8406" y="30586"/>
                              <a:ext cx="6676" cy="6071"/>
                            </a:xfrm>
                            <a:prstGeom prst="rect">
                              <a:avLst/>
                            </a:prstGeom>
                            <a:noFill/>
                            <a:extLst>
                              <a:ext uri="{909E8E84-426E-40DD-AFC4-6F175D3DCCD1}">
                                <a14:hiddenFill xmlns:a14="http://schemas.microsoft.com/office/drawing/2010/main">
                                  <a:solidFill>
                                    <a:srgbClr val="FFFFFF"/>
                                  </a:solidFill>
                                </a14:hiddenFill>
                              </a:ext>
                            </a:extLst>
                          </pic:spPr>
                        </pic:pic>
                        <wpg:grpSp>
                          <wpg:cNvPr id="35" name="Group 58"/>
                          <wpg:cNvGrpSpPr>
                            <a:grpSpLocks/>
                          </wpg:cNvGrpSpPr>
                          <wpg:grpSpPr bwMode="auto">
                            <a:xfrm>
                              <a:off x="16605" y="19970"/>
                              <a:ext cx="19897" cy="4609"/>
                              <a:chOff x="0" y="0"/>
                              <a:chExt cx="9582" cy="6432"/>
                            </a:xfrm>
                          </wpg:grpSpPr>
                          <wps:wsp>
                            <wps:cNvPr id="36" name="Rectangle 59"/>
                            <wps:cNvSpPr>
                              <a:spLocks noChangeArrowheads="1"/>
                            </wps:cNvSpPr>
                            <wps:spPr bwMode="auto">
                              <a:xfrm>
                                <a:off x="0" y="0"/>
                                <a:ext cx="9582" cy="6432"/>
                              </a:xfrm>
                              <a:prstGeom prst="rect">
                                <a:avLst/>
                              </a:prstGeom>
                              <a:noFill/>
                              <a:ln w="9525">
                                <a:solidFill>
                                  <a:srgbClr val="385D8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7" name="Text Box 60"/>
                            <wps:cNvSpPr txBox="1">
                              <a:spLocks noChangeArrowheads="1"/>
                            </wps:cNvSpPr>
                            <wps:spPr bwMode="auto">
                              <a:xfrm>
                                <a:off x="0" y="730"/>
                                <a:ext cx="9189" cy="5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73243" w:rsidRPr="003C7E20" w:rsidRDefault="00373243" w:rsidP="0011775E">
                                  <w:pPr>
                                    <w:jc w:val="center"/>
                                    <w:rPr>
                                      <w:sz w:val="16"/>
                                      <w:szCs w:val="16"/>
                                    </w:rPr>
                                  </w:pPr>
                                  <w:r w:rsidRPr="003C7E20">
                                    <w:rPr>
                                      <w:sz w:val="16"/>
                                      <w:szCs w:val="16"/>
                                    </w:rPr>
                                    <w:t>Regionalna centrala</w:t>
                                  </w:r>
                                  <w:r>
                                    <w:rPr>
                                      <w:sz w:val="16"/>
                                      <w:szCs w:val="16"/>
                                    </w:rPr>
                                    <w:t xml:space="preserve"> </w:t>
                                  </w:r>
                                  <w:r w:rsidRPr="003C7E20">
                                    <w:rPr>
                                      <w:sz w:val="16"/>
                                      <w:szCs w:val="16"/>
                                    </w:rPr>
                                    <w:t>A1</w:t>
                                  </w:r>
                                </w:p>
                              </w:txbxContent>
                            </wps:txbx>
                            <wps:bodyPr rot="0" vert="horz" wrap="square" lIns="91440" tIns="45720" rIns="91440" bIns="45720" anchor="t" anchorCtr="0" upright="1">
                              <a:noAutofit/>
                            </wps:bodyPr>
                          </wps:wsp>
                        </wpg:grpSp>
                        <wps:wsp>
                          <wps:cNvPr id="38" name="Straight Connector 66"/>
                          <wps:cNvCnPr>
                            <a:cxnSpLocks noChangeShapeType="1"/>
                          </wps:cNvCnPr>
                          <wps:spPr bwMode="auto">
                            <a:xfrm>
                              <a:off x="24725" y="15435"/>
                              <a:ext cx="10" cy="4540"/>
                            </a:xfrm>
                            <a:prstGeom prst="line">
                              <a:avLst/>
                            </a:prstGeom>
                            <a:noFill/>
                            <a:ln w="9525">
                              <a:solidFill>
                                <a:srgbClr val="4A7EBB"/>
                              </a:solidFill>
                              <a:round/>
                              <a:headEnd/>
                              <a:tailEnd/>
                            </a:ln>
                            <a:extLst>
                              <a:ext uri="{909E8E84-426E-40DD-AFC4-6F175D3DCCD1}">
                                <a14:hiddenFill xmlns:a14="http://schemas.microsoft.com/office/drawing/2010/main">
                                  <a:noFill/>
                                </a14:hiddenFill>
                              </a:ext>
                            </a:extLst>
                          </wps:spPr>
                          <wps:bodyPr/>
                        </wps:wsp>
                        <wps:wsp>
                          <wps:cNvPr id="39" name="Text Box 68"/>
                          <wps:cNvSpPr txBox="1">
                            <a:spLocks noChangeArrowheads="1"/>
                          </wps:cNvSpPr>
                          <wps:spPr bwMode="auto">
                            <a:xfrm>
                              <a:off x="648" y="37398"/>
                              <a:ext cx="19965" cy="30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73243" w:rsidRPr="002E3F41" w:rsidRDefault="00373243" w:rsidP="0011775E">
                                <w:pPr>
                                  <w:jc w:val="center"/>
                                  <w:rPr>
                                    <w:color w:val="C00000"/>
                                    <w:sz w:val="16"/>
                                    <w:szCs w:val="16"/>
                                  </w:rPr>
                                </w:pPr>
                                <w:r w:rsidRPr="002E3F41">
                                  <w:rPr>
                                    <w:color w:val="C00000"/>
                                    <w:sz w:val="16"/>
                                    <w:szCs w:val="16"/>
                                  </w:rPr>
                                  <w:t xml:space="preserve">Pretplatnik </w:t>
                                </w:r>
                                <w:r>
                                  <w:rPr>
                                    <w:color w:val="C00000"/>
                                    <w:sz w:val="16"/>
                                    <w:szCs w:val="16"/>
                                  </w:rPr>
                                  <w:t>Operatora A</w:t>
                                </w:r>
                              </w:p>
                            </w:txbxContent>
                          </wps:txbx>
                          <wps:bodyPr rot="0" vert="horz" wrap="square" lIns="91440" tIns="45720" rIns="91440" bIns="45720" anchor="t" anchorCtr="0" upright="1">
                            <a:noAutofit/>
                          </wps:bodyPr>
                        </wps:wsp>
                      </wpg:grpSp>
                      <wps:wsp>
                        <wps:cNvPr id="40" name="Straight Arrow Connector 69"/>
                        <wps:cNvCnPr>
                          <a:cxnSpLocks noChangeShapeType="1"/>
                        </wps:cNvCnPr>
                        <wps:spPr bwMode="auto">
                          <a:xfrm flipV="1">
                            <a:off x="0" y="32113"/>
                            <a:ext cx="5702" cy="70"/>
                          </a:xfrm>
                          <a:prstGeom prst="straightConnector1">
                            <a:avLst/>
                          </a:prstGeom>
                          <a:noFill/>
                          <a:ln w="9525">
                            <a:solidFill>
                              <a:srgbClr val="4A7EBB"/>
                            </a:solidFill>
                            <a:round/>
                            <a:headEnd/>
                            <a:tailEnd type="arrow" w="med" len="med"/>
                          </a:ln>
                          <a:extLst>
                            <a:ext uri="{909E8E84-426E-40DD-AFC4-6F175D3DCCD1}">
                              <a14:hiddenFill xmlns:a14="http://schemas.microsoft.com/office/drawing/2010/main">
                                <a:noFill/>
                              </a14:hiddenFill>
                            </a:ext>
                          </a:extLst>
                        </wps:spPr>
                        <wps:bodyPr/>
                      </wps:wsp>
                      <wps:wsp>
                        <wps:cNvPr id="41" name="Text Box 70"/>
                        <wps:cNvSpPr txBox="1">
                          <a:spLocks noChangeArrowheads="1"/>
                        </wps:cNvSpPr>
                        <wps:spPr bwMode="auto">
                          <a:xfrm>
                            <a:off x="6437" y="30650"/>
                            <a:ext cx="46222" cy="3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373243" w:rsidRPr="00677A60" w:rsidRDefault="00373243" w:rsidP="0011775E">
                              <w:pPr>
                                <w:rPr>
                                  <w:sz w:val="16"/>
                                  <w:szCs w:val="16"/>
                                </w:rPr>
                              </w:pPr>
                              <w:r>
                                <w:rPr>
                                  <w:sz w:val="16"/>
                                  <w:szCs w:val="16"/>
                                </w:rPr>
                                <w:t>Završavanje poziva</w:t>
                              </w:r>
                              <w:r w:rsidRPr="00677A60">
                                <w:rPr>
                                  <w:sz w:val="16"/>
                                  <w:szCs w:val="16"/>
                                </w:rPr>
                                <w:t xml:space="preserve"> pretplatnika </w:t>
                              </w:r>
                              <w:r>
                                <w:rPr>
                                  <w:sz w:val="16"/>
                                  <w:szCs w:val="16"/>
                                </w:rPr>
                                <w:t>Operatora B, koji je povezan na regionalnoj pristupnoj točki A1</w:t>
                              </w:r>
                              <w:r w:rsidRPr="00677A60">
                                <w:rPr>
                                  <w:sz w:val="16"/>
                                  <w:szCs w:val="16"/>
                                </w:rPr>
                                <w:t xml:space="preserve"> prema pretplatniku </w:t>
                              </w:r>
                              <w:r>
                                <w:rPr>
                                  <w:sz w:val="16"/>
                                  <w:szCs w:val="16"/>
                                </w:rPr>
                                <w:t>O</w:t>
                              </w:r>
                              <w:r w:rsidRPr="00677A60">
                                <w:rPr>
                                  <w:sz w:val="16"/>
                                  <w:szCs w:val="16"/>
                                </w:rPr>
                                <w:t xml:space="preserve">peratora </w:t>
                              </w:r>
                              <w:r>
                                <w:rPr>
                                  <w:sz w:val="16"/>
                                  <w:szCs w:val="16"/>
                                </w:rPr>
                                <w:t>A</w:t>
                              </w:r>
                              <w:r w:rsidRPr="00677A60">
                                <w:rPr>
                                  <w:sz w:val="16"/>
                                  <w:szCs w:val="16"/>
                                </w:rPr>
                                <w:t xml:space="preserve"> </w:t>
                              </w:r>
                            </w:p>
                          </w:txbxContent>
                        </wps:txbx>
                        <wps:bodyPr rot="0" vert="horz" wrap="square" lIns="91440" tIns="45720" rIns="91440" bIns="45720" anchor="t" anchorCtr="0" upright="1">
                          <a:noAutofit/>
                        </wps:bodyPr>
                      </wps:wsp>
                    </wpg:wgp>
                  </a:graphicData>
                </a:graphic>
              </wp:inline>
            </w:drawing>
          </mc:Choice>
          <mc:Fallback>
            <w:pict>
              <v:group id="Group 2" o:spid="_x0000_s1026" style="width:345.6pt;height:256.85pt;mso-position-horizontal-relative:char;mso-position-vertical-relative:line" coordsize="52659,344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">
                <v:shapetype id="_x0000_t32" coordsize="21600,21600" o:spt="32" o:oned="t" path="m,l21600,21600e" filled="f">
                  <v:path arrowok="t" fillok="f" o:connecttype="none"/>
                  <o:lock v:ext="edit" shapetype="t"/>
                </v:shapetype>
                <v:shape id="Straight Arrow Connector 50" o:spid="_x0000_s1027" type="#_x0000_t32" style="position:absolute;left:18855;top:18194;width:7265;height:444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Uzc8AAAADaAAAADwAAAGRycy9kb3ducmV2LnhtbESP0YrCMBRE3wX/IVxh3zRVRJZqFBFE&#10;hXWh1Q+4NNe22NyUJNbu328EwcdhZs4wq01vGtGR87VlBdNJAoK4sLrmUsH1sh9/g/ABWWNjmRT8&#10;kYfNejhYYartkzPq8lCKCGGfooIqhDaV0hcVGfQT2xJH72adwRClK6V2+Ixw08hZkiykwZrjQoUt&#10;7Soq7vnDKCh+/K87nw+n3TSbZQe+5M2jq5X6GvXbJYhAffiE3+2jVjCH15V4A+T6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S1M3PAAAAA2gAAAA8AAAAAAAAAAAAAAAAA&#10;oQIAAGRycy9kb3ducmV2LnhtbFBLBQYAAAAABAAEAPkAAACOAwAAAAA=&#10;" strokecolor="#4a7ebb">
                  <v:stroke endarrow="open"/>
                </v:shape>
                <v:group id="Group 51" o:spid="_x0000_s1028" style="position:absolute;left:8997;width:28138;height:29914" coordorigin="648" coordsize="37175,404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group id="Group 52" o:spid="_x0000_s1029" style="position:absolute;left:12390;width:25434;height:15432" coordorigin="-1727" coordsize="25433,15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 id="Cloud 53" o:spid="_x0000_s1030" style="position:absolute;left:-1727;top:10669;width:25418;height:4763;visibility:visible;mso-wrap-style:square;v-text-anchor:middle" coordsize="43200,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F33bwA&#10;AADbAAAADwAAAGRycy9kb3ducmV2LnhtbERPy4rCMBTdC/MP4Q7MTtNxQKQaRQYc3fraX5prE2xu&#10;apKx7d+bheDycN7Lde8a8aAQrWcF35MCBHHlteVawfm0Hc9BxISssfFMCgaKsF59jJZYat/xgR7H&#10;VIscwrFEBSaltpQyVoYcxolviTN39cFhyjDUUgfscrhr5LQoZtKh5dxgsKVfQ9Xt+O8UFHbnAm/n&#10;1eUeh26wfyY104NSX5/9ZgEiUZ/e4pd7rxX85PX5S/4BcvUE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aQXfdvAAAANsAAAAPAAAAAAAAAAAAAAAAAJgCAABkcnMvZG93bnJldi54&#10;bWxQSwUGAAAAAAQABAD1AAAAgQM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376092" strokeweight=".5pt">
                      <v:path arrowok="t" o:connecttype="custom" o:connectlocs="162471,31825;74779,30856;239846,42429;201488,42893;570466,47525;547341,45409;997988,42249;988744,44570;1181542,27907;1294092,36583;1447042,18667;1396913,21920;1326773,6597;1329404,8134;1006677,4805;1032365,2845;766519,5738;778948,4049;484678,6312;529684,7951;142876,19196;135018,17471" o:connectangles="0,0,0,0,0,0,0,0,0,0,0,0,0,0,0,0,0,0,0,0,0,0"/>
                    </v:shape>
                    <v:shapetype id="_x0000_t202" coordsize="21600,21600" o:spt="202" path="m,l,21600r21600,l21600,xe">
                      <v:stroke joinstyle="miter"/>
                      <v:path gradientshapeok="t" o:connecttype="rect"/>
                    </v:shapetype>
                    <v:shape id="Text Box 54" o:spid="_x0000_s1031" type="#_x0000_t202" style="position:absolute;left:-1727;top:11263;width:25432;height:3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7jdMUA&#10;AADbAAAADwAAAGRycy9kb3ducmV2LnhtbESPQWvCQBSE74L/YXlCb7qJxSLRVUJAWooetF68PbPP&#10;JJh9m2a3Sdpf3xUKPQ4z8w2z3g6mFh21rrKsIJ5FIIhzqysuFJw/dtMlCOeRNdaWScE3OdhuxqM1&#10;Jtr2fKTu5AsRIOwSVFB63yRSurwkg25mG+Lg3Wxr0AfZFlK32Ae4qeU8il6kwYrDQokNZSXl99OX&#10;UfCe7Q54vM7N8qfOXve3tPk8XxZKPU2GdAXC0+D/w3/tN63gO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7uN0xQAAANsAAAAPAAAAAAAAAAAAAAAAAJgCAABkcnMv&#10;ZG93bnJldi54bWxQSwUGAAAAAAQABAD1AAAAigMAAAAA&#10;" filled="f" stroked="f" strokeweight=".5pt">
                      <v:textbox>
                        <w:txbxContent>
                          <w:p w:rsidR="00373243" w:rsidRPr="002E3F41" w:rsidRDefault="00373243" w:rsidP="0011775E">
                            <w:pPr>
                              <w:jc w:val="center"/>
                              <w:rPr>
                                <w:color w:val="365F91" w:themeColor="accent1" w:themeShade="BF"/>
                                <w:sz w:val="16"/>
                                <w:szCs w:val="16"/>
                              </w:rPr>
                            </w:pPr>
                            <w:r w:rsidRPr="002E3F41">
                              <w:rPr>
                                <w:color w:val="365F91" w:themeColor="accent1" w:themeShade="BF"/>
                                <w:sz w:val="16"/>
                                <w:szCs w:val="16"/>
                              </w:rPr>
                              <w:t xml:space="preserve">Operator </w:t>
                            </w:r>
                            <w:r>
                              <w:rPr>
                                <w:color w:val="365F91" w:themeColor="accent1" w:themeShade="BF"/>
                                <w:sz w:val="16"/>
                                <w:szCs w:val="16"/>
                              </w:rPr>
                              <w:t>B</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 o:spid="_x0000_s1032" type="#_x0000_t75" style="position:absolute;left:7827;width:6819;height:60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XLqrEAAAA2wAAAA8AAABkcnMvZG93bnJldi54bWxEj0FrwkAUhO8F/8PyhN7qRgshRFcRQVqk&#10;PTStgrdH9pkEs2/j7pqk/75bKPQ4zMw3zGozmlb05HxjWcF8loAgLq1uuFLw9bl/ykD4gKyxtUwK&#10;vsnDZj15WGGu7cAf1BehEhHCPkcFdQhdLqUvazLoZ7Yjjt7FOoMhSldJ7XCIcNPKRZKk0mDDcaHG&#10;jnY1ldfibhRk5xd3cGlanDJ3ez9uE2nfhl6px+m4XYIINIb/8F/7VSt4XsDvl/gD5Po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eXLqrEAAAA2wAAAA8AAAAAAAAAAAAAAAAA&#10;nwIAAGRycy9kb3ducmV2LnhtbFBLBQYAAAAABAAEAPcAAACQAwAAAAA=&#10;">
                      <v:imagedata r:id="rId30" o:title=""/>
                      <v:path arrowok="t"/>
                    </v:shape>
                    <v:line id="Straight Connector 56" o:spid="_x0000_s1033" style="position:absolute;flip:x;visibility:visible;mso-wrap-style:square" from="10981,6070" to="11237,10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Lnf8IAAADbAAAADwAAAGRycy9kb3ducmV2LnhtbESPS4sCMRCE74L/IbTgbc2o7CKjUUQU&#10;FPbi6+CtmfQ8cNIZJ1FHf70RBI9FVX1FTWaNKcWNaldYVtDvRSCIE6sLzhQc9qufEQjnkTWWlknB&#10;gxzMpu3WBGNt77yl285nIkDYxagg976KpXRJTgZdz1bEwUttbdAHWWdS13gPcFPKQRT9SYMFh4Uc&#10;K1rklJx3V6NgefJlc8HH4Pmfbpbp0S7s/LdQqttp5mMQnhr/DX/aa61gOIT3l/AD5PQ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FLnf8IAAADbAAAADwAAAAAAAAAAAAAA&#10;AAChAgAAZHJzL2Rvd25yZXYueG1sUEsFBgAAAAAEAAQA+QAAAJADAAAAAA==&#10;" strokecolor="#4a7ebb"/>
                  </v:group>
                  <v:shape id="Picture 57" o:spid="_x0000_s1034" type="#_x0000_t75" style="position:absolute;left:8406;top:30586;width:6676;height:60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cyE0XFAAAA2wAAAA8AAABkcnMvZG93bnJldi54bWxEj0FrwkAUhO8F/8PyBG91o5YQoqtIobSU&#10;9tBUBW+P7DMJZt/G3W2S/vtuodDjMDPfMJvdaFrRk/ONZQWLeQKCuLS64UrB4fPpPgPhA7LG1jIp&#10;+CYPu+3kboO5tgN/UF+ESkQI+xwV1CF0uZS+rMmgn9uOOHoX6wyGKF0ltcMhwk0rl0mSSoMNx4Ua&#10;O3qsqbwWX0ZBdn52ry5Ni1Pmbu/HfSLt29ArNZuO+zWIQGP4D/+1X7SC1QP8fok/QG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HMhNFxQAAANsAAAAPAAAAAAAAAAAAAAAA&#10;AJ8CAABkcnMvZG93bnJldi54bWxQSwUGAAAAAAQABAD3AAAAkQMAAAAA&#10;">
                    <v:imagedata r:id="rId30" o:title=""/>
                    <v:path arrowok="t"/>
                  </v:shape>
                  <v:group id="Group 58" o:spid="_x0000_s1035" style="position:absolute;left:16605;top:19970;width:19897;height:4609" coordsize="9582,6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rect id="Rectangle 59" o:spid="_x0000_s1036" style="position:absolute;width:9582;height:64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UuRMUA&#10;AADbAAAADwAAAGRycy9kb3ducmV2LnhtbESPUWvCQBCE3wX/w7FC3+qlLYQYPaW0lAZsH4z+gCW3&#10;JtHcXshdk5hf3ysUfBxm55udzW40jeipc7VlBU/LCARxYXXNpYLT8eMxAeE8ssbGMim4kYPddj7b&#10;YKrtwAfqc1+KAGGXooLK+zaV0hUVGXRL2xIH72w7gz7IrpS6wyHATSOfoyiWBmsODRW29FZRcc1/&#10;THhjyKbmgu/J59d+mop8dT7Rt1TqYTG+rkF4Gv39+D+daQUvMfxtCQC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pS5ExQAAANsAAAAPAAAAAAAAAAAAAAAAAJgCAABkcnMv&#10;ZG93bnJldi54bWxQSwUGAAAAAAQABAD1AAAAigMAAAAA&#10;" filled="f" strokecolor="#385d8a"/>
                    <v:shape id="Text Box 60" o:spid="_x0000_s1037" type="#_x0000_t202" style="position:absolute;top:730;width:9189;height:5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wR7cQA&#10;AADbAAAADwAAAGRycy9kb3ducmV2LnhtbESPT2sCMRTE7wW/Q3hCb5rUqm23G0UsgqeKVgu9PTZv&#10;/+DmZdmk7vrtG0HocZiZ3zDpsre1uFDrK8cansYKBHHmTMWFhuPXZvQKwgdkg7Vj0nAlD8vF4CHF&#10;xLiO93Q5hEJECPsENZQhNImUPivJoh+7hjh6uWsthijbQpoWuwi3tZwoNZcWK44LJTa0Lik7H36t&#10;htNn/vM9Vbviw86azvVKsn2TWj8O+9U7iEB9+A/f21uj4fkF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cEe3EAAAA2wAAAA8AAAAAAAAAAAAAAAAAmAIAAGRycy9k&#10;b3ducmV2LnhtbFBLBQYAAAAABAAEAPUAAACJAwAAAAA=&#10;" filled="f" stroked="f">
                      <v:textbox>
                        <w:txbxContent>
                          <w:p w:rsidR="00373243" w:rsidRPr="003C7E20" w:rsidRDefault="00373243" w:rsidP="0011775E">
                            <w:pPr>
                              <w:jc w:val="center"/>
                              <w:rPr>
                                <w:sz w:val="16"/>
                                <w:szCs w:val="16"/>
                              </w:rPr>
                            </w:pPr>
                            <w:r w:rsidRPr="003C7E20">
                              <w:rPr>
                                <w:sz w:val="16"/>
                                <w:szCs w:val="16"/>
                              </w:rPr>
                              <w:t>Regionalna centrala</w:t>
                            </w:r>
                            <w:r>
                              <w:rPr>
                                <w:sz w:val="16"/>
                                <w:szCs w:val="16"/>
                              </w:rPr>
                              <w:t xml:space="preserve"> </w:t>
                            </w:r>
                            <w:r w:rsidRPr="003C7E20">
                              <w:rPr>
                                <w:sz w:val="16"/>
                                <w:szCs w:val="16"/>
                              </w:rPr>
                              <w:t>A1</w:t>
                            </w:r>
                          </w:p>
                        </w:txbxContent>
                      </v:textbox>
                    </v:shape>
                  </v:group>
                  <v:line id="Straight Connector 66" o:spid="_x0000_s1038" style="position:absolute;visibility:visible;mso-wrap-style:square" from="24725,15435" to="24735,199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of8sAAAADbAAAADwAAAGRycy9kb3ducmV2LnhtbERPu2rDMBTdC/kHcQPZark1hNSJEkKg&#10;0CGD84B2vJVuLFPryrFU2/37aih0PJz3Zje5VgzUh8azgqcsB0GsvWm4VnC9vD6uQISIbLD1TAp+&#10;KMBuO3vYYGn8yCcazrEWKYRDiQpsjF0pZdCWHIbMd8SJu/neYUywr6XpcUzhrpXPeb6UDhtODRY7&#10;OljSX+dvp+Dd4rGq9GckX3zstamN8fcXpRbzab8GEWmK/+I/95tRUKSx6Uv6AXL7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x6H/LAAAAA2wAAAA8AAAAAAAAAAAAAAAAA&#10;oQIAAGRycy9kb3ducmV2LnhtbFBLBQYAAAAABAAEAPkAAACOAwAAAAA=&#10;" strokecolor="#4a7ebb"/>
                  <v:shape id="Text Box 68" o:spid="_x0000_s1039" type="#_x0000_t202" style="position:absolute;left:648;top:37398;width:19965;height:3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vcsYA&#10;AADbAAAADwAAAGRycy9kb3ducmV2LnhtbESPQWvCQBSE74L/YXmF3nTTS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jvcsYAAADbAAAADwAAAAAAAAAAAAAAAACYAgAAZHJz&#10;L2Rvd25yZXYueG1sUEsFBgAAAAAEAAQA9QAAAIsDAAAAAA==&#10;" filled="f" stroked="f" strokeweight=".5pt">
                    <v:textbox>
                      <w:txbxContent>
                        <w:p w:rsidR="00373243" w:rsidRPr="002E3F41" w:rsidRDefault="00373243" w:rsidP="0011775E">
                          <w:pPr>
                            <w:jc w:val="center"/>
                            <w:rPr>
                              <w:color w:val="C00000"/>
                              <w:sz w:val="16"/>
                              <w:szCs w:val="16"/>
                            </w:rPr>
                          </w:pPr>
                          <w:r w:rsidRPr="002E3F41">
                            <w:rPr>
                              <w:color w:val="C00000"/>
                              <w:sz w:val="16"/>
                              <w:szCs w:val="16"/>
                            </w:rPr>
                            <w:t xml:space="preserve">Pretplatnik </w:t>
                          </w:r>
                          <w:r>
                            <w:rPr>
                              <w:color w:val="C00000"/>
                              <w:sz w:val="16"/>
                              <w:szCs w:val="16"/>
                            </w:rPr>
                            <w:t>Operatora A</w:t>
                          </w:r>
                        </w:p>
                      </w:txbxContent>
                    </v:textbox>
                  </v:shape>
                </v:group>
                <v:shape id="Straight Arrow Connector 69" o:spid="_x0000_s1040" type="#_x0000_t32" style="position:absolute;top:32113;width:5702;height: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5O7r8AAADbAAAADwAAAGRycy9kb3ducmV2LnhtbERPzYrCMBC+C/sOYYS9aVpZRKqxiLCo&#10;oEKrDzA0s23ZZlKSWLtvvzkIHj++/00+mk4M5HxrWUE6T0AQV1a3XCu4375nKxA+IGvsLJOCP/KQ&#10;bz8mG8y0fXJBQxlqEUPYZ6igCaHPpPRVQwb93PbEkfuxzmCI0NVSO3zGcNPJRZIspcGWY0ODPe0b&#10;qn7Lh1FQnf3VXS6H0z4tFsWBb2X3GFqlPqfjbg0i0Bje4pf7qBV8xfXxS/wBcvs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z5O7r8AAADbAAAADwAAAAAAAAAAAAAAAACh&#10;AgAAZHJzL2Rvd25yZXYueG1sUEsFBgAAAAAEAAQA+QAAAI0DAAAAAA==&#10;" strokecolor="#4a7ebb">
                  <v:stroke endarrow="open"/>
                </v:shape>
                <v:shape id="Text Box 70" o:spid="_x0000_s1041" type="#_x0000_t202" style="position:absolute;left:6437;top:30650;width:46222;height:3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iQCcUA&#10;AADbAAAADwAAAGRycy9kb3ducmV2LnhtbESPQWvCQBSE74L/YXlCb7qJ1CLRVUJAWooetF68PbPP&#10;JJh9m2a3Sdpf3xUKPQ4z8w2z3g6mFh21rrKsIJ5FIIhzqysuFJw/dtMlCOeRNdaWScE3OdhuxqM1&#10;Jtr2fKTu5AsRIOwSVFB63yRSurwkg25mG+Lg3Wxr0AfZFlK32Ae4qeU8il6kwYrDQokNZSXl99OX&#10;UfCe7Q54vM7N8qfOXve3tPk8XxZKPU2GdAXC0+D/w3/tN63gO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6JAJxQAAANsAAAAPAAAAAAAAAAAAAAAAAJgCAABkcnMv&#10;ZG93bnJldi54bWxQSwUGAAAAAAQABAD1AAAAigMAAAAA&#10;" filled="f" stroked="f" strokeweight=".5pt">
                  <v:textbox>
                    <w:txbxContent>
                      <w:p w:rsidR="00373243" w:rsidRPr="00677A60" w:rsidRDefault="00373243" w:rsidP="0011775E">
                        <w:pPr>
                          <w:rPr>
                            <w:sz w:val="16"/>
                            <w:szCs w:val="16"/>
                          </w:rPr>
                        </w:pPr>
                        <w:r>
                          <w:rPr>
                            <w:sz w:val="16"/>
                            <w:szCs w:val="16"/>
                          </w:rPr>
                          <w:t>Završavanje poziva</w:t>
                        </w:r>
                        <w:r w:rsidRPr="00677A60">
                          <w:rPr>
                            <w:sz w:val="16"/>
                            <w:szCs w:val="16"/>
                          </w:rPr>
                          <w:t xml:space="preserve"> pretplatnika </w:t>
                        </w:r>
                        <w:r>
                          <w:rPr>
                            <w:sz w:val="16"/>
                            <w:szCs w:val="16"/>
                          </w:rPr>
                          <w:t>Operatora B, koji je povezan na regionalnoj pristupnoj točki A1</w:t>
                        </w:r>
                        <w:r w:rsidRPr="00677A60">
                          <w:rPr>
                            <w:sz w:val="16"/>
                            <w:szCs w:val="16"/>
                          </w:rPr>
                          <w:t xml:space="preserve"> prema pretplatniku </w:t>
                        </w:r>
                        <w:r>
                          <w:rPr>
                            <w:sz w:val="16"/>
                            <w:szCs w:val="16"/>
                          </w:rPr>
                          <w:t>O</w:t>
                        </w:r>
                        <w:r w:rsidRPr="00677A60">
                          <w:rPr>
                            <w:sz w:val="16"/>
                            <w:szCs w:val="16"/>
                          </w:rPr>
                          <w:t xml:space="preserve">peratora </w:t>
                        </w:r>
                        <w:r>
                          <w:rPr>
                            <w:sz w:val="16"/>
                            <w:szCs w:val="16"/>
                          </w:rPr>
                          <w:t>A</w:t>
                        </w:r>
                        <w:r w:rsidRPr="00677A60">
                          <w:rPr>
                            <w:sz w:val="16"/>
                            <w:szCs w:val="16"/>
                          </w:rPr>
                          <w:t xml:space="preserve"> </w:t>
                        </w:r>
                      </w:p>
                    </w:txbxContent>
                  </v:textbox>
                </v:shape>
                <w10:anchorlock/>
              </v:group>
            </w:pict>
          </mc:Fallback>
        </mc:AlternateContent>
      </w:r>
    </w:p>
    <w:p w:rsidR="0011775E" w:rsidRPr="0011775E" w:rsidRDefault="0011775E" w:rsidP="0011775E">
      <w:pPr>
        <w:jc w:val="both"/>
        <w:rPr>
          <w:szCs w:val="24"/>
        </w:rPr>
      </w:pPr>
      <w:r w:rsidRPr="0011775E">
        <w:rPr>
          <w:szCs w:val="24"/>
        </w:rPr>
        <w:t>Dakle, arhitektura mreže HT-a za potrebe TDM međupovezivanja sastoji se samo od nekoliko regionalnih centrala (</w:t>
      </w:r>
      <w:proofErr w:type="spellStart"/>
      <w:r w:rsidRPr="0011775E">
        <w:rPr>
          <w:szCs w:val="24"/>
        </w:rPr>
        <w:t>eng</w:t>
      </w:r>
      <w:proofErr w:type="spellEnd"/>
      <w:r w:rsidRPr="0011775E">
        <w:rPr>
          <w:szCs w:val="24"/>
        </w:rPr>
        <w:t xml:space="preserve">. </w:t>
      </w:r>
      <w:proofErr w:type="spellStart"/>
      <w:r w:rsidRPr="0011775E">
        <w:rPr>
          <w:i/>
          <w:szCs w:val="24"/>
        </w:rPr>
        <w:t>single</w:t>
      </w:r>
      <w:proofErr w:type="spellEnd"/>
      <w:r w:rsidRPr="0011775E">
        <w:rPr>
          <w:i/>
          <w:szCs w:val="24"/>
        </w:rPr>
        <w:t xml:space="preserve"> tandem</w:t>
      </w:r>
      <w:r w:rsidRPr="0011775E">
        <w:rPr>
          <w:szCs w:val="24"/>
        </w:rPr>
        <w:t>)</w:t>
      </w:r>
      <w:r w:rsidRPr="0011775E">
        <w:rPr>
          <w:sz w:val="22"/>
          <w:vertAlign w:val="superscript"/>
        </w:rPr>
        <w:footnoteReference w:id="19"/>
      </w:r>
      <w:r w:rsidRPr="0011775E">
        <w:rPr>
          <w:szCs w:val="24"/>
        </w:rPr>
        <w:t>. HT preko svojih regionalnih centrala prihvaća međunarodne pozive. Također, na HT-ove regionalne centrale HT spaja i dalje operatore nepokretnih mreža kao i operatore pokretnih mreža. U svrhu međupovezivanja, mreža HT-a je podijeljena na 2 regionalna pristupna područja: Zagreb i Osijek, s mogućnošću povezivanja na MGW (</w:t>
      </w:r>
      <w:proofErr w:type="spellStart"/>
      <w:r w:rsidRPr="0011775E">
        <w:rPr>
          <w:szCs w:val="24"/>
        </w:rPr>
        <w:t>eng</w:t>
      </w:r>
      <w:proofErr w:type="spellEnd"/>
      <w:r w:rsidRPr="0011775E">
        <w:rPr>
          <w:szCs w:val="24"/>
        </w:rPr>
        <w:t xml:space="preserve">. </w:t>
      </w:r>
      <w:proofErr w:type="spellStart"/>
      <w:r w:rsidRPr="0011775E">
        <w:rPr>
          <w:i/>
          <w:szCs w:val="24"/>
        </w:rPr>
        <w:t>Media</w:t>
      </w:r>
      <w:proofErr w:type="spellEnd"/>
      <w:r w:rsidRPr="0011775E">
        <w:rPr>
          <w:i/>
          <w:szCs w:val="24"/>
        </w:rPr>
        <w:t xml:space="preserve"> </w:t>
      </w:r>
      <w:proofErr w:type="spellStart"/>
      <w:r w:rsidRPr="0011775E">
        <w:rPr>
          <w:i/>
          <w:szCs w:val="24"/>
        </w:rPr>
        <w:t>Gateway</w:t>
      </w:r>
      <w:proofErr w:type="spellEnd"/>
      <w:r w:rsidRPr="0011775E">
        <w:rPr>
          <w:szCs w:val="24"/>
        </w:rPr>
        <w:t>) i u regionalnim točkama Rijeka i Split. Unutar svakog regionalnog pristupnog područja HT i dalje ima uspostavljenih više pristupnih regionalnih točaka preko kojih operatori ostvaruju međupovezivanje, a kako je prikazano sljedećom tablicom:</w:t>
      </w:r>
    </w:p>
    <w:p w:rsidR="0011775E" w:rsidRPr="0011775E" w:rsidRDefault="0011775E" w:rsidP="0011775E">
      <w:pPr>
        <w:jc w:val="both"/>
        <w:rPr>
          <w:szCs w:val="24"/>
        </w:rPr>
      </w:pPr>
    </w:p>
    <w:p w:rsidR="0011775E" w:rsidRPr="0011775E" w:rsidRDefault="0011775E" w:rsidP="0011775E">
      <w:pPr>
        <w:spacing w:after="200" w:line="276" w:lineRule="auto"/>
        <w:rPr>
          <w:rFonts w:cstheme="minorHAnsi"/>
          <w:b/>
          <w:bCs/>
          <w:color w:val="4F81BD" w:themeColor="accent1"/>
          <w:szCs w:val="24"/>
          <w:lang w:eastAsia="en-US"/>
        </w:rPr>
      </w:pPr>
      <w:bookmarkStart w:id="63" w:name="_Toc516493489"/>
      <w:r w:rsidRPr="0011775E">
        <w:rPr>
          <w:rFonts w:cstheme="minorHAnsi"/>
          <w:szCs w:val="24"/>
          <w:lang w:eastAsia="en-US"/>
        </w:rPr>
        <w:br w:type="page"/>
      </w:r>
    </w:p>
    <w:p w:rsidR="0011775E" w:rsidRPr="0011775E" w:rsidRDefault="0011775E" w:rsidP="0011775E">
      <w:pPr>
        <w:rPr>
          <w:rFonts w:cstheme="minorHAnsi"/>
          <w:b/>
          <w:bCs/>
          <w:color w:val="4F81BD" w:themeColor="accent1"/>
          <w:szCs w:val="24"/>
          <w:lang w:eastAsia="en-US"/>
        </w:rPr>
      </w:pPr>
      <w:bookmarkStart w:id="64" w:name="_Toc525551879"/>
      <w:r w:rsidRPr="006A052E">
        <w:rPr>
          <w:rFonts w:cstheme="minorHAnsi"/>
          <w:bCs/>
          <w:color w:val="4F81BD" w:themeColor="accent1"/>
          <w:szCs w:val="24"/>
          <w:lang w:eastAsia="en-US"/>
        </w:rPr>
        <w:lastRenderedPageBreak/>
        <w:t xml:space="preserve">Tablica </w:t>
      </w:r>
      <w:r w:rsidRPr="006A052E">
        <w:rPr>
          <w:rFonts w:cstheme="minorHAnsi"/>
          <w:bCs/>
          <w:color w:val="4F81BD" w:themeColor="accent1"/>
          <w:szCs w:val="24"/>
          <w:lang w:eastAsia="en-US"/>
        </w:rPr>
        <w:fldChar w:fldCharType="begin"/>
      </w:r>
      <w:r w:rsidRPr="006A052E">
        <w:rPr>
          <w:rFonts w:cstheme="minorHAnsi"/>
          <w:bCs/>
          <w:color w:val="4F81BD" w:themeColor="accent1"/>
          <w:szCs w:val="24"/>
          <w:lang w:eastAsia="en-US"/>
        </w:rPr>
        <w:instrText xml:space="preserve"> SEQ Tablica \* ARABIC </w:instrText>
      </w:r>
      <w:r w:rsidRPr="006A052E">
        <w:rPr>
          <w:rFonts w:cstheme="minorHAnsi"/>
          <w:bCs/>
          <w:color w:val="4F81BD" w:themeColor="accent1"/>
          <w:szCs w:val="24"/>
          <w:lang w:eastAsia="en-US"/>
        </w:rPr>
        <w:fldChar w:fldCharType="separate"/>
      </w:r>
      <w:r w:rsidR="00E170AC" w:rsidRPr="006A052E">
        <w:rPr>
          <w:rFonts w:cstheme="minorHAnsi"/>
          <w:bCs/>
          <w:noProof/>
          <w:color w:val="4F81BD" w:themeColor="accent1"/>
          <w:szCs w:val="24"/>
          <w:lang w:eastAsia="en-US"/>
        </w:rPr>
        <w:t>1</w:t>
      </w:r>
      <w:r w:rsidRPr="006A052E">
        <w:rPr>
          <w:rFonts w:cstheme="minorHAnsi"/>
          <w:bCs/>
          <w:noProof/>
          <w:color w:val="4F81BD" w:themeColor="accent1"/>
          <w:szCs w:val="24"/>
          <w:lang w:eastAsia="en-US"/>
        </w:rPr>
        <w:fldChar w:fldCharType="end"/>
      </w:r>
      <w:r w:rsidRPr="0011775E">
        <w:rPr>
          <w:rFonts w:cstheme="minorHAnsi"/>
          <w:i/>
          <w:iCs/>
          <w:color w:val="4F81BD" w:themeColor="accent1"/>
          <w:szCs w:val="24"/>
          <w:lang w:eastAsia="en-US"/>
        </w:rPr>
        <w:t xml:space="preserve"> </w:t>
      </w:r>
      <w:r w:rsidRPr="0011775E">
        <w:rPr>
          <w:rFonts w:cstheme="minorHAnsi"/>
          <w:color w:val="4F81BD" w:themeColor="accent1"/>
          <w:szCs w:val="24"/>
          <w:lang w:eastAsia="en-US"/>
        </w:rPr>
        <w:t>Prikaz regionalnih pristupnih točaka HT-a</w:t>
      </w:r>
      <w:bookmarkEnd w:id="63"/>
      <w:bookmarkEnd w:id="64"/>
    </w:p>
    <w:tbl>
      <w:tblPr>
        <w:tblW w:w="8779" w:type="dxa"/>
        <w:jc w:val="center"/>
        <w:tblLook w:val="04A0" w:firstRow="1" w:lastRow="0" w:firstColumn="1" w:lastColumn="0" w:noHBand="0" w:noVBand="1"/>
      </w:tblPr>
      <w:tblGrid>
        <w:gridCol w:w="2815"/>
        <w:gridCol w:w="3554"/>
        <w:gridCol w:w="2410"/>
      </w:tblGrid>
      <w:tr w:rsidR="0011775E" w:rsidRPr="0011775E" w:rsidTr="004B0BD0">
        <w:trPr>
          <w:trHeight w:val="479"/>
          <w:jc w:val="center"/>
        </w:trPr>
        <w:tc>
          <w:tcPr>
            <w:tcW w:w="2815" w:type="dxa"/>
            <w:tcBorders>
              <w:top w:val="single" w:sz="8" w:space="0" w:color="538DD5"/>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Regionalno pristupno područje</w:t>
            </w:r>
          </w:p>
        </w:tc>
        <w:tc>
          <w:tcPr>
            <w:tcW w:w="3554" w:type="dxa"/>
            <w:tcBorders>
              <w:top w:val="single" w:sz="8" w:space="0" w:color="538DD5"/>
              <w:left w:val="nil"/>
              <w:bottom w:val="single" w:sz="8" w:space="0" w:color="538DD5"/>
              <w:right w:val="single" w:sz="8" w:space="0" w:color="538DD5"/>
            </w:tcBorders>
            <w:shd w:val="clear" w:color="auto" w:fill="auto"/>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Regionalna pristupna točka</w:t>
            </w:r>
            <w:r w:rsidRPr="0011775E">
              <w:rPr>
                <w:rFonts w:eastAsia="Times New Roman" w:cstheme="minorHAnsi"/>
                <w:color w:val="000000"/>
                <w:szCs w:val="24"/>
                <w:lang w:eastAsia="en-US"/>
              </w:rPr>
              <w:br/>
              <w:t xml:space="preserve"> (oznaka centrale)</w:t>
            </w:r>
          </w:p>
        </w:tc>
        <w:tc>
          <w:tcPr>
            <w:tcW w:w="2410" w:type="dxa"/>
            <w:tcBorders>
              <w:top w:val="single" w:sz="8" w:space="0" w:color="538DD5"/>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Grad</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Zagreb</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TC1</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Zagreb</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Zagreb</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MGW RI</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Rijeka</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Osijek</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TC Đakovo</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Đakovo</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Osijek</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MGW ST</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highlight w:val="yellow"/>
                <w:lang w:eastAsia="en-US"/>
              </w:rPr>
            </w:pPr>
            <w:r w:rsidRPr="0011775E">
              <w:rPr>
                <w:rFonts w:eastAsia="Times New Roman" w:cstheme="minorHAnsi"/>
                <w:color w:val="000000"/>
                <w:szCs w:val="24"/>
                <w:lang w:eastAsia="en-US"/>
              </w:rPr>
              <w:t>Split</w:t>
            </w:r>
          </w:p>
        </w:tc>
      </w:tr>
      <w:tr w:rsidR="0011775E" w:rsidRPr="0011775E" w:rsidTr="004B0BD0">
        <w:trPr>
          <w:trHeight w:val="287"/>
          <w:jc w:val="center"/>
        </w:trPr>
        <w:tc>
          <w:tcPr>
            <w:tcW w:w="2815" w:type="dxa"/>
            <w:tcBorders>
              <w:top w:val="nil"/>
              <w:left w:val="single" w:sz="8" w:space="0" w:color="538DD5"/>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Osijek</w:t>
            </w:r>
          </w:p>
        </w:tc>
        <w:tc>
          <w:tcPr>
            <w:tcW w:w="3554"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TC Osijek</w:t>
            </w:r>
          </w:p>
        </w:tc>
        <w:tc>
          <w:tcPr>
            <w:tcW w:w="2410" w:type="dxa"/>
            <w:tcBorders>
              <w:top w:val="nil"/>
              <w:left w:val="nil"/>
              <w:bottom w:val="single" w:sz="8" w:space="0" w:color="538DD5"/>
              <w:right w:val="single" w:sz="8" w:space="0" w:color="538DD5"/>
            </w:tcBorders>
            <w:shd w:val="clear" w:color="auto" w:fill="auto"/>
            <w:noWrap/>
            <w:vAlign w:val="center"/>
            <w:hideMark/>
          </w:tcPr>
          <w:p w:rsidR="0011775E" w:rsidRPr="0011775E" w:rsidRDefault="0011775E" w:rsidP="0011775E">
            <w:pPr>
              <w:keepNext/>
              <w:spacing w:after="200" w:line="276" w:lineRule="auto"/>
              <w:jc w:val="center"/>
              <w:rPr>
                <w:rFonts w:eastAsia="Times New Roman" w:cstheme="minorHAnsi"/>
                <w:color w:val="000000"/>
                <w:szCs w:val="24"/>
                <w:lang w:eastAsia="en-US"/>
              </w:rPr>
            </w:pPr>
            <w:r w:rsidRPr="0011775E">
              <w:rPr>
                <w:rFonts w:eastAsia="Times New Roman" w:cstheme="minorHAnsi"/>
                <w:color w:val="000000"/>
                <w:szCs w:val="24"/>
                <w:lang w:eastAsia="en-US"/>
              </w:rPr>
              <w:t>Osijek</w:t>
            </w:r>
          </w:p>
        </w:tc>
      </w:tr>
    </w:tbl>
    <w:p w:rsidR="0011775E" w:rsidRPr="0011775E" w:rsidRDefault="0011775E" w:rsidP="0011775E">
      <w:pPr>
        <w:jc w:val="both"/>
        <w:rPr>
          <w:rFonts w:asciiTheme="majorHAnsi" w:eastAsiaTheme="majorEastAsia" w:hAnsiTheme="majorHAnsi" w:cstheme="majorBidi"/>
          <w:i/>
          <w:iCs/>
          <w:color w:val="4F81BD" w:themeColor="accent1"/>
          <w:spacing w:val="15"/>
          <w:szCs w:val="24"/>
          <w:lang w:eastAsia="en-US"/>
        </w:rPr>
      </w:pPr>
    </w:p>
    <w:p w:rsidR="0011775E" w:rsidRPr="0011775E" w:rsidRDefault="0011775E" w:rsidP="0011775E">
      <w:pPr>
        <w:jc w:val="both"/>
        <w:rPr>
          <w:rFonts w:asciiTheme="majorHAnsi" w:eastAsiaTheme="majorEastAsia" w:hAnsiTheme="majorHAnsi" w:cstheme="majorBidi"/>
          <w:i/>
          <w:iCs/>
          <w:color w:val="4F81BD" w:themeColor="accent1"/>
          <w:spacing w:val="15"/>
          <w:szCs w:val="24"/>
          <w:lang w:eastAsia="en-US"/>
        </w:rPr>
      </w:pPr>
    </w:p>
    <w:p w:rsidR="0011775E" w:rsidRPr="0011775E" w:rsidRDefault="0011775E" w:rsidP="0011775E">
      <w:pPr>
        <w:jc w:val="both"/>
        <w:rPr>
          <w:rFonts w:asciiTheme="majorHAnsi" w:eastAsiaTheme="majorEastAsia" w:hAnsiTheme="majorHAnsi" w:cstheme="majorBidi"/>
          <w:i/>
          <w:iCs/>
          <w:color w:val="4F81BD" w:themeColor="accent1"/>
          <w:spacing w:val="15"/>
          <w:szCs w:val="24"/>
          <w:lang w:eastAsia="en-US"/>
        </w:rPr>
      </w:pPr>
      <w:r w:rsidRPr="0011775E">
        <w:rPr>
          <w:rFonts w:asciiTheme="majorHAnsi" w:eastAsiaTheme="majorEastAsia" w:hAnsiTheme="majorHAnsi" w:cstheme="majorBidi"/>
          <w:i/>
          <w:iCs/>
          <w:color w:val="4F81BD" w:themeColor="accent1"/>
          <w:spacing w:val="15"/>
          <w:szCs w:val="24"/>
          <w:lang w:eastAsia="en-US"/>
        </w:rPr>
        <w:t>Arhitektura HT-ove mreže za potrebe IP međupovezivanja</w:t>
      </w:r>
    </w:p>
    <w:p w:rsidR="0011775E" w:rsidRPr="0011775E" w:rsidRDefault="0011775E" w:rsidP="0011775E">
      <w:pPr>
        <w:jc w:val="both"/>
        <w:rPr>
          <w:rFonts w:eastAsia="Times New Roman" w:cs="Times New Roman"/>
          <w:szCs w:val="24"/>
          <w:lang w:eastAsia="en-US"/>
        </w:rPr>
      </w:pPr>
    </w:p>
    <w:p w:rsidR="0011775E" w:rsidRPr="0011775E" w:rsidRDefault="0011775E" w:rsidP="0011775E">
      <w:pPr>
        <w:jc w:val="both"/>
        <w:rPr>
          <w:rFonts w:eastAsia="Times New Roman" w:cs="Times New Roman"/>
          <w:szCs w:val="24"/>
          <w:lang w:eastAsia="en-US"/>
        </w:rPr>
      </w:pPr>
      <w:r w:rsidRPr="0011775E">
        <w:rPr>
          <w:rFonts w:eastAsia="Times New Roman" w:cs="Times New Roman"/>
          <w:szCs w:val="24"/>
          <w:lang w:eastAsia="en-US"/>
        </w:rPr>
        <w:t xml:space="preserve">Kao što je već navedeno, HT je trenutno u postupku prelaska na potpuno IP međupovezivanje. U svibnju 2015. HAKOM je donio odluku i Dokument o uvjetima IP međupovezivanja kojim su detaljnije propisani uvjeti IP međupovezivanja između nepokretnih mreža, a koji je izmijenjen u veljači 2017. i u veljači 2018.  </w:t>
      </w:r>
    </w:p>
    <w:p w:rsidR="0011775E" w:rsidRPr="0011775E" w:rsidRDefault="0011775E" w:rsidP="0011775E">
      <w:pPr>
        <w:jc w:val="both"/>
        <w:rPr>
          <w:rFonts w:eastAsia="Times New Roman" w:cs="Times New Roman"/>
          <w:szCs w:val="24"/>
          <w:lang w:eastAsia="en-US"/>
        </w:rPr>
      </w:pPr>
    </w:p>
    <w:p w:rsidR="0011775E" w:rsidRPr="0011775E" w:rsidRDefault="0011775E" w:rsidP="0011775E">
      <w:pPr>
        <w:jc w:val="both"/>
        <w:rPr>
          <w:rFonts w:eastAsiaTheme="minorEastAsia" w:cstheme="minorHAnsi"/>
          <w:szCs w:val="24"/>
          <w:lang w:eastAsia="en-US"/>
        </w:rPr>
      </w:pPr>
      <w:r w:rsidRPr="0011775E">
        <w:rPr>
          <w:rFonts w:eastAsia="Times New Roman" w:cs="Times New Roman"/>
          <w:szCs w:val="24"/>
          <w:lang w:eastAsia="en-US"/>
        </w:rPr>
        <w:t>Zbog ostvarenja visoke raspoloživosti, operatori su dužni povezati se putem minimalno dvije IP veze u dvije različite točke, neovisno povezuju li se unutar istog grada ili u različitim gradovima</w:t>
      </w:r>
      <w:r w:rsidRPr="0011775E">
        <w:rPr>
          <w:rFonts w:eastAsiaTheme="minorEastAsia" w:cstheme="minorHAnsi"/>
          <w:szCs w:val="24"/>
          <w:vertAlign w:val="superscript"/>
          <w:lang w:eastAsia="en-US"/>
        </w:rPr>
        <w:footnoteReference w:id="20"/>
      </w:r>
      <w:r w:rsidRPr="0011775E">
        <w:rPr>
          <w:rFonts w:eastAsiaTheme="minorEastAsia" w:cstheme="minorHAnsi"/>
          <w:szCs w:val="24"/>
          <w:lang w:eastAsia="en-US"/>
        </w:rPr>
        <w:t xml:space="preserve">. Također, dužni su uspostaviti minimalno dva SIP </w:t>
      </w:r>
      <w:r w:rsidRPr="0011775E">
        <w:rPr>
          <w:szCs w:val="24"/>
        </w:rPr>
        <w:t>(</w:t>
      </w:r>
      <w:proofErr w:type="spellStart"/>
      <w:r w:rsidRPr="0011775E">
        <w:rPr>
          <w:szCs w:val="24"/>
        </w:rPr>
        <w:t>eng</w:t>
      </w:r>
      <w:proofErr w:type="spellEnd"/>
      <w:r w:rsidRPr="0011775E">
        <w:rPr>
          <w:szCs w:val="24"/>
        </w:rPr>
        <w:t xml:space="preserve">. </w:t>
      </w:r>
      <w:proofErr w:type="spellStart"/>
      <w:r w:rsidRPr="0011775E">
        <w:rPr>
          <w:i/>
          <w:szCs w:val="24"/>
        </w:rPr>
        <w:t>Session</w:t>
      </w:r>
      <w:proofErr w:type="spellEnd"/>
      <w:r w:rsidRPr="0011775E">
        <w:rPr>
          <w:i/>
          <w:szCs w:val="24"/>
        </w:rPr>
        <w:t xml:space="preserve"> </w:t>
      </w:r>
      <w:proofErr w:type="spellStart"/>
      <w:r w:rsidRPr="0011775E">
        <w:rPr>
          <w:i/>
          <w:szCs w:val="24"/>
        </w:rPr>
        <w:t>Initation</w:t>
      </w:r>
      <w:proofErr w:type="spellEnd"/>
      <w:r w:rsidRPr="0011775E">
        <w:rPr>
          <w:i/>
          <w:szCs w:val="24"/>
        </w:rPr>
        <w:t xml:space="preserve"> </w:t>
      </w:r>
      <w:proofErr w:type="spellStart"/>
      <w:r w:rsidRPr="0011775E">
        <w:rPr>
          <w:i/>
          <w:szCs w:val="24"/>
        </w:rPr>
        <w:t>Protocol</w:t>
      </w:r>
      <w:proofErr w:type="spellEnd"/>
      <w:r w:rsidRPr="0011775E">
        <w:rPr>
          <w:szCs w:val="24"/>
        </w:rPr>
        <w:t>)</w:t>
      </w:r>
      <w:r w:rsidRPr="0011775E">
        <w:rPr>
          <w:rFonts w:eastAsiaTheme="minorEastAsia" w:cstheme="minorHAnsi"/>
          <w:szCs w:val="24"/>
          <w:lang w:eastAsia="en-US"/>
        </w:rPr>
        <w:t xml:space="preserve"> linka, neovisno radi li se o dva aktivna SIP linka ili jedan aktivan SIP link i jedan </w:t>
      </w:r>
      <w:proofErr w:type="spellStart"/>
      <w:r w:rsidRPr="0011775E">
        <w:rPr>
          <w:rFonts w:eastAsiaTheme="minorEastAsia" w:cstheme="minorHAnsi"/>
          <w:i/>
          <w:szCs w:val="24"/>
          <w:lang w:eastAsia="en-US"/>
        </w:rPr>
        <w:t>standby</w:t>
      </w:r>
      <w:proofErr w:type="spellEnd"/>
      <w:r w:rsidRPr="0011775E">
        <w:rPr>
          <w:rFonts w:eastAsiaTheme="minorEastAsia" w:cstheme="minorHAnsi"/>
          <w:i/>
          <w:szCs w:val="24"/>
          <w:lang w:eastAsia="en-US"/>
        </w:rPr>
        <w:t xml:space="preserve"> </w:t>
      </w:r>
      <w:r w:rsidRPr="0011775E">
        <w:rPr>
          <w:rFonts w:eastAsiaTheme="minorEastAsia" w:cstheme="minorHAnsi"/>
          <w:szCs w:val="24"/>
          <w:lang w:eastAsia="en-US"/>
        </w:rPr>
        <w:t>SIP link.</w:t>
      </w:r>
    </w:p>
    <w:p w:rsidR="0011775E" w:rsidRPr="0011775E" w:rsidRDefault="0011775E" w:rsidP="0011775E">
      <w:pPr>
        <w:jc w:val="both"/>
        <w:rPr>
          <w:rFonts w:eastAsiaTheme="minorEastAsia" w:cstheme="minorHAnsi"/>
          <w:szCs w:val="24"/>
          <w:lang w:eastAsia="en-US"/>
        </w:rPr>
      </w:pPr>
    </w:p>
    <w:p w:rsidR="0011775E" w:rsidRPr="0011775E" w:rsidRDefault="0011775E" w:rsidP="0011775E">
      <w:pPr>
        <w:jc w:val="both"/>
        <w:rPr>
          <w:rFonts w:eastAsia="Times New Roman" w:cstheme="minorHAnsi"/>
          <w:sz w:val="22"/>
          <w:lang w:eastAsia="en-US"/>
        </w:rPr>
      </w:pPr>
      <w:r w:rsidRPr="0011775E">
        <w:rPr>
          <w:rFonts w:eastAsiaTheme="minorEastAsia" w:cstheme="minorHAnsi"/>
          <w:szCs w:val="24"/>
          <w:lang w:eastAsia="en-US"/>
        </w:rPr>
        <w:t>U Privitku</w:t>
      </w:r>
      <w:r w:rsidR="00262BB3">
        <w:rPr>
          <w:rFonts w:eastAsiaTheme="minorEastAsia" w:cstheme="minorHAnsi"/>
          <w:szCs w:val="24"/>
          <w:lang w:eastAsia="en-US"/>
        </w:rPr>
        <w:t xml:space="preserve"> 1 ovog dokumenta</w:t>
      </w:r>
      <w:r w:rsidRPr="0011775E">
        <w:rPr>
          <w:rFonts w:eastAsiaTheme="minorEastAsia" w:cstheme="minorHAnsi"/>
          <w:szCs w:val="24"/>
          <w:lang w:eastAsia="en-US"/>
        </w:rPr>
        <w:t xml:space="preserve"> su navedeni prijedlozi mogućih arhitektura IP međupovezivanja.</w:t>
      </w:r>
    </w:p>
    <w:p w:rsidR="0011775E" w:rsidRDefault="0011775E" w:rsidP="00DC0BA2"/>
    <w:p w:rsidR="00116E59" w:rsidRDefault="00116E59" w:rsidP="00F75ED4">
      <w:pPr>
        <w:jc w:val="both"/>
        <w:rPr>
          <w:rFonts w:eastAsia="Times New Roman" w:cstheme="minorHAnsi"/>
        </w:rPr>
      </w:pPr>
    </w:p>
    <w:p w:rsidR="00314A9B" w:rsidRDefault="00314A9B">
      <w:pPr>
        <w:spacing w:after="200" w:line="276" w:lineRule="auto"/>
        <w:rPr>
          <w:rFonts w:asciiTheme="majorHAnsi" w:eastAsiaTheme="majorEastAsia" w:hAnsiTheme="majorHAnsi" w:cstheme="majorBidi"/>
          <w:b/>
          <w:bCs/>
          <w:color w:val="365F91" w:themeColor="accent1" w:themeShade="BF"/>
          <w:sz w:val="28"/>
          <w:szCs w:val="28"/>
        </w:rPr>
      </w:pPr>
      <w:bookmarkStart w:id="65" w:name="_Toc410139471"/>
      <w:bookmarkEnd w:id="65"/>
      <w:r>
        <w:br w:type="page"/>
      </w:r>
    </w:p>
    <w:p w:rsidR="00663367" w:rsidRPr="00AB0969" w:rsidRDefault="00663367" w:rsidP="005A144C">
      <w:pPr>
        <w:pStyle w:val="Heading1"/>
      </w:pPr>
      <w:bookmarkStart w:id="66" w:name="_Toc524984012"/>
      <w:bookmarkStart w:id="67" w:name="_Toc525072991"/>
      <w:bookmarkStart w:id="68" w:name="_Toc525729836"/>
      <w:r w:rsidRPr="00AB0969">
        <w:lastRenderedPageBreak/>
        <w:t>Utvrđivanje mjerodavnog tržišta</w:t>
      </w:r>
      <w:bookmarkEnd w:id="42"/>
      <w:bookmarkEnd w:id="43"/>
      <w:bookmarkEnd w:id="66"/>
      <w:bookmarkEnd w:id="67"/>
      <w:bookmarkEnd w:id="68"/>
    </w:p>
    <w:p w:rsidR="009D2350" w:rsidRPr="00876D20" w:rsidRDefault="009D2350" w:rsidP="009D2350">
      <w:pPr>
        <w:spacing w:before="200"/>
        <w:jc w:val="both"/>
        <w:rPr>
          <w:szCs w:val="24"/>
        </w:rPr>
      </w:pPr>
      <w:r w:rsidRPr="00876D20">
        <w:rPr>
          <w:szCs w:val="24"/>
        </w:rPr>
        <w:t>Temeljem članka 53. stavka 1. ZEK-a, HAKOM utvrđuje mjerodavna tržišta podložna prethodnoj regulaciji, a vodeći računa o mjerodavnoj Preporuci Europske</w:t>
      </w:r>
      <w:r>
        <w:rPr>
          <w:szCs w:val="24"/>
        </w:rPr>
        <w:t xml:space="preserve"> komisije iz članka 52. stavka 6</w:t>
      </w:r>
      <w:r w:rsidRPr="00876D20">
        <w:rPr>
          <w:szCs w:val="24"/>
        </w:rPr>
        <w:t xml:space="preserve">. ZEK-a. </w:t>
      </w:r>
    </w:p>
    <w:p w:rsidR="009D2350" w:rsidRPr="00A052D4" w:rsidRDefault="009D2350" w:rsidP="009D2350">
      <w:pPr>
        <w:jc w:val="both"/>
        <w:rPr>
          <w:szCs w:val="24"/>
          <w:highlight w:val="yellow"/>
        </w:rPr>
      </w:pPr>
    </w:p>
    <w:p w:rsidR="009D2350" w:rsidRPr="00876D20" w:rsidRDefault="009D2350" w:rsidP="009D2350">
      <w:pPr>
        <w:jc w:val="both"/>
        <w:rPr>
          <w:szCs w:val="24"/>
        </w:rPr>
      </w:pPr>
      <w:r w:rsidRPr="00876D20">
        <w:rPr>
          <w:szCs w:val="24"/>
        </w:rPr>
        <w:t>Isto tako, u skladu s člankom 53. stavkom 2. ZEK-a HAKOM može odlukom utvrditi da su i druga mjerodavna tržišta, osim mjerodavnih tržišta iz Preporuke Europske komisije, podložna prethodnoj regulaciji, ako su na tim tržištima istodobno zadovoljena tri mjerila</w:t>
      </w:r>
      <w:r>
        <w:rPr>
          <w:szCs w:val="24"/>
        </w:rPr>
        <w:t>.</w:t>
      </w:r>
    </w:p>
    <w:p w:rsidR="00796994" w:rsidRPr="0005566C" w:rsidRDefault="00796994" w:rsidP="00416948">
      <w:pPr>
        <w:jc w:val="both"/>
      </w:pPr>
    </w:p>
    <w:p w:rsidR="00D10EDF" w:rsidRPr="0005566C" w:rsidRDefault="00796994" w:rsidP="00416948">
      <w:pPr>
        <w:jc w:val="both"/>
        <w:rPr>
          <w:rFonts w:ascii="Calibri" w:hAnsi="Calibri"/>
        </w:rPr>
      </w:pPr>
      <w:r w:rsidRPr="00796994">
        <w:rPr>
          <w:rFonts w:ascii="Calibri" w:hAnsi="Calibri"/>
        </w:rPr>
        <w:t>Sukladno članku 53. stavku 1. ZEK-a, HAKOM je utvrdio mjerodavno tržište:</w:t>
      </w:r>
    </w:p>
    <w:p w:rsidR="00D10EDF" w:rsidRPr="008602BD" w:rsidRDefault="00416948" w:rsidP="00BD3C97">
      <w:pPr>
        <w:pStyle w:val="ListParagraph"/>
        <w:numPr>
          <w:ilvl w:val="0"/>
          <w:numId w:val="10"/>
        </w:numPr>
        <w:spacing w:after="0"/>
        <w:ind w:left="357" w:hanging="357"/>
        <w:jc w:val="both"/>
        <w:rPr>
          <w:rStyle w:val="SubtitleChar"/>
          <w:rFonts w:asciiTheme="minorHAnsi" w:hAnsiTheme="minorHAnsi"/>
        </w:rPr>
      </w:pPr>
      <w:r>
        <w:rPr>
          <w:rStyle w:val="SubtitleChar"/>
          <w:rFonts w:asciiTheme="minorHAnsi" w:hAnsiTheme="minorHAnsi"/>
        </w:rPr>
        <w:t>v</w:t>
      </w:r>
      <w:r w:rsidR="00C025EE">
        <w:rPr>
          <w:rStyle w:val="SubtitleChar"/>
          <w:rFonts w:asciiTheme="minorHAnsi" w:hAnsiTheme="minorHAnsi"/>
        </w:rPr>
        <w:t xml:space="preserve">eleprodajnog završavanja </w:t>
      </w:r>
      <w:r w:rsidR="007E4538">
        <w:rPr>
          <w:rStyle w:val="SubtitleChar"/>
          <w:rFonts w:asciiTheme="minorHAnsi" w:hAnsiTheme="minorHAnsi"/>
        </w:rPr>
        <w:t>poziva</w:t>
      </w:r>
      <w:r w:rsidR="00C025EE">
        <w:rPr>
          <w:rStyle w:val="SubtitleChar"/>
          <w:rFonts w:asciiTheme="minorHAnsi" w:hAnsiTheme="minorHAnsi"/>
        </w:rPr>
        <w:t xml:space="preserve"> u vlastitoj javnoj telefonskoj mreži koja se pruža na fiksnoj lokaciji</w:t>
      </w:r>
      <w:r w:rsidR="00262BB3">
        <w:rPr>
          <w:rStyle w:val="SubtitleChar"/>
          <w:rFonts w:asciiTheme="minorHAnsi" w:hAnsiTheme="minorHAnsi"/>
        </w:rPr>
        <w:t>.</w:t>
      </w:r>
    </w:p>
    <w:p w:rsidR="00D65505" w:rsidRPr="0005566C" w:rsidRDefault="00D65505" w:rsidP="00D65505">
      <w:pPr>
        <w:ind w:left="360"/>
        <w:jc w:val="both"/>
        <w:rPr>
          <w:rFonts w:ascii="Calibri" w:hAnsi="Calibri"/>
          <w:b/>
        </w:rPr>
      </w:pPr>
    </w:p>
    <w:p w:rsidR="00663367" w:rsidRPr="0005566C" w:rsidRDefault="00D10EDF" w:rsidP="00D65505">
      <w:pPr>
        <w:jc w:val="both"/>
        <w:rPr>
          <w:rFonts w:ascii="Calibri" w:hAnsi="Calibri"/>
        </w:rPr>
      </w:pPr>
      <w:r w:rsidRPr="0005566C">
        <w:rPr>
          <w:rFonts w:ascii="Calibri" w:hAnsi="Calibri"/>
        </w:rPr>
        <w:t>Navedeno tržište je dio važeće Preporuke Europske komisije, što znači da je Europska komisija zaključila da su na mjerodavnom tržištu istodobno zadovoljena potrebna tri mjerila, te na taj način utvrdila da je mjerodavno tržište podložno prethodnoj regulaciji.</w:t>
      </w:r>
    </w:p>
    <w:p w:rsidR="00D65505" w:rsidRPr="0005566C" w:rsidRDefault="00D65505" w:rsidP="00D65505">
      <w:pPr>
        <w:jc w:val="both"/>
        <w:rPr>
          <w:rFonts w:ascii="Calibri" w:hAnsi="Calibri"/>
        </w:rPr>
      </w:pPr>
    </w:p>
    <w:p w:rsidR="008602BD" w:rsidRPr="008602BD" w:rsidRDefault="00D10EDF" w:rsidP="00C57DA7">
      <w:pPr>
        <w:rPr>
          <w:rFonts w:ascii="Calibri" w:eastAsia="Times New Roman" w:hAnsi="Calibri" w:cs="Calibri"/>
        </w:rPr>
      </w:pPr>
      <w:r w:rsidRPr="0005566C">
        <w:rPr>
          <w:rFonts w:ascii="Calibri" w:eastAsia="Times New Roman" w:hAnsi="Calibri" w:cs="Calibri"/>
          <w:highlight w:val="yellow"/>
        </w:rPr>
        <w:br w:type="page"/>
      </w:r>
    </w:p>
    <w:p w:rsidR="00663367" w:rsidRDefault="00663367" w:rsidP="009D2350">
      <w:pPr>
        <w:pStyle w:val="Heading1"/>
      </w:pPr>
      <w:bookmarkStart w:id="69" w:name="_Toc236634791"/>
      <w:bookmarkStart w:id="70" w:name="_Toc357581375"/>
      <w:bookmarkStart w:id="71" w:name="_Toc524984013"/>
      <w:bookmarkStart w:id="72" w:name="_Toc525072992"/>
      <w:bookmarkStart w:id="73" w:name="_Toc525729837"/>
      <w:r w:rsidRPr="00D65505">
        <w:lastRenderedPageBreak/>
        <w:t>Određivanje granica mjerodavnog tržišta</w:t>
      </w:r>
      <w:bookmarkEnd w:id="69"/>
      <w:bookmarkEnd w:id="70"/>
      <w:bookmarkEnd w:id="71"/>
      <w:bookmarkEnd w:id="72"/>
      <w:bookmarkEnd w:id="73"/>
    </w:p>
    <w:p w:rsidR="009D2350" w:rsidRDefault="009D2350" w:rsidP="00416948">
      <w:pPr>
        <w:jc w:val="both"/>
        <w:rPr>
          <w:rFonts w:ascii="Calibri" w:eastAsia="Times New Roman" w:hAnsi="Calibri" w:cs="Calibri"/>
        </w:rPr>
      </w:pPr>
    </w:p>
    <w:p w:rsidR="00416948" w:rsidRPr="00416948" w:rsidRDefault="00416948" w:rsidP="00416948">
      <w:pPr>
        <w:jc w:val="both"/>
        <w:rPr>
          <w:rFonts w:ascii="Calibri" w:eastAsia="Times New Roman" w:hAnsi="Calibri" w:cs="Calibri"/>
        </w:rPr>
      </w:pPr>
      <w:r w:rsidRPr="00416948">
        <w:rPr>
          <w:rFonts w:ascii="Calibri" w:eastAsia="Times New Roman" w:hAnsi="Calibri" w:cs="Calibri"/>
        </w:rPr>
        <w:t xml:space="preserve">Pri određivanju </w:t>
      </w:r>
      <w:r w:rsidR="00C71C44">
        <w:rPr>
          <w:rFonts w:ascii="Calibri" w:eastAsia="Times New Roman" w:hAnsi="Calibri" w:cs="Calibri"/>
        </w:rPr>
        <w:t xml:space="preserve">mjerodavnog tržišta, odnosno </w:t>
      </w:r>
      <w:r w:rsidRPr="00416948">
        <w:rPr>
          <w:rFonts w:ascii="Calibri" w:eastAsia="Times New Roman" w:hAnsi="Calibri" w:cs="Calibri"/>
        </w:rPr>
        <w:t>dimenzije usluga</w:t>
      </w:r>
      <w:r w:rsidR="00C71C44">
        <w:rPr>
          <w:rFonts w:ascii="Calibri" w:eastAsia="Times New Roman" w:hAnsi="Calibri" w:cs="Calibri"/>
        </w:rPr>
        <w:t xml:space="preserve"> i zemljopisne dimenzije</w:t>
      </w:r>
      <w:r w:rsidRPr="00416948">
        <w:rPr>
          <w:rFonts w:ascii="Calibri" w:eastAsia="Times New Roman" w:hAnsi="Calibri" w:cs="Calibri"/>
        </w:rPr>
        <w:t>, polazi se od utvrđivanja zamjenjivosti na strani ponude i zamjenjivosti na strani potražnje. Pomoću zamjenjivosti na strani potražnje utvrđuju se usluge koje korisnici smatraju zamjenskim uslugama. Zamjenska usluga je svaka usluga koja s obzirom na svoja svojstva, cijenu, namjenu i navike korisnika može zamijeniti drugu uslugu i na taj način zadovoljiti istorodnu potrebu korisnika. S druge strane, zamjenjivost na strani ponude ukazuje na spremnost operatora da u kratkom, odnosno srednjem roku, ponudi istovjetnu uslugu bez izlaganja značajnim dodatnim troškovima.</w:t>
      </w:r>
    </w:p>
    <w:p w:rsidR="00416948" w:rsidRPr="00416948" w:rsidRDefault="00416948" w:rsidP="00416948">
      <w:pPr>
        <w:jc w:val="both"/>
        <w:rPr>
          <w:rFonts w:ascii="Calibri" w:eastAsia="Times New Roman" w:hAnsi="Calibri" w:cs="Calibri"/>
        </w:rPr>
      </w:pPr>
    </w:p>
    <w:p w:rsidR="00416948" w:rsidRPr="00416948" w:rsidRDefault="00416948" w:rsidP="00416948">
      <w:pPr>
        <w:jc w:val="both"/>
        <w:rPr>
          <w:rFonts w:ascii="Calibri" w:eastAsia="Times New Roman" w:hAnsi="Calibri" w:cs="Calibri"/>
        </w:rPr>
      </w:pPr>
      <w:r w:rsidRPr="00416948">
        <w:rPr>
          <w:rFonts w:ascii="Calibri" w:eastAsia="Times New Roman" w:hAnsi="Calibri" w:cs="Calibri"/>
        </w:rPr>
        <w:t>Za razliku od potencijalne konkurencije, kod zamjenjivosti na strani ponude aktivni operator odmah reagira na povećanje cijene. Naime, potencijalni konkurenti trebaju više vremena kako bi počeli nuditi istovjetnu uslugu na tržištu. Nadalje, u slučaju postojanja zamjenjivosti na strani ponude već aktivni operatori se ne izlažu značajnim dodatnim troškovima, a ulazak potencijalnih konkurenata podrazumijeva značajne nenadoknadive troškove (</w:t>
      </w:r>
      <w:proofErr w:type="spellStart"/>
      <w:r w:rsidRPr="00416948">
        <w:rPr>
          <w:rFonts w:ascii="Calibri" w:eastAsia="Times New Roman" w:hAnsi="Calibri" w:cs="Calibri"/>
        </w:rPr>
        <w:t>eng</w:t>
      </w:r>
      <w:proofErr w:type="spellEnd"/>
      <w:r w:rsidRPr="00416948">
        <w:rPr>
          <w:rFonts w:ascii="Calibri" w:eastAsia="Times New Roman" w:hAnsi="Calibri" w:cs="Calibri"/>
        </w:rPr>
        <w:t xml:space="preserve">. </w:t>
      </w:r>
      <w:proofErr w:type="spellStart"/>
      <w:r w:rsidRPr="00DA75F3">
        <w:rPr>
          <w:rFonts w:ascii="Calibri" w:eastAsia="Times New Roman" w:hAnsi="Calibri" w:cs="Calibri"/>
          <w:i/>
        </w:rPr>
        <w:t>sunk</w:t>
      </w:r>
      <w:proofErr w:type="spellEnd"/>
      <w:r w:rsidRPr="00DA75F3">
        <w:rPr>
          <w:rFonts w:ascii="Calibri" w:eastAsia="Times New Roman" w:hAnsi="Calibri" w:cs="Calibri"/>
          <w:i/>
        </w:rPr>
        <w:t xml:space="preserve"> </w:t>
      </w:r>
      <w:proofErr w:type="spellStart"/>
      <w:r w:rsidRPr="00DA75F3">
        <w:rPr>
          <w:rFonts w:ascii="Calibri" w:eastAsia="Times New Roman" w:hAnsi="Calibri" w:cs="Calibri"/>
          <w:i/>
        </w:rPr>
        <w:t>cost</w:t>
      </w:r>
      <w:proofErr w:type="spellEnd"/>
      <w:r w:rsidRPr="00416948">
        <w:rPr>
          <w:rFonts w:ascii="Calibri" w:eastAsia="Times New Roman" w:hAnsi="Calibri" w:cs="Calibri"/>
        </w:rPr>
        <w:t>).</w:t>
      </w:r>
    </w:p>
    <w:p w:rsidR="00416948" w:rsidRPr="00416948" w:rsidRDefault="00416948" w:rsidP="00416948">
      <w:pPr>
        <w:jc w:val="both"/>
        <w:rPr>
          <w:rFonts w:ascii="Calibri" w:eastAsia="Times New Roman" w:hAnsi="Calibri" w:cs="Calibri"/>
        </w:rPr>
      </w:pPr>
    </w:p>
    <w:p w:rsidR="00313538" w:rsidRPr="00853D2A" w:rsidRDefault="00416948" w:rsidP="00313538">
      <w:pPr>
        <w:jc w:val="both"/>
        <w:rPr>
          <w:rFonts w:ascii="Calibri" w:eastAsia="Times New Roman" w:hAnsi="Calibri" w:cs="Calibri"/>
        </w:rPr>
      </w:pPr>
      <w:r w:rsidRPr="00416948">
        <w:rPr>
          <w:rFonts w:ascii="Calibri" w:eastAsia="Times New Roman" w:hAnsi="Calibri" w:cs="Calibri"/>
        </w:rPr>
        <w:t>Nadalje, isto mjerodavno tržište čine sve usluge koje su međusobno zamjenjive, bilo na strani potražnje ili na strani ponude.</w:t>
      </w:r>
      <w:bookmarkStart w:id="74" w:name="_Toc409066976"/>
      <w:bookmarkStart w:id="75" w:name="_Toc409068433"/>
      <w:bookmarkStart w:id="76" w:name="_Toc409652028"/>
      <w:bookmarkStart w:id="77" w:name="_Toc236634794"/>
      <w:bookmarkStart w:id="78" w:name="_Toc357581376"/>
      <w:bookmarkEnd w:id="74"/>
      <w:bookmarkEnd w:id="75"/>
      <w:bookmarkEnd w:id="76"/>
    </w:p>
    <w:p w:rsidR="00723B8D" w:rsidRPr="00313538" w:rsidRDefault="00723B8D" w:rsidP="00ED4D44">
      <w:pPr>
        <w:pStyle w:val="Heading2"/>
      </w:pPr>
      <w:bookmarkStart w:id="79" w:name="_Toc524984014"/>
      <w:bookmarkStart w:id="80" w:name="_Toc525072993"/>
      <w:bookmarkStart w:id="81" w:name="_Toc525729838"/>
      <w:r w:rsidRPr="00313538">
        <w:t>Mjerodavno tržište u dimenziji usluga</w:t>
      </w:r>
      <w:bookmarkEnd w:id="77"/>
      <w:bookmarkEnd w:id="78"/>
      <w:bookmarkEnd w:id="79"/>
      <w:bookmarkEnd w:id="80"/>
      <w:bookmarkEnd w:id="81"/>
    </w:p>
    <w:p w:rsidR="00FF5114" w:rsidRPr="0005566C" w:rsidRDefault="00416948" w:rsidP="00723B8D">
      <w:pPr>
        <w:jc w:val="both"/>
        <w:rPr>
          <w:rFonts w:ascii="Calibri" w:hAnsi="Calibri"/>
        </w:rPr>
      </w:pPr>
      <w:r>
        <w:rPr>
          <w:rFonts w:ascii="Calibri" w:hAnsi="Calibri"/>
        </w:rPr>
        <w:t>P</w:t>
      </w:r>
      <w:r w:rsidR="00723B8D" w:rsidRPr="0005566C">
        <w:rPr>
          <w:rFonts w:ascii="Calibri" w:hAnsi="Calibri"/>
        </w:rPr>
        <w:t xml:space="preserve">otražnja za uslugom </w:t>
      </w:r>
      <w:r w:rsidR="00F26C45">
        <w:rPr>
          <w:rFonts w:ascii="Calibri" w:hAnsi="Calibri"/>
        </w:rPr>
        <w:t xml:space="preserve">veleprodajnog završavanja </w:t>
      </w:r>
      <w:r w:rsidR="007E4538">
        <w:rPr>
          <w:rFonts w:ascii="Calibri" w:hAnsi="Calibri"/>
        </w:rPr>
        <w:t>poziva</w:t>
      </w:r>
      <w:r w:rsidR="00723B8D" w:rsidRPr="0005566C">
        <w:rPr>
          <w:rFonts w:ascii="Calibri" w:hAnsi="Calibri"/>
        </w:rPr>
        <w:t xml:space="preserve"> u određenu javnu komunikacijsku mrežu koja se pruža na fiksnoj lokaciji proizlazi iz potražnje za uslugom poziva na maloprodajn</w:t>
      </w:r>
      <w:r>
        <w:rPr>
          <w:rFonts w:ascii="Calibri" w:hAnsi="Calibri"/>
        </w:rPr>
        <w:t>oj razini. Stoga je</w:t>
      </w:r>
      <w:r w:rsidR="00723B8D" w:rsidRPr="0005566C">
        <w:rPr>
          <w:rFonts w:ascii="Calibri" w:hAnsi="Calibri"/>
        </w:rPr>
        <w:t xml:space="preserve"> HAKOM pri utvrđivanju dimenzije usluga mjerodavnog tržišta </w:t>
      </w:r>
      <w:r w:rsidR="00F26C45">
        <w:rPr>
          <w:rFonts w:ascii="Calibri" w:hAnsi="Calibri"/>
        </w:rPr>
        <w:t xml:space="preserve">veleprodajnog završavanja </w:t>
      </w:r>
      <w:r w:rsidR="007E4538">
        <w:rPr>
          <w:rFonts w:ascii="Calibri" w:hAnsi="Calibri"/>
        </w:rPr>
        <w:t>poziva</w:t>
      </w:r>
      <w:r w:rsidR="00723B8D" w:rsidRPr="0005566C">
        <w:rPr>
          <w:rFonts w:ascii="Calibri" w:hAnsi="Calibri"/>
        </w:rPr>
        <w:t xml:space="preserve"> koja se pruža na fiksnoj lokaciji, smatrao prikladnim, utvrditi zamjenske usluge na veleprodajnom tržištu razmatrajući načine putem kojih operatori na maloprodajnom tržištu omogućavaju krajnjem korisniku primanje poziva uvažavajući pritom budući razvoj tržišta.</w:t>
      </w:r>
    </w:p>
    <w:p w:rsidR="00723B8D" w:rsidRPr="00C637ED" w:rsidRDefault="00723B8D" w:rsidP="00DB24D6">
      <w:pPr>
        <w:pStyle w:val="Heading3"/>
      </w:pPr>
      <w:bookmarkStart w:id="82" w:name="_Toc236634795"/>
      <w:bookmarkStart w:id="83" w:name="_Toc357581377"/>
      <w:bookmarkStart w:id="84" w:name="_Toc524984015"/>
      <w:bookmarkStart w:id="85" w:name="_Toc525072994"/>
      <w:bookmarkStart w:id="86" w:name="_Toc525729839"/>
      <w:r w:rsidRPr="00C637ED">
        <w:t>Zamjenjivost na strani potražnje - maloprodajna razina</w:t>
      </w:r>
      <w:bookmarkEnd w:id="82"/>
      <w:bookmarkEnd w:id="83"/>
      <w:bookmarkEnd w:id="84"/>
      <w:bookmarkEnd w:id="85"/>
      <w:bookmarkEnd w:id="86"/>
    </w:p>
    <w:p w:rsidR="003051B3" w:rsidRDefault="003051B3" w:rsidP="003B27C9">
      <w:pPr>
        <w:jc w:val="both"/>
        <w:rPr>
          <w:rFonts w:ascii="Calibri" w:hAnsi="Calibri"/>
        </w:rPr>
      </w:pPr>
      <w:r w:rsidRPr="003051B3">
        <w:rPr>
          <w:rFonts w:cs="Calibri"/>
        </w:rPr>
        <w:t xml:space="preserve">Učinci zamjenjivosti na strani potražnje na maloprodajnoj razini predstavljaju učinke zamjenjivosti javno ponuđenih elektroničkih komunikacijskih usluga na mjerodavnom tržištu zbog kojih korisnici mogu odgovoriti na povećanje cijene jedne usluge prelaskom na potrošnju druge usluge istog operatora ili iste, odnosno zamjenskih usluga ostalih operatora na mjerodavnom tržištu. Drugim riječima, zamjenjivost na strani potražnje događa se u trenutku kada korisnik određene usluge prelazi na druge, zamjenske usluge kao odgovor na </w:t>
      </w:r>
      <w:r w:rsidRPr="00A8207E">
        <w:rPr>
          <w:rFonts w:ascii="Calibri" w:hAnsi="Calibri"/>
        </w:rPr>
        <w:t xml:space="preserve">relativno povećanje cijene usluge koju koristi. </w:t>
      </w:r>
    </w:p>
    <w:p w:rsidR="00A8207E" w:rsidRPr="00A8207E" w:rsidRDefault="00A8207E" w:rsidP="003B27C9">
      <w:pPr>
        <w:jc w:val="both"/>
        <w:rPr>
          <w:rFonts w:ascii="Calibri" w:hAnsi="Calibri"/>
        </w:rPr>
      </w:pPr>
    </w:p>
    <w:p w:rsidR="003051B3" w:rsidRDefault="003051B3" w:rsidP="00A8207E">
      <w:pPr>
        <w:jc w:val="both"/>
        <w:rPr>
          <w:rFonts w:ascii="Calibri" w:hAnsi="Calibri"/>
        </w:rPr>
      </w:pPr>
      <w:r w:rsidRPr="00A8207E">
        <w:rPr>
          <w:rFonts w:ascii="Calibri" w:hAnsi="Calibri"/>
        </w:rPr>
        <w:t>U teoriji, ako operator koji nudi uslugu poveća cijenu te usluge, korisnici su u mogućnosti</w:t>
      </w:r>
      <w:r w:rsidRPr="003051B3">
        <w:rPr>
          <w:rFonts w:cs="Calibri"/>
        </w:rPr>
        <w:t xml:space="preserve"> prijeći na zamjenske usluge drugih operatora te operatora koji je povisio cijenu svojih usluga prisiliti da cijene vrati na razinu na kojoj su bile iz razloga što će u suprotnom početi gubiti korisnike, a samim time i tržišni udjel. </w:t>
      </w:r>
      <w:r w:rsidR="00275625">
        <w:rPr>
          <w:rFonts w:cs="Calibri"/>
        </w:rPr>
        <w:t>Š</w:t>
      </w:r>
      <w:r w:rsidRPr="003051B3">
        <w:rPr>
          <w:rFonts w:cs="Calibri"/>
        </w:rPr>
        <w:t xml:space="preserve">to je zamjenjivost na strani potražnje jače izražena, operatori su više ograničeni u mogućnosti povećavanja cijena usluga koje nude </w:t>
      </w:r>
      <w:r w:rsidRPr="00A8207E">
        <w:rPr>
          <w:rFonts w:ascii="Calibri" w:hAnsi="Calibri"/>
        </w:rPr>
        <w:t xml:space="preserve">svojim korisnicima. </w:t>
      </w:r>
    </w:p>
    <w:p w:rsidR="00A8207E" w:rsidRPr="00A8207E" w:rsidRDefault="00A8207E" w:rsidP="00A8207E">
      <w:pPr>
        <w:jc w:val="both"/>
        <w:rPr>
          <w:rFonts w:ascii="Calibri" w:hAnsi="Calibri"/>
        </w:rPr>
      </w:pPr>
    </w:p>
    <w:p w:rsidR="003051B3" w:rsidRDefault="00702D7B" w:rsidP="003051B3">
      <w:pPr>
        <w:jc w:val="both"/>
        <w:rPr>
          <w:rFonts w:ascii="Calibri" w:hAnsi="Calibri"/>
        </w:rPr>
      </w:pPr>
      <w:r w:rsidRPr="000C5040">
        <w:lastRenderedPageBreak/>
        <w:t xml:space="preserve">Veleprodajnoj usluzi završavanja </w:t>
      </w:r>
      <w:r w:rsidR="007E4538">
        <w:t>poziva</w:t>
      </w:r>
      <w:r w:rsidRPr="000C5040">
        <w:t xml:space="preserve"> u vlastitoj javnoj telefonskoj mreži odgovara usluga primanja/dolaznog poziva na maloprodajnoj razini. Prilikom određivanja usluga koje se mogu smatrati zamjenskim uslugama, a za koje se korisnik može opredijeliti umjesto usluge poziva u određenu nepokretnu mrežu, potrebno je proučiti ponašanje korisnika pri čemu u obzir treba uzeti njegove navike te osviještenost i osjetljivost na promjene cijena usluga</w:t>
      </w:r>
      <w:r w:rsidR="00B02775">
        <w:t>.</w:t>
      </w:r>
      <w:r w:rsidR="00275625">
        <w:rPr>
          <w:rFonts w:ascii="Calibri" w:hAnsi="Calibri"/>
        </w:rPr>
        <w:t xml:space="preserve"> </w:t>
      </w:r>
      <w:r w:rsidR="003051B3" w:rsidRPr="003051B3">
        <w:rPr>
          <w:rFonts w:ascii="Calibri" w:hAnsi="Calibri"/>
        </w:rPr>
        <w:t xml:space="preserve">Osnovno je pitanje može li korisnik u slučaju hipotetskog povećanja cijene usluge jednog operatora, istu zamijeniti drugom uslugom istog ili nekog drugog operatora, kao odgovor na malo, ali značajno, trajno povećanje cijena. </w:t>
      </w:r>
    </w:p>
    <w:p w:rsidR="00376616" w:rsidRPr="003051B3" w:rsidRDefault="00376616" w:rsidP="003051B3">
      <w:pPr>
        <w:jc w:val="both"/>
        <w:rPr>
          <w:rFonts w:ascii="Calibri" w:hAnsi="Calibri"/>
        </w:rPr>
      </w:pPr>
    </w:p>
    <w:p w:rsidR="003051B3" w:rsidRDefault="003051B3" w:rsidP="00D93BF3">
      <w:pPr>
        <w:jc w:val="both"/>
        <w:rPr>
          <w:rFonts w:ascii="Calibri" w:hAnsi="Calibri"/>
        </w:rPr>
      </w:pPr>
      <w:r w:rsidRPr="003051B3">
        <w:rPr>
          <w:rFonts w:ascii="Calibri" w:hAnsi="Calibri"/>
        </w:rPr>
        <w:t xml:space="preserve">Činjenica je da, prema strukturi troškova poziva, maloprodajna cijena poziva uključuje i trošak veleprodajne usluge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Uslugu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u nepokretni</w:t>
      </w:r>
      <w:r w:rsidR="00447EE7">
        <w:rPr>
          <w:rFonts w:ascii="Calibri" w:hAnsi="Calibri"/>
        </w:rPr>
        <w:t>m mrežama nudi svaki od</w:t>
      </w:r>
      <w:r w:rsidRPr="003051B3">
        <w:rPr>
          <w:rFonts w:ascii="Calibri" w:hAnsi="Calibri"/>
        </w:rPr>
        <w:t xml:space="preserve"> operatora nepokretnih mreža. </w:t>
      </w:r>
      <w:r w:rsidR="00E21461">
        <w:rPr>
          <w:rFonts w:ascii="Calibri" w:hAnsi="Calibri"/>
        </w:rPr>
        <w:t>U</w:t>
      </w:r>
      <w:r w:rsidRPr="003051B3">
        <w:rPr>
          <w:rFonts w:ascii="Calibri" w:hAnsi="Calibri"/>
        </w:rPr>
        <w:t xml:space="preserve"> Republici Hrvatskoj, kao i cijeloj Eu</w:t>
      </w:r>
      <w:r w:rsidR="00E21461">
        <w:rPr>
          <w:rFonts w:ascii="Calibri" w:hAnsi="Calibri"/>
        </w:rPr>
        <w:t xml:space="preserve">ropi, </w:t>
      </w:r>
      <w:r w:rsidR="00D93BF3">
        <w:rPr>
          <w:rFonts w:ascii="Calibri" w:hAnsi="Calibri"/>
        </w:rPr>
        <w:t xml:space="preserve">na snazi je općeprihvaćeni </w:t>
      </w:r>
      <w:r w:rsidRPr="003051B3">
        <w:rPr>
          <w:rFonts w:ascii="Calibri" w:hAnsi="Calibri"/>
        </w:rPr>
        <w:t>CP</w:t>
      </w:r>
      <w:r w:rsidR="00D93BF3">
        <w:rPr>
          <w:rFonts w:ascii="Calibri" w:hAnsi="Calibri"/>
        </w:rPr>
        <w:t>P</w:t>
      </w:r>
      <w:r w:rsidRPr="003051B3">
        <w:rPr>
          <w:rFonts w:ascii="Calibri" w:hAnsi="Calibri"/>
          <w:vertAlign w:val="superscript"/>
        </w:rPr>
        <w:footnoteReference w:id="21"/>
      </w:r>
      <w:r w:rsidRPr="003051B3">
        <w:rPr>
          <w:rFonts w:ascii="Calibri" w:hAnsi="Calibri"/>
        </w:rPr>
        <w:t xml:space="preserve"> princip prema kojemu trošak poziva u cijelosti snosi pozivatelj. Sukladno tome, povećanje veleprodajne cijene usluge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neće osjetiti korisnik operatora u čijoj je mreži poziv završio, već korisnici operatora od kojeg je poziv upućen.</w:t>
      </w:r>
    </w:p>
    <w:p w:rsidR="00376616" w:rsidRPr="003051B3" w:rsidRDefault="00376616" w:rsidP="00D93BF3">
      <w:pPr>
        <w:jc w:val="both"/>
        <w:rPr>
          <w:rFonts w:ascii="Calibri" w:hAnsi="Calibri"/>
        </w:rPr>
      </w:pPr>
    </w:p>
    <w:p w:rsidR="003051B3" w:rsidRDefault="003051B3" w:rsidP="003051B3">
      <w:pPr>
        <w:jc w:val="both"/>
        <w:rPr>
          <w:rFonts w:ascii="Calibri" w:hAnsi="Calibri"/>
        </w:rPr>
      </w:pPr>
      <w:r w:rsidRPr="003051B3">
        <w:rPr>
          <w:rFonts w:ascii="Calibri" w:hAnsi="Calibri"/>
        </w:rPr>
        <w:t xml:space="preserve">Sukladno tome, pri određivanju mogućih prepreka potencijalnom povećanju cijena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u nepokretnim mrežama i učinaka njihove zamjene, potrebno je razmotriti ponašanje i pozivatelja i pozvanog, odnosno, korisnikovu cjenovnu osviještenost i osjetljivost na cjenovne promjene. U većini slučajeva postoji osjetljivost korisnika na cijenu usluge koju kupuju te na taj način ograničavaju operatorima potencijalno povećavanje maloprodajnih cijena svojih usluga, a sukladno tome i veleprodajnih cijena. Međutim, zbog CPP principa, operatori koji povećaju cijenu usluge </w:t>
      </w:r>
      <w:r w:rsidR="00F26C45">
        <w:rPr>
          <w:rFonts w:ascii="Calibri" w:hAnsi="Calibri"/>
        </w:rPr>
        <w:t xml:space="preserve">veleprodajnog završavanja </w:t>
      </w:r>
      <w:r w:rsidR="007E4538">
        <w:rPr>
          <w:rFonts w:ascii="Calibri" w:hAnsi="Calibri"/>
        </w:rPr>
        <w:t>poziva</w:t>
      </w:r>
      <w:r w:rsidR="00376616">
        <w:rPr>
          <w:rFonts w:ascii="Calibri" w:hAnsi="Calibri"/>
        </w:rPr>
        <w:t xml:space="preserve"> </w:t>
      </w:r>
      <w:r w:rsidRPr="003051B3">
        <w:rPr>
          <w:rFonts w:ascii="Calibri" w:hAnsi="Calibri"/>
        </w:rPr>
        <w:t>ne suočavaju se s direktnim cjenovnim ograničenjima s maloprodajne razine, budući da se povećanje maloprodajne cijene odražava na krajnjem korisniku operatora iz čije je mreže poziv upućen.</w:t>
      </w:r>
    </w:p>
    <w:p w:rsidR="00376616" w:rsidRPr="003051B3" w:rsidRDefault="00376616" w:rsidP="003051B3">
      <w:pPr>
        <w:jc w:val="both"/>
        <w:rPr>
          <w:rFonts w:ascii="Calibri" w:hAnsi="Calibri"/>
        </w:rPr>
      </w:pPr>
    </w:p>
    <w:p w:rsidR="003051B3" w:rsidRDefault="003051B3" w:rsidP="003051B3">
      <w:pPr>
        <w:jc w:val="both"/>
        <w:rPr>
          <w:rFonts w:ascii="Calibri" w:hAnsi="Calibri"/>
        </w:rPr>
      </w:pPr>
      <w:r w:rsidRPr="003051B3">
        <w:rPr>
          <w:rFonts w:ascii="Calibri" w:hAnsi="Calibri"/>
        </w:rPr>
        <w:t>Svaki poziv upućen na točno određeni broj u nepokretnoj mreži rezultirati će isporukom poziva na birani broj koji je pridružen određenoj fiksnoj lokaciji. Budući da je svaki telefonski broj poseban za svaku određenu fiksnu lokaciju, pozivatelj točno zna koga zove/želi pozvati, iako ne mora znati u kojoj je nepokretnoj mreži navedeni broj, odnosno tko je pozvanom korisniku pristupni operator. Razlog tome je, između ostalog, i dostupnost usluge prenosivosti broja</w:t>
      </w:r>
      <w:r w:rsidR="008143B4">
        <w:rPr>
          <w:rStyle w:val="FootnoteReference"/>
          <w:rFonts w:ascii="Calibri" w:hAnsi="Calibri"/>
        </w:rPr>
        <w:footnoteReference w:id="22"/>
      </w:r>
      <w:r w:rsidR="008143B4">
        <w:rPr>
          <w:rFonts w:ascii="Calibri" w:hAnsi="Calibri"/>
        </w:rPr>
        <w:t>.</w:t>
      </w:r>
      <w:r w:rsidRPr="003051B3">
        <w:rPr>
          <w:rFonts w:ascii="Calibri" w:hAnsi="Calibri"/>
        </w:rPr>
        <w:t xml:space="preserve"> </w:t>
      </w:r>
    </w:p>
    <w:p w:rsidR="005533F0" w:rsidRDefault="005533F0" w:rsidP="003051B3">
      <w:pPr>
        <w:jc w:val="both"/>
        <w:rPr>
          <w:rFonts w:ascii="Calibri" w:hAnsi="Calibri"/>
        </w:rPr>
      </w:pPr>
    </w:p>
    <w:p w:rsidR="003051B3" w:rsidRDefault="003051B3" w:rsidP="003051B3">
      <w:pPr>
        <w:jc w:val="both"/>
        <w:rPr>
          <w:rFonts w:ascii="Calibri" w:hAnsi="Calibri"/>
        </w:rPr>
      </w:pPr>
      <w:r w:rsidRPr="003051B3">
        <w:rPr>
          <w:rFonts w:ascii="Calibri" w:hAnsi="Calibri"/>
        </w:rPr>
        <w:t xml:space="preserve">Nadalje, krajnji korisnici, neovisno o izboru operatora, žele mogućnost međusobnog komuniciranja. Kako bi im tu komunikaciju omogućili, odnosno kako bi omogućili završavanje </w:t>
      </w:r>
      <w:r w:rsidR="007E4538">
        <w:rPr>
          <w:rFonts w:ascii="Calibri" w:hAnsi="Calibri"/>
        </w:rPr>
        <w:t>poziva</w:t>
      </w:r>
      <w:r w:rsidRPr="003051B3">
        <w:rPr>
          <w:rFonts w:ascii="Calibri" w:hAnsi="Calibri"/>
        </w:rPr>
        <w:t xml:space="preserve"> na broju na određenoj lokaciji, operatori međusobno povezuju svoje mreže. S obzirom da niti jedan operator ne može umjesto operatora u čijoj se mreži nalazi pozivani broj, završiti poziv u svojoj mreži, poziv upućen prema nepokretnim mrežama, odnosno na točno određeni broj na fiksnoj lokaciji, nema prikladne zamjenske usluge.</w:t>
      </w:r>
    </w:p>
    <w:p w:rsidR="00376616" w:rsidRPr="003051B3" w:rsidRDefault="00376616" w:rsidP="003051B3">
      <w:pPr>
        <w:jc w:val="both"/>
        <w:rPr>
          <w:rFonts w:ascii="Calibri" w:hAnsi="Calibri"/>
        </w:rPr>
      </w:pPr>
    </w:p>
    <w:p w:rsidR="003051B3" w:rsidRDefault="003051B3" w:rsidP="003051B3">
      <w:pPr>
        <w:jc w:val="both"/>
        <w:rPr>
          <w:rFonts w:ascii="Calibri" w:hAnsi="Calibri"/>
        </w:rPr>
      </w:pPr>
      <w:r w:rsidRPr="003051B3">
        <w:rPr>
          <w:rFonts w:ascii="Calibri" w:hAnsi="Calibri"/>
        </w:rPr>
        <w:t xml:space="preserve">Usluga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osim što je po samoj svojoj logici i karakteristikama veleprodajna usluga, u slučaju kada su pozivatelj i primatelj poziva u istoj </w:t>
      </w:r>
      <w:r w:rsidRPr="003051B3">
        <w:rPr>
          <w:rFonts w:ascii="Calibri" w:hAnsi="Calibri"/>
        </w:rPr>
        <w:lastRenderedPageBreak/>
        <w:t>mreži (</w:t>
      </w:r>
      <w:proofErr w:type="spellStart"/>
      <w:r w:rsidRPr="003051B3">
        <w:rPr>
          <w:rFonts w:ascii="Calibri" w:hAnsi="Calibri"/>
        </w:rPr>
        <w:t>eng</w:t>
      </w:r>
      <w:proofErr w:type="spellEnd"/>
      <w:r w:rsidRPr="003051B3">
        <w:rPr>
          <w:rFonts w:ascii="Calibri" w:hAnsi="Calibri"/>
          <w:i/>
        </w:rPr>
        <w:t xml:space="preserve">. on net </w:t>
      </w:r>
      <w:proofErr w:type="spellStart"/>
      <w:r w:rsidRPr="003051B3">
        <w:rPr>
          <w:rFonts w:ascii="Calibri" w:hAnsi="Calibri"/>
          <w:i/>
        </w:rPr>
        <w:t>calls</w:t>
      </w:r>
      <w:proofErr w:type="spellEnd"/>
      <w:r w:rsidRPr="003051B3">
        <w:rPr>
          <w:rFonts w:ascii="Calibri" w:hAnsi="Calibri"/>
        </w:rPr>
        <w:t>) definira se kao usluga za vlastite potrebe (</w:t>
      </w:r>
      <w:proofErr w:type="spellStart"/>
      <w:r w:rsidRPr="003051B3">
        <w:rPr>
          <w:rFonts w:ascii="Calibri" w:hAnsi="Calibri"/>
        </w:rPr>
        <w:t>eng</w:t>
      </w:r>
      <w:proofErr w:type="spellEnd"/>
      <w:r w:rsidRPr="003051B3">
        <w:rPr>
          <w:rFonts w:ascii="Calibri" w:hAnsi="Calibri"/>
        </w:rPr>
        <w:t>.</w:t>
      </w:r>
      <w:r w:rsidRPr="003051B3">
        <w:rPr>
          <w:rFonts w:ascii="Calibri" w:hAnsi="Calibri"/>
          <w:i/>
        </w:rPr>
        <w:t xml:space="preserve"> </w:t>
      </w:r>
      <w:proofErr w:type="spellStart"/>
      <w:r w:rsidRPr="003051B3">
        <w:rPr>
          <w:rFonts w:ascii="Calibri" w:hAnsi="Calibri"/>
          <w:i/>
        </w:rPr>
        <w:t>self</w:t>
      </w:r>
      <w:proofErr w:type="spellEnd"/>
      <w:r w:rsidRPr="003051B3">
        <w:rPr>
          <w:rFonts w:ascii="Calibri" w:hAnsi="Calibri"/>
          <w:i/>
        </w:rPr>
        <w:t xml:space="preserve"> </w:t>
      </w:r>
      <w:proofErr w:type="spellStart"/>
      <w:r w:rsidRPr="003051B3">
        <w:rPr>
          <w:rFonts w:ascii="Calibri" w:hAnsi="Calibri"/>
          <w:i/>
        </w:rPr>
        <w:t>supply</w:t>
      </w:r>
      <w:proofErr w:type="spellEnd"/>
      <w:r w:rsidRPr="003051B3">
        <w:rPr>
          <w:rFonts w:ascii="Calibri" w:hAnsi="Calibri"/>
        </w:rPr>
        <w:t>), što znači da usluga nije prodana drugom operatoru već maloprodajnom dijelu istog operatora.</w:t>
      </w:r>
    </w:p>
    <w:p w:rsidR="00376616" w:rsidRPr="003051B3" w:rsidRDefault="00376616" w:rsidP="003051B3">
      <w:pPr>
        <w:jc w:val="both"/>
        <w:rPr>
          <w:rFonts w:ascii="Calibri" w:hAnsi="Calibri"/>
        </w:rPr>
      </w:pPr>
    </w:p>
    <w:p w:rsidR="003E0689" w:rsidRPr="00102F4D" w:rsidRDefault="003051B3" w:rsidP="003E0689">
      <w:pPr>
        <w:jc w:val="both"/>
        <w:rPr>
          <w:rFonts w:eastAsia="Times New Roman" w:cs="Times New Roman"/>
          <w:szCs w:val="24"/>
        </w:rPr>
      </w:pPr>
      <w:r w:rsidRPr="003051B3">
        <w:rPr>
          <w:rFonts w:ascii="Calibri" w:hAnsi="Calibri"/>
        </w:rPr>
        <w:t xml:space="preserve">Maloprodajna cijena usluge poziva prema brojevima u nepokretnim mrežama može stvoriti pritisak na određivanje cijena veleprodajne usluge </w:t>
      </w:r>
      <w:r w:rsidR="00F26C45">
        <w:rPr>
          <w:rFonts w:ascii="Calibri" w:hAnsi="Calibri"/>
        </w:rPr>
        <w:t xml:space="preserve">veleprodajnog završavanja </w:t>
      </w:r>
      <w:r w:rsidR="007E4538">
        <w:rPr>
          <w:rFonts w:ascii="Calibri" w:hAnsi="Calibri"/>
        </w:rPr>
        <w:t>poziva</w:t>
      </w:r>
      <w:r w:rsidRPr="003051B3">
        <w:rPr>
          <w:rFonts w:ascii="Calibri" w:hAnsi="Calibri"/>
        </w:rPr>
        <w:t xml:space="preserve"> jedino na način da se izbjegne mreža operatora na čiji je broj poziv upućen. Međutim, u slučaju poziva u određenu nepokretnu mrežu ne postoji niti jedna prikladna zamjenska usluga tom pozivu, osim da poziv završi na broju i u mreži koja je pozvana. Iz razloga što nema zamjenske usluge pozivu na određeni broj u određenoj nepokretnoj mreži, moraju se sagledati svi mogući alternativni načini komunikacije koji bi mogli biti smatrani adekvatnim zamjenskim uslugama, odnosno, koji bi imali stvarni utjecaj na veleprodajnu cijenu usluge </w:t>
      </w:r>
      <w:r w:rsidR="00F26C45">
        <w:rPr>
          <w:rFonts w:ascii="Calibri" w:hAnsi="Calibri"/>
        </w:rPr>
        <w:t xml:space="preserve">veleprodajnog završavanja </w:t>
      </w:r>
      <w:r w:rsidR="007E4538">
        <w:rPr>
          <w:rFonts w:ascii="Calibri" w:hAnsi="Calibri"/>
        </w:rPr>
        <w:t>poziva</w:t>
      </w:r>
      <w:r w:rsidRPr="003051B3">
        <w:rPr>
          <w:rFonts w:ascii="Calibri" w:hAnsi="Calibri"/>
        </w:rPr>
        <w:t>.</w:t>
      </w:r>
      <w:r w:rsidR="003E0689">
        <w:rPr>
          <w:rFonts w:ascii="Calibri" w:hAnsi="Calibri"/>
        </w:rPr>
        <w:t xml:space="preserve"> </w:t>
      </w:r>
      <w:r w:rsidR="003E0689">
        <w:rPr>
          <w:rFonts w:eastAsia="Times New Roman" w:cs="Times New Roman"/>
          <w:szCs w:val="24"/>
        </w:rPr>
        <w:t>Stoga je</w:t>
      </w:r>
      <w:r w:rsidR="003E0689" w:rsidRPr="00102F4D">
        <w:rPr>
          <w:rFonts w:eastAsia="Times New Roman" w:cs="Times New Roman"/>
          <w:szCs w:val="24"/>
        </w:rPr>
        <w:t xml:space="preserve"> HAKOM razmatrao jesu li pozivi </w:t>
      </w:r>
      <w:r w:rsidR="003E0689">
        <w:rPr>
          <w:rFonts w:eastAsia="Times New Roman" w:cs="Times New Roman"/>
          <w:szCs w:val="24"/>
        </w:rPr>
        <w:t>prema brojevima u</w:t>
      </w:r>
      <w:r w:rsidR="003E0689" w:rsidRPr="00102F4D">
        <w:rPr>
          <w:rFonts w:eastAsia="Times New Roman" w:cs="Times New Roman"/>
          <w:szCs w:val="24"/>
        </w:rPr>
        <w:t xml:space="preserve"> pokretni</w:t>
      </w:r>
      <w:r w:rsidR="003E0689">
        <w:rPr>
          <w:rFonts w:eastAsia="Times New Roman" w:cs="Times New Roman"/>
          <w:szCs w:val="24"/>
        </w:rPr>
        <w:t>m</w:t>
      </w:r>
      <w:r w:rsidR="003E0689" w:rsidRPr="00102F4D">
        <w:rPr>
          <w:rFonts w:eastAsia="Times New Roman" w:cs="Times New Roman"/>
          <w:szCs w:val="24"/>
        </w:rPr>
        <w:t xml:space="preserve"> mreža</w:t>
      </w:r>
      <w:r w:rsidR="003E0689">
        <w:rPr>
          <w:rFonts w:eastAsia="Times New Roman" w:cs="Times New Roman"/>
          <w:szCs w:val="24"/>
        </w:rPr>
        <w:t>ma</w:t>
      </w:r>
      <w:r w:rsidR="003E0689" w:rsidRPr="00102F4D">
        <w:rPr>
          <w:rFonts w:eastAsia="Times New Roman" w:cs="Times New Roman"/>
          <w:szCs w:val="24"/>
        </w:rPr>
        <w:t xml:space="preserve"> zamjenska usluga pozivima </w:t>
      </w:r>
      <w:r w:rsidR="003E0689">
        <w:rPr>
          <w:rFonts w:eastAsia="Times New Roman" w:cs="Times New Roman"/>
          <w:szCs w:val="24"/>
        </w:rPr>
        <w:t>prema brojevima u</w:t>
      </w:r>
      <w:r w:rsidR="003E0689" w:rsidRPr="00102F4D">
        <w:rPr>
          <w:rFonts w:eastAsia="Times New Roman" w:cs="Times New Roman"/>
          <w:szCs w:val="24"/>
        </w:rPr>
        <w:t xml:space="preserve"> nepokretni</w:t>
      </w:r>
      <w:r w:rsidR="003E0689">
        <w:rPr>
          <w:rFonts w:eastAsia="Times New Roman" w:cs="Times New Roman"/>
          <w:szCs w:val="24"/>
        </w:rPr>
        <w:t xml:space="preserve">m </w:t>
      </w:r>
      <w:r w:rsidR="003E0689" w:rsidRPr="00102F4D">
        <w:rPr>
          <w:rFonts w:eastAsia="Times New Roman" w:cs="Times New Roman"/>
          <w:szCs w:val="24"/>
        </w:rPr>
        <w:t>mreža</w:t>
      </w:r>
      <w:r w:rsidR="003E0689">
        <w:rPr>
          <w:rFonts w:eastAsia="Times New Roman" w:cs="Times New Roman"/>
          <w:szCs w:val="24"/>
        </w:rPr>
        <w:t>ma</w:t>
      </w:r>
      <w:r w:rsidR="003E0689" w:rsidRPr="00102F4D">
        <w:rPr>
          <w:rFonts w:eastAsia="Times New Roman" w:cs="Times New Roman"/>
          <w:szCs w:val="24"/>
        </w:rPr>
        <w:t>.</w:t>
      </w:r>
      <w:r w:rsidR="003E0689">
        <w:rPr>
          <w:rFonts w:eastAsia="Times New Roman" w:cs="Times New Roman"/>
          <w:szCs w:val="24"/>
        </w:rPr>
        <w:t xml:space="preserve"> Također, razmatrano je jesu li OTT</w:t>
      </w:r>
      <w:r w:rsidR="00275625">
        <w:rPr>
          <w:rStyle w:val="FootnoteReference"/>
          <w:rFonts w:eastAsia="Times New Roman" w:cs="Times New Roman"/>
          <w:szCs w:val="24"/>
        </w:rPr>
        <w:footnoteReference w:id="23"/>
      </w:r>
      <w:r w:rsidR="00275625">
        <w:rPr>
          <w:rFonts w:eastAsia="Times New Roman" w:cs="Times New Roman"/>
          <w:szCs w:val="24"/>
        </w:rPr>
        <w:t xml:space="preserve"> </w:t>
      </w:r>
      <w:r w:rsidR="003E0689">
        <w:rPr>
          <w:rFonts w:eastAsia="Times New Roman" w:cs="Times New Roman"/>
          <w:szCs w:val="24"/>
        </w:rPr>
        <w:t>usluge zamjenska usluga pozivima na brojeve u nepokretnoj mreži.</w:t>
      </w:r>
    </w:p>
    <w:p w:rsidR="00EC17CB" w:rsidRPr="00EC17CB" w:rsidRDefault="00EC17CB" w:rsidP="008143B4">
      <w:pPr>
        <w:spacing w:before="100" w:beforeAutospacing="1" w:after="100" w:afterAutospacing="1"/>
        <w:jc w:val="both"/>
        <w:rPr>
          <w:rFonts w:cstheme="minorHAnsi"/>
        </w:rPr>
      </w:pPr>
      <w:r w:rsidRPr="00EC17CB">
        <w:rPr>
          <w:rFonts w:cstheme="minorHAnsi"/>
        </w:rPr>
        <w:t>Na zamjenjivost poziva prema brojevima u nepokretnim mrežama</w:t>
      </w:r>
      <w:r w:rsidR="00026663">
        <w:rPr>
          <w:rFonts w:cstheme="minorHAnsi"/>
        </w:rPr>
        <w:t xml:space="preserve"> s</w:t>
      </w:r>
      <w:r w:rsidRPr="00EC17CB">
        <w:rPr>
          <w:rFonts w:cstheme="minorHAnsi"/>
        </w:rPr>
        <w:t xml:space="preserve"> pozivima prema brojevima u pokretnim mrežama, utječe niz čimbenika.</w:t>
      </w:r>
    </w:p>
    <w:p w:rsidR="00EC17CB" w:rsidRPr="00314B20" w:rsidRDefault="00EC17CB" w:rsidP="003E0689">
      <w:pPr>
        <w:jc w:val="both"/>
        <w:rPr>
          <w:rFonts w:eastAsia="Times New Roman" w:cstheme="minorHAnsi"/>
        </w:rPr>
      </w:pPr>
      <w:r w:rsidRPr="00EC17CB">
        <w:t xml:space="preserve">Naime, pozivatelj uvijek ima mogućnost, umjesto upućivanja poziva na broj u nepokretnoj mreži, dobiti traženog korisnika na njegov broj u pokretnoj mreži, ukoliko ga krajnji korisnik posjeduje. </w:t>
      </w:r>
      <w:r w:rsidR="00E21461" w:rsidRPr="00D65A71">
        <w:rPr>
          <w:rFonts w:cs="Times New Roman"/>
          <w:bCs/>
          <w:szCs w:val="24"/>
        </w:rPr>
        <w:t>Iako je gustoća usluga korisnika pokretnih javnih komunikacijskih mreža na kraju četvrtog tromjesečja 2017. iznosila 100,7</w:t>
      </w:r>
      <w:r w:rsidR="00275625">
        <w:rPr>
          <w:rFonts w:cs="Times New Roman"/>
          <w:bCs/>
          <w:szCs w:val="24"/>
        </w:rPr>
        <w:t xml:space="preserve"> posto</w:t>
      </w:r>
      <w:r w:rsidR="00E21461" w:rsidRPr="00D65A71">
        <w:rPr>
          <w:rFonts w:cs="Times New Roman"/>
          <w:bCs/>
          <w:szCs w:val="24"/>
        </w:rPr>
        <w:t>, s obzirom da određeni dio korisnika posjeduje više od jednog mobilnog uređaja, još uvijek se ne može govoriti o zamjenjivosti između nepokretnih i pokretnih mreža. Naime, u isto vrijeme, na kraju četvrtog t</w:t>
      </w:r>
      <w:r w:rsidR="00C71C44">
        <w:rPr>
          <w:rFonts w:cs="Times New Roman"/>
          <w:bCs/>
          <w:szCs w:val="24"/>
        </w:rPr>
        <w:t>romjesečja 2017. 83,3 posto</w:t>
      </w:r>
      <w:r w:rsidR="00E21461" w:rsidRPr="00D65A71">
        <w:rPr>
          <w:rFonts w:cs="Times New Roman"/>
          <w:bCs/>
          <w:szCs w:val="24"/>
        </w:rPr>
        <w:t xml:space="preserve"> svih kućanstava u RH je imalo pristup javnoj telefonskoj mreži koja se pruža na fiksnoj lokaciji, iz čega se može zaključiti da korisnici</w:t>
      </w:r>
      <w:r w:rsidR="00E21461">
        <w:rPr>
          <w:rFonts w:cs="Times New Roman"/>
          <w:bCs/>
          <w:szCs w:val="24"/>
        </w:rPr>
        <w:t xml:space="preserve"> u RH još uvijek ne zamjenjuju </w:t>
      </w:r>
      <w:r w:rsidR="00E21461" w:rsidRPr="00D65A71">
        <w:rPr>
          <w:rFonts w:cs="Times New Roman"/>
          <w:bCs/>
          <w:szCs w:val="24"/>
        </w:rPr>
        <w:t>usluge u nepokretnoj mreži uslugama u pokretnoj mreži.</w:t>
      </w:r>
      <w:r w:rsidR="003E0689">
        <w:rPr>
          <w:rFonts w:eastAsia="Times New Roman" w:cstheme="minorHAnsi"/>
        </w:rPr>
        <w:t xml:space="preserve"> Stoga</w:t>
      </w:r>
      <w:r w:rsidRPr="00314B20">
        <w:rPr>
          <w:rFonts w:eastAsia="Times New Roman" w:cstheme="minorHAnsi"/>
        </w:rPr>
        <w:t xml:space="preserve">, HAKOM smatra kako korisnici navedene vrste poziva </w:t>
      </w:r>
      <w:r w:rsidR="003E0689">
        <w:rPr>
          <w:rFonts w:eastAsia="Times New Roman" w:cstheme="minorHAnsi"/>
        </w:rPr>
        <w:t xml:space="preserve">još uvijek </w:t>
      </w:r>
      <w:r w:rsidRPr="00314B20">
        <w:rPr>
          <w:rFonts w:eastAsia="Times New Roman" w:cstheme="minorHAnsi"/>
        </w:rPr>
        <w:t>smatraju komplementarnim uslugama</w:t>
      </w:r>
      <w:r w:rsidR="003E0689">
        <w:rPr>
          <w:rFonts w:eastAsia="Times New Roman" w:cstheme="minorHAnsi"/>
        </w:rPr>
        <w:t>, a ne zamjenskim uslugama.</w:t>
      </w:r>
      <w:r w:rsidRPr="00314B20">
        <w:rPr>
          <w:rFonts w:eastAsia="Times New Roman" w:cstheme="minorHAnsi"/>
        </w:rPr>
        <w:t xml:space="preserve"> </w:t>
      </w:r>
    </w:p>
    <w:p w:rsidR="00C45EA7" w:rsidRDefault="00C45EA7" w:rsidP="00C45EA7">
      <w:pPr>
        <w:spacing w:before="100" w:beforeAutospacing="1" w:after="100" w:afterAutospacing="1"/>
        <w:jc w:val="both"/>
        <w:rPr>
          <w:rFonts w:eastAsia="Times New Roman" w:cs="Times New Roman"/>
          <w:szCs w:val="24"/>
        </w:rPr>
      </w:pPr>
      <w:r>
        <w:rPr>
          <w:rFonts w:eastAsia="Times New Roman" w:cstheme="minorHAnsi"/>
        </w:rPr>
        <w:t>Nadalje</w:t>
      </w:r>
      <w:r w:rsidR="008B6819" w:rsidRPr="008B6819">
        <w:rPr>
          <w:rFonts w:eastAsia="Times New Roman" w:cstheme="minorHAnsi"/>
        </w:rPr>
        <w:t xml:space="preserve">, </w:t>
      </w:r>
      <w:r>
        <w:rPr>
          <w:rFonts w:eastAsia="Times New Roman" w:cstheme="minorHAnsi"/>
        </w:rPr>
        <w:t xml:space="preserve">kao rezultat povećane dostupnosti </w:t>
      </w:r>
      <w:r w:rsidRPr="00C45EA7">
        <w:rPr>
          <w:rFonts w:eastAsia="Times New Roman" w:cstheme="minorHAnsi"/>
        </w:rPr>
        <w:t xml:space="preserve">širokopojasnog pristupa </w:t>
      </w:r>
      <w:proofErr w:type="spellStart"/>
      <w:r w:rsidRPr="00C45EA7">
        <w:rPr>
          <w:rFonts w:eastAsia="Times New Roman" w:cstheme="minorHAnsi"/>
        </w:rPr>
        <w:t>internetu</w:t>
      </w:r>
      <w:proofErr w:type="spellEnd"/>
      <w:r>
        <w:rPr>
          <w:rFonts w:eastAsia="Times New Roman" w:cstheme="minorHAnsi"/>
        </w:rPr>
        <w:t xml:space="preserve">, posebice putem pokretne mreže, sve se više koriste OTT usluge za pozive. Međutim, nužno je da obje osobe u navedenom trenutku budu spojene na Internet da bi poziv putem OTT usluge bio ostvaren. </w:t>
      </w:r>
      <w:r w:rsidR="008B6819" w:rsidRPr="008B6819">
        <w:rPr>
          <w:rFonts w:eastAsia="Times New Roman" w:cstheme="minorHAnsi"/>
        </w:rPr>
        <w:t xml:space="preserve">OTT usluge se </w:t>
      </w:r>
      <w:r>
        <w:rPr>
          <w:rFonts w:eastAsia="Times New Roman" w:cstheme="minorHAnsi"/>
        </w:rPr>
        <w:t>najčešće</w:t>
      </w:r>
      <w:r w:rsidR="008B6819" w:rsidRPr="008B6819">
        <w:rPr>
          <w:rFonts w:eastAsia="Times New Roman" w:cstheme="minorHAnsi"/>
        </w:rPr>
        <w:t xml:space="preserve"> koriste za međunarodne pozive koji još uvijek imaju visoke cijene. </w:t>
      </w:r>
      <w:r>
        <w:rPr>
          <w:rFonts w:eastAsia="Times New Roman" w:cstheme="minorHAnsi"/>
        </w:rPr>
        <w:t xml:space="preserve">Također, </w:t>
      </w:r>
      <w:r w:rsidRPr="00102F4D">
        <w:rPr>
          <w:rFonts w:eastAsia="Times New Roman" w:cs="Times New Roman"/>
          <w:szCs w:val="24"/>
        </w:rPr>
        <w:t xml:space="preserve">kvaliteta govora ostvarena ovom vrstom poziva ne odgovara kvaliteti poziva ostvarenog </w:t>
      </w:r>
      <w:r>
        <w:rPr>
          <w:rFonts w:eastAsia="Times New Roman" w:cs="Times New Roman"/>
          <w:szCs w:val="24"/>
        </w:rPr>
        <w:t>I</w:t>
      </w:r>
      <w:r w:rsidRPr="00102F4D">
        <w:rPr>
          <w:rFonts w:eastAsia="Times New Roman" w:cs="Times New Roman"/>
          <w:szCs w:val="24"/>
        </w:rPr>
        <w:t>P tehnologijom</w:t>
      </w:r>
      <w:r>
        <w:rPr>
          <w:rFonts w:eastAsia="Times New Roman" w:cs="Times New Roman"/>
          <w:szCs w:val="24"/>
        </w:rPr>
        <w:t>.</w:t>
      </w:r>
      <w:r w:rsidRPr="00102F4D">
        <w:rPr>
          <w:rFonts w:eastAsia="Times New Roman" w:cs="Times New Roman"/>
          <w:szCs w:val="24"/>
        </w:rPr>
        <w:t xml:space="preserve"> </w:t>
      </w:r>
      <w:r>
        <w:rPr>
          <w:rFonts w:eastAsia="Times New Roman" w:cs="Times New Roman"/>
          <w:szCs w:val="24"/>
        </w:rPr>
        <w:t xml:space="preserve">Slijedom navedenog, </w:t>
      </w:r>
      <w:r w:rsidRPr="00102F4D">
        <w:rPr>
          <w:rFonts w:eastAsia="Times New Roman" w:cs="Times New Roman"/>
          <w:szCs w:val="24"/>
        </w:rPr>
        <w:t xml:space="preserve">HAKOM smatra da </w:t>
      </w:r>
      <w:r>
        <w:rPr>
          <w:rFonts w:eastAsia="Times New Roman" w:cs="Times New Roman"/>
          <w:szCs w:val="24"/>
        </w:rPr>
        <w:t>OTT</w:t>
      </w:r>
      <w:r w:rsidRPr="00102F4D">
        <w:rPr>
          <w:rFonts w:eastAsia="Times New Roman" w:cs="Times New Roman"/>
          <w:szCs w:val="24"/>
        </w:rPr>
        <w:t xml:space="preserve"> </w:t>
      </w:r>
      <w:r>
        <w:rPr>
          <w:rFonts w:eastAsia="Times New Roman" w:cs="Times New Roman"/>
          <w:szCs w:val="24"/>
        </w:rPr>
        <w:t>pozivi</w:t>
      </w:r>
      <w:r w:rsidRPr="00102F4D">
        <w:rPr>
          <w:rFonts w:eastAsia="Times New Roman" w:cs="Times New Roman"/>
          <w:szCs w:val="24"/>
        </w:rPr>
        <w:t xml:space="preserve"> </w:t>
      </w:r>
      <w:r>
        <w:rPr>
          <w:rFonts w:eastAsia="Times New Roman" w:cs="Times New Roman"/>
          <w:szCs w:val="24"/>
        </w:rPr>
        <w:t xml:space="preserve">još uvijek </w:t>
      </w:r>
      <w:r w:rsidRPr="00102F4D">
        <w:rPr>
          <w:rFonts w:eastAsia="Times New Roman" w:cs="Times New Roman"/>
          <w:szCs w:val="24"/>
        </w:rPr>
        <w:t xml:space="preserve">ne predstavljaju odgovarajuću </w:t>
      </w:r>
      <w:r>
        <w:rPr>
          <w:rFonts w:eastAsia="Times New Roman" w:cs="Times New Roman"/>
          <w:szCs w:val="24"/>
        </w:rPr>
        <w:t xml:space="preserve">zamjensku uslugu pozivima u nepokretnoj mreži. </w:t>
      </w:r>
    </w:p>
    <w:p w:rsidR="00F223DE" w:rsidRDefault="00F223DE" w:rsidP="00F223DE">
      <w:pPr>
        <w:jc w:val="both"/>
        <w:rPr>
          <w:szCs w:val="24"/>
        </w:rPr>
      </w:pPr>
      <w:r w:rsidRPr="00B31442">
        <w:rPr>
          <w:szCs w:val="24"/>
        </w:rPr>
        <w:t xml:space="preserve">Osim toga, cijena završavanja poziva čini samo mali dio u ukupnoj maloprodajnoj cijeni poziva u </w:t>
      </w:r>
      <w:r>
        <w:rPr>
          <w:szCs w:val="24"/>
        </w:rPr>
        <w:t>ne</w:t>
      </w:r>
      <w:r w:rsidRPr="00B31442">
        <w:rPr>
          <w:szCs w:val="24"/>
        </w:rPr>
        <w:t>pokretnim mrežama, a još manji dio cijene paketa usluga koji uključuju određeni broj minuta poziva.</w:t>
      </w:r>
      <w:r>
        <w:rPr>
          <w:szCs w:val="24"/>
        </w:rPr>
        <w:t xml:space="preserve"> Tako da, i ako bi došlo do povećanja maloprodajnih cijena zbog povećanja cijena završavanja poziva, to bi povećanje bilo neznatno. Također, s obzirom da korisnici uglavnom koriste pakete koji uključuju određeni broj minuta poziva, HAKOM smatra da nisu dovoljno </w:t>
      </w:r>
      <w:r w:rsidRPr="00CE3D5C">
        <w:rPr>
          <w:rFonts w:eastAsia="Times New Roman" w:cstheme="minorHAnsi"/>
          <w:szCs w:val="24"/>
        </w:rPr>
        <w:t>cjenovn</w:t>
      </w:r>
      <w:r>
        <w:rPr>
          <w:rFonts w:eastAsia="Times New Roman" w:cstheme="minorHAnsi"/>
          <w:szCs w:val="24"/>
        </w:rPr>
        <w:t>o</w:t>
      </w:r>
      <w:r w:rsidRPr="00CE3D5C">
        <w:rPr>
          <w:rFonts w:eastAsia="Times New Roman" w:cstheme="minorHAnsi"/>
          <w:szCs w:val="24"/>
        </w:rPr>
        <w:t xml:space="preserve"> osviješte</w:t>
      </w:r>
      <w:r>
        <w:rPr>
          <w:rFonts w:eastAsia="Times New Roman" w:cstheme="minorHAnsi"/>
          <w:szCs w:val="24"/>
        </w:rPr>
        <w:t>ni</w:t>
      </w:r>
      <w:r w:rsidRPr="00CE3D5C">
        <w:rPr>
          <w:rFonts w:eastAsia="Times New Roman" w:cstheme="minorHAnsi"/>
          <w:szCs w:val="24"/>
        </w:rPr>
        <w:t xml:space="preserve"> i osjetljiv</w:t>
      </w:r>
      <w:r>
        <w:rPr>
          <w:rFonts w:eastAsia="Times New Roman" w:cstheme="minorHAnsi"/>
          <w:szCs w:val="24"/>
        </w:rPr>
        <w:t>i</w:t>
      </w:r>
      <w:r w:rsidRPr="00CE3D5C">
        <w:rPr>
          <w:rFonts w:eastAsia="Times New Roman" w:cstheme="minorHAnsi"/>
          <w:szCs w:val="24"/>
        </w:rPr>
        <w:t xml:space="preserve"> na cjenovne promjene</w:t>
      </w:r>
      <w:r>
        <w:rPr>
          <w:rFonts w:eastAsia="Times New Roman" w:cstheme="minorHAnsi"/>
          <w:szCs w:val="24"/>
        </w:rPr>
        <w:t xml:space="preserve"> da bi radi povećanja veleprodajne cijene završavanja poziva zamijenili pozive u nepokretnoj mreži OTT pozivima</w:t>
      </w:r>
      <w:r>
        <w:rPr>
          <w:szCs w:val="24"/>
        </w:rPr>
        <w:t>.</w:t>
      </w:r>
    </w:p>
    <w:p w:rsidR="00723B8D" w:rsidRPr="000C5040" w:rsidRDefault="00723B8D" w:rsidP="000C5040">
      <w:pPr>
        <w:spacing w:before="100" w:beforeAutospacing="1" w:after="100" w:afterAutospacing="1"/>
        <w:jc w:val="both"/>
        <w:rPr>
          <w:rFonts w:eastAsia="Times New Roman" w:cstheme="minorHAnsi"/>
        </w:rPr>
      </w:pPr>
      <w:r w:rsidRPr="000C5040">
        <w:rPr>
          <w:rFonts w:eastAsia="Times New Roman" w:cstheme="minorHAnsi"/>
        </w:rPr>
        <w:lastRenderedPageBreak/>
        <w:t xml:space="preserve">Slijedom svega navedenog, HAKOM zaključuje da potražnja za uslugom </w:t>
      </w:r>
      <w:r w:rsidR="00F26C45" w:rsidRPr="000C5040">
        <w:rPr>
          <w:rFonts w:eastAsia="Times New Roman" w:cstheme="minorHAnsi"/>
        </w:rPr>
        <w:t xml:space="preserve">veleprodajnog završavanja </w:t>
      </w:r>
      <w:r w:rsidR="007E4538">
        <w:rPr>
          <w:rFonts w:eastAsia="Times New Roman" w:cstheme="minorHAnsi"/>
        </w:rPr>
        <w:t>poziva</w:t>
      </w:r>
      <w:r w:rsidRPr="000C5040">
        <w:rPr>
          <w:rFonts w:eastAsia="Times New Roman" w:cstheme="minorHAnsi"/>
        </w:rPr>
        <w:t xml:space="preserve"> na fiksnoj lokaciji na veleprodajnoj razini proizlazi iz:</w:t>
      </w:r>
    </w:p>
    <w:p w:rsidR="00723B8D" w:rsidRDefault="00723B8D" w:rsidP="00BD3C97">
      <w:pPr>
        <w:pStyle w:val="Subtitle"/>
        <w:numPr>
          <w:ilvl w:val="0"/>
          <w:numId w:val="4"/>
        </w:numPr>
        <w:jc w:val="both"/>
        <w:rPr>
          <w:rFonts w:eastAsia="Times New Roman"/>
        </w:rPr>
      </w:pPr>
      <w:r w:rsidRPr="000C5040">
        <w:rPr>
          <w:rFonts w:eastAsia="Times New Roman"/>
        </w:rPr>
        <w:t xml:space="preserve">potražnje za uslugama poziva na broj u određenoj nepokretnoj mreži neovisno o </w:t>
      </w:r>
      <w:r w:rsidR="00AD3869" w:rsidRPr="000C5040">
        <w:rPr>
          <w:rFonts w:eastAsia="Times New Roman"/>
        </w:rPr>
        <w:t xml:space="preserve">elektroničkoj komunikacijskoj </w:t>
      </w:r>
      <w:r w:rsidRPr="000C5040">
        <w:rPr>
          <w:rFonts w:eastAsia="Times New Roman"/>
        </w:rPr>
        <w:t xml:space="preserve">mreži </w:t>
      </w:r>
      <w:r w:rsidR="00AD3869" w:rsidRPr="000C5040">
        <w:rPr>
          <w:rFonts w:eastAsia="Times New Roman"/>
        </w:rPr>
        <w:t>u</w:t>
      </w:r>
      <w:r w:rsidRPr="000C5040">
        <w:rPr>
          <w:rFonts w:eastAsia="Times New Roman"/>
        </w:rPr>
        <w:t xml:space="preserve"> koj</w:t>
      </w:r>
      <w:r w:rsidR="00AD3869" w:rsidRPr="000C5040">
        <w:rPr>
          <w:rFonts w:eastAsia="Times New Roman"/>
        </w:rPr>
        <w:t>oj</w:t>
      </w:r>
      <w:r w:rsidRPr="000C5040">
        <w:rPr>
          <w:rFonts w:eastAsia="Times New Roman"/>
        </w:rPr>
        <w:t xml:space="preserve"> je poziv </w:t>
      </w:r>
      <w:r w:rsidR="00AD3869" w:rsidRPr="000C5040">
        <w:rPr>
          <w:rFonts w:eastAsia="Times New Roman"/>
        </w:rPr>
        <w:t>započeo.</w:t>
      </w:r>
    </w:p>
    <w:p w:rsidR="00F223DE" w:rsidRPr="00F223DE" w:rsidRDefault="00F223DE" w:rsidP="00F223DE"/>
    <w:p w:rsidR="00723B8D" w:rsidRPr="00D65505" w:rsidRDefault="00723B8D" w:rsidP="00DB24D6">
      <w:pPr>
        <w:pStyle w:val="Heading3"/>
      </w:pPr>
      <w:bookmarkStart w:id="87" w:name="_Toc410139476"/>
      <w:bookmarkStart w:id="88" w:name="_Toc236634802"/>
      <w:bookmarkStart w:id="89" w:name="_Toc357581378"/>
      <w:bookmarkStart w:id="90" w:name="_Toc524984016"/>
      <w:bookmarkStart w:id="91" w:name="_Toc525072995"/>
      <w:bookmarkStart w:id="92" w:name="_Toc525729840"/>
      <w:bookmarkEnd w:id="87"/>
      <w:r w:rsidRPr="00D65505">
        <w:t xml:space="preserve">Zamjenjivost na strani potražnje </w:t>
      </w:r>
      <w:r w:rsidR="00F76B59" w:rsidRPr="00D65505">
        <w:t xml:space="preserve">i ponude </w:t>
      </w:r>
      <w:r w:rsidRPr="00D65505">
        <w:t>- veleprodajna razina</w:t>
      </w:r>
      <w:bookmarkEnd w:id="88"/>
      <w:bookmarkEnd w:id="89"/>
      <w:bookmarkEnd w:id="90"/>
      <w:bookmarkEnd w:id="91"/>
      <w:bookmarkEnd w:id="92"/>
    </w:p>
    <w:p w:rsidR="00723B8D" w:rsidRPr="0005566C" w:rsidRDefault="00723B8D" w:rsidP="00723B8D">
      <w:pPr>
        <w:jc w:val="both"/>
        <w:rPr>
          <w:rFonts w:ascii="Calibri" w:eastAsia="Times New Roman" w:hAnsi="Calibri" w:cs="Calibri"/>
        </w:rPr>
      </w:pPr>
    </w:p>
    <w:p w:rsidR="0063764C" w:rsidRDefault="0063764C" w:rsidP="0063764C">
      <w:pPr>
        <w:jc w:val="both"/>
      </w:pPr>
      <w:r>
        <w:t xml:space="preserve">Cilj analize na veleprodajnoj razini je utvrditi postoji li zamjenska usluga veleprodajnoj usluzi veleprodajnog završavanja </w:t>
      </w:r>
      <w:r w:rsidR="007E4538">
        <w:t>poziva</w:t>
      </w:r>
      <w:r>
        <w:t xml:space="preserve"> na način da, u slučaju da operator koji nudi uslugu veleprodajnog završavanja </w:t>
      </w:r>
      <w:r w:rsidR="007E4538">
        <w:t>poziva</w:t>
      </w:r>
      <w:r>
        <w:t xml:space="preserve"> povisi cijenu, korisnici usluge veleprodajnog završavanja </w:t>
      </w:r>
      <w:r w:rsidR="007E4538">
        <w:t>poziva</w:t>
      </w:r>
      <w:r>
        <w:t xml:space="preserve"> mogu prijeći na neku istu ili sličnu uslugu, odnosno, uslugu koja se može smatrati zamjenskom uslugom veleprodajnoj usluzi veleprodajnog završavanja </w:t>
      </w:r>
      <w:r w:rsidR="007E4538">
        <w:t>poziva</w:t>
      </w:r>
      <w:r>
        <w:t>. Postojanje zamjenske usluge procjenjuje se provođenjem analize zamjenjivosti na strani potražnje i zamjenjivosti na strani ponude.</w:t>
      </w:r>
    </w:p>
    <w:p w:rsidR="0063764C" w:rsidRDefault="0063764C" w:rsidP="0063764C">
      <w:pPr>
        <w:jc w:val="both"/>
      </w:pPr>
    </w:p>
    <w:p w:rsidR="0063764C" w:rsidRDefault="0063764C" w:rsidP="0063764C">
      <w:pPr>
        <w:jc w:val="both"/>
      </w:pPr>
      <w:r w:rsidRPr="00F76B59">
        <w:t xml:space="preserve">Prije same procjene zamjenjivosti na strani potražnje na veleprodajnoj razini, važno je istaknuti specifičnost usluge veleprodajnog završavanja </w:t>
      </w:r>
      <w:r w:rsidR="007E4538">
        <w:t>poziva</w:t>
      </w:r>
      <w:r w:rsidRPr="00F76B59">
        <w:t xml:space="preserve">. Naime, uslugu </w:t>
      </w:r>
      <w:r>
        <w:t xml:space="preserve">veleprodajnog završavanja </w:t>
      </w:r>
      <w:r w:rsidR="007E4538">
        <w:t>poziva</w:t>
      </w:r>
      <w:r>
        <w:t xml:space="preserve"> nude svi operatori pokretnih i nepokretnih mreža na tržištu koji imaju krajnje korisnike spojene na vlastitu mrežu. </w:t>
      </w:r>
    </w:p>
    <w:p w:rsidR="0063764C" w:rsidRDefault="0063764C" w:rsidP="0063764C">
      <w:pPr>
        <w:jc w:val="both"/>
      </w:pPr>
    </w:p>
    <w:p w:rsidR="00C45EA7" w:rsidRDefault="00C45EA7" w:rsidP="00C45EA7">
      <w:pPr>
        <w:autoSpaceDE w:val="0"/>
        <w:autoSpaceDN w:val="0"/>
        <w:adjustRightInd w:val="0"/>
        <w:jc w:val="both"/>
        <w:rPr>
          <w:bCs/>
        </w:rPr>
      </w:pPr>
      <w:r>
        <w:rPr>
          <w:bCs/>
        </w:rPr>
        <w:t>U</w:t>
      </w:r>
      <w:r w:rsidRPr="00811271">
        <w:rPr>
          <w:bCs/>
        </w:rPr>
        <w:t xml:space="preserve">sluga </w:t>
      </w:r>
      <w:r>
        <w:rPr>
          <w:bCs/>
        </w:rPr>
        <w:t xml:space="preserve">veleprodajnog završavanja </w:t>
      </w:r>
      <w:r w:rsidRPr="00811271">
        <w:rPr>
          <w:bCs/>
        </w:rPr>
        <w:t xml:space="preserve">poziva </w:t>
      </w:r>
      <w:r>
        <w:rPr>
          <w:bCs/>
        </w:rPr>
        <w:t>u javnoj telefonskoj</w:t>
      </w:r>
      <w:r w:rsidRPr="00811271">
        <w:rPr>
          <w:bCs/>
        </w:rPr>
        <w:t xml:space="preserve"> mrež</w:t>
      </w:r>
      <w:r>
        <w:rPr>
          <w:bCs/>
        </w:rPr>
        <w:t>i</w:t>
      </w:r>
      <w:r w:rsidRPr="00811271">
        <w:rPr>
          <w:bCs/>
        </w:rPr>
        <w:t xml:space="preserve"> koja se pruža na fiksnoj lokaciji obuhvaća prijenos poziva </w:t>
      </w:r>
      <w:r>
        <w:rPr>
          <w:bCs/>
        </w:rPr>
        <w:t>od prve pristupne regionalne točke na koju je spojen drugi operator</w:t>
      </w:r>
      <w:r w:rsidRPr="00AA2341">
        <w:rPr>
          <w:bCs/>
        </w:rPr>
        <w:t xml:space="preserve"> </w:t>
      </w:r>
      <w:r>
        <w:rPr>
          <w:bCs/>
        </w:rPr>
        <w:t xml:space="preserve">pa sve do krajnjeg korisnika. </w:t>
      </w:r>
    </w:p>
    <w:p w:rsidR="0063764C" w:rsidRPr="0063764C" w:rsidRDefault="0063764C" w:rsidP="0063764C">
      <w:pPr>
        <w:jc w:val="both"/>
      </w:pPr>
    </w:p>
    <w:p w:rsidR="0063764C" w:rsidRPr="0063764C" w:rsidRDefault="00C45EA7" w:rsidP="0063764C">
      <w:pPr>
        <w:jc w:val="both"/>
      </w:pPr>
      <w:r>
        <w:t>P</w:t>
      </w:r>
      <w:r w:rsidR="0063764C" w:rsidRPr="0063764C">
        <w:t xml:space="preserve">rema odluci HAKOM-a </w:t>
      </w:r>
      <w:r w:rsidR="0063764C">
        <w:t xml:space="preserve">o cijenama međupovezivanja </w:t>
      </w:r>
      <w:r w:rsidR="00846C2E">
        <w:t>iz rujna 2016</w:t>
      </w:r>
      <w:r w:rsidR="0063764C" w:rsidRPr="0063764C">
        <w:t xml:space="preserve">., naknade za uslugu veleprodajnog završavanja </w:t>
      </w:r>
      <w:r w:rsidR="007E4538">
        <w:t>poziva</w:t>
      </w:r>
      <w:r w:rsidR="0063764C" w:rsidRPr="0063764C">
        <w:t xml:space="preserve"> u nepokretnim mrežama </w:t>
      </w:r>
      <w:r w:rsidR="0063764C">
        <w:t>od 1</w:t>
      </w:r>
      <w:r w:rsidR="00846C2E">
        <w:t>. srpnja 2017</w:t>
      </w:r>
      <w:r w:rsidR="0063764C">
        <w:t>.</w:t>
      </w:r>
      <w:r w:rsidR="0063764C" w:rsidRPr="0063764C">
        <w:t xml:space="preserve"> iznose kako je prikazano u tablici </w:t>
      </w:r>
      <w:r w:rsidR="00846C2E">
        <w:t>2</w:t>
      </w:r>
      <w:r w:rsidR="0063764C" w:rsidRPr="0063764C">
        <w:t>.</w:t>
      </w:r>
    </w:p>
    <w:p w:rsidR="0011153F" w:rsidRPr="0011153F" w:rsidRDefault="0011153F" w:rsidP="0011153F">
      <w:pPr>
        <w:jc w:val="both"/>
        <w:rPr>
          <w:rFonts w:ascii="Calibri" w:hAnsi="Calibri" w:cs="Times-Roman"/>
        </w:rPr>
      </w:pPr>
    </w:p>
    <w:p w:rsidR="005D00B1" w:rsidRPr="0011153F" w:rsidRDefault="002371D6" w:rsidP="002371D6">
      <w:pPr>
        <w:pStyle w:val="Caption"/>
      </w:pPr>
      <w:bookmarkStart w:id="93" w:name="_Toc525551880"/>
      <w:r>
        <w:t xml:space="preserve">Tablica </w:t>
      </w:r>
      <w:r w:rsidR="004B0BD0">
        <w:rPr>
          <w:noProof/>
        </w:rPr>
        <w:fldChar w:fldCharType="begin"/>
      </w:r>
      <w:r w:rsidR="004B0BD0">
        <w:rPr>
          <w:noProof/>
        </w:rPr>
        <w:instrText xml:space="preserve"> SEQ Tablica \* ARABIC </w:instrText>
      </w:r>
      <w:r w:rsidR="004B0BD0">
        <w:rPr>
          <w:noProof/>
        </w:rPr>
        <w:fldChar w:fldCharType="separate"/>
      </w:r>
      <w:r w:rsidR="00E170AC">
        <w:rPr>
          <w:noProof/>
        </w:rPr>
        <w:t>2</w:t>
      </w:r>
      <w:r w:rsidR="004B0BD0">
        <w:rPr>
          <w:noProof/>
        </w:rPr>
        <w:fldChar w:fldCharType="end"/>
      </w:r>
      <w:r>
        <w:t xml:space="preserve"> </w:t>
      </w:r>
      <w:r w:rsidRPr="0011153F">
        <w:t xml:space="preserve">Cijene usluge veleprodajnog završavanja </w:t>
      </w:r>
      <w:r w:rsidR="007E4538">
        <w:t>poziva</w:t>
      </w:r>
      <w:bookmarkEnd w:id="93"/>
    </w:p>
    <w:p w:rsidR="005D00B1" w:rsidRPr="005D00B1" w:rsidRDefault="005D00B1" w:rsidP="005D00B1">
      <w:pPr>
        <w:rPr>
          <w:rFonts w:ascii="Times New Roman" w:eastAsia="Times New Roman" w:hAnsi="Times New Roman"/>
          <w:b/>
          <w:bCs/>
          <w:sz w:val="20"/>
          <w:szCs w:val="20"/>
        </w:rPr>
      </w:pPr>
    </w:p>
    <w:p w:rsidR="005D00B1" w:rsidRPr="005D00B1" w:rsidRDefault="00411582" w:rsidP="00182E5A">
      <w:pPr>
        <w:jc w:val="center"/>
        <w:rPr>
          <w:rFonts w:ascii="Calibri" w:hAnsi="Calibri" w:cs="Times-Roman"/>
          <w:b/>
          <w:sz w:val="20"/>
          <w:szCs w:val="20"/>
        </w:rPr>
      </w:pPr>
      <w:r w:rsidRPr="00411582">
        <w:rPr>
          <w:noProof/>
          <w:lang w:val="en-US" w:eastAsia="en-US"/>
        </w:rPr>
        <w:drawing>
          <wp:inline distT="0" distB="0" distL="0" distR="0" wp14:anchorId="68211372" wp14:editId="6AD95986">
            <wp:extent cx="3743325" cy="73342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743325" cy="733425"/>
                    </a:xfrm>
                    <a:prstGeom prst="rect">
                      <a:avLst/>
                    </a:prstGeom>
                    <a:noFill/>
                    <a:ln>
                      <a:noFill/>
                    </a:ln>
                  </pic:spPr>
                </pic:pic>
              </a:graphicData>
            </a:graphic>
          </wp:inline>
        </w:drawing>
      </w:r>
    </w:p>
    <w:p w:rsidR="00ED148E" w:rsidRDefault="00ED148E" w:rsidP="00ED148E">
      <w:pPr>
        <w:autoSpaceDE w:val="0"/>
        <w:autoSpaceDN w:val="0"/>
        <w:jc w:val="both"/>
        <w:rPr>
          <w:sz w:val="22"/>
        </w:rPr>
      </w:pPr>
    </w:p>
    <w:p w:rsidR="008B6AB4" w:rsidRPr="00811271" w:rsidRDefault="008B6AB4" w:rsidP="00811271">
      <w:pPr>
        <w:autoSpaceDE w:val="0"/>
        <w:autoSpaceDN w:val="0"/>
        <w:adjustRightInd w:val="0"/>
        <w:jc w:val="both"/>
        <w:rPr>
          <w:bCs/>
        </w:rPr>
      </w:pPr>
    </w:p>
    <w:p w:rsidR="005D00B1" w:rsidRDefault="00C45EA7" w:rsidP="005D00B1">
      <w:pPr>
        <w:jc w:val="both"/>
        <w:rPr>
          <w:rFonts w:ascii="Calibri" w:hAnsi="Calibri"/>
          <w:bCs/>
        </w:rPr>
      </w:pPr>
      <w:r>
        <w:rPr>
          <w:rFonts w:ascii="Calibri" w:hAnsi="Calibri"/>
          <w:bCs/>
        </w:rPr>
        <w:t>U</w:t>
      </w:r>
      <w:r w:rsidR="005D00B1" w:rsidRPr="005D00B1">
        <w:rPr>
          <w:rFonts w:ascii="Calibri" w:hAnsi="Calibri"/>
          <w:bCs/>
        </w:rPr>
        <w:t xml:space="preserve">zimajući u obzir zamjenjivost potražnje na maloprodajnoj razini, odnosno činjenicu kako na istoj ne postoji odgovarajuća zamjenska usluga pozivu na broj u nepokretnoj mreži, HAKOM je mišljenja kako na veleprodajnoj razini također ne postoji održiva zamjenska usluga usluzi </w:t>
      </w:r>
      <w:r w:rsidR="00F26C45">
        <w:rPr>
          <w:rFonts w:ascii="Calibri" w:hAnsi="Calibri"/>
          <w:bCs/>
        </w:rPr>
        <w:t xml:space="preserve">veleprodajnog završavanja </w:t>
      </w:r>
      <w:r w:rsidR="007E4538">
        <w:rPr>
          <w:rFonts w:ascii="Calibri" w:hAnsi="Calibri"/>
          <w:bCs/>
        </w:rPr>
        <w:t>poziva</w:t>
      </w:r>
      <w:r w:rsidR="005D00B1" w:rsidRPr="005D00B1">
        <w:rPr>
          <w:rFonts w:ascii="Calibri" w:hAnsi="Calibri"/>
          <w:bCs/>
        </w:rPr>
        <w:t xml:space="preserve"> na broj u određenoj nepokretnoj mreži. Dakle, ne postoji nikakva zapreka koja će spriječiti moguće povećanje veleprodajnih cijena usluge </w:t>
      </w:r>
      <w:r w:rsidR="00F26C45">
        <w:rPr>
          <w:rFonts w:ascii="Calibri" w:hAnsi="Calibri"/>
          <w:bCs/>
        </w:rPr>
        <w:t xml:space="preserve">veleprodajnog završavanja </w:t>
      </w:r>
      <w:r w:rsidR="007E4538">
        <w:rPr>
          <w:rFonts w:ascii="Calibri" w:hAnsi="Calibri"/>
          <w:bCs/>
        </w:rPr>
        <w:t>poziva</w:t>
      </w:r>
      <w:r w:rsidR="005D00B1" w:rsidRPr="005D00B1">
        <w:rPr>
          <w:rFonts w:ascii="Calibri" w:hAnsi="Calibri"/>
          <w:bCs/>
        </w:rPr>
        <w:t xml:space="preserve"> operatora u svrhu povećanja vlastitih prihoda i troškova konkurencije.</w:t>
      </w:r>
    </w:p>
    <w:p w:rsidR="00376616" w:rsidRPr="005D00B1" w:rsidRDefault="00376616" w:rsidP="005D00B1">
      <w:pPr>
        <w:jc w:val="both"/>
        <w:rPr>
          <w:rFonts w:ascii="Calibri" w:hAnsi="Calibri"/>
          <w:bCs/>
        </w:rPr>
      </w:pPr>
    </w:p>
    <w:p w:rsidR="005D00B1" w:rsidRDefault="005D00B1" w:rsidP="005D00B1">
      <w:pPr>
        <w:jc w:val="both"/>
        <w:rPr>
          <w:rFonts w:ascii="Calibri" w:hAnsi="Calibri"/>
          <w:bCs/>
        </w:rPr>
      </w:pPr>
      <w:r w:rsidRPr="005D00B1">
        <w:rPr>
          <w:rFonts w:ascii="Calibri" w:hAnsi="Calibri"/>
          <w:bCs/>
        </w:rPr>
        <w:lastRenderedPageBreak/>
        <w:t xml:space="preserve">Naime, operator čiji je korisnik započeo poziv ne može ugovoriti niti platiti naknadu za uslugu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xml:space="preserve"> nekom drugom operatoru, osim operatoru pozvanog korisnika u slučaju direktno predanih poziva. Stoga je na veleprodajnoj razini moguće završiti poziv samo na broju na koji je poziv i upućen, odnosno samo u mreži operatora koji je pristupni operator pozvanom korisniku. Iz navedenog razloga, usluge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xml:space="preserve"> koje nude operatori na tržištu nisu međusobno zamjenjive.</w:t>
      </w:r>
    </w:p>
    <w:p w:rsidR="00376616" w:rsidRPr="005D00B1" w:rsidRDefault="00376616" w:rsidP="005D00B1">
      <w:pPr>
        <w:jc w:val="both"/>
        <w:rPr>
          <w:rFonts w:ascii="Calibri" w:hAnsi="Calibri"/>
          <w:bCs/>
        </w:rPr>
      </w:pPr>
    </w:p>
    <w:p w:rsidR="005D00B1" w:rsidRDefault="005D00B1" w:rsidP="005D00B1">
      <w:pPr>
        <w:jc w:val="both"/>
        <w:rPr>
          <w:rFonts w:ascii="Calibri" w:hAnsi="Calibri"/>
          <w:bCs/>
        </w:rPr>
      </w:pPr>
      <w:r w:rsidRPr="005D00B1">
        <w:rPr>
          <w:rFonts w:ascii="Calibri" w:hAnsi="Calibri"/>
          <w:bCs/>
        </w:rPr>
        <w:t xml:space="preserve">Slijedom svega navedenog, HAKOM je zaključio da je mjerodavno tržište </w:t>
      </w:r>
      <w:r w:rsidR="009A69C0">
        <w:rPr>
          <w:rFonts w:ascii="Calibri" w:hAnsi="Calibri"/>
          <w:bCs/>
        </w:rPr>
        <w:t xml:space="preserve">veleprodajnog završavanja </w:t>
      </w:r>
      <w:r w:rsidR="007E4538">
        <w:rPr>
          <w:rFonts w:ascii="Calibri" w:hAnsi="Calibri"/>
          <w:bCs/>
        </w:rPr>
        <w:t>poziva</w:t>
      </w:r>
      <w:r w:rsidR="009A69C0">
        <w:rPr>
          <w:rFonts w:ascii="Calibri" w:hAnsi="Calibri"/>
          <w:bCs/>
        </w:rPr>
        <w:t xml:space="preserve"> u vlastitu javnu telefonsku mrežu koja se pruža na fiksnoj lokaciji</w:t>
      </w:r>
      <w:r w:rsidRPr="005D00B1">
        <w:rPr>
          <w:rFonts w:ascii="Calibri" w:hAnsi="Calibri"/>
        </w:rPr>
        <w:t xml:space="preserve"> </w:t>
      </w:r>
      <w:r w:rsidRPr="005D00B1">
        <w:rPr>
          <w:rFonts w:ascii="Calibri" w:hAnsi="Calibri"/>
          <w:bCs/>
        </w:rPr>
        <w:t>zasebno za svakog operatora nepokretnih mreža na tržištu.</w:t>
      </w:r>
    </w:p>
    <w:p w:rsidR="00376616" w:rsidRPr="005D00B1" w:rsidRDefault="00376616" w:rsidP="005D00B1">
      <w:pPr>
        <w:jc w:val="both"/>
        <w:rPr>
          <w:rFonts w:ascii="Calibri" w:hAnsi="Calibri"/>
          <w:bCs/>
        </w:rPr>
      </w:pPr>
    </w:p>
    <w:p w:rsidR="005D00B1" w:rsidRDefault="005D00B1" w:rsidP="005D00B1">
      <w:pPr>
        <w:jc w:val="both"/>
        <w:rPr>
          <w:rFonts w:ascii="Calibri" w:hAnsi="Calibri"/>
          <w:bCs/>
        </w:rPr>
      </w:pPr>
      <w:r w:rsidRPr="005D00B1">
        <w:rPr>
          <w:rFonts w:ascii="Calibri" w:eastAsia="Times New Roman" w:hAnsi="Calibri" w:cs="Calibri"/>
          <w:bCs/>
        </w:rPr>
        <w:t xml:space="preserve">Nadalje, HAKOM je analizirao može li </w:t>
      </w:r>
      <w:r w:rsidRPr="005D00B1">
        <w:rPr>
          <w:rFonts w:ascii="Calibri" w:eastAsia="Times New Roman" w:hAnsi="Calibri" w:cs="Calibri"/>
        </w:rPr>
        <w:t xml:space="preserve">budući ponuditelj brzo i uz relativno male troškove ponuditi veleprodajnu uslugu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5D00B1">
        <w:rPr>
          <w:rFonts w:ascii="Calibri" w:eastAsia="Times New Roman" w:hAnsi="Calibri" w:cs="Calibri"/>
        </w:rPr>
        <w:t xml:space="preserve"> trećoj strani kao odgovor malom, ali značajnom, trajnom povećanju cijena usluge od strane hipotetskog monopolista. Zamjenjivost na strani ponude bila bi moguća kada bi </w:t>
      </w:r>
      <w:r w:rsidRPr="005D00B1">
        <w:rPr>
          <w:rFonts w:ascii="Calibri" w:hAnsi="Calibri"/>
          <w:bCs/>
        </w:rPr>
        <w:t>postojala tehnička mogućnost da pozive na lokaciji krajnjeg korisnika završava operator različit od operatora koji pruža uslugu pristupa krajnjem korisniku na danoj lokaciji.</w:t>
      </w:r>
      <w:r w:rsidR="00521266">
        <w:rPr>
          <w:rFonts w:ascii="Calibri" w:hAnsi="Calibri"/>
          <w:bCs/>
        </w:rPr>
        <w:t xml:space="preserve"> </w:t>
      </w:r>
      <w:r w:rsidR="00FC7557">
        <w:rPr>
          <w:rFonts w:ascii="Calibri" w:hAnsi="Calibri"/>
          <w:bCs/>
        </w:rPr>
        <w:t>A</w:t>
      </w:r>
      <w:r w:rsidRPr="005D00B1">
        <w:rPr>
          <w:rFonts w:ascii="Calibri" w:hAnsi="Calibri"/>
          <w:bCs/>
        </w:rPr>
        <w:t xml:space="preserve">ko hipotetski monopolist poveća veleprodajnu cijenu usluge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xml:space="preserve">, niti jedan drugi operator neće moći zamijeniti ili početi pružati uslugu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xml:space="preserve"> u mrežu hipotetskog monopolista. Drugi operator može odgovoriti na povećanje cijena hipotetskog monopolista jedino povećanjem vlastite cijene </w:t>
      </w:r>
      <w:r w:rsidR="00F26C45">
        <w:rPr>
          <w:rFonts w:ascii="Calibri" w:hAnsi="Calibri"/>
          <w:bCs/>
        </w:rPr>
        <w:t xml:space="preserve">veleprodajnog završavanja </w:t>
      </w:r>
      <w:r w:rsidR="007E4538">
        <w:rPr>
          <w:rFonts w:ascii="Calibri" w:hAnsi="Calibri"/>
          <w:bCs/>
        </w:rPr>
        <w:t>poziva</w:t>
      </w:r>
      <w:r w:rsidRPr="005D00B1">
        <w:rPr>
          <w:rFonts w:ascii="Calibri" w:hAnsi="Calibri"/>
          <w:bCs/>
        </w:rPr>
        <w:t>, a što ne ograničava povećanje cijena hipotetskog monopolista.</w:t>
      </w:r>
    </w:p>
    <w:p w:rsidR="00376616" w:rsidRPr="005D00B1" w:rsidRDefault="00376616" w:rsidP="005D00B1">
      <w:pPr>
        <w:jc w:val="both"/>
        <w:rPr>
          <w:rFonts w:ascii="Calibri" w:hAnsi="Calibri"/>
          <w:bCs/>
        </w:rPr>
      </w:pPr>
    </w:p>
    <w:p w:rsidR="005D00B1" w:rsidRPr="005D00B1" w:rsidRDefault="005D00B1" w:rsidP="005D00B1">
      <w:pPr>
        <w:jc w:val="both"/>
        <w:rPr>
          <w:rFonts w:ascii="Calibri" w:hAnsi="Calibri"/>
          <w:bCs/>
        </w:rPr>
      </w:pPr>
      <w:r w:rsidRPr="005D00B1">
        <w:rPr>
          <w:rFonts w:ascii="Calibri" w:hAnsi="Calibri"/>
          <w:bCs/>
        </w:rPr>
        <w:t xml:space="preserve">U skladu s prethodno navedenim, HAKOM je mišljenja kako na veleprodajnoj razini ne postoji mogućnost zamjenjivosti na strani ponude te smatra da se situacija, </w:t>
      </w:r>
      <w:r w:rsidRPr="005D00B1">
        <w:rPr>
          <w:rFonts w:ascii="Calibri" w:hAnsi="Calibri"/>
        </w:rPr>
        <w:t>u razdoblju na koje se odnosi navedena analiza</w:t>
      </w:r>
      <w:r w:rsidRPr="005D00B1">
        <w:rPr>
          <w:rFonts w:ascii="Calibri" w:hAnsi="Calibri"/>
          <w:bCs/>
        </w:rPr>
        <w:t>, neće promijeniti.</w:t>
      </w:r>
    </w:p>
    <w:p w:rsidR="003525B2" w:rsidRPr="002371D6" w:rsidRDefault="003525B2" w:rsidP="00ED4D44">
      <w:pPr>
        <w:pStyle w:val="Heading2"/>
      </w:pPr>
      <w:bookmarkStart w:id="94" w:name="_Toc335820836"/>
      <w:bookmarkStart w:id="95" w:name="_Toc374970933"/>
      <w:bookmarkStart w:id="96" w:name="_Toc389730689"/>
      <w:bookmarkStart w:id="97" w:name="_Toc393987054"/>
      <w:bookmarkStart w:id="98" w:name="_Toc393991079"/>
      <w:bookmarkStart w:id="99" w:name="_Toc404000513"/>
      <w:bookmarkStart w:id="100" w:name="_Toc409714007"/>
      <w:bookmarkStart w:id="101" w:name="_Toc524984017"/>
      <w:bookmarkStart w:id="102" w:name="_Toc525072996"/>
      <w:bookmarkStart w:id="103" w:name="_Toc525729841"/>
      <w:r w:rsidRPr="003525B2">
        <w:t>Mjerodavno tržište u zemljopisnoj dimenziji</w:t>
      </w:r>
      <w:bookmarkEnd w:id="94"/>
      <w:bookmarkEnd w:id="95"/>
      <w:bookmarkEnd w:id="96"/>
      <w:bookmarkEnd w:id="97"/>
      <w:bookmarkEnd w:id="98"/>
      <w:bookmarkEnd w:id="99"/>
      <w:bookmarkEnd w:id="100"/>
      <w:bookmarkEnd w:id="101"/>
      <w:bookmarkEnd w:id="102"/>
      <w:bookmarkEnd w:id="103"/>
      <w:r w:rsidRPr="003525B2">
        <w:t xml:space="preserve"> </w:t>
      </w:r>
    </w:p>
    <w:p w:rsidR="003525B2" w:rsidRPr="003525B2" w:rsidRDefault="003525B2" w:rsidP="003525B2">
      <w:pPr>
        <w:autoSpaceDE w:val="0"/>
        <w:autoSpaceDN w:val="0"/>
        <w:adjustRightInd w:val="0"/>
        <w:jc w:val="both"/>
        <w:rPr>
          <w:rFonts w:eastAsia="Times New Roman"/>
        </w:rPr>
      </w:pPr>
      <w:r w:rsidRPr="003525B2">
        <w:rPr>
          <w:rFonts w:eastAsia="Times New Roman"/>
        </w:rPr>
        <w:t>Mjerodavno tržište u zemljopisnoj dimenziji obuhvaća sva područja u kojima određeni operatori pružaju usluge pod istim uvjetima, odnosno, sva područja u kojima postoje istovrsni uvjeti tržišnog natjecanja. U skladu sa smjernicama i preporukom EK zemljopisna dimenzija mjerodavnog tržišta je uglavnom određena na osnovu pokrivenosti mrežom i postojanjem jednakog pravnog i regulatornog okvira na određenom zemljopisnom području.</w:t>
      </w:r>
    </w:p>
    <w:p w:rsidR="003525B2" w:rsidRPr="003525B2" w:rsidRDefault="003525B2" w:rsidP="003525B2">
      <w:pPr>
        <w:autoSpaceDE w:val="0"/>
        <w:autoSpaceDN w:val="0"/>
        <w:adjustRightInd w:val="0"/>
        <w:jc w:val="both"/>
        <w:rPr>
          <w:rFonts w:eastAsia="Times New Roman"/>
        </w:rPr>
      </w:pPr>
    </w:p>
    <w:p w:rsidR="00723B8D" w:rsidRDefault="003525B2" w:rsidP="00521266">
      <w:pPr>
        <w:autoSpaceDE w:val="0"/>
        <w:autoSpaceDN w:val="0"/>
        <w:adjustRightInd w:val="0"/>
        <w:jc w:val="both"/>
        <w:rPr>
          <w:rFonts w:eastAsia="Times New Roman" w:cstheme="minorHAnsi"/>
        </w:rPr>
      </w:pPr>
      <w:r w:rsidRPr="003525B2">
        <w:rPr>
          <w:rFonts w:eastAsia="Times New Roman" w:cstheme="minorHAnsi"/>
        </w:rPr>
        <w:t>Na temelju gore navedenog, a uzimajući u obzir analizu zamjenjivosti usluge</w:t>
      </w:r>
      <w:r w:rsidR="00ED1C7E">
        <w:rPr>
          <w:rFonts w:eastAsia="Times New Roman" w:cstheme="minorHAnsi"/>
        </w:rPr>
        <w:t xml:space="preserve"> završava</w:t>
      </w:r>
      <w:r w:rsidRPr="003525B2">
        <w:rPr>
          <w:rFonts w:eastAsia="Times New Roman" w:cstheme="minorHAnsi"/>
        </w:rPr>
        <w:t xml:space="preserve">nja poziva na maloprodajnoj i veleprodajnoj razini, HAKOM zaključuje da je mjerodavno tržište u zemljopisnoj dimenziji za pružanje navedene usluge u opsegu nacionalno, odnosno, mjerodavno tržište u zemljopisnoj dimenziji čini cijeli teritorij RH. Navedeni zaključak se temelji na činjenici da su svi operatori nepokretnih mreža podnijeli HAKOM-u prethodnu obavijest za obavljanje javno dostupne telefonske usluge u nepokretnoj elektroničkoj komunikacijskoj mreži bez uporabe </w:t>
      </w:r>
      <w:proofErr w:type="spellStart"/>
      <w:r w:rsidRPr="003525B2">
        <w:rPr>
          <w:rFonts w:eastAsia="Times New Roman" w:cstheme="minorHAnsi"/>
        </w:rPr>
        <w:t>radiofrekvencijskog</w:t>
      </w:r>
      <w:proofErr w:type="spellEnd"/>
      <w:r w:rsidRPr="003525B2">
        <w:rPr>
          <w:rFonts w:eastAsia="Times New Roman" w:cstheme="minorHAnsi"/>
        </w:rPr>
        <w:t xml:space="preserve"> spektra na području RH. Isto tako, usluge se ovisno o regijama ne razlikuju cjenovno, odnosno pružaju se pod istim uvjetima i cijenama na cijelom teritoriju RH.</w:t>
      </w:r>
      <w:r w:rsidR="00521266">
        <w:rPr>
          <w:rFonts w:eastAsia="Times New Roman" w:cstheme="minorHAnsi"/>
        </w:rPr>
        <w:t xml:space="preserve"> </w:t>
      </w:r>
      <w:r w:rsidRPr="003525B2">
        <w:rPr>
          <w:rFonts w:eastAsia="Times New Roman" w:cstheme="minorHAnsi"/>
        </w:rPr>
        <w:t>Također, pravni i regulatorni okvir mjerodavan za predmetne usluge, odnosno pravni i regulatorni okvir vezan uz područje elektroničkih komunikacija je isti na cijelom teritoriju RH</w:t>
      </w:r>
      <w:r w:rsidR="00702D7B">
        <w:rPr>
          <w:rFonts w:eastAsia="Times New Roman" w:cstheme="minorHAnsi"/>
        </w:rPr>
        <w:t>.</w:t>
      </w:r>
    </w:p>
    <w:p w:rsidR="00723B8D" w:rsidRPr="004A1343" w:rsidRDefault="00723B8D" w:rsidP="00ED4D44">
      <w:pPr>
        <w:pStyle w:val="Heading2"/>
      </w:pPr>
      <w:bookmarkStart w:id="104" w:name="_Toc336956569"/>
      <w:bookmarkStart w:id="105" w:name="_Toc336956589"/>
      <w:bookmarkStart w:id="106" w:name="_Toc336956621"/>
      <w:bookmarkStart w:id="107" w:name="_Toc336957029"/>
      <w:bookmarkStart w:id="108" w:name="_Toc336957061"/>
      <w:bookmarkStart w:id="109" w:name="_Toc236634807"/>
      <w:bookmarkStart w:id="110" w:name="_Toc357581380"/>
      <w:bookmarkStart w:id="111" w:name="_Toc524984018"/>
      <w:bookmarkStart w:id="112" w:name="_Toc525072997"/>
      <w:bookmarkStart w:id="113" w:name="_Toc525729842"/>
      <w:bookmarkEnd w:id="104"/>
      <w:bookmarkEnd w:id="105"/>
      <w:bookmarkEnd w:id="106"/>
      <w:bookmarkEnd w:id="107"/>
      <w:bookmarkEnd w:id="108"/>
      <w:r w:rsidRPr="00D65505">
        <w:lastRenderedPageBreak/>
        <w:t xml:space="preserve">Stajalište </w:t>
      </w:r>
      <w:r w:rsidR="004D5EE9" w:rsidRPr="00D65505">
        <w:t>HAKOM-a</w:t>
      </w:r>
      <w:r w:rsidRPr="00D65505">
        <w:t xml:space="preserve"> o određivanju mjerodavnog tržišta</w:t>
      </w:r>
      <w:bookmarkEnd w:id="109"/>
      <w:bookmarkEnd w:id="110"/>
      <w:bookmarkEnd w:id="111"/>
      <w:bookmarkEnd w:id="112"/>
      <w:bookmarkEnd w:id="113"/>
    </w:p>
    <w:p w:rsidR="00587AEF" w:rsidRDefault="00723B8D" w:rsidP="006A708B">
      <w:pPr>
        <w:jc w:val="both"/>
        <w:rPr>
          <w:rFonts w:ascii="Calibri" w:eastAsia="Times New Roman" w:hAnsi="Calibri" w:cs="Calibri"/>
        </w:rPr>
      </w:pPr>
      <w:r w:rsidRPr="0005566C">
        <w:rPr>
          <w:rFonts w:ascii="Calibri" w:eastAsia="Times New Roman" w:hAnsi="Calibri" w:cs="Calibri"/>
        </w:rPr>
        <w:t xml:space="preserve">Na temelju gore provedene analize, HAKOM je </w:t>
      </w:r>
      <w:r w:rsidRPr="00373243">
        <w:rPr>
          <w:rFonts w:ascii="Calibri" w:eastAsia="Times New Roman" w:hAnsi="Calibri" w:cs="Calibri"/>
        </w:rPr>
        <w:t xml:space="preserve">odredio </w:t>
      </w:r>
      <w:r w:rsidR="009010EA" w:rsidRPr="00373243">
        <w:rPr>
          <w:rFonts w:ascii="Calibri" w:eastAsia="Times New Roman" w:hAnsi="Calibri" w:cs="Calibri"/>
        </w:rPr>
        <w:t>27</w:t>
      </w:r>
      <w:r w:rsidR="00587AEF" w:rsidRPr="00373243">
        <w:rPr>
          <w:rFonts w:ascii="Calibri" w:eastAsia="Times New Roman" w:hAnsi="Calibri" w:cs="Calibri"/>
        </w:rPr>
        <w:t xml:space="preserve"> </w:t>
      </w:r>
      <w:r w:rsidR="00C24A30" w:rsidRPr="00373243">
        <w:rPr>
          <w:rFonts w:ascii="Calibri" w:eastAsia="Times New Roman" w:hAnsi="Calibri" w:cs="Calibri"/>
        </w:rPr>
        <w:t>mjerodavn</w:t>
      </w:r>
      <w:r w:rsidR="00587AEF" w:rsidRPr="00373243">
        <w:rPr>
          <w:rFonts w:ascii="Calibri" w:eastAsia="Times New Roman" w:hAnsi="Calibri" w:cs="Calibri"/>
        </w:rPr>
        <w:t>ih</w:t>
      </w:r>
      <w:r w:rsidR="00C24A30" w:rsidRPr="003A005E">
        <w:rPr>
          <w:rFonts w:ascii="Calibri" w:eastAsia="Times New Roman" w:hAnsi="Calibri" w:cs="Calibri"/>
        </w:rPr>
        <w:t xml:space="preserve"> tržišt</w:t>
      </w:r>
      <w:r w:rsidR="00587AEF">
        <w:rPr>
          <w:rFonts w:ascii="Calibri" w:eastAsia="Times New Roman" w:hAnsi="Calibri" w:cs="Calibri"/>
        </w:rPr>
        <w:t>a</w:t>
      </w:r>
      <w:r w:rsidR="00C24A30" w:rsidRPr="0005566C">
        <w:rPr>
          <w:rFonts w:ascii="Calibri" w:eastAsia="Times New Roman" w:hAnsi="Calibri" w:cs="Calibri"/>
        </w:rPr>
        <w:t xml:space="preserve"> </w:t>
      </w:r>
      <w:r w:rsidR="00C025EE">
        <w:rPr>
          <w:rFonts w:ascii="Calibri" w:eastAsia="Times New Roman" w:hAnsi="Calibri" w:cs="Calibri"/>
        </w:rPr>
        <w:t xml:space="preserve">veleprodajnog završavanja </w:t>
      </w:r>
      <w:r w:rsidR="007E4538">
        <w:rPr>
          <w:rFonts w:ascii="Calibri" w:eastAsia="Times New Roman" w:hAnsi="Calibri" w:cs="Calibri"/>
        </w:rPr>
        <w:t>poziva</w:t>
      </w:r>
      <w:r w:rsidR="00C025EE">
        <w:rPr>
          <w:rFonts w:ascii="Calibri" w:eastAsia="Times New Roman" w:hAnsi="Calibri" w:cs="Calibri"/>
        </w:rPr>
        <w:t xml:space="preserve"> u vlastitoj javnoj telefonskoj mreži koja se pruža na fiksnoj lokaciji</w:t>
      </w:r>
      <w:r w:rsidR="00587AEF">
        <w:rPr>
          <w:rFonts w:ascii="Calibri" w:eastAsia="Times New Roman" w:hAnsi="Calibri" w:cs="Calibri"/>
        </w:rPr>
        <w:t xml:space="preserve">, na način da </w:t>
      </w:r>
      <w:r w:rsidR="00957E7A">
        <w:rPr>
          <w:rFonts w:ascii="Calibri" w:eastAsia="Times New Roman" w:hAnsi="Calibri" w:cs="Calibri"/>
        </w:rPr>
        <w:t>su definirana zasebna tržišta</w:t>
      </w:r>
      <w:r w:rsidR="00587AEF">
        <w:rPr>
          <w:rFonts w:ascii="Calibri" w:eastAsia="Times New Roman" w:hAnsi="Calibri" w:cs="Calibri"/>
        </w:rPr>
        <w:t xml:space="preserve"> v</w:t>
      </w:r>
      <w:r w:rsidR="00587AEF" w:rsidRPr="00587AEF">
        <w:rPr>
          <w:rFonts w:ascii="Calibri" w:eastAsia="Times New Roman" w:hAnsi="Calibri" w:cs="Calibri"/>
        </w:rPr>
        <w:t>elepro</w:t>
      </w:r>
      <w:r w:rsidR="00587AEF">
        <w:rPr>
          <w:rFonts w:ascii="Calibri" w:eastAsia="Times New Roman" w:hAnsi="Calibri" w:cs="Calibri"/>
        </w:rPr>
        <w:t>dajno</w:t>
      </w:r>
      <w:r w:rsidR="00957E7A">
        <w:rPr>
          <w:rFonts w:ascii="Calibri" w:eastAsia="Times New Roman" w:hAnsi="Calibri" w:cs="Calibri"/>
        </w:rPr>
        <w:t>g</w:t>
      </w:r>
      <w:r w:rsidR="00587AEF">
        <w:rPr>
          <w:rFonts w:ascii="Calibri" w:eastAsia="Times New Roman" w:hAnsi="Calibri" w:cs="Calibri"/>
        </w:rPr>
        <w:t xml:space="preserve"> završavanj</w:t>
      </w:r>
      <w:r w:rsidR="00957E7A">
        <w:rPr>
          <w:rFonts w:ascii="Calibri" w:eastAsia="Times New Roman" w:hAnsi="Calibri" w:cs="Calibri"/>
        </w:rPr>
        <w:t>a</w:t>
      </w:r>
      <w:r w:rsidR="00587AEF">
        <w:rPr>
          <w:rFonts w:ascii="Calibri" w:eastAsia="Times New Roman" w:hAnsi="Calibri" w:cs="Calibri"/>
        </w:rPr>
        <w:t xml:space="preserve"> poziva u mrežu svakog od</w:t>
      </w:r>
      <w:r w:rsidR="00587AEF" w:rsidRPr="00587AEF">
        <w:rPr>
          <w:rFonts w:ascii="Calibri" w:eastAsia="Times New Roman" w:hAnsi="Calibri" w:cs="Calibri"/>
        </w:rPr>
        <w:t xml:space="preserve"> operatora </w:t>
      </w:r>
      <w:r w:rsidR="00587AEF">
        <w:rPr>
          <w:rFonts w:ascii="Calibri" w:eastAsia="Times New Roman" w:hAnsi="Calibri" w:cs="Calibri"/>
        </w:rPr>
        <w:t xml:space="preserve">iz Privitka </w:t>
      </w:r>
      <w:r w:rsidR="00957E7A">
        <w:rPr>
          <w:rFonts w:ascii="Calibri" w:eastAsia="Times New Roman" w:hAnsi="Calibri" w:cs="Calibri"/>
        </w:rPr>
        <w:t>2</w:t>
      </w:r>
      <w:r w:rsidR="00275625">
        <w:rPr>
          <w:rFonts w:ascii="Calibri" w:eastAsia="Times New Roman" w:hAnsi="Calibri" w:cs="Calibri"/>
        </w:rPr>
        <w:t xml:space="preserve"> ovog dokumenta</w:t>
      </w:r>
      <w:r w:rsidR="00587AEF" w:rsidRPr="00587AEF">
        <w:rPr>
          <w:rFonts w:ascii="Calibri" w:eastAsia="Times New Roman" w:hAnsi="Calibri" w:cs="Calibri"/>
        </w:rPr>
        <w:t xml:space="preserve"> neovisno o elektroničkoj komunikacijskoj mreži u kojoj je poziv započeo</w:t>
      </w:r>
      <w:r w:rsidR="00587AEF">
        <w:rPr>
          <w:rFonts w:ascii="Calibri" w:eastAsia="Times New Roman" w:hAnsi="Calibri" w:cs="Calibri"/>
        </w:rPr>
        <w:t>.</w:t>
      </w:r>
    </w:p>
    <w:p w:rsidR="00B64792" w:rsidRDefault="00B64792" w:rsidP="006A708B">
      <w:pPr>
        <w:jc w:val="both"/>
        <w:rPr>
          <w:rFonts w:ascii="Calibri" w:eastAsia="Times New Roman" w:hAnsi="Calibri" w:cs="Calibri"/>
        </w:rPr>
      </w:pPr>
    </w:p>
    <w:p w:rsidR="00723B8D" w:rsidRPr="0005566C" w:rsidRDefault="00723B8D" w:rsidP="009B7571">
      <w:pPr>
        <w:jc w:val="both"/>
        <w:rPr>
          <w:rFonts w:ascii="Calibri" w:hAnsi="Calibri" w:cs="Calibri"/>
        </w:rPr>
      </w:pPr>
      <w:r w:rsidRPr="0005566C">
        <w:rPr>
          <w:rFonts w:ascii="Calibri" w:eastAsia="Times New Roman" w:hAnsi="Calibri" w:cs="Calibri"/>
        </w:rPr>
        <w:t xml:space="preserve">HAKOM određuje da je mjerodavno tržište u zemljopisnoj dimenziji za </w:t>
      </w:r>
      <w:r w:rsidR="00CE2147">
        <w:rPr>
          <w:rFonts w:ascii="Calibri" w:eastAsia="Times New Roman" w:hAnsi="Calibri" w:cs="Calibri"/>
        </w:rPr>
        <w:t xml:space="preserve">veleprodajno završavanje </w:t>
      </w:r>
      <w:r w:rsidR="007E4538">
        <w:rPr>
          <w:rFonts w:ascii="Calibri" w:eastAsia="Times New Roman" w:hAnsi="Calibri" w:cs="Calibri"/>
        </w:rPr>
        <w:t>poziva</w:t>
      </w:r>
      <w:r w:rsidR="009D2350">
        <w:rPr>
          <w:rFonts w:ascii="Calibri" w:eastAsia="Times New Roman" w:hAnsi="Calibri" w:cs="Calibri"/>
        </w:rPr>
        <w:t xml:space="preserve"> </w:t>
      </w:r>
      <w:r w:rsidRPr="0005566C">
        <w:rPr>
          <w:rFonts w:ascii="Calibri" w:eastAsia="Times New Roman" w:hAnsi="Calibri" w:cs="Calibri"/>
        </w:rPr>
        <w:t>nacionalni teritorij Republike Hrvatske.</w:t>
      </w:r>
    </w:p>
    <w:p w:rsidR="0034678C" w:rsidRDefault="0034678C">
      <w:pPr>
        <w:spacing w:after="200" w:line="276" w:lineRule="auto"/>
        <w:rPr>
          <w:rFonts w:asciiTheme="majorHAnsi" w:eastAsiaTheme="majorEastAsia" w:hAnsiTheme="majorHAnsi" w:cstheme="majorBidi"/>
          <w:b/>
          <w:bCs/>
          <w:color w:val="365F91" w:themeColor="accent1" w:themeShade="BF"/>
          <w:sz w:val="28"/>
          <w:szCs w:val="28"/>
        </w:rPr>
      </w:pPr>
      <w:bookmarkStart w:id="114" w:name="_Toc357581381"/>
      <w:r>
        <w:br w:type="page"/>
      </w:r>
    </w:p>
    <w:p w:rsidR="00723B8D" w:rsidRPr="00D65505" w:rsidRDefault="00723B8D" w:rsidP="005A144C">
      <w:pPr>
        <w:pStyle w:val="Heading1"/>
      </w:pPr>
      <w:bookmarkStart w:id="115" w:name="_Toc524984019"/>
      <w:bookmarkStart w:id="116" w:name="_Toc525072998"/>
      <w:bookmarkStart w:id="117" w:name="_Toc525729843"/>
      <w:r w:rsidRPr="00D65505">
        <w:lastRenderedPageBreak/>
        <w:t>Procjena postojanja operatora sa značajnom tržišnom snagom</w:t>
      </w:r>
      <w:bookmarkEnd w:id="114"/>
      <w:bookmarkEnd w:id="115"/>
      <w:bookmarkEnd w:id="116"/>
      <w:bookmarkEnd w:id="117"/>
    </w:p>
    <w:p w:rsidR="00723B8D" w:rsidRPr="00E3217C" w:rsidRDefault="00723B8D" w:rsidP="00ED4D44">
      <w:pPr>
        <w:pStyle w:val="Heading2"/>
      </w:pPr>
      <w:bookmarkStart w:id="118" w:name="_Toc409066984"/>
      <w:bookmarkStart w:id="119" w:name="_Toc409068441"/>
      <w:bookmarkStart w:id="120" w:name="_Toc409652035"/>
      <w:bookmarkStart w:id="121" w:name="_Toc357581382"/>
      <w:bookmarkStart w:id="122" w:name="_Toc524984020"/>
      <w:bookmarkStart w:id="123" w:name="_Toc525072999"/>
      <w:bookmarkStart w:id="124" w:name="_Toc525729844"/>
      <w:bookmarkEnd w:id="118"/>
      <w:bookmarkEnd w:id="119"/>
      <w:bookmarkEnd w:id="120"/>
      <w:r w:rsidRPr="00E3217C">
        <w:t>Cilj i predmet analize mjerodavnog tržišta</w:t>
      </w:r>
      <w:bookmarkEnd w:id="121"/>
      <w:bookmarkEnd w:id="122"/>
      <w:bookmarkEnd w:id="123"/>
      <w:bookmarkEnd w:id="124"/>
    </w:p>
    <w:p w:rsidR="004B0BD0" w:rsidRPr="004B0BD0" w:rsidRDefault="004B0BD0" w:rsidP="004B0BD0">
      <w:pPr>
        <w:autoSpaceDE w:val="0"/>
        <w:autoSpaceDN w:val="0"/>
        <w:adjustRightInd w:val="0"/>
        <w:jc w:val="both"/>
        <w:rPr>
          <w:rFonts w:ascii="Calibri" w:eastAsia="Times New Roman" w:hAnsi="Calibri" w:cs="Calibri"/>
        </w:rPr>
      </w:pPr>
      <w:r w:rsidRPr="004B0BD0">
        <w:rPr>
          <w:rFonts w:ascii="Calibri" w:eastAsia="Times New Roman" w:hAnsi="Calibri" w:cs="Calibri"/>
        </w:rPr>
        <w:t>Nakon utvrđivanja i određivanja mjerodavnog tržišta, HAKOM će, sukladno prikupljenim podacima, a u skladu s mjerilima iz članka 55. ZEK-a, ocijeniti djelotvornost tržišnog natjecanja na određenom mjerodavnom tržištu te procijeniti postoje li na istom operatori sa značajnom tržišnom snagom.</w:t>
      </w:r>
    </w:p>
    <w:p w:rsidR="004B0BD0" w:rsidRPr="004B0BD0" w:rsidRDefault="004B0BD0" w:rsidP="004B0BD0">
      <w:pPr>
        <w:autoSpaceDE w:val="0"/>
        <w:autoSpaceDN w:val="0"/>
        <w:adjustRightInd w:val="0"/>
        <w:jc w:val="both"/>
        <w:rPr>
          <w:rFonts w:ascii="Calibri" w:eastAsia="Times New Roman" w:hAnsi="Calibri" w:cs="Calibri"/>
        </w:rPr>
      </w:pPr>
    </w:p>
    <w:p w:rsidR="004B0BD0" w:rsidRPr="004B0BD0" w:rsidRDefault="004B0BD0" w:rsidP="004B0BD0">
      <w:pPr>
        <w:autoSpaceDE w:val="0"/>
        <w:autoSpaceDN w:val="0"/>
        <w:adjustRightInd w:val="0"/>
        <w:jc w:val="both"/>
        <w:rPr>
          <w:rFonts w:ascii="Calibri" w:eastAsia="Times New Roman" w:hAnsi="Calibri" w:cs="Calibri"/>
        </w:rPr>
      </w:pPr>
      <w:r w:rsidRPr="004B0BD0">
        <w:rPr>
          <w:rFonts w:ascii="Calibri" w:eastAsia="Times New Roman" w:hAnsi="Calibri" w:cs="Calibri"/>
        </w:rPr>
        <w:t>Smatra se da operator ima značajnu tržišnu snagu ako, pojedinačno ili zajedno s drugim operatorima, ima položaj koji odgovara vladajućem, što znači da se nalazi u takvom gospodarskom položaju koji mu omogućuje da se u značajnoj mjeri ponaša neovisno o konkurenciji, korisnicima usluga i potrošačima.</w:t>
      </w:r>
    </w:p>
    <w:p w:rsidR="004B0BD0" w:rsidRPr="004B0BD0" w:rsidRDefault="004B0BD0" w:rsidP="004B0BD0">
      <w:pPr>
        <w:autoSpaceDE w:val="0"/>
        <w:autoSpaceDN w:val="0"/>
        <w:adjustRightInd w:val="0"/>
        <w:jc w:val="both"/>
        <w:rPr>
          <w:rFonts w:ascii="Calibri" w:eastAsia="Times New Roman" w:hAnsi="Calibri" w:cs="Calibri"/>
        </w:rPr>
      </w:pPr>
    </w:p>
    <w:p w:rsidR="00376616" w:rsidRDefault="004B0BD0" w:rsidP="004B0BD0">
      <w:pPr>
        <w:autoSpaceDE w:val="0"/>
        <w:autoSpaceDN w:val="0"/>
        <w:adjustRightInd w:val="0"/>
        <w:jc w:val="both"/>
        <w:rPr>
          <w:rFonts w:ascii="Calibri" w:eastAsia="Times New Roman" w:hAnsi="Calibri" w:cs="Calibri"/>
        </w:rPr>
      </w:pPr>
      <w:r w:rsidRPr="004B0BD0">
        <w:rPr>
          <w:rFonts w:ascii="Calibri" w:eastAsia="Times New Roman" w:hAnsi="Calibri" w:cs="Calibri"/>
        </w:rPr>
        <w:t>U procjenjivanju pojedinačne značajne tržišne snage operatora na ovom mjerodavnom tržištu, HAKOM je primijenio sljedeća mjerila:</w:t>
      </w:r>
    </w:p>
    <w:p w:rsidR="004B0BD0" w:rsidRPr="000C5040" w:rsidRDefault="004B0BD0" w:rsidP="004B0BD0">
      <w:pPr>
        <w:pStyle w:val="LIsta"/>
        <w:rPr>
          <w:sz w:val="24"/>
          <w:szCs w:val="24"/>
        </w:rPr>
      </w:pPr>
      <w:r>
        <w:rPr>
          <w:sz w:val="24"/>
          <w:szCs w:val="24"/>
        </w:rPr>
        <w:t>t</w:t>
      </w:r>
      <w:r w:rsidRPr="000C5040">
        <w:rPr>
          <w:sz w:val="24"/>
          <w:szCs w:val="24"/>
        </w:rPr>
        <w:t>ržišni udjel operatora na mjerodavnom tržištu,</w:t>
      </w:r>
    </w:p>
    <w:p w:rsidR="004B0BD0" w:rsidRPr="004B0BD0" w:rsidRDefault="004B0BD0" w:rsidP="004B0BD0">
      <w:pPr>
        <w:pStyle w:val="LIsta"/>
        <w:autoSpaceDE w:val="0"/>
        <w:autoSpaceDN w:val="0"/>
        <w:adjustRightInd w:val="0"/>
        <w:jc w:val="both"/>
        <w:rPr>
          <w:rFonts w:ascii="Calibri" w:eastAsia="Times New Roman" w:hAnsi="Calibri" w:cs="Calibri"/>
        </w:rPr>
      </w:pPr>
      <w:r w:rsidRPr="004B0BD0">
        <w:rPr>
          <w:sz w:val="24"/>
          <w:szCs w:val="24"/>
        </w:rPr>
        <w:t xml:space="preserve">nedostatak </w:t>
      </w:r>
      <w:proofErr w:type="spellStart"/>
      <w:r w:rsidRPr="004B0BD0">
        <w:rPr>
          <w:sz w:val="24"/>
          <w:szCs w:val="24"/>
        </w:rPr>
        <w:t>protutežne</w:t>
      </w:r>
      <w:proofErr w:type="spellEnd"/>
      <w:r w:rsidRPr="004B0BD0">
        <w:rPr>
          <w:sz w:val="24"/>
          <w:szCs w:val="24"/>
        </w:rPr>
        <w:t xml:space="preserve"> kupovne moći.</w:t>
      </w:r>
    </w:p>
    <w:p w:rsidR="004B0BD0" w:rsidRPr="0005566C" w:rsidDel="00FF75E2" w:rsidRDefault="004B0BD0" w:rsidP="004B0BD0">
      <w:pPr>
        <w:autoSpaceDE w:val="0"/>
        <w:autoSpaceDN w:val="0"/>
        <w:adjustRightInd w:val="0"/>
        <w:jc w:val="both"/>
        <w:rPr>
          <w:rFonts w:ascii="Calibri" w:hAnsi="Calibri" w:cs="Calibri"/>
        </w:rPr>
      </w:pPr>
    </w:p>
    <w:p w:rsidR="00723B8D" w:rsidRPr="005576BE" w:rsidRDefault="00723B8D" w:rsidP="00723B8D">
      <w:pPr>
        <w:jc w:val="both"/>
        <w:rPr>
          <w:rFonts w:ascii="Calibri" w:hAnsi="Calibri"/>
        </w:rPr>
      </w:pPr>
      <w:r w:rsidRPr="005576BE">
        <w:rPr>
          <w:rFonts w:ascii="Calibri" w:hAnsi="Calibri"/>
        </w:rPr>
        <w:t xml:space="preserve">Uzevši u obzir činjenicu da operatori </w:t>
      </w:r>
      <w:r w:rsidR="00CF1ECB" w:rsidRPr="005576BE">
        <w:rPr>
          <w:rFonts w:ascii="Calibri" w:hAnsi="Calibri"/>
        </w:rPr>
        <w:t>imaju mogućnost završavati</w:t>
      </w:r>
      <w:r w:rsidRPr="005576BE">
        <w:rPr>
          <w:rFonts w:ascii="Calibri" w:hAnsi="Calibri"/>
        </w:rPr>
        <w:t xml:space="preserve"> </w:t>
      </w:r>
      <w:r w:rsidR="00CF1ECB" w:rsidRPr="005576BE">
        <w:rPr>
          <w:rFonts w:ascii="Calibri" w:hAnsi="Calibri"/>
        </w:rPr>
        <w:t>pozive</w:t>
      </w:r>
      <w:r w:rsidRPr="005576BE">
        <w:rPr>
          <w:rFonts w:ascii="Calibri" w:hAnsi="Calibri"/>
        </w:rPr>
        <w:t xml:space="preserve"> samo za korisnike direktno spojene na vlastitu infrastrukturu, HAKOM će za potrebe procjene značajne tržišne snage operatora promatrati s jedne strane HT, kao operatora s najvećom bazom korisnika spojenih vlastitom pristupnom infrastrukturom, a s druge strane sve ostale operatore na tržištu. </w:t>
      </w:r>
    </w:p>
    <w:p w:rsidR="00376616" w:rsidRPr="005576BE" w:rsidRDefault="00376616" w:rsidP="00723B8D">
      <w:pPr>
        <w:jc w:val="both"/>
        <w:rPr>
          <w:rFonts w:ascii="Calibri" w:hAnsi="Calibri"/>
        </w:rPr>
      </w:pPr>
    </w:p>
    <w:p w:rsidR="00723B8D" w:rsidRPr="00F461F0" w:rsidRDefault="004B0BD0" w:rsidP="00ED4D44">
      <w:pPr>
        <w:pStyle w:val="Heading2"/>
      </w:pPr>
      <w:bookmarkStart w:id="125" w:name="_Toc357581383"/>
      <w:bookmarkStart w:id="126" w:name="_Toc524984021"/>
      <w:bookmarkStart w:id="127" w:name="_Toc525073000"/>
      <w:bookmarkStart w:id="128" w:name="_Toc525729845"/>
      <w:r>
        <w:t>Analiza podataka</w:t>
      </w:r>
      <w:r w:rsidR="00723B8D" w:rsidRPr="00D65505">
        <w:t xml:space="preserve"> na tržištu </w:t>
      </w:r>
      <w:r w:rsidR="00C025EE">
        <w:t xml:space="preserve">veleprodajnog završavanja </w:t>
      </w:r>
      <w:r w:rsidR="007E4538">
        <w:t>poziva</w:t>
      </w:r>
      <w:r w:rsidR="00C025EE">
        <w:t xml:space="preserve"> u vlastitoj javnoj telefonskoj mreži koja se pruža na fiksnoj lokaciji</w:t>
      </w:r>
      <w:bookmarkEnd w:id="125"/>
      <w:bookmarkEnd w:id="126"/>
      <w:bookmarkEnd w:id="127"/>
      <w:bookmarkEnd w:id="128"/>
    </w:p>
    <w:p w:rsidR="004B0BD0" w:rsidRPr="00DB24D6" w:rsidRDefault="004B0BD0" w:rsidP="00DB24D6">
      <w:pPr>
        <w:pStyle w:val="Heading3"/>
      </w:pPr>
      <w:bookmarkStart w:id="129" w:name="_Toc524984022"/>
      <w:bookmarkStart w:id="130" w:name="_Toc525073001"/>
      <w:bookmarkStart w:id="131" w:name="_Toc525729846"/>
      <w:r w:rsidRPr="00DB24D6">
        <w:t>Tržišni udjel operatora na mjerodavnom tržištu</w:t>
      </w:r>
      <w:bookmarkEnd w:id="129"/>
      <w:bookmarkEnd w:id="130"/>
      <w:bookmarkEnd w:id="131"/>
    </w:p>
    <w:p w:rsidR="004B0BD0" w:rsidRDefault="004B0BD0" w:rsidP="00A84240">
      <w:pPr>
        <w:jc w:val="both"/>
        <w:rPr>
          <w:rFonts w:eastAsia="Times New Roman" w:cstheme="minorHAnsi"/>
          <w:iCs/>
        </w:rPr>
      </w:pPr>
    </w:p>
    <w:p w:rsidR="004B0BD0" w:rsidRDefault="004B0BD0" w:rsidP="004B0BD0">
      <w:pPr>
        <w:jc w:val="both"/>
        <w:rPr>
          <w:szCs w:val="24"/>
        </w:rPr>
      </w:pPr>
      <w:r w:rsidRPr="00DC1ACA">
        <w:rPr>
          <w:rFonts w:eastAsia="Times New Roman" w:cstheme="minorHAnsi"/>
          <w:iCs/>
          <w:szCs w:val="24"/>
        </w:rPr>
        <w:t>Tržišni udjel</w:t>
      </w:r>
      <w:r w:rsidRPr="00DC1ACA">
        <w:rPr>
          <w:rFonts w:eastAsia="Times New Roman" w:cstheme="minorHAnsi"/>
          <w:b/>
          <w:bCs/>
          <w:szCs w:val="24"/>
        </w:rPr>
        <w:t xml:space="preserve"> </w:t>
      </w:r>
      <w:r w:rsidRPr="00DC1ACA">
        <w:rPr>
          <w:rFonts w:eastAsia="Times New Roman" w:cstheme="minorHAnsi"/>
          <w:szCs w:val="24"/>
        </w:rPr>
        <w:t>je mjerilo relativne veličine nekog poduzetnika na tržištu, izračunato na način da se utvrdi postotak u kojem taj poduzetnik sudjeluje u ukupnoj proizvodnji i/ili prodaji nekog proizvoda i/ili usluge na predmetnom tržištu u određenom razdoblju.</w:t>
      </w:r>
      <w:r>
        <w:rPr>
          <w:rFonts w:eastAsia="Times New Roman" w:cstheme="minorHAnsi"/>
          <w:szCs w:val="24"/>
        </w:rPr>
        <w:t xml:space="preserve"> T</w:t>
      </w:r>
      <w:r w:rsidRPr="00DC1ACA">
        <w:rPr>
          <w:rFonts w:eastAsia="Times New Roman" w:cstheme="minorHAnsi"/>
          <w:szCs w:val="24"/>
        </w:rPr>
        <w:t xml:space="preserve">ržišni udjel </w:t>
      </w:r>
      <w:r>
        <w:rPr>
          <w:rFonts w:eastAsia="Times New Roman" w:cstheme="minorHAnsi"/>
          <w:szCs w:val="24"/>
        </w:rPr>
        <w:t>se najčešće koristi kao zamjena za</w:t>
      </w:r>
      <w:r w:rsidRPr="00DC1ACA">
        <w:rPr>
          <w:rFonts w:eastAsia="Times New Roman" w:cstheme="minorHAnsi"/>
          <w:szCs w:val="24"/>
        </w:rPr>
        <w:t xml:space="preserve"> tržišn</w:t>
      </w:r>
      <w:r>
        <w:rPr>
          <w:rFonts w:eastAsia="Times New Roman" w:cstheme="minorHAnsi"/>
          <w:szCs w:val="24"/>
        </w:rPr>
        <w:t xml:space="preserve">u snagu. </w:t>
      </w:r>
      <w:r w:rsidRPr="00F3458F">
        <w:rPr>
          <w:szCs w:val="24"/>
        </w:rPr>
        <w:t xml:space="preserve">Iako </w:t>
      </w:r>
      <w:r w:rsidR="00275625">
        <w:rPr>
          <w:szCs w:val="24"/>
        </w:rPr>
        <w:t>visoki</w:t>
      </w:r>
      <w:r w:rsidRPr="00F3458F">
        <w:rPr>
          <w:szCs w:val="24"/>
        </w:rPr>
        <w:t xml:space="preserve"> tržišni udjel nije sam po sebi dovoljna mjera kako bi se utvrdilo postojanje značajne tržišne snage (dominacije) na nekom mjerodavnom tržištu, malo je vjerojatno da će operator koji nema značajni tržišni udjel na određenom tržiš</w:t>
      </w:r>
      <w:r>
        <w:rPr>
          <w:szCs w:val="24"/>
        </w:rPr>
        <w:t>tu biti u dominantnom položaju.</w:t>
      </w:r>
    </w:p>
    <w:p w:rsidR="004B0BD0" w:rsidRDefault="004B0BD0" w:rsidP="004B0BD0">
      <w:pPr>
        <w:jc w:val="both"/>
        <w:rPr>
          <w:szCs w:val="24"/>
        </w:rPr>
      </w:pPr>
    </w:p>
    <w:p w:rsidR="004B0BD0" w:rsidRDefault="004B0BD0" w:rsidP="004B0BD0">
      <w:pPr>
        <w:jc w:val="both"/>
        <w:rPr>
          <w:szCs w:val="24"/>
        </w:rPr>
      </w:pPr>
      <w:r w:rsidRPr="002605C3">
        <w:rPr>
          <w:szCs w:val="24"/>
        </w:rPr>
        <w:t xml:space="preserve">U svrhu procjene značajne tržišne snage operatora, HAKOM će izračunati tržišni udjel na određenom mjerodavnom tržištu i tumačiti ga u skladu sa </w:t>
      </w:r>
      <w:r w:rsidRPr="00A100C6">
        <w:rPr>
          <w:szCs w:val="24"/>
        </w:rPr>
        <w:t>Smjernicama za analizu tržišta i ocjenu značajne tržišne snage</w:t>
      </w:r>
      <w:r w:rsidRPr="002605C3">
        <w:rPr>
          <w:szCs w:val="24"/>
        </w:rPr>
        <w:t xml:space="preserve"> te mjerodavnom pravnom stečevinom Europske unije i</w:t>
      </w:r>
      <w:r>
        <w:rPr>
          <w:szCs w:val="24"/>
        </w:rPr>
        <w:t>z područja tržišnog natjecanja.</w:t>
      </w:r>
    </w:p>
    <w:p w:rsidR="00A84240" w:rsidRPr="00A84240" w:rsidRDefault="00A84240" w:rsidP="00A84240">
      <w:pPr>
        <w:jc w:val="both"/>
        <w:rPr>
          <w:rFonts w:eastAsia="Times New Roman" w:cstheme="minorHAnsi"/>
        </w:rPr>
      </w:pPr>
    </w:p>
    <w:p w:rsidR="00E661C1" w:rsidRPr="00BC47A3" w:rsidRDefault="00E661C1" w:rsidP="00E661C1">
      <w:pPr>
        <w:tabs>
          <w:tab w:val="left" w:pos="2674"/>
        </w:tabs>
        <w:jc w:val="both"/>
        <w:rPr>
          <w:rFonts w:ascii="Calibri" w:eastAsia="Times New Roman" w:hAnsi="Calibri" w:cs="Calibri"/>
          <w:i/>
        </w:rPr>
      </w:pPr>
      <w:r w:rsidRPr="00FE0813">
        <w:rPr>
          <w:rFonts w:ascii="Calibri" w:eastAsia="Times New Roman" w:hAnsi="Calibri" w:cs="Calibri"/>
          <w:iCs/>
        </w:rPr>
        <w:t xml:space="preserve">Nadalje, kako je navedeno u poglavlju </w:t>
      </w:r>
      <w:r>
        <w:rPr>
          <w:rFonts w:ascii="Calibri" w:eastAsia="Times New Roman" w:hAnsi="Calibri" w:cs="Calibri"/>
          <w:iCs/>
        </w:rPr>
        <w:t>5</w:t>
      </w:r>
      <w:r w:rsidRPr="00FE0813">
        <w:rPr>
          <w:rFonts w:ascii="Calibri" w:eastAsia="Times New Roman" w:hAnsi="Calibri" w:cs="Calibri"/>
          <w:iCs/>
        </w:rPr>
        <w:t>, poziv može završiti samo u mreži operatora koji je</w:t>
      </w:r>
      <w:r w:rsidRPr="00BC47A3">
        <w:rPr>
          <w:rFonts w:ascii="Calibri" w:eastAsia="Times New Roman" w:hAnsi="Calibri" w:cs="Calibri"/>
          <w:iCs/>
        </w:rPr>
        <w:t xml:space="preserve"> pristupni operator pozvanog korisnika. U</w:t>
      </w:r>
      <w:r w:rsidRPr="00BC47A3">
        <w:rPr>
          <w:rFonts w:ascii="Calibri" w:eastAsia="Times New Roman" w:hAnsi="Calibri" w:cs="Calibri"/>
        </w:rPr>
        <w:t xml:space="preserve">zimajući u obzir prethodno navedeno, HAKOM je </w:t>
      </w:r>
      <w:r w:rsidRPr="00373243">
        <w:rPr>
          <w:rFonts w:ascii="Calibri" w:eastAsia="Times New Roman" w:hAnsi="Calibri" w:cs="Calibri"/>
        </w:rPr>
        <w:t xml:space="preserve">utvrdio </w:t>
      </w:r>
      <w:r w:rsidR="009010EA" w:rsidRPr="00373243">
        <w:rPr>
          <w:rFonts w:ascii="Calibri" w:eastAsia="Times New Roman" w:hAnsi="Calibri" w:cs="Calibri"/>
        </w:rPr>
        <w:t>27</w:t>
      </w:r>
      <w:r w:rsidRPr="00373243">
        <w:rPr>
          <w:rFonts w:ascii="Calibri" w:eastAsia="Times New Roman" w:hAnsi="Calibri" w:cs="Calibri"/>
        </w:rPr>
        <w:t xml:space="preserve"> mjerodavnih tržišta</w:t>
      </w:r>
      <w:r w:rsidRPr="00BC47A3">
        <w:rPr>
          <w:rFonts w:ascii="Calibri" w:eastAsia="Times New Roman" w:hAnsi="Calibri" w:cs="Calibri"/>
        </w:rPr>
        <w:t xml:space="preserve"> koja se odnose na pružanje usluge </w:t>
      </w:r>
      <w:r>
        <w:rPr>
          <w:rFonts w:ascii="Calibri" w:eastAsia="Times New Roman" w:hAnsi="Calibri" w:cs="Calibri"/>
        </w:rPr>
        <w:t xml:space="preserve">veleprodajnog završavanja </w:t>
      </w:r>
      <w:r>
        <w:rPr>
          <w:rFonts w:ascii="Calibri" w:eastAsia="Times New Roman" w:hAnsi="Calibri" w:cs="Calibri"/>
        </w:rPr>
        <w:lastRenderedPageBreak/>
        <w:t>poziva</w:t>
      </w:r>
      <w:r w:rsidRPr="00BC47A3">
        <w:rPr>
          <w:rFonts w:ascii="Calibri" w:eastAsia="Times New Roman" w:hAnsi="Calibri" w:cs="Calibri"/>
        </w:rPr>
        <w:t xml:space="preserve"> u određenu javnu komunikacijsku mrežu na fiksnoj lokaciji. </w:t>
      </w:r>
      <w:r w:rsidRPr="00BC47A3">
        <w:rPr>
          <w:rFonts w:ascii="Calibri" w:eastAsia="Times New Roman" w:hAnsi="Calibri" w:cs="Calibri"/>
          <w:iCs/>
        </w:rPr>
        <w:t xml:space="preserve">Iz prethodno definiranog proizlazi da svaki od </w:t>
      </w:r>
      <w:r w:rsidR="009010EA" w:rsidRPr="00373243">
        <w:rPr>
          <w:rFonts w:ascii="Calibri" w:eastAsia="Times New Roman" w:hAnsi="Calibri" w:cs="Calibri"/>
        </w:rPr>
        <w:t>27</w:t>
      </w:r>
      <w:r w:rsidRPr="00373243">
        <w:rPr>
          <w:rFonts w:ascii="Calibri" w:eastAsia="Times New Roman" w:hAnsi="Calibri" w:cs="Calibri"/>
          <w:iCs/>
        </w:rPr>
        <w:t xml:space="preserve"> operatora</w:t>
      </w:r>
      <w:r w:rsidRPr="00BC47A3">
        <w:rPr>
          <w:rFonts w:ascii="Calibri" w:eastAsia="Times New Roman" w:hAnsi="Calibri" w:cs="Calibri"/>
          <w:iCs/>
        </w:rPr>
        <w:t xml:space="preserve"> nepokretnih mreža koji omogućava uslugu </w:t>
      </w:r>
      <w:r>
        <w:rPr>
          <w:rFonts w:ascii="Calibri" w:eastAsia="Times New Roman" w:hAnsi="Calibri" w:cs="Calibri"/>
          <w:iCs/>
        </w:rPr>
        <w:t>veleprodajnog završavanja poziva</w:t>
      </w:r>
      <w:r w:rsidRPr="00BC47A3">
        <w:rPr>
          <w:rFonts w:ascii="Calibri" w:eastAsia="Times New Roman" w:hAnsi="Calibri" w:cs="Calibri"/>
          <w:iCs/>
        </w:rPr>
        <w:t xml:space="preserve"> u svoju mrežu, posjeduje 100</w:t>
      </w:r>
      <w:r w:rsidR="00275625">
        <w:rPr>
          <w:rFonts w:ascii="Calibri" w:eastAsia="Times New Roman" w:hAnsi="Calibri" w:cs="Calibri"/>
          <w:iCs/>
        </w:rPr>
        <w:t xml:space="preserve"> posto</w:t>
      </w:r>
      <w:r w:rsidRPr="00BC47A3">
        <w:rPr>
          <w:rFonts w:ascii="Calibri" w:eastAsia="Times New Roman" w:hAnsi="Calibri" w:cs="Calibri"/>
          <w:iCs/>
        </w:rPr>
        <w:t xml:space="preserve"> tržišnog udjela. </w:t>
      </w:r>
    </w:p>
    <w:p w:rsidR="00BC47A3" w:rsidRPr="004B0BD0" w:rsidRDefault="00BC47A3" w:rsidP="00BC47A3">
      <w:pPr>
        <w:tabs>
          <w:tab w:val="left" w:pos="2674"/>
        </w:tabs>
        <w:autoSpaceDE w:val="0"/>
        <w:autoSpaceDN w:val="0"/>
        <w:adjustRightInd w:val="0"/>
        <w:jc w:val="both"/>
        <w:rPr>
          <w:rFonts w:ascii="Calibri" w:eastAsia="Times New Roman" w:hAnsi="Calibri" w:cs="Calibri"/>
          <w:highlight w:val="yellow"/>
        </w:rPr>
      </w:pPr>
    </w:p>
    <w:p w:rsidR="00474C9F" w:rsidRDefault="00BC47A3" w:rsidP="009B7571">
      <w:pPr>
        <w:tabs>
          <w:tab w:val="left" w:pos="2674"/>
        </w:tabs>
        <w:jc w:val="both"/>
        <w:rPr>
          <w:rFonts w:ascii="Calibri" w:eastAsia="Times New Roman" w:hAnsi="Calibri" w:cs="Calibri"/>
          <w:color w:val="000000"/>
        </w:rPr>
      </w:pPr>
      <w:r w:rsidRPr="00E661C1">
        <w:rPr>
          <w:rFonts w:ascii="Calibri" w:eastAsia="Times New Roman" w:hAnsi="Calibri" w:cs="Calibri"/>
          <w:color w:val="000000"/>
        </w:rPr>
        <w:t xml:space="preserve">Slika </w:t>
      </w:r>
      <w:r w:rsidR="00275625">
        <w:rPr>
          <w:rFonts w:ascii="Calibri" w:eastAsia="Times New Roman" w:hAnsi="Calibri" w:cs="Calibri"/>
          <w:color w:val="000000"/>
        </w:rPr>
        <w:t>2</w:t>
      </w:r>
      <w:r w:rsidR="00702D7B" w:rsidRPr="00E661C1">
        <w:rPr>
          <w:rFonts w:ascii="Calibri" w:eastAsia="Times New Roman" w:hAnsi="Calibri" w:cs="Calibri"/>
          <w:color w:val="000000"/>
        </w:rPr>
        <w:t xml:space="preserve"> </w:t>
      </w:r>
      <w:r w:rsidRPr="00E661C1">
        <w:rPr>
          <w:rFonts w:ascii="Calibri" w:eastAsia="Times New Roman" w:hAnsi="Calibri" w:cs="Calibri"/>
          <w:color w:val="000000"/>
        </w:rPr>
        <w:t>pokazuje udio operatora prema ukupnom broju završenih minuta (uključujući minute predane iz mreža nacionalnih operatora (pokretnih i nepokretnih) kao i minute predane iz međunarodnih mreža.</w:t>
      </w:r>
    </w:p>
    <w:p w:rsidR="00B02775" w:rsidRDefault="00B02775" w:rsidP="00B02775">
      <w:pPr>
        <w:pStyle w:val="Caption"/>
      </w:pPr>
      <w:bookmarkStart w:id="132" w:name="_Toc525551858"/>
      <w:r>
        <w:t xml:space="preserve">Slika </w:t>
      </w:r>
      <w:r w:rsidR="00D7656B">
        <w:rPr>
          <w:noProof/>
        </w:rPr>
        <w:fldChar w:fldCharType="begin"/>
      </w:r>
      <w:r w:rsidR="00D7656B">
        <w:rPr>
          <w:noProof/>
        </w:rPr>
        <w:instrText xml:space="preserve"> SEQ Slika \* ARABIC </w:instrText>
      </w:r>
      <w:r w:rsidR="00D7656B">
        <w:rPr>
          <w:noProof/>
        </w:rPr>
        <w:fldChar w:fldCharType="separate"/>
      </w:r>
      <w:r>
        <w:rPr>
          <w:noProof/>
        </w:rPr>
        <w:t>2</w:t>
      </w:r>
      <w:r w:rsidR="00D7656B">
        <w:rPr>
          <w:noProof/>
        </w:rPr>
        <w:fldChar w:fldCharType="end"/>
      </w:r>
      <w:r>
        <w:t xml:space="preserve"> </w:t>
      </w:r>
      <w:r w:rsidRPr="00331486">
        <w:t>Tržišni udjeli operatora prema ukupnom broju završenih minuta</w:t>
      </w:r>
      <w:bookmarkEnd w:id="132"/>
    </w:p>
    <w:p w:rsidR="00723B8D" w:rsidRPr="0005566C" w:rsidRDefault="00B635E5" w:rsidP="0034678C">
      <w:pPr>
        <w:autoSpaceDE w:val="0"/>
        <w:autoSpaceDN w:val="0"/>
        <w:adjustRightInd w:val="0"/>
        <w:jc w:val="center"/>
        <w:rPr>
          <w:rFonts w:ascii="Calibri" w:eastAsia="Times New Roman" w:hAnsi="Calibri" w:cs="Calibri"/>
          <w:color w:val="000000"/>
        </w:rPr>
      </w:pPr>
      <w:r>
        <w:rPr>
          <w:noProof/>
          <w:lang w:val="en-US" w:eastAsia="en-US"/>
        </w:rPr>
        <w:drawing>
          <wp:inline distT="0" distB="0" distL="0" distR="0" wp14:anchorId="5E268022" wp14:editId="0AC7E3C2">
            <wp:extent cx="5760720" cy="4022725"/>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23B8D" w:rsidRPr="0005566C" w:rsidRDefault="009639EC" w:rsidP="00403874">
      <w:pPr>
        <w:pStyle w:val="ListParagraph"/>
        <w:ind w:left="0"/>
        <w:jc w:val="both"/>
      </w:pPr>
      <w:r w:rsidRPr="00331486">
        <w:t xml:space="preserve">Izvor: </w:t>
      </w:r>
      <w:r w:rsidR="00B635E5">
        <w:t>Tromjesečni up</w:t>
      </w:r>
      <w:r w:rsidRPr="00331486">
        <w:t>itni</w:t>
      </w:r>
      <w:r w:rsidR="00B635E5">
        <w:t>ci</w:t>
      </w:r>
      <w:r w:rsidR="00723B8D" w:rsidRPr="00331486">
        <w:t xml:space="preserve"> za </w:t>
      </w:r>
      <w:r w:rsidR="00B635E5">
        <w:t>telefonske usluge u nepokretnoj mreži</w:t>
      </w:r>
    </w:p>
    <w:p w:rsidR="00723B8D" w:rsidRPr="0005566C" w:rsidRDefault="00723B8D" w:rsidP="00723B8D">
      <w:pPr>
        <w:autoSpaceDE w:val="0"/>
        <w:autoSpaceDN w:val="0"/>
        <w:adjustRightInd w:val="0"/>
        <w:jc w:val="both"/>
        <w:rPr>
          <w:rFonts w:ascii="Calibri" w:eastAsia="Times New Roman" w:hAnsi="Calibri" w:cs="Calibri"/>
          <w:color w:val="000000"/>
        </w:rPr>
      </w:pPr>
    </w:p>
    <w:p w:rsidR="00723B8D" w:rsidRPr="0005566C" w:rsidRDefault="00723B8D" w:rsidP="00723B8D">
      <w:pPr>
        <w:autoSpaceDE w:val="0"/>
        <w:autoSpaceDN w:val="0"/>
        <w:adjustRightInd w:val="0"/>
        <w:jc w:val="both"/>
        <w:rPr>
          <w:rFonts w:ascii="Calibri" w:hAnsi="Calibri" w:cs="Calibri"/>
        </w:rPr>
      </w:pPr>
      <w:r w:rsidRPr="008858C4">
        <w:rPr>
          <w:rFonts w:ascii="Calibri" w:eastAsia="Times New Roman" w:hAnsi="Calibri" w:cs="Calibri"/>
          <w:color w:val="000000"/>
        </w:rPr>
        <w:t xml:space="preserve">HT ima najveći udio </w:t>
      </w:r>
      <w:r w:rsidR="00965731">
        <w:rPr>
          <w:rFonts w:ascii="Calibri" w:eastAsia="Times New Roman" w:hAnsi="Calibri" w:cs="Calibri"/>
          <w:color w:val="000000"/>
        </w:rPr>
        <w:t>u ukupnim</w:t>
      </w:r>
      <w:r w:rsidR="00A84240" w:rsidRPr="008858C4">
        <w:rPr>
          <w:rFonts w:ascii="Calibri" w:eastAsia="Times New Roman" w:hAnsi="Calibri" w:cs="Calibri"/>
          <w:color w:val="000000"/>
        </w:rPr>
        <w:t xml:space="preserve"> veleprodajni</w:t>
      </w:r>
      <w:r w:rsidR="00965731">
        <w:rPr>
          <w:rFonts w:ascii="Calibri" w:eastAsia="Times New Roman" w:hAnsi="Calibri" w:cs="Calibri"/>
          <w:color w:val="000000"/>
        </w:rPr>
        <w:t>m</w:t>
      </w:r>
      <w:r w:rsidRPr="008858C4">
        <w:rPr>
          <w:rFonts w:ascii="Calibri" w:eastAsia="Times New Roman" w:hAnsi="Calibri" w:cs="Calibri"/>
          <w:color w:val="000000"/>
        </w:rPr>
        <w:t xml:space="preserve"> završeni</w:t>
      </w:r>
      <w:r w:rsidR="00965731">
        <w:rPr>
          <w:rFonts w:ascii="Calibri" w:eastAsia="Times New Roman" w:hAnsi="Calibri" w:cs="Calibri"/>
          <w:color w:val="000000"/>
        </w:rPr>
        <w:t>m</w:t>
      </w:r>
      <w:r w:rsidRPr="008858C4">
        <w:rPr>
          <w:rFonts w:ascii="Calibri" w:eastAsia="Times New Roman" w:hAnsi="Calibri" w:cs="Calibri"/>
          <w:color w:val="000000"/>
        </w:rPr>
        <w:t xml:space="preserve"> minuta</w:t>
      </w:r>
      <w:r w:rsidR="00965731">
        <w:rPr>
          <w:rFonts w:ascii="Calibri" w:eastAsia="Times New Roman" w:hAnsi="Calibri" w:cs="Calibri"/>
          <w:color w:val="000000"/>
        </w:rPr>
        <w:t>ma</w:t>
      </w:r>
      <w:r w:rsidRPr="008858C4">
        <w:rPr>
          <w:rFonts w:ascii="Calibri" w:eastAsia="Times New Roman" w:hAnsi="Calibri" w:cs="Calibri"/>
          <w:color w:val="000000"/>
        </w:rPr>
        <w:t xml:space="preserve"> </w:t>
      </w:r>
      <w:r w:rsidR="007E4538" w:rsidRPr="008858C4">
        <w:rPr>
          <w:rFonts w:ascii="Calibri" w:eastAsia="Times New Roman" w:hAnsi="Calibri" w:cs="Calibri"/>
          <w:color w:val="000000"/>
        </w:rPr>
        <w:t>poziva</w:t>
      </w:r>
      <w:r w:rsidR="00A84240" w:rsidRPr="008858C4">
        <w:rPr>
          <w:rFonts w:ascii="Calibri" w:eastAsia="Times New Roman" w:hAnsi="Calibri" w:cs="Calibri"/>
          <w:color w:val="000000"/>
        </w:rPr>
        <w:t xml:space="preserve"> </w:t>
      </w:r>
      <w:r w:rsidRPr="008858C4">
        <w:rPr>
          <w:rFonts w:ascii="Calibri" w:eastAsia="Times New Roman" w:hAnsi="Calibri" w:cs="Calibri"/>
          <w:color w:val="000000"/>
        </w:rPr>
        <w:t>od početka promatranog razdoblja</w:t>
      </w:r>
      <w:r w:rsidR="00E661C1">
        <w:rPr>
          <w:rFonts w:ascii="Calibri" w:eastAsia="Times New Roman" w:hAnsi="Calibri" w:cs="Calibri"/>
          <w:color w:val="000000"/>
        </w:rPr>
        <w:t>, i to više od 60</w:t>
      </w:r>
      <w:r w:rsidR="00275625">
        <w:rPr>
          <w:rFonts w:ascii="Calibri" w:eastAsia="Times New Roman" w:hAnsi="Calibri" w:cs="Calibri"/>
          <w:color w:val="000000"/>
        </w:rPr>
        <w:t xml:space="preserve"> posto</w:t>
      </w:r>
      <w:r w:rsidR="00E661C1">
        <w:rPr>
          <w:rFonts w:ascii="Calibri" w:eastAsia="Times New Roman" w:hAnsi="Calibri" w:cs="Calibri"/>
          <w:color w:val="000000"/>
        </w:rPr>
        <w:t xml:space="preserve"> ukupnih završenih minuta u </w:t>
      </w:r>
      <w:r w:rsidR="00BC47A3" w:rsidRPr="008858C4">
        <w:rPr>
          <w:rFonts w:ascii="Calibri" w:hAnsi="Calibri" w:cs="Calibri"/>
        </w:rPr>
        <w:t>promatranom razdoblju.</w:t>
      </w:r>
    </w:p>
    <w:p w:rsidR="00A84240" w:rsidRDefault="00A84240">
      <w:pPr>
        <w:rPr>
          <w:rFonts w:eastAsia="Times New Roman" w:cstheme="minorHAnsi"/>
        </w:rPr>
      </w:pPr>
    </w:p>
    <w:p w:rsidR="000F5FAB" w:rsidRDefault="000F5FAB">
      <w:pPr>
        <w:spacing w:after="200" w:line="276" w:lineRule="auto"/>
        <w:rPr>
          <w:rFonts w:asciiTheme="majorHAnsi" w:eastAsia="Times New Roman" w:hAnsiTheme="majorHAnsi" w:cstheme="majorBidi"/>
          <w:b/>
          <w:bCs/>
          <w:color w:val="4F81BD" w:themeColor="accent1"/>
        </w:rPr>
      </w:pPr>
      <w:bookmarkStart w:id="133" w:name="_Toc357581384"/>
      <w:bookmarkStart w:id="134" w:name="_Toc524984023"/>
      <w:r>
        <w:br w:type="page"/>
      </w:r>
    </w:p>
    <w:p w:rsidR="00723B8D" w:rsidRPr="00D65505" w:rsidRDefault="00723B8D" w:rsidP="00DB24D6">
      <w:pPr>
        <w:pStyle w:val="Heading3"/>
      </w:pPr>
      <w:bookmarkStart w:id="135" w:name="_Toc525073002"/>
      <w:bookmarkStart w:id="136" w:name="_Toc525729847"/>
      <w:r w:rsidRPr="00D65505">
        <w:lastRenderedPageBreak/>
        <w:t xml:space="preserve">Nedostatak </w:t>
      </w:r>
      <w:proofErr w:type="spellStart"/>
      <w:r w:rsidRPr="00D65505">
        <w:t>protutežne</w:t>
      </w:r>
      <w:proofErr w:type="spellEnd"/>
      <w:r w:rsidRPr="00D65505">
        <w:t xml:space="preserve"> kupovne moći</w:t>
      </w:r>
      <w:bookmarkEnd w:id="133"/>
      <w:bookmarkEnd w:id="134"/>
      <w:bookmarkEnd w:id="135"/>
      <w:bookmarkEnd w:id="136"/>
    </w:p>
    <w:p w:rsidR="00C968D7" w:rsidRDefault="00C968D7" w:rsidP="00723B8D">
      <w:pPr>
        <w:autoSpaceDE w:val="0"/>
        <w:autoSpaceDN w:val="0"/>
        <w:adjustRightInd w:val="0"/>
        <w:jc w:val="both"/>
        <w:rPr>
          <w:rFonts w:ascii="Calibri" w:eastAsia="Times New Roman" w:hAnsi="Calibri" w:cs="Calibri"/>
        </w:rPr>
      </w:pPr>
    </w:p>
    <w:p w:rsidR="00723B8D" w:rsidRPr="0005566C" w:rsidRDefault="00723B8D" w:rsidP="00723B8D">
      <w:pPr>
        <w:autoSpaceDE w:val="0"/>
        <w:autoSpaceDN w:val="0"/>
        <w:adjustRightInd w:val="0"/>
        <w:jc w:val="both"/>
        <w:rPr>
          <w:rFonts w:ascii="Calibri" w:eastAsia="Times New Roman" w:hAnsi="Calibri" w:cs="Calibri"/>
        </w:rPr>
      </w:pPr>
      <w:proofErr w:type="spellStart"/>
      <w:r w:rsidRPr="0005566C">
        <w:rPr>
          <w:rFonts w:ascii="Calibri" w:eastAsia="Times New Roman" w:hAnsi="Calibri" w:cs="Calibri"/>
        </w:rPr>
        <w:t>Protutežna</w:t>
      </w:r>
      <w:proofErr w:type="spellEnd"/>
      <w:r w:rsidRPr="0005566C">
        <w:rPr>
          <w:rFonts w:ascii="Calibri" w:eastAsia="Times New Roman" w:hAnsi="Calibri" w:cs="Calibri"/>
        </w:rPr>
        <w:t xml:space="preserve"> kupovna moć postoji u situaciji kad određeni kupac, operator (ili više njih), ima veliku pregovaračku moć, a samim time i značajan utjecaj na konkurenciju čime onemogućava da se drugi operator ponaša neovisno o konkurenciji i korisnicima.</w:t>
      </w:r>
    </w:p>
    <w:p w:rsidR="00723B8D" w:rsidRPr="0005566C" w:rsidRDefault="00723B8D" w:rsidP="00723B8D">
      <w:pPr>
        <w:autoSpaceDE w:val="0"/>
        <w:autoSpaceDN w:val="0"/>
        <w:adjustRightInd w:val="0"/>
        <w:jc w:val="both"/>
        <w:rPr>
          <w:rFonts w:ascii="Calibri" w:eastAsia="Times New Roman" w:hAnsi="Calibri" w:cs="Calibri"/>
        </w:rPr>
      </w:pPr>
    </w:p>
    <w:p w:rsidR="00621565" w:rsidRDefault="00723B8D" w:rsidP="009639EC">
      <w:pPr>
        <w:autoSpaceDE w:val="0"/>
        <w:autoSpaceDN w:val="0"/>
        <w:adjustRightInd w:val="0"/>
        <w:jc w:val="both"/>
        <w:rPr>
          <w:rFonts w:ascii="Calibri" w:eastAsia="Times New Roman" w:hAnsi="Calibri" w:cs="Calibri"/>
        </w:rPr>
      </w:pPr>
      <w:r w:rsidRPr="0005566C">
        <w:rPr>
          <w:rFonts w:ascii="Calibri" w:eastAsia="Times New Roman" w:hAnsi="Calibri" w:cs="Calibri"/>
        </w:rPr>
        <w:t xml:space="preserve">Nadalje, postojanje </w:t>
      </w:r>
      <w:proofErr w:type="spellStart"/>
      <w:r w:rsidRPr="0005566C">
        <w:rPr>
          <w:rFonts w:ascii="Calibri" w:eastAsia="Times New Roman" w:hAnsi="Calibri" w:cs="Calibri"/>
        </w:rPr>
        <w:t>protutežne</w:t>
      </w:r>
      <w:proofErr w:type="spellEnd"/>
      <w:r w:rsidRPr="0005566C">
        <w:rPr>
          <w:rFonts w:ascii="Calibri" w:eastAsia="Times New Roman" w:hAnsi="Calibri" w:cs="Calibri"/>
        </w:rPr>
        <w:t xml:space="preserve"> kupovne moći ovisi o sposobnostima operatora da spriječi porast cijena, na način da ili ne kupuje od konkurencije (dominantnog operatora) ili pruža uslugu sam sebi. Svaki operator na tržištu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05566C">
        <w:rPr>
          <w:rFonts w:ascii="Calibri" w:eastAsia="Times New Roman" w:hAnsi="Calibri" w:cs="Calibri"/>
        </w:rPr>
        <w:t xml:space="preserve"> u vlastitu mrežu ima 100</w:t>
      </w:r>
      <w:r w:rsidR="00275625">
        <w:rPr>
          <w:rFonts w:ascii="Calibri" w:eastAsia="Times New Roman" w:hAnsi="Calibri" w:cs="Calibri"/>
        </w:rPr>
        <w:t xml:space="preserve"> posto</w:t>
      </w:r>
      <w:r w:rsidRPr="0005566C">
        <w:rPr>
          <w:rFonts w:ascii="Calibri" w:eastAsia="Times New Roman" w:hAnsi="Calibri" w:cs="Calibri"/>
        </w:rPr>
        <w:t xml:space="preserve"> tržišni udjel. Činjenica je da svaki operator u ovome slučaju ima dominantan položaj na tržištu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05566C">
        <w:rPr>
          <w:rFonts w:ascii="Calibri" w:eastAsia="Times New Roman" w:hAnsi="Calibri" w:cs="Calibri"/>
        </w:rPr>
        <w:t xml:space="preserve"> u vlastitoj mreži. </w:t>
      </w:r>
    </w:p>
    <w:p w:rsidR="00C968D7" w:rsidRPr="0005566C" w:rsidRDefault="00C968D7" w:rsidP="009639EC">
      <w:pPr>
        <w:autoSpaceDE w:val="0"/>
        <w:autoSpaceDN w:val="0"/>
        <w:adjustRightInd w:val="0"/>
        <w:jc w:val="both"/>
        <w:rPr>
          <w:rFonts w:ascii="Calibri" w:eastAsia="Times New Roman" w:hAnsi="Calibri" w:cs="Calibri"/>
        </w:rPr>
      </w:pPr>
    </w:p>
    <w:p w:rsidR="00723B8D" w:rsidRPr="0005566C" w:rsidRDefault="00965731" w:rsidP="00723B8D">
      <w:pPr>
        <w:autoSpaceDE w:val="0"/>
        <w:autoSpaceDN w:val="0"/>
        <w:adjustRightInd w:val="0"/>
        <w:jc w:val="both"/>
        <w:rPr>
          <w:rFonts w:ascii="Calibri" w:eastAsia="Times New Roman" w:hAnsi="Calibri" w:cs="Calibri"/>
        </w:rPr>
      </w:pPr>
      <w:r>
        <w:rPr>
          <w:rFonts w:ascii="Calibri" w:eastAsia="Times New Roman" w:hAnsi="Calibri" w:cs="Calibri"/>
        </w:rPr>
        <w:t>N</w:t>
      </w:r>
      <w:r w:rsidR="00723B8D" w:rsidRPr="0005566C">
        <w:rPr>
          <w:rFonts w:ascii="Calibri" w:eastAsia="Times New Roman" w:hAnsi="Calibri" w:cs="Calibri"/>
        </w:rPr>
        <w:t xml:space="preserve">a </w:t>
      </w:r>
      <w:r w:rsidR="00C968D7">
        <w:rPr>
          <w:rFonts w:ascii="Calibri" w:eastAsia="Times New Roman" w:hAnsi="Calibri" w:cs="Calibri"/>
        </w:rPr>
        <w:t xml:space="preserve">ovom mjerodavnom </w:t>
      </w:r>
      <w:r w:rsidR="00723B8D" w:rsidRPr="0005566C">
        <w:rPr>
          <w:rFonts w:ascii="Calibri" w:eastAsia="Times New Roman" w:hAnsi="Calibri" w:cs="Calibri"/>
        </w:rPr>
        <w:t xml:space="preserve">tržištu </w:t>
      </w:r>
      <w:r w:rsidR="00C968D7">
        <w:rPr>
          <w:rFonts w:ascii="Calibri" w:eastAsia="Times New Roman" w:hAnsi="Calibri" w:cs="Calibri"/>
        </w:rPr>
        <w:t>potrebno</w:t>
      </w:r>
      <w:r w:rsidR="00723B8D" w:rsidRPr="0005566C">
        <w:rPr>
          <w:rFonts w:ascii="Calibri" w:eastAsia="Times New Roman" w:hAnsi="Calibri" w:cs="Calibri"/>
        </w:rPr>
        <w:t xml:space="preserve"> je voditi računa o činjenici da </w:t>
      </w:r>
      <w:r w:rsidR="00723B8D" w:rsidRPr="0005566C">
        <w:rPr>
          <w:rFonts w:ascii="Calibri" w:eastAsia="Times New Roman" w:hAnsi="Calibri" w:cs="Calibri"/>
          <w:iCs/>
        </w:rPr>
        <w:t xml:space="preserve">poziv može </w:t>
      </w:r>
      <w:r w:rsidR="00F246E7">
        <w:rPr>
          <w:rFonts w:ascii="Calibri" w:eastAsia="Times New Roman" w:hAnsi="Calibri" w:cs="Calibri"/>
          <w:iCs/>
        </w:rPr>
        <w:t xml:space="preserve">veleprodajno </w:t>
      </w:r>
      <w:r w:rsidR="00723B8D" w:rsidRPr="0005566C">
        <w:rPr>
          <w:rFonts w:ascii="Calibri" w:eastAsia="Times New Roman" w:hAnsi="Calibri" w:cs="Calibri"/>
          <w:iCs/>
        </w:rPr>
        <w:t>završiti samo u mreži operatora koji je pristupni operator pozvanog korisnika.</w:t>
      </w:r>
      <w:r>
        <w:rPr>
          <w:rFonts w:ascii="Calibri" w:eastAsia="Times New Roman" w:hAnsi="Calibri" w:cs="Calibri"/>
          <w:iCs/>
        </w:rPr>
        <w:t xml:space="preserve"> </w:t>
      </w:r>
    </w:p>
    <w:p w:rsidR="00723B8D" w:rsidRPr="0005566C" w:rsidRDefault="00723B8D" w:rsidP="00723B8D">
      <w:pPr>
        <w:autoSpaceDE w:val="0"/>
        <w:autoSpaceDN w:val="0"/>
        <w:adjustRightInd w:val="0"/>
        <w:jc w:val="both"/>
        <w:rPr>
          <w:rFonts w:ascii="Calibri" w:eastAsia="Times New Roman" w:hAnsi="Calibri" w:cs="Calibri"/>
          <w:b/>
        </w:rPr>
      </w:pPr>
    </w:p>
    <w:p w:rsidR="00965731" w:rsidRPr="0005566C" w:rsidRDefault="00965731" w:rsidP="00965731">
      <w:pPr>
        <w:autoSpaceDE w:val="0"/>
        <w:autoSpaceDN w:val="0"/>
        <w:adjustRightInd w:val="0"/>
        <w:jc w:val="both"/>
        <w:rPr>
          <w:rFonts w:ascii="Calibri" w:hAnsi="Calibri" w:cs="Calibri"/>
        </w:rPr>
      </w:pPr>
      <w:r>
        <w:rPr>
          <w:rFonts w:ascii="Calibri" w:eastAsia="Times New Roman" w:hAnsi="Calibri" w:cs="Calibri"/>
        </w:rPr>
        <w:t>Stoga</w:t>
      </w:r>
      <w:r w:rsidR="00723B8D" w:rsidRPr="0005566C">
        <w:rPr>
          <w:rFonts w:ascii="Calibri" w:eastAsia="Times New Roman" w:hAnsi="Calibri" w:cs="Calibri"/>
        </w:rPr>
        <w:t>, HAKOM zaključuje kako se niti jedan od operatora ne nalazi u nepovoljnom položaju</w:t>
      </w:r>
      <w:r w:rsidR="00C968D7">
        <w:rPr>
          <w:rFonts w:ascii="Calibri" w:eastAsia="Times New Roman" w:hAnsi="Calibri" w:cs="Calibri"/>
        </w:rPr>
        <w:t>,</w:t>
      </w:r>
      <w:r w:rsidR="00723B8D" w:rsidRPr="0005566C">
        <w:rPr>
          <w:rFonts w:ascii="Calibri" w:eastAsia="Times New Roman" w:hAnsi="Calibri" w:cs="Calibri"/>
        </w:rPr>
        <w:t xml:space="preserve"> iako </w:t>
      </w:r>
      <w:r w:rsidR="00C968D7">
        <w:rPr>
          <w:rFonts w:ascii="Calibri" w:eastAsia="Times New Roman" w:hAnsi="Calibri" w:cs="Calibri"/>
        </w:rPr>
        <w:t>ostali</w:t>
      </w:r>
      <w:r w:rsidR="00723B8D" w:rsidRPr="0005566C">
        <w:rPr>
          <w:rFonts w:ascii="Calibri" w:eastAsia="Times New Roman" w:hAnsi="Calibri" w:cs="Calibri"/>
        </w:rPr>
        <w:t xml:space="preserve"> operatori, zbog slabije tržišne pozicije, imaju manju </w:t>
      </w:r>
      <w:proofErr w:type="spellStart"/>
      <w:r w:rsidR="00723B8D" w:rsidRPr="0005566C">
        <w:rPr>
          <w:rFonts w:ascii="Calibri" w:eastAsia="Times New Roman" w:hAnsi="Calibri" w:cs="Calibri"/>
        </w:rPr>
        <w:t>protutežnu</w:t>
      </w:r>
      <w:proofErr w:type="spellEnd"/>
      <w:r w:rsidR="00723B8D" w:rsidRPr="0005566C">
        <w:rPr>
          <w:rFonts w:ascii="Calibri" w:eastAsia="Times New Roman" w:hAnsi="Calibri" w:cs="Calibri"/>
        </w:rPr>
        <w:t xml:space="preserve"> kupovnu moć u odnosu na HT. </w:t>
      </w:r>
      <w:r>
        <w:rPr>
          <w:rFonts w:ascii="Calibri" w:eastAsia="Times New Roman" w:hAnsi="Calibri" w:cs="Calibri"/>
        </w:rPr>
        <w:t xml:space="preserve">Stoga će navedeno </w:t>
      </w:r>
      <w:r>
        <w:rPr>
          <w:rFonts w:ascii="Calibri" w:hAnsi="Calibri" w:cs="Calibri"/>
        </w:rPr>
        <w:t>HAKOM uzeti u obzir prilikom određivanja regulatornih obveza</w:t>
      </w:r>
      <w:r w:rsidRPr="008858C4">
        <w:rPr>
          <w:rFonts w:ascii="Calibri" w:hAnsi="Calibri" w:cs="Calibri"/>
        </w:rPr>
        <w:t>.</w:t>
      </w:r>
    </w:p>
    <w:p w:rsidR="00C968D7" w:rsidRDefault="00C968D7" w:rsidP="00ED66E2">
      <w:pPr>
        <w:autoSpaceDE w:val="0"/>
        <w:autoSpaceDN w:val="0"/>
        <w:adjustRightInd w:val="0"/>
        <w:jc w:val="both"/>
        <w:rPr>
          <w:rFonts w:ascii="Calibri" w:eastAsia="Times New Roman" w:hAnsi="Calibri" w:cs="Calibri"/>
        </w:rPr>
      </w:pPr>
    </w:p>
    <w:p w:rsidR="00723B8D" w:rsidRPr="00730E6E" w:rsidRDefault="00723B8D" w:rsidP="00ED4D44">
      <w:pPr>
        <w:pStyle w:val="Heading2"/>
        <w:rPr>
          <w:u w:val="single"/>
        </w:rPr>
      </w:pPr>
      <w:bookmarkStart w:id="137" w:name="_Toc357581387"/>
      <w:bookmarkStart w:id="138" w:name="_Toc524984024"/>
      <w:bookmarkStart w:id="139" w:name="_Toc525073003"/>
      <w:bookmarkStart w:id="140" w:name="_Toc525729848"/>
      <w:r w:rsidRPr="00D65505">
        <w:t>Stajalište nadležnog regulatornog tijela o procjeni postojanja operatora sa značajnom tržišnom snagom</w:t>
      </w:r>
      <w:bookmarkEnd w:id="137"/>
      <w:bookmarkEnd w:id="138"/>
      <w:bookmarkEnd w:id="139"/>
      <w:bookmarkEnd w:id="140"/>
    </w:p>
    <w:p w:rsidR="00723B8D" w:rsidRPr="00FD1649" w:rsidRDefault="00723B8D" w:rsidP="00723B8D">
      <w:pPr>
        <w:jc w:val="both"/>
        <w:rPr>
          <w:rFonts w:ascii="Calibri" w:eastAsia="Times New Roman" w:hAnsi="Calibri" w:cs="Calibri"/>
        </w:rPr>
      </w:pPr>
      <w:r w:rsidRPr="00FD1649">
        <w:rPr>
          <w:rFonts w:ascii="Calibri" w:eastAsia="Times New Roman" w:hAnsi="Calibri" w:cs="Calibri"/>
        </w:rPr>
        <w:t>Na temelju gore provedene analize, HAKOM</w:t>
      </w:r>
      <w:r w:rsidR="00FD1649" w:rsidRPr="00FD1649">
        <w:rPr>
          <w:rFonts w:ascii="Calibri" w:eastAsia="Times New Roman" w:hAnsi="Calibri" w:cs="Calibri"/>
        </w:rPr>
        <w:t xml:space="preserve"> </w:t>
      </w:r>
      <w:r w:rsidR="00C968D7">
        <w:rPr>
          <w:rFonts w:ascii="Calibri" w:eastAsia="Times New Roman" w:hAnsi="Calibri" w:cs="Calibri"/>
        </w:rPr>
        <w:t xml:space="preserve">je </w:t>
      </w:r>
      <w:r w:rsidR="00AE05E0">
        <w:rPr>
          <w:rFonts w:ascii="Calibri" w:eastAsia="Times New Roman" w:hAnsi="Calibri" w:cs="Calibri"/>
        </w:rPr>
        <w:t xml:space="preserve">na ovom tržištu </w:t>
      </w:r>
      <w:r w:rsidR="00AE05E0" w:rsidRPr="00373243">
        <w:rPr>
          <w:rFonts w:ascii="Calibri" w:eastAsia="Times New Roman" w:hAnsi="Calibri" w:cs="Calibri"/>
        </w:rPr>
        <w:t xml:space="preserve">odredio </w:t>
      </w:r>
      <w:r w:rsidR="009010EA" w:rsidRPr="00373243">
        <w:rPr>
          <w:rFonts w:ascii="Calibri" w:eastAsia="Times New Roman" w:hAnsi="Calibri" w:cs="Calibri"/>
        </w:rPr>
        <w:t>27</w:t>
      </w:r>
      <w:r w:rsidR="00FD1649" w:rsidRPr="00373243">
        <w:rPr>
          <w:rFonts w:ascii="Calibri" w:eastAsia="Times New Roman" w:hAnsi="Calibri" w:cs="Calibri"/>
        </w:rPr>
        <w:t xml:space="preserve"> operatora</w:t>
      </w:r>
      <w:r w:rsidR="00FD1649" w:rsidRPr="00FD1649">
        <w:rPr>
          <w:rFonts w:ascii="Calibri" w:eastAsia="Times New Roman" w:hAnsi="Calibri" w:cs="Calibri"/>
        </w:rPr>
        <w:t xml:space="preserve"> sa značajnom tržišnom snagom, a koji su navedeni</w:t>
      </w:r>
      <w:r w:rsidRPr="00FD1649">
        <w:rPr>
          <w:rFonts w:ascii="Calibri" w:eastAsia="Times New Roman" w:hAnsi="Calibri" w:cs="Calibri"/>
        </w:rPr>
        <w:t xml:space="preserve"> </w:t>
      </w:r>
      <w:r w:rsidR="003A005E" w:rsidRPr="00FD1649">
        <w:rPr>
          <w:rFonts w:ascii="Calibri" w:eastAsia="Times New Roman" w:hAnsi="Calibri" w:cs="Calibri"/>
        </w:rPr>
        <w:t>u Privitku 2</w:t>
      </w:r>
      <w:r w:rsidR="004B0BD0" w:rsidRPr="00FD1649">
        <w:rPr>
          <w:rFonts w:ascii="Calibri" w:eastAsia="Times New Roman" w:hAnsi="Calibri" w:cs="Calibri"/>
        </w:rPr>
        <w:t xml:space="preserve"> </w:t>
      </w:r>
      <w:r w:rsidR="00C968D7">
        <w:rPr>
          <w:rFonts w:ascii="Calibri" w:eastAsia="Times New Roman" w:hAnsi="Calibri" w:cs="Calibri"/>
        </w:rPr>
        <w:t>ovog dokumenta</w:t>
      </w:r>
      <w:r w:rsidR="003A005E" w:rsidRPr="00FD1649">
        <w:rPr>
          <w:rFonts w:ascii="Calibri" w:eastAsia="Times New Roman" w:hAnsi="Calibri" w:cs="Calibri"/>
        </w:rPr>
        <w:t>.</w:t>
      </w:r>
    </w:p>
    <w:p w:rsidR="005D4937" w:rsidRDefault="005D4937" w:rsidP="00D85425">
      <w:pPr>
        <w:jc w:val="both"/>
        <w:rPr>
          <w:rFonts w:ascii="Calibri" w:hAnsi="Calibri"/>
        </w:rPr>
      </w:pPr>
    </w:p>
    <w:p w:rsidR="000A5158" w:rsidRDefault="000A5158" w:rsidP="00742D5C">
      <w:pPr>
        <w:ind w:left="720"/>
        <w:jc w:val="both"/>
        <w:rPr>
          <w:rFonts w:ascii="Calibri" w:hAnsi="Calibri"/>
        </w:rPr>
      </w:pPr>
    </w:p>
    <w:p w:rsidR="005D4937" w:rsidRPr="00C721A6" w:rsidRDefault="00C721A6" w:rsidP="00C721A6">
      <w:pPr>
        <w:spacing w:after="200" w:line="276" w:lineRule="auto"/>
        <w:rPr>
          <w:rFonts w:ascii="Calibri" w:hAnsi="Calibri"/>
          <w:color w:val="4F81BD" w:themeColor="accent1"/>
          <w:sz w:val="18"/>
        </w:rPr>
      </w:pPr>
      <w:r>
        <w:rPr>
          <w:rFonts w:ascii="Calibri" w:hAnsi="Calibri"/>
        </w:rPr>
        <w:br w:type="page"/>
      </w:r>
    </w:p>
    <w:p w:rsidR="00723B8D" w:rsidRPr="005A144C" w:rsidRDefault="00723B8D" w:rsidP="005A144C">
      <w:pPr>
        <w:pStyle w:val="Heading1"/>
      </w:pPr>
      <w:bookmarkStart w:id="141" w:name="_Toc236634828"/>
      <w:bookmarkStart w:id="142" w:name="_Toc357581388"/>
      <w:bookmarkStart w:id="143" w:name="_Toc524984025"/>
      <w:bookmarkStart w:id="144" w:name="_Toc525073004"/>
      <w:bookmarkStart w:id="145" w:name="_Toc525729849"/>
      <w:r w:rsidRPr="005A144C">
        <w:lastRenderedPageBreak/>
        <w:t xml:space="preserve">Prepreke razvoju tržišnog natjecanja na tržištu </w:t>
      </w:r>
      <w:r w:rsidR="00F26C45" w:rsidRPr="005A144C">
        <w:t xml:space="preserve">veleprodajnog završavanja </w:t>
      </w:r>
      <w:r w:rsidR="007E4538">
        <w:t>poziva</w:t>
      </w:r>
      <w:r w:rsidRPr="005A144C">
        <w:t xml:space="preserve"> u </w:t>
      </w:r>
      <w:r w:rsidR="004C2520" w:rsidRPr="005A144C">
        <w:t>vlastitu</w:t>
      </w:r>
      <w:r w:rsidRPr="005A144C">
        <w:t xml:space="preserve"> javnu </w:t>
      </w:r>
      <w:r w:rsidR="004C2520" w:rsidRPr="005A144C">
        <w:t>telefons</w:t>
      </w:r>
      <w:r w:rsidRPr="005A144C">
        <w:t>ku mrežu</w:t>
      </w:r>
      <w:r w:rsidRPr="005A144C" w:rsidDel="002F3365">
        <w:t xml:space="preserve"> </w:t>
      </w:r>
      <w:bookmarkEnd w:id="141"/>
      <w:r w:rsidRPr="005A144C">
        <w:t>koja se pruža na fiksnoj lokaciji</w:t>
      </w:r>
      <w:bookmarkEnd w:id="142"/>
      <w:bookmarkEnd w:id="143"/>
      <w:bookmarkEnd w:id="144"/>
      <w:bookmarkEnd w:id="145"/>
    </w:p>
    <w:p w:rsidR="005A144C" w:rsidRDefault="005A144C" w:rsidP="00723B8D">
      <w:pPr>
        <w:jc w:val="both"/>
        <w:rPr>
          <w:rFonts w:ascii="Calibri" w:hAnsi="Calibri" w:cs="Calibri"/>
        </w:rPr>
      </w:pPr>
      <w:bookmarkStart w:id="146" w:name="_Toc345504862"/>
    </w:p>
    <w:p w:rsidR="00876B1F" w:rsidRPr="002605C3" w:rsidRDefault="00876B1F" w:rsidP="00876B1F">
      <w:pPr>
        <w:jc w:val="both"/>
        <w:rPr>
          <w:szCs w:val="24"/>
        </w:rPr>
      </w:pPr>
      <w:bookmarkStart w:id="147" w:name="_Toc409066992"/>
      <w:bookmarkStart w:id="148" w:name="_Toc409068449"/>
      <w:bookmarkStart w:id="149" w:name="_Toc409652043"/>
      <w:bookmarkStart w:id="150" w:name="_Toc236634837"/>
      <w:bookmarkStart w:id="151" w:name="_Toc357581389"/>
      <w:bookmarkEnd w:id="146"/>
      <w:bookmarkEnd w:id="147"/>
      <w:bookmarkEnd w:id="148"/>
      <w:bookmarkEnd w:id="149"/>
      <w:r w:rsidRPr="002605C3">
        <w:rPr>
          <w:szCs w:val="24"/>
        </w:rPr>
        <w:t xml:space="preserve">U ovom poglavlju HAKOM </w:t>
      </w:r>
      <w:r>
        <w:rPr>
          <w:szCs w:val="24"/>
        </w:rPr>
        <w:t>analizira</w:t>
      </w:r>
      <w:r w:rsidRPr="002605C3">
        <w:rPr>
          <w:szCs w:val="24"/>
        </w:rPr>
        <w:t xml:space="preserve"> moguće prepreke razvoju tržišnog natjecanja koje se u odsustvu regulacije, a u razdoblju na koje se odnosi analiza, mogu pojaviti na</w:t>
      </w:r>
      <w:r>
        <w:rPr>
          <w:szCs w:val="24"/>
        </w:rPr>
        <w:t xml:space="preserve"> ovom</w:t>
      </w:r>
      <w:r w:rsidRPr="002605C3">
        <w:rPr>
          <w:szCs w:val="24"/>
        </w:rPr>
        <w:t xml:space="preserve"> mjerodav</w:t>
      </w:r>
      <w:r>
        <w:rPr>
          <w:szCs w:val="24"/>
        </w:rPr>
        <w:t>nom tržištu</w:t>
      </w:r>
      <w:r w:rsidRPr="002605C3">
        <w:rPr>
          <w:szCs w:val="24"/>
        </w:rPr>
        <w:t>. Prepreke razvoju tržišnog natjecanja mogu proizaći iz sposobnosti ili namjere operatora da na tržištu iskoristi svoj visoki tržišni udjel, odnosno dominantni položaj.</w:t>
      </w:r>
    </w:p>
    <w:p w:rsidR="00876B1F" w:rsidRPr="002605C3" w:rsidRDefault="00876B1F" w:rsidP="00876B1F">
      <w:pPr>
        <w:jc w:val="both"/>
        <w:rPr>
          <w:szCs w:val="24"/>
        </w:rPr>
      </w:pPr>
    </w:p>
    <w:p w:rsidR="00876B1F" w:rsidRPr="002605C3" w:rsidRDefault="00876B1F" w:rsidP="00876B1F">
      <w:pPr>
        <w:jc w:val="both"/>
        <w:rPr>
          <w:szCs w:val="24"/>
        </w:rPr>
      </w:pPr>
      <w:r>
        <w:rPr>
          <w:szCs w:val="24"/>
        </w:rPr>
        <w:t>P</w:t>
      </w:r>
      <w:r w:rsidRPr="002605C3">
        <w:rPr>
          <w:szCs w:val="24"/>
        </w:rPr>
        <w:t>ostoje tri strategije vertikalnog prenošenja značajne tržišne snage</w:t>
      </w:r>
      <w:r>
        <w:rPr>
          <w:rStyle w:val="FootnoteReference"/>
          <w:szCs w:val="24"/>
        </w:rPr>
        <w:footnoteReference w:id="24"/>
      </w:r>
      <w:r w:rsidRPr="002605C3">
        <w:rPr>
          <w:szCs w:val="24"/>
        </w:rPr>
        <w:t>:</w:t>
      </w:r>
    </w:p>
    <w:p w:rsidR="00876B1F" w:rsidRPr="002605C3" w:rsidRDefault="00876B1F" w:rsidP="00876B1F">
      <w:pPr>
        <w:jc w:val="both"/>
        <w:rPr>
          <w:szCs w:val="24"/>
        </w:rPr>
      </w:pPr>
      <w:r w:rsidRPr="002605C3">
        <w:rPr>
          <w:szCs w:val="24"/>
        </w:rPr>
        <w:t>•</w:t>
      </w:r>
      <w:r w:rsidRPr="002605C3">
        <w:rPr>
          <w:szCs w:val="24"/>
        </w:rPr>
        <w:tab/>
        <w:t>odbijanje dogovora/uskraćivanje pristupa,</w:t>
      </w:r>
    </w:p>
    <w:p w:rsidR="00876B1F" w:rsidRPr="002605C3" w:rsidRDefault="00876B1F" w:rsidP="00876B1F">
      <w:pPr>
        <w:jc w:val="both"/>
        <w:rPr>
          <w:szCs w:val="24"/>
        </w:rPr>
      </w:pPr>
      <w:r w:rsidRPr="002605C3">
        <w:rPr>
          <w:szCs w:val="24"/>
        </w:rPr>
        <w:t>•</w:t>
      </w:r>
      <w:r w:rsidRPr="002605C3">
        <w:rPr>
          <w:szCs w:val="24"/>
        </w:rPr>
        <w:tab/>
        <w:t>prenošenje značajne tržišne snage na osnovama koje nisu povezane s cijenama,</w:t>
      </w:r>
    </w:p>
    <w:p w:rsidR="00876B1F" w:rsidRPr="002605C3" w:rsidRDefault="00876B1F" w:rsidP="00876B1F">
      <w:pPr>
        <w:jc w:val="both"/>
        <w:rPr>
          <w:szCs w:val="24"/>
        </w:rPr>
      </w:pPr>
      <w:r w:rsidRPr="002605C3">
        <w:rPr>
          <w:szCs w:val="24"/>
        </w:rPr>
        <w:t>•</w:t>
      </w:r>
      <w:r w:rsidRPr="002605C3">
        <w:rPr>
          <w:szCs w:val="24"/>
        </w:rPr>
        <w:tab/>
        <w:t>prenošenje značajne tržišne snage na osnovama vezanim uz cijene.</w:t>
      </w:r>
    </w:p>
    <w:p w:rsidR="00876B1F" w:rsidRPr="002605C3" w:rsidRDefault="00876B1F" w:rsidP="00876B1F">
      <w:pPr>
        <w:jc w:val="both"/>
        <w:rPr>
          <w:szCs w:val="24"/>
        </w:rPr>
      </w:pPr>
    </w:p>
    <w:p w:rsidR="00876B1F" w:rsidRDefault="00876B1F" w:rsidP="00876B1F">
      <w:pPr>
        <w:jc w:val="both"/>
        <w:rPr>
          <w:szCs w:val="24"/>
        </w:rPr>
      </w:pPr>
      <w:r w:rsidRPr="002605C3">
        <w:rPr>
          <w:szCs w:val="24"/>
        </w:rPr>
        <w:t>Stoga je</w:t>
      </w:r>
      <w:r>
        <w:rPr>
          <w:szCs w:val="24"/>
        </w:rPr>
        <w:t xml:space="preserve">, sukladno navedenoj podjeli, </w:t>
      </w:r>
      <w:r w:rsidRPr="002605C3">
        <w:rPr>
          <w:szCs w:val="24"/>
        </w:rPr>
        <w:t xml:space="preserve">HAKOM </w:t>
      </w:r>
      <w:r>
        <w:rPr>
          <w:szCs w:val="24"/>
        </w:rPr>
        <w:t xml:space="preserve">u nastavku opisao </w:t>
      </w:r>
      <w:r w:rsidRPr="002605C3">
        <w:rPr>
          <w:szCs w:val="24"/>
        </w:rPr>
        <w:t>prepreke razvoju tržišnog natjecan</w:t>
      </w:r>
      <w:r>
        <w:rPr>
          <w:szCs w:val="24"/>
        </w:rPr>
        <w:t xml:space="preserve">ja na ovom mjerodavnom tržištu </w:t>
      </w:r>
      <w:r w:rsidRPr="002605C3">
        <w:rPr>
          <w:szCs w:val="24"/>
        </w:rPr>
        <w:t>za koje smatra da su moguće u odsustvu regulaci</w:t>
      </w:r>
      <w:r>
        <w:rPr>
          <w:szCs w:val="24"/>
        </w:rPr>
        <w:t>je.</w:t>
      </w:r>
    </w:p>
    <w:p w:rsidR="00723B8D" w:rsidRPr="00730E6E" w:rsidRDefault="00723B8D" w:rsidP="00ED4D44">
      <w:pPr>
        <w:pStyle w:val="Heading2"/>
      </w:pPr>
      <w:bookmarkStart w:id="152" w:name="_Toc524984026"/>
      <w:bookmarkStart w:id="153" w:name="_Toc525073005"/>
      <w:bookmarkStart w:id="154" w:name="_Toc525729850"/>
      <w:r w:rsidRPr="00D65505">
        <w:t>Odbijanje dogovora /uskraćivanje međupovezivanja</w:t>
      </w:r>
      <w:bookmarkEnd w:id="150"/>
      <w:bookmarkEnd w:id="151"/>
      <w:bookmarkEnd w:id="152"/>
      <w:bookmarkEnd w:id="153"/>
      <w:bookmarkEnd w:id="154"/>
    </w:p>
    <w:p w:rsidR="00260420" w:rsidRPr="00521266" w:rsidRDefault="00260420" w:rsidP="00260420">
      <w:pPr>
        <w:jc w:val="both"/>
      </w:pPr>
      <w:r w:rsidRPr="00521266">
        <w:t xml:space="preserve">U europskoj sudskoj praksi odbijanje dogovora/uskraćivanje pristupa se ne odnosi samo na situaciju u kojoj operator sa značajnom tržišnom snagom u potpunosti odbija pružiti/ponuditi veleprodajnu uslugu, nego i na situaciju u kojoj je operator sa značajnom tržišnom snagom spreman ponuditi uslugu, ali pod nerazumnim/neopravdanim uvjetima. U ovom dijelu se opisuje samo potpuno odbijanje dogovora ili uskraćivanje pristupa (putem određene veleprodajne usluge), dok se drugi dio iz navedenog primjera opisuje pod ostalim preprekama razvoju tržišnog natjecanja kao </w:t>
      </w:r>
      <w:r w:rsidR="00521266">
        <w:t>npr.</w:t>
      </w:r>
      <w:r w:rsidRPr="00521266">
        <w:t xml:space="preserve"> neoprav</w:t>
      </w:r>
      <w:r w:rsidR="00662598">
        <w:t>dani zahtjevi, previsoke cijene</w:t>
      </w:r>
      <w:r w:rsidRPr="00521266">
        <w:t xml:space="preserve"> i sl.</w:t>
      </w:r>
    </w:p>
    <w:p w:rsidR="00260420" w:rsidRPr="00521266" w:rsidRDefault="00260420" w:rsidP="00260420">
      <w:pPr>
        <w:jc w:val="both"/>
      </w:pPr>
    </w:p>
    <w:p w:rsidR="00260420" w:rsidRPr="00521266" w:rsidRDefault="00260420" w:rsidP="00260420">
      <w:pPr>
        <w:jc w:val="both"/>
      </w:pPr>
      <w:r w:rsidRPr="00521266">
        <w:t xml:space="preserve">U odsustvu regulacije, operator sa značajnom tržišnom snagom na tržištu veleprodajnog završavanja </w:t>
      </w:r>
      <w:r w:rsidR="007E4538">
        <w:t>poziva</w:t>
      </w:r>
      <w:r w:rsidRPr="00521266">
        <w:t xml:space="preserve"> u vlastitu javnu telefonsku mrežu koja se pruža na fiksnoj lokaciji, mogao bi odbiti zahtjev za međupovezivanje, odnosno, mogao bi postojećim operatorima na tržištu uskratiti već ostvareno međupovezivanje. </w:t>
      </w:r>
    </w:p>
    <w:p w:rsidR="00260420" w:rsidRPr="00521266" w:rsidRDefault="00260420" w:rsidP="00260420">
      <w:pPr>
        <w:jc w:val="both"/>
      </w:pPr>
    </w:p>
    <w:p w:rsidR="00260420" w:rsidRPr="00521266" w:rsidRDefault="00260420" w:rsidP="00260420">
      <w:pPr>
        <w:jc w:val="both"/>
        <w:rPr>
          <w:rStyle w:val="CommentReference"/>
        </w:rPr>
      </w:pPr>
      <w:r w:rsidRPr="00965731">
        <w:t>U slučaju da postojeći operatori na tržištu nemaju potpisan ugovor o međupovezivanju najviše bi štete bilo naneseno operatorima koji imaju mali postotak prometa koji ostvaruju unutar vlastite mreže. U navedenom bi slučaju</w:t>
      </w:r>
      <w:r w:rsidRPr="00965731">
        <w:rPr>
          <w:rStyle w:val="CommentReference"/>
          <w:lang w:val="x-none"/>
        </w:rPr>
        <w:t> </w:t>
      </w:r>
      <w:r w:rsidRPr="00965731">
        <w:rPr>
          <w:lang w:val="x-none"/>
        </w:rPr>
        <w:t xml:space="preserve"> </w:t>
      </w:r>
      <w:r w:rsidRPr="00965731">
        <w:t>postojeći operatori na tržištu, zbog izrazito ograničenih mogućnosti poslovanja bili prisiljeni prestati nuditi svoje usluge na tržištu.</w:t>
      </w:r>
      <w:r w:rsidRPr="00521266">
        <w:t xml:space="preserve"> Bez ugovora o međupovezivanju, poslovanje novih (i postojećih) operatora bilo bi ograničeno iz razloga što bi svoje usluge mogli ponuditi samo između vlastitih korisnika, a navedeno se ne može smatrati dovoljnim za održiv poslovni model. Ako bi se navedeno dogodilo, odnosno ako bi </w:t>
      </w:r>
      <w:r w:rsidR="0051396F">
        <w:t xml:space="preserve">operatori sa značajnom snagom </w:t>
      </w:r>
      <w:r w:rsidRPr="00521266">
        <w:t>uskrati</w:t>
      </w:r>
      <w:r w:rsidR="0051396F">
        <w:t>li</w:t>
      </w:r>
      <w:r w:rsidRPr="00521266">
        <w:t xml:space="preserve"> međupovezivanje novim operatorima bio bi upitan ulazak potencijalnih konkurenata na tržište, a s obzirom da upravo novi operatori na maloprodajnim tržištima dovode do povećanja konkurencije i smanjenja cijena, spomenuta situacija bi se negativno odrazila na stupanj ukupnog tržišnog natjecanja.</w:t>
      </w:r>
    </w:p>
    <w:p w:rsidR="00260420" w:rsidRPr="00521266" w:rsidRDefault="00260420" w:rsidP="00260420">
      <w:pPr>
        <w:jc w:val="both"/>
        <w:rPr>
          <w:sz w:val="22"/>
        </w:rPr>
      </w:pPr>
    </w:p>
    <w:p w:rsidR="00260420" w:rsidRPr="00521266" w:rsidRDefault="00260420" w:rsidP="000C5040">
      <w:pPr>
        <w:jc w:val="both"/>
        <w:rPr>
          <w:rFonts w:ascii="Times New Roman" w:eastAsia="Times New Roman" w:hAnsi="Times New Roman"/>
          <w:szCs w:val="24"/>
        </w:rPr>
      </w:pPr>
      <w:r w:rsidRPr="00521266">
        <w:lastRenderedPageBreak/>
        <w:t xml:space="preserve">Na sličan način, uskraćivanjem međupovezivanja bilo postojećim ili novim operatorima došlo bi također do narušavanja </w:t>
      </w:r>
      <w:proofErr w:type="spellStart"/>
      <w:r w:rsidRPr="00521266">
        <w:t>interoperabilnosti</w:t>
      </w:r>
      <w:proofErr w:type="spellEnd"/>
      <w:r w:rsidRPr="00521266">
        <w:t xml:space="preserve"> između korisnika usluga različitih operatora, jer korisnici jednog operatora ne bi bili u mogućnosti komunicirati s korisnicima drugog operatora. </w:t>
      </w:r>
    </w:p>
    <w:p w:rsidR="00662598" w:rsidRPr="002605C3" w:rsidRDefault="00662598" w:rsidP="00ED4D44">
      <w:pPr>
        <w:pStyle w:val="Heading2"/>
      </w:pPr>
      <w:bookmarkStart w:id="155" w:name="_Toc524978484"/>
      <w:bookmarkStart w:id="156" w:name="_Toc524984027"/>
      <w:bookmarkStart w:id="157" w:name="_Toc525073006"/>
      <w:bookmarkStart w:id="158" w:name="_Toc525729851"/>
      <w:bookmarkStart w:id="159" w:name="_Toc236634838"/>
      <w:bookmarkStart w:id="160" w:name="_Toc357581390"/>
      <w:r w:rsidRPr="00DA24D9">
        <w:t>Prenošenje</w:t>
      </w:r>
      <w:r w:rsidRPr="002605C3">
        <w:t xml:space="preserve"> značajne tržišne snage na osnovama nevezanim uz cijene</w:t>
      </w:r>
      <w:bookmarkEnd w:id="155"/>
      <w:bookmarkEnd w:id="156"/>
      <w:bookmarkEnd w:id="157"/>
      <w:bookmarkEnd w:id="158"/>
    </w:p>
    <w:p w:rsidR="00FD4DBE" w:rsidRDefault="00FD4DBE" w:rsidP="00FD4DBE">
      <w:pPr>
        <w:jc w:val="both"/>
        <w:rPr>
          <w:rFonts w:ascii="Calibri" w:eastAsia="Times New Roman" w:hAnsi="Calibri" w:cs="Calibri"/>
        </w:rPr>
      </w:pPr>
      <w:r w:rsidRPr="00E07861">
        <w:rPr>
          <w:rFonts w:ascii="Calibri" w:eastAsia="Times New Roman" w:hAnsi="Calibri" w:cs="Calibri"/>
        </w:rPr>
        <w:t>Svi oblici diskriminacije koji nisu povezani s cijenama,</w:t>
      </w:r>
      <w:r>
        <w:rPr>
          <w:rFonts w:ascii="Calibri" w:eastAsia="Times New Roman" w:hAnsi="Calibri" w:cs="Calibri"/>
        </w:rPr>
        <w:t xml:space="preserve"> </w:t>
      </w:r>
      <w:r w:rsidRPr="00E07861">
        <w:rPr>
          <w:rFonts w:ascii="Calibri" w:eastAsia="Times New Roman" w:hAnsi="Calibri" w:cs="Calibri"/>
        </w:rPr>
        <w:t>poput diskriminacije u uvjetima, kvaliteti, rokovima ili informacijama</w:t>
      </w:r>
      <w:r>
        <w:rPr>
          <w:rFonts w:ascii="Calibri" w:eastAsia="Times New Roman" w:hAnsi="Calibri" w:cs="Calibri"/>
        </w:rPr>
        <w:t>,</w:t>
      </w:r>
      <w:r w:rsidRPr="00E07861">
        <w:rPr>
          <w:rFonts w:ascii="Calibri" w:eastAsia="Times New Roman" w:hAnsi="Calibri" w:cs="Calibri"/>
        </w:rPr>
        <w:t xml:space="preserve"> a koji se mogu pojaviti na tržištu direktno utječu na podizanje troškova konkurencije odnosno mogu ostale operatore dovesti u nepovoljan položaj te ih u konačnici i prisiliti da prestanu</w:t>
      </w:r>
      <w:r>
        <w:rPr>
          <w:rFonts w:ascii="Calibri" w:eastAsia="Times New Roman" w:hAnsi="Calibri" w:cs="Calibri"/>
        </w:rPr>
        <w:t xml:space="preserve"> nuditi svoje usluge na tržištu</w:t>
      </w:r>
      <w:r w:rsidR="005C51AD">
        <w:rPr>
          <w:rFonts w:ascii="Calibri" w:eastAsia="Times New Roman" w:hAnsi="Calibri" w:cs="Calibri"/>
        </w:rPr>
        <w:t>.</w:t>
      </w:r>
    </w:p>
    <w:p w:rsidR="00FD4DBE" w:rsidRDefault="00FD4DBE" w:rsidP="00FD4DBE">
      <w:pPr>
        <w:jc w:val="both"/>
        <w:rPr>
          <w:rFonts w:ascii="Calibri" w:eastAsia="Times New Roman" w:hAnsi="Calibri" w:cs="Calibri"/>
        </w:rPr>
      </w:pPr>
    </w:p>
    <w:p w:rsidR="00FD4DBE" w:rsidRDefault="00FD4DBE" w:rsidP="00FD4DBE">
      <w:pPr>
        <w:jc w:val="both"/>
      </w:pPr>
      <w:r w:rsidRPr="00FD4DBE">
        <w:rPr>
          <w:rStyle w:val="SubtitleChar"/>
        </w:rPr>
        <w:t>Diskriminirajuće korištenje informacija ili uskraćivanje informacija</w:t>
      </w:r>
      <w:r w:rsidRPr="00FD4DBE">
        <w:t xml:space="preserve"> </w:t>
      </w:r>
      <w:r w:rsidR="003C15BB">
        <w:t>predstavlja</w:t>
      </w:r>
      <w:r>
        <w:t xml:space="preserve"> situaci</w:t>
      </w:r>
      <w:r w:rsidR="00776048">
        <w:t>ju</w:t>
      </w:r>
      <w:r>
        <w:t xml:space="preserve"> u kojoj operator sa značajnom tržišnom snagom na veleprodajnom tržištu pruža informacije važne za pružanje usluga na maloprodajnom tržištu svome maloprodajnom dijelu  ili povezanim društvima, a iste ne pruža postojećim ili potencijalnim konkurentima na pripadajućem maloprodajnom tržištu, čime utječe na korištenje veleprodajne usluge i na konkurentnost na maloprodajnoj razini.</w:t>
      </w:r>
    </w:p>
    <w:p w:rsidR="00FD4DBE" w:rsidRDefault="00FD4DBE" w:rsidP="00FD4DBE">
      <w:pPr>
        <w:jc w:val="both"/>
      </w:pPr>
    </w:p>
    <w:p w:rsidR="00FD4DBE" w:rsidRDefault="00FD4DBE" w:rsidP="00FD4DBE">
      <w:pPr>
        <w:jc w:val="both"/>
      </w:pPr>
      <w:r>
        <w:t>HAKOM smatra da bi, u odsustvu regulacije, operator sa značajnom tržišnom snagom mogao svojim konkurentima na pripadajućem maloprodajnom tržištu uskraćivati važne informacije i tako utjecati na njihovu konkurentnost na maloprodajnoj razini. Naime, promjene u topologiji mreže operatora sa značajnom tržišnom snagom mogle bi zahtijevati i određene promjene u pružanju usluge veleprodajnog završavanja poziva u mrežu drugih operatora, kao jedne od usluga međupovezivanja te bi operator sa značajnom tržišnom snagom bez odgovarajuće obveze, mogao uskratiti informacije o planiranim promjenama u mreži/topologiji mreže svojim postojećim i potencijalnim konkurentima, odnosno na taj način dovesti vlastiti maloprodajni dio i povezana društva u povoljniji položaj na pripadajućem maloprodajnom tržištu. Navedenim postupcima posljedično bi došlo do povećavanja trošk</w:t>
      </w:r>
      <w:r w:rsidR="00776048">
        <w:t>ova drugih operatora, a što bi moglo dovesti</w:t>
      </w:r>
      <w:r>
        <w:t xml:space="preserve"> do njihovog izlaska s tržišta. Na navedeni način došlo bi do vertikalnog pren</w:t>
      </w:r>
      <w:r w:rsidR="00965731">
        <w:t xml:space="preserve">ošenja značajne tržišne snage </w:t>
      </w:r>
      <w:r>
        <w:t>na pripadajuće maloprodajno tržište.</w:t>
      </w:r>
    </w:p>
    <w:p w:rsidR="00492ED3" w:rsidRDefault="00492ED3" w:rsidP="00FD4DBE">
      <w:pPr>
        <w:jc w:val="both"/>
      </w:pPr>
    </w:p>
    <w:p w:rsidR="00492ED3" w:rsidRDefault="00492ED3" w:rsidP="00492ED3">
      <w:pPr>
        <w:jc w:val="both"/>
      </w:pPr>
      <w:r w:rsidRPr="00492ED3">
        <w:rPr>
          <w:rStyle w:val="SubtitleChar"/>
        </w:rPr>
        <w:t>Taktike odgađanja</w:t>
      </w:r>
      <w:r>
        <w:t xml:space="preserve"> se odnose na situacije u kojima operator sa značajnom tržišnom snagom ne odbija pružanje pripadajuće veleprodajne usluge, ali istu pruža sa zakašnjenjem u odnosu na svoj maloprodajni dio (vlastite potrebe) ili povezana društva, te na taj način dovodi sadašnje i potencijalne konkurente u neravnopravan položaj na pripadajućem maloprodajnom tržištu iz razloga što je usluga veleprodajnog završavanja poziva, uzevši u obzir potrebe krajnjih korisnika, neophodna za pružanje usluge istima.</w:t>
      </w:r>
    </w:p>
    <w:p w:rsidR="00492ED3" w:rsidRDefault="00492ED3" w:rsidP="00492ED3">
      <w:pPr>
        <w:jc w:val="both"/>
      </w:pPr>
    </w:p>
    <w:p w:rsidR="00492ED3" w:rsidRDefault="00492ED3" w:rsidP="00492ED3">
      <w:pPr>
        <w:jc w:val="both"/>
      </w:pPr>
      <w:r>
        <w:t xml:space="preserve">HAKOM smatra da bi operatori sa značajnom tržišnom snagom, u odsustvu regulacije, mogli koristiti taktike odgađanja u pregovorima s potencijalnim novim operatorima koji ulaze na tržište. Naime, operator sa značajnom tržišnom snagom ne bi nužno morao odbijati potpisati ugovor o međupovezivanju s novim operatorom/operatorima na tržištu, već bi mogao pokušavati što je moguće duže odgoditi potpisivanje navedenog ugovora s ciljem očuvanja svog tržišnog udjela na pripadajućem maloprodajnom tržištu. U tom slučaju potencijalni </w:t>
      </w:r>
      <w:r>
        <w:lastRenderedPageBreak/>
        <w:t>konkurenti na pripadajućem maloprodajnom tržištu ne bi na vrijeme mogli ponuditi uslugu svojim krajnjim korisnicima čime bi i njihov poslovni plan bio ugrožen.</w:t>
      </w:r>
    </w:p>
    <w:p w:rsidR="00492ED3" w:rsidRDefault="00492ED3" w:rsidP="00492ED3">
      <w:pPr>
        <w:jc w:val="both"/>
      </w:pPr>
      <w:r>
        <w:t>U slučaju da se dogodi gore navedeno ponašanje operatora sa značajnom tržišnom snagom na predmetnom bi tržištu došlo do onemogućavanja novih operatora u ponudi usluga na maloprodajnoj i veleprodajnoj razini, što bi posljedično uzrokovalo probleme u poslovanju i njihov izlazak s tržišta. Na taj način, došlo bi do prenošenja značajne tržišne snage s veleprodajnog tržišta koje je predmet ovog dokumenta na vertikalno povezano maloprodajno tržište.</w:t>
      </w:r>
    </w:p>
    <w:p w:rsidR="00492ED3" w:rsidRDefault="00492ED3" w:rsidP="00492ED3">
      <w:pPr>
        <w:jc w:val="both"/>
      </w:pPr>
    </w:p>
    <w:p w:rsidR="00492ED3" w:rsidRDefault="00492ED3" w:rsidP="00492ED3">
      <w:pPr>
        <w:jc w:val="both"/>
      </w:pPr>
      <w:r w:rsidRPr="00492ED3">
        <w:rPr>
          <w:rStyle w:val="SubtitleChar"/>
        </w:rPr>
        <w:t>Neopravdani zahtjevi</w:t>
      </w:r>
      <w:r>
        <w:t xml:space="preserve"> se odnose na sve uvjete ugovora o međupovezivanju vezane uz pružanje veleprodajne usluge, a koji nisu neophodni za pružanje veleprodajne usluge, ali podižu troškove i troše vrijeme postojećih i potencijalnih konkurenata na veleprodajnom i maloprodajnom tržištu.</w:t>
      </w:r>
    </w:p>
    <w:p w:rsidR="00492ED3" w:rsidRDefault="00492ED3" w:rsidP="00492ED3">
      <w:pPr>
        <w:jc w:val="both"/>
      </w:pPr>
    </w:p>
    <w:p w:rsidR="00492ED3" w:rsidRDefault="00492ED3" w:rsidP="00492ED3">
      <w:pPr>
        <w:jc w:val="both"/>
      </w:pPr>
      <w:r>
        <w:t>HAKOM smatra kako bi operatori sa značajnom tržišnom snagom, u odsustvu regulacije, mogli koristiti razne oblike neopravdanih zahtjeva kojima bi mogao utjecati na poslovne odluke i troškove postojećih i potencijalnih konkurenata. Naime, operatori sa značajnom tržišnom snagom, u odsustvu regulacije, mogli bi nametnuti postojećim i potencijalnim konkurentima na vertikalno povezanom veleprodajnom i maloprodajnom tržištu razne oblike neopravdanih instrumenata osiguranja plaćanja, s obzirom na uvjete i iznos ili neopravdano poticati korištenje skupljih tehnologija za pružanje usluge veleprodajnog završavanja poziva i to samo iz razloga podizanja troškova postojećih i potencijalnih konkurenata.</w:t>
      </w:r>
    </w:p>
    <w:p w:rsidR="00492ED3" w:rsidRDefault="00492ED3" w:rsidP="00492ED3">
      <w:pPr>
        <w:jc w:val="both"/>
      </w:pPr>
    </w:p>
    <w:p w:rsidR="00492ED3" w:rsidRDefault="00492ED3" w:rsidP="00492ED3">
      <w:pPr>
        <w:jc w:val="both"/>
      </w:pPr>
      <w:r>
        <w:t xml:space="preserve">Isto tako, operatori sa značajnom tržišnom snagom bi mogli tražiti razinu informacija o potrebama za uslugom veleprodajnog završavanja poziva, iznad razine koja je potrebna i tehnički opravdana za pružanje navedene usluge. Iz navedenog bi mogle proizaći prednosti za operatore sa značajnom tržišnom snagom koji bi mogli ciljati na korisnike koji su predmet interesa novih operatora. </w:t>
      </w:r>
    </w:p>
    <w:p w:rsidR="00492ED3" w:rsidRDefault="00492ED3" w:rsidP="00492ED3">
      <w:pPr>
        <w:jc w:val="both"/>
      </w:pPr>
    </w:p>
    <w:p w:rsidR="00492ED3" w:rsidRDefault="00492ED3" w:rsidP="00492ED3">
      <w:pPr>
        <w:jc w:val="both"/>
        <w:rPr>
          <w:rFonts w:ascii="Calibri" w:eastAsia="Times New Roman" w:hAnsi="Calibri" w:cs="Calibri"/>
        </w:rPr>
      </w:pPr>
      <w:r w:rsidRPr="00492ED3">
        <w:rPr>
          <w:rStyle w:val="SubtitleChar"/>
        </w:rPr>
        <w:t>Diskriminacija kakvoćom usluge</w:t>
      </w:r>
      <w:r w:rsidR="00DB7CDB">
        <w:rPr>
          <w:rFonts w:ascii="Calibri" w:eastAsia="Times New Roman" w:hAnsi="Calibri" w:cs="Calibri"/>
        </w:rPr>
        <w:t xml:space="preserve"> odnosi se na </w:t>
      </w:r>
      <w:r w:rsidRPr="0005566C">
        <w:rPr>
          <w:rFonts w:ascii="Calibri" w:eastAsia="Times New Roman" w:hAnsi="Calibri" w:cs="Calibri"/>
        </w:rPr>
        <w:t xml:space="preserve">mogućnost da u slučaju pada mreže ili problema u mreži, operator sa značajnom tržišnom snagom daje prioritet u završavanju </w:t>
      </w:r>
      <w:r>
        <w:rPr>
          <w:rFonts w:ascii="Calibri" w:eastAsia="Times New Roman" w:hAnsi="Calibri" w:cs="Calibri"/>
        </w:rPr>
        <w:t>poziva</w:t>
      </w:r>
      <w:r w:rsidRPr="0005566C">
        <w:rPr>
          <w:rFonts w:ascii="Calibri" w:eastAsia="Times New Roman" w:hAnsi="Calibri" w:cs="Calibri"/>
        </w:rPr>
        <w:t xml:space="preserve"> upućenih iz vlastite mreže ili mreže povezanog društva na štetu poziva upućenih iz drugih mreža. </w:t>
      </w:r>
    </w:p>
    <w:p w:rsidR="00DB7CDB" w:rsidRDefault="00DB7CDB" w:rsidP="00492ED3">
      <w:pPr>
        <w:jc w:val="both"/>
        <w:rPr>
          <w:rFonts w:ascii="Calibri" w:eastAsia="Times New Roman" w:hAnsi="Calibri" w:cs="Calibri"/>
        </w:rPr>
      </w:pPr>
    </w:p>
    <w:p w:rsidR="00DB7CDB" w:rsidRPr="002605C3" w:rsidRDefault="00DB7CDB" w:rsidP="00ED4D44">
      <w:pPr>
        <w:pStyle w:val="Heading2"/>
      </w:pPr>
      <w:bookmarkStart w:id="161" w:name="_Toc524984028"/>
      <w:bookmarkStart w:id="162" w:name="_Toc525073007"/>
      <w:bookmarkStart w:id="163" w:name="_Toc525729852"/>
      <w:r w:rsidRPr="00DA24D9">
        <w:t>Prenošenje</w:t>
      </w:r>
      <w:r w:rsidRPr="002605C3">
        <w:t xml:space="preserve"> značajne tržišne snage na osnovama vezanim uz cijene</w:t>
      </w:r>
      <w:bookmarkEnd w:id="161"/>
      <w:bookmarkEnd w:id="162"/>
      <w:bookmarkEnd w:id="163"/>
    </w:p>
    <w:bookmarkEnd w:id="159"/>
    <w:bookmarkEnd w:id="160"/>
    <w:p w:rsidR="00930280" w:rsidRPr="00930280" w:rsidRDefault="00930280" w:rsidP="00930280">
      <w:pPr>
        <w:jc w:val="both"/>
        <w:rPr>
          <w:rFonts w:ascii="Calibri" w:eastAsia="Times New Roman" w:hAnsi="Calibri" w:cs="Calibri"/>
        </w:rPr>
      </w:pPr>
      <w:r w:rsidRPr="00DB7CDB">
        <w:rPr>
          <w:rStyle w:val="SubtitleChar"/>
        </w:rPr>
        <w:t xml:space="preserve">Previsoke cijene </w:t>
      </w:r>
      <w:r w:rsidR="00F26C45" w:rsidRPr="00DB7CDB">
        <w:rPr>
          <w:rStyle w:val="SubtitleChar"/>
        </w:rPr>
        <w:t xml:space="preserve">veleprodajnog završavanja </w:t>
      </w:r>
      <w:r w:rsidR="007E4538" w:rsidRPr="00DB7CDB">
        <w:rPr>
          <w:rStyle w:val="SubtitleChar"/>
        </w:rPr>
        <w:t>poziva</w:t>
      </w:r>
      <w:r w:rsidRPr="00930280">
        <w:rPr>
          <w:rFonts w:ascii="Calibri" w:eastAsia="Times New Roman" w:hAnsi="Calibri" w:cs="Calibri"/>
        </w:rPr>
        <w:t xml:space="preserve"> kao oblik iskorištavanja dominantnog položaja odnosi se na situaciju u kojoj je operator sa značajnom tržišnom snagom, zbog postojanja CPP principa, motiviran povećati cijene usluge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930280">
        <w:rPr>
          <w:rFonts w:ascii="Calibri" w:eastAsia="Times New Roman" w:hAnsi="Calibri" w:cs="Calibri"/>
        </w:rPr>
        <w:t xml:space="preserve"> u vlastitu mrežu budući da navedeni potez nema nikakvog utjecaja na maloprodajne cijene njegovih krajnjih korisnika, odnosno podizanje cijena neće se prebaciti na njegove krajnje korisnike, već će samo povećati troškove drugih operatora koji navedenu veleprodajnu uslugu koriste.</w:t>
      </w:r>
    </w:p>
    <w:p w:rsidR="00930280" w:rsidRPr="00930280" w:rsidRDefault="00930280" w:rsidP="00930280">
      <w:pPr>
        <w:jc w:val="both"/>
        <w:rPr>
          <w:rFonts w:ascii="Calibri" w:eastAsia="Times New Roman" w:hAnsi="Calibri" w:cs="Calibri"/>
        </w:rPr>
      </w:pPr>
    </w:p>
    <w:p w:rsidR="00930280" w:rsidRPr="00930280" w:rsidRDefault="00930280" w:rsidP="00930280">
      <w:pPr>
        <w:jc w:val="both"/>
        <w:rPr>
          <w:rFonts w:ascii="Calibri" w:eastAsia="Times New Roman" w:hAnsi="Calibri" w:cs="Calibri"/>
        </w:rPr>
      </w:pPr>
      <w:r w:rsidRPr="00930280">
        <w:rPr>
          <w:rFonts w:ascii="Calibri" w:eastAsia="Times New Roman" w:hAnsi="Calibri" w:cs="Calibri"/>
        </w:rPr>
        <w:t xml:space="preserve">Zabrinutost oko cijena postoji u situaciji gdje su one u odsustvu regulacije postavljene trajno na visokoj razini i bez djelotvornog pritiska (od strane novih operatora koji bi mogli ući na </w:t>
      </w:r>
      <w:r w:rsidRPr="00930280">
        <w:rPr>
          <w:rFonts w:ascii="Calibri" w:eastAsia="Times New Roman" w:hAnsi="Calibri" w:cs="Calibri"/>
        </w:rPr>
        <w:lastRenderedPageBreak/>
        <w:t>tržište odnosno postojećih operatora koji posluju na tržištu) koji bi ih u određenom razdoblju spustio na konkurentsku razinu.</w:t>
      </w:r>
    </w:p>
    <w:p w:rsidR="00930280" w:rsidRPr="00930280" w:rsidRDefault="00930280" w:rsidP="00930280">
      <w:pPr>
        <w:jc w:val="both"/>
        <w:rPr>
          <w:rFonts w:ascii="Calibri" w:eastAsia="Times New Roman" w:hAnsi="Calibri" w:cs="Calibri"/>
        </w:rPr>
      </w:pPr>
      <w:r w:rsidRPr="00930280">
        <w:rPr>
          <w:rFonts w:ascii="Calibri" w:eastAsia="Times New Roman" w:hAnsi="Calibri" w:cs="Calibri"/>
        </w:rPr>
        <w:t xml:space="preserve">Kao što je napisano u </w:t>
      </w:r>
      <w:r w:rsidR="00DB7CDB">
        <w:rPr>
          <w:rFonts w:ascii="Calibri" w:eastAsia="Times New Roman" w:hAnsi="Calibri" w:cs="Calibri"/>
        </w:rPr>
        <w:t>5</w:t>
      </w:r>
      <w:r w:rsidR="00460537">
        <w:rPr>
          <w:rFonts w:ascii="Calibri" w:eastAsia="Times New Roman" w:hAnsi="Calibri" w:cs="Calibri"/>
        </w:rPr>
        <w:t>.</w:t>
      </w:r>
      <w:r w:rsidRPr="00930280">
        <w:rPr>
          <w:rFonts w:ascii="Calibri" w:eastAsia="Times New Roman" w:hAnsi="Calibri" w:cs="Calibri"/>
        </w:rPr>
        <w:t xml:space="preserve"> poglavlju ovog dokumenta, poziv može završiti samo u mreži operatora čijeg se korisnika nazvalo i niti jedan operator nije u mogućnosti ponuditi završ</w:t>
      </w:r>
      <w:r w:rsidR="009911BA">
        <w:rPr>
          <w:rFonts w:ascii="Calibri" w:eastAsia="Times New Roman" w:hAnsi="Calibri" w:cs="Calibri"/>
        </w:rPr>
        <w:t xml:space="preserve">avanje </w:t>
      </w:r>
      <w:r w:rsidRPr="00930280">
        <w:rPr>
          <w:rFonts w:ascii="Calibri" w:eastAsia="Times New Roman" w:hAnsi="Calibri" w:cs="Calibri"/>
        </w:rPr>
        <w:t>poziva u svoju mrežu, a da istovremeno taj poziv zaprimi korisnik neke druge mreže. Drugim riječima, s obzirom da ne postoji zamjenjivost na strani ponude i potražnje, svaki od operatora</w:t>
      </w:r>
      <w:r w:rsidR="00776048">
        <w:rPr>
          <w:rFonts w:ascii="Calibri" w:eastAsia="Times New Roman" w:hAnsi="Calibri" w:cs="Calibri"/>
        </w:rPr>
        <w:t xml:space="preserve"> iz Privitka 2</w:t>
      </w:r>
      <w:r w:rsidRPr="00930280">
        <w:rPr>
          <w:rFonts w:ascii="Calibri" w:eastAsia="Times New Roman" w:hAnsi="Calibri" w:cs="Calibri"/>
        </w:rPr>
        <w:t xml:space="preserve"> ima stopostotni tržišni udio u svojoj mreži te je u mogućnosti postaviti cijenu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930280">
        <w:rPr>
          <w:rFonts w:ascii="Calibri" w:eastAsia="Times New Roman" w:hAnsi="Calibri" w:cs="Calibri"/>
        </w:rPr>
        <w:t xml:space="preserve"> na visoku razinu čime istovremeno povećava troškove ostalih operatora na tržištu i sukladno tome vlastite prihode. </w:t>
      </w:r>
    </w:p>
    <w:p w:rsidR="00930280" w:rsidRPr="00930280" w:rsidRDefault="00930280" w:rsidP="00930280">
      <w:pPr>
        <w:jc w:val="both"/>
        <w:rPr>
          <w:rFonts w:ascii="Calibri" w:eastAsia="Times New Roman" w:hAnsi="Calibri" w:cs="Calibri"/>
        </w:rPr>
      </w:pPr>
    </w:p>
    <w:p w:rsidR="00930280" w:rsidRPr="00930280" w:rsidRDefault="00930280" w:rsidP="00930280">
      <w:pPr>
        <w:jc w:val="both"/>
        <w:rPr>
          <w:rFonts w:ascii="Calibri" w:eastAsia="Times New Roman" w:hAnsi="Calibri" w:cs="Calibri"/>
          <w:highlight w:val="yellow"/>
        </w:rPr>
      </w:pPr>
      <w:r w:rsidRPr="00CA0169">
        <w:rPr>
          <w:rFonts w:ascii="Calibri" w:eastAsia="Times New Roman" w:hAnsi="Calibri" w:cs="Calibri"/>
        </w:rPr>
        <w:t xml:space="preserve">U Republici Hrvatskoj, kao što je napisano u poglavlju </w:t>
      </w:r>
      <w:r w:rsidR="00776048">
        <w:rPr>
          <w:rFonts w:ascii="Calibri" w:eastAsia="Times New Roman" w:hAnsi="Calibri" w:cs="Calibri"/>
        </w:rPr>
        <w:t>6.2</w:t>
      </w:r>
      <w:r w:rsidR="00DB7CDB">
        <w:rPr>
          <w:rFonts w:ascii="Calibri" w:eastAsia="Times New Roman" w:hAnsi="Calibri" w:cs="Calibri"/>
        </w:rPr>
        <w:t>.</w:t>
      </w:r>
      <w:r w:rsidRPr="00CA0169">
        <w:rPr>
          <w:rFonts w:ascii="Calibri" w:eastAsia="Times New Roman" w:hAnsi="Calibri" w:cs="Calibri"/>
        </w:rPr>
        <w:t xml:space="preserve"> ovog dokumenta, niti jedan od</w:t>
      </w:r>
      <w:r w:rsidRPr="00930280">
        <w:rPr>
          <w:rFonts w:ascii="Calibri" w:eastAsia="Times New Roman" w:hAnsi="Calibri" w:cs="Calibri"/>
        </w:rPr>
        <w:t xml:space="preserve"> operatora se ne nalazi u nepovoljnom položaju iako </w:t>
      </w:r>
      <w:r w:rsidR="00776048">
        <w:rPr>
          <w:rFonts w:ascii="Calibri" w:eastAsia="Times New Roman" w:hAnsi="Calibri" w:cs="Calibri"/>
        </w:rPr>
        <w:t>ostali</w:t>
      </w:r>
      <w:r w:rsidRPr="00930280">
        <w:rPr>
          <w:rFonts w:ascii="Calibri" w:eastAsia="Times New Roman" w:hAnsi="Calibri" w:cs="Calibri"/>
        </w:rPr>
        <w:t xml:space="preserve"> operatori, zbog slabije tržišne pozicije, imaju manju </w:t>
      </w:r>
      <w:proofErr w:type="spellStart"/>
      <w:r w:rsidRPr="00930280">
        <w:rPr>
          <w:rFonts w:ascii="Calibri" w:eastAsia="Times New Roman" w:hAnsi="Calibri" w:cs="Calibri"/>
        </w:rPr>
        <w:t>protutežnu</w:t>
      </w:r>
      <w:proofErr w:type="spellEnd"/>
      <w:r w:rsidRPr="00930280">
        <w:rPr>
          <w:rFonts w:ascii="Calibri" w:eastAsia="Times New Roman" w:hAnsi="Calibri" w:cs="Calibri"/>
        </w:rPr>
        <w:t xml:space="preserve"> kupovnu moć u odnosu na HT. </w:t>
      </w:r>
    </w:p>
    <w:p w:rsidR="00930280" w:rsidRPr="00930280" w:rsidRDefault="00930280" w:rsidP="00930280">
      <w:pPr>
        <w:jc w:val="both"/>
        <w:rPr>
          <w:rFonts w:ascii="Calibri" w:eastAsia="Times New Roman" w:hAnsi="Calibri" w:cs="Calibri"/>
        </w:rPr>
      </w:pPr>
    </w:p>
    <w:p w:rsidR="00723B8D" w:rsidRPr="0005566C" w:rsidRDefault="00930280" w:rsidP="00930280">
      <w:pPr>
        <w:jc w:val="both"/>
        <w:rPr>
          <w:rFonts w:ascii="Calibri" w:eastAsia="Times New Roman" w:hAnsi="Calibri" w:cs="Calibri"/>
        </w:rPr>
      </w:pPr>
      <w:r w:rsidRPr="00930280">
        <w:rPr>
          <w:rFonts w:ascii="Calibri" w:eastAsia="Times New Roman" w:hAnsi="Calibri" w:cs="Calibri"/>
        </w:rPr>
        <w:t>Slijedom svega navedenog, HAKOM je mišljenja kako su svi operatori sa značajnom tržišnom snagom na ovom mjerodavnom tržištu u mogućnosti iskoristiti navedeni status u odnosu na potencijalne nove operatore, a što bi dovelo do povećanja troškova novih operatora i mogućeg sprečavanja ulaska na tržište ili izlaska s tržišta.</w:t>
      </w:r>
    </w:p>
    <w:p w:rsidR="00DB7CDB" w:rsidRDefault="00DB7CDB" w:rsidP="00BE06E5">
      <w:pPr>
        <w:jc w:val="both"/>
        <w:rPr>
          <w:rFonts w:ascii="Calibri" w:eastAsia="Times New Roman" w:hAnsi="Calibri" w:cs="Calibri"/>
        </w:rPr>
      </w:pPr>
    </w:p>
    <w:p w:rsidR="00BE06E5" w:rsidRPr="00BE06E5" w:rsidRDefault="00BE06E5" w:rsidP="00BE06E5">
      <w:pPr>
        <w:jc w:val="both"/>
        <w:rPr>
          <w:rFonts w:ascii="Calibri" w:eastAsia="Times New Roman" w:hAnsi="Calibri" w:cs="Calibri"/>
        </w:rPr>
      </w:pPr>
      <w:r w:rsidRPr="00DB7CDB">
        <w:rPr>
          <w:rStyle w:val="SubtitleChar"/>
        </w:rPr>
        <w:t>Prešutni sporazum</w:t>
      </w:r>
      <w:r w:rsidRPr="00BE06E5">
        <w:rPr>
          <w:rFonts w:ascii="Calibri" w:eastAsia="Times New Roman" w:hAnsi="Calibri" w:cs="Calibri"/>
        </w:rPr>
        <w:t xml:space="preserve"> je jedan od problema koji se može pojaviti na tržištu u odsustvu regulacije. Karakterističan je za pozive koji su započeli i završili u pokretnim mrežama (</w:t>
      </w:r>
      <w:proofErr w:type="spellStart"/>
      <w:r w:rsidRPr="00BE06E5">
        <w:rPr>
          <w:rFonts w:ascii="Calibri" w:eastAsia="Times New Roman" w:hAnsi="Calibri" w:cs="Calibri"/>
        </w:rPr>
        <w:t>eng</w:t>
      </w:r>
      <w:proofErr w:type="spellEnd"/>
      <w:r w:rsidRPr="00BE06E5">
        <w:rPr>
          <w:rFonts w:ascii="Calibri" w:eastAsia="Times New Roman" w:hAnsi="Calibri" w:cs="Calibri"/>
        </w:rPr>
        <w:t xml:space="preserve">. </w:t>
      </w:r>
      <w:r w:rsidRPr="00BE06E5">
        <w:rPr>
          <w:rFonts w:ascii="Calibri" w:eastAsia="Times New Roman" w:hAnsi="Calibri" w:cs="Calibri"/>
          <w:i/>
        </w:rPr>
        <w:t xml:space="preserve">M2M </w:t>
      </w:r>
      <w:proofErr w:type="spellStart"/>
      <w:r w:rsidRPr="00BE06E5">
        <w:rPr>
          <w:rFonts w:ascii="Calibri" w:eastAsia="Times New Roman" w:hAnsi="Calibri" w:cs="Calibri"/>
          <w:i/>
        </w:rPr>
        <w:t>calls</w:t>
      </w:r>
      <w:proofErr w:type="spellEnd"/>
      <w:r w:rsidRPr="00BE06E5">
        <w:rPr>
          <w:rFonts w:ascii="Calibri" w:eastAsia="Times New Roman" w:hAnsi="Calibri" w:cs="Calibri"/>
          <w:i/>
        </w:rPr>
        <w:t xml:space="preserve">) </w:t>
      </w:r>
      <w:r w:rsidRPr="00BE06E5">
        <w:rPr>
          <w:rFonts w:ascii="Calibri" w:eastAsia="Times New Roman" w:hAnsi="Calibri" w:cs="Calibri"/>
        </w:rPr>
        <w:t>ili za pozive koji su započeli i završili u nepokretnim mrežama (</w:t>
      </w:r>
      <w:proofErr w:type="spellStart"/>
      <w:r w:rsidRPr="00BE06E5">
        <w:rPr>
          <w:rFonts w:ascii="Calibri" w:eastAsia="Times New Roman" w:hAnsi="Calibri" w:cs="Calibri"/>
        </w:rPr>
        <w:t>eng</w:t>
      </w:r>
      <w:proofErr w:type="spellEnd"/>
      <w:r w:rsidRPr="00BE06E5">
        <w:rPr>
          <w:rFonts w:ascii="Calibri" w:eastAsia="Times New Roman" w:hAnsi="Calibri" w:cs="Calibri"/>
        </w:rPr>
        <w:t xml:space="preserve">. </w:t>
      </w:r>
      <w:r w:rsidRPr="00BE06E5">
        <w:rPr>
          <w:rFonts w:ascii="Calibri" w:eastAsia="Times New Roman" w:hAnsi="Calibri" w:cs="Calibri"/>
          <w:i/>
        </w:rPr>
        <w:t xml:space="preserve">F2F </w:t>
      </w:r>
      <w:proofErr w:type="spellStart"/>
      <w:r w:rsidRPr="00BE06E5">
        <w:rPr>
          <w:rFonts w:ascii="Calibri" w:eastAsia="Times New Roman" w:hAnsi="Calibri" w:cs="Calibri"/>
          <w:i/>
        </w:rPr>
        <w:t>calls</w:t>
      </w:r>
      <w:proofErr w:type="spellEnd"/>
      <w:r w:rsidRPr="00BE06E5">
        <w:rPr>
          <w:rFonts w:ascii="Calibri" w:eastAsia="Times New Roman" w:hAnsi="Calibri" w:cs="Calibri"/>
        </w:rPr>
        <w:t xml:space="preserve">). Prešutni sporazum se može pojaviti u više različitih oblika, a jedan od njih je postavljanje recipročnih cijena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između svih ili određenih operatora </w:t>
      </w:r>
      <w:r w:rsidR="00AB25B0">
        <w:rPr>
          <w:rFonts w:ascii="Calibri" w:eastAsia="Times New Roman" w:hAnsi="Calibri" w:cs="Calibri"/>
        </w:rPr>
        <w:t>nepokretnih</w:t>
      </w:r>
      <w:r w:rsidRPr="00BE06E5">
        <w:rPr>
          <w:rFonts w:ascii="Calibri" w:eastAsia="Times New Roman" w:hAnsi="Calibri" w:cs="Calibri"/>
        </w:rPr>
        <w:t xml:space="preserve"> mreža.</w:t>
      </w:r>
    </w:p>
    <w:p w:rsidR="00BE06E5" w:rsidRPr="00BE06E5" w:rsidRDefault="00BE06E5" w:rsidP="00BE06E5">
      <w:pPr>
        <w:jc w:val="both"/>
        <w:rPr>
          <w:rFonts w:ascii="Calibri" w:eastAsia="Times New Roman" w:hAnsi="Calibri" w:cs="Calibri"/>
        </w:rPr>
      </w:pPr>
    </w:p>
    <w:p w:rsidR="00BE06E5" w:rsidRPr="00BE06E5" w:rsidRDefault="00BE06E5" w:rsidP="00BE06E5">
      <w:pPr>
        <w:jc w:val="both"/>
        <w:rPr>
          <w:rFonts w:ascii="Calibri" w:eastAsia="Times New Roman" w:hAnsi="Calibri" w:cs="Calibri"/>
        </w:rPr>
      </w:pPr>
      <w:r w:rsidRPr="00BE06E5">
        <w:rPr>
          <w:rFonts w:ascii="Calibri" w:eastAsia="Times New Roman" w:hAnsi="Calibri" w:cs="Calibri"/>
        </w:rPr>
        <w:t xml:space="preserve">Prešutni sporazum je karakterističan za tržište na kojem djeluju operatori sličnog tržišnog udjela, slične troškovne strukture te za tržište na kojem je promet između operatora simetričan. U navedenom slučaju operatori bi mogli, ovisno o strategiji na vertikalno povezanom tržištu (maloprodajno tržište), dogovoriti prešutni sporazum po kojem će cijenu za uslugu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držati iznad ili ispod troškovne razine. </w:t>
      </w:r>
    </w:p>
    <w:p w:rsidR="00BE06E5" w:rsidRPr="00BE06E5" w:rsidRDefault="00BE06E5" w:rsidP="00BE06E5">
      <w:pPr>
        <w:jc w:val="both"/>
        <w:rPr>
          <w:rFonts w:ascii="Calibri" w:eastAsia="Times New Roman" w:hAnsi="Calibri" w:cs="Calibri"/>
        </w:rPr>
      </w:pPr>
    </w:p>
    <w:p w:rsidR="00BE06E5" w:rsidRPr="00BE06E5" w:rsidRDefault="00BE06E5" w:rsidP="00BE06E5">
      <w:pPr>
        <w:jc w:val="both"/>
        <w:rPr>
          <w:rFonts w:ascii="Calibri" w:eastAsia="Times New Roman" w:hAnsi="Calibri" w:cs="Calibri"/>
        </w:rPr>
      </w:pPr>
      <w:r w:rsidRPr="00BE06E5">
        <w:rPr>
          <w:rFonts w:ascii="Calibri" w:eastAsia="Times New Roman" w:hAnsi="Calibri" w:cs="Calibri"/>
        </w:rPr>
        <w:t xml:space="preserve">Naime, strategija operatora se može odnositi na postavljanje visokih cijena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i visokih maloprodajnih cijena, a sve u cilju ostvarivanja većih zarada. Nadalje, operatori mogu postaviti visoke cijene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te malu marginu na maloprodajnoj razini čime operatore koji nisu u prešutnom sporazumu stavljaju u nepovoljan položaj. Kod ovih strategija operatori unutar prešutnog sporazuma dogovorenu cijenu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naplaćuju svima, uključujući i međusobno, te na taj način ne vrše diskriminaciju među operatorima. </w:t>
      </w:r>
    </w:p>
    <w:p w:rsidR="00BE06E5" w:rsidRPr="00BE06E5" w:rsidRDefault="00BE06E5" w:rsidP="00BE06E5">
      <w:pPr>
        <w:jc w:val="both"/>
        <w:rPr>
          <w:rFonts w:ascii="Calibri" w:eastAsia="Times New Roman" w:hAnsi="Calibri" w:cs="Calibri"/>
        </w:rPr>
      </w:pPr>
    </w:p>
    <w:p w:rsidR="00BE06E5" w:rsidRPr="00BE06E5" w:rsidRDefault="00BE06E5" w:rsidP="00BE06E5">
      <w:pPr>
        <w:jc w:val="both"/>
        <w:rPr>
          <w:rFonts w:ascii="Calibri" w:eastAsia="Times New Roman" w:hAnsi="Calibri" w:cs="Calibri"/>
        </w:rPr>
      </w:pPr>
      <w:r w:rsidRPr="00BE06E5">
        <w:rPr>
          <w:rFonts w:ascii="Calibri" w:eastAsia="Times New Roman" w:hAnsi="Calibri" w:cs="Calibri"/>
        </w:rPr>
        <w:t xml:space="preserve">Nadalje, operatori unutar prešutnog sporazuma mogli bi dogovoriti da si međusobno plaćaju, što uključuje i njihova povezana društva, nižu cijenu za uslugu </w:t>
      </w:r>
      <w:r w:rsidR="00F26C45">
        <w:rPr>
          <w:rFonts w:ascii="Calibri" w:eastAsia="Times New Roman" w:hAnsi="Calibri" w:cs="Calibri"/>
        </w:rPr>
        <w:t xml:space="preserve">veleprodajnog završavanja </w:t>
      </w:r>
      <w:r w:rsidR="007E4538">
        <w:rPr>
          <w:rFonts w:ascii="Calibri" w:eastAsia="Times New Roman" w:hAnsi="Calibri" w:cs="Calibri"/>
        </w:rPr>
        <w:t>poziva</w:t>
      </w:r>
      <w:r w:rsidRPr="00BE06E5">
        <w:rPr>
          <w:rFonts w:ascii="Calibri" w:eastAsia="Times New Roman" w:hAnsi="Calibri" w:cs="Calibri"/>
        </w:rPr>
        <w:t xml:space="preserve"> dok bi svi ostali plaćali višu cijenu. Na navedeni način ti operatori bi mogli na pripadajućem maloprodajnom tržištu ponuditi niske cijene te na taj način konkurenciju dovesti u vrlo težak položaj. Kod ove strategije operatori bi dogovorenu cijenu </w:t>
      </w:r>
      <w:r w:rsidR="00F26C45">
        <w:rPr>
          <w:rFonts w:ascii="Calibri" w:eastAsia="Times New Roman" w:hAnsi="Calibri" w:cs="Calibri"/>
        </w:rPr>
        <w:t xml:space="preserve">veleprodajnog </w:t>
      </w:r>
      <w:r w:rsidR="00F26C45">
        <w:rPr>
          <w:rFonts w:ascii="Calibri" w:eastAsia="Times New Roman" w:hAnsi="Calibri" w:cs="Calibri"/>
        </w:rPr>
        <w:lastRenderedPageBreak/>
        <w:t xml:space="preserve">završavanja </w:t>
      </w:r>
      <w:r w:rsidR="007E4538">
        <w:rPr>
          <w:rFonts w:ascii="Calibri" w:eastAsia="Times New Roman" w:hAnsi="Calibri" w:cs="Calibri"/>
        </w:rPr>
        <w:t>poziva</w:t>
      </w:r>
      <w:r w:rsidRPr="00BE06E5">
        <w:rPr>
          <w:rFonts w:ascii="Calibri" w:eastAsia="Times New Roman" w:hAnsi="Calibri" w:cs="Calibri"/>
        </w:rPr>
        <w:t xml:space="preserve"> naplaćivali samo međusobno te bi na taj način vršili diskriminaciju među operatorima.</w:t>
      </w:r>
      <w:r w:rsidRPr="00BE06E5">
        <w:rPr>
          <w:rFonts w:ascii="Calibri" w:eastAsia="Times New Roman" w:hAnsi="Calibri" w:cs="Calibri"/>
          <w:vertAlign w:val="superscript"/>
        </w:rPr>
        <w:footnoteReference w:id="25"/>
      </w:r>
    </w:p>
    <w:p w:rsidR="00BE06E5" w:rsidRPr="00BE06E5" w:rsidRDefault="00BE06E5" w:rsidP="00BE06E5">
      <w:pPr>
        <w:jc w:val="both"/>
        <w:rPr>
          <w:rFonts w:ascii="Calibri" w:eastAsia="Times New Roman" w:hAnsi="Calibri" w:cs="Calibri"/>
        </w:rPr>
      </w:pPr>
    </w:p>
    <w:p w:rsidR="00723B8D" w:rsidRDefault="00BE06E5" w:rsidP="00BE06E5">
      <w:pPr>
        <w:jc w:val="both"/>
        <w:rPr>
          <w:rFonts w:ascii="Calibri" w:eastAsia="Times New Roman" w:hAnsi="Calibri" w:cs="Calibri"/>
        </w:rPr>
      </w:pPr>
      <w:r w:rsidRPr="00BE06E5">
        <w:rPr>
          <w:rFonts w:ascii="Calibri" w:eastAsia="Times New Roman" w:hAnsi="Calibri" w:cs="Calibri"/>
        </w:rPr>
        <w:t>Dakle, u slučaju da dva ili više operatora imaju sličan tržišni udio te simetričan promet između mreža iz navedenog bi proizlazilo da bi navedeni operatori mogli dogovoriti prešutni sporazum. Prešutni sporazum tih operatora koji može uključivati jednu od prethodno navedenih strategija, utjecao bi na učinkovitost poslovanja operatora koji ima manji tržišni udio te na poslovanje operatora nepokretnih mreža što bi se posljedično negativno odrazilo na gospodarstvo u cijelosti.</w:t>
      </w:r>
    </w:p>
    <w:p w:rsidR="00DB7CDB" w:rsidRDefault="00DB7CDB" w:rsidP="009B5531">
      <w:pPr>
        <w:jc w:val="both"/>
      </w:pPr>
      <w:bookmarkStart w:id="164" w:name="_Toc406594244"/>
      <w:bookmarkStart w:id="165" w:name="_Toc236634841"/>
    </w:p>
    <w:p w:rsidR="009B5531" w:rsidRDefault="009B5531" w:rsidP="009B5531">
      <w:pPr>
        <w:jc w:val="both"/>
      </w:pPr>
      <w:r w:rsidRPr="00DB7CDB">
        <w:rPr>
          <w:rStyle w:val="SubtitleChar"/>
        </w:rPr>
        <w:t>Diskriminacija na cjenovnoj osnovi</w:t>
      </w:r>
      <w:r>
        <w:t xml:space="preserve"> predstavlja prepreku razvoju tržišnog natjecanja koja se odnosi na situaciju u kojoj operatori sa značajnom tržišnom snagom nude različite cijene veleprodajne usluge koja je nužna za pružanje određene maloprodajne usluge, svom maloprodajnom dijelu (vlastite potrebe) i povezanim društvima u odnosu na postojeće i potencijalne konkurente na pripadajućem veleprodajnom i maloprodajnom tržištu.</w:t>
      </w:r>
    </w:p>
    <w:p w:rsidR="009B5531" w:rsidRDefault="009B5531" w:rsidP="009B5531">
      <w:pPr>
        <w:jc w:val="both"/>
      </w:pPr>
    </w:p>
    <w:p w:rsidR="009B5531" w:rsidRDefault="009B5531" w:rsidP="009B5531">
      <w:pPr>
        <w:jc w:val="both"/>
      </w:pPr>
      <w:r>
        <w:t>Diskriminacija na cjenovnoj osnovi odnosi se na situaciju u kojoj operatori sa značajnom tržišnom snagom nude veleprodajnu uslugu neophodnu za pružanje određenih maloprodajnih usluga po različitim cijenama svom maloprodajnom dijelu (vlastite potrebe) i povezanim društvima u odnosu na postojeće i potencijalne konkurente na povezanom maloprodajnom tržištu.</w:t>
      </w:r>
    </w:p>
    <w:p w:rsidR="009B5531" w:rsidRDefault="009B5531" w:rsidP="009B5531">
      <w:pPr>
        <w:jc w:val="both"/>
      </w:pPr>
    </w:p>
    <w:p w:rsidR="009B5531" w:rsidRDefault="009B5531" w:rsidP="009B5531">
      <w:pPr>
        <w:jc w:val="both"/>
      </w:pPr>
      <w:r>
        <w:t xml:space="preserve">Osim prethodno opisane situacije, operatori sa značajnom tržišnom snagom su u mogućnosti odrediti i različite cijene različitim operatorima nepokretnih mreža za uslugu veleprodajnog završavanja </w:t>
      </w:r>
      <w:r w:rsidR="007E4538">
        <w:t>poziva</w:t>
      </w:r>
      <w:r>
        <w:t>.</w:t>
      </w:r>
    </w:p>
    <w:p w:rsidR="009B5531" w:rsidRDefault="009B5531" w:rsidP="009B5531">
      <w:pPr>
        <w:jc w:val="both"/>
      </w:pPr>
    </w:p>
    <w:p w:rsidR="009B5531" w:rsidRDefault="009B5531" w:rsidP="009B5531">
      <w:pPr>
        <w:jc w:val="both"/>
      </w:pPr>
      <w:r>
        <w:t>U odsustvu regulacije, operatori sa značajnom tržišnom snagom bi mogli za svoj maloprodajni dio i povezana društva odrediti cijene veleprodajnih usluga koje bi se razlikovale od cijena usluga koje bi naplaćivali postojećim i potencijalnim novim operatorima s kojima se natječu na vertikalno povezanom maloprodajnom tržištu.</w:t>
      </w:r>
    </w:p>
    <w:p w:rsidR="009B5531" w:rsidRDefault="009B5531" w:rsidP="009B5531">
      <w:pPr>
        <w:jc w:val="both"/>
      </w:pPr>
    </w:p>
    <w:p w:rsidR="00DB7CDB" w:rsidRDefault="009B5531" w:rsidP="00DB7CDB">
      <w:pPr>
        <w:jc w:val="both"/>
      </w:pPr>
      <w:r>
        <w:t xml:space="preserve">Slijedom navedenog, HAKOM smatra kako bi operatori sa značajnom tržišnom snagom, u odsustvu regulacije, mogli iskoristiti svoju značajnu tržišnu snagu na opisane načine i diskriminacijom na cjenovnoj osnovi utjecati na povećanje troškova operatora za uslugu veleprodajnog završavanja </w:t>
      </w:r>
      <w:r w:rsidR="007E4538">
        <w:t>poziva</w:t>
      </w:r>
      <w:r>
        <w:t xml:space="preserve">. </w:t>
      </w:r>
      <w:bookmarkStart w:id="166" w:name="_Toc236634846"/>
      <w:bookmarkStart w:id="167" w:name="_Toc357581399"/>
    </w:p>
    <w:p w:rsidR="00DB7CDB" w:rsidRDefault="00DB7CDB" w:rsidP="00DB7CDB">
      <w:pPr>
        <w:jc w:val="both"/>
      </w:pPr>
    </w:p>
    <w:bookmarkEnd w:id="166"/>
    <w:bookmarkEnd w:id="167"/>
    <w:p w:rsidR="00CA0169" w:rsidRDefault="00CA0169" w:rsidP="00CA0169">
      <w:pPr>
        <w:jc w:val="both"/>
        <w:rPr>
          <w:szCs w:val="24"/>
        </w:rPr>
      </w:pPr>
      <w:r w:rsidRPr="00DB7CDB">
        <w:rPr>
          <w:rStyle w:val="SubtitleChar"/>
        </w:rPr>
        <w:t>Unakrsno subvencioniranje</w:t>
      </w:r>
      <w:r>
        <w:rPr>
          <w:szCs w:val="24"/>
        </w:rPr>
        <w:t xml:space="preserve"> se odnosi na situaciju u kojoj postoje dva različita tržišta i dvije različite cijene na navedenim tržištima. U odsustvu regulacije, operator sa značajnom tržišnom snagom može na tržištu na kojem ima navedeni status naplaćivati cijenu iznad troška kako bi na povezanom maloprodajnom tržištu mogao pružiti cijenu ispod troškova što bi dovelo do istiskivanja cijenama i na taj način prenijeti značajnu tržišnu snagu s veleprodajnog tržišta na povezano maloprodajno tržište.</w:t>
      </w:r>
    </w:p>
    <w:p w:rsidR="00CA0169" w:rsidRDefault="00CA0169" w:rsidP="00CA0169">
      <w:pPr>
        <w:jc w:val="both"/>
        <w:rPr>
          <w:szCs w:val="24"/>
        </w:rPr>
      </w:pPr>
    </w:p>
    <w:p w:rsidR="00CA0169" w:rsidRDefault="00CA0169" w:rsidP="00CA0169">
      <w:pPr>
        <w:jc w:val="both"/>
        <w:rPr>
          <w:rFonts w:ascii="Calibri" w:eastAsia="Times New Roman" w:hAnsi="Calibri" w:cs="Calibri"/>
        </w:rPr>
      </w:pPr>
      <w:r>
        <w:rPr>
          <w:szCs w:val="24"/>
        </w:rPr>
        <w:lastRenderedPageBreak/>
        <w:t>U odsustvu regulacije, operatori sa značajnom tržišnom snagom bi mogli nuditi veleprodajnu uslugu završavanja poziva iznad troška te na taj način utjecati na povećanje troškova operatora koji koriste navedenu uslugu, a istovremeno cijene na maloprodajnoj razini postaviti ispod troška, što bi dovelo do istiskivanja marže (</w:t>
      </w:r>
      <w:proofErr w:type="spellStart"/>
      <w:r>
        <w:rPr>
          <w:szCs w:val="24"/>
        </w:rPr>
        <w:t>eng</w:t>
      </w:r>
      <w:proofErr w:type="spellEnd"/>
      <w:r>
        <w:rPr>
          <w:szCs w:val="24"/>
        </w:rPr>
        <w:t>.</w:t>
      </w:r>
      <w:r>
        <w:rPr>
          <w:i/>
          <w:iCs/>
          <w:szCs w:val="24"/>
        </w:rPr>
        <w:t xml:space="preserve"> </w:t>
      </w:r>
      <w:proofErr w:type="spellStart"/>
      <w:r>
        <w:rPr>
          <w:i/>
          <w:iCs/>
          <w:szCs w:val="24"/>
        </w:rPr>
        <w:t>margin</w:t>
      </w:r>
      <w:proofErr w:type="spellEnd"/>
      <w:r>
        <w:rPr>
          <w:i/>
          <w:iCs/>
          <w:szCs w:val="24"/>
        </w:rPr>
        <w:t xml:space="preserve"> </w:t>
      </w:r>
      <w:proofErr w:type="spellStart"/>
      <w:r>
        <w:rPr>
          <w:i/>
          <w:iCs/>
          <w:szCs w:val="24"/>
        </w:rPr>
        <w:t>squeeze</w:t>
      </w:r>
      <w:proofErr w:type="spellEnd"/>
      <w:r>
        <w:rPr>
          <w:szCs w:val="24"/>
        </w:rPr>
        <w:t>) drugih operatora, podizanja troškova konkurencije, problema u poslovanju i, u konačnici, njihovog izlaska s tržišta, a što bi im omogućilo prenošenje značajne tržišne snage s predmetnog veleprodajnog tržišta na vertikalno povezano veleprodajno i maloprodajno tržište.</w:t>
      </w:r>
    </w:p>
    <w:p w:rsidR="00976EF3" w:rsidRPr="008B206E" w:rsidRDefault="00976EF3" w:rsidP="00ED4D44">
      <w:pPr>
        <w:pStyle w:val="Heading2"/>
      </w:pPr>
      <w:bookmarkStart w:id="168" w:name="_Toc410139492"/>
      <w:bookmarkStart w:id="169" w:name="_Toc410139493"/>
      <w:bookmarkStart w:id="170" w:name="_Toc524984029"/>
      <w:bookmarkStart w:id="171" w:name="_Toc525073008"/>
      <w:bookmarkStart w:id="172" w:name="_Toc525729853"/>
      <w:bookmarkEnd w:id="168"/>
      <w:bookmarkEnd w:id="169"/>
      <w:r w:rsidRPr="008B206E">
        <w:t xml:space="preserve">Neravnopravni </w:t>
      </w:r>
      <w:r>
        <w:t>položaj</w:t>
      </w:r>
      <w:r w:rsidRPr="008B206E">
        <w:t xml:space="preserve"> hrvatskih operatora </w:t>
      </w:r>
      <w:r w:rsidR="00C829A9">
        <w:t>ne</w:t>
      </w:r>
      <w:r w:rsidRPr="008B206E">
        <w:t>pokretnih mreža u odnosu na operatore izvan EEA zemalja</w:t>
      </w:r>
      <w:bookmarkEnd w:id="164"/>
      <w:bookmarkEnd w:id="170"/>
      <w:bookmarkEnd w:id="171"/>
      <w:bookmarkEnd w:id="172"/>
    </w:p>
    <w:p w:rsidR="00723B8D" w:rsidRDefault="00F23FD3" w:rsidP="000C5040">
      <w:pPr>
        <w:jc w:val="both"/>
      </w:pPr>
      <w:r w:rsidRPr="00F23FD3">
        <w:t>Do donošenja prethodne analize ovog tržišta</w:t>
      </w:r>
      <w:r w:rsidR="00976EF3" w:rsidRPr="00F23FD3">
        <w:t xml:space="preserve">, operatori </w:t>
      </w:r>
      <w:r w:rsidR="00C829A9" w:rsidRPr="00F23FD3">
        <w:t>ne</w:t>
      </w:r>
      <w:r w:rsidR="00976EF3" w:rsidRPr="00F23FD3">
        <w:t xml:space="preserve">pokretnih mreža u Republici Hrvatskoj su za sve pozive koji su započeli u EEA zemljama ili su u Republiku Hrvatsku predani iz EEA zemalja primjenjivali reguliranu cijenu završavanja poziva dok su za sve pozive direktno predane iz zemalja izvan EEA istu komercijalno dogovarali. </w:t>
      </w:r>
      <w:r w:rsidR="00216E00">
        <w:t>Uz takav pristup</w:t>
      </w:r>
      <w:r w:rsidR="00976EF3" w:rsidRPr="00F23FD3">
        <w:t xml:space="preserve"> se pokazalo da operatorima sa značajnom tržišnom snagom na ovom tržištu </w:t>
      </w:r>
      <w:r w:rsidR="00C829A9" w:rsidRPr="00F23FD3">
        <w:t xml:space="preserve">gotovo sav </w:t>
      </w:r>
      <w:r w:rsidR="00976EF3" w:rsidRPr="00F23FD3">
        <w:t xml:space="preserve">promet, uključujući i promet izvan EEA zemalja, predaju EEA operatori. Iz navedenog proizlazi da se u praksi cjelokupno završavanje prometa, uključujući i pozive koji su započeli izvan EEA zemalja, naplaćivalo po reguliranim cijenama, </w:t>
      </w:r>
      <w:r w:rsidRPr="00F23FD3">
        <w:t xml:space="preserve">koje su od </w:t>
      </w:r>
      <w:r w:rsidR="00976EF3" w:rsidRPr="00F23FD3">
        <w:t xml:space="preserve">1. siječnja 2015. određene na temelju </w:t>
      </w:r>
      <w:r w:rsidR="00976EF3" w:rsidRPr="00F23FD3">
        <w:rPr>
          <w:i/>
        </w:rPr>
        <w:t>pure</w:t>
      </w:r>
      <w:r w:rsidR="00976EF3" w:rsidRPr="00F23FD3">
        <w:t xml:space="preserve"> LRIC pristupa. S druge strane, operatori izvan EEA, posebice susjedne zemlje u kojima započinje najveći udio prometa izvan EEA zemalja koji završava u Republici Hrvatskoj, naplać</w:t>
      </w:r>
      <w:r w:rsidR="00F50772">
        <w:t>ivali su</w:t>
      </w:r>
      <w:r w:rsidR="00976EF3" w:rsidRPr="00F23FD3">
        <w:t xml:space="preserve"> cijene koje su znatno više od reguliranih cijena hrvatskih operatora s obzirom da njihove cijene nisu regulirane na način koji je obvezan za članice EEA. Ovakvu situaciju, u kojoj postoji</w:t>
      </w:r>
      <w:r w:rsidR="00F50772">
        <w:t xml:space="preserve"> mogućnost</w:t>
      </w:r>
      <w:r w:rsidR="00976EF3" w:rsidRPr="00F23FD3">
        <w:t xml:space="preserve"> neravnopravn</w:t>
      </w:r>
      <w:r w:rsidR="00B02775">
        <w:t>og</w:t>
      </w:r>
      <w:r w:rsidR="00976EF3" w:rsidRPr="00F23FD3">
        <w:t xml:space="preserve"> odnos</w:t>
      </w:r>
      <w:r w:rsidR="00B02775">
        <w:t>a</w:t>
      </w:r>
      <w:r w:rsidR="00976EF3" w:rsidRPr="00F23FD3">
        <w:t xml:space="preserve"> između hrvatskih operatora </w:t>
      </w:r>
      <w:r w:rsidR="009969C4" w:rsidRPr="00F23FD3">
        <w:t>ne</w:t>
      </w:r>
      <w:r w:rsidR="00976EF3" w:rsidRPr="00F23FD3">
        <w:t>pokretnih mreža i operatora izvan EEA zemalja, HAKOM je prepoznao kao prepreku na tržištu</w:t>
      </w:r>
      <w:r w:rsidR="00EE3158" w:rsidRPr="00F23FD3">
        <w:t>,</w:t>
      </w:r>
      <w:r w:rsidR="00EE3158" w:rsidRPr="00F23FD3">
        <w:rPr>
          <w:rFonts w:eastAsia="Times New Roman" w:cstheme="minorHAnsi"/>
          <w:szCs w:val="24"/>
        </w:rPr>
        <w:t xml:space="preserve"> na štetu operatora sa značajnom tržišnom snagom na ovom tržištu.</w:t>
      </w:r>
    </w:p>
    <w:p w:rsidR="00896EB1" w:rsidRDefault="00896EB1" w:rsidP="00896EB1">
      <w:bookmarkStart w:id="173" w:name="_Toc410108320"/>
      <w:bookmarkStart w:id="174" w:name="_Toc410139502"/>
      <w:bookmarkStart w:id="175" w:name="_Toc357581401"/>
      <w:bookmarkEnd w:id="165"/>
      <w:bookmarkEnd w:id="173"/>
      <w:bookmarkEnd w:id="174"/>
      <w:r>
        <w:br w:type="page"/>
      </w:r>
    </w:p>
    <w:p w:rsidR="00B47D48" w:rsidRPr="005D35A7" w:rsidRDefault="00723B8D" w:rsidP="005A144C">
      <w:pPr>
        <w:pStyle w:val="Heading1"/>
      </w:pPr>
      <w:bookmarkStart w:id="176" w:name="_Toc525729854"/>
      <w:bookmarkStart w:id="177" w:name="_Toc524984032"/>
      <w:bookmarkStart w:id="178" w:name="_Toc525073009"/>
      <w:r w:rsidRPr="00D65505">
        <w:lastRenderedPageBreak/>
        <w:t>Regulatorne obveze određene operatorima sa značajnom tržišnom snagom</w:t>
      </w:r>
      <w:bookmarkEnd w:id="176"/>
      <w:r w:rsidRPr="00D65505">
        <w:t xml:space="preserve"> </w:t>
      </w:r>
      <w:bookmarkEnd w:id="175"/>
      <w:bookmarkEnd w:id="177"/>
      <w:bookmarkEnd w:id="178"/>
    </w:p>
    <w:p w:rsidR="005A144C" w:rsidRDefault="005A144C" w:rsidP="00F471CD">
      <w:pPr>
        <w:jc w:val="both"/>
        <w:rPr>
          <w:rFonts w:ascii="Calibri" w:eastAsia="Times New Roman" w:hAnsi="Calibri" w:cs="Calibri"/>
        </w:rPr>
      </w:pPr>
    </w:p>
    <w:p w:rsidR="007E7F56" w:rsidRDefault="007E7F56" w:rsidP="00EB127B">
      <w:pPr>
        <w:jc w:val="both"/>
        <w:rPr>
          <w:rFonts w:ascii="Calibri" w:eastAsia="Times New Roman" w:hAnsi="Calibri" w:cs="Calibri"/>
        </w:rPr>
      </w:pPr>
      <w:r w:rsidRPr="007E7F56">
        <w:rPr>
          <w:rFonts w:ascii="Calibri" w:eastAsia="Times New Roman" w:hAnsi="Calibri" w:cs="Calibri"/>
        </w:rPr>
        <w:t>Cilj HAKOM-a je spriječiti operatore sa značajnom tržišnom snagom u mogućem iskorištavanju svoje tržišne snage na mjerodavnom tržištu, jer bi to imalo neželjene posljedice kako za veleprodajno tržište tako i za povezana maloprodajna tržišta za koja je konkretna veleprodajna usluga ulazni proizvod. Kako bi se operatorima sa značajnom tržišnom snagom onemogućila zlouporaba položaja značajne tržišne snage i utjecaja na djelotvorno tržišno natjecanje, HAKOM će odrediti regulatorne obveze na osnovu postojećih i mogućih prepreka razvoju tržišnog natjecanja. Regulatorne obveze moraju se temeljiti na prirodi utvrđenog nedostatka na tržištu, te moraju biti razmjerne i opravdane s obzirom na regulatorna načela i ciljeve iz članka 5. ZEK-a</w:t>
      </w:r>
      <w:r w:rsidR="00EB127B">
        <w:rPr>
          <w:rFonts w:ascii="Calibri" w:eastAsia="Times New Roman" w:hAnsi="Calibri" w:cs="Calibri"/>
        </w:rPr>
        <w:t>.</w:t>
      </w:r>
    </w:p>
    <w:p w:rsidR="007E7F56" w:rsidRDefault="007E7F56" w:rsidP="00EB127B">
      <w:pPr>
        <w:jc w:val="both"/>
        <w:rPr>
          <w:rFonts w:ascii="Calibri" w:eastAsia="Times New Roman" w:hAnsi="Calibri" w:cs="Calibri"/>
        </w:rPr>
      </w:pPr>
    </w:p>
    <w:p w:rsidR="00B47D48" w:rsidRPr="0005566C" w:rsidRDefault="00EB127B" w:rsidP="00EB127B">
      <w:pPr>
        <w:jc w:val="both"/>
        <w:rPr>
          <w:rFonts w:ascii="Calibri" w:eastAsia="Times New Roman" w:hAnsi="Calibri" w:cs="Calibri"/>
        </w:rPr>
      </w:pPr>
      <w:r>
        <w:rPr>
          <w:rFonts w:ascii="Calibri" w:eastAsia="Times New Roman" w:hAnsi="Calibri" w:cs="Calibri"/>
        </w:rPr>
        <w:t xml:space="preserve">Na temelju opisanih prepreka u poglavlju 7., </w:t>
      </w:r>
      <w:r w:rsidR="00B47D48" w:rsidRPr="0005566C">
        <w:rPr>
          <w:rFonts w:ascii="Calibri" w:eastAsia="Times New Roman" w:hAnsi="Calibri" w:cs="Calibri"/>
        </w:rPr>
        <w:t>HAKOM je</w:t>
      </w:r>
      <w:r w:rsidR="007E7F56" w:rsidRPr="007E7F56">
        <w:t xml:space="preserve"> </w:t>
      </w:r>
      <w:r w:rsidR="007E7F56">
        <w:rPr>
          <w:rFonts w:ascii="Calibri" w:eastAsia="Times New Roman" w:hAnsi="Calibri" w:cs="Calibri"/>
        </w:rPr>
        <w:t xml:space="preserve">odredio </w:t>
      </w:r>
      <w:r w:rsidR="007E7F56" w:rsidRPr="00EB127B">
        <w:rPr>
          <w:rStyle w:val="SubtitleChar"/>
        </w:rPr>
        <w:t>trgovačkom društvu HT</w:t>
      </w:r>
      <w:r w:rsidR="007E7F56">
        <w:rPr>
          <w:rFonts w:ascii="Calibri" w:eastAsia="Times New Roman" w:hAnsi="Calibri" w:cs="Calibri"/>
        </w:rPr>
        <w:t xml:space="preserve"> </w:t>
      </w:r>
      <w:r w:rsidR="007E7F56" w:rsidRPr="007E7F56">
        <w:rPr>
          <w:rFonts w:ascii="Calibri" w:eastAsia="Times New Roman" w:hAnsi="Calibri" w:cs="Calibri"/>
        </w:rPr>
        <w:t>sljedeće regulatorne obveze</w:t>
      </w:r>
      <w:r w:rsidR="00B47D48" w:rsidRPr="0005566C">
        <w:rPr>
          <w:rFonts w:ascii="Calibri" w:eastAsia="Times New Roman" w:hAnsi="Calibri" w:cs="Calibri"/>
        </w:rPr>
        <w:t>:</w:t>
      </w:r>
    </w:p>
    <w:p w:rsidR="00B47D48" w:rsidRPr="0005566C" w:rsidRDefault="00B47D48" w:rsidP="00EB127B">
      <w:pPr>
        <w:jc w:val="both"/>
        <w:rPr>
          <w:rFonts w:ascii="Calibri" w:eastAsia="Times New Roman" w:hAnsi="Calibri" w:cs="Calibri"/>
        </w:rPr>
      </w:pPr>
    </w:p>
    <w:p w:rsidR="00650867" w:rsidRPr="0005566C" w:rsidRDefault="00650867" w:rsidP="00EB127B">
      <w:pPr>
        <w:pStyle w:val="Subtitle"/>
        <w:numPr>
          <w:ilvl w:val="0"/>
          <w:numId w:val="4"/>
        </w:numPr>
        <w:jc w:val="both"/>
      </w:pPr>
      <w:r w:rsidRPr="0005566C">
        <w:t>obveza pristupa i korištenja posebnih dijelova mreže;</w:t>
      </w:r>
    </w:p>
    <w:p w:rsidR="00650867" w:rsidRPr="0005566C" w:rsidRDefault="00650867" w:rsidP="00EB127B">
      <w:pPr>
        <w:pStyle w:val="Subtitle"/>
        <w:numPr>
          <w:ilvl w:val="0"/>
          <w:numId w:val="4"/>
        </w:numPr>
        <w:jc w:val="both"/>
      </w:pPr>
      <w:r w:rsidRPr="0005566C">
        <w:t>obveza nediskriminacije;</w:t>
      </w:r>
    </w:p>
    <w:p w:rsidR="00650867" w:rsidRPr="0005566C" w:rsidRDefault="00650867" w:rsidP="00EB127B">
      <w:pPr>
        <w:pStyle w:val="Subtitle"/>
        <w:numPr>
          <w:ilvl w:val="0"/>
          <w:numId w:val="4"/>
        </w:numPr>
        <w:jc w:val="both"/>
      </w:pPr>
      <w:r w:rsidRPr="0005566C">
        <w:t>obveza transparentnosti uz obvezu objave standardne ponude međupovezivanja;</w:t>
      </w:r>
    </w:p>
    <w:p w:rsidR="00650867" w:rsidRPr="0005566C" w:rsidRDefault="00650867" w:rsidP="00EB127B">
      <w:pPr>
        <w:pStyle w:val="Subtitle"/>
        <w:numPr>
          <w:ilvl w:val="0"/>
          <w:numId w:val="4"/>
        </w:numPr>
        <w:jc w:val="both"/>
      </w:pPr>
      <w:r w:rsidRPr="0005566C">
        <w:t>obveza nadzora cijena i vođenja troškovnog računovodstva i</w:t>
      </w:r>
    </w:p>
    <w:p w:rsidR="00650867" w:rsidRPr="0005566C" w:rsidRDefault="00650867" w:rsidP="00EB127B">
      <w:pPr>
        <w:pStyle w:val="Subtitle"/>
        <w:numPr>
          <w:ilvl w:val="0"/>
          <w:numId w:val="4"/>
        </w:numPr>
        <w:jc w:val="both"/>
      </w:pPr>
      <w:r w:rsidRPr="0005566C">
        <w:t>obveza računovodstvenog razdvajanja</w:t>
      </w:r>
      <w:r w:rsidR="00B02775">
        <w:t>;</w:t>
      </w:r>
    </w:p>
    <w:p w:rsidR="00A773A2" w:rsidRPr="0005566C" w:rsidRDefault="00A773A2" w:rsidP="00EB127B">
      <w:pPr>
        <w:jc w:val="both"/>
        <w:rPr>
          <w:rFonts w:ascii="Calibri" w:hAnsi="Calibri"/>
        </w:rPr>
      </w:pPr>
    </w:p>
    <w:p w:rsidR="00650867" w:rsidRDefault="00650867" w:rsidP="00EB127B">
      <w:pPr>
        <w:jc w:val="both"/>
        <w:rPr>
          <w:rFonts w:ascii="Calibri" w:hAnsi="Calibri"/>
        </w:rPr>
      </w:pPr>
      <w:r w:rsidRPr="0005566C">
        <w:rPr>
          <w:rFonts w:ascii="Calibri" w:hAnsi="Calibri"/>
        </w:rPr>
        <w:t xml:space="preserve">dok su </w:t>
      </w:r>
      <w:r w:rsidRPr="00EB127B">
        <w:rPr>
          <w:rStyle w:val="SubtitleChar"/>
        </w:rPr>
        <w:t>ostalim operatorima sa značajnom tržišnom snagom</w:t>
      </w:r>
      <w:r w:rsidRPr="0005566C">
        <w:rPr>
          <w:rFonts w:ascii="Calibri" w:hAnsi="Calibri"/>
        </w:rPr>
        <w:t xml:space="preserve"> na mjerodavnom tržištu </w:t>
      </w:r>
      <w:r w:rsidR="007E7F56">
        <w:rPr>
          <w:rFonts w:ascii="Calibri" w:hAnsi="Calibri"/>
        </w:rPr>
        <w:t>određene sljedeće regulatorne obveze</w:t>
      </w:r>
      <w:r w:rsidRPr="0005566C">
        <w:rPr>
          <w:rFonts w:ascii="Calibri" w:hAnsi="Calibri"/>
        </w:rPr>
        <w:t>:</w:t>
      </w:r>
    </w:p>
    <w:p w:rsidR="00EB127B" w:rsidRPr="0005566C" w:rsidRDefault="00EB127B" w:rsidP="00EB127B">
      <w:pPr>
        <w:jc w:val="both"/>
        <w:rPr>
          <w:rFonts w:ascii="Calibri" w:hAnsi="Calibri"/>
        </w:rPr>
      </w:pPr>
    </w:p>
    <w:p w:rsidR="00650867" w:rsidRPr="0005566C" w:rsidRDefault="00650867" w:rsidP="00EB127B">
      <w:pPr>
        <w:pStyle w:val="Subtitle"/>
        <w:numPr>
          <w:ilvl w:val="0"/>
          <w:numId w:val="26"/>
        </w:numPr>
        <w:jc w:val="both"/>
      </w:pPr>
      <w:r w:rsidRPr="0005566C">
        <w:t>obveza pristupa i korištenja posebnih dijelova mreže;</w:t>
      </w:r>
    </w:p>
    <w:p w:rsidR="00650867" w:rsidRPr="0005566C" w:rsidRDefault="00650867" w:rsidP="00EB127B">
      <w:pPr>
        <w:pStyle w:val="Subtitle"/>
        <w:numPr>
          <w:ilvl w:val="0"/>
          <w:numId w:val="26"/>
        </w:numPr>
        <w:jc w:val="both"/>
      </w:pPr>
      <w:r w:rsidRPr="0005566C">
        <w:t>obveza nediskriminacije;</w:t>
      </w:r>
    </w:p>
    <w:p w:rsidR="00650867" w:rsidRPr="0005566C" w:rsidRDefault="00650867" w:rsidP="00EB127B">
      <w:pPr>
        <w:pStyle w:val="Subtitle"/>
        <w:numPr>
          <w:ilvl w:val="0"/>
          <w:numId w:val="26"/>
        </w:numPr>
        <w:jc w:val="both"/>
      </w:pPr>
      <w:r w:rsidRPr="0005566C">
        <w:t>obveza transparentnosti uz obvezu objave minimalne ponude uvjeta međupovezivanja i</w:t>
      </w:r>
    </w:p>
    <w:p w:rsidR="00B47D48" w:rsidRPr="0005566C" w:rsidRDefault="00650867" w:rsidP="00EB127B">
      <w:pPr>
        <w:pStyle w:val="Subtitle"/>
        <w:numPr>
          <w:ilvl w:val="0"/>
          <w:numId w:val="26"/>
        </w:numPr>
        <w:jc w:val="both"/>
        <w:rPr>
          <w:rFonts w:eastAsia="Times New Roman" w:cs="Calibri"/>
        </w:rPr>
      </w:pPr>
      <w:r w:rsidRPr="005D35A7">
        <w:t>obveza nadzora cijena.</w:t>
      </w:r>
    </w:p>
    <w:p w:rsidR="00650867" w:rsidRPr="005D35A7" w:rsidRDefault="00650867" w:rsidP="005D35A7">
      <w:pPr>
        <w:jc w:val="both"/>
        <w:rPr>
          <w:rFonts w:ascii="Calibri" w:eastAsia="Times New Roman" w:hAnsi="Calibri" w:cs="Calibri"/>
        </w:rPr>
      </w:pPr>
    </w:p>
    <w:p w:rsidR="00B47D48" w:rsidRPr="00896EB1" w:rsidRDefault="00B47D48" w:rsidP="00ED4D44">
      <w:pPr>
        <w:pStyle w:val="Heading2"/>
      </w:pPr>
      <w:bookmarkStart w:id="179" w:name="_Toc357581402"/>
      <w:bookmarkStart w:id="180" w:name="_Toc524984033"/>
      <w:bookmarkStart w:id="181" w:name="_Toc525073010"/>
      <w:bookmarkStart w:id="182" w:name="_Toc525729855"/>
      <w:bookmarkStart w:id="183" w:name="_Toc236634850"/>
      <w:r w:rsidRPr="00D65505">
        <w:t>Obveza pristupa i korištenja posebnih dijelova mreže</w:t>
      </w:r>
      <w:bookmarkEnd w:id="179"/>
      <w:bookmarkEnd w:id="180"/>
      <w:bookmarkEnd w:id="181"/>
      <w:bookmarkEnd w:id="182"/>
      <w:r w:rsidRPr="00D65505">
        <w:t xml:space="preserve"> </w:t>
      </w:r>
      <w:bookmarkEnd w:id="183"/>
    </w:p>
    <w:p w:rsidR="009868F6" w:rsidRPr="008868D4" w:rsidRDefault="009868F6" w:rsidP="009868F6">
      <w:pPr>
        <w:jc w:val="both"/>
        <w:rPr>
          <w:rFonts w:eastAsia="Times New Roman" w:cstheme="minorHAnsi"/>
          <w:szCs w:val="24"/>
        </w:rPr>
      </w:pPr>
      <w:r w:rsidRPr="008868D4">
        <w:rPr>
          <w:rFonts w:eastAsia="Times New Roman" w:cstheme="minorHAnsi"/>
          <w:szCs w:val="24"/>
        </w:rPr>
        <w:t>HAKO</w:t>
      </w:r>
      <w:r>
        <w:rPr>
          <w:rFonts w:eastAsia="Times New Roman" w:cstheme="minorHAnsi"/>
          <w:szCs w:val="24"/>
        </w:rPr>
        <w:t>M može</w:t>
      </w:r>
      <w:r w:rsidRPr="008868D4">
        <w:rPr>
          <w:rFonts w:eastAsia="Times New Roman" w:cstheme="minorHAnsi"/>
          <w:szCs w:val="24"/>
        </w:rPr>
        <w:t xml:space="preserve"> odrediti operatorima obvezu udovoljavanja opravdanim zahtjevima za pristup i korištenje posebnih dijelova mreže i pripadajuće infrastrukture i opreme. Isto tako, sukladno članku 61. stavku 2. ZEK-a, HAKOM može operatorima odrediti obvezu pristupa i korištenja posebnih dijelova mreže osobito ako smatra da bi uskraćivanje pristupa, ili koje drugo neprihvatljivo uvjetovanje ili ograničenje sličnog učinka, spriječilo održivo tržišno natjecanje na maloprodajnoj razini, ili bi bilo protivno interesima krajnjih korisnika usluga. Također, sukladno članku 61. stavku </w:t>
      </w:r>
      <w:r>
        <w:rPr>
          <w:rFonts w:eastAsia="Times New Roman" w:cstheme="minorHAnsi"/>
          <w:szCs w:val="24"/>
        </w:rPr>
        <w:t>4</w:t>
      </w:r>
      <w:r w:rsidRPr="008868D4">
        <w:rPr>
          <w:rFonts w:eastAsia="Times New Roman" w:cstheme="minorHAnsi"/>
          <w:szCs w:val="24"/>
        </w:rPr>
        <w:t>. ZEK-a, HAKOM može odrediti i dodatne uvjete koji se odnose na ispunjavanje načela pravičnosti, razložnosti i pravodobnosti.</w:t>
      </w:r>
    </w:p>
    <w:p w:rsidR="009868F6" w:rsidRDefault="009868F6" w:rsidP="00A01F72">
      <w:pPr>
        <w:jc w:val="both"/>
      </w:pPr>
    </w:p>
    <w:p w:rsidR="00A01F72" w:rsidRPr="00A01F72" w:rsidRDefault="00A01F72" w:rsidP="00A01F72">
      <w:pPr>
        <w:jc w:val="both"/>
      </w:pPr>
      <w:r w:rsidRPr="00A01F72">
        <w:t xml:space="preserve">U okviru ovog dokumenta govori se o tržištu veleprodajnog završavanja </w:t>
      </w:r>
      <w:r w:rsidR="007E4538">
        <w:t>poziva</w:t>
      </w:r>
      <w:r w:rsidRPr="00A01F72">
        <w:t xml:space="preserve"> u vlastitoj javnoj telefonskoj mreži koja se pruža na fiksnoj lokaciji temeljem čega HAKOM ovu obvezu, </w:t>
      </w:r>
      <w:r w:rsidRPr="00A01F72">
        <w:lastRenderedPageBreak/>
        <w:t>koja je navedena u članku 61. ZEK-a, svim operatorima sa značajnom tržišnom snagom zadržava samo u dijelu koji se odnosi na pristup u svrhu međupovezivanja.</w:t>
      </w:r>
    </w:p>
    <w:p w:rsidR="00A01F72" w:rsidRPr="00A01F72" w:rsidRDefault="00A01F72" w:rsidP="00A01F72">
      <w:pPr>
        <w:jc w:val="both"/>
      </w:pPr>
    </w:p>
    <w:p w:rsidR="00A01F72" w:rsidRPr="00A01F72" w:rsidRDefault="00A01F72" w:rsidP="00A01F72">
      <w:pPr>
        <w:jc w:val="both"/>
      </w:pPr>
      <w:r w:rsidRPr="00A01F72">
        <w:t xml:space="preserve">Nadalje, u poglavlju </w:t>
      </w:r>
      <w:r w:rsidR="009868F6">
        <w:t>7</w:t>
      </w:r>
      <w:r w:rsidR="006929C0">
        <w:t>.</w:t>
      </w:r>
      <w:r w:rsidR="006929C0" w:rsidRPr="00A01F72">
        <w:t xml:space="preserve"> </w:t>
      </w:r>
      <w:r w:rsidRPr="00A01F72">
        <w:t xml:space="preserve">ovog dokumenta HAKOM je, između ostalog, analizirao prepreke koje se odnose na odbijanje dogovora/uskraćivanje međupovezivanja i taktike odgađanja. Prema mišljenju HAKOM-a, potrebno je spriječiti mogućnost da se prethodno navedene prepreke pojave na tržištu te se operatorima sa značajnom tržišnom snagom </w:t>
      </w:r>
      <w:r w:rsidR="00AF6382">
        <w:t>određuje</w:t>
      </w:r>
      <w:r w:rsidRPr="00A01F72">
        <w:t xml:space="preserve"> regulatorna obveza pristupa i korištenja posebnih dijelova mreže i to na sljedeći način.</w:t>
      </w:r>
    </w:p>
    <w:p w:rsidR="00C67372" w:rsidRPr="00DB24D6" w:rsidRDefault="00C67372" w:rsidP="00C67372">
      <w:pPr>
        <w:pStyle w:val="Heading3"/>
        <w:rPr>
          <w:rStyle w:val="SubtitleChar"/>
          <w:i w:val="0"/>
        </w:rPr>
      </w:pPr>
      <w:bookmarkStart w:id="184" w:name="_Toc525073011"/>
      <w:bookmarkStart w:id="185" w:name="_Toc525729856"/>
      <w:r w:rsidRPr="00DB24D6">
        <w:rPr>
          <w:rStyle w:val="SubtitleChar"/>
          <w:i w:val="0"/>
        </w:rPr>
        <w:t xml:space="preserve">Regulatorna obveza pristupa i korištenja posebnih dijelova mreža određena </w:t>
      </w:r>
      <w:r>
        <w:rPr>
          <w:rStyle w:val="SubtitleChar"/>
          <w:i w:val="0"/>
        </w:rPr>
        <w:t>svim</w:t>
      </w:r>
      <w:r w:rsidRPr="00DB24D6">
        <w:rPr>
          <w:rStyle w:val="SubtitleChar"/>
          <w:i w:val="0"/>
        </w:rPr>
        <w:t xml:space="preserve"> operatorima sa značajnom tržišnom snagom</w:t>
      </w:r>
      <w:r>
        <w:rPr>
          <w:rStyle w:val="SubtitleChar"/>
          <w:i w:val="0"/>
        </w:rPr>
        <w:t xml:space="preserve"> na ovom mjerodavnom tržištu</w:t>
      </w:r>
      <w:bookmarkEnd w:id="184"/>
      <w:bookmarkEnd w:id="185"/>
    </w:p>
    <w:p w:rsidR="00C67372" w:rsidRDefault="00C67372" w:rsidP="00C67372">
      <w:pPr>
        <w:contextualSpacing/>
        <w:jc w:val="both"/>
      </w:pPr>
    </w:p>
    <w:p w:rsidR="00D85775" w:rsidRDefault="00D85775" w:rsidP="00D85775">
      <w:pPr>
        <w:pStyle w:val="Subtitle"/>
      </w:pPr>
      <w:r w:rsidRPr="00A17EC3">
        <w:t>Pristup u svrhu IP međupovezivanja</w:t>
      </w:r>
    </w:p>
    <w:p w:rsidR="00D85775" w:rsidRPr="00D85775" w:rsidRDefault="00D85775" w:rsidP="00D85775"/>
    <w:p w:rsidR="00D85775" w:rsidRDefault="00C67372" w:rsidP="00D85775">
      <w:pPr>
        <w:jc w:val="both"/>
        <w:rPr>
          <w:rFonts w:eastAsia="Times New Roman" w:cstheme="minorHAnsi"/>
          <w:szCs w:val="24"/>
        </w:rPr>
      </w:pPr>
      <w:r>
        <w:rPr>
          <w:szCs w:val="24"/>
          <w:lang w:eastAsia="en-US"/>
        </w:rPr>
        <w:t>Operatori sa značajnom tržišnom snagom</w:t>
      </w:r>
      <w:r w:rsidR="00D85775">
        <w:rPr>
          <w:rFonts w:eastAsia="Times New Roman" w:cstheme="minorHAnsi"/>
          <w:szCs w:val="24"/>
        </w:rPr>
        <w:t xml:space="preserve"> </w:t>
      </w:r>
      <w:r>
        <w:rPr>
          <w:rFonts w:eastAsia="Times New Roman" w:cstheme="minorHAnsi"/>
          <w:szCs w:val="24"/>
        </w:rPr>
        <w:t>su</w:t>
      </w:r>
      <w:r w:rsidR="00D85775">
        <w:rPr>
          <w:rFonts w:eastAsia="Times New Roman" w:cstheme="minorHAnsi"/>
          <w:szCs w:val="24"/>
        </w:rPr>
        <w:t xml:space="preserve"> </w:t>
      </w:r>
      <w:r w:rsidR="00D85775" w:rsidRPr="008868D4">
        <w:rPr>
          <w:rFonts w:eastAsia="Times New Roman" w:cstheme="minorHAnsi"/>
          <w:szCs w:val="24"/>
        </w:rPr>
        <w:t>obvez</w:t>
      </w:r>
      <w:r>
        <w:rPr>
          <w:rFonts w:eastAsia="Times New Roman" w:cstheme="minorHAnsi"/>
          <w:szCs w:val="24"/>
        </w:rPr>
        <w:t>ni</w:t>
      </w:r>
      <w:r w:rsidR="00D85775" w:rsidRPr="008868D4">
        <w:rPr>
          <w:rFonts w:eastAsia="Times New Roman" w:cstheme="minorHAnsi"/>
          <w:szCs w:val="24"/>
        </w:rPr>
        <w:t xml:space="preserve"> pregovara</w:t>
      </w:r>
      <w:r w:rsidR="00D85775">
        <w:rPr>
          <w:rFonts w:eastAsia="Times New Roman" w:cstheme="minorHAnsi"/>
          <w:szCs w:val="24"/>
        </w:rPr>
        <w:t>ti</w:t>
      </w:r>
      <w:r w:rsidR="00D85775" w:rsidRPr="008868D4">
        <w:rPr>
          <w:rFonts w:eastAsia="Times New Roman" w:cstheme="minorHAnsi"/>
          <w:szCs w:val="24"/>
        </w:rPr>
        <w:t xml:space="preserve"> u dobroj vjeri s drugim operatorima koji traže pristup u svrhu </w:t>
      </w:r>
      <w:r w:rsidR="00D85775">
        <w:rPr>
          <w:rFonts w:eastAsia="Times New Roman" w:cstheme="minorHAnsi"/>
          <w:szCs w:val="24"/>
        </w:rPr>
        <w:t xml:space="preserve">IP </w:t>
      </w:r>
      <w:r w:rsidR="00D85775" w:rsidRPr="008868D4">
        <w:rPr>
          <w:rFonts w:eastAsia="Times New Roman" w:cstheme="minorHAnsi"/>
          <w:szCs w:val="24"/>
        </w:rPr>
        <w:t>međupovezivanja i</w:t>
      </w:r>
      <w:r w:rsidR="00D85775">
        <w:rPr>
          <w:rFonts w:eastAsia="Times New Roman" w:cstheme="minorHAnsi"/>
          <w:szCs w:val="24"/>
        </w:rPr>
        <w:t xml:space="preserve"> </w:t>
      </w:r>
      <w:r w:rsidR="00D85775" w:rsidRPr="008868D4">
        <w:rPr>
          <w:rFonts w:eastAsia="Times New Roman" w:cstheme="minorHAnsi"/>
          <w:szCs w:val="24"/>
        </w:rPr>
        <w:t>odgovor</w:t>
      </w:r>
      <w:r w:rsidR="00D85775">
        <w:rPr>
          <w:rFonts w:eastAsia="Times New Roman" w:cstheme="minorHAnsi"/>
          <w:szCs w:val="24"/>
        </w:rPr>
        <w:t>iti</w:t>
      </w:r>
      <w:r w:rsidR="00D85775" w:rsidRPr="008868D4">
        <w:rPr>
          <w:rFonts w:eastAsia="Times New Roman" w:cstheme="minorHAnsi"/>
          <w:szCs w:val="24"/>
        </w:rPr>
        <w:t xml:space="preserve"> na svaki razuman zahtjev za pristup u svrhu </w:t>
      </w:r>
      <w:r w:rsidR="00D85775">
        <w:rPr>
          <w:rFonts w:eastAsia="Times New Roman" w:cstheme="minorHAnsi"/>
          <w:szCs w:val="24"/>
        </w:rPr>
        <w:t xml:space="preserve">IP </w:t>
      </w:r>
      <w:r w:rsidR="00D85775" w:rsidRPr="008868D4">
        <w:rPr>
          <w:rFonts w:eastAsia="Times New Roman" w:cstheme="minorHAnsi"/>
          <w:szCs w:val="24"/>
        </w:rPr>
        <w:t xml:space="preserve">međupovezivanja u roku </w:t>
      </w:r>
      <w:r w:rsidR="00D85775" w:rsidRPr="00C12804">
        <w:rPr>
          <w:rFonts w:eastAsia="Times New Roman" w:cstheme="minorHAnsi"/>
          <w:szCs w:val="24"/>
        </w:rPr>
        <w:t>od 10 dana od</w:t>
      </w:r>
      <w:r w:rsidR="00D85775" w:rsidRPr="008868D4">
        <w:rPr>
          <w:rFonts w:eastAsia="Times New Roman" w:cstheme="minorHAnsi"/>
          <w:szCs w:val="24"/>
        </w:rPr>
        <w:t xml:space="preserve"> primitka zahtjeva za pregovore</w:t>
      </w:r>
      <w:r w:rsidR="00D85775">
        <w:rPr>
          <w:rFonts w:eastAsia="Times New Roman" w:cstheme="minorHAnsi"/>
          <w:szCs w:val="24"/>
        </w:rPr>
        <w:t xml:space="preserve">, a kako </w:t>
      </w:r>
      <w:r w:rsidR="00D85775" w:rsidRPr="008868D4">
        <w:rPr>
          <w:rFonts w:eastAsia="Times New Roman" w:cstheme="minorHAnsi"/>
          <w:szCs w:val="24"/>
        </w:rPr>
        <w:t>ne bi mog</w:t>
      </w:r>
      <w:r>
        <w:rPr>
          <w:rFonts w:eastAsia="Times New Roman" w:cstheme="minorHAnsi"/>
          <w:szCs w:val="24"/>
        </w:rPr>
        <w:t>li</w:t>
      </w:r>
      <w:r w:rsidR="00D85775" w:rsidRPr="008868D4">
        <w:rPr>
          <w:rFonts w:eastAsia="Times New Roman" w:cstheme="minorHAnsi"/>
          <w:szCs w:val="24"/>
        </w:rPr>
        <w:t xml:space="preserve"> iskoristiti svoju značajnu tržišnu snagu na predmetnom mjerodavnom tržištu i odugovlačiti pregovore</w:t>
      </w:r>
      <w:r w:rsidR="00D85775">
        <w:rPr>
          <w:rFonts w:eastAsia="Times New Roman" w:cstheme="minorHAnsi"/>
          <w:szCs w:val="24"/>
        </w:rPr>
        <w:t>.</w:t>
      </w:r>
    </w:p>
    <w:p w:rsidR="00D85775" w:rsidRDefault="00D85775" w:rsidP="00D85775">
      <w:pPr>
        <w:jc w:val="both"/>
        <w:rPr>
          <w:rFonts w:eastAsia="Times New Roman" w:cstheme="minorHAnsi"/>
          <w:szCs w:val="24"/>
        </w:rPr>
      </w:pPr>
    </w:p>
    <w:p w:rsidR="00D85775" w:rsidRDefault="00D85775" w:rsidP="00D85775">
      <w:pPr>
        <w:jc w:val="both"/>
        <w:rPr>
          <w:rFonts w:eastAsia="Times New Roman" w:cstheme="minorHAnsi"/>
          <w:szCs w:val="24"/>
        </w:rPr>
      </w:pPr>
      <w:r>
        <w:rPr>
          <w:rFonts w:eastAsia="Times New Roman" w:cstheme="minorHAnsi"/>
          <w:szCs w:val="24"/>
        </w:rPr>
        <w:t>U</w:t>
      </w:r>
      <w:r w:rsidRPr="008868D4">
        <w:rPr>
          <w:rFonts w:eastAsia="Times New Roman" w:cstheme="minorHAnsi"/>
          <w:szCs w:val="24"/>
        </w:rPr>
        <w:t xml:space="preserve"> slučaju prihvaćanja razumnog zahtjeva, </w:t>
      </w:r>
      <w:r w:rsidR="00C67372">
        <w:rPr>
          <w:szCs w:val="24"/>
          <w:lang w:eastAsia="en-US"/>
        </w:rPr>
        <w:t>operatori sa značajnom tržišnom snagom</w:t>
      </w:r>
      <w:r>
        <w:rPr>
          <w:rFonts w:eastAsia="Times New Roman" w:cstheme="minorHAnsi"/>
          <w:szCs w:val="24"/>
        </w:rPr>
        <w:t xml:space="preserve"> </w:t>
      </w:r>
      <w:r w:rsidR="00C67372">
        <w:rPr>
          <w:rFonts w:eastAsia="Times New Roman" w:cstheme="minorHAnsi"/>
          <w:szCs w:val="24"/>
        </w:rPr>
        <w:t xml:space="preserve">su </w:t>
      </w:r>
      <w:r>
        <w:rPr>
          <w:rFonts w:eastAsia="Times New Roman" w:cstheme="minorHAnsi"/>
          <w:szCs w:val="24"/>
        </w:rPr>
        <w:t>obvez</w:t>
      </w:r>
      <w:r w:rsidR="00C67372">
        <w:rPr>
          <w:rFonts w:eastAsia="Times New Roman" w:cstheme="minorHAnsi"/>
          <w:szCs w:val="24"/>
        </w:rPr>
        <w:t>ni</w:t>
      </w:r>
      <w:r w:rsidRPr="008868D4">
        <w:rPr>
          <w:rFonts w:eastAsia="Times New Roman" w:cstheme="minorHAnsi"/>
          <w:szCs w:val="24"/>
        </w:rPr>
        <w:t xml:space="preserve"> ostvariti </w:t>
      </w:r>
      <w:r>
        <w:rPr>
          <w:rFonts w:eastAsia="Times New Roman" w:cstheme="minorHAnsi"/>
          <w:szCs w:val="24"/>
        </w:rPr>
        <w:t xml:space="preserve">IP </w:t>
      </w:r>
      <w:r w:rsidRPr="008868D4">
        <w:rPr>
          <w:rFonts w:eastAsia="Times New Roman" w:cstheme="minorHAnsi"/>
          <w:szCs w:val="24"/>
        </w:rPr>
        <w:t xml:space="preserve">međupovezivanje najkasnije </w:t>
      </w:r>
      <w:r w:rsidRPr="00780DCA">
        <w:rPr>
          <w:rFonts w:eastAsia="Times New Roman" w:cstheme="minorHAnsi"/>
          <w:szCs w:val="24"/>
        </w:rPr>
        <w:t xml:space="preserve">u roku od </w:t>
      </w:r>
      <w:r>
        <w:rPr>
          <w:rFonts w:eastAsia="Times New Roman" w:cstheme="minorHAnsi"/>
          <w:szCs w:val="24"/>
        </w:rPr>
        <w:t>75</w:t>
      </w:r>
      <w:r w:rsidRPr="00780DCA">
        <w:rPr>
          <w:rFonts w:eastAsia="Times New Roman" w:cstheme="minorHAnsi"/>
          <w:szCs w:val="24"/>
        </w:rPr>
        <w:t xml:space="preserve"> dana od</w:t>
      </w:r>
      <w:r w:rsidRPr="008868D4">
        <w:rPr>
          <w:rFonts w:eastAsia="Times New Roman" w:cstheme="minorHAnsi"/>
          <w:szCs w:val="24"/>
        </w:rPr>
        <w:t xml:space="preserve"> zaprimanja</w:t>
      </w:r>
      <w:r>
        <w:rPr>
          <w:rFonts w:eastAsia="Times New Roman" w:cstheme="minorHAnsi"/>
          <w:szCs w:val="24"/>
        </w:rPr>
        <w:t xml:space="preserve"> razumnog i</w:t>
      </w:r>
      <w:r w:rsidRPr="008868D4">
        <w:rPr>
          <w:rFonts w:eastAsia="Times New Roman" w:cstheme="minorHAnsi"/>
          <w:szCs w:val="24"/>
        </w:rPr>
        <w:t xml:space="preserve"> potpunog zahtjeva.</w:t>
      </w:r>
      <w:r>
        <w:rPr>
          <w:rFonts w:eastAsia="Times New Roman" w:cstheme="minorHAnsi"/>
          <w:szCs w:val="24"/>
        </w:rPr>
        <w:t xml:space="preserve"> </w:t>
      </w:r>
      <w:r w:rsidRPr="00210050">
        <w:rPr>
          <w:rFonts w:eastAsia="Times New Roman" w:cstheme="minorHAnsi"/>
          <w:szCs w:val="24"/>
        </w:rPr>
        <w:t>Rok može biti i dulji od 75 dana ukoliko su obje strane suglasne s istim.</w:t>
      </w:r>
      <w:r w:rsidRPr="008868D4">
        <w:rPr>
          <w:rFonts w:eastAsia="Times New Roman" w:cstheme="minorHAnsi"/>
          <w:szCs w:val="24"/>
        </w:rPr>
        <w:t xml:space="preserve"> </w:t>
      </w:r>
      <w:r w:rsidR="00C67372">
        <w:rPr>
          <w:rFonts w:eastAsia="Times New Roman" w:cstheme="minorHAnsi"/>
          <w:szCs w:val="24"/>
        </w:rPr>
        <w:t>Operatori su</w:t>
      </w:r>
      <w:r w:rsidRPr="008868D4">
        <w:rPr>
          <w:rFonts w:eastAsia="Times New Roman" w:cstheme="minorHAnsi"/>
          <w:szCs w:val="24"/>
        </w:rPr>
        <w:t xml:space="preserve"> ocjenjivanje razumnog zahtjeva obvez</w:t>
      </w:r>
      <w:r w:rsidR="00C67372">
        <w:rPr>
          <w:rFonts w:eastAsia="Times New Roman" w:cstheme="minorHAnsi"/>
          <w:szCs w:val="24"/>
        </w:rPr>
        <w:t>ni</w:t>
      </w:r>
      <w:r w:rsidRPr="008868D4">
        <w:rPr>
          <w:rFonts w:eastAsia="Times New Roman" w:cstheme="minorHAnsi"/>
          <w:szCs w:val="24"/>
        </w:rPr>
        <w:t xml:space="preserve"> provoditi u skladu s obvezom nediskriminacije i tehničkim mogućnostima vlastite mreže. U ocjeni razumnog zahtjeva ili u pregovorima, </w:t>
      </w:r>
      <w:r w:rsidR="00C67372">
        <w:rPr>
          <w:szCs w:val="24"/>
          <w:lang w:eastAsia="en-US"/>
        </w:rPr>
        <w:t>operatori sa značajnom tržišnom snagom</w:t>
      </w:r>
      <w:r w:rsidRPr="008868D4">
        <w:rPr>
          <w:rFonts w:eastAsia="Times New Roman" w:cstheme="minorHAnsi"/>
          <w:szCs w:val="24"/>
        </w:rPr>
        <w:t xml:space="preserve"> ne smij</w:t>
      </w:r>
      <w:r w:rsidR="00C67372">
        <w:rPr>
          <w:rFonts w:eastAsia="Times New Roman" w:cstheme="minorHAnsi"/>
          <w:szCs w:val="24"/>
        </w:rPr>
        <w:t>u</w:t>
      </w:r>
      <w:r w:rsidRPr="008868D4">
        <w:rPr>
          <w:rFonts w:eastAsia="Times New Roman" w:cstheme="minorHAnsi"/>
          <w:szCs w:val="24"/>
        </w:rPr>
        <w:t xml:space="preserve"> zahtijevati od </w:t>
      </w:r>
      <w:r w:rsidR="00C67372">
        <w:rPr>
          <w:rFonts w:eastAsia="Times New Roman" w:cstheme="minorHAnsi"/>
          <w:szCs w:val="24"/>
        </w:rPr>
        <w:t xml:space="preserve">drugih </w:t>
      </w:r>
      <w:r w:rsidRPr="008868D4">
        <w:rPr>
          <w:rFonts w:eastAsia="Times New Roman" w:cstheme="minorHAnsi"/>
          <w:szCs w:val="24"/>
        </w:rPr>
        <w:t>operatora koji žel</w:t>
      </w:r>
      <w:r w:rsidR="00C67372">
        <w:rPr>
          <w:rFonts w:eastAsia="Times New Roman" w:cstheme="minorHAnsi"/>
          <w:szCs w:val="24"/>
        </w:rPr>
        <w:t>e</w:t>
      </w:r>
      <w:r w:rsidRPr="008868D4">
        <w:rPr>
          <w:rFonts w:eastAsia="Times New Roman" w:cstheme="minorHAnsi"/>
          <w:szCs w:val="24"/>
        </w:rPr>
        <w:t xml:space="preserve"> ostvariti međupovezivanje određene akcije ili određene uvjete međupovezivanja koji bi bili suprotni regulatornim obvezama koje su </w:t>
      </w:r>
      <w:r w:rsidR="00F50772">
        <w:rPr>
          <w:rFonts w:eastAsia="Times New Roman" w:cstheme="minorHAnsi"/>
          <w:szCs w:val="24"/>
        </w:rPr>
        <w:t xml:space="preserve">im </w:t>
      </w:r>
      <w:r w:rsidRPr="008868D4">
        <w:rPr>
          <w:rFonts w:eastAsia="Times New Roman" w:cstheme="minorHAnsi"/>
          <w:szCs w:val="24"/>
        </w:rPr>
        <w:t>ovim dokumentom određene.</w:t>
      </w:r>
      <w:r>
        <w:rPr>
          <w:rFonts w:eastAsia="Times New Roman" w:cstheme="minorHAnsi"/>
          <w:szCs w:val="24"/>
        </w:rPr>
        <w:t xml:space="preserve"> Određivanjem ove obveze nastoji se </w:t>
      </w:r>
      <w:r w:rsidRPr="008868D4">
        <w:rPr>
          <w:rFonts w:eastAsia="Times New Roman" w:cstheme="minorHAnsi"/>
          <w:szCs w:val="24"/>
        </w:rPr>
        <w:t>onemoguć</w:t>
      </w:r>
      <w:r>
        <w:rPr>
          <w:rFonts w:eastAsia="Times New Roman" w:cstheme="minorHAnsi"/>
          <w:szCs w:val="24"/>
        </w:rPr>
        <w:t>iti</w:t>
      </w:r>
      <w:r w:rsidRPr="008868D4">
        <w:rPr>
          <w:rFonts w:eastAsia="Times New Roman" w:cstheme="minorHAnsi"/>
          <w:szCs w:val="24"/>
        </w:rPr>
        <w:t xml:space="preserve"> </w:t>
      </w:r>
      <w:r w:rsidR="00C67372">
        <w:rPr>
          <w:rFonts w:eastAsia="Times New Roman" w:cstheme="minorHAnsi"/>
          <w:szCs w:val="24"/>
        </w:rPr>
        <w:t xml:space="preserve">operatore </w:t>
      </w:r>
      <w:r>
        <w:rPr>
          <w:rFonts w:eastAsia="Times New Roman" w:cstheme="minorHAnsi"/>
          <w:szCs w:val="24"/>
        </w:rPr>
        <w:t>da odgađa</w:t>
      </w:r>
      <w:r w:rsidR="00C67372">
        <w:rPr>
          <w:rFonts w:eastAsia="Times New Roman" w:cstheme="minorHAnsi"/>
          <w:szCs w:val="24"/>
        </w:rPr>
        <w:t>ju</w:t>
      </w:r>
      <w:r w:rsidRPr="008868D4">
        <w:rPr>
          <w:rFonts w:eastAsia="Times New Roman" w:cstheme="minorHAnsi"/>
          <w:szCs w:val="24"/>
        </w:rPr>
        <w:t xml:space="preserve"> realizacij</w:t>
      </w:r>
      <w:r>
        <w:rPr>
          <w:rFonts w:eastAsia="Times New Roman" w:cstheme="minorHAnsi"/>
          <w:szCs w:val="24"/>
        </w:rPr>
        <w:t>u</w:t>
      </w:r>
      <w:r w:rsidRPr="008868D4">
        <w:rPr>
          <w:rFonts w:eastAsia="Times New Roman" w:cstheme="minorHAnsi"/>
          <w:szCs w:val="24"/>
        </w:rPr>
        <w:t xml:space="preserve"> međupovezivanja.</w:t>
      </w:r>
    </w:p>
    <w:p w:rsidR="00D85775" w:rsidRDefault="00D85775" w:rsidP="00D85775">
      <w:pPr>
        <w:jc w:val="both"/>
        <w:rPr>
          <w:rFonts w:eastAsia="Times New Roman" w:cstheme="minorHAnsi"/>
          <w:szCs w:val="24"/>
        </w:rPr>
      </w:pPr>
    </w:p>
    <w:p w:rsidR="00D85775" w:rsidRPr="00302850" w:rsidRDefault="00D85775" w:rsidP="00D85775">
      <w:pPr>
        <w:contextualSpacing/>
        <w:jc w:val="both"/>
        <w:rPr>
          <w:rFonts w:eastAsia="Times New Roman" w:cstheme="minorHAnsi"/>
          <w:bCs/>
          <w:szCs w:val="24"/>
        </w:rPr>
      </w:pPr>
      <w:r>
        <w:rPr>
          <w:rFonts w:eastAsia="Times New Roman" w:cstheme="minorHAnsi"/>
          <w:szCs w:val="24"/>
        </w:rPr>
        <w:t xml:space="preserve">Nadalje, </w:t>
      </w:r>
      <w:r w:rsidRPr="008868D4">
        <w:rPr>
          <w:rFonts w:eastAsia="Times New Roman" w:cstheme="minorHAnsi"/>
          <w:szCs w:val="24"/>
        </w:rPr>
        <w:t xml:space="preserve">HAKOM određuje </w:t>
      </w:r>
      <w:r w:rsidR="00C67372" w:rsidRPr="008868D4">
        <w:rPr>
          <w:rFonts w:eastAsia="Times New Roman" w:cstheme="minorHAnsi"/>
          <w:szCs w:val="24"/>
        </w:rPr>
        <w:t>operator</w:t>
      </w:r>
      <w:r w:rsidR="00C67372">
        <w:rPr>
          <w:rFonts w:eastAsia="Times New Roman" w:cstheme="minorHAnsi"/>
          <w:szCs w:val="24"/>
        </w:rPr>
        <w:t>ima</w:t>
      </w:r>
      <w:r w:rsidR="00C67372" w:rsidRPr="008868D4">
        <w:rPr>
          <w:rFonts w:eastAsia="Times New Roman" w:cstheme="minorHAnsi"/>
          <w:szCs w:val="24"/>
        </w:rPr>
        <w:t xml:space="preserve"> sa značajnom tržišnom snagom </w:t>
      </w:r>
      <w:r w:rsidRPr="008868D4">
        <w:rPr>
          <w:rFonts w:eastAsia="Times New Roman" w:cstheme="minorHAnsi"/>
          <w:szCs w:val="24"/>
        </w:rPr>
        <w:t>obvezu da ne smij</w:t>
      </w:r>
      <w:r w:rsidR="00C67372">
        <w:rPr>
          <w:rFonts w:eastAsia="Times New Roman" w:cstheme="minorHAnsi"/>
          <w:szCs w:val="24"/>
        </w:rPr>
        <w:t>u</w:t>
      </w:r>
      <w:r w:rsidRPr="008868D4">
        <w:rPr>
          <w:rFonts w:eastAsia="Times New Roman" w:cstheme="minorHAnsi"/>
          <w:szCs w:val="24"/>
        </w:rPr>
        <w:t xml:space="preserve"> uskratiti već ostvareno </w:t>
      </w:r>
      <w:r>
        <w:rPr>
          <w:rFonts w:eastAsia="Times New Roman" w:cstheme="minorHAnsi"/>
          <w:szCs w:val="24"/>
        </w:rPr>
        <w:t xml:space="preserve">IP </w:t>
      </w:r>
      <w:r w:rsidRPr="008868D4">
        <w:rPr>
          <w:rFonts w:eastAsia="Times New Roman" w:cstheme="minorHAnsi"/>
          <w:szCs w:val="24"/>
        </w:rPr>
        <w:t>međupovezivanje u svrhu pružanja u</w:t>
      </w:r>
      <w:r>
        <w:rPr>
          <w:rFonts w:eastAsia="Times New Roman" w:cstheme="minorHAnsi"/>
          <w:szCs w:val="24"/>
        </w:rPr>
        <w:t xml:space="preserve">sluge </w:t>
      </w:r>
      <w:r w:rsidR="00C67372">
        <w:rPr>
          <w:rFonts w:eastAsia="Times New Roman" w:cstheme="minorHAnsi"/>
          <w:szCs w:val="24"/>
        </w:rPr>
        <w:t>završavanja</w:t>
      </w:r>
      <w:r w:rsidRPr="008868D4">
        <w:rPr>
          <w:rFonts w:eastAsia="Times New Roman" w:cstheme="minorHAnsi"/>
          <w:szCs w:val="24"/>
        </w:rPr>
        <w:t xml:space="preserve"> poziva budući da bi, navedeno uskraćivanje već ostvarenog međupovezivanja moglo dovesti do štete i povećanja troškova operatora koji su imali ostvareno međupovezivanje u svrhu pružanja u</w:t>
      </w:r>
      <w:r>
        <w:rPr>
          <w:rFonts w:eastAsia="Times New Roman" w:cstheme="minorHAnsi"/>
          <w:szCs w:val="24"/>
        </w:rPr>
        <w:t xml:space="preserve">sluge </w:t>
      </w:r>
      <w:r w:rsidR="00C67372">
        <w:rPr>
          <w:rFonts w:eastAsia="Times New Roman" w:cstheme="minorHAnsi"/>
          <w:szCs w:val="24"/>
        </w:rPr>
        <w:t>završavanja</w:t>
      </w:r>
      <w:r w:rsidRPr="008868D4">
        <w:rPr>
          <w:rFonts w:eastAsia="Times New Roman" w:cstheme="minorHAnsi"/>
          <w:szCs w:val="24"/>
        </w:rPr>
        <w:t xml:space="preserve"> poziva, a time i do iskoriš</w:t>
      </w:r>
      <w:r w:rsidR="00C67372">
        <w:rPr>
          <w:rFonts w:eastAsia="Times New Roman" w:cstheme="minorHAnsi"/>
          <w:szCs w:val="24"/>
        </w:rPr>
        <w:t>tavanja značajne tržišne snage</w:t>
      </w:r>
      <w:r w:rsidRPr="008868D4">
        <w:rPr>
          <w:rFonts w:eastAsia="Times New Roman" w:cstheme="minorHAnsi"/>
          <w:szCs w:val="24"/>
        </w:rPr>
        <w:t xml:space="preserve"> operatora sa značajnom tržišnom snagom na predmetnom mjerodavnom tržištu.</w:t>
      </w:r>
    </w:p>
    <w:p w:rsidR="00D85775" w:rsidRDefault="00D85775" w:rsidP="00D85775">
      <w:pPr>
        <w:contextualSpacing/>
        <w:jc w:val="both"/>
        <w:rPr>
          <w:rFonts w:eastAsia="Times New Roman" w:cstheme="minorHAnsi"/>
          <w:szCs w:val="24"/>
        </w:rPr>
      </w:pPr>
    </w:p>
    <w:p w:rsidR="00C67372" w:rsidRDefault="00D85775" w:rsidP="00D85775">
      <w:pPr>
        <w:contextualSpacing/>
        <w:jc w:val="both"/>
        <w:rPr>
          <w:rFonts w:eastAsia="Times New Roman" w:cstheme="minorHAnsi"/>
          <w:szCs w:val="24"/>
        </w:rPr>
      </w:pPr>
      <w:r>
        <w:rPr>
          <w:rFonts w:eastAsia="Times New Roman" w:cstheme="minorHAnsi"/>
          <w:szCs w:val="24"/>
        </w:rPr>
        <w:t xml:space="preserve">S obzirom na to da </w:t>
      </w:r>
      <w:r w:rsidR="00C67372">
        <w:rPr>
          <w:rFonts w:eastAsia="Times New Roman" w:cstheme="minorHAnsi"/>
          <w:szCs w:val="24"/>
        </w:rPr>
        <w:t>operatori</w:t>
      </w:r>
      <w:r>
        <w:rPr>
          <w:rFonts w:eastAsia="Times New Roman" w:cstheme="minorHAnsi"/>
          <w:szCs w:val="24"/>
        </w:rPr>
        <w:t xml:space="preserve"> više nema</w:t>
      </w:r>
      <w:r w:rsidR="00C67372">
        <w:rPr>
          <w:rFonts w:eastAsia="Times New Roman" w:cstheme="minorHAnsi"/>
          <w:szCs w:val="24"/>
        </w:rPr>
        <w:t>ju</w:t>
      </w:r>
      <w:r>
        <w:rPr>
          <w:rFonts w:eastAsia="Times New Roman" w:cstheme="minorHAnsi"/>
          <w:szCs w:val="24"/>
        </w:rPr>
        <w:t xml:space="preserve"> obvezu pružanja PSTN/TDM međupovezivanja, već samo obvezu IP međupovezivanja, prije nego što </w:t>
      </w:r>
      <w:r w:rsidRPr="00725244">
        <w:rPr>
          <w:rFonts w:eastAsia="Times New Roman" w:cstheme="minorHAnsi"/>
          <w:szCs w:val="24"/>
        </w:rPr>
        <w:t>odluč</w:t>
      </w:r>
      <w:r w:rsidR="00F50772">
        <w:rPr>
          <w:rFonts w:eastAsia="Times New Roman" w:cstheme="minorHAnsi"/>
          <w:szCs w:val="24"/>
        </w:rPr>
        <w:t>e</w:t>
      </w:r>
      <w:r w:rsidRPr="00725244">
        <w:rPr>
          <w:rFonts w:eastAsia="Times New Roman" w:cstheme="minorHAnsi"/>
          <w:szCs w:val="24"/>
        </w:rPr>
        <w:t xml:space="preserve"> ukinuti mogućnost </w:t>
      </w:r>
      <w:r>
        <w:rPr>
          <w:rFonts w:eastAsia="Times New Roman" w:cstheme="minorHAnsi"/>
          <w:szCs w:val="24"/>
        </w:rPr>
        <w:t xml:space="preserve">postojećeg </w:t>
      </w:r>
      <w:r w:rsidRPr="00725244">
        <w:rPr>
          <w:rFonts w:eastAsia="Times New Roman" w:cstheme="minorHAnsi"/>
          <w:szCs w:val="24"/>
        </w:rPr>
        <w:t xml:space="preserve">PSTN/TDM međupovezivanja, </w:t>
      </w:r>
      <w:r w:rsidR="00C67372">
        <w:rPr>
          <w:rFonts w:eastAsia="Times New Roman" w:cstheme="minorHAnsi"/>
          <w:szCs w:val="24"/>
        </w:rPr>
        <w:t xml:space="preserve">obvezni su </w:t>
      </w:r>
      <w:r>
        <w:rPr>
          <w:rFonts w:eastAsia="Times New Roman" w:cstheme="minorHAnsi"/>
          <w:szCs w:val="24"/>
        </w:rPr>
        <w:t xml:space="preserve">obavijestiti </w:t>
      </w:r>
      <w:r w:rsidRPr="00725244">
        <w:rPr>
          <w:rFonts w:eastAsia="Times New Roman" w:cstheme="minorHAnsi"/>
          <w:szCs w:val="24"/>
        </w:rPr>
        <w:t>operator</w:t>
      </w:r>
      <w:r>
        <w:rPr>
          <w:rFonts w:eastAsia="Times New Roman" w:cstheme="minorHAnsi"/>
          <w:szCs w:val="24"/>
        </w:rPr>
        <w:t>e o istome</w:t>
      </w:r>
      <w:r w:rsidRPr="00725244">
        <w:rPr>
          <w:rFonts w:eastAsia="Times New Roman" w:cstheme="minorHAnsi"/>
          <w:szCs w:val="24"/>
        </w:rPr>
        <w:t xml:space="preserve"> najmanje godinu dana prije prelaska na isključivo IP međupovezivanje</w:t>
      </w:r>
      <w:r>
        <w:rPr>
          <w:rFonts w:eastAsia="Times New Roman" w:cstheme="minorHAnsi"/>
          <w:szCs w:val="24"/>
        </w:rPr>
        <w:t xml:space="preserve">. </w:t>
      </w:r>
      <w:r w:rsidRPr="004F7703">
        <w:rPr>
          <w:rFonts w:eastAsia="Times New Roman" w:cstheme="minorHAnsi"/>
          <w:szCs w:val="24"/>
        </w:rPr>
        <w:t>HAKOM smatra da je navedena obveza nužna kako bi se ostalim operatorima na tržištu ostavilo dovoljno vremena da planiraju i pripreme svoje sustave na prelazak na IP međupovezivanje. Na taj način se osigurava regulatorna predvidivost za sudionike na tržištu, a što je jedan od bitnih uvjeta za stabilno poslovanje operatora.</w:t>
      </w:r>
    </w:p>
    <w:p w:rsidR="00270C19" w:rsidRPr="00210050" w:rsidRDefault="00270C19" w:rsidP="00270C19">
      <w:pPr>
        <w:contextualSpacing/>
        <w:jc w:val="both"/>
        <w:rPr>
          <w:rFonts w:asciiTheme="majorHAnsi" w:eastAsiaTheme="majorEastAsia" w:hAnsiTheme="majorHAnsi" w:cstheme="majorBidi"/>
          <w:i/>
          <w:iCs/>
          <w:color w:val="4F81BD" w:themeColor="accent1"/>
          <w:spacing w:val="15"/>
          <w:szCs w:val="24"/>
        </w:rPr>
      </w:pPr>
      <w:r>
        <w:rPr>
          <w:rFonts w:asciiTheme="majorHAnsi" w:eastAsiaTheme="majorEastAsia" w:hAnsiTheme="majorHAnsi" w:cstheme="majorBidi"/>
          <w:i/>
          <w:iCs/>
          <w:color w:val="4F81BD" w:themeColor="accent1"/>
          <w:spacing w:val="15"/>
          <w:szCs w:val="24"/>
        </w:rPr>
        <w:lastRenderedPageBreak/>
        <w:t>Naknade za kašnjenje u realizaciji usluga</w:t>
      </w:r>
    </w:p>
    <w:p w:rsidR="00270C19" w:rsidRDefault="00270C19" w:rsidP="00270C19">
      <w:pPr>
        <w:jc w:val="both"/>
        <w:rPr>
          <w:szCs w:val="24"/>
        </w:rPr>
      </w:pPr>
    </w:p>
    <w:p w:rsidR="00021598" w:rsidRPr="00270C19" w:rsidRDefault="00BE6258" w:rsidP="00270C19">
      <w:pPr>
        <w:jc w:val="both"/>
        <w:rPr>
          <w:szCs w:val="24"/>
          <w:lang w:eastAsia="en-US"/>
        </w:rPr>
      </w:pPr>
      <w:r w:rsidRPr="00270C19">
        <w:rPr>
          <w:szCs w:val="24"/>
          <w:lang w:eastAsia="en-US"/>
        </w:rPr>
        <w:t xml:space="preserve">HAKOM smatra da je pored definiranih rokova vezano uz realizaciju usluge potrebno </w:t>
      </w:r>
      <w:r w:rsidR="00C67372">
        <w:rPr>
          <w:szCs w:val="24"/>
          <w:lang w:eastAsia="en-US"/>
        </w:rPr>
        <w:t>operatorima sa značajnom snagom zadržati</w:t>
      </w:r>
      <w:r w:rsidRPr="00270C19">
        <w:rPr>
          <w:szCs w:val="24"/>
          <w:lang w:eastAsia="en-US"/>
        </w:rPr>
        <w:t xml:space="preserve"> i obvezu plaćanja naknada u slučaju nepoštivanja rokova za realizaciju usluge. Naime, odugovlačenjem pri</w:t>
      </w:r>
      <w:r w:rsidR="00C67372">
        <w:rPr>
          <w:szCs w:val="24"/>
          <w:lang w:eastAsia="en-US"/>
        </w:rPr>
        <w:t xml:space="preserve"> ispunjavanju svojih obveza mogli</w:t>
      </w:r>
      <w:r w:rsidRPr="00270C19">
        <w:rPr>
          <w:szCs w:val="24"/>
          <w:lang w:eastAsia="en-US"/>
        </w:rPr>
        <w:t xml:space="preserve"> </w:t>
      </w:r>
      <w:r w:rsidR="00C67372">
        <w:rPr>
          <w:szCs w:val="24"/>
          <w:lang w:eastAsia="en-US"/>
        </w:rPr>
        <w:t xml:space="preserve">bi </w:t>
      </w:r>
      <w:r w:rsidRPr="00270C19">
        <w:rPr>
          <w:szCs w:val="24"/>
          <w:lang w:eastAsia="en-US"/>
        </w:rPr>
        <w:t>ograničiti ula</w:t>
      </w:r>
      <w:r w:rsidR="009010EA">
        <w:rPr>
          <w:szCs w:val="24"/>
          <w:lang w:eastAsia="en-US"/>
        </w:rPr>
        <w:t xml:space="preserve">zak novih operatora na tržište. </w:t>
      </w:r>
      <w:r w:rsidR="009010EA" w:rsidRPr="00252DE4">
        <w:rPr>
          <w:szCs w:val="24"/>
          <w:lang w:eastAsia="en-US"/>
        </w:rPr>
        <w:t>S tim u vezi</w:t>
      </w:r>
      <w:r w:rsidR="00993D7D" w:rsidRPr="00252DE4">
        <w:rPr>
          <w:szCs w:val="24"/>
        </w:rPr>
        <w:t>, HAKOM određuje jedinstveni iznos naknade za kašnjenje u realizaciji usluge međupovezivanja u iznosu od 500 HRK po danu za kašnjenje u realizaciji u prvih deset dana, a od jedanaestog dana pa sve do realizacije usluge u iznosu od 1000 HRK po danu za kašnjenje u realizaciji usluge.</w:t>
      </w:r>
      <w:r w:rsidR="00993D7D" w:rsidRPr="00993D7D">
        <w:rPr>
          <w:szCs w:val="24"/>
        </w:rPr>
        <w:t xml:space="preserve"> </w:t>
      </w:r>
      <w:r w:rsidR="002338A0" w:rsidRPr="00270C19">
        <w:rPr>
          <w:szCs w:val="24"/>
          <w:lang w:eastAsia="en-US"/>
        </w:rPr>
        <w:t xml:space="preserve">Naknada za kašnjenje se isplaćuje isključivo u slučaju kada je do kašnjenja došlo zbog greške operatora </w:t>
      </w:r>
      <w:r w:rsidR="00113A5B" w:rsidRPr="00270C19">
        <w:rPr>
          <w:szCs w:val="24"/>
          <w:lang w:eastAsia="en-US"/>
        </w:rPr>
        <w:t>kojem je podnesen zahtjev za međupovezivanje</w:t>
      </w:r>
      <w:r w:rsidR="002338A0" w:rsidRPr="00270C19">
        <w:rPr>
          <w:szCs w:val="24"/>
          <w:lang w:eastAsia="en-US"/>
        </w:rPr>
        <w:t xml:space="preserve">. </w:t>
      </w:r>
    </w:p>
    <w:p w:rsidR="00021598" w:rsidRDefault="00021598" w:rsidP="00403874">
      <w:pPr>
        <w:pStyle w:val="ListParagraph"/>
        <w:spacing w:before="0" w:after="0"/>
        <w:ind w:left="0"/>
        <w:jc w:val="both"/>
        <w:rPr>
          <w:color w:val="auto"/>
          <w:sz w:val="24"/>
          <w:szCs w:val="24"/>
          <w:lang w:eastAsia="en-US"/>
        </w:rPr>
      </w:pPr>
    </w:p>
    <w:p w:rsidR="00021598" w:rsidRDefault="00113A5B" w:rsidP="005D1D97">
      <w:pPr>
        <w:pStyle w:val="ListParagraph"/>
        <w:spacing w:before="0" w:after="0"/>
        <w:ind w:left="0"/>
        <w:jc w:val="both"/>
        <w:rPr>
          <w:color w:val="auto"/>
          <w:sz w:val="24"/>
          <w:szCs w:val="24"/>
          <w:lang w:eastAsia="en-US"/>
        </w:rPr>
      </w:pPr>
      <w:r w:rsidRPr="00021598">
        <w:rPr>
          <w:color w:val="auto"/>
          <w:sz w:val="24"/>
          <w:szCs w:val="24"/>
          <w:lang w:eastAsia="en-US"/>
        </w:rPr>
        <w:t xml:space="preserve">Međutim, ukoliko operator podnositelj zahtjeva nakon podnošenja zahtjeva odustane od zatražene usluge međupovezivanja, </w:t>
      </w:r>
      <w:r w:rsidR="00C67372">
        <w:rPr>
          <w:color w:val="auto"/>
          <w:sz w:val="24"/>
          <w:szCs w:val="24"/>
          <w:lang w:eastAsia="en-US"/>
        </w:rPr>
        <w:t>operator koji je zaprimio zahtjev za međupovezivanjem</w:t>
      </w:r>
      <w:r w:rsidRPr="00021598">
        <w:rPr>
          <w:color w:val="auto"/>
          <w:sz w:val="24"/>
          <w:szCs w:val="24"/>
          <w:lang w:eastAsia="en-US"/>
        </w:rPr>
        <w:t xml:space="preserve"> ima </w:t>
      </w:r>
      <w:r w:rsidRPr="00113A5B">
        <w:rPr>
          <w:color w:val="auto"/>
          <w:sz w:val="24"/>
          <w:szCs w:val="24"/>
          <w:lang w:eastAsia="en-US"/>
        </w:rPr>
        <w:t>pravo na naknadu troškova vezanih uz pripremu usluge međupovezivanja.</w:t>
      </w:r>
      <w:r w:rsidR="00021598">
        <w:rPr>
          <w:color w:val="auto"/>
          <w:sz w:val="24"/>
          <w:szCs w:val="24"/>
          <w:lang w:eastAsia="en-US"/>
        </w:rPr>
        <w:t xml:space="preserve"> Naime, troškovi za operatora koji pruža međupovezivanje se javljaju već u fazi pripreme međupovezivanja, a prije same realizacije međupovezivanja. Upravo da bi se izbjegli neopravdani troškovi za operatora koji pruža međupovezivanja, ako na strani operatora koji isto traži ne postoji stvarna namjera za uspostavljanje istog, HAKOM smatra opravdanim zaštititi operatora koji pruža međupovezivanje od neopravdanih troškova. </w:t>
      </w:r>
    </w:p>
    <w:p w:rsidR="00C67372" w:rsidRDefault="00C67372" w:rsidP="005D1D97">
      <w:pPr>
        <w:pStyle w:val="ListParagraph"/>
        <w:spacing w:before="0" w:after="0"/>
        <w:ind w:left="0"/>
        <w:jc w:val="both"/>
        <w:rPr>
          <w:color w:val="auto"/>
          <w:sz w:val="24"/>
          <w:szCs w:val="24"/>
          <w:lang w:eastAsia="en-US"/>
        </w:rPr>
      </w:pPr>
    </w:p>
    <w:p w:rsidR="00C67372" w:rsidRPr="00945D6C" w:rsidRDefault="00C67372" w:rsidP="00C67372">
      <w:pPr>
        <w:contextualSpacing/>
        <w:jc w:val="both"/>
        <w:rPr>
          <w:rFonts w:asciiTheme="majorHAnsi" w:eastAsiaTheme="majorEastAsia" w:hAnsiTheme="majorHAnsi" w:cstheme="majorBidi"/>
          <w:i/>
          <w:iCs/>
          <w:color w:val="4F81BD" w:themeColor="accent1"/>
          <w:spacing w:val="15"/>
          <w:szCs w:val="24"/>
        </w:rPr>
      </w:pPr>
      <w:r w:rsidRPr="00945D6C">
        <w:rPr>
          <w:rFonts w:asciiTheme="majorHAnsi" w:eastAsiaTheme="majorEastAsia" w:hAnsiTheme="majorHAnsi" w:cstheme="majorBidi"/>
          <w:i/>
          <w:iCs/>
          <w:color w:val="4F81BD" w:themeColor="accent1"/>
          <w:spacing w:val="15"/>
          <w:szCs w:val="24"/>
        </w:rPr>
        <w:t>Osiguranje zajedničkog korištenja prostora i elektroničke komunikacijske infrastrukture te povezane opreme</w:t>
      </w:r>
    </w:p>
    <w:p w:rsidR="00C67372" w:rsidRPr="00945D6C" w:rsidRDefault="00C67372" w:rsidP="00C67372">
      <w:pPr>
        <w:pStyle w:val="ListParagraph"/>
        <w:spacing w:before="0" w:after="0"/>
        <w:ind w:left="0"/>
        <w:jc w:val="both"/>
        <w:rPr>
          <w:color w:val="auto"/>
          <w:sz w:val="24"/>
          <w:szCs w:val="24"/>
          <w:lang w:eastAsia="en-US"/>
        </w:rPr>
      </w:pPr>
    </w:p>
    <w:p w:rsidR="00945D6C" w:rsidRPr="00945D6C" w:rsidRDefault="00945D6C" w:rsidP="00945D6C">
      <w:pPr>
        <w:pStyle w:val="Subtitle"/>
        <w:rPr>
          <w:sz w:val="22"/>
          <w:szCs w:val="22"/>
          <w:lang w:eastAsia="en-US"/>
        </w:rPr>
      </w:pPr>
      <w:r w:rsidRPr="00945D6C">
        <w:rPr>
          <w:sz w:val="22"/>
          <w:szCs w:val="22"/>
          <w:lang w:eastAsia="en-US"/>
        </w:rPr>
        <w:t>HT</w:t>
      </w:r>
    </w:p>
    <w:p w:rsidR="00C67372" w:rsidRPr="00945D6C" w:rsidRDefault="00C67372" w:rsidP="00C67372">
      <w:pPr>
        <w:pStyle w:val="ListParagraph"/>
        <w:spacing w:before="0" w:after="0"/>
        <w:ind w:left="0"/>
        <w:jc w:val="both"/>
        <w:rPr>
          <w:color w:val="auto"/>
          <w:sz w:val="24"/>
          <w:szCs w:val="24"/>
          <w:lang w:eastAsia="en-US"/>
        </w:rPr>
      </w:pPr>
      <w:r w:rsidRPr="00945D6C">
        <w:rPr>
          <w:color w:val="auto"/>
          <w:sz w:val="24"/>
          <w:szCs w:val="24"/>
          <w:lang w:eastAsia="en-US"/>
        </w:rPr>
        <w:t xml:space="preserve">HAKOM je zadržao HT-u obvezu osiguranja zajedničkog korištenja elektroničke komunikacijske infrastrukture i povezane opreme, pri čemu je HT obvezan osigurati pristupne vodove na zahtjev operatora, koji omogućavaju pristup svakoj pristupnoj točki u mreži HT-a, u svrhu ostvarivanja međupovezivanja. Nadalje, prilikom uspostave međupovezivanja, u slučaju nedostatka kapaciteta u vidu postojećih STM1 sučelja, HT ima određene troškove koji nastaju zbog uspostave STM1 veze s obzirom da je potrebno osigurati nova STM1 sučelja kako bi se omogućilo međupovezivanje. HAKOM smatra kako je u takvim situacijama HT-u potrebno omogućiti nadoknadu navedenih troškova. Nadalje, uzevši u obzir da je riječ o jednokratnim troškovima, HAKOM smatra kako je iste opravdano nadoknaditi kroz jednokratnu naknadu. </w:t>
      </w:r>
    </w:p>
    <w:p w:rsidR="00C67372" w:rsidRPr="00945D6C" w:rsidRDefault="00C67372" w:rsidP="00C67372">
      <w:pPr>
        <w:pStyle w:val="ListParagraph"/>
        <w:spacing w:before="0" w:after="0"/>
        <w:ind w:left="0"/>
        <w:jc w:val="both"/>
        <w:rPr>
          <w:color w:val="auto"/>
          <w:sz w:val="24"/>
          <w:szCs w:val="24"/>
          <w:lang w:eastAsia="en-US"/>
        </w:rPr>
      </w:pPr>
    </w:p>
    <w:p w:rsidR="00C67372" w:rsidRPr="001039A2" w:rsidRDefault="00C67372" w:rsidP="001039A2">
      <w:pPr>
        <w:jc w:val="both"/>
        <w:rPr>
          <w:rFonts w:ascii="Calibri" w:hAnsi="Calibri"/>
          <w:szCs w:val="24"/>
        </w:rPr>
      </w:pPr>
      <w:r w:rsidRPr="00F50772">
        <w:rPr>
          <w:szCs w:val="24"/>
          <w:lang w:eastAsia="en-US"/>
        </w:rPr>
        <w:t xml:space="preserve">HT je i dalje obvezan osigurati uslugu </w:t>
      </w:r>
      <w:proofErr w:type="spellStart"/>
      <w:r w:rsidRPr="00F50772">
        <w:rPr>
          <w:szCs w:val="24"/>
          <w:lang w:eastAsia="en-US"/>
        </w:rPr>
        <w:t>kolokacije</w:t>
      </w:r>
      <w:proofErr w:type="spellEnd"/>
      <w:r w:rsidRPr="00F50772">
        <w:rPr>
          <w:szCs w:val="24"/>
          <w:lang w:eastAsia="en-US"/>
        </w:rPr>
        <w:t xml:space="preserve">, pri čemu </w:t>
      </w:r>
      <w:r w:rsidRPr="001039A2">
        <w:rPr>
          <w:rFonts w:ascii="Calibri" w:hAnsi="Calibri"/>
          <w:szCs w:val="24"/>
        </w:rPr>
        <w:t xml:space="preserve">vrijede isti uvjeti određeni u analizi mjerodavnog tržišta </w:t>
      </w:r>
      <w:r w:rsidR="00F50772" w:rsidRPr="001039A2">
        <w:rPr>
          <w:rFonts w:ascii="Calibri" w:hAnsi="Calibri"/>
          <w:szCs w:val="24"/>
        </w:rPr>
        <w:t>veleprodajnog lokalnog pristupa koji se pružana fiksnoj lokaciji</w:t>
      </w:r>
      <w:r w:rsidRPr="001039A2">
        <w:rPr>
          <w:rFonts w:ascii="Calibri" w:hAnsi="Calibri"/>
          <w:szCs w:val="24"/>
        </w:rPr>
        <w:t xml:space="preserve"> i svim sljedećim izmjenama analize navedenog tržišta te uvjeti iz Standardne ponude Hrvatskog Telekoma d.d. za uslugu izdvojenog pristupa lokalnoj petlji.</w:t>
      </w:r>
    </w:p>
    <w:p w:rsidR="00357335" w:rsidRPr="00945D6C" w:rsidRDefault="00357335" w:rsidP="00C67372">
      <w:pPr>
        <w:pStyle w:val="ListParagraph"/>
        <w:spacing w:before="0" w:after="0"/>
        <w:ind w:left="0"/>
        <w:jc w:val="both"/>
        <w:rPr>
          <w:color w:val="auto"/>
          <w:sz w:val="24"/>
          <w:szCs w:val="24"/>
          <w:lang w:eastAsia="en-US"/>
        </w:rPr>
      </w:pPr>
    </w:p>
    <w:p w:rsidR="00945D6C" w:rsidRPr="00945D6C" w:rsidRDefault="00945D6C" w:rsidP="00945D6C">
      <w:pPr>
        <w:pStyle w:val="Subtitle"/>
        <w:rPr>
          <w:sz w:val="22"/>
          <w:szCs w:val="22"/>
          <w:lang w:eastAsia="en-US"/>
        </w:rPr>
      </w:pPr>
      <w:r w:rsidRPr="00945D6C">
        <w:rPr>
          <w:sz w:val="22"/>
          <w:szCs w:val="22"/>
          <w:lang w:eastAsia="en-US"/>
        </w:rPr>
        <w:t>Ostali operatori</w:t>
      </w:r>
    </w:p>
    <w:p w:rsidR="00C67372" w:rsidRPr="00C67372" w:rsidRDefault="00C67372" w:rsidP="00C67372">
      <w:pPr>
        <w:pStyle w:val="ListParagraph"/>
        <w:spacing w:before="0" w:after="0"/>
        <w:ind w:left="0"/>
        <w:jc w:val="both"/>
        <w:rPr>
          <w:color w:val="auto"/>
          <w:sz w:val="24"/>
          <w:szCs w:val="24"/>
          <w:lang w:eastAsia="en-US"/>
        </w:rPr>
      </w:pPr>
      <w:r w:rsidRPr="00945D6C">
        <w:rPr>
          <w:color w:val="auto"/>
          <w:sz w:val="24"/>
          <w:szCs w:val="24"/>
          <w:lang w:eastAsia="en-US"/>
        </w:rPr>
        <w:t xml:space="preserve">Također, i ostali operatori sa značajnom tržišnom snagom imaju pravo naplatiti jednokratnu naknadu za uspostavu STM1 veze operatoru na čiji je zahtjev za realizaciju međupovezivanja, a zbog nedostatka kapaciteta u vidu postojećih STM1 sučelja, bilo potrebno osigurati nova STM1 sučelja. U slučaju kada ostali operatori pružaju uslugu </w:t>
      </w:r>
      <w:proofErr w:type="spellStart"/>
      <w:r w:rsidRPr="00945D6C">
        <w:rPr>
          <w:color w:val="auto"/>
          <w:sz w:val="24"/>
          <w:szCs w:val="24"/>
          <w:lang w:eastAsia="en-US"/>
        </w:rPr>
        <w:t>kolokacije</w:t>
      </w:r>
      <w:proofErr w:type="spellEnd"/>
      <w:r w:rsidRPr="00945D6C">
        <w:rPr>
          <w:color w:val="auto"/>
          <w:sz w:val="24"/>
          <w:szCs w:val="24"/>
          <w:lang w:eastAsia="en-US"/>
        </w:rPr>
        <w:t xml:space="preserve"> HT-u ili drugim operatorima, ostali operatori imaju pravo naplatiti troškove </w:t>
      </w:r>
      <w:proofErr w:type="spellStart"/>
      <w:r w:rsidRPr="00945D6C">
        <w:rPr>
          <w:color w:val="auto"/>
          <w:sz w:val="24"/>
          <w:szCs w:val="24"/>
          <w:lang w:eastAsia="en-US"/>
        </w:rPr>
        <w:t>kolokacije</w:t>
      </w:r>
      <w:proofErr w:type="spellEnd"/>
      <w:r w:rsidRPr="00945D6C">
        <w:rPr>
          <w:color w:val="auto"/>
          <w:sz w:val="24"/>
          <w:szCs w:val="24"/>
          <w:lang w:eastAsia="en-US"/>
        </w:rPr>
        <w:t xml:space="preserve"> na način kako je definirano u obvezi nadzora cijena.</w:t>
      </w:r>
    </w:p>
    <w:p w:rsidR="00021598" w:rsidRDefault="00021598" w:rsidP="00021598">
      <w:pPr>
        <w:jc w:val="both"/>
      </w:pPr>
    </w:p>
    <w:p w:rsidR="00C67372" w:rsidRPr="00DB24D6" w:rsidRDefault="00C67372" w:rsidP="00C67372">
      <w:pPr>
        <w:pStyle w:val="Heading3"/>
        <w:rPr>
          <w:i/>
          <w:iCs/>
        </w:rPr>
      </w:pPr>
      <w:bookmarkStart w:id="186" w:name="_Toc524984034"/>
      <w:bookmarkStart w:id="187" w:name="_Toc525073012"/>
      <w:bookmarkStart w:id="188" w:name="_Toc525729857"/>
      <w:r w:rsidRPr="00DB24D6">
        <w:rPr>
          <w:rFonts w:eastAsiaTheme="majorEastAsia"/>
        </w:rPr>
        <w:t>Regulatorna</w:t>
      </w:r>
      <w:r w:rsidRPr="00DB24D6">
        <w:t xml:space="preserve"> obveza pristupa i korištenja posebnih dijelova mreže određena </w:t>
      </w:r>
      <w:r>
        <w:t xml:space="preserve">samo </w:t>
      </w:r>
      <w:r w:rsidRPr="00DB24D6">
        <w:t>HT-u kao operatoru sa značajnom tržišnom snagom</w:t>
      </w:r>
      <w:bookmarkEnd w:id="186"/>
      <w:r>
        <w:t xml:space="preserve"> na ovom mjerodavnom tržištu</w:t>
      </w:r>
      <w:bookmarkEnd w:id="187"/>
      <w:bookmarkEnd w:id="188"/>
    </w:p>
    <w:p w:rsidR="00C67372" w:rsidRPr="00A01F72" w:rsidRDefault="00C67372" w:rsidP="00C67372">
      <w:pPr>
        <w:jc w:val="both"/>
      </w:pPr>
    </w:p>
    <w:p w:rsidR="00D85775" w:rsidRPr="00210050" w:rsidRDefault="00D85775" w:rsidP="00D85775">
      <w:pPr>
        <w:contextualSpacing/>
        <w:jc w:val="both"/>
        <w:rPr>
          <w:rFonts w:asciiTheme="majorHAnsi" w:eastAsiaTheme="majorEastAsia" w:hAnsiTheme="majorHAnsi" w:cstheme="majorBidi"/>
          <w:i/>
          <w:iCs/>
          <w:color w:val="4F81BD" w:themeColor="accent1"/>
          <w:spacing w:val="15"/>
          <w:szCs w:val="24"/>
        </w:rPr>
      </w:pPr>
      <w:r>
        <w:rPr>
          <w:rFonts w:asciiTheme="majorHAnsi" w:eastAsiaTheme="majorEastAsia" w:hAnsiTheme="majorHAnsi" w:cstheme="majorBidi"/>
          <w:i/>
          <w:iCs/>
          <w:color w:val="4F81BD" w:themeColor="accent1"/>
          <w:spacing w:val="15"/>
          <w:szCs w:val="24"/>
        </w:rPr>
        <w:t>U</w:t>
      </w:r>
      <w:r w:rsidRPr="00210050">
        <w:rPr>
          <w:rFonts w:asciiTheme="majorHAnsi" w:eastAsiaTheme="majorEastAsia" w:hAnsiTheme="majorHAnsi" w:cstheme="majorBidi"/>
          <w:i/>
          <w:iCs/>
          <w:color w:val="4F81BD" w:themeColor="accent1"/>
          <w:spacing w:val="15"/>
          <w:szCs w:val="24"/>
        </w:rPr>
        <w:t>govor</w:t>
      </w:r>
      <w:r>
        <w:rPr>
          <w:rFonts w:asciiTheme="majorHAnsi" w:eastAsiaTheme="majorEastAsia" w:hAnsiTheme="majorHAnsi" w:cstheme="majorBidi"/>
          <w:i/>
          <w:iCs/>
          <w:color w:val="4F81BD" w:themeColor="accent1"/>
          <w:spacing w:val="15"/>
          <w:szCs w:val="24"/>
        </w:rPr>
        <w:t>i</w:t>
      </w:r>
      <w:r w:rsidRPr="00210050">
        <w:rPr>
          <w:rFonts w:asciiTheme="majorHAnsi" w:eastAsiaTheme="majorEastAsia" w:hAnsiTheme="majorHAnsi" w:cstheme="majorBidi"/>
          <w:i/>
          <w:iCs/>
          <w:color w:val="4F81BD" w:themeColor="accent1"/>
          <w:spacing w:val="15"/>
          <w:szCs w:val="24"/>
        </w:rPr>
        <w:t xml:space="preserve"> o razini usluge</w:t>
      </w:r>
    </w:p>
    <w:p w:rsidR="00D85775" w:rsidRDefault="00D85775" w:rsidP="00D85775">
      <w:pPr>
        <w:pStyle w:val="ListParagraph"/>
        <w:spacing w:before="0" w:after="0"/>
        <w:ind w:left="0"/>
        <w:jc w:val="both"/>
        <w:rPr>
          <w:color w:val="auto"/>
          <w:sz w:val="24"/>
          <w:szCs w:val="24"/>
          <w:lang w:eastAsia="en-US"/>
        </w:rPr>
      </w:pPr>
    </w:p>
    <w:p w:rsidR="00A01F72" w:rsidRPr="00D85775" w:rsidRDefault="00A01F72" w:rsidP="00D85775">
      <w:pPr>
        <w:pStyle w:val="ListParagraph"/>
        <w:spacing w:before="0" w:after="0"/>
        <w:ind w:left="0"/>
        <w:jc w:val="both"/>
        <w:rPr>
          <w:color w:val="auto"/>
          <w:sz w:val="24"/>
          <w:szCs w:val="24"/>
          <w:lang w:eastAsia="en-US"/>
        </w:rPr>
      </w:pPr>
      <w:r w:rsidRPr="00D85775">
        <w:rPr>
          <w:color w:val="auto"/>
          <w:sz w:val="24"/>
          <w:szCs w:val="24"/>
          <w:lang w:eastAsia="en-US"/>
        </w:rPr>
        <w:t xml:space="preserve">HT </w:t>
      </w:r>
      <w:r w:rsidR="00D85775">
        <w:rPr>
          <w:color w:val="auto"/>
          <w:sz w:val="24"/>
          <w:szCs w:val="24"/>
          <w:lang w:eastAsia="en-US"/>
        </w:rPr>
        <w:t>je obvezan</w:t>
      </w:r>
      <w:r w:rsidRPr="00D85775">
        <w:rPr>
          <w:color w:val="auto"/>
          <w:sz w:val="24"/>
          <w:szCs w:val="24"/>
          <w:lang w:eastAsia="en-US"/>
        </w:rPr>
        <w:t xml:space="preserve"> osigura</w:t>
      </w:r>
      <w:r w:rsidR="00D85775">
        <w:rPr>
          <w:color w:val="auto"/>
          <w:sz w:val="24"/>
          <w:szCs w:val="24"/>
          <w:lang w:eastAsia="en-US"/>
        </w:rPr>
        <w:t>ti</w:t>
      </w:r>
      <w:r w:rsidRPr="00D85775">
        <w:rPr>
          <w:color w:val="auto"/>
          <w:sz w:val="24"/>
          <w:szCs w:val="24"/>
          <w:lang w:eastAsia="en-US"/>
        </w:rPr>
        <w:t xml:space="preserve"> određenu razinu usluge - SLA (</w:t>
      </w:r>
      <w:proofErr w:type="spellStart"/>
      <w:r w:rsidRPr="00D85775">
        <w:rPr>
          <w:color w:val="auto"/>
          <w:sz w:val="24"/>
          <w:szCs w:val="24"/>
          <w:lang w:eastAsia="en-US"/>
        </w:rPr>
        <w:t>eng</w:t>
      </w:r>
      <w:proofErr w:type="spellEnd"/>
      <w:r w:rsidRPr="00D85775">
        <w:rPr>
          <w:color w:val="auto"/>
          <w:sz w:val="24"/>
          <w:szCs w:val="24"/>
          <w:lang w:eastAsia="en-US"/>
        </w:rPr>
        <w:t xml:space="preserve">. </w:t>
      </w:r>
      <w:r w:rsidRPr="00D85775">
        <w:rPr>
          <w:i/>
          <w:color w:val="auto"/>
          <w:sz w:val="24"/>
          <w:szCs w:val="24"/>
          <w:lang w:eastAsia="en-US"/>
        </w:rPr>
        <w:t xml:space="preserve">Service </w:t>
      </w:r>
      <w:proofErr w:type="spellStart"/>
      <w:r w:rsidRPr="00D85775">
        <w:rPr>
          <w:i/>
          <w:color w:val="auto"/>
          <w:sz w:val="24"/>
          <w:szCs w:val="24"/>
          <w:lang w:eastAsia="en-US"/>
        </w:rPr>
        <w:t>Level</w:t>
      </w:r>
      <w:proofErr w:type="spellEnd"/>
      <w:r w:rsidRPr="00D85775">
        <w:rPr>
          <w:i/>
          <w:color w:val="auto"/>
          <w:sz w:val="24"/>
          <w:szCs w:val="24"/>
          <w:lang w:eastAsia="en-US"/>
        </w:rPr>
        <w:t xml:space="preserve"> </w:t>
      </w:r>
      <w:proofErr w:type="spellStart"/>
      <w:r w:rsidRPr="00D85775">
        <w:rPr>
          <w:i/>
          <w:color w:val="auto"/>
          <w:sz w:val="24"/>
          <w:szCs w:val="24"/>
          <w:lang w:eastAsia="en-US"/>
        </w:rPr>
        <w:t>Agreements</w:t>
      </w:r>
      <w:proofErr w:type="spellEnd"/>
      <w:r w:rsidRPr="00D85775">
        <w:rPr>
          <w:color w:val="auto"/>
          <w:sz w:val="24"/>
          <w:szCs w:val="24"/>
          <w:lang w:eastAsia="en-US"/>
        </w:rPr>
        <w:t xml:space="preserve">) za uslugu veleprodajnog završavanja </w:t>
      </w:r>
      <w:r w:rsidR="007E4538" w:rsidRPr="00D85775">
        <w:rPr>
          <w:color w:val="auto"/>
          <w:sz w:val="24"/>
          <w:szCs w:val="24"/>
          <w:lang w:eastAsia="en-US"/>
        </w:rPr>
        <w:t>poziva</w:t>
      </w:r>
      <w:r w:rsidRPr="00D85775">
        <w:rPr>
          <w:color w:val="auto"/>
          <w:sz w:val="24"/>
          <w:szCs w:val="24"/>
          <w:lang w:eastAsia="en-US"/>
        </w:rPr>
        <w:t xml:space="preserve"> kao što su npr. omjer raspodjele prometa po operatorima za vrijeme kvara u mreži, stopa nepropusnosti mreže, rokovi uspostave usluge te vrijeme otklona kvarova. Također, sastavni dio svakog SLA su i odgovarajuće naknade u slučaju neispunjavanja određenih rokova u SLA. Sukladno navedenom, HAKOM zadržava HT-u obvezu pružanja osnovne razine usluga koje čine sastavni dio predmetne Standardne ponude. Kako bi se osigurala primjena nametnute osnovne razine SLA, HAKOM je odredio HT-u obvezu objavljivanja (indikatora) pokazatelja učinkovitosti na tromjesečnoj osnovi ili na zahtjev HAKOM-a što je detaljno navedeno u dijelu obveze transparentnosti. Navedena regulatorna obveza je </w:t>
      </w:r>
      <w:r w:rsidR="00F50772">
        <w:rPr>
          <w:color w:val="auto"/>
          <w:sz w:val="24"/>
          <w:szCs w:val="24"/>
          <w:lang w:eastAsia="en-US"/>
        </w:rPr>
        <w:t xml:space="preserve">određena </w:t>
      </w:r>
      <w:r w:rsidRPr="00D85775">
        <w:rPr>
          <w:color w:val="auto"/>
          <w:sz w:val="24"/>
          <w:szCs w:val="24"/>
          <w:lang w:eastAsia="en-US"/>
        </w:rPr>
        <w:t>samo HT</w:t>
      </w:r>
      <w:r w:rsidR="00F50772">
        <w:rPr>
          <w:color w:val="auto"/>
          <w:sz w:val="24"/>
          <w:szCs w:val="24"/>
          <w:lang w:eastAsia="en-US"/>
        </w:rPr>
        <w:t>-u</w:t>
      </w:r>
      <w:r w:rsidRPr="00D85775">
        <w:rPr>
          <w:color w:val="auto"/>
          <w:sz w:val="24"/>
          <w:szCs w:val="24"/>
          <w:lang w:eastAsia="en-US"/>
        </w:rPr>
        <w:t xml:space="preserve"> budući da upravo HT ima najrašireniju mrežu i najveći broj minuta poziva završava (terminira) u mreži HT-a što HT čini najatraktivnijim operatorom za međupovezivanje.</w:t>
      </w:r>
    </w:p>
    <w:p w:rsidR="00A01F72" w:rsidRPr="00A01F72" w:rsidRDefault="00A01F72" w:rsidP="00A01F72">
      <w:pPr>
        <w:jc w:val="both"/>
      </w:pPr>
    </w:p>
    <w:p w:rsidR="00C67372" w:rsidRPr="00C67372" w:rsidRDefault="00C67372" w:rsidP="00C67372">
      <w:pPr>
        <w:contextualSpacing/>
        <w:jc w:val="both"/>
        <w:rPr>
          <w:rFonts w:asciiTheme="majorHAnsi" w:eastAsiaTheme="majorEastAsia" w:hAnsiTheme="majorHAnsi" w:cstheme="majorBidi"/>
          <w:i/>
          <w:iCs/>
          <w:color w:val="4F81BD" w:themeColor="accent1"/>
          <w:spacing w:val="15"/>
          <w:szCs w:val="24"/>
        </w:rPr>
      </w:pPr>
      <w:r w:rsidRPr="00C67372">
        <w:rPr>
          <w:rFonts w:asciiTheme="majorHAnsi" w:eastAsiaTheme="majorEastAsia" w:hAnsiTheme="majorHAnsi" w:cstheme="majorBidi"/>
          <w:i/>
          <w:iCs/>
          <w:color w:val="4F81BD" w:themeColor="accent1"/>
          <w:spacing w:val="15"/>
          <w:szCs w:val="24"/>
        </w:rPr>
        <w:t>Pristup brojevima općih informacija u mreži HT-a</w:t>
      </w:r>
    </w:p>
    <w:p w:rsidR="00C67372" w:rsidRDefault="00C67372" w:rsidP="00C67372">
      <w:pPr>
        <w:pStyle w:val="ListParagraph"/>
        <w:spacing w:before="0" w:after="0"/>
        <w:ind w:left="0"/>
        <w:jc w:val="both"/>
        <w:rPr>
          <w:color w:val="auto"/>
          <w:sz w:val="24"/>
          <w:szCs w:val="24"/>
          <w:lang w:eastAsia="en-US"/>
        </w:rPr>
      </w:pPr>
    </w:p>
    <w:p w:rsidR="00A01F72" w:rsidRDefault="00A01F72" w:rsidP="00C67372">
      <w:pPr>
        <w:pStyle w:val="ListParagraph"/>
        <w:spacing w:before="0" w:after="0"/>
        <w:ind w:left="0"/>
        <w:jc w:val="both"/>
        <w:rPr>
          <w:color w:val="auto"/>
          <w:sz w:val="24"/>
          <w:szCs w:val="24"/>
          <w:lang w:eastAsia="en-US"/>
        </w:rPr>
      </w:pPr>
      <w:r w:rsidRPr="000C5040">
        <w:rPr>
          <w:color w:val="auto"/>
          <w:sz w:val="24"/>
          <w:szCs w:val="24"/>
          <w:lang w:eastAsia="en-US"/>
        </w:rPr>
        <w:t xml:space="preserve">Nadalje, HAKOM zadržava HT-u obvezu omogućavanja krajnjim korisnicima drugog operatora pristup brojevima općih informacija (usluzi 18981) uslugama u vlastitoj mreži na način da se omogući održivo tržišno natjecanje. HAKOM navedeno smatra potrebnim kako bi se onemogućilo uskraćivanje pristupa ili bilo koje drugo neprihvatljivo uvjetovanje ili ograničenje sličnog učinka koje bi spriječilo održivo tržišno natjecanje ili bi bilo protivno interesima krajnjih korisnika usluga. </w:t>
      </w:r>
    </w:p>
    <w:p w:rsidR="00AC0A4E" w:rsidRPr="007B75A0" w:rsidRDefault="00AC0A4E" w:rsidP="00AC0A4E">
      <w:pPr>
        <w:spacing w:before="120" w:after="120"/>
        <w:jc w:val="center"/>
        <w:rPr>
          <w:szCs w:val="24"/>
        </w:rPr>
      </w:pPr>
      <w:r w:rsidRPr="007B75A0">
        <w:rPr>
          <w:szCs w:val="24"/>
        </w:rPr>
        <w:t>***</w:t>
      </w:r>
    </w:p>
    <w:p w:rsidR="00A01F72" w:rsidRPr="00A01F72" w:rsidRDefault="00A01F72" w:rsidP="00A01F72">
      <w:pPr>
        <w:jc w:val="both"/>
      </w:pPr>
      <w:r w:rsidRPr="00A01F72">
        <w:t>HAKOM je mišljenja kako je zadržavanjem regulatorne obveze pristupa i korištenja posebnih dijelova mreže u potpunosti uklonio s tržišta prepreke koje se odnose na odbijanje dogovora/uskraćivanje međupovezivanja i taktike odgađanja. S obzirom da navedenom obvezom nije u potpunosti riješena mogućnost da operatori sa značajnom tržišnom snagom pružaju pristup za međupovezivanje pod nediskriminacijskim uvjetima, HAKOM je obvezu pristupa u svrhu međupovezivanja zadržao zajedno s obvezom nediskriminacije, a sve s ciljem stvaranja uvjeta za djelotvorno tržišno natjecanje.</w:t>
      </w:r>
    </w:p>
    <w:p w:rsidR="00A01F72" w:rsidRPr="00A01F72" w:rsidRDefault="00896EB1" w:rsidP="004D5A66">
      <w:pPr>
        <w:spacing w:after="200" w:line="276" w:lineRule="auto"/>
      </w:pPr>
      <w:r>
        <w:br w:type="page"/>
      </w:r>
    </w:p>
    <w:p w:rsidR="00B47D48" w:rsidRPr="00DC0D11" w:rsidRDefault="00B47D48" w:rsidP="00ED4D44">
      <w:pPr>
        <w:pStyle w:val="Heading2"/>
      </w:pPr>
      <w:bookmarkStart w:id="189" w:name="_Toc409067008"/>
      <w:bookmarkStart w:id="190" w:name="_Toc236634851"/>
      <w:bookmarkEnd w:id="189"/>
      <w:r w:rsidRPr="00D65505">
        <w:lastRenderedPageBreak/>
        <w:t xml:space="preserve"> </w:t>
      </w:r>
      <w:bookmarkStart w:id="191" w:name="_Toc357581403"/>
      <w:bookmarkStart w:id="192" w:name="_Toc524984036"/>
      <w:bookmarkStart w:id="193" w:name="_Toc525073013"/>
      <w:bookmarkStart w:id="194" w:name="_Toc525729858"/>
      <w:r w:rsidRPr="00D65505">
        <w:t>Obveza nediskriminacije</w:t>
      </w:r>
      <w:bookmarkEnd w:id="191"/>
      <w:bookmarkEnd w:id="192"/>
      <w:bookmarkEnd w:id="193"/>
      <w:bookmarkEnd w:id="194"/>
      <w:r w:rsidRPr="00D65505">
        <w:t xml:space="preserve"> </w:t>
      </w:r>
      <w:bookmarkEnd w:id="190"/>
    </w:p>
    <w:p w:rsidR="00A24A72" w:rsidRDefault="00A24A72" w:rsidP="00A24A72">
      <w:pPr>
        <w:jc w:val="both"/>
        <w:rPr>
          <w:rFonts w:ascii="Calibri" w:eastAsia="Times New Roman" w:hAnsi="Calibri" w:cs="Calibri"/>
        </w:rPr>
      </w:pPr>
      <w:r>
        <w:rPr>
          <w:szCs w:val="24"/>
        </w:rPr>
        <w:t xml:space="preserve">Na temelju prepreka prepoznatih u poglavljima 7.2. i 7.3., a u svrhu dopune obveze </w:t>
      </w:r>
      <w:r w:rsidRPr="00253BD9">
        <w:rPr>
          <w:rFonts w:eastAsia="Times New Roman" w:cstheme="minorHAnsi"/>
          <w:szCs w:val="24"/>
        </w:rPr>
        <w:t>pristupa i korištenja posebnih dijelova mreže</w:t>
      </w:r>
      <w:r w:rsidRPr="005836DE">
        <w:rPr>
          <w:szCs w:val="24"/>
        </w:rPr>
        <w:t xml:space="preserve">, HAKOM </w:t>
      </w:r>
      <w:r w:rsidR="009B4F13" w:rsidRPr="009B4F13">
        <w:rPr>
          <w:rFonts w:ascii="Calibri" w:eastAsia="Times New Roman" w:hAnsi="Calibri" w:cs="Calibri"/>
        </w:rPr>
        <w:t xml:space="preserve">određuje operatorima sa značajnom tržišnom snagom na </w:t>
      </w:r>
      <w:r>
        <w:rPr>
          <w:rFonts w:ascii="Calibri" w:eastAsia="Times New Roman" w:hAnsi="Calibri" w:cs="Calibri"/>
        </w:rPr>
        <w:t xml:space="preserve">ovom </w:t>
      </w:r>
      <w:r w:rsidR="009B4F13" w:rsidRPr="009B4F13">
        <w:rPr>
          <w:rFonts w:ascii="Calibri" w:eastAsia="Times New Roman" w:hAnsi="Calibri" w:cs="Calibri"/>
        </w:rPr>
        <w:t>mjerodavnom tržištu regulatornu obvezu nediskriminacije temeljem koje su obvezni:</w:t>
      </w:r>
      <w:r>
        <w:rPr>
          <w:rFonts w:ascii="Calibri" w:eastAsia="Times New Roman" w:hAnsi="Calibri" w:cs="Calibri"/>
        </w:rPr>
        <w:t xml:space="preserve"> </w:t>
      </w:r>
    </w:p>
    <w:p w:rsidR="00A24A72" w:rsidRDefault="00A24A72" w:rsidP="00A24A72">
      <w:pPr>
        <w:jc w:val="both"/>
        <w:rPr>
          <w:rFonts w:ascii="Calibri" w:eastAsia="Times New Roman" w:hAnsi="Calibri" w:cs="Calibri"/>
        </w:rPr>
      </w:pPr>
    </w:p>
    <w:p w:rsidR="00A24A72" w:rsidRPr="005836DE" w:rsidRDefault="00A24A72" w:rsidP="00A24A72">
      <w:pPr>
        <w:numPr>
          <w:ilvl w:val="0"/>
          <w:numId w:val="29"/>
        </w:numPr>
        <w:contextualSpacing/>
        <w:jc w:val="both"/>
        <w:rPr>
          <w:szCs w:val="24"/>
        </w:rPr>
      </w:pPr>
      <w:r w:rsidRPr="005836DE">
        <w:rPr>
          <w:szCs w:val="24"/>
        </w:rPr>
        <w:t>osigurati jednake uvjete u istovjetnim okolnostima za druge operatore koji pružaju istovjetne usluge;</w:t>
      </w:r>
    </w:p>
    <w:p w:rsidR="00A24A72" w:rsidRPr="005836DE" w:rsidRDefault="00A24A72" w:rsidP="00A24A72">
      <w:pPr>
        <w:numPr>
          <w:ilvl w:val="0"/>
          <w:numId w:val="29"/>
        </w:numPr>
        <w:contextualSpacing/>
        <w:jc w:val="both"/>
        <w:rPr>
          <w:szCs w:val="24"/>
        </w:rPr>
      </w:pPr>
      <w:r w:rsidRPr="005836DE">
        <w:rPr>
          <w:szCs w:val="24"/>
        </w:rPr>
        <w:t>pružati usluge i podatke drugim operatorima uz jednake uvjete i razinu kakvoće usluge koju osigurava za svoje vlastite usluge ili za potrebe svojih povezanih društava</w:t>
      </w:r>
      <w:r>
        <w:rPr>
          <w:szCs w:val="24"/>
        </w:rPr>
        <w:t>.</w:t>
      </w:r>
    </w:p>
    <w:p w:rsidR="00A24A72" w:rsidRPr="005836DE" w:rsidRDefault="00A24A72" w:rsidP="00A24A72">
      <w:pPr>
        <w:jc w:val="both"/>
        <w:rPr>
          <w:szCs w:val="24"/>
        </w:rPr>
      </w:pPr>
    </w:p>
    <w:p w:rsidR="00A24A72" w:rsidRDefault="00A24A72" w:rsidP="00A24A72">
      <w:pPr>
        <w:jc w:val="both"/>
        <w:rPr>
          <w:szCs w:val="24"/>
        </w:rPr>
      </w:pPr>
      <w:r>
        <w:rPr>
          <w:szCs w:val="24"/>
        </w:rPr>
        <w:t>HAKOM smatra potrebnim odrediti</w:t>
      </w:r>
      <w:r w:rsidRPr="005836DE">
        <w:rPr>
          <w:szCs w:val="24"/>
        </w:rPr>
        <w:t xml:space="preserve"> </w:t>
      </w:r>
      <w:r>
        <w:rPr>
          <w:szCs w:val="24"/>
        </w:rPr>
        <w:t>operatorima</w:t>
      </w:r>
      <w:r w:rsidRPr="005836DE">
        <w:rPr>
          <w:szCs w:val="24"/>
        </w:rPr>
        <w:t xml:space="preserve"> obvezu nediskriminacije kako bi se osiguralo da svi operatori i</w:t>
      </w:r>
      <w:r>
        <w:rPr>
          <w:szCs w:val="24"/>
        </w:rPr>
        <w:t>maju pravo na jednake uvjete</w:t>
      </w:r>
      <w:r w:rsidRPr="005836DE">
        <w:rPr>
          <w:szCs w:val="24"/>
        </w:rPr>
        <w:t xml:space="preserve">, jednake cijene, te na usluge i informacije iste kvalitete kao što ih </w:t>
      </w:r>
      <w:r w:rsidR="00F50772">
        <w:rPr>
          <w:szCs w:val="24"/>
        </w:rPr>
        <w:t>operatori</w:t>
      </w:r>
      <w:r w:rsidRPr="005836DE">
        <w:rPr>
          <w:szCs w:val="24"/>
        </w:rPr>
        <w:t xml:space="preserve"> omogućuj</w:t>
      </w:r>
      <w:r w:rsidR="00F50772">
        <w:rPr>
          <w:szCs w:val="24"/>
        </w:rPr>
        <w:t>u</w:t>
      </w:r>
      <w:r w:rsidRPr="005836DE">
        <w:rPr>
          <w:szCs w:val="24"/>
        </w:rPr>
        <w:t xml:space="preserve"> svom maloprodajnom dijelu i povezanim društvima. Pri tome usluge i informacije moraju biti predane u jednakim rokovima i s istom razinom kvalitete kao što i</w:t>
      </w:r>
      <w:r w:rsidR="00F50772">
        <w:rPr>
          <w:szCs w:val="24"/>
        </w:rPr>
        <w:t>h</w:t>
      </w:r>
      <w:r w:rsidRPr="005836DE">
        <w:rPr>
          <w:szCs w:val="24"/>
        </w:rPr>
        <w:t xml:space="preserve"> pruža</w:t>
      </w:r>
      <w:r w:rsidR="00F50772">
        <w:rPr>
          <w:szCs w:val="24"/>
        </w:rPr>
        <w:t>ju</w:t>
      </w:r>
      <w:r w:rsidRPr="005836DE">
        <w:rPr>
          <w:szCs w:val="24"/>
        </w:rPr>
        <w:t xml:space="preserve"> svom maloprodajnom dijelu i povezanim društvima. Stoga, prilikom p</w:t>
      </w:r>
      <w:r>
        <w:rPr>
          <w:szCs w:val="24"/>
        </w:rPr>
        <w:t>ružanja veleprodajne usluge</w:t>
      </w:r>
      <w:r w:rsidRPr="005836DE">
        <w:rPr>
          <w:szCs w:val="24"/>
        </w:rPr>
        <w:t xml:space="preserve"> ne smije doći do nerazumnih kašnjenja te neopravd</w:t>
      </w:r>
      <w:r>
        <w:rPr>
          <w:szCs w:val="24"/>
        </w:rPr>
        <w:t>anih ugovornih uvjeta i rokova.</w:t>
      </w:r>
    </w:p>
    <w:p w:rsidR="00A24A72" w:rsidRDefault="00A24A72" w:rsidP="00A24A72">
      <w:pPr>
        <w:jc w:val="both"/>
        <w:rPr>
          <w:szCs w:val="24"/>
        </w:rPr>
      </w:pPr>
    </w:p>
    <w:p w:rsidR="00A24A72" w:rsidRDefault="00A24A72" w:rsidP="00A24A72">
      <w:pPr>
        <w:pStyle w:val="Subtitle"/>
        <w:jc w:val="both"/>
      </w:pPr>
      <w:r w:rsidRPr="00E063D4">
        <w:t>Informacije o planiranim promjenama u mreži</w:t>
      </w:r>
    </w:p>
    <w:p w:rsidR="00A24A72" w:rsidRPr="00A24A72" w:rsidRDefault="00A24A72" w:rsidP="00A24A72"/>
    <w:p w:rsidR="00A24A72" w:rsidRDefault="00A24A72" w:rsidP="00A24A72">
      <w:pPr>
        <w:jc w:val="both"/>
        <w:rPr>
          <w:szCs w:val="24"/>
        </w:rPr>
      </w:pPr>
      <w:r w:rsidRPr="00E063D4">
        <w:rPr>
          <w:szCs w:val="24"/>
        </w:rPr>
        <w:t xml:space="preserve">HAKOM određuje </w:t>
      </w:r>
      <w:r w:rsidR="00F50772">
        <w:rPr>
          <w:szCs w:val="24"/>
        </w:rPr>
        <w:t xml:space="preserve">svim </w:t>
      </w:r>
      <w:r w:rsidRPr="00662D09">
        <w:rPr>
          <w:szCs w:val="24"/>
          <w:lang w:eastAsia="en-US"/>
        </w:rPr>
        <w:t>operatorima sa značajnom tržišnom snagom</w:t>
      </w:r>
      <w:r w:rsidR="00F50772">
        <w:rPr>
          <w:szCs w:val="24"/>
          <w:lang w:eastAsia="en-US"/>
        </w:rPr>
        <w:t xml:space="preserve"> na ovom tržištu</w:t>
      </w:r>
      <w:r>
        <w:rPr>
          <w:szCs w:val="24"/>
        </w:rPr>
        <w:t xml:space="preserve"> </w:t>
      </w:r>
      <w:r w:rsidRPr="00E063D4">
        <w:rPr>
          <w:szCs w:val="24"/>
        </w:rPr>
        <w:t xml:space="preserve">obvezu pružanja detaljnih informacija o planiranim promjenama u mreži koje imaju utjecaj na pružanje usluge </w:t>
      </w:r>
      <w:r w:rsidRPr="00662D09">
        <w:rPr>
          <w:szCs w:val="24"/>
          <w:lang w:eastAsia="en-US"/>
        </w:rPr>
        <w:t xml:space="preserve">veleprodajnog završavanja </w:t>
      </w:r>
      <w:r>
        <w:rPr>
          <w:szCs w:val="24"/>
          <w:lang w:eastAsia="en-US"/>
        </w:rPr>
        <w:t>poziva</w:t>
      </w:r>
      <w:r w:rsidRPr="00E063D4">
        <w:rPr>
          <w:szCs w:val="24"/>
        </w:rPr>
        <w:t>, i to 6 mjeseci prije navedenih promjena kako bi operatori korisnici bili u mogućnosti pravovremeno reagirati i prilagoditi se nastalim promjenama,</w:t>
      </w:r>
      <w:r w:rsidRPr="00C90376">
        <w:t xml:space="preserve"> </w:t>
      </w:r>
      <w:r w:rsidRPr="00E063D4">
        <w:rPr>
          <w:szCs w:val="24"/>
        </w:rPr>
        <w:t xml:space="preserve">osim u slučaju potpunog prelaska na isključivo IP međupovezivanje u kojem slučaju </w:t>
      </w:r>
      <w:r>
        <w:rPr>
          <w:szCs w:val="24"/>
        </w:rPr>
        <w:t xml:space="preserve">operatori </w:t>
      </w:r>
      <w:r w:rsidRPr="00E063D4">
        <w:rPr>
          <w:szCs w:val="24"/>
        </w:rPr>
        <w:t>mora</w:t>
      </w:r>
      <w:r>
        <w:rPr>
          <w:szCs w:val="24"/>
        </w:rPr>
        <w:t>ju</w:t>
      </w:r>
      <w:r w:rsidRPr="00E063D4">
        <w:rPr>
          <w:szCs w:val="24"/>
        </w:rPr>
        <w:t xml:space="preserve"> obavijestiti operatore korisnike godinu dana unaprijed</w:t>
      </w:r>
      <w:r w:rsidRPr="00A24A72">
        <w:rPr>
          <w:szCs w:val="24"/>
          <w:lang w:eastAsia="en-US"/>
        </w:rPr>
        <w:t xml:space="preserve"> </w:t>
      </w:r>
      <w:r w:rsidRPr="007B1876">
        <w:rPr>
          <w:szCs w:val="24"/>
          <w:lang w:eastAsia="en-US"/>
        </w:rPr>
        <w:t>kako bi operatori korisnici bili u mogućnosti pravovremeno reagirati i pri</w:t>
      </w:r>
      <w:r>
        <w:rPr>
          <w:szCs w:val="24"/>
          <w:lang w:eastAsia="en-US"/>
        </w:rPr>
        <w:t>lagoditi se nastalim promjenama</w:t>
      </w:r>
      <w:r>
        <w:rPr>
          <w:szCs w:val="24"/>
        </w:rPr>
        <w:t>.</w:t>
      </w:r>
      <w:r w:rsidR="00EF11E4">
        <w:rPr>
          <w:szCs w:val="24"/>
        </w:rPr>
        <w:t xml:space="preserve"> </w:t>
      </w:r>
      <w:r w:rsidRPr="00E063D4">
        <w:rPr>
          <w:szCs w:val="24"/>
        </w:rPr>
        <w:t>U slučaju da postoji dogovor s operatorima korisnicima, rok može biti i kraći.</w:t>
      </w:r>
    </w:p>
    <w:p w:rsidR="00A24A72" w:rsidRPr="00E063D4" w:rsidRDefault="00A24A72" w:rsidP="00A24A72">
      <w:pPr>
        <w:jc w:val="both"/>
        <w:rPr>
          <w:szCs w:val="24"/>
        </w:rPr>
      </w:pPr>
    </w:p>
    <w:p w:rsidR="00A24A72" w:rsidRDefault="00A24A72" w:rsidP="00A24A72">
      <w:pPr>
        <w:pStyle w:val="Subtitle"/>
        <w:jc w:val="both"/>
      </w:pPr>
      <w:r w:rsidRPr="00B03909">
        <w:t xml:space="preserve">Dostava ugovora sklopljenih na temelju Standardne ponude za </w:t>
      </w:r>
      <w:r>
        <w:t>m</w:t>
      </w:r>
      <w:r w:rsidRPr="00B03909">
        <w:t>eđupovezivanje</w:t>
      </w:r>
    </w:p>
    <w:p w:rsidR="00A24A72" w:rsidRPr="00A24A72" w:rsidRDefault="00A24A72" w:rsidP="00A24A72"/>
    <w:p w:rsidR="00A24A72" w:rsidRDefault="00A24A72" w:rsidP="00A24A72">
      <w:pPr>
        <w:jc w:val="both"/>
        <w:rPr>
          <w:szCs w:val="24"/>
        </w:rPr>
      </w:pPr>
      <w:r w:rsidRPr="00A24A72">
        <w:rPr>
          <w:szCs w:val="24"/>
          <w:lang w:eastAsia="en-US"/>
        </w:rPr>
        <w:t>Operatori sa značajnom tržišnom snagom obvezni su</w:t>
      </w:r>
      <w:r w:rsidRPr="00A24A72">
        <w:rPr>
          <w:szCs w:val="24"/>
        </w:rPr>
        <w:t xml:space="preserve"> dostaviti HAKOM-u ugovore sklopljene na temelju standardne ponude/minimalnih ponuda za međupovezivanje, kao i sve izmjene navedenih ugovora, </w:t>
      </w:r>
      <w:r w:rsidR="00357335">
        <w:rPr>
          <w:szCs w:val="24"/>
        </w:rPr>
        <w:t xml:space="preserve">i to </w:t>
      </w:r>
      <w:r w:rsidRPr="00A24A72">
        <w:rPr>
          <w:szCs w:val="24"/>
        </w:rPr>
        <w:t xml:space="preserve">u roku od 15 dana od dana sklapanja istih. </w:t>
      </w:r>
      <w:r w:rsidR="00357335" w:rsidRPr="00357335">
        <w:rPr>
          <w:szCs w:val="24"/>
        </w:rPr>
        <w:t>Naime, dostava HAKOM-u navedenih ugovora potrebna je iz razloga provjere poštivanja obveze nediskriminacije. HAKOM bi stoga u slučaju nepoštivanja prethodno spomenute obveze, mogao pravovremeno reagirati.</w:t>
      </w:r>
    </w:p>
    <w:p w:rsidR="00A24A72" w:rsidRPr="009B4F13" w:rsidRDefault="00A24A72" w:rsidP="009B4F13">
      <w:pPr>
        <w:jc w:val="both"/>
        <w:rPr>
          <w:rFonts w:ascii="Calibri" w:eastAsia="Times New Roman" w:hAnsi="Calibri" w:cs="Calibri"/>
        </w:rPr>
      </w:pPr>
    </w:p>
    <w:p w:rsidR="009B4F13" w:rsidRPr="0005566C" w:rsidRDefault="00A91389" w:rsidP="0072572A">
      <w:pPr>
        <w:jc w:val="both"/>
        <w:rPr>
          <w:rFonts w:ascii="Calibri" w:eastAsia="Times New Roman" w:hAnsi="Calibri" w:cs="Calibri"/>
        </w:rPr>
      </w:pPr>
      <w:r w:rsidRPr="007B75A0">
        <w:rPr>
          <w:szCs w:val="24"/>
        </w:rPr>
        <w:t>HAKOM smatra da je regulatorna obveza nediskriminacije neophodna kako bi se na tržištu spriječila sva moguća diskriminacijska ponašanja operatora sa značajnom tržišnom snagom koja su vezana uz diskriminaciju na cjenovnoj osnovi, kao i diskriminaciju koja nije na osnovama ve</w:t>
      </w:r>
      <w:r w:rsidR="0072572A">
        <w:rPr>
          <w:szCs w:val="24"/>
        </w:rPr>
        <w:t xml:space="preserve">zanim uz cijene, </w:t>
      </w:r>
      <w:r w:rsidR="0072572A">
        <w:rPr>
          <w:rFonts w:ascii="Calibri" w:eastAsia="Times New Roman" w:hAnsi="Calibri" w:cs="Calibri"/>
        </w:rPr>
        <w:t xml:space="preserve">a koja se </w:t>
      </w:r>
      <w:r w:rsidR="00581674" w:rsidRPr="007B75A0">
        <w:rPr>
          <w:rFonts w:ascii="Calibri" w:eastAsia="Times New Roman" w:hAnsi="Calibri" w:cs="Calibri"/>
        </w:rPr>
        <w:t xml:space="preserve">dodatno </w:t>
      </w:r>
      <w:r w:rsidR="0072572A">
        <w:rPr>
          <w:rFonts w:ascii="Calibri" w:eastAsia="Times New Roman" w:hAnsi="Calibri" w:cs="Calibri"/>
        </w:rPr>
        <w:t xml:space="preserve">rješavaju </w:t>
      </w:r>
      <w:r w:rsidR="00581674" w:rsidRPr="007B75A0">
        <w:rPr>
          <w:rFonts w:ascii="Calibri" w:eastAsia="Times New Roman" w:hAnsi="Calibri" w:cs="Calibri"/>
        </w:rPr>
        <w:t xml:space="preserve">određivanjem regulatorne obveze transparentnosti. </w:t>
      </w:r>
    </w:p>
    <w:p w:rsidR="0072572A" w:rsidRDefault="00B47D48" w:rsidP="00ED4D44">
      <w:pPr>
        <w:pStyle w:val="Heading2"/>
      </w:pPr>
      <w:bookmarkStart w:id="195" w:name="_Toc357581404"/>
      <w:bookmarkStart w:id="196" w:name="_Toc524984037"/>
      <w:bookmarkStart w:id="197" w:name="_Toc525073014"/>
      <w:bookmarkStart w:id="198" w:name="_Toc525729859"/>
      <w:bookmarkStart w:id="199" w:name="_Toc236634852"/>
      <w:r w:rsidRPr="00D65505">
        <w:lastRenderedPageBreak/>
        <w:t>Obveza transparentnosti</w:t>
      </w:r>
      <w:bookmarkEnd w:id="195"/>
      <w:bookmarkEnd w:id="196"/>
      <w:bookmarkEnd w:id="197"/>
      <w:bookmarkEnd w:id="198"/>
    </w:p>
    <w:bookmarkEnd w:id="199"/>
    <w:p w:rsidR="00CE4060" w:rsidRPr="00CE4060" w:rsidRDefault="00DA631D" w:rsidP="00CE4060">
      <w:pPr>
        <w:jc w:val="both"/>
        <w:rPr>
          <w:rFonts w:ascii="Calibri" w:eastAsia="Times New Roman" w:hAnsi="Calibri" w:cs="Calibri"/>
        </w:rPr>
      </w:pPr>
      <w:r>
        <w:rPr>
          <w:rFonts w:ascii="Calibri" w:eastAsia="Times New Roman" w:hAnsi="Calibri" w:cs="Calibri"/>
        </w:rPr>
        <w:t xml:space="preserve">HAKOM može </w:t>
      </w:r>
      <w:r w:rsidR="00CE4060" w:rsidRPr="00CE4060">
        <w:rPr>
          <w:rFonts w:ascii="Calibri" w:eastAsia="Times New Roman" w:hAnsi="Calibri" w:cs="Calibri"/>
        </w:rPr>
        <w:t>operatorima sa značajnom tržišnom snagom odrediti obvezu transparentnosti u vezi s međupovezivanjem i/ili pristupom na način da učine javno dostupnima određene podatke, kao što su sljedeći:</w:t>
      </w:r>
    </w:p>
    <w:p w:rsidR="00CE4060" w:rsidRPr="00CE4060" w:rsidRDefault="00CE4060" w:rsidP="00CE4060">
      <w:pPr>
        <w:jc w:val="both"/>
        <w:rPr>
          <w:rFonts w:ascii="Calibri" w:eastAsia="Times New Roman" w:hAnsi="Calibri" w:cs="Calibri"/>
        </w:rPr>
      </w:pP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računovodstveni podaci;</w:t>
      </w: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tehničke specifikacije;</w:t>
      </w: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mrežne značajke;</w:t>
      </w: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rokovi i uvjeti ponude i uporabe;</w:t>
      </w:r>
    </w:p>
    <w:p w:rsidR="00CE4060" w:rsidRPr="00CE4060" w:rsidRDefault="00CE4060" w:rsidP="00CE4060">
      <w:pPr>
        <w:numPr>
          <w:ilvl w:val="0"/>
          <w:numId w:val="2"/>
        </w:numPr>
        <w:jc w:val="both"/>
        <w:rPr>
          <w:rFonts w:ascii="Calibri" w:eastAsia="Times New Roman" w:hAnsi="Calibri" w:cs="Calibri"/>
        </w:rPr>
      </w:pPr>
      <w:r w:rsidRPr="00CE4060">
        <w:rPr>
          <w:rFonts w:ascii="Calibri" w:eastAsia="Times New Roman" w:hAnsi="Calibri" w:cs="Calibri"/>
        </w:rPr>
        <w:t>cijene.</w:t>
      </w:r>
    </w:p>
    <w:p w:rsidR="00CE4060" w:rsidRPr="00CE4060" w:rsidRDefault="00CE4060" w:rsidP="00CE4060">
      <w:pPr>
        <w:ind w:left="360"/>
        <w:jc w:val="both"/>
        <w:rPr>
          <w:rFonts w:ascii="Calibri" w:eastAsia="Times New Roman" w:hAnsi="Calibri" w:cs="Calibri"/>
        </w:rPr>
      </w:pPr>
    </w:p>
    <w:p w:rsidR="00504212" w:rsidRPr="00B37377" w:rsidRDefault="00504212" w:rsidP="00504212">
      <w:pPr>
        <w:jc w:val="both"/>
        <w:rPr>
          <w:rFonts w:ascii="Calibri" w:eastAsia="Times New Roman" w:hAnsi="Calibri" w:cs="Calibri"/>
        </w:rPr>
      </w:pPr>
      <w:r w:rsidRPr="00B37377">
        <w:rPr>
          <w:rFonts w:ascii="Calibri" w:eastAsia="Times New Roman" w:hAnsi="Calibri" w:cs="Calibri"/>
        </w:rPr>
        <w:t>Isto tako, HAKOM može zatražiti od operatora, kojem je određena obveza nediskriminacije, objavu standardne ponude na temelju koje drugi operatori neće biti obvezni plaćati dodatne troškove, koji nisu nužni za pružanje zatražene usluge. Standardna ponuda mora biti podrobno raščlanjena u skladu s potrebama tržišta, te mora sadržavati pripadajuće rokove, uvjete i cijene usluga.</w:t>
      </w:r>
    </w:p>
    <w:p w:rsidR="00504212" w:rsidRPr="00B37377" w:rsidRDefault="00504212" w:rsidP="00504212">
      <w:pPr>
        <w:jc w:val="both"/>
      </w:pPr>
    </w:p>
    <w:p w:rsidR="00504212" w:rsidRPr="00B37377" w:rsidRDefault="00504212" w:rsidP="00504212">
      <w:pPr>
        <w:jc w:val="both"/>
      </w:pPr>
      <w:r w:rsidRPr="00B37377">
        <w:t>HAKOM zadržavanje ove obveze smatra nužn</w:t>
      </w:r>
      <w:r w:rsidR="008472A3">
        <w:t>i</w:t>
      </w:r>
      <w:r w:rsidRPr="00B37377">
        <w:t xml:space="preserve">m jer bi u suprotnom moglo doći do diskriminacije pojedinih operatora od strane </w:t>
      </w:r>
      <w:r w:rsidR="009434F5" w:rsidRPr="00B37377">
        <w:t>operatora sa značajnom tržišnom snagom</w:t>
      </w:r>
      <w:r w:rsidRPr="00B37377">
        <w:t xml:space="preserve"> što bi dovelo do ometanja konkurentnosti na tržištu i utjecalo na izbor krajnjih korisnika. Također, ova obveza osigurava transparentno poslovanje operatora sa značajnom tržišnom snagom i nadopunjuje obvezu nediskriminacije.</w:t>
      </w:r>
    </w:p>
    <w:p w:rsidR="00504212" w:rsidRPr="00B37377" w:rsidRDefault="00504212" w:rsidP="00504212">
      <w:pPr>
        <w:jc w:val="both"/>
      </w:pPr>
    </w:p>
    <w:p w:rsidR="00504212" w:rsidRDefault="00504212" w:rsidP="00504212">
      <w:pPr>
        <w:jc w:val="both"/>
      </w:pPr>
      <w:r w:rsidRPr="00B37377">
        <w:t xml:space="preserve">Naime, u </w:t>
      </w:r>
      <w:r w:rsidR="0072572A" w:rsidRPr="00B37377">
        <w:t>7</w:t>
      </w:r>
      <w:r w:rsidRPr="00B37377">
        <w:t>. poglavlju ovog dokumenta HAKOM, između ostalog, analizira prepreke koje se odnose na previsoke cijene usluge završavanja poziva, diskriminaciju na osnovama koje nisu povezane s cijenama, diskriminaciju na cjenovnoj osnovi i nerazumne/neopravdane zahtjeve. Kako bi u potpunosti uklonio prepreku koja se odnosi na diskriminaciju na osnovama koje nisu povezane s cijenama, HAKOM uz obvezu nediskriminacije zadržava i obvezu transparentnosti te na taj način u potpunosti uklanja navedenu prepreku s tržišta</w:t>
      </w:r>
      <w:r w:rsidR="00B37377" w:rsidRPr="00B37377">
        <w:t>.</w:t>
      </w:r>
    </w:p>
    <w:p w:rsidR="00824120" w:rsidRDefault="00824120" w:rsidP="00504212">
      <w:pPr>
        <w:jc w:val="both"/>
      </w:pPr>
    </w:p>
    <w:p w:rsidR="00607473" w:rsidRPr="00B03909" w:rsidRDefault="00607473" w:rsidP="00607473">
      <w:pPr>
        <w:pStyle w:val="Subtitle"/>
      </w:pPr>
      <w:r w:rsidRPr="00B03909">
        <w:t xml:space="preserve">Objava </w:t>
      </w:r>
      <w:r>
        <w:t>s</w:t>
      </w:r>
      <w:r w:rsidRPr="00B03909">
        <w:t>tandardne ponude</w:t>
      </w:r>
      <w:r>
        <w:t>/minimalnih ponuda</w:t>
      </w:r>
      <w:r w:rsidRPr="00B03909">
        <w:t xml:space="preserve"> međupovezivanja</w:t>
      </w:r>
    </w:p>
    <w:p w:rsidR="00607473" w:rsidRDefault="00607473" w:rsidP="00824120">
      <w:pPr>
        <w:jc w:val="both"/>
        <w:rPr>
          <w:szCs w:val="24"/>
        </w:rPr>
      </w:pPr>
    </w:p>
    <w:p w:rsidR="00824120" w:rsidRPr="00026095" w:rsidRDefault="00824120" w:rsidP="00824120">
      <w:pPr>
        <w:jc w:val="both"/>
        <w:rPr>
          <w:szCs w:val="24"/>
        </w:rPr>
      </w:pPr>
      <w:r w:rsidRPr="005A144C">
        <w:rPr>
          <w:szCs w:val="24"/>
        </w:rPr>
        <w:t>HAKOM zadržava regulatornu obvezu transparentnosti uz obvezu objave standardne ponude operatorima sa značajnom tržišnom snagom te u skladu s navedenom regulatornom obvezom operatori sa značajnom tržišnom snagom moraju:</w:t>
      </w:r>
    </w:p>
    <w:p w:rsidR="00824120" w:rsidRDefault="00824120" w:rsidP="000C5040">
      <w:pPr>
        <w:pStyle w:val="LIsta"/>
        <w:jc w:val="both"/>
        <w:rPr>
          <w:sz w:val="24"/>
          <w:szCs w:val="24"/>
        </w:rPr>
      </w:pPr>
      <w:r w:rsidRPr="006929C0">
        <w:rPr>
          <w:sz w:val="24"/>
          <w:szCs w:val="24"/>
        </w:rPr>
        <w:t>nadopuniti postojeću Standardnu ponudu na temelju koje drugi operatori neće biti obvezni plaćati dodatne troškove koji nisu nužni za pružanje zatražene usluge, obvezama koje su mu određene ovom odlukom;</w:t>
      </w:r>
    </w:p>
    <w:p w:rsidR="00D26821" w:rsidRPr="00D26821" w:rsidRDefault="00D26821" w:rsidP="00D26821">
      <w:pPr>
        <w:pStyle w:val="LIsta"/>
        <w:rPr>
          <w:sz w:val="24"/>
          <w:szCs w:val="24"/>
        </w:rPr>
      </w:pPr>
      <w:r w:rsidRPr="00D26821">
        <w:rPr>
          <w:sz w:val="24"/>
          <w:szCs w:val="24"/>
        </w:rPr>
        <w:t>izmijenjenu Standardnu ponudu objaviti najkasnije u roku od 30 dana od dana stupanja na snagu ove odluke te istu početi primjenjivati u roku od 60 dana od dana stupanja na snagu ove odluke</w:t>
      </w:r>
      <w:r>
        <w:rPr>
          <w:rStyle w:val="FootnoteReference"/>
          <w:sz w:val="24"/>
          <w:szCs w:val="24"/>
        </w:rPr>
        <w:footnoteReference w:id="26"/>
      </w:r>
      <w:r w:rsidRPr="00D26821">
        <w:rPr>
          <w:sz w:val="24"/>
          <w:szCs w:val="24"/>
        </w:rPr>
        <w:t xml:space="preserve"> </w:t>
      </w:r>
      <w:r w:rsidR="005F3D76">
        <w:rPr>
          <w:sz w:val="24"/>
          <w:szCs w:val="24"/>
        </w:rPr>
        <w:t>.</w:t>
      </w:r>
    </w:p>
    <w:p w:rsidR="00912195" w:rsidRDefault="00912195" w:rsidP="005F3D76">
      <w:pPr>
        <w:jc w:val="both"/>
      </w:pPr>
      <w:r>
        <w:t xml:space="preserve">U standardnoj ponudi moraju biti opisane usluge koje operator nudi u vezi s uslugom </w:t>
      </w:r>
      <w:r w:rsidR="00E91B24">
        <w:t xml:space="preserve">veleprodajnog završavanja </w:t>
      </w:r>
      <w:r w:rsidR="007E4538">
        <w:t>poziva</w:t>
      </w:r>
      <w:r>
        <w:t xml:space="preserve"> u nepokretnoj mreži, </w:t>
      </w:r>
      <w:r w:rsidR="005D1D67">
        <w:t>pri čemu</w:t>
      </w:r>
      <w:r w:rsidR="006929C0">
        <w:t xml:space="preserve"> </w:t>
      </w:r>
      <w:r>
        <w:t xml:space="preserve">ista mora biti podrobno raščlanjena u skladu s tržišnim potrebama </w:t>
      </w:r>
      <w:r w:rsidR="006929C0">
        <w:t xml:space="preserve">i </w:t>
      </w:r>
      <w:r>
        <w:t>s njima povezanim uvjetima</w:t>
      </w:r>
      <w:r w:rsidR="005F3D76">
        <w:t xml:space="preserve"> te</w:t>
      </w:r>
      <w:r>
        <w:t xml:space="preserve"> mora sadržavati </w:t>
      </w:r>
      <w:r>
        <w:lastRenderedPageBreak/>
        <w:t xml:space="preserve">cijene, kao i rokove i naknade za nepoštivanje rokova uspostave usluga, kako bi se osiguralo pošteno, razumno i pravovremeno ispunjavanje obveza. Objava standardne ponude omogućava brže sklapanje ugovora, sprječava diskriminaciju te može spriječiti sporove koji bi mogli proizaći u slučaju nepostojanja standardne ponude. </w:t>
      </w:r>
    </w:p>
    <w:p w:rsidR="005F3D76" w:rsidRDefault="005F3D76" w:rsidP="005F3D76">
      <w:pPr>
        <w:jc w:val="both"/>
      </w:pPr>
    </w:p>
    <w:p w:rsidR="005F3D76" w:rsidRDefault="005F3D76" w:rsidP="005F3D76">
      <w:pPr>
        <w:jc w:val="both"/>
      </w:pPr>
      <w:r>
        <w:t>Osnovni sadržaj standardne ponude, razina podrobnosti podataka i način objave standardne ponude propisan je Pravilnikom o standardnim ponudama</w:t>
      </w:r>
      <w:r>
        <w:rPr>
          <w:rStyle w:val="FootnoteReference"/>
        </w:rPr>
        <w:footnoteReference w:id="27"/>
      </w:r>
      <w:r>
        <w:t>.</w:t>
      </w:r>
    </w:p>
    <w:p w:rsidR="005F3D76" w:rsidRDefault="005F3D76" w:rsidP="005F3D76">
      <w:pPr>
        <w:jc w:val="both"/>
      </w:pPr>
    </w:p>
    <w:p w:rsidR="005F3D76" w:rsidRDefault="005F3D76" w:rsidP="005F3D76">
      <w:pPr>
        <w:jc w:val="both"/>
        <w:rPr>
          <w:rFonts w:ascii="Calibri" w:hAnsi="Calibri"/>
        </w:rPr>
      </w:pPr>
      <w:r w:rsidRPr="00CE4060">
        <w:rPr>
          <w:rFonts w:ascii="Calibri" w:hAnsi="Calibri"/>
        </w:rPr>
        <w:t xml:space="preserve">Ostali operatori koji imaju status značajne tržišne snage </w:t>
      </w:r>
      <w:r w:rsidR="00B37377">
        <w:rPr>
          <w:rFonts w:ascii="Calibri" w:hAnsi="Calibri"/>
        </w:rPr>
        <w:t>na ovom mjerodavnom tržištu (svi osim HT-a)</w:t>
      </w:r>
      <w:r w:rsidRPr="00CE4060">
        <w:rPr>
          <w:rFonts w:ascii="Calibri" w:hAnsi="Calibri"/>
        </w:rPr>
        <w:t xml:space="preserve">, obvezni su objaviti samo dokument s detaljnim tehničkim specifikacijama pružanja usluge </w:t>
      </w:r>
      <w:r>
        <w:rPr>
          <w:rFonts w:ascii="Calibri" w:hAnsi="Calibri"/>
        </w:rPr>
        <w:t>veleprodajnog završavanja poziva</w:t>
      </w:r>
      <w:r w:rsidRPr="00CE4060">
        <w:rPr>
          <w:rFonts w:ascii="Calibri" w:hAnsi="Calibri"/>
        </w:rPr>
        <w:t xml:space="preserve">, odnosno usluge međupovezivanja, s definiranim mrežnim značajkama, uvjetima, rokovima i cijenama, pod nazivom minimalna ponuda uvjeta međupovezivanja, a kako je definirano u regulatornoj obvezi gore u tekstu. Osim toga, minimalna ponuda međupovezivanja </w:t>
      </w:r>
      <w:r w:rsidR="00B37377">
        <w:rPr>
          <w:rFonts w:ascii="Calibri" w:hAnsi="Calibri"/>
        </w:rPr>
        <w:t>ostalih</w:t>
      </w:r>
      <w:r w:rsidRPr="00CE4060">
        <w:rPr>
          <w:rFonts w:ascii="Calibri" w:hAnsi="Calibri"/>
        </w:rPr>
        <w:t xml:space="preserve"> operatora može sadržavati i dio u kojem će se definirati uvjeti korištenja zajedničkog prostora (</w:t>
      </w:r>
      <w:proofErr w:type="spellStart"/>
      <w:r w:rsidRPr="00CE4060">
        <w:rPr>
          <w:rFonts w:ascii="Calibri" w:hAnsi="Calibri"/>
        </w:rPr>
        <w:t>kolokacija</w:t>
      </w:r>
      <w:proofErr w:type="spellEnd"/>
      <w:r w:rsidRPr="00CE4060">
        <w:rPr>
          <w:rFonts w:ascii="Calibri" w:hAnsi="Calibri"/>
        </w:rPr>
        <w:t>) zajedno s rokovima, uvjet</w:t>
      </w:r>
      <w:r>
        <w:rPr>
          <w:rFonts w:ascii="Calibri" w:hAnsi="Calibri"/>
        </w:rPr>
        <w:t>ima i cijenama pružanja usluge.</w:t>
      </w:r>
    </w:p>
    <w:p w:rsidR="005F3D76" w:rsidRDefault="005F3D76" w:rsidP="005F3D76">
      <w:pPr>
        <w:jc w:val="both"/>
        <w:rPr>
          <w:rFonts w:ascii="Calibri" w:hAnsi="Calibri"/>
        </w:rPr>
      </w:pPr>
    </w:p>
    <w:p w:rsidR="005F3D76" w:rsidRDefault="005F3D76" w:rsidP="005F3D76">
      <w:pPr>
        <w:jc w:val="both"/>
      </w:pPr>
      <w:r w:rsidRPr="00CE4060">
        <w:rPr>
          <w:rFonts w:ascii="Calibri" w:eastAsia="Times New Roman" w:hAnsi="Calibri" w:cs="Calibri"/>
        </w:rPr>
        <w:t xml:space="preserve">S obzirom da HT već ima objavljenu Standardnu ponudu međupovezivanja, a gotovo svi ostali operatori Minimalnu ponudu </w:t>
      </w:r>
      <w:r>
        <w:rPr>
          <w:rFonts w:ascii="Calibri" w:eastAsia="Times New Roman" w:hAnsi="Calibri" w:cs="Calibri"/>
        </w:rPr>
        <w:t xml:space="preserve">uvjeta </w:t>
      </w:r>
      <w:r w:rsidRPr="00CE4060">
        <w:rPr>
          <w:rFonts w:ascii="Calibri" w:eastAsia="Times New Roman" w:hAnsi="Calibri" w:cs="Calibri"/>
        </w:rPr>
        <w:t xml:space="preserve">međupovezivanja, </w:t>
      </w:r>
      <w:r>
        <w:rPr>
          <w:rFonts w:ascii="Calibri" w:eastAsia="Times New Roman" w:hAnsi="Calibri" w:cs="Calibri"/>
        </w:rPr>
        <w:t xml:space="preserve">koje se </w:t>
      </w:r>
      <w:r w:rsidRPr="00CE4060">
        <w:rPr>
          <w:rFonts w:ascii="Calibri" w:eastAsia="Times New Roman" w:hAnsi="Calibri" w:cs="Calibri"/>
        </w:rPr>
        <w:t>temelje na obvezama iz prethodne analize tržišta, HAKOM smatra da je</w:t>
      </w:r>
      <w:r w:rsidR="00B37377">
        <w:rPr>
          <w:rFonts w:ascii="Calibri" w:eastAsia="Times New Roman" w:hAnsi="Calibri" w:cs="Calibri"/>
        </w:rPr>
        <w:t xml:space="preserve"> rok za izmjenu navedenih ponuda</w:t>
      </w:r>
      <w:r>
        <w:t xml:space="preserve"> dovoljan </w:t>
      </w:r>
      <w:r w:rsidRPr="00CE4060">
        <w:rPr>
          <w:rFonts w:ascii="Calibri" w:eastAsia="Times New Roman" w:hAnsi="Calibri" w:cs="Calibri"/>
        </w:rPr>
        <w:t>da se ažuriraju sve izmjene</w:t>
      </w:r>
      <w:r>
        <w:rPr>
          <w:rFonts w:ascii="Calibri" w:eastAsia="Times New Roman" w:hAnsi="Calibri" w:cs="Calibri"/>
        </w:rPr>
        <w:t xml:space="preserve"> definirane ovim dokumentom</w:t>
      </w:r>
      <w:r w:rsidRPr="00CE4060">
        <w:rPr>
          <w:rFonts w:ascii="Calibri" w:eastAsia="Times New Roman" w:hAnsi="Calibri" w:cs="Calibri"/>
        </w:rPr>
        <w:t>.</w:t>
      </w:r>
      <w:r>
        <w:rPr>
          <w:rFonts w:ascii="Calibri" w:eastAsia="Times New Roman" w:hAnsi="Calibri" w:cs="Calibri"/>
        </w:rPr>
        <w:t xml:space="preserve"> </w:t>
      </w:r>
      <w:r w:rsidRPr="00CE4060">
        <w:rPr>
          <w:rFonts w:ascii="Calibri" w:eastAsia="Times New Roman" w:hAnsi="Calibri" w:cs="Calibri"/>
        </w:rPr>
        <w:t>Standardna ponuda HT-a i Minimaln</w:t>
      </w:r>
      <w:r>
        <w:rPr>
          <w:rFonts w:ascii="Calibri" w:eastAsia="Times New Roman" w:hAnsi="Calibri" w:cs="Calibri"/>
        </w:rPr>
        <w:t>e</w:t>
      </w:r>
      <w:r w:rsidRPr="00CE4060">
        <w:rPr>
          <w:rFonts w:ascii="Calibri" w:eastAsia="Times New Roman" w:hAnsi="Calibri" w:cs="Calibri"/>
        </w:rPr>
        <w:t xml:space="preserve"> ponud</w:t>
      </w:r>
      <w:r>
        <w:rPr>
          <w:rFonts w:ascii="Calibri" w:eastAsia="Times New Roman" w:hAnsi="Calibri" w:cs="Calibri"/>
        </w:rPr>
        <w:t>e</w:t>
      </w:r>
      <w:r w:rsidRPr="00CE4060">
        <w:rPr>
          <w:rFonts w:ascii="Calibri" w:eastAsia="Times New Roman" w:hAnsi="Calibri" w:cs="Calibri"/>
        </w:rPr>
        <w:t xml:space="preserve"> ostalih operatora ostaju nepromijenjene u svim onim dijelovima u kojima se regulatorne obveze nisu promijenile. </w:t>
      </w:r>
      <w:r>
        <w:rPr>
          <w:rFonts w:ascii="Calibri" w:eastAsia="Times New Roman" w:hAnsi="Calibri" w:cs="Calibri"/>
        </w:rPr>
        <w:t xml:space="preserve">U </w:t>
      </w:r>
      <w:r>
        <w:t>slučaju da HAKOM utvrdi da je objavljena Standardna ponuda, odnosno Minimalne ponude u suprotnosti s naloženim obvezama ili da nisu u skladu s odredbama ZEK-a, HAKOM može zatražiti izmjenu istih.</w:t>
      </w:r>
    </w:p>
    <w:p w:rsidR="005F3D76" w:rsidRDefault="005F3D76" w:rsidP="005F3D76">
      <w:pPr>
        <w:jc w:val="both"/>
      </w:pPr>
    </w:p>
    <w:p w:rsidR="005F3D76" w:rsidRDefault="005F3D76" w:rsidP="005F3D76">
      <w:pPr>
        <w:jc w:val="both"/>
      </w:pPr>
      <w:r>
        <w:t>HAKOM smatra potrebnim zadržati obvezu objave Standardne ponude, odnosno Minimalne ponude međupovezivanja za operatore sa značajnom tržišnom snagom budući da su sve usluge međupovezivanja koje trebaju biti definirane u Standardnoj/Minimalnoj ponudi međupovezivanja, pa tako i usluga veleprodajnog završavanja poziva, tehnički zahtjevne i bez postojanja transparentnih uvjeta operatori ne bi mogli lako doći do zaključka jesu li diskriminirani rokovima, uvjetima ili cijenama. Isto tako, Standardna ponuda međupovezivanja mora biti jasno definirana da drugi operatori ne bi morali biti obvezni plaćati dodatne troškove, koji nisu nužni za pružanje zatražene usluge.</w:t>
      </w:r>
    </w:p>
    <w:p w:rsidR="005F3D76" w:rsidRDefault="005F3D76" w:rsidP="005F3D76">
      <w:pPr>
        <w:jc w:val="both"/>
      </w:pPr>
    </w:p>
    <w:p w:rsidR="005F3D76" w:rsidRDefault="005F3D76" w:rsidP="005F3D76">
      <w:pPr>
        <w:jc w:val="both"/>
      </w:pPr>
      <w:r>
        <w:t>HAKOM može, ako ocijeni potrebnim, jedanput godišnje provesti postupak izmjene standardne ponude u svrhu provedbe regulatornih obveza koje određuje u skladu s odredbama ZEK-a. Isto tako, u svrhu ostvarivanja regulatornih načela i ciljeva iz članka 5. ZEK-a, postupak izmjene standardne ponude iznimno se može provesti i više puta tijekom godine. U slučaju da operator sa značajnom tržišnom snagom ili neki drugi operator želi pokrenuti postupak izmjene Standardne ponude za međupovezivanje, obvezan je o tome obavijestiti HAKOM koji će, u slučaju da zahtjev operatora smatra opravdanim, prema članku 58. stavku 3. ZEK-a pokrenuti postupak izmjene standardne ponude.</w:t>
      </w:r>
    </w:p>
    <w:p w:rsidR="004E071F" w:rsidRDefault="004E071F" w:rsidP="005351CB">
      <w:pPr>
        <w:jc w:val="both"/>
      </w:pPr>
    </w:p>
    <w:p w:rsidR="004E071F" w:rsidRDefault="004E071F">
      <w:pPr>
        <w:spacing w:after="200" w:line="276" w:lineRule="auto"/>
        <w:rPr>
          <w:rFonts w:asciiTheme="majorHAnsi" w:eastAsiaTheme="majorEastAsia" w:hAnsiTheme="majorHAnsi" w:cstheme="majorBidi"/>
          <w:i/>
          <w:iCs/>
          <w:color w:val="4F81BD" w:themeColor="accent1"/>
          <w:spacing w:val="15"/>
          <w:szCs w:val="24"/>
        </w:rPr>
      </w:pPr>
      <w:r>
        <w:br w:type="page"/>
      </w:r>
    </w:p>
    <w:p w:rsidR="004E071F" w:rsidRDefault="004E071F" w:rsidP="004E071F">
      <w:pPr>
        <w:pStyle w:val="Subtitle"/>
      </w:pPr>
      <w:r>
        <w:lastRenderedPageBreak/>
        <w:t>Uvjeti korištenja vodova za međupovezivanje</w:t>
      </w:r>
    </w:p>
    <w:p w:rsidR="004E071F" w:rsidRDefault="004E071F" w:rsidP="005351CB">
      <w:pPr>
        <w:jc w:val="both"/>
      </w:pPr>
    </w:p>
    <w:p w:rsidR="008762E3" w:rsidRDefault="008762E3" w:rsidP="005351CB">
      <w:pPr>
        <w:jc w:val="both"/>
      </w:pPr>
      <w:r>
        <w:t>Vezano uz pružanje iznajmljenih</w:t>
      </w:r>
      <w:r w:rsidRPr="008762E3">
        <w:t xml:space="preserve"> vodova za potrebe osiguranja PSTN/TDM međupovezivanja, </w:t>
      </w:r>
      <w:r w:rsidR="00021598">
        <w:t xml:space="preserve">HT kao </w:t>
      </w:r>
      <w:r w:rsidRPr="008762E3">
        <w:t>operator sa značajnom tržišnom snagom na mjerodavnim tržištima iznajmljenih vodova je obvezan iste pružati sukladno uvjetima, rokovima i cijenama definiranim u dokumentima u kojima se uređuju tržišta iznajmljenih vodova</w:t>
      </w:r>
      <w:r>
        <w:t>.</w:t>
      </w:r>
    </w:p>
    <w:p w:rsidR="008762E3" w:rsidRDefault="008762E3" w:rsidP="005351CB">
      <w:pPr>
        <w:jc w:val="both"/>
      </w:pPr>
    </w:p>
    <w:p w:rsidR="00C83A3D" w:rsidRDefault="008762E3" w:rsidP="005351CB">
      <w:pPr>
        <w:jc w:val="both"/>
      </w:pPr>
      <w:r w:rsidRPr="008762E3">
        <w:t xml:space="preserve">Uvjeti korištenja vodova koji će se koristiti za potrebe IP međupovezivanja </w:t>
      </w:r>
      <w:r w:rsidR="003C639A">
        <w:t xml:space="preserve">određeni su Odlukom o uvjetima IP međupovezivanja. </w:t>
      </w:r>
    </w:p>
    <w:p w:rsidR="00CE4060" w:rsidRPr="00CE4060" w:rsidRDefault="00CE4060" w:rsidP="00CE4060">
      <w:pPr>
        <w:jc w:val="both"/>
        <w:rPr>
          <w:rFonts w:ascii="Calibri" w:hAnsi="Calibri"/>
        </w:rPr>
      </w:pPr>
    </w:p>
    <w:p w:rsidR="00932E20" w:rsidRPr="00CC3061" w:rsidRDefault="00932E20" w:rsidP="00932E20">
      <w:pPr>
        <w:pStyle w:val="Subtitle"/>
      </w:pPr>
      <w:r w:rsidRPr="00CC3061">
        <w:t>Uvjeti plaćanja</w:t>
      </w:r>
    </w:p>
    <w:p w:rsidR="00932E20" w:rsidRDefault="00932E20" w:rsidP="00CE4060">
      <w:pPr>
        <w:jc w:val="both"/>
        <w:rPr>
          <w:rFonts w:ascii="Calibri" w:eastAsia="Times New Roman" w:hAnsi="Calibri" w:cs="Calibri"/>
        </w:rPr>
      </w:pPr>
    </w:p>
    <w:p w:rsidR="00CE4060" w:rsidRPr="00CE4060" w:rsidRDefault="00932E20" w:rsidP="00CE4060">
      <w:pPr>
        <w:jc w:val="both"/>
        <w:rPr>
          <w:rFonts w:ascii="Calibri" w:eastAsia="Times New Roman" w:hAnsi="Calibri" w:cs="Calibri"/>
        </w:rPr>
      </w:pPr>
      <w:r>
        <w:rPr>
          <w:rFonts w:ascii="Calibri" w:eastAsia="Times New Roman" w:hAnsi="Calibri" w:cs="Calibri"/>
        </w:rPr>
        <w:t>S</w:t>
      </w:r>
      <w:r w:rsidR="00CE4060" w:rsidRPr="00CE4060">
        <w:rPr>
          <w:rFonts w:ascii="Calibri" w:eastAsia="Times New Roman" w:hAnsi="Calibri" w:cs="Calibri"/>
        </w:rPr>
        <w:t xml:space="preserve"> ciljem harmoniziranja standardnih ponuda koje su obvezni objaviti operatori koji na mjerodavnim tržištima imaju status operatora sa značajnom tržišnom snagom te kako bi se omogućili transparentni uvjeti poslovanja operatora sa značajnom tržišnom snagom i operatora korisnika standardne ponude odnosno kako bi se onemogućilo da HT iskorištava svoj položaj operatora sa značajnom tržišnom snagom, a sve u svrhu sprječavanja narušavanja i ograničavanja tržišnog natjecanja u području elektroničkih komunikacija, spomenuti operator je obvezan u standardnu ponudu međupovezivanja, koju će objaviti u roku od 30 dana od stupanja na snagu odluke o određivanju operatora sa značajnom tržišnom snagom, ugraditi sljedeće:</w:t>
      </w:r>
    </w:p>
    <w:p w:rsidR="00CE4060" w:rsidRPr="00CE4060" w:rsidRDefault="00CE4060" w:rsidP="00CE4060">
      <w:pPr>
        <w:jc w:val="both"/>
        <w:rPr>
          <w:rFonts w:ascii="Calibri" w:hAnsi="Calibri"/>
        </w:rPr>
      </w:pPr>
    </w:p>
    <w:p w:rsidR="00CE4060" w:rsidRPr="00CE4060" w:rsidRDefault="00CE4060" w:rsidP="00BD3C97">
      <w:pPr>
        <w:numPr>
          <w:ilvl w:val="0"/>
          <w:numId w:val="7"/>
        </w:numPr>
        <w:contextualSpacing/>
        <w:jc w:val="both"/>
        <w:rPr>
          <w:rFonts w:ascii="Calibri" w:hAnsi="Calibri"/>
        </w:rPr>
      </w:pPr>
      <w:r w:rsidRPr="00CE4060">
        <w:rPr>
          <w:rFonts w:ascii="Calibri" w:hAnsi="Calibri"/>
        </w:rPr>
        <w:t xml:space="preserve">Jedan od instrumenata osiguranja plaćanja koje će HT utvrditi unutar Standardne ponude međupovezivanja mora biti javnobilježnički </w:t>
      </w:r>
      <w:proofErr w:type="spellStart"/>
      <w:r w:rsidRPr="00CE4060">
        <w:rPr>
          <w:rFonts w:ascii="Calibri" w:hAnsi="Calibri"/>
        </w:rPr>
        <w:t>solemnizirana</w:t>
      </w:r>
      <w:proofErr w:type="spellEnd"/>
      <w:r w:rsidRPr="00CE4060">
        <w:rPr>
          <w:rFonts w:ascii="Calibri" w:hAnsi="Calibri"/>
        </w:rPr>
        <w:t xml:space="preserve"> (potvrđena) bjanko zadužnica; </w:t>
      </w:r>
    </w:p>
    <w:p w:rsidR="00CE4060" w:rsidRPr="00CE4060" w:rsidRDefault="00CE4060" w:rsidP="00BD3C97">
      <w:pPr>
        <w:numPr>
          <w:ilvl w:val="0"/>
          <w:numId w:val="7"/>
        </w:numPr>
        <w:contextualSpacing/>
        <w:jc w:val="both"/>
        <w:rPr>
          <w:rFonts w:ascii="Calibri" w:hAnsi="Calibri"/>
        </w:rPr>
      </w:pPr>
      <w:r w:rsidRPr="00CE4060">
        <w:rPr>
          <w:rFonts w:ascii="Calibri" w:hAnsi="Calibri"/>
        </w:rPr>
        <w:t xml:space="preserve">Ukoliko operator u razdoblju od jedne godine od dana sklapanja ugovora o međupovezivanju uredno, u roku dospijeća, podmiruje svoje obveze, nakon jedne godine nije obvezan dostavljati instrumente osiguranja plaćanja; </w:t>
      </w:r>
    </w:p>
    <w:p w:rsidR="00CE4060" w:rsidRPr="00CE4060" w:rsidRDefault="00CE4060" w:rsidP="00BD3C97">
      <w:pPr>
        <w:numPr>
          <w:ilvl w:val="0"/>
          <w:numId w:val="7"/>
        </w:numPr>
        <w:contextualSpacing/>
        <w:jc w:val="both"/>
        <w:rPr>
          <w:rFonts w:ascii="Calibri" w:hAnsi="Calibri"/>
        </w:rPr>
      </w:pPr>
      <w:r w:rsidRPr="00CE4060">
        <w:rPr>
          <w:rFonts w:ascii="Calibri" w:hAnsi="Calibri"/>
        </w:rPr>
        <w:t>Rok dospijeća plaćanja računa je 60 dana od dana zaprimanja računa. Prigovori na račune podnose se u pisanom obliku unutar roka dospijeća računa. Ukoliko operator korisnik ne ospori račun unutar njegova roka dospijeća, smatra se da je prihvatio račun;</w:t>
      </w:r>
    </w:p>
    <w:p w:rsidR="00CE4060" w:rsidRPr="00CE4060" w:rsidRDefault="00CE4060" w:rsidP="00BD3C97">
      <w:pPr>
        <w:numPr>
          <w:ilvl w:val="0"/>
          <w:numId w:val="7"/>
        </w:numPr>
        <w:contextualSpacing/>
        <w:jc w:val="both"/>
        <w:rPr>
          <w:rFonts w:ascii="Calibri" w:hAnsi="Calibri"/>
        </w:rPr>
      </w:pPr>
      <w:r w:rsidRPr="00CE4060">
        <w:rPr>
          <w:rFonts w:ascii="Calibri" w:hAnsi="Calibri"/>
        </w:rPr>
        <w:t xml:space="preserve">HT će primijeniti postupak naplate potraživanja iz dostavljenih instrumenata osiguranja plaćanja tek ukoliko operator ne podmiri svoja dospjela i nesporna dugovanja u roku od 30 dana od dana dospijeća. Prilikom aktivacije instrumenata osiguranja plaćanja HT može naplatiti samo dospjela i neosporena dugovanja za koja je protekao rok od 30 dana od dana dospijeća, dakle ne i ona za koja je nastupilo samo dospijeće. </w:t>
      </w:r>
      <w:r w:rsidRPr="00CE4060">
        <w:rPr>
          <w:rFonts w:ascii="Calibri" w:hAnsi="Calibri" w:cs="Calibri"/>
        </w:rPr>
        <w:t xml:space="preserve">Isto tako, prilikom namirenja, HT je obvezan najprije zatvoriti obveze s najstarijim dospijećem. </w:t>
      </w:r>
    </w:p>
    <w:p w:rsidR="00CE4060" w:rsidRPr="00CE4060" w:rsidRDefault="00CE4060" w:rsidP="00BD3C97">
      <w:pPr>
        <w:numPr>
          <w:ilvl w:val="0"/>
          <w:numId w:val="7"/>
        </w:numPr>
        <w:contextualSpacing/>
        <w:jc w:val="both"/>
        <w:rPr>
          <w:rFonts w:ascii="Calibri" w:hAnsi="Calibri"/>
        </w:rPr>
      </w:pPr>
      <w:r w:rsidRPr="00CE4060">
        <w:rPr>
          <w:rFonts w:ascii="Calibri" w:hAnsi="Calibri"/>
        </w:rPr>
        <w:t>Ukoliko se HT ne može naplatiti iz instrumenta osiguranja plaćanja, HT može operatoru koji ne podmiri svoja dospjela i nesporna dugovanja privremeno obustaviti pružanje usluge;</w:t>
      </w:r>
    </w:p>
    <w:p w:rsidR="00CE4060" w:rsidRPr="00CE4060" w:rsidRDefault="00CE4060" w:rsidP="00BD3C97">
      <w:pPr>
        <w:numPr>
          <w:ilvl w:val="0"/>
          <w:numId w:val="7"/>
        </w:numPr>
        <w:contextualSpacing/>
        <w:jc w:val="both"/>
        <w:rPr>
          <w:rFonts w:ascii="Calibri" w:hAnsi="Calibri"/>
        </w:rPr>
      </w:pPr>
      <w:r w:rsidRPr="00CE4060">
        <w:rPr>
          <w:rFonts w:ascii="Calibri" w:hAnsi="Calibri"/>
        </w:rPr>
        <w:t>Ukoliko se radi o dugovanju operatora koji nije obvezan dostavljati instrumente osiguranja plać</w:t>
      </w:r>
      <w:r w:rsidR="009416FE">
        <w:rPr>
          <w:rFonts w:ascii="Calibri" w:hAnsi="Calibri"/>
        </w:rPr>
        <w:t xml:space="preserve">anja, HT </w:t>
      </w:r>
      <w:r w:rsidRPr="00CE4060">
        <w:rPr>
          <w:rFonts w:ascii="Calibri" w:hAnsi="Calibri"/>
        </w:rPr>
        <w:t>može istome privremeno obustaviti pružanje usluge u roku od 30 dana od dana dospijeća;</w:t>
      </w:r>
    </w:p>
    <w:p w:rsidR="00CE4060" w:rsidRDefault="00CE4060" w:rsidP="00BD3C97">
      <w:pPr>
        <w:numPr>
          <w:ilvl w:val="0"/>
          <w:numId w:val="7"/>
        </w:numPr>
        <w:contextualSpacing/>
        <w:jc w:val="both"/>
        <w:rPr>
          <w:rFonts w:ascii="Calibri" w:hAnsi="Calibri"/>
        </w:rPr>
      </w:pPr>
      <w:r w:rsidRPr="00CE4060">
        <w:rPr>
          <w:rFonts w:ascii="Calibri" w:hAnsi="Calibri"/>
        </w:rPr>
        <w:t xml:space="preserve">U slučajevima kada je HT predao na naplatu instrumente osiguranja plaćanja operator je obvezan dostaviti novi odgovarajući instrument osiguranja plaćanja </w:t>
      </w:r>
      <w:r w:rsidRPr="00CE4060">
        <w:rPr>
          <w:rFonts w:ascii="Calibri" w:hAnsi="Calibri"/>
        </w:rPr>
        <w:lastRenderedPageBreak/>
        <w:t>odmah, a najkasnije u roku 15 dana od trenutka kada je operator sa značajnom tržišnom snagom predao instrument osiguranja plaćanja na naplatu.</w:t>
      </w:r>
    </w:p>
    <w:p w:rsidR="00F041C9" w:rsidRDefault="00F041C9" w:rsidP="00742D5C">
      <w:pPr>
        <w:ind w:left="720"/>
        <w:contextualSpacing/>
        <w:jc w:val="both"/>
        <w:rPr>
          <w:rFonts w:ascii="Calibri" w:hAnsi="Calibri"/>
        </w:rPr>
      </w:pPr>
    </w:p>
    <w:p w:rsidR="00F041C9" w:rsidRPr="00CE4060" w:rsidRDefault="00F041C9" w:rsidP="00742D5C">
      <w:pPr>
        <w:contextualSpacing/>
        <w:jc w:val="both"/>
        <w:rPr>
          <w:rFonts w:ascii="Calibri" w:hAnsi="Calibri"/>
        </w:rPr>
      </w:pPr>
      <w:r w:rsidRPr="00F041C9">
        <w:rPr>
          <w:rFonts w:ascii="Calibri" w:hAnsi="Calibri"/>
        </w:rPr>
        <w:t>Iznimno od gore navedenog instrumenta osiguranja u vidu bjanko zadužnice, HT ima pravo zahtijevati od operatora s kojim do sada nije imao sklopljen ugovor, a koji traži od HT-a uslugu završavanja poziva u nepokretnu mrežu HT-a, a da HT pritom ne traži niti ostvaruje od istog pružanje ijedne usluge, bankarsku garanciju u iznosu tromjesečnog predviđenog prometa i na razdoblje od 12 mjeseci. Nakon proteka razdoblja od 12 mjeseci, pod uvjetom da novi operatori svoje novčane obveze prema HT-u uredno ispunjavaju, HT više nema pravo tražiti od istih bankarsku garanciju kao instrument osiguranja. Isto tako, svaki operator koji je određen operatorom sa značajnom tržišnom snagom na tržištu veleprodajnog završavanja poziva u vlastitoj javnoj telefonskoj mreži koja se pruža na fiksnoj lokaciji, ima pravo tražiti od operatora s kojim do sada nije imao sklopljen ugovor, a koji traži od njega isključivo uslugu završavanja poziva u njegovu nepokretnu mrežu, a da operatori sa značajnom tržišnom snagom na mjerodavnom tržištu pritom ne traže niti ostvaruju od istog pružanje ijedne usluge, bankarsku garanciju u iznosu tromjesečnog predviđenog prometa i na razdoblje od 12 mjeseci. Nakon proteka razdoblja od 12 mjeseci, pod uvjetom da novi operatori svoje novčane obveze prema operatorima sa značajnom tržišnom snagom uredno ispunjavaju, operatori sa značajnom tržišnom snagom više nemaju pravo tražiti od istih bankarsku garanciju kao instrument osiguranja.“</w:t>
      </w:r>
    </w:p>
    <w:p w:rsidR="00CE4060" w:rsidRPr="00CE4060" w:rsidRDefault="00CE4060" w:rsidP="00CE4060">
      <w:pPr>
        <w:ind w:left="720"/>
        <w:contextualSpacing/>
        <w:jc w:val="both"/>
        <w:rPr>
          <w:rFonts w:ascii="Calibri" w:hAnsi="Calibri"/>
        </w:rPr>
      </w:pPr>
    </w:p>
    <w:p w:rsidR="00CE4060" w:rsidRPr="00CE4060" w:rsidRDefault="00CE4060" w:rsidP="00CE4060">
      <w:pPr>
        <w:jc w:val="both"/>
        <w:rPr>
          <w:rFonts w:ascii="Calibri" w:eastAsia="Times New Roman" w:hAnsi="Calibri"/>
        </w:rPr>
      </w:pPr>
      <w:r w:rsidRPr="00CE4060">
        <w:rPr>
          <w:rFonts w:ascii="Calibri" w:eastAsia="Times New Roman" w:hAnsi="Calibri"/>
        </w:rPr>
        <w:t xml:space="preserve">Nadalje, u slučaju kada je u odnosu na operatora korisnika otvoren postupak </w:t>
      </w:r>
      <w:proofErr w:type="spellStart"/>
      <w:r w:rsidRPr="00CE4060">
        <w:rPr>
          <w:rFonts w:ascii="Calibri" w:eastAsia="Times New Roman" w:hAnsi="Calibri"/>
        </w:rPr>
        <w:t>predstečajne</w:t>
      </w:r>
      <w:proofErr w:type="spellEnd"/>
      <w:r w:rsidRPr="00CE4060">
        <w:rPr>
          <w:rFonts w:ascii="Calibri" w:eastAsia="Times New Roman" w:hAnsi="Calibri"/>
        </w:rPr>
        <w:t xml:space="preserve"> nagodbe u pogledu plaćanja dospjelih i nespornih dugovanja na odgovarajući način primjenjuju se odredbe zakona kojim je uređen postupak </w:t>
      </w:r>
      <w:proofErr w:type="spellStart"/>
      <w:r w:rsidRPr="00CE4060">
        <w:rPr>
          <w:rFonts w:ascii="Calibri" w:eastAsia="Times New Roman" w:hAnsi="Calibri"/>
        </w:rPr>
        <w:t>predstečajne</w:t>
      </w:r>
      <w:proofErr w:type="spellEnd"/>
      <w:r w:rsidRPr="00CE4060">
        <w:rPr>
          <w:rFonts w:ascii="Calibri" w:eastAsia="Times New Roman" w:hAnsi="Calibri"/>
        </w:rPr>
        <w:t xml:space="preserve"> nagodbe</w:t>
      </w:r>
      <w:r w:rsidR="003515AA">
        <w:rPr>
          <w:rStyle w:val="FootnoteReference"/>
          <w:rFonts w:ascii="Calibri" w:eastAsia="Times New Roman" w:hAnsi="Calibri"/>
        </w:rPr>
        <w:footnoteReference w:id="28"/>
      </w:r>
      <w:r w:rsidRPr="00CE4060">
        <w:rPr>
          <w:rFonts w:ascii="Calibri" w:eastAsia="Times New Roman" w:hAnsi="Calibri"/>
        </w:rPr>
        <w:t xml:space="preserve">. U vezi s tim, HT ne smije operatoru korisniku koji se nalazi u postupku </w:t>
      </w:r>
      <w:proofErr w:type="spellStart"/>
      <w:r w:rsidRPr="00CE4060">
        <w:rPr>
          <w:rFonts w:ascii="Calibri" w:eastAsia="Times New Roman" w:hAnsi="Calibri"/>
        </w:rPr>
        <w:t>predstečajne</w:t>
      </w:r>
      <w:proofErr w:type="spellEnd"/>
      <w:r w:rsidRPr="00CE4060">
        <w:rPr>
          <w:rFonts w:ascii="Calibri" w:eastAsia="Times New Roman" w:hAnsi="Calibri"/>
        </w:rPr>
        <w:t xml:space="preserve"> nagodbe obustaviti pružanje postojećih usluga. U slučajevima kada je operator korisnik koji se nalazi u postupku </w:t>
      </w:r>
      <w:proofErr w:type="spellStart"/>
      <w:r w:rsidRPr="00CE4060">
        <w:rPr>
          <w:rFonts w:ascii="Calibri" w:eastAsia="Times New Roman" w:hAnsi="Calibri"/>
        </w:rPr>
        <w:t>predstečajne</w:t>
      </w:r>
      <w:proofErr w:type="spellEnd"/>
      <w:r w:rsidRPr="00CE4060">
        <w:rPr>
          <w:rFonts w:ascii="Calibri" w:eastAsia="Times New Roman" w:hAnsi="Calibri"/>
        </w:rPr>
        <w:t xml:space="preserve"> nagodbe podnio zahtjev za novim uslugama primjenjivat će se odredbe standardne ponude za usluge međupovezivanja, uključujući i odredbe koje se odnose na isplatu naknada za zakašnjenje u realizaciji usluga od strane HT-a.</w:t>
      </w:r>
    </w:p>
    <w:p w:rsidR="00B37377" w:rsidRDefault="00B37377" w:rsidP="00932E20">
      <w:pPr>
        <w:pStyle w:val="Subtitle"/>
      </w:pPr>
    </w:p>
    <w:p w:rsidR="00932E20" w:rsidRPr="00BC3275" w:rsidRDefault="00932E20" w:rsidP="00932E20">
      <w:pPr>
        <w:pStyle w:val="Subtitle"/>
      </w:pPr>
      <w:r w:rsidRPr="00BB38E2">
        <w:t>Glavni pokazatelji učinkovitosti (</w:t>
      </w:r>
      <w:proofErr w:type="spellStart"/>
      <w:r w:rsidRPr="00BB38E2">
        <w:t>KPIs</w:t>
      </w:r>
      <w:proofErr w:type="spellEnd"/>
      <w:r w:rsidRPr="00BB38E2">
        <w:t>)</w:t>
      </w:r>
    </w:p>
    <w:p w:rsidR="00932E20" w:rsidRDefault="00932E20" w:rsidP="00CE4060">
      <w:pPr>
        <w:jc w:val="both"/>
        <w:rPr>
          <w:rFonts w:ascii="Calibri" w:eastAsia="Times New Roman" w:hAnsi="Calibri"/>
        </w:rPr>
      </w:pPr>
    </w:p>
    <w:p w:rsidR="00CE4060" w:rsidRPr="00CE4060" w:rsidRDefault="00CE4060" w:rsidP="00CE4060">
      <w:pPr>
        <w:jc w:val="both"/>
        <w:rPr>
          <w:rFonts w:ascii="Calibri" w:eastAsia="Times New Roman" w:hAnsi="Calibri"/>
        </w:rPr>
      </w:pPr>
      <w:r w:rsidRPr="00CE4060">
        <w:rPr>
          <w:rFonts w:ascii="Calibri" w:eastAsia="Times New Roman" w:hAnsi="Calibri"/>
        </w:rPr>
        <w:t>HT</w:t>
      </w:r>
      <w:r w:rsidR="00932E20">
        <w:rPr>
          <w:rFonts w:ascii="Calibri" w:eastAsia="Times New Roman" w:hAnsi="Calibri"/>
        </w:rPr>
        <w:t xml:space="preserve"> je</w:t>
      </w:r>
      <w:r w:rsidRPr="00CE4060">
        <w:rPr>
          <w:rFonts w:ascii="Calibri" w:eastAsia="Times New Roman" w:hAnsi="Calibri"/>
        </w:rPr>
        <w:t xml:space="preserve"> obvez</w:t>
      </w:r>
      <w:r w:rsidR="00932E20">
        <w:rPr>
          <w:rFonts w:ascii="Calibri" w:eastAsia="Times New Roman" w:hAnsi="Calibri"/>
        </w:rPr>
        <w:t>an</w:t>
      </w:r>
      <w:r w:rsidRPr="00CE4060">
        <w:rPr>
          <w:rFonts w:ascii="Calibri" w:eastAsia="Times New Roman" w:hAnsi="Calibri"/>
        </w:rPr>
        <w:t xml:space="preserve"> pratiti relevantne pokazatelje učinkovitosti te HAKOM-u dostavlja</w:t>
      </w:r>
      <w:r w:rsidR="00932E20">
        <w:rPr>
          <w:rFonts w:ascii="Calibri" w:eastAsia="Times New Roman" w:hAnsi="Calibri"/>
        </w:rPr>
        <w:t>ti</w:t>
      </w:r>
      <w:r w:rsidRPr="00CE4060">
        <w:rPr>
          <w:rFonts w:ascii="Calibri" w:eastAsia="Times New Roman" w:hAnsi="Calibri"/>
        </w:rPr>
        <w:t xml:space="preserve"> detaljna izvješća sa svim relevantnim pokazateljima učinkovitosti i to na tromjesečnoj razini ili po potrebi na zahtjev HAKOM-a. HT je obvezan za potrebe HAKOM-a dostaviti cjelokupno izvješće na tromjesečnoj razini zajedno s povjerljivim podacima, kako bi HAKOM mogao pratiti i u slučaju potrebe spriječiti bilo kakvo diskriminirajuće ponašanje prema drugim operatorima. HAKOM smatra da izvješće o KPI vrijednostima mora sadržavati osobito sljedeće: </w:t>
      </w:r>
    </w:p>
    <w:p w:rsidR="00CE4060" w:rsidRPr="005A144C" w:rsidRDefault="00CE4060" w:rsidP="00BD3C97">
      <w:pPr>
        <w:numPr>
          <w:ilvl w:val="0"/>
          <w:numId w:val="6"/>
        </w:numPr>
        <w:jc w:val="both"/>
        <w:rPr>
          <w:rFonts w:ascii="Calibri" w:eastAsia="Times New Roman" w:hAnsi="Calibri"/>
          <w:szCs w:val="24"/>
        </w:rPr>
      </w:pPr>
      <w:r w:rsidRPr="005A144C">
        <w:rPr>
          <w:rFonts w:ascii="Calibri" w:eastAsia="Times New Roman" w:hAnsi="Calibri"/>
          <w:szCs w:val="24"/>
        </w:rPr>
        <w:t xml:space="preserve">omjer raspodjele prometa za uslugu </w:t>
      </w:r>
      <w:r w:rsidR="00EE183B" w:rsidRPr="005A144C">
        <w:rPr>
          <w:rFonts w:ascii="Calibri" w:eastAsia="Times New Roman" w:hAnsi="Calibri"/>
          <w:szCs w:val="24"/>
        </w:rPr>
        <w:t xml:space="preserve">veleprodajnog završavanja </w:t>
      </w:r>
      <w:r w:rsidR="007E4538">
        <w:rPr>
          <w:rFonts w:ascii="Calibri" w:eastAsia="Times New Roman" w:hAnsi="Calibri"/>
          <w:szCs w:val="24"/>
        </w:rPr>
        <w:t>poziva</w:t>
      </w:r>
      <w:r w:rsidRPr="005A144C">
        <w:rPr>
          <w:rFonts w:ascii="Calibri" w:eastAsia="Times New Roman" w:hAnsi="Calibri"/>
          <w:szCs w:val="24"/>
        </w:rPr>
        <w:t xml:space="preserve"> za vrijeme kvara u mreži;</w:t>
      </w:r>
    </w:p>
    <w:p w:rsidR="00CE4060" w:rsidRPr="00026095" w:rsidRDefault="00CE4060" w:rsidP="00BD3C97">
      <w:pPr>
        <w:numPr>
          <w:ilvl w:val="0"/>
          <w:numId w:val="6"/>
        </w:numPr>
        <w:jc w:val="both"/>
        <w:rPr>
          <w:rFonts w:ascii="Calibri" w:eastAsia="Times New Roman" w:hAnsi="Calibri"/>
          <w:szCs w:val="24"/>
        </w:rPr>
      </w:pPr>
      <w:r w:rsidRPr="005A144C">
        <w:rPr>
          <w:rFonts w:ascii="Calibri" w:eastAsia="Times New Roman" w:hAnsi="Calibri"/>
          <w:szCs w:val="24"/>
        </w:rPr>
        <w:t xml:space="preserve">KPI vezano uz pružanje usluge </w:t>
      </w:r>
      <w:r w:rsidRPr="00026095">
        <w:rPr>
          <w:rFonts w:ascii="Calibri" w:eastAsia="Times New Roman" w:hAnsi="Calibri"/>
          <w:szCs w:val="24"/>
        </w:rPr>
        <w:t>zajedničkog korištenja prostora (</w:t>
      </w:r>
      <w:proofErr w:type="spellStart"/>
      <w:r w:rsidRPr="00026095">
        <w:rPr>
          <w:rFonts w:ascii="Calibri" w:eastAsia="Times New Roman" w:hAnsi="Calibri"/>
          <w:szCs w:val="24"/>
        </w:rPr>
        <w:t>kolokacije</w:t>
      </w:r>
      <w:proofErr w:type="spellEnd"/>
      <w:r w:rsidRPr="00026095">
        <w:rPr>
          <w:rFonts w:ascii="Calibri" w:eastAsia="Times New Roman" w:hAnsi="Calibri"/>
          <w:szCs w:val="24"/>
        </w:rPr>
        <w:t>).</w:t>
      </w:r>
    </w:p>
    <w:p w:rsidR="00CE4060" w:rsidRPr="00026095" w:rsidRDefault="00CE4060" w:rsidP="00CE4060">
      <w:pPr>
        <w:jc w:val="both"/>
        <w:rPr>
          <w:rFonts w:ascii="Calibri" w:eastAsia="Times New Roman" w:hAnsi="Calibri"/>
          <w:szCs w:val="24"/>
        </w:rPr>
      </w:pPr>
    </w:p>
    <w:p w:rsidR="00CE4060" w:rsidRPr="00026095" w:rsidRDefault="00CE4060" w:rsidP="00CE4060">
      <w:pPr>
        <w:jc w:val="both"/>
        <w:rPr>
          <w:rFonts w:ascii="Calibri" w:eastAsia="Times New Roman" w:hAnsi="Calibri"/>
          <w:iCs/>
          <w:szCs w:val="24"/>
        </w:rPr>
      </w:pPr>
      <w:r w:rsidRPr="00026095">
        <w:rPr>
          <w:rFonts w:ascii="Calibri" w:eastAsia="Times New Roman" w:hAnsi="Calibri"/>
          <w:iCs/>
          <w:szCs w:val="24"/>
        </w:rPr>
        <w:t xml:space="preserve">HAKOM može naknadno odlukom zatražiti od HT-a praćenje i izvještavanje i za neke druge KPI vrijednosti ovisno o potrebama HAKOM-a i zahtjevima tržišta. </w:t>
      </w:r>
    </w:p>
    <w:p w:rsidR="00CE4060" w:rsidRPr="00026095" w:rsidRDefault="00CE4060" w:rsidP="00CE4060">
      <w:pPr>
        <w:jc w:val="both"/>
        <w:rPr>
          <w:rFonts w:ascii="Calibri" w:eastAsia="Times New Roman" w:hAnsi="Calibri"/>
          <w:szCs w:val="24"/>
        </w:rPr>
      </w:pPr>
    </w:p>
    <w:p w:rsidR="00CE4060" w:rsidRPr="00026095" w:rsidRDefault="00CE4060" w:rsidP="00CE4060">
      <w:pPr>
        <w:jc w:val="both"/>
        <w:rPr>
          <w:rFonts w:ascii="Calibri" w:eastAsia="Times New Roman" w:hAnsi="Calibri"/>
          <w:szCs w:val="24"/>
        </w:rPr>
      </w:pPr>
      <w:r w:rsidRPr="00026095">
        <w:rPr>
          <w:rFonts w:ascii="Calibri" w:eastAsia="Times New Roman" w:hAnsi="Calibri"/>
          <w:szCs w:val="24"/>
        </w:rPr>
        <w:t>Rezultati glavnih pokazatelja učinkovitosti moraju biti iskazani na tromjesečnoj razini</w:t>
      </w:r>
      <w:r w:rsidR="006929C0">
        <w:rPr>
          <w:rFonts w:ascii="Calibri" w:eastAsia="Times New Roman" w:hAnsi="Calibri"/>
          <w:szCs w:val="24"/>
        </w:rPr>
        <w:t>, i to</w:t>
      </w:r>
      <w:r w:rsidRPr="00026095">
        <w:rPr>
          <w:rFonts w:ascii="Calibri" w:eastAsia="Times New Roman" w:hAnsi="Calibri"/>
          <w:szCs w:val="24"/>
        </w:rPr>
        <w:t xml:space="preserve">: </w:t>
      </w:r>
    </w:p>
    <w:p w:rsidR="00CE4060" w:rsidRPr="000C5040" w:rsidRDefault="00CE4060" w:rsidP="00896EB1">
      <w:pPr>
        <w:pStyle w:val="LIsta"/>
        <w:rPr>
          <w:sz w:val="24"/>
          <w:szCs w:val="24"/>
        </w:rPr>
      </w:pPr>
      <w:r w:rsidRPr="000C5040">
        <w:rPr>
          <w:sz w:val="24"/>
          <w:szCs w:val="24"/>
        </w:rPr>
        <w:t>po operatoru korisniku</w:t>
      </w:r>
      <w:r w:rsidR="006929C0">
        <w:rPr>
          <w:sz w:val="24"/>
          <w:szCs w:val="24"/>
        </w:rPr>
        <w:t>;</w:t>
      </w:r>
    </w:p>
    <w:p w:rsidR="00CE4060" w:rsidRPr="000C5040" w:rsidRDefault="00CE4060" w:rsidP="00896EB1">
      <w:pPr>
        <w:pStyle w:val="LIsta"/>
        <w:rPr>
          <w:sz w:val="24"/>
          <w:szCs w:val="24"/>
        </w:rPr>
      </w:pPr>
      <w:r w:rsidRPr="000C5040">
        <w:rPr>
          <w:sz w:val="24"/>
          <w:szCs w:val="24"/>
        </w:rPr>
        <w:t>prosječno za sve operatore korisnike</w:t>
      </w:r>
      <w:r w:rsidR="006929C0">
        <w:rPr>
          <w:sz w:val="24"/>
          <w:szCs w:val="24"/>
        </w:rPr>
        <w:t>.</w:t>
      </w:r>
    </w:p>
    <w:p w:rsidR="00CE4060" w:rsidRPr="00026095" w:rsidRDefault="00CE4060" w:rsidP="00CE4060">
      <w:pPr>
        <w:jc w:val="both"/>
        <w:rPr>
          <w:rFonts w:ascii="Calibri" w:eastAsia="Times New Roman" w:hAnsi="Calibri"/>
          <w:szCs w:val="24"/>
        </w:rPr>
      </w:pPr>
      <w:r w:rsidRPr="005A144C">
        <w:rPr>
          <w:rFonts w:ascii="Calibri" w:eastAsia="Times New Roman" w:hAnsi="Calibri"/>
          <w:szCs w:val="24"/>
        </w:rPr>
        <w:t>HT je operatorima korisnicima, objavom na internetskim strani</w:t>
      </w:r>
      <w:r w:rsidRPr="00026095">
        <w:rPr>
          <w:rFonts w:ascii="Calibri" w:eastAsia="Times New Roman" w:hAnsi="Calibri"/>
          <w:szCs w:val="24"/>
        </w:rPr>
        <w:t xml:space="preserve">cama, obvezan pružati: </w:t>
      </w:r>
    </w:p>
    <w:p w:rsidR="00CE4060" w:rsidRPr="000C5040" w:rsidRDefault="00CE4060" w:rsidP="00896EB1">
      <w:pPr>
        <w:pStyle w:val="LIsta"/>
        <w:rPr>
          <w:sz w:val="24"/>
          <w:szCs w:val="24"/>
        </w:rPr>
      </w:pPr>
      <w:r w:rsidRPr="000C5040">
        <w:rPr>
          <w:sz w:val="24"/>
          <w:szCs w:val="24"/>
        </w:rPr>
        <w:t xml:space="preserve">pristup KPI podacima vezanim za njihove aktivnosti; </w:t>
      </w:r>
    </w:p>
    <w:p w:rsidR="00CE4060" w:rsidRPr="000C5040" w:rsidRDefault="00CE4060" w:rsidP="00896EB1">
      <w:pPr>
        <w:pStyle w:val="LIsta"/>
        <w:rPr>
          <w:sz w:val="24"/>
          <w:szCs w:val="24"/>
        </w:rPr>
      </w:pPr>
      <w:r w:rsidRPr="000C5040">
        <w:rPr>
          <w:sz w:val="24"/>
          <w:szCs w:val="24"/>
        </w:rPr>
        <w:t xml:space="preserve">rezultate glavnih pokazatelja učinkovitosti prosječno za sve operatore korisnike na tromjesečnoj razini. </w:t>
      </w:r>
    </w:p>
    <w:p w:rsidR="00CE4060" w:rsidRPr="00CE4060" w:rsidRDefault="00CE4060" w:rsidP="00CE4060">
      <w:pPr>
        <w:jc w:val="both"/>
        <w:rPr>
          <w:rFonts w:ascii="Calibri" w:eastAsia="Times New Roman" w:hAnsi="Calibri"/>
        </w:rPr>
      </w:pPr>
      <w:r w:rsidRPr="00CE4060">
        <w:rPr>
          <w:rFonts w:ascii="Calibri" w:eastAsia="Times New Roman" w:hAnsi="Calibri"/>
        </w:rPr>
        <w:t>Rezultate glavnih pokazatelja učinkovitosti za pojedino tromjesečje HT treba učiniti dostupnim HAKOM-u i operatorima 30 dana nakon proteka tog tromjesečja. Zbog velike količine ovih podataka, HAKOM smatra opravdanim obvezati HT da iste pruža putem web portala kako se B2B sustav komunikacije ne bi nepotrebno opterećivao.</w:t>
      </w:r>
    </w:p>
    <w:p w:rsidR="00CE4060" w:rsidRPr="00CE4060" w:rsidRDefault="00CE4060" w:rsidP="00CE4060">
      <w:pPr>
        <w:jc w:val="both"/>
        <w:rPr>
          <w:rFonts w:ascii="Calibri" w:eastAsia="Times New Roman" w:hAnsi="Calibri"/>
        </w:rPr>
      </w:pPr>
    </w:p>
    <w:p w:rsidR="00CE4060" w:rsidRDefault="00CE4060" w:rsidP="00CE4060">
      <w:pPr>
        <w:jc w:val="both"/>
        <w:rPr>
          <w:rFonts w:ascii="Calibri" w:eastAsia="Times New Roman" w:hAnsi="Calibri"/>
        </w:rPr>
      </w:pPr>
      <w:r w:rsidRPr="00CE4060">
        <w:rPr>
          <w:rFonts w:ascii="Calibri" w:eastAsia="Times New Roman" w:hAnsi="Calibri"/>
        </w:rPr>
        <w:t>Što se tiče pokazatelja učinkovitosti vezanih uz uslugu zajedničkog korištenja prostora (</w:t>
      </w:r>
      <w:proofErr w:type="spellStart"/>
      <w:r w:rsidRPr="00CE4060">
        <w:rPr>
          <w:rFonts w:ascii="Calibri" w:eastAsia="Times New Roman" w:hAnsi="Calibri"/>
        </w:rPr>
        <w:t>kolokacije</w:t>
      </w:r>
      <w:proofErr w:type="spellEnd"/>
      <w:r w:rsidRPr="00CE4060">
        <w:rPr>
          <w:rFonts w:ascii="Calibri" w:eastAsia="Times New Roman" w:hAnsi="Calibri"/>
        </w:rPr>
        <w:t>), trebaju vrijediti isti oni pokazatelji učinkovitosti, vezani uz uslugu zajedničkog korištenja prostora (</w:t>
      </w:r>
      <w:proofErr w:type="spellStart"/>
      <w:r w:rsidRPr="00CE4060">
        <w:rPr>
          <w:rFonts w:ascii="Calibri" w:eastAsia="Times New Roman" w:hAnsi="Calibri"/>
        </w:rPr>
        <w:t>kolokacije</w:t>
      </w:r>
      <w:proofErr w:type="spellEnd"/>
      <w:r w:rsidRPr="00CE4060">
        <w:rPr>
          <w:rFonts w:ascii="Calibri" w:eastAsia="Times New Roman" w:hAnsi="Calibri"/>
        </w:rPr>
        <w:t xml:space="preserve">), koji su definirani </w:t>
      </w:r>
      <w:r w:rsidR="005F7F0A" w:rsidRPr="005F7F0A">
        <w:rPr>
          <w:rFonts w:ascii="Calibri" w:eastAsia="Times New Roman" w:hAnsi="Calibri"/>
          <w:bCs/>
        </w:rPr>
        <w:t>a</w:t>
      </w:r>
      <w:r w:rsidRPr="000C5040">
        <w:rPr>
          <w:rFonts w:ascii="Calibri" w:eastAsia="Times New Roman" w:hAnsi="Calibri"/>
          <w:bCs/>
        </w:rPr>
        <w:t>naliz</w:t>
      </w:r>
      <w:r w:rsidR="005F7F0A" w:rsidRPr="000C5040">
        <w:rPr>
          <w:rFonts w:ascii="Calibri" w:eastAsia="Times New Roman" w:hAnsi="Calibri"/>
          <w:bCs/>
        </w:rPr>
        <w:t>om</w:t>
      </w:r>
      <w:r w:rsidRPr="000C5040">
        <w:rPr>
          <w:rFonts w:ascii="Calibri" w:eastAsia="Times New Roman" w:hAnsi="Calibri"/>
          <w:bCs/>
        </w:rPr>
        <w:t xml:space="preserve"> tržišta </w:t>
      </w:r>
      <w:r w:rsidRPr="000C5040">
        <w:rPr>
          <w:rFonts w:ascii="Calibri" w:eastAsia="Times New Roman" w:hAnsi="Calibri"/>
        </w:rPr>
        <w:t xml:space="preserve">veleprodajnog </w:t>
      </w:r>
      <w:r w:rsidR="008472A3">
        <w:rPr>
          <w:rFonts w:ascii="Calibri" w:eastAsia="Times New Roman" w:hAnsi="Calibri"/>
        </w:rPr>
        <w:t xml:space="preserve">lokalnog </w:t>
      </w:r>
      <w:r w:rsidRPr="000C5040">
        <w:rPr>
          <w:rFonts w:ascii="Calibri" w:eastAsia="Times New Roman" w:hAnsi="Calibri"/>
        </w:rPr>
        <w:t xml:space="preserve">pristupa </w:t>
      </w:r>
      <w:r w:rsidR="008472A3">
        <w:rPr>
          <w:rFonts w:ascii="Calibri" w:eastAsia="Times New Roman" w:hAnsi="Calibri"/>
        </w:rPr>
        <w:t>koje se pruža na fiksnoj lokaciji</w:t>
      </w:r>
      <w:r w:rsidR="005F7F0A">
        <w:rPr>
          <w:rFonts w:ascii="Calibri" w:eastAsia="Times New Roman" w:hAnsi="Calibri"/>
          <w:bCs/>
        </w:rPr>
        <w:t>, i svim sljedećim izmjenama analize navedenog tržišta</w:t>
      </w:r>
      <w:r w:rsidRPr="00CE4060">
        <w:rPr>
          <w:rFonts w:ascii="Calibri" w:eastAsia="Times New Roman" w:hAnsi="Calibri"/>
        </w:rPr>
        <w:t>.</w:t>
      </w:r>
    </w:p>
    <w:p w:rsidR="005F7F0A" w:rsidRDefault="005F7F0A" w:rsidP="005F7F0A">
      <w:pPr>
        <w:jc w:val="both"/>
        <w:rPr>
          <w:szCs w:val="24"/>
        </w:rPr>
      </w:pPr>
    </w:p>
    <w:p w:rsidR="005F7F0A" w:rsidRPr="007B75A0" w:rsidRDefault="005F7F0A" w:rsidP="005F7F0A">
      <w:pPr>
        <w:spacing w:before="120" w:after="120"/>
        <w:jc w:val="center"/>
        <w:rPr>
          <w:szCs w:val="24"/>
        </w:rPr>
      </w:pPr>
      <w:r w:rsidRPr="007B75A0">
        <w:rPr>
          <w:szCs w:val="24"/>
        </w:rPr>
        <w:t>***</w:t>
      </w:r>
    </w:p>
    <w:p w:rsidR="005F7F0A" w:rsidRPr="00941CB9" w:rsidRDefault="005F7F0A" w:rsidP="005F7F0A">
      <w:pPr>
        <w:jc w:val="both"/>
        <w:rPr>
          <w:szCs w:val="24"/>
        </w:rPr>
      </w:pPr>
      <w:r w:rsidRPr="00941CB9">
        <w:rPr>
          <w:szCs w:val="24"/>
        </w:rPr>
        <w:t>HAKOM smatra da se objavom standardne ponude</w:t>
      </w:r>
      <w:r>
        <w:rPr>
          <w:szCs w:val="24"/>
        </w:rPr>
        <w:t>/minimalnih ponuda</w:t>
      </w:r>
      <w:r w:rsidRPr="00941CB9">
        <w:rPr>
          <w:szCs w:val="24"/>
        </w:rPr>
        <w:t xml:space="preserve"> uklanjanju zapreke ulasku na tržište definirane poglavlj</w:t>
      </w:r>
      <w:r>
        <w:rPr>
          <w:szCs w:val="24"/>
        </w:rPr>
        <w:t>u</w:t>
      </w:r>
      <w:r w:rsidRPr="00941CB9">
        <w:rPr>
          <w:szCs w:val="24"/>
        </w:rPr>
        <w:t xml:space="preserve"> </w:t>
      </w:r>
      <w:r w:rsidR="00B37377">
        <w:rPr>
          <w:szCs w:val="24"/>
        </w:rPr>
        <w:t>7</w:t>
      </w:r>
      <w:r w:rsidRPr="00941CB9">
        <w:rPr>
          <w:szCs w:val="24"/>
        </w:rPr>
        <w:t xml:space="preserve">. ovog dokumenta te se </w:t>
      </w:r>
      <w:r w:rsidR="006F5D53" w:rsidRPr="006F5D53">
        <w:rPr>
          <w:szCs w:val="24"/>
        </w:rPr>
        <w:t>omogućavaju preduvjeti za</w:t>
      </w:r>
      <w:r w:rsidRPr="00941CB9">
        <w:rPr>
          <w:szCs w:val="24"/>
        </w:rPr>
        <w:t xml:space="preserve"> ulazak novih operatora. Stoga je HAKOM mišljenja da je navedena obveza primjerena i razmjerna, s obzirom da bi </w:t>
      </w:r>
      <w:r>
        <w:rPr>
          <w:szCs w:val="24"/>
        </w:rPr>
        <w:t>operatori</w:t>
      </w:r>
      <w:r w:rsidRPr="00941CB9">
        <w:rPr>
          <w:szCs w:val="24"/>
        </w:rPr>
        <w:t>, u odsustvu regulacije, mog</w:t>
      </w:r>
      <w:r>
        <w:rPr>
          <w:szCs w:val="24"/>
        </w:rPr>
        <w:t>li</w:t>
      </w:r>
      <w:r w:rsidRPr="00941CB9">
        <w:rPr>
          <w:szCs w:val="24"/>
        </w:rPr>
        <w:t xml:space="preserve"> netransparentnim uvjetima i cijenama drugim operatorima nuditi različite uvjete i cijene od onih koje pruža svom maloprodajnom dijelu </w:t>
      </w:r>
      <w:r>
        <w:rPr>
          <w:szCs w:val="24"/>
        </w:rPr>
        <w:t>(</w:t>
      </w:r>
      <w:r w:rsidRPr="00941CB9">
        <w:rPr>
          <w:szCs w:val="24"/>
        </w:rPr>
        <w:t>i svojim povezanim društvima</w:t>
      </w:r>
      <w:r>
        <w:rPr>
          <w:szCs w:val="24"/>
        </w:rPr>
        <w:t>)</w:t>
      </w:r>
      <w:r w:rsidRPr="00941CB9">
        <w:rPr>
          <w:szCs w:val="24"/>
        </w:rPr>
        <w:t>. Dakle, objava standardne ponude</w:t>
      </w:r>
      <w:r>
        <w:rPr>
          <w:szCs w:val="24"/>
        </w:rPr>
        <w:t>/minimalnih ponuda</w:t>
      </w:r>
      <w:r w:rsidRPr="00941CB9">
        <w:rPr>
          <w:szCs w:val="24"/>
        </w:rPr>
        <w:t xml:space="preserve"> je nužna obveza jer omogućuje transparentno djelovanje </w:t>
      </w:r>
      <w:r>
        <w:rPr>
          <w:szCs w:val="24"/>
        </w:rPr>
        <w:t>operatora sa značajnom tržišnom snagom</w:t>
      </w:r>
      <w:r w:rsidRPr="00941CB9">
        <w:rPr>
          <w:szCs w:val="24"/>
        </w:rPr>
        <w:t>, a istovremeno dopunjuje obvezu nediskriminacije.</w:t>
      </w:r>
    </w:p>
    <w:p w:rsidR="005F7F0A" w:rsidRPr="00941CB9" w:rsidRDefault="005F7F0A" w:rsidP="005F7F0A">
      <w:pPr>
        <w:jc w:val="both"/>
        <w:rPr>
          <w:szCs w:val="24"/>
        </w:rPr>
      </w:pPr>
    </w:p>
    <w:p w:rsidR="005F7F0A" w:rsidRDefault="005F7F0A" w:rsidP="005F7F0A">
      <w:pPr>
        <w:jc w:val="both"/>
        <w:rPr>
          <w:szCs w:val="24"/>
        </w:rPr>
      </w:pPr>
    </w:p>
    <w:p w:rsidR="005F7F0A" w:rsidRPr="00CE4060" w:rsidRDefault="005F7F0A" w:rsidP="00CE4060">
      <w:pPr>
        <w:jc w:val="both"/>
        <w:rPr>
          <w:rFonts w:ascii="Calibri" w:eastAsia="Times New Roman" w:hAnsi="Calibri"/>
        </w:rPr>
      </w:pPr>
    </w:p>
    <w:p w:rsidR="005A144C" w:rsidRDefault="005A144C" w:rsidP="00B37377">
      <w:pPr>
        <w:spacing w:after="200" w:line="276" w:lineRule="auto"/>
        <w:rPr>
          <w:rFonts w:asciiTheme="majorHAnsi" w:eastAsiaTheme="majorEastAsia" w:hAnsiTheme="majorHAnsi" w:cstheme="majorBidi"/>
          <w:b/>
          <w:bCs/>
          <w:color w:val="4F81BD" w:themeColor="accent1"/>
          <w:sz w:val="26"/>
          <w:szCs w:val="26"/>
        </w:rPr>
      </w:pPr>
      <w:bookmarkStart w:id="200" w:name="_Toc236634853"/>
      <w:r>
        <w:br w:type="page"/>
      </w:r>
    </w:p>
    <w:p w:rsidR="00B47D48" w:rsidRPr="00F877DF" w:rsidRDefault="00B47D48" w:rsidP="00ED4D44">
      <w:pPr>
        <w:pStyle w:val="Heading2"/>
      </w:pPr>
      <w:r w:rsidRPr="00D65505">
        <w:lastRenderedPageBreak/>
        <w:t xml:space="preserve"> </w:t>
      </w:r>
      <w:bookmarkStart w:id="201" w:name="_Toc357581405"/>
      <w:bookmarkStart w:id="202" w:name="_Toc524984038"/>
      <w:bookmarkStart w:id="203" w:name="_Toc525073015"/>
      <w:bookmarkStart w:id="204" w:name="_Toc525729860"/>
      <w:r w:rsidRPr="00D65505">
        <w:t>Obveza nadzora cijena</w:t>
      </w:r>
      <w:bookmarkEnd w:id="200"/>
      <w:r w:rsidR="00677CDC">
        <w:t xml:space="preserve"> i vođenja tr</w:t>
      </w:r>
      <w:r w:rsidR="00EE4527">
        <w:t>oškovnog računovod</w:t>
      </w:r>
      <w:r w:rsidR="00677CDC">
        <w:t>s</w:t>
      </w:r>
      <w:r w:rsidR="00EE4527">
        <w:t>t</w:t>
      </w:r>
      <w:r w:rsidR="00677CDC">
        <w:t>va</w:t>
      </w:r>
      <w:bookmarkEnd w:id="201"/>
      <w:bookmarkEnd w:id="202"/>
      <w:bookmarkEnd w:id="203"/>
      <w:bookmarkEnd w:id="204"/>
    </w:p>
    <w:p w:rsidR="00B42CB3" w:rsidRPr="00B42CB3" w:rsidRDefault="00B42CB3" w:rsidP="000C5040">
      <w:pPr>
        <w:jc w:val="both"/>
        <w:rPr>
          <w:rFonts w:ascii="Calibri" w:eastAsia="Times New Roman" w:hAnsi="Calibri" w:cs="Calibri"/>
        </w:rPr>
      </w:pPr>
      <w:r w:rsidRPr="00B42CB3">
        <w:rPr>
          <w:rFonts w:ascii="Calibri" w:eastAsia="Times New Roman" w:hAnsi="Calibri" w:cs="Calibri"/>
        </w:rPr>
        <w:t>HAKOM može odrediti, operatorima sa značajnom tržišnom snagom, regulatorne 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usluga. HAKOM ovu obvezu, operatorima sa značajnom tržišnom snagom zadržava, odnosno određuje samo u djelu koji se odnosi na pristup u svrhu međupovezivanja i to na način kako je određeno dalje u dokumentu.</w:t>
      </w:r>
    </w:p>
    <w:p w:rsidR="00B42CB3" w:rsidRPr="00B42CB3" w:rsidRDefault="00B42CB3" w:rsidP="000C5040">
      <w:pPr>
        <w:jc w:val="both"/>
        <w:rPr>
          <w:rFonts w:ascii="Calibri" w:eastAsia="Times New Roman" w:hAnsi="Calibri" w:cs="Calibri"/>
        </w:rPr>
      </w:pPr>
    </w:p>
    <w:p w:rsidR="00B42CB3" w:rsidRDefault="00B42CB3" w:rsidP="000C5040">
      <w:pPr>
        <w:jc w:val="both"/>
        <w:rPr>
          <w:rFonts w:ascii="Calibri" w:eastAsia="Times New Roman" w:hAnsi="Calibri" w:cs="Calibri"/>
        </w:rPr>
      </w:pPr>
      <w:r w:rsidRPr="00B42CB3">
        <w:rPr>
          <w:rFonts w:ascii="Calibri" w:eastAsia="Times New Roman" w:hAnsi="Calibri" w:cs="Calibri"/>
        </w:rPr>
        <w:t>HAKOM će osigurati da svi načini povrata troškova i metodologije određivanja cijena, koje su određene operatorima, budu usmjerene na promicanje djelotvornosti i održivoga tržišnog natjecanja te na ostvarivanje najvećih pogodnosti za krajnje korisnike usluga, pri čemu može uzeti u obzir i cijene dostupne na usporedivim konkurentnim tržištima.</w:t>
      </w:r>
    </w:p>
    <w:p w:rsidR="005A144C" w:rsidRPr="00B42CB3" w:rsidRDefault="005A144C" w:rsidP="000C5040">
      <w:pPr>
        <w:jc w:val="both"/>
        <w:rPr>
          <w:rFonts w:ascii="Calibri" w:eastAsia="Times New Roman" w:hAnsi="Calibri" w:cs="Calibri"/>
        </w:rPr>
      </w:pPr>
    </w:p>
    <w:p w:rsidR="00B42CB3" w:rsidRDefault="00B42CB3" w:rsidP="000C5040">
      <w:pPr>
        <w:jc w:val="both"/>
        <w:rPr>
          <w:rFonts w:ascii="Calibri" w:eastAsia="Times New Roman" w:hAnsi="Calibri" w:cs="Calibri"/>
        </w:rPr>
      </w:pPr>
      <w:r w:rsidRPr="00B42CB3">
        <w:rPr>
          <w:rFonts w:ascii="Calibri" w:eastAsia="Times New Roman" w:hAnsi="Calibri" w:cs="Calibri"/>
        </w:rPr>
        <w:t>Operator, kojemu je određena obveza troškovne usmjerenosti cijena, snosi teret dokazivanja da cijene njegovih usluga proizlaze iz troškova, uključujući razumnu stopu povrata ulaganja. U svrhu izračuna troškova djelotvornog pružanja usluga HAKOM može primijeniti metodologiju troškovnog računovodstva neovisno o metodologiji koju primjenjuje operator, ili metodu referentnih vrijednosti te može zatražiti od operatora cjelovito obrazloženje cijena njegovih usluga, a prema potrebi i izmjenu tih cijena.</w:t>
      </w:r>
    </w:p>
    <w:p w:rsidR="005A144C" w:rsidRPr="00B42CB3" w:rsidRDefault="005A144C" w:rsidP="000C5040">
      <w:pPr>
        <w:jc w:val="both"/>
        <w:rPr>
          <w:rFonts w:ascii="Calibri" w:eastAsia="Times New Roman" w:hAnsi="Calibri" w:cs="Calibri"/>
        </w:rPr>
      </w:pPr>
    </w:p>
    <w:p w:rsidR="00B42CB3" w:rsidRDefault="00B42CB3" w:rsidP="000C5040">
      <w:pPr>
        <w:jc w:val="both"/>
        <w:rPr>
          <w:rFonts w:ascii="Calibri" w:eastAsia="Times New Roman" w:hAnsi="Calibri" w:cs="Calibri"/>
        </w:rPr>
      </w:pPr>
      <w:r w:rsidRPr="00B42CB3">
        <w:rPr>
          <w:rFonts w:ascii="Calibri" w:eastAsia="Times New Roman" w:hAnsi="Calibri" w:cs="Calibri"/>
        </w:rPr>
        <w:t>Vezano uz metodologiju troškovnog računovodstva, HAKOM je u veljači 2012. donio odluku o metodologiji izrade i primjene troškovnih modela za nepokretnu i pokretnu mrežu i univerzalnu uslugu</w:t>
      </w:r>
      <w:r w:rsidRPr="00B42CB3">
        <w:rPr>
          <w:rFonts w:ascii="Calibri" w:eastAsia="Times New Roman" w:hAnsi="Calibri" w:cs="Calibri"/>
          <w:vertAlign w:val="superscript"/>
        </w:rPr>
        <w:footnoteReference w:id="29"/>
      </w:r>
      <w:r w:rsidRPr="00B42CB3">
        <w:rPr>
          <w:rFonts w:ascii="Calibri" w:eastAsia="Times New Roman" w:hAnsi="Calibri" w:cs="Calibri"/>
        </w:rPr>
        <w:t xml:space="preserve">. Rezultat troškovnih modela za nepokretnu mrežu, jest izračun jediničnih troškova reguliranih usluga. Prema takvom troškovno usmjerenom izračunu cijena, operator sa značajnom tržišnom snagom trebao bi moći ostvariti povrat učinkovitih troškova pružanja usluga, pri čemu će tako određene cijene poticati daljnja ulaganja u izgradnju u modernizaciju mreže. </w:t>
      </w:r>
    </w:p>
    <w:p w:rsidR="005A144C" w:rsidRPr="00B42CB3" w:rsidRDefault="005A144C" w:rsidP="000C5040">
      <w:pPr>
        <w:jc w:val="both"/>
        <w:rPr>
          <w:rFonts w:ascii="Calibri" w:eastAsia="Times New Roman" w:hAnsi="Calibri" w:cs="Calibri"/>
        </w:rPr>
      </w:pPr>
    </w:p>
    <w:p w:rsidR="00B42CB3" w:rsidRPr="00B42CB3" w:rsidRDefault="00B42CB3" w:rsidP="000C5040">
      <w:pPr>
        <w:jc w:val="both"/>
        <w:rPr>
          <w:rFonts w:ascii="Calibri" w:eastAsia="Times New Roman" w:hAnsi="Calibri" w:cs="Calibri"/>
        </w:rPr>
      </w:pPr>
      <w:r w:rsidRPr="00B42CB3">
        <w:rPr>
          <w:rFonts w:ascii="Calibri" w:eastAsia="Times New Roman" w:hAnsi="Calibri" w:cs="Calibri"/>
        </w:rPr>
        <w:t>Tri su glavna cilja HAKOM-a kod uvođenja troškovno-usmjerenog određivanja cijena:</w:t>
      </w:r>
    </w:p>
    <w:p w:rsidR="00B42CB3" w:rsidRPr="00B42CB3" w:rsidRDefault="00B42CB3" w:rsidP="00BD3C97">
      <w:pPr>
        <w:numPr>
          <w:ilvl w:val="1"/>
          <w:numId w:val="10"/>
        </w:numPr>
        <w:contextualSpacing/>
        <w:jc w:val="both"/>
        <w:rPr>
          <w:rFonts w:ascii="Calibri" w:eastAsia="Times New Roman" w:hAnsi="Calibri" w:cs="Calibri"/>
        </w:rPr>
      </w:pPr>
      <w:r w:rsidRPr="00B42CB3">
        <w:rPr>
          <w:rFonts w:ascii="Calibri" w:eastAsia="Times New Roman" w:hAnsi="Calibri" w:cs="Calibri"/>
        </w:rPr>
        <w:t>promicanje učinkovitosti,</w:t>
      </w:r>
    </w:p>
    <w:p w:rsidR="00B42CB3" w:rsidRPr="00B42CB3" w:rsidRDefault="00B42CB3" w:rsidP="00BD3C97">
      <w:pPr>
        <w:numPr>
          <w:ilvl w:val="1"/>
          <w:numId w:val="10"/>
        </w:numPr>
        <w:contextualSpacing/>
        <w:jc w:val="both"/>
        <w:rPr>
          <w:rFonts w:ascii="Calibri" w:eastAsia="Times New Roman" w:hAnsi="Calibri" w:cs="Calibri"/>
        </w:rPr>
      </w:pPr>
      <w:r w:rsidRPr="00B42CB3">
        <w:rPr>
          <w:rFonts w:ascii="Calibri" w:eastAsia="Times New Roman" w:hAnsi="Calibri" w:cs="Calibri"/>
        </w:rPr>
        <w:t>promicanje održivog tržišnog natjecanja te</w:t>
      </w:r>
    </w:p>
    <w:p w:rsidR="00B42CB3" w:rsidRPr="00B42CB3" w:rsidRDefault="00B42CB3" w:rsidP="00BD3C97">
      <w:pPr>
        <w:numPr>
          <w:ilvl w:val="1"/>
          <w:numId w:val="10"/>
        </w:numPr>
        <w:ind w:left="714" w:hanging="357"/>
        <w:contextualSpacing/>
        <w:jc w:val="both"/>
        <w:rPr>
          <w:rFonts w:ascii="Calibri" w:eastAsia="Times New Roman" w:hAnsi="Calibri" w:cs="Calibri"/>
        </w:rPr>
      </w:pPr>
      <w:r w:rsidRPr="00B42CB3">
        <w:rPr>
          <w:rFonts w:ascii="Calibri" w:eastAsia="Times New Roman" w:hAnsi="Calibri" w:cs="Calibri"/>
        </w:rPr>
        <w:t>osiguravanje najvećih koristi za korisnike.</w:t>
      </w:r>
    </w:p>
    <w:p w:rsidR="00B42CB3" w:rsidRPr="00B42CB3" w:rsidRDefault="00B42CB3" w:rsidP="000C5040">
      <w:pPr>
        <w:jc w:val="both"/>
        <w:rPr>
          <w:rFonts w:ascii="Calibri" w:eastAsia="Times New Roman" w:hAnsi="Calibri" w:cs="Calibri"/>
        </w:rPr>
      </w:pPr>
    </w:p>
    <w:p w:rsidR="007B4DFC" w:rsidRDefault="007B4DFC" w:rsidP="000C5040">
      <w:pPr>
        <w:jc w:val="both"/>
        <w:rPr>
          <w:rFonts w:ascii="Calibri" w:eastAsia="Times New Roman" w:hAnsi="Calibri" w:cs="Calibri"/>
        </w:rPr>
      </w:pPr>
      <w:r w:rsidRPr="007B4DFC">
        <w:rPr>
          <w:rFonts w:ascii="Calibri" w:eastAsia="Times New Roman" w:hAnsi="Calibri" w:cs="Calibri"/>
        </w:rPr>
        <w:t xml:space="preserve">HAKOM je </w:t>
      </w:r>
      <w:r w:rsidR="00806516">
        <w:rPr>
          <w:rFonts w:ascii="Calibri" w:eastAsia="Times New Roman" w:hAnsi="Calibri" w:cs="Calibri"/>
        </w:rPr>
        <w:t>u poglavljima 7.3. i 7.4.</w:t>
      </w:r>
      <w:r w:rsidRPr="005F7F0A">
        <w:rPr>
          <w:rFonts w:ascii="Calibri" w:eastAsia="Times New Roman" w:hAnsi="Calibri" w:cs="Calibri"/>
        </w:rPr>
        <w:t xml:space="preserve"> ovog</w:t>
      </w:r>
      <w:r w:rsidRPr="007B4DFC">
        <w:rPr>
          <w:rFonts w:ascii="Calibri" w:eastAsia="Times New Roman" w:hAnsi="Calibri" w:cs="Calibri"/>
        </w:rPr>
        <w:t xml:space="preserve"> dokumenta prepoznao određene prepreke koje bi se mogle pojaviti na ovom tržištu u odsustvu regulacije. Stoga je po mišljenju HAKOM-a potrebno </w:t>
      </w:r>
      <w:r>
        <w:rPr>
          <w:rFonts w:ascii="Calibri" w:eastAsia="Times New Roman" w:hAnsi="Calibri" w:cs="Calibri"/>
        </w:rPr>
        <w:t>da operatori sa značajnom tržišnom snagom i dalje imaju</w:t>
      </w:r>
      <w:r w:rsidRPr="007B4DFC">
        <w:rPr>
          <w:rFonts w:ascii="Calibri" w:eastAsia="Times New Roman" w:hAnsi="Calibri" w:cs="Calibri"/>
        </w:rPr>
        <w:t xml:space="preserve"> obvezu nadzora cijena kako bi ne bi došlo do prepoznatih problema na tržištu.</w:t>
      </w:r>
    </w:p>
    <w:p w:rsidR="00B42CB3" w:rsidRPr="00B42CB3" w:rsidRDefault="00B42CB3" w:rsidP="000C5040">
      <w:pPr>
        <w:jc w:val="both"/>
        <w:rPr>
          <w:rFonts w:ascii="Calibri" w:eastAsia="Times New Roman" w:hAnsi="Calibri" w:cs="Calibri"/>
        </w:rPr>
      </w:pPr>
    </w:p>
    <w:p w:rsidR="00B42CB3" w:rsidRPr="00B42CB3" w:rsidRDefault="00B42CB3" w:rsidP="000C5040">
      <w:pPr>
        <w:jc w:val="both"/>
        <w:rPr>
          <w:rFonts w:ascii="Calibri" w:eastAsia="Times New Roman" w:hAnsi="Calibri" w:cs="Calibri"/>
        </w:rPr>
      </w:pPr>
      <w:r w:rsidRPr="00B42CB3">
        <w:rPr>
          <w:rFonts w:ascii="Calibri" w:eastAsia="Times New Roman" w:hAnsi="Calibri" w:cs="Calibri"/>
        </w:rPr>
        <w:t>Kako bi spriječio mogućnost pojave prethodno navedenih prepreka razvoju tržišnog natjecanja, HAKOM je odredio da se svim operatorima sa značajnom tržišnom snagom zadrži obveza nadzora cijena i to samo za:</w:t>
      </w:r>
    </w:p>
    <w:p w:rsidR="00B42CB3" w:rsidRPr="00B42CB3" w:rsidRDefault="00B42CB3" w:rsidP="00BD3C97">
      <w:pPr>
        <w:numPr>
          <w:ilvl w:val="0"/>
          <w:numId w:val="13"/>
        </w:numPr>
        <w:contextualSpacing/>
        <w:jc w:val="both"/>
      </w:pPr>
      <w:r w:rsidRPr="00B42CB3">
        <w:rPr>
          <w:rFonts w:ascii="Cambria" w:hAnsi="Cambria"/>
          <w:i/>
          <w:iCs/>
          <w:color w:val="4F81BD"/>
          <w:spacing w:val="15"/>
        </w:rPr>
        <w:lastRenderedPageBreak/>
        <w:t xml:space="preserve">uslugu završavanja </w:t>
      </w:r>
      <w:r w:rsidR="007E4538">
        <w:rPr>
          <w:rFonts w:ascii="Cambria" w:hAnsi="Cambria"/>
          <w:i/>
          <w:iCs/>
          <w:color w:val="4F81BD"/>
          <w:spacing w:val="15"/>
        </w:rPr>
        <w:t>poziva</w:t>
      </w:r>
      <w:r w:rsidRPr="00B42CB3">
        <w:rPr>
          <w:rFonts w:ascii="Cambria" w:hAnsi="Cambria"/>
          <w:i/>
          <w:iCs/>
          <w:color w:val="4F81BD"/>
          <w:spacing w:val="15"/>
        </w:rPr>
        <w:t xml:space="preserve"> u mrežu operatora sa značajnom tržišnom snagom, započetih s A brojeva koji pripadaju nekom od nacionalnih ili EEA operatora neovisno o mreži u kojoj je poziv započeo, pri čemu A broj operatoru koji ima mogućnost raspoznavanja A broja mora biti vidljiv, ispravan i potpun</w:t>
      </w:r>
      <w:r w:rsidRPr="00B42CB3">
        <w:rPr>
          <w:rFonts w:ascii="Calibri" w:eastAsia="Times New Roman" w:hAnsi="Calibri" w:cs="Calibri"/>
        </w:rPr>
        <w:t xml:space="preserve"> </w:t>
      </w:r>
    </w:p>
    <w:p w:rsidR="00B42CB3" w:rsidRPr="00B42CB3" w:rsidRDefault="00B42CB3" w:rsidP="005A144C">
      <w:pPr>
        <w:jc w:val="both"/>
      </w:pPr>
    </w:p>
    <w:p w:rsidR="00B42CB3" w:rsidRDefault="00B42CB3" w:rsidP="005A144C">
      <w:pPr>
        <w:jc w:val="both"/>
      </w:pPr>
      <w:r w:rsidRPr="00B42CB3">
        <w:t xml:space="preserve">Stoga se obveza nadzora cijena primjenjuje na pozive koji su završili u mreži operatora nepokretnih mreža, neovisno o tome jesu li pozivi započeti s A brojeva koji pripadaju nekom od nacionalnih ili međunarodnih EEA operatora pokretne ili nepokretne mreže (slika </w:t>
      </w:r>
      <w:r w:rsidR="008472A3">
        <w:t>3</w:t>
      </w:r>
      <w:r w:rsidRPr="00B42CB3">
        <w:t xml:space="preserve">). </w:t>
      </w:r>
    </w:p>
    <w:p w:rsidR="00B42CB3" w:rsidRPr="00263AFF" w:rsidRDefault="00CC3ACC" w:rsidP="00403874">
      <w:pPr>
        <w:pStyle w:val="Caption"/>
        <w:spacing w:before="240"/>
        <w:jc w:val="both"/>
      </w:pPr>
      <w:bookmarkStart w:id="205" w:name="_Toc525551859"/>
      <w:r>
        <w:t xml:space="preserve">Slika </w:t>
      </w:r>
      <w:r w:rsidR="00D7656B">
        <w:rPr>
          <w:noProof/>
        </w:rPr>
        <w:fldChar w:fldCharType="begin"/>
      </w:r>
      <w:r w:rsidR="00D7656B">
        <w:rPr>
          <w:noProof/>
        </w:rPr>
        <w:instrText xml:space="preserve"> SEQ Slika \* ARABIC </w:instrText>
      </w:r>
      <w:r w:rsidR="00D7656B">
        <w:rPr>
          <w:noProof/>
        </w:rPr>
        <w:fldChar w:fldCharType="separate"/>
      </w:r>
      <w:r w:rsidR="00B02775">
        <w:rPr>
          <w:noProof/>
        </w:rPr>
        <w:t>3</w:t>
      </w:r>
      <w:r w:rsidR="00D7656B">
        <w:rPr>
          <w:noProof/>
        </w:rPr>
        <w:fldChar w:fldCharType="end"/>
      </w:r>
      <w:r w:rsidRPr="00CC3ACC">
        <w:t xml:space="preserve"> </w:t>
      </w:r>
      <w:r>
        <w:t>Prikaz reguliranih i nereguliranih odnosa poziva</w:t>
      </w:r>
      <w:bookmarkEnd w:id="205"/>
    </w:p>
    <w:p w:rsidR="00B42CB3" w:rsidRPr="00B42CB3" w:rsidRDefault="00B42CB3" w:rsidP="00B42CB3">
      <w:pPr>
        <w:spacing w:line="276" w:lineRule="auto"/>
        <w:jc w:val="both"/>
        <w:rPr>
          <w:rFonts w:ascii="Calibri" w:eastAsia="Times New Roman" w:hAnsi="Calibri" w:cs="Calibri"/>
        </w:rPr>
      </w:pPr>
      <w:r w:rsidRPr="00B42CB3">
        <w:rPr>
          <w:noProof/>
          <w:lang w:val="en-US" w:eastAsia="en-US"/>
        </w:rPr>
        <w:drawing>
          <wp:inline distT="0" distB="0" distL="0" distR="0" wp14:anchorId="1C2B966F" wp14:editId="4F36DB71">
            <wp:extent cx="4898529" cy="3009900"/>
            <wp:effectExtent l="19050" t="19050" r="16510" b="1905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896325" cy="3008546"/>
                    </a:xfrm>
                    <a:prstGeom prst="rect">
                      <a:avLst/>
                    </a:prstGeom>
                    <a:noFill/>
                    <a:ln>
                      <a:solidFill>
                        <a:srgbClr val="4F81BD"/>
                      </a:solidFill>
                    </a:ln>
                  </pic:spPr>
                </pic:pic>
              </a:graphicData>
            </a:graphic>
          </wp:inline>
        </w:drawing>
      </w:r>
    </w:p>
    <w:p w:rsidR="00B42CB3" w:rsidRPr="00B42CB3" w:rsidRDefault="00B42CB3" w:rsidP="00B42CB3">
      <w:pPr>
        <w:spacing w:line="276" w:lineRule="auto"/>
        <w:jc w:val="both"/>
        <w:rPr>
          <w:rFonts w:ascii="Calibri" w:eastAsia="Times New Roman" w:hAnsi="Calibri" w:cs="Calibri"/>
        </w:rPr>
      </w:pPr>
    </w:p>
    <w:p w:rsidR="00524EA2" w:rsidRDefault="00524EA2" w:rsidP="00524EA2">
      <w:pPr>
        <w:jc w:val="both"/>
      </w:pPr>
      <w:r>
        <w:t>I</w:t>
      </w:r>
      <w:r w:rsidR="00776048">
        <w:t>znimno</w:t>
      </w:r>
      <w:r>
        <w:t xml:space="preserve">, u slučaju kada operator u zemlji na području izvan EEA naplaćuje hrvatskom operatoru cijenu </w:t>
      </w:r>
      <w:proofErr w:type="spellStart"/>
      <w:r>
        <w:t>terminacije</w:t>
      </w:r>
      <w:proofErr w:type="spellEnd"/>
      <w:r>
        <w:t xml:space="preserve"> koja je jednaka ili niža od regulirane cijene određene hrvatskim operatorima za EEA pozive, hrvatski operatori ne smiju za pozive s A broja započetih u mrežama takvih operatora izvan EEA naplaćivati cijenu koja bi bila veća od regulirane cijene </w:t>
      </w:r>
      <w:proofErr w:type="spellStart"/>
      <w:r>
        <w:t>terminacije</w:t>
      </w:r>
      <w:proofErr w:type="spellEnd"/>
      <w:r>
        <w:t xml:space="preserve">. U svim ostalim slučajevima započinjanja poziva s A brojeva iz </w:t>
      </w:r>
      <w:r w:rsidR="00B02775">
        <w:t xml:space="preserve">mreža operatora koji se nalaze </w:t>
      </w:r>
      <w:r>
        <w:t xml:space="preserve">izvan EEA područja, cijene se određuju na temelju komercijalnog dogovora dvaju operatora. </w:t>
      </w:r>
    </w:p>
    <w:p w:rsidR="00524EA2" w:rsidRDefault="00524EA2" w:rsidP="00026095">
      <w:pPr>
        <w:tabs>
          <w:tab w:val="left" w:pos="2700"/>
        </w:tabs>
        <w:jc w:val="both"/>
      </w:pPr>
    </w:p>
    <w:p w:rsidR="00B42CB3" w:rsidRDefault="00B42CB3" w:rsidP="00026095">
      <w:pPr>
        <w:tabs>
          <w:tab w:val="left" w:pos="2700"/>
        </w:tabs>
        <w:jc w:val="both"/>
      </w:pPr>
      <w:r w:rsidRPr="00562BA5">
        <w:t>Radi izbjegavanja dvojbi, ukoliko operator ima implementiran sustav raspoznavanja A broja, a sam A broj nije vidljiv, potpun ili ispravan (operator A broja ili tranzitni operator ga iz nekog razloga skriva, mijenja ili skraćuje), operatori sa značajnom tržišnom snagom nisu obvezni naplaćivati reguliranu cijenu.</w:t>
      </w:r>
    </w:p>
    <w:p w:rsidR="000B733E" w:rsidRDefault="000B733E" w:rsidP="00026095">
      <w:pPr>
        <w:tabs>
          <w:tab w:val="left" w:pos="2700"/>
        </w:tabs>
        <w:jc w:val="both"/>
      </w:pPr>
    </w:p>
    <w:p w:rsidR="000B733E" w:rsidRDefault="000B733E" w:rsidP="000B733E">
      <w:pPr>
        <w:tabs>
          <w:tab w:val="left" w:pos="2700"/>
        </w:tabs>
        <w:jc w:val="both"/>
      </w:pPr>
      <w:r w:rsidRPr="00216E00">
        <w:t xml:space="preserve">HAKOM </w:t>
      </w:r>
      <w:r w:rsidR="00BD223D" w:rsidRPr="00216E00">
        <w:t xml:space="preserve">je segmentiranu </w:t>
      </w:r>
      <w:r w:rsidRPr="00216E00">
        <w:t>regulacij</w:t>
      </w:r>
      <w:r w:rsidR="00BD223D" w:rsidRPr="00216E00">
        <w:t>u</w:t>
      </w:r>
      <w:r w:rsidRPr="00216E00">
        <w:t xml:space="preserve"> cijena</w:t>
      </w:r>
      <w:r w:rsidR="00BD223D" w:rsidRPr="00216E00">
        <w:t xml:space="preserve"> uveo prethodnom analizom ovog mjerodavnog tržišta, kako </w:t>
      </w:r>
      <w:r w:rsidR="00413065" w:rsidRPr="00216E00">
        <w:t xml:space="preserve">bi </w:t>
      </w:r>
      <w:r w:rsidR="00BD223D" w:rsidRPr="00216E00">
        <w:t>spriječio</w:t>
      </w:r>
      <w:r w:rsidRPr="00216E00">
        <w:t xml:space="preserve"> </w:t>
      </w:r>
      <w:r w:rsidR="00BD223D" w:rsidRPr="00216E00">
        <w:t>značajnu</w:t>
      </w:r>
      <w:r w:rsidRPr="00216E00">
        <w:t xml:space="preserve"> asimetrij</w:t>
      </w:r>
      <w:r w:rsidR="00BD223D" w:rsidRPr="00216E00">
        <w:t>u</w:t>
      </w:r>
      <w:r w:rsidRPr="00216E00">
        <w:t xml:space="preserve"> cijena završavanja poziva koje su prije uvođenja </w:t>
      </w:r>
      <w:r w:rsidR="00413065" w:rsidRPr="00216E00">
        <w:t>segmentirane regulacije</w:t>
      </w:r>
      <w:r w:rsidRPr="00216E00">
        <w:t xml:space="preserve"> naplaćivali </w:t>
      </w:r>
      <w:r w:rsidR="00BD223D" w:rsidRPr="00216E00">
        <w:t>pojedini operatori</w:t>
      </w:r>
      <w:r w:rsidRPr="00216E00">
        <w:t xml:space="preserve"> izvan EEA zemalja</w:t>
      </w:r>
      <w:r w:rsidR="00BD223D" w:rsidRPr="00216E00">
        <w:t xml:space="preserve"> u usporedbi s operatorima RH.</w:t>
      </w:r>
    </w:p>
    <w:p w:rsidR="000B733E" w:rsidRDefault="000B733E" w:rsidP="00026095">
      <w:pPr>
        <w:tabs>
          <w:tab w:val="left" w:pos="2700"/>
        </w:tabs>
        <w:jc w:val="both"/>
      </w:pPr>
    </w:p>
    <w:p w:rsidR="00B42CB3" w:rsidRDefault="00BD223D" w:rsidP="00026095">
      <w:pPr>
        <w:tabs>
          <w:tab w:val="left" w:pos="2700"/>
        </w:tabs>
        <w:jc w:val="both"/>
      </w:pPr>
      <w:r>
        <w:lastRenderedPageBreak/>
        <w:t>Naime, određivanje</w:t>
      </w:r>
      <w:r w:rsidR="00B42CB3" w:rsidRPr="00562BA5">
        <w:t xml:space="preserve"> obvez</w:t>
      </w:r>
      <w:r>
        <w:t>e</w:t>
      </w:r>
      <w:r w:rsidR="00B42CB3" w:rsidRPr="00562BA5">
        <w:t xml:space="preserve"> nadzora cijene i za završavanje poziva s A broja iz mreže operatora izvan EEA zemalja </w:t>
      </w:r>
      <w:r w:rsidR="00413065">
        <w:t>dovelo bi</w:t>
      </w:r>
      <w:r>
        <w:t xml:space="preserve"> hrvatske operatore u</w:t>
      </w:r>
      <w:r w:rsidRPr="00562BA5">
        <w:t xml:space="preserve"> neravnopravan položaj</w:t>
      </w:r>
      <w:r>
        <w:t xml:space="preserve"> </w:t>
      </w:r>
      <w:r w:rsidRPr="00562BA5">
        <w:t xml:space="preserve">kod ugovaranja cijena završavanja poziva </w:t>
      </w:r>
      <w:r>
        <w:t xml:space="preserve">u mreže pojedinih </w:t>
      </w:r>
      <w:r w:rsidRPr="00562BA5">
        <w:t>operatora izvan EEA zemalja</w:t>
      </w:r>
      <w:r>
        <w:t xml:space="preserve">, jer bi </w:t>
      </w:r>
      <w:r w:rsidR="00413065">
        <w:t>bili obvezni naplaćivati</w:t>
      </w:r>
      <w:r w:rsidR="00B42CB3" w:rsidRPr="00562BA5">
        <w:t xml:space="preserve"> regulirane</w:t>
      </w:r>
      <w:r w:rsidR="00413065">
        <w:t xml:space="preserve"> cijene</w:t>
      </w:r>
      <w:r w:rsidR="00B42CB3" w:rsidRPr="00562BA5">
        <w:t xml:space="preserve">, dok bi istovremeno tim istim operatorima bili prisiljeni plaćati višu cijenu završavanja </w:t>
      </w:r>
      <w:r w:rsidR="007E4538" w:rsidRPr="00562BA5">
        <w:t>poziva</w:t>
      </w:r>
      <w:r w:rsidR="00B42CB3" w:rsidRPr="00562BA5">
        <w:t xml:space="preserve"> koja nije regulirana. </w:t>
      </w:r>
    </w:p>
    <w:p w:rsidR="00413065" w:rsidRDefault="00413065" w:rsidP="00026095">
      <w:pPr>
        <w:tabs>
          <w:tab w:val="left" w:pos="2700"/>
        </w:tabs>
        <w:jc w:val="both"/>
      </w:pPr>
    </w:p>
    <w:p w:rsidR="00413065" w:rsidRPr="00216E00" w:rsidRDefault="00413065" w:rsidP="00026095">
      <w:pPr>
        <w:tabs>
          <w:tab w:val="left" w:pos="2700"/>
        </w:tabs>
        <w:jc w:val="both"/>
      </w:pPr>
      <w:r>
        <w:t xml:space="preserve">Uzevši u obzir pozitivne učinke segmentirane regulacije cijene u smislu da je hrvatskim operatorima omogućena pregovaračka moć u pregovorima za određivanja cijena za završavanja poziva, HAKOM smatra potrebnim zadržati segmentiranu regulaciju cijena. Međutim, HAKOM ovom analizom tržišta uvodi izuzetak na način da se </w:t>
      </w:r>
      <w:r w:rsidR="00216E00">
        <w:t xml:space="preserve">umjesto komercijalne može naplatiti maksimalna regulirana cijena operatorima izvan EEA zemalja. Navedeno vrijedi samo za one operatore koji hrvatskih operatorima naplaćuju cijenu nižu ili istu reguliranoj cijeni koju imaju hrvatski operatori. HAKOM navedeno smatra uvesti iz razloga kako bi se spriječio neopravdani nerazmjer cijena. </w:t>
      </w:r>
    </w:p>
    <w:p w:rsidR="00957E7A" w:rsidRPr="00562BA5" w:rsidRDefault="00957E7A" w:rsidP="00026095">
      <w:pPr>
        <w:jc w:val="both"/>
        <w:rPr>
          <w:highlight w:val="yellow"/>
        </w:rPr>
      </w:pPr>
    </w:p>
    <w:p w:rsidR="00806516" w:rsidRDefault="00806516" w:rsidP="00806516">
      <w:pPr>
        <w:pStyle w:val="Subtitle"/>
        <w:rPr>
          <w:rFonts w:eastAsia="Times New Roman"/>
        </w:rPr>
      </w:pPr>
      <w:r>
        <w:rPr>
          <w:rFonts w:eastAsia="Times New Roman"/>
        </w:rPr>
        <w:t>Izračun cijene za uslugu završavanja poziva</w:t>
      </w:r>
    </w:p>
    <w:p w:rsidR="00806516" w:rsidRDefault="00806516" w:rsidP="00957E7A">
      <w:pPr>
        <w:jc w:val="both"/>
        <w:rPr>
          <w:rFonts w:ascii="Calibri" w:eastAsia="Times New Roman" w:hAnsi="Calibri" w:cs="Calibri"/>
        </w:rPr>
      </w:pPr>
    </w:p>
    <w:p w:rsidR="00957E7A" w:rsidRDefault="00957E7A" w:rsidP="00957E7A">
      <w:pPr>
        <w:jc w:val="both"/>
        <w:rPr>
          <w:rFonts w:ascii="Calibri" w:eastAsia="Times New Roman" w:hAnsi="Calibri" w:cs="Calibri"/>
        </w:rPr>
      </w:pPr>
      <w:r w:rsidRPr="00000DA1">
        <w:rPr>
          <w:rFonts w:ascii="Calibri" w:eastAsia="Times New Roman" w:hAnsi="Calibri" w:cs="Calibri"/>
        </w:rPr>
        <w:t>HAKOM je</w:t>
      </w:r>
      <w:r>
        <w:rPr>
          <w:rFonts w:ascii="Calibri" w:eastAsia="Times New Roman" w:hAnsi="Calibri" w:cs="Calibri"/>
        </w:rPr>
        <w:t xml:space="preserve"> u 2016.</w:t>
      </w:r>
      <w:r w:rsidRPr="00000DA1">
        <w:rPr>
          <w:rFonts w:ascii="Calibri" w:eastAsia="Times New Roman" w:hAnsi="Calibri" w:cs="Calibri"/>
        </w:rPr>
        <w:t xml:space="preserve"> ažurirao postoj</w:t>
      </w:r>
      <w:r>
        <w:rPr>
          <w:rFonts w:ascii="Calibri" w:eastAsia="Times New Roman" w:hAnsi="Calibri" w:cs="Calibri"/>
        </w:rPr>
        <w:t xml:space="preserve">eći troškovni model. </w:t>
      </w:r>
      <w:r w:rsidRPr="00000DA1">
        <w:rPr>
          <w:rFonts w:ascii="Calibri" w:eastAsia="Times New Roman" w:hAnsi="Calibri" w:cs="Calibri"/>
        </w:rPr>
        <w:t>Prilikom ažuriranja troškovnog modela zadržane su pretpostavke iz postojećeg modela, a ažurirani su podatci o potražnji i cijenama opreme kao i podatci koji se odnose na operativne troškove. S obzirom da troškovni model nije predvidio postojanje IP međupovezivanja (u trenutku izrade troškovnog modela HT je nudio samo TDM međupovezivanje), a HT je u međuvremenu počeo s nuđenjem navedene usluge, HAKOM je prilikom određivanja cijene za uslugu završavanja (</w:t>
      </w:r>
      <w:proofErr w:type="spellStart"/>
      <w:r w:rsidRPr="00000DA1">
        <w:rPr>
          <w:rFonts w:ascii="Calibri" w:eastAsia="Times New Roman" w:hAnsi="Calibri" w:cs="Calibri"/>
        </w:rPr>
        <w:t>terminacije</w:t>
      </w:r>
      <w:proofErr w:type="spellEnd"/>
      <w:r w:rsidRPr="00000DA1">
        <w:rPr>
          <w:rFonts w:ascii="Calibri" w:eastAsia="Times New Roman" w:hAnsi="Calibri" w:cs="Calibri"/>
        </w:rPr>
        <w:t>) poziva u javnoj nepokretnoj komunikacijskoj mreži u obzir uzeo i trošak mrežnih elementa koji su nužni kako bi se omogućilo IP međupovezivanje</w:t>
      </w:r>
      <w:r>
        <w:rPr>
          <w:rFonts w:ascii="Calibri" w:eastAsia="Times New Roman" w:hAnsi="Calibri" w:cs="Calibri"/>
        </w:rPr>
        <w:t>.</w:t>
      </w:r>
    </w:p>
    <w:p w:rsidR="00957E7A" w:rsidRDefault="00957E7A" w:rsidP="00957E7A">
      <w:pPr>
        <w:jc w:val="both"/>
        <w:rPr>
          <w:rFonts w:ascii="Calibri" w:eastAsia="Times New Roman" w:hAnsi="Calibri" w:cs="Calibri"/>
        </w:rPr>
      </w:pPr>
    </w:p>
    <w:p w:rsidR="00B02775" w:rsidRDefault="00957E7A" w:rsidP="00957E7A">
      <w:pPr>
        <w:jc w:val="both"/>
        <w:rPr>
          <w:rFonts w:ascii="Calibri" w:eastAsia="Times New Roman" w:hAnsi="Calibri" w:cs="Calibri"/>
        </w:rPr>
      </w:pPr>
      <w:r w:rsidRPr="00B42CB3">
        <w:rPr>
          <w:rFonts w:ascii="Calibri" w:eastAsia="Times New Roman" w:hAnsi="Calibri" w:cs="Calibri"/>
        </w:rPr>
        <w:t>Na temelju</w:t>
      </w:r>
      <w:r>
        <w:rPr>
          <w:rFonts w:ascii="Calibri" w:eastAsia="Times New Roman" w:hAnsi="Calibri" w:cs="Calibri"/>
        </w:rPr>
        <w:t xml:space="preserve"> rezultata</w:t>
      </w:r>
      <w:r w:rsidRPr="00B42CB3">
        <w:rPr>
          <w:rFonts w:ascii="Calibri" w:eastAsia="Times New Roman" w:hAnsi="Calibri" w:cs="Calibri"/>
        </w:rPr>
        <w:t xml:space="preserve"> </w:t>
      </w:r>
      <w:r>
        <w:rPr>
          <w:rFonts w:ascii="Calibri" w:eastAsia="Times New Roman" w:hAnsi="Calibri" w:cs="Calibri"/>
        </w:rPr>
        <w:t>ažuriranog troškovnog modela</w:t>
      </w:r>
      <w:r w:rsidRPr="00B42CB3">
        <w:rPr>
          <w:rFonts w:ascii="Calibri" w:eastAsia="Times New Roman" w:hAnsi="Calibri" w:cs="Calibri"/>
        </w:rPr>
        <w:t>, HAKOM je odlukom od 1</w:t>
      </w:r>
      <w:r>
        <w:rPr>
          <w:rFonts w:ascii="Calibri" w:eastAsia="Times New Roman" w:hAnsi="Calibri" w:cs="Calibri"/>
        </w:rPr>
        <w:t>4</w:t>
      </w:r>
      <w:r w:rsidRPr="00B42CB3">
        <w:rPr>
          <w:rFonts w:ascii="Calibri" w:eastAsia="Times New Roman" w:hAnsi="Calibri" w:cs="Calibri"/>
        </w:rPr>
        <w:t xml:space="preserve">. </w:t>
      </w:r>
      <w:r>
        <w:rPr>
          <w:rFonts w:ascii="Calibri" w:eastAsia="Times New Roman" w:hAnsi="Calibri" w:cs="Calibri"/>
        </w:rPr>
        <w:t>rujna</w:t>
      </w:r>
      <w:r w:rsidRPr="00B42CB3">
        <w:rPr>
          <w:rFonts w:ascii="Calibri" w:eastAsia="Times New Roman" w:hAnsi="Calibri" w:cs="Calibri"/>
        </w:rPr>
        <w:t xml:space="preserve"> 201</w:t>
      </w:r>
      <w:r>
        <w:rPr>
          <w:rFonts w:ascii="Calibri" w:eastAsia="Times New Roman" w:hAnsi="Calibri" w:cs="Calibri"/>
        </w:rPr>
        <w:t>6</w:t>
      </w:r>
      <w:r w:rsidRPr="00B42CB3">
        <w:rPr>
          <w:rFonts w:ascii="Calibri" w:eastAsia="Times New Roman" w:hAnsi="Calibri" w:cs="Calibri"/>
        </w:rPr>
        <w:t>.</w:t>
      </w:r>
      <w:r w:rsidRPr="00B42CB3">
        <w:rPr>
          <w:rFonts w:ascii="Calibri" w:eastAsia="Times New Roman" w:hAnsi="Calibri" w:cs="Calibri"/>
          <w:vertAlign w:val="superscript"/>
        </w:rPr>
        <w:footnoteReference w:id="30"/>
      </w:r>
      <w:r w:rsidRPr="00B42CB3">
        <w:rPr>
          <w:rFonts w:ascii="Calibri" w:eastAsia="Times New Roman" w:hAnsi="Calibri" w:cs="Calibri"/>
        </w:rPr>
        <w:t xml:space="preserve">, u zasebnom postupku, odredio cijene veleprodajnog završavanja </w:t>
      </w:r>
      <w:r>
        <w:rPr>
          <w:rFonts w:ascii="Calibri" w:eastAsia="Times New Roman" w:hAnsi="Calibri" w:cs="Calibri"/>
        </w:rPr>
        <w:t>poziva</w:t>
      </w:r>
      <w:r w:rsidRPr="00B42CB3">
        <w:rPr>
          <w:rFonts w:ascii="Calibri" w:eastAsia="Times New Roman" w:hAnsi="Calibri" w:cs="Calibri"/>
        </w:rPr>
        <w:t xml:space="preserve"> u vlastitoj javnoj telefonskoj mreži koja se pruža na fiksnoj lokaciji. Od 1. s</w:t>
      </w:r>
      <w:r>
        <w:rPr>
          <w:rFonts w:ascii="Calibri" w:eastAsia="Times New Roman" w:hAnsi="Calibri" w:cs="Calibri"/>
        </w:rPr>
        <w:t>rpnja</w:t>
      </w:r>
      <w:r w:rsidRPr="00B42CB3">
        <w:rPr>
          <w:rFonts w:ascii="Calibri" w:eastAsia="Times New Roman" w:hAnsi="Calibri" w:cs="Calibri"/>
        </w:rPr>
        <w:t xml:space="preserve"> 201</w:t>
      </w:r>
      <w:r>
        <w:rPr>
          <w:rFonts w:ascii="Calibri" w:eastAsia="Times New Roman" w:hAnsi="Calibri" w:cs="Calibri"/>
        </w:rPr>
        <w:t>7.</w:t>
      </w:r>
      <w:r w:rsidRPr="00B42CB3">
        <w:rPr>
          <w:rFonts w:ascii="Calibri" w:eastAsia="Times New Roman" w:hAnsi="Calibri" w:cs="Calibri"/>
        </w:rPr>
        <w:t xml:space="preserve">, operatori u nepokretnoj mreži primjenjuju cijenu koja je određena prethodno navedenom odlukom, a koja je određena na temelju </w:t>
      </w:r>
      <w:proofErr w:type="spellStart"/>
      <w:r w:rsidRPr="00B42CB3">
        <w:rPr>
          <w:rFonts w:ascii="Calibri" w:eastAsia="Times New Roman" w:hAnsi="Calibri" w:cs="Calibri"/>
          <w:i/>
        </w:rPr>
        <w:t>bottom</w:t>
      </w:r>
      <w:proofErr w:type="spellEnd"/>
      <w:r w:rsidRPr="00B42CB3">
        <w:rPr>
          <w:rFonts w:ascii="Calibri" w:eastAsia="Times New Roman" w:hAnsi="Calibri" w:cs="Calibri"/>
          <w:i/>
        </w:rPr>
        <w:t>-</w:t>
      </w:r>
      <w:proofErr w:type="spellStart"/>
      <w:r w:rsidRPr="00B42CB3">
        <w:rPr>
          <w:rFonts w:ascii="Calibri" w:eastAsia="Times New Roman" w:hAnsi="Calibri" w:cs="Calibri"/>
          <w:i/>
        </w:rPr>
        <w:t>up</w:t>
      </w:r>
      <w:proofErr w:type="spellEnd"/>
      <w:r w:rsidRPr="00B42CB3">
        <w:rPr>
          <w:rFonts w:ascii="Calibri" w:eastAsia="Times New Roman" w:hAnsi="Calibri" w:cs="Calibri"/>
        </w:rPr>
        <w:t xml:space="preserve"> troškovnog modela uz primjenu </w:t>
      </w:r>
      <w:r w:rsidRPr="00B42CB3">
        <w:rPr>
          <w:rFonts w:ascii="Calibri" w:eastAsia="Times New Roman" w:hAnsi="Calibri" w:cs="Calibri"/>
          <w:i/>
        </w:rPr>
        <w:t>pure</w:t>
      </w:r>
      <w:r w:rsidRPr="00B42CB3">
        <w:rPr>
          <w:rFonts w:ascii="Calibri" w:eastAsia="Times New Roman" w:hAnsi="Calibri" w:cs="Calibri"/>
        </w:rPr>
        <w:t xml:space="preserve"> LRIC pristupa, u skladu s Preporukom o regulaciji cijena završavanja poziva iz 2009.</w:t>
      </w:r>
      <w:r w:rsidRPr="00B42CB3">
        <w:rPr>
          <w:rFonts w:ascii="Calibri" w:eastAsia="Times New Roman" w:hAnsi="Calibri" w:cs="Calibri"/>
          <w:vertAlign w:val="superscript"/>
        </w:rPr>
        <w:footnoteReference w:id="31"/>
      </w:r>
      <w:r w:rsidRPr="00B42CB3">
        <w:rPr>
          <w:rFonts w:ascii="Calibri" w:eastAsia="Times New Roman" w:hAnsi="Calibri" w:cs="Calibri"/>
        </w:rPr>
        <w:t>, i to u iznosu od 0,</w:t>
      </w:r>
      <w:r>
        <w:rPr>
          <w:rFonts w:ascii="Calibri" w:eastAsia="Times New Roman" w:hAnsi="Calibri" w:cs="Calibri"/>
        </w:rPr>
        <w:t>88</w:t>
      </w:r>
      <w:r w:rsidRPr="00B42CB3">
        <w:rPr>
          <w:rFonts w:ascii="Calibri" w:eastAsia="Times New Roman" w:hAnsi="Calibri" w:cs="Calibri"/>
        </w:rPr>
        <w:t xml:space="preserve"> lp/min za vrijeme jakog prometa i 0,</w:t>
      </w:r>
      <w:r>
        <w:rPr>
          <w:rFonts w:ascii="Calibri" w:eastAsia="Times New Roman" w:hAnsi="Calibri" w:cs="Calibri"/>
        </w:rPr>
        <w:t>44</w:t>
      </w:r>
      <w:r w:rsidRPr="00B42CB3">
        <w:rPr>
          <w:rFonts w:ascii="Calibri" w:eastAsia="Times New Roman" w:hAnsi="Calibri" w:cs="Calibri"/>
        </w:rPr>
        <w:t xml:space="preserve"> lp/min za vrijeme </w:t>
      </w:r>
      <w:r>
        <w:rPr>
          <w:rFonts w:ascii="Calibri" w:eastAsia="Times New Roman" w:hAnsi="Calibri" w:cs="Calibri"/>
        </w:rPr>
        <w:t>slabog</w:t>
      </w:r>
      <w:r w:rsidRPr="00B42CB3">
        <w:rPr>
          <w:rFonts w:ascii="Calibri" w:eastAsia="Times New Roman" w:hAnsi="Calibri" w:cs="Calibri"/>
        </w:rPr>
        <w:t xml:space="preserve"> prometa.</w:t>
      </w:r>
    </w:p>
    <w:p w:rsidR="00B02775" w:rsidRDefault="00B02775" w:rsidP="00957E7A">
      <w:pPr>
        <w:jc w:val="both"/>
        <w:rPr>
          <w:rFonts w:ascii="Calibri" w:eastAsia="Times New Roman" w:hAnsi="Calibri" w:cs="Calibri"/>
        </w:rPr>
      </w:pPr>
    </w:p>
    <w:p w:rsidR="00B02775" w:rsidRDefault="00B02775" w:rsidP="00B02775">
      <w:pPr>
        <w:jc w:val="both"/>
        <w:rPr>
          <w:szCs w:val="24"/>
        </w:rPr>
      </w:pPr>
      <w:r>
        <w:rPr>
          <w:szCs w:val="24"/>
        </w:rPr>
        <w:t>HAKOM smatra opravdanim odrediti da n</w:t>
      </w:r>
      <w:r w:rsidRPr="008212C8">
        <w:rPr>
          <w:szCs w:val="24"/>
        </w:rPr>
        <w:t xml:space="preserve">avedene cijene </w:t>
      </w:r>
      <w:r>
        <w:rPr>
          <w:szCs w:val="24"/>
        </w:rPr>
        <w:t xml:space="preserve">ostanu na snazi </w:t>
      </w:r>
      <w:r w:rsidRPr="008212C8">
        <w:rPr>
          <w:szCs w:val="24"/>
        </w:rPr>
        <w:t xml:space="preserve">do </w:t>
      </w:r>
      <w:r>
        <w:rPr>
          <w:szCs w:val="24"/>
        </w:rPr>
        <w:t xml:space="preserve">primjene </w:t>
      </w:r>
      <w:r w:rsidRPr="008212C8">
        <w:rPr>
          <w:szCs w:val="24"/>
        </w:rPr>
        <w:t>najviš</w:t>
      </w:r>
      <w:r>
        <w:rPr>
          <w:szCs w:val="24"/>
        </w:rPr>
        <w:t xml:space="preserve">e </w:t>
      </w:r>
      <w:r w:rsidRPr="008212C8">
        <w:rPr>
          <w:szCs w:val="24"/>
        </w:rPr>
        <w:t>razin</w:t>
      </w:r>
      <w:r>
        <w:rPr>
          <w:szCs w:val="24"/>
        </w:rPr>
        <w:t>e</w:t>
      </w:r>
      <w:r w:rsidRPr="008212C8">
        <w:rPr>
          <w:szCs w:val="24"/>
        </w:rPr>
        <w:t xml:space="preserve"> cijen</w:t>
      </w:r>
      <w:r>
        <w:rPr>
          <w:szCs w:val="24"/>
        </w:rPr>
        <w:t>e</w:t>
      </w:r>
      <w:r w:rsidRPr="008212C8">
        <w:rPr>
          <w:szCs w:val="24"/>
        </w:rPr>
        <w:t xml:space="preserve"> </w:t>
      </w:r>
      <w:proofErr w:type="spellStart"/>
      <w:r w:rsidRPr="008212C8">
        <w:rPr>
          <w:szCs w:val="24"/>
        </w:rPr>
        <w:t>t</w:t>
      </w:r>
      <w:r>
        <w:rPr>
          <w:szCs w:val="24"/>
        </w:rPr>
        <w:t>erminacije</w:t>
      </w:r>
      <w:proofErr w:type="spellEnd"/>
      <w:r>
        <w:rPr>
          <w:szCs w:val="24"/>
        </w:rPr>
        <w:t xml:space="preserve"> u ne</w:t>
      </w:r>
      <w:r w:rsidRPr="008212C8">
        <w:rPr>
          <w:szCs w:val="24"/>
        </w:rPr>
        <w:t>pokretnim mrežama koju će</w:t>
      </w:r>
      <w:r>
        <w:rPr>
          <w:szCs w:val="24"/>
        </w:rPr>
        <w:t>,</w:t>
      </w:r>
      <w:r w:rsidRPr="008212C8">
        <w:rPr>
          <w:szCs w:val="24"/>
        </w:rPr>
        <w:t xml:space="preserve"> sukladno članku 75. Zakonika</w:t>
      </w:r>
      <w:r>
        <w:rPr>
          <w:rStyle w:val="FootnoteReference"/>
          <w:szCs w:val="24"/>
        </w:rPr>
        <w:footnoteReference w:id="32"/>
      </w:r>
      <w:r>
        <w:rPr>
          <w:szCs w:val="24"/>
        </w:rPr>
        <w:t>,</w:t>
      </w:r>
      <w:r w:rsidRPr="008212C8">
        <w:rPr>
          <w:szCs w:val="24"/>
        </w:rPr>
        <w:t xml:space="preserve"> Europska komisija odrediti svojim provedbenim aktom</w:t>
      </w:r>
      <w:r w:rsidRPr="00DF658E">
        <w:rPr>
          <w:szCs w:val="24"/>
        </w:rPr>
        <w:t xml:space="preserve"> </w:t>
      </w:r>
      <w:r w:rsidRPr="008212C8">
        <w:rPr>
          <w:szCs w:val="24"/>
        </w:rPr>
        <w:t xml:space="preserve">do 31. prosinca 2020. Naime, kako </w:t>
      </w:r>
      <w:r>
        <w:rPr>
          <w:szCs w:val="24"/>
        </w:rPr>
        <w:t xml:space="preserve">se troškovni </w:t>
      </w:r>
      <w:r w:rsidRPr="008212C8">
        <w:rPr>
          <w:szCs w:val="24"/>
        </w:rPr>
        <w:t>model ažurira svake tri godine</w:t>
      </w:r>
      <w:r>
        <w:rPr>
          <w:szCs w:val="24"/>
        </w:rPr>
        <w:t>,</w:t>
      </w:r>
      <w:r w:rsidRPr="008212C8">
        <w:rPr>
          <w:szCs w:val="24"/>
        </w:rPr>
        <w:t xml:space="preserve"> </w:t>
      </w:r>
      <w:r>
        <w:rPr>
          <w:szCs w:val="24"/>
        </w:rPr>
        <w:t xml:space="preserve">a </w:t>
      </w:r>
      <w:r w:rsidRPr="008212C8">
        <w:rPr>
          <w:szCs w:val="24"/>
        </w:rPr>
        <w:t>postojeće cijene</w:t>
      </w:r>
      <w:r>
        <w:rPr>
          <w:szCs w:val="24"/>
        </w:rPr>
        <w:t xml:space="preserve"> završavanja poziva u Republici Hrvatskoj su</w:t>
      </w:r>
      <w:r w:rsidRPr="008212C8">
        <w:rPr>
          <w:szCs w:val="24"/>
        </w:rPr>
        <w:t xml:space="preserve"> stupile na snagu 1. srpnja 2017., HAKOM smatra da nije učinkovito </w:t>
      </w:r>
      <w:r>
        <w:rPr>
          <w:szCs w:val="24"/>
        </w:rPr>
        <w:t>provesti</w:t>
      </w:r>
      <w:r w:rsidRPr="008212C8">
        <w:rPr>
          <w:szCs w:val="24"/>
        </w:rPr>
        <w:t xml:space="preserve"> </w:t>
      </w:r>
      <w:r>
        <w:rPr>
          <w:szCs w:val="24"/>
        </w:rPr>
        <w:t xml:space="preserve">postupak </w:t>
      </w:r>
      <w:r w:rsidRPr="008212C8">
        <w:rPr>
          <w:szCs w:val="24"/>
        </w:rPr>
        <w:t>ažuriranj</w:t>
      </w:r>
      <w:r>
        <w:rPr>
          <w:szCs w:val="24"/>
        </w:rPr>
        <w:t>a</w:t>
      </w:r>
      <w:r w:rsidRPr="008212C8">
        <w:rPr>
          <w:szCs w:val="24"/>
        </w:rPr>
        <w:t xml:space="preserve"> modela</w:t>
      </w:r>
      <w:r>
        <w:rPr>
          <w:szCs w:val="24"/>
        </w:rPr>
        <w:t xml:space="preserve"> i određivanja cijena na temelju rezultata ažuriranog modela</w:t>
      </w:r>
      <w:r w:rsidRPr="008212C8">
        <w:rPr>
          <w:szCs w:val="24"/>
        </w:rPr>
        <w:t xml:space="preserve">, </w:t>
      </w:r>
      <w:r>
        <w:rPr>
          <w:szCs w:val="24"/>
        </w:rPr>
        <w:t>budući</w:t>
      </w:r>
      <w:r w:rsidRPr="008212C8">
        <w:rPr>
          <w:szCs w:val="24"/>
        </w:rPr>
        <w:t xml:space="preserve"> da bi u kraćem razdoblju od primjene </w:t>
      </w:r>
      <w:r>
        <w:rPr>
          <w:szCs w:val="24"/>
        </w:rPr>
        <w:t xml:space="preserve">tako </w:t>
      </w:r>
      <w:r w:rsidRPr="008212C8">
        <w:rPr>
          <w:szCs w:val="24"/>
        </w:rPr>
        <w:t xml:space="preserve">izračunate cijene stupila na snagu maksimalna cijena </w:t>
      </w:r>
      <w:proofErr w:type="spellStart"/>
      <w:r w:rsidRPr="008212C8">
        <w:rPr>
          <w:szCs w:val="24"/>
        </w:rPr>
        <w:t>terminacije</w:t>
      </w:r>
      <w:proofErr w:type="spellEnd"/>
      <w:r w:rsidRPr="008212C8">
        <w:rPr>
          <w:szCs w:val="24"/>
        </w:rPr>
        <w:t xml:space="preserve"> koja će biti određena pro</w:t>
      </w:r>
      <w:r>
        <w:rPr>
          <w:szCs w:val="24"/>
        </w:rPr>
        <w:t>vedbenim aktom Europske komisije.</w:t>
      </w:r>
    </w:p>
    <w:p w:rsidR="00957E7A" w:rsidRDefault="00957E7A" w:rsidP="00957E7A">
      <w:pPr>
        <w:pStyle w:val="Subtitle"/>
        <w:rPr>
          <w:lang w:eastAsia="en-US"/>
        </w:rPr>
      </w:pPr>
      <w:r>
        <w:rPr>
          <w:lang w:eastAsia="en-US"/>
        </w:rPr>
        <w:lastRenderedPageBreak/>
        <w:t xml:space="preserve">Cijene za uslugu </w:t>
      </w:r>
      <w:proofErr w:type="spellStart"/>
      <w:r>
        <w:rPr>
          <w:lang w:eastAsia="en-US"/>
        </w:rPr>
        <w:t>kolokacije</w:t>
      </w:r>
      <w:proofErr w:type="spellEnd"/>
    </w:p>
    <w:p w:rsidR="00957E7A" w:rsidRDefault="00957E7A" w:rsidP="00957E7A">
      <w:pPr>
        <w:pStyle w:val="ListParagraph"/>
        <w:spacing w:before="0" w:after="0"/>
        <w:ind w:left="0"/>
        <w:jc w:val="both"/>
        <w:rPr>
          <w:color w:val="auto"/>
          <w:sz w:val="24"/>
          <w:szCs w:val="24"/>
          <w:lang w:eastAsia="en-US"/>
        </w:rPr>
      </w:pPr>
    </w:p>
    <w:p w:rsidR="00B82429" w:rsidRDefault="007A3271" w:rsidP="00957E7A">
      <w:pPr>
        <w:pStyle w:val="ListParagraph"/>
        <w:spacing w:before="0" w:after="0"/>
        <w:ind w:left="0"/>
        <w:jc w:val="both"/>
        <w:rPr>
          <w:rFonts w:ascii="Calibri" w:hAnsi="Calibri"/>
          <w:color w:val="auto"/>
          <w:sz w:val="24"/>
          <w:szCs w:val="24"/>
        </w:rPr>
      </w:pPr>
      <w:r w:rsidRPr="009A3165">
        <w:rPr>
          <w:color w:val="auto"/>
          <w:sz w:val="24"/>
          <w:szCs w:val="24"/>
          <w:lang w:eastAsia="en-US"/>
        </w:rPr>
        <w:t xml:space="preserve">HT je obvezan naplaćivati sve cijene koje se odnose na pružanje usluga </w:t>
      </w:r>
      <w:proofErr w:type="spellStart"/>
      <w:r w:rsidRPr="009A3165">
        <w:rPr>
          <w:color w:val="auto"/>
          <w:sz w:val="24"/>
          <w:szCs w:val="24"/>
          <w:lang w:eastAsia="en-US"/>
        </w:rPr>
        <w:t>kolokacije</w:t>
      </w:r>
      <w:proofErr w:type="spellEnd"/>
      <w:r w:rsidRPr="009A3165">
        <w:rPr>
          <w:color w:val="auto"/>
          <w:sz w:val="24"/>
          <w:szCs w:val="24"/>
          <w:lang w:eastAsia="en-US"/>
        </w:rPr>
        <w:t xml:space="preserve"> u skladu s regulatornim obvezama transparentnosti, nediskriminacije i troškovne usmjerenosti. Za dokazivanje utemeljenosti cijena tih usluga na navedenim troškovima odgovoran je HT koji pruža usluge </w:t>
      </w:r>
      <w:proofErr w:type="spellStart"/>
      <w:r w:rsidRPr="009A3165">
        <w:rPr>
          <w:color w:val="auto"/>
          <w:sz w:val="24"/>
          <w:szCs w:val="24"/>
          <w:lang w:eastAsia="en-US"/>
        </w:rPr>
        <w:t>kolokacije</w:t>
      </w:r>
      <w:proofErr w:type="spellEnd"/>
      <w:r w:rsidRPr="009A3165">
        <w:rPr>
          <w:color w:val="auto"/>
          <w:sz w:val="24"/>
          <w:szCs w:val="24"/>
          <w:lang w:eastAsia="en-US"/>
        </w:rPr>
        <w:t xml:space="preserve">. </w:t>
      </w:r>
      <w:r w:rsidR="00B82429" w:rsidRPr="009A3165">
        <w:rPr>
          <w:rFonts w:ascii="Calibri" w:hAnsi="Calibri"/>
          <w:color w:val="auto"/>
          <w:sz w:val="24"/>
          <w:szCs w:val="24"/>
        </w:rPr>
        <w:t xml:space="preserve">Za uslugu </w:t>
      </w:r>
      <w:proofErr w:type="spellStart"/>
      <w:r w:rsidR="00B82429" w:rsidRPr="009A3165">
        <w:rPr>
          <w:rFonts w:ascii="Calibri" w:hAnsi="Calibri"/>
          <w:color w:val="auto"/>
          <w:sz w:val="24"/>
          <w:szCs w:val="24"/>
        </w:rPr>
        <w:t>kolokacije</w:t>
      </w:r>
      <w:proofErr w:type="spellEnd"/>
      <w:r w:rsidR="00B82429" w:rsidRPr="009A3165">
        <w:rPr>
          <w:rFonts w:ascii="Calibri" w:hAnsi="Calibri"/>
          <w:color w:val="auto"/>
          <w:sz w:val="24"/>
          <w:szCs w:val="24"/>
        </w:rPr>
        <w:t xml:space="preserve"> vrijede isti uvjeti određeni u analizi mjerodavnog tržišta veleprodajnog fizičkog pristupa mrežnoj infrastrukturi </w:t>
      </w:r>
      <w:r w:rsidR="00021598" w:rsidRPr="009A3165">
        <w:rPr>
          <w:rFonts w:ascii="Calibri" w:hAnsi="Calibri"/>
          <w:color w:val="auto"/>
          <w:sz w:val="24"/>
          <w:szCs w:val="24"/>
        </w:rPr>
        <w:t>i svim njenim izmjenama te</w:t>
      </w:r>
      <w:r w:rsidR="00B82429" w:rsidRPr="009A3165">
        <w:rPr>
          <w:rFonts w:ascii="Calibri" w:hAnsi="Calibri"/>
          <w:color w:val="auto"/>
          <w:sz w:val="24"/>
          <w:szCs w:val="24"/>
        </w:rPr>
        <w:t xml:space="preserve"> uvjeti iz Standardne ponude Hrvatskog Telekoma d.d. za uslugu izdvojenog pristupa lokalnoj petlji.</w:t>
      </w:r>
    </w:p>
    <w:p w:rsidR="00B02775" w:rsidRPr="009A3165" w:rsidRDefault="00B02775" w:rsidP="00957E7A">
      <w:pPr>
        <w:pStyle w:val="ListParagraph"/>
        <w:spacing w:before="0" w:after="0"/>
        <w:ind w:left="0"/>
        <w:jc w:val="both"/>
        <w:rPr>
          <w:rFonts w:ascii="Calibri" w:hAnsi="Calibri"/>
          <w:color w:val="auto"/>
          <w:sz w:val="24"/>
          <w:szCs w:val="24"/>
        </w:rPr>
      </w:pPr>
    </w:p>
    <w:p w:rsidR="007A3271" w:rsidRDefault="007A3271" w:rsidP="007A3271">
      <w:pPr>
        <w:jc w:val="both"/>
      </w:pPr>
      <w:r>
        <w:rPr>
          <w:rFonts w:cstheme="minorHAnsi"/>
        </w:rPr>
        <w:t>O</w:t>
      </w:r>
      <w:r w:rsidRPr="00497A75">
        <w:rPr>
          <w:rFonts w:cstheme="minorHAnsi"/>
        </w:rPr>
        <w:t xml:space="preserve">bveza nadzora cijena naplate troškova </w:t>
      </w:r>
      <w:proofErr w:type="spellStart"/>
      <w:r w:rsidRPr="00497A75">
        <w:rPr>
          <w:rFonts w:cstheme="minorHAnsi"/>
        </w:rPr>
        <w:t>kolokacije</w:t>
      </w:r>
      <w:proofErr w:type="spellEnd"/>
      <w:r w:rsidRPr="00497A75">
        <w:rPr>
          <w:rFonts w:cstheme="minorHAnsi"/>
        </w:rPr>
        <w:t xml:space="preserve"> </w:t>
      </w:r>
      <w:r>
        <w:rPr>
          <w:rFonts w:cstheme="minorHAnsi"/>
        </w:rPr>
        <w:t xml:space="preserve">za ostale operatore </w:t>
      </w:r>
      <w:r w:rsidRPr="00497A75">
        <w:rPr>
          <w:rFonts w:cstheme="minorHAnsi"/>
        </w:rPr>
        <w:t xml:space="preserve">temelji </w:t>
      </w:r>
      <w:r>
        <w:rPr>
          <w:rFonts w:cstheme="minorHAnsi"/>
        </w:rPr>
        <w:t xml:space="preserve">se </w:t>
      </w:r>
      <w:r w:rsidRPr="00497A75">
        <w:rPr>
          <w:rFonts w:cstheme="minorHAnsi"/>
        </w:rPr>
        <w:t>isključivo na načelu reciprociteta u odnosu na cijene koje HT naplaćuje drugim operatorima za istu uslugu</w:t>
      </w:r>
      <w:r w:rsidR="005776B0">
        <w:rPr>
          <w:rFonts w:cstheme="minorHAnsi"/>
        </w:rPr>
        <w:t xml:space="preserve"> </w:t>
      </w:r>
      <w:r w:rsidR="005776B0" w:rsidRPr="00FC03FC">
        <w:rPr>
          <w:rFonts w:cstheme="minorHAnsi"/>
        </w:rPr>
        <w:t>u smislu da se cijene koje se plaćaju</w:t>
      </w:r>
      <w:r w:rsidR="005776B0">
        <w:rPr>
          <w:rFonts w:cstheme="minorHAnsi"/>
        </w:rPr>
        <w:t xml:space="preserve"> </w:t>
      </w:r>
      <w:r w:rsidR="00FC03FC">
        <w:rPr>
          <w:rFonts w:cstheme="minorHAnsi"/>
        </w:rPr>
        <w:t>za uslugu</w:t>
      </w:r>
      <w:r w:rsidR="005776B0">
        <w:rPr>
          <w:rFonts w:cstheme="minorHAnsi"/>
        </w:rPr>
        <w:t xml:space="preserve"> pružanja </w:t>
      </w:r>
      <w:proofErr w:type="spellStart"/>
      <w:r w:rsidR="005776B0">
        <w:rPr>
          <w:rFonts w:cstheme="minorHAnsi"/>
        </w:rPr>
        <w:t>kolokacije</w:t>
      </w:r>
      <w:proofErr w:type="spellEnd"/>
      <w:r w:rsidR="005776B0">
        <w:rPr>
          <w:rFonts w:cstheme="minorHAnsi"/>
        </w:rPr>
        <w:t xml:space="preserve"> određuju u skladu s </w:t>
      </w:r>
      <w:r w:rsidR="00FC03FC">
        <w:rPr>
          <w:rFonts w:cstheme="minorHAnsi"/>
        </w:rPr>
        <w:t xml:space="preserve">odredbama </w:t>
      </w:r>
      <w:r w:rsidR="005776B0">
        <w:rPr>
          <w:rFonts w:cstheme="minorHAnsi"/>
        </w:rPr>
        <w:t>definiranim</w:t>
      </w:r>
      <w:r w:rsidR="00FC03FC">
        <w:rPr>
          <w:rFonts w:cstheme="minorHAnsi"/>
        </w:rPr>
        <w:t xml:space="preserve"> </w:t>
      </w:r>
      <w:r w:rsidR="005776B0">
        <w:rPr>
          <w:rFonts w:cstheme="minorHAnsi"/>
        </w:rPr>
        <w:t xml:space="preserve">u Standardnoj ponudi Hrvatskog Telekoma d.d. za uslugu izdvojenog pristupa lokalnoj petlji. Ostali operatori nemaju obvezu </w:t>
      </w:r>
      <w:r w:rsidRPr="00497A75">
        <w:rPr>
          <w:rFonts w:cstheme="minorHAnsi"/>
        </w:rPr>
        <w:t>troškovn</w:t>
      </w:r>
      <w:r w:rsidR="005776B0">
        <w:rPr>
          <w:rFonts w:cstheme="minorHAnsi"/>
        </w:rPr>
        <w:t>e</w:t>
      </w:r>
      <w:r w:rsidRPr="00497A75">
        <w:rPr>
          <w:rFonts w:cstheme="minorHAnsi"/>
        </w:rPr>
        <w:t xml:space="preserve"> usmjerenost</w:t>
      </w:r>
      <w:r w:rsidR="005776B0">
        <w:rPr>
          <w:rFonts w:cstheme="minorHAnsi"/>
        </w:rPr>
        <w:t xml:space="preserve">i u odnosu </w:t>
      </w:r>
      <w:r w:rsidRPr="00497A75">
        <w:rPr>
          <w:rFonts w:cstheme="minorHAnsi"/>
        </w:rPr>
        <w:t xml:space="preserve"> </w:t>
      </w:r>
      <w:r w:rsidR="00021598">
        <w:rPr>
          <w:rFonts w:cstheme="minorHAnsi"/>
        </w:rPr>
        <w:t xml:space="preserve">na cijenu usluge </w:t>
      </w:r>
      <w:proofErr w:type="spellStart"/>
      <w:r w:rsidR="00021598">
        <w:rPr>
          <w:rFonts w:cstheme="minorHAnsi"/>
        </w:rPr>
        <w:t>kolokacije</w:t>
      </w:r>
      <w:proofErr w:type="spellEnd"/>
      <w:r w:rsidR="00021598">
        <w:rPr>
          <w:rFonts w:cstheme="minorHAnsi"/>
        </w:rPr>
        <w:t xml:space="preserve"> </w:t>
      </w:r>
      <w:r w:rsidRPr="00497A75">
        <w:rPr>
          <w:rFonts w:cstheme="minorHAnsi"/>
        </w:rPr>
        <w:t>upravo u svrhu da HAKOM izbjegne, nametanje nerazmjernih regulatornih obveza troškovnog računovodstva i računovodstvenog razdvajanja</w:t>
      </w:r>
      <w:r w:rsidR="005A1DC2">
        <w:rPr>
          <w:rFonts w:cstheme="minorHAnsi"/>
        </w:rPr>
        <w:t xml:space="preserve"> drugim operatorima</w:t>
      </w:r>
      <w:r w:rsidRPr="00497A75">
        <w:rPr>
          <w:rFonts w:cstheme="minorHAnsi"/>
        </w:rPr>
        <w:t>.</w:t>
      </w:r>
    </w:p>
    <w:p w:rsidR="00F3428D" w:rsidRDefault="00F3428D" w:rsidP="00957E7A">
      <w:pPr>
        <w:spacing w:before="120" w:after="120"/>
        <w:jc w:val="center"/>
        <w:rPr>
          <w:rFonts w:ascii="Calibri" w:eastAsia="Times New Roman" w:hAnsi="Calibri" w:cs="Calibri"/>
          <w:b/>
          <w:bCs/>
          <w:i/>
          <w:iCs/>
        </w:rPr>
      </w:pPr>
      <w:bookmarkStart w:id="206" w:name="_Toc236634856"/>
      <w:r>
        <w:rPr>
          <w:rFonts w:ascii="Calibri" w:eastAsia="Times New Roman" w:hAnsi="Calibri" w:cs="Calibri"/>
          <w:b/>
          <w:bCs/>
          <w:i/>
          <w:iCs/>
        </w:rPr>
        <w:br w:type="page"/>
      </w:r>
    </w:p>
    <w:p w:rsidR="00C36136" w:rsidRPr="00D80932" w:rsidRDefault="000A14F0" w:rsidP="00ED4D44">
      <w:pPr>
        <w:pStyle w:val="Heading2"/>
      </w:pPr>
      <w:bookmarkStart w:id="207" w:name="_Toc236635306"/>
      <w:bookmarkStart w:id="208" w:name="_Toc357581409"/>
      <w:bookmarkStart w:id="209" w:name="_Toc524984039"/>
      <w:bookmarkStart w:id="210" w:name="_Toc525073016"/>
      <w:bookmarkStart w:id="211" w:name="_Toc525729861"/>
      <w:r w:rsidRPr="007B75A0">
        <w:rPr>
          <w:rStyle w:val="Heading2Char"/>
          <w:b/>
          <w:bCs/>
        </w:rPr>
        <w:lastRenderedPageBreak/>
        <w:t>Obveza računovodstvenog razdvajanja</w:t>
      </w:r>
      <w:bookmarkEnd w:id="207"/>
      <w:bookmarkEnd w:id="208"/>
      <w:bookmarkEnd w:id="209"/>
      <w:bookmarkEnd w:id="210"/>
      <w:bookmarkEnd w:id="211"/>
    </w:p>
    <w:bookmarkEnd w:id="206"/>
    <w:p w:rsidR="00932E20" w:rsidRDefault="00932E20" w:rsidP="00932E20">
      <w:pPr>
        <w:jc w:val="both"/>
        <w:rPr>
          <w:szCs w:val="24"/>
        </w:rPr>
      </w:pPr>
      <w:r>
        <w:rPr>
          <w:szCs w:val="24"/>
        </w:rPr>
        <w:t>HAKOM može odrediti operatorima sa značajnom tržišnom snagom obvezu računovodstvenog razdvajanja određenih djelatnosti u vezi s međupovezivanjem i/ili pristupom.</w:t>
      </w:r>
    </w:p>
    <w:p w:rsidR="00932E20" w:rsidRDefault="00932E20" w:rsidP="00932E20">
      <w:pPr>
        <w:jc w:val="both"/>
        <w:rPr>
          <w:szCs w:val="24"/>
        </w:rPr>
      </w:pPr>
    </w:p>
    <w:p w:rsidR="00932E20" w:rsidRDefault="00932E20" w:rsidP="00932E20">
      <w:pPr>
        <w:jc w:val="both"/>
        <w:rPr>
          <w:szCs w:val="24"/>
        </w:rPr>
      </w:pPr>
      <w:r>
        <w:rPr>
          <w:szCs w:val="24"/>
        </w:rPr>
        <w:t>HAKOM osobito može zatražiti od vertikalno integriranog operatora da učini transparentnim svoje veleprodajne cijene i transferne naknade, osobito kako bi se osiguralo ispunjavanje obveze nediskriminacije, ili prema potrebi, spriječilo nepravedno međusobno subvencioniranje.</w:t>
      </w:r>
    </w:p>
    <w:p w:rsidR="00932E20" w:rsidRDefault="00932E20" w:rsidP="00932E20">
      <w:pPr>
        <w:jc w:val="both"/>
        <w:rPr>
          <w:szCs w:val="24"/>
        </w:rPr>
      </w:pPr>
    </w:p>
    <w:p w:rsidR="00932E20" w:rsidRDefault="00932E20" w:rsidP="00932E20">
      <w:pPr>
        <w:jc w:val="both"/>
        <w:rPr>
          <w:szCs w:val="24"/>
        </w:rPr>
      </w:pPr>
      <w:r>
        <w:rPr>
          <w:szCs w:val="24"/>
        </w:rPr>
        <w:t>Računovodstvenim razdvajanjem troškova i prihoda elektroničkih komunikacijskih usluga operatora sa značajnom tržišnom snagom postiže se ispunjenje zakonske obveze sprječavanja subvencioniranja jedne od drugih elektroničkih komunikacijskih usluga na mjerodavnim tržištima na kojima su operatori određeni operatorima sa značajnom tržišnom snagom.</w:t>
      </w:r>
    </w:p>
    <w:p w:rsidR="00932E20" w:rsidRDefault="00932E20" w:rsidP="00932E20">
      <w:pPr>
        <w:jc w:val="both"/>
        <w:rPr>
          <w:szCs w:val="24"/>
        </w:rPr>
      </w:pPr>
    </w:p>
    <w:p w:rsidR="00932E20" w:rsidRDefault="00932E20" w:rsidP="00932E20">
      <w:pPr>
        <w:jc w:val="both"/>
        <w:rPr>
          <w:szCs w:val="24"/>
        </w:rPr>
      </w:pPr>
      <w:r>
        <w:rPr>
          <w:szCs w:val="24"/>
        </w:rPr>
        <w:t>Računovodstveno razdvajanje podrazumijeva da su aktivnosti operatora podijeljene u posebne poslove ili usluge za računovodstvene potrebe te se na taj način kroz sustav odvojenih izvještaja omogućava provođenje načela nediskriminacije tj. jednakih tržišnih uvjeta što omogućava razvoj konkurencije i ulazak novih operatora na tržište.</w:t>
      </w:r>
    </w:p>
    <w:p w:rsidR="00932E20" w:rsidRDefault="00932E20" w:rsidP="00932E20">
      <w:pPr>
        <w:jc w:val="both"/>
        <w:rPr>
          <w:szCs w:val="24"/>
        </w:rPr>
      </w:pPr>
    </w:p>
    <w:p w:rsidR="00932E20" w:rsidRDefault="00932E20" w:rsidP="00932E20">
      <w:pPr>
        <w:jc w:val="both"/>
        <w:rPr>
          <w:szCs w:val="24"/>
        </w:rPr>
      </w:pPr>
      <w:r>
        <w:rPr>
          <w:szCs w:val="24"/>
        </w:rPr>
        <w:t>Način i postupak vođenja razdvojenog računovodstva mogu se pobliže utvrditi odlukom HAKOM-a.</w:t>
      </w:r>
    </w:p>
    <w:p w:rsidR="00932E20" w:rsidRDefault="00932E20" w:rsidP="00932E20">
      <w:pPr>
        <w:jc w:val="both"/>
        <w:rPr>
          <w:szCs w:val="24"/>
        </w:rPr>
      </w:pPr>
    </w:p>
    <w:p w:rsidR="00932E20" w:rsidRDefault="00932E20" w:rsidP="00932E20">
      <w:pPr>
        <w:jc w:val="both"/>
        <w:rPr>
          <w:szCs w:val="24"/>
        </w:rPr>
      </w:pPr>
      <w:r>
        <w:rPr>
          <w:szCs w:val="24"/>
        </w:rPr>
        <w:t>S obzirom da je provedenom analizom utvrđeno da HT može, u odsustvu regulacije, cjenovno diskriminirati operatore u odnosu na svoj maloprodajni dio ili povezana društva, kao i unakrsno subvencionirati usluge na vertikalno povezanim tržištima, i time iskoristiti svoj položaj značajne tržišne snage, HAKOM određuje HT-u regulatornu obvezu računovodstvenog razdvajanja na ovom mjerodavnom tržištu.</w:t>
      </w:r>
    </w:p>
    <w:p w:rsidR="00932E20" w:rsidRDefault="00932E20" w:rsidP="00932E20">
      <w:pPr>
        <w:jc w:val="both"/>
        <w:rPr>
          <w:szCs w:val="24"/>
        </w:rPr>
      </w:pPr>
    </w:p>
    <w:p w:rsidR="00932E20" w:rsidRDefault="00932E20" w:rsidP="00932E20">
      <w:pPr>
        <w:jc w:val="both"/>
        <w:rPr>
          <w:szCs w:val="24"/>
        </w:rPr>
      </w:pPr>
      <w:r>
        <w:rPr>
          <w:szCs w:val="24"/>
        </w:rPr>
        <w:t>HAKOM smatra da će se regulatornom obvezom računovodstvenog razdvajanja riješiti prepreke razvoju tržišnog natjecanja koje su definirane u poglavlju 7.3. ovog dokumenta i sve prepreke koje nisu direktno definirane, a mogle bi izazvati iste ili slične posljedice na tržištu. Isto tako, HAKOM smatra da će se direktno riješiti problem unakrsnog subvencioniranja i to u kombinaciji s već određenim obvezama nediskriminacije i transparentnosti.</w:t>
      </w:r>
    </w:p>
    <w:p w:rsidR="00932E20" w:rsidRDefault="00932E20" w:rsidP="00932E20">
      <w:pPr>
        <w:jc w:val="both"/>
        <w:rPr>
          <w:szCs w:val="24"/>
        </w:rPr>
      </w:pPr>
    </w:p>
    <w:p w:rsidR="00932E20" w:rsidRDefault="00932E20" w:rsidP="00932E20">
      <w:pPr>
        <w:jc w:val="both"/>
        <w:rPr>
          <w:szCs w:val="24"/>
        </w:rPr>
      </w:pPr>
      <w:r>
        <w:rPr>
          <w:szCs w:val="24"/>
        </w:rPr>
        <w:t>Vijeće HAKOM-a je 11. prosinca 2013. donijelo odluku</w:t>
      </w:r>
      <w:r>
        <w:rPr>
          <w:vertAlign w:val="superscript"/>
        </w:rPr>
        <w:footnoteReference w:id="33"/>
      </w:r>
      <w:r>
        <w:rPr>
          <w:szCs w:val="24"/>
        </w:rPr>
        <w:t xml:space="preserve"> kojom je HT-u naložilo način provedbe računovodstvenog razdvajanja i troškovnog računovodstva, i to na način i u rokovima koji su određeni dokumentom „Naputci za računovodstveno razdvajanje i troškovno računovodstvo“. Naime, navedenim dokumentom su definirani način i rokovi provedbe računovodstvenog razdvajanja i troškovnog računovodstva, koje HT treba provesti u praksi, a kako bi se provela regulatorna obveza računovodstvenog razdvajanja sukladno odredbama ZEK-a.</w:t>
      </w:r>
    </w:p>
    <w:p w:rsidR="00932E20" w:rsidRDefault="00932E20" w:rsidP="00F82824">
      <w:pPr>
        <w:jc w:val="both"/>
        <w:rPr>
          <w:rFonts w:ascii="Calibri" w:eastAsia="Times New Roman" w:hAnsi="Calibri" w:cs="Calibri"/>
        </w:rPr>
      </w:pPr>
    </w:p>
    <w:p w:rsidR="00F82824" w:rsidRPr="00F82824" w:rsidRDefault="00F82824" w:rsidP="00F82824">
      <w:pPr>
        <w:jc w:val="both"/>
        <w:rPr>
          <w:rFonts w:ascii="Calibri" w:eastAsia="Times New Roman" w:hAnsi="Calibri" w:cs="Calibri"/>
        </w:rPr>
      </w:pPr>
      <w:r w:rsidRPr="00F82824">
        <w:rPr>
          <w:rFonts w:ascii="Calibri" w:eastAsia="Times New Roman" w:hAnsi="Calibri" w:cs="Calibri"/>
        </w:rPr>
        <w:lastRenderedPageBreak/>
        <w:t xml:space="preserve">Ovom regulatornom obvezom se određuje HT-u, a kao potvrda provođenja obveza transparentnosti i nediskriminacije u vezi sa cijenama usluga koje su definirane na tržištu </w:t>
      </w:r>
      <w:r w:rsidR="007E0B29">
        <w:rPr>
          <w:rFonts w:ascii="Calibri" w:eastAsia="Times New Roman" w:hAnsi="Calibri" w:cs="Calibri"/>
        </w:rPr>
        <w:t xml:space="preserve">veleprodajnog završavanja </w:t>
      </w:r>
      <w:r w:rsidR="007E4538">
        <w:rPr>
          <w:rFonts w:ascii="Calibri" w:eastAsia="Times New Roman" w:hAnsi="Calibri" w:cs="Calibri"/>
        </w:rPr>
        <w:t>poziva</w:t>
      </w:r>
      <w:r w:rsidR="007E0B29">
        <w:rPr>
          <w:rFonts w:ascii="Calibri" w:eastAsia="Times New Roman" w:hAnsi="Calibri" w:cs="Calibri"/>
        </w:rPr>
        <w:t xml:space="preserve"> u vlastitu javnu telefonsku mrežu koja se pruža na fiksnoj lokaciji</w:t>
      </w:r>
      <w:r w:rsidRPr="00F82824">
        <w:rPr>
          <w:rFonts w:ascii="Calibri" w:eastAsia="Times New Roman" w:hAnsi="Calibri" w:cs="Calibri"/>
        </w:rPr>
        <w:t xml:space="preserve">, vođenje i prikaz računovodstvenih podataka posebno za tržište </w:t>
      </w:r>
      <w:r w:rsidR="00C17B88">
        <w:rPr>
          <w:rFonts w:ascii="Calibri" w:eastAsia="Times New Roman" w:hAnsi="Calibri" w:cs="Calibri"/>
        </w:rPr>
        <w:t xml:space="preserve">veleprodajnog završavanja </w:t>
      </w:r>
      <w:r w:rsidR="007E4538">
        <w:rPr>
          <w:rFonts w:ascii="Calibri" w:eastAsia="Times New Roman" w:hAnsi="Calibri" w:cs="Calibri"/>
        </w:rPr>
        <w:t>poziva</w:t>
      </w:r>
      <w:r w:rsidR="00C17B88">
        <w:rPr>
          <w:rFonts w:ascii="Calibri" w:eastAsia="Times New Roman" w:hAnsi="Calibri" w:cs="Calibri"/>
        </w:rPr>
        <w:t xml:space="preserve"> u vlastitu javnu telefonsku mrežu koja se pruža na fiksnoj lokaciji</w:t>
      </w:r>
      <w:r w:rsidRPr="00F82824">
        <w:rPr>
          <w:rFonts w:ascii="Calibri" w:eastAsia="Times New Roman" w:hAnsi="Calibri" w:cs="Calibri"/>
        </w:rPr>
        <w:t xml:space="preserve">, </w:t>
      </w:r>
      <w:r w:rsidR="00932E20">
        <w:rPr>
          <w:szCs w:val="24"/>
        </w:rPr>
        <w:t>odvojeno od računovodstvenih podataka za ostale djelatnosti HT-a, a čime će se omogućiti transparentnost svih veleprodajnih cijena po kojima HT svoje usluge pruža ostalim operatorima, kao i transfernih naknada po kojima HT svoje usluge pruža svome maloprodajnom dijelu i povezanim društvima.</w:t>
      </w:r>
      <w:r w:rsidR="00932E20" w:rsidRPr="00FC0808">
        <w:rPr>
          <w:szCs w:val="24"/>
        </w:rPr>
        <w:t xml:space="preserve"> </w:t>
      </w:r>
      <w:r w:rsidR="00932E20">
        <w:rPr>
          <w:szCs w:val="24"/>
        </w:rPr>
        <w:t>Naime, HT je vertikalno integrirani operator zbog čega je vrlo važno imati kontrolu nad transfernim naknadama koje nudi svome maloprodajnom dijelu, a kako ne bi unakrsnim subvencioniranjem prenio značajnu tržišnu snagu s tržišta započinjanja poziva iz javnih komunikacijskih mreža koje se pruža na fiksnoj lokaciji na pripadajuće maloprodajno tržište. Budući da se i veleprodajna i maloprodajna usluga nude unutar istog, vertikalno integriranog operatora, računovodstveno razdvajanje je jedini način kontrole kako bi se utvrdilo da operator ne vrši unakrsno subvencioniranje i time vertikalno prenosi značajnu tržišnu snagu.</w:t>
      </w:r>
    </w:p>
    <w:p w:rsidR="00F82824" w:rsidRPr="00F82824" w:rsidRDefault="00F82824" w:rsidP="00F82824">
      <w:pPr>
        <w:jc w:val="both"/>
        <w:rPr>
          <w:rFonts w:ascii="Calibri" w:eastAsia="Times New Roman" w:hAnsi="Calibri" w:cs="Calibri"/>
        </w:rPr>
      </w:pPr>
    </w:p>
    <w:p w:rsidR="00F82824" w:rsidRPr="00F82824" w:rsidRDefault="00F82824" w:rsidP="00F82824">
      <w:pPr>
        <w:jc w:val="both"/>
        <w:rPr>
          <w:rFonts w:ascii="Calibri" w:eastAsia="Times New Roman" w:hAnsi="Calibri" w:cs="Calibri"/>
        </w:rPr>
      </w:pPr>
      <w:r w:rsidRPr="00F82824">
        <w:rPr>
          <w:rFonts w:ascii="Calibri" w:eastAsia="Times New Roman" w:hAnsi="Calibri" w:cs="Calibri"/>
        </w:rPr>
        <w:t>HT pri ispunjavanju regulatorne obveze računovodstvenog razdvajanja mora osobito voditi računa o preporukama i smjernicama Europske komisije na području računovodstvenog razdvajanja.</w:t>
      </w:r>
    </w:p>
    <w:p w:rsidR="00CC3ACC" w:rsidRDefault="00CC3ACC">
      <w:pPr>
        <w:spacing w:after="200" w:line="276" w:lineRule="auto"/>
        <w:rPr>
          <w:rFonts w:ascii="Calibri" w:eastAsia="Times New Roman" w:hAnsi="Calibri" w:cs="Calibri"/>
        </w:rPr>
      </w:pPr>
      <w:r>
        <w:rPr>
          <w:rFonts w:ascii="Calibri" w:eastAsia="Times New Roman" w:hAnsi="Calibri" w:cs="Calibri"/>
        </w:rPr>
        <w:br w:type="page"/>
      </w:r>
    </w:p>
    <w:p w:rsidR="009B4F13" w:rsidRDefault="009B4F13" w:rsidP="005A144C">
      <w:pPr>
        <w:pStyle w:val="Heading1"/>
      </w:pPr>
      <w:bookmarkStart w:id="212" w:name="_Toc393987083"/>
      <w:bookmarkStart w:id="213" w:name="_Toc393991108"/>
      <w:bookmarkStart w:id="214" w:name="_Toc405290819"/>
      <w:bookmarkStart w:id="215" w:name="_Toc524984041"/>
      <w:bookmarkStart w:id="216" w:name="_Toc525073017"/>
      <w:bookmarkStart w:id="217" w:name="_Toc525729862"/>
      <w:r w:rsidRPr="009B4F13">
        <w:lastRenderedPageBreak/>
        <w:t>Popis slika</w:t>
      </w:r>
      <w:bookmarkEnd w:id="212"/>
      <w:bookmarkEnd w:id="213"/>
      <w:bookmarkEnd w:id="214"/>
      <w:bookmarkEnd w:id="215"/>
      <w:bookmarkEnd w:id="216"/>
      <w:bookmarkEnd w:id="217"/>
    </w:p>
    <w:p w:rsidR="00DD268A" w:rsidRPr="00DD268A" w:rsidRDefault="00DD268A" w:rsidP="00DD268A"/>
    <w:p w:rsidR="006A052E" w:rsidRDefault="007B30BB">
      <w:pPr>
        <w:pStyle w:val="TableofFigures"/>
        <w:tabs>
          <w:tab w:val="right" w:leader="dot" w:pos="9062"/>
        </w:tabs>
        <w:rPr>
          <w:rFonts w:eastAsiaTheme="minorEastAsia"/>
          <w:noProof/>
          <w:sz w:val="22"/>
        </w:rPr>
      </w:pPr>
      <w:r>
        <w:fldChar w:fldCharType="begin"/>
      </w:r>
      <w:r>
        <w:instrText xml:space="preserve"> TOC \h \z \c "Slika" </w:instrText>
      </w:r>
      <w:r>
        <w:fldChar w:fldCharType="separate"/>
      </w:r>
      <w:hyperlink w:anchor="_Toc525551857" w:history="1">
        <w:r w:rsidR="006A052E" w:rsidRPr="00C040E9">
          <w:rPr>
            <w:rStyle w:val="Hyperlink"/>
            <w:noProof/>
          </w:rPr>
          <w:t xml:space="preserve">Slika 1 </w:t>
        </w:r>
        <w:r w:rsidR="006A052E" w:rsidRPr="00C040E9">
          <w:rPr>
            <w:rStyle w:val="Hyperlink"/>
            <w:rFonts w:eastAsiaTheme="majorEastAsia" w:cstheme="minorHAnsi"/>
            <w:noProof/>
            <w:lang w:eastAsia="en-US"/>
          </w:rPr>
          <w:t>Usluga završavanja u HT-ovu mrežu od 1.siječnja 2016.</w:t>
        </w:r>
        <w:r w:rsidR="006A052E">
          <w:rPr>
            <w:noProof/>
            <w:webHidden/>
          </w:rPr>
          <w:tab/>
        </w:r>
        <w:r w:rsidR="006A052E">
          <w:rPr>
            <w:noProof/>
            <w:webHidden/>
          </w:rPr>
          <w:fldChar w:fldCharType="begin"/>
        </w:r>
        <w:r w:rsidR="006A052E">
          <w:rPr>
            <w:noProof/>
            <w:webHidden/>
          </w:rPr>
          <w:instrText xml:space="preserve"> PAGEREF _Toc525551857 \h </w:instrText>
        </w:r>
        <w:r w:rsidR="006A052E">
          <w:rPr>
            <w:noProof/>
            <w:webHidden/>
          </w:rPr>
        </w:r>
        <w:r w:rsidR="006A052E">
          <w:rPr>
            <w:noProof/>
            <w:webHidden/>
          </w:rPr>
          <w:fldChar w:fldCharType="separate"/>
        </w:r>
        <w:r w:rsidR="00E211E6">
          <w:rPr>
            <w:noProof/>
            <w:webHidden/>
          </w:rPr>
          <w:t>12</w:t>
        </w:r>
        <w:r w:rsidR="006A052E">
          <w:rPr>
            <w:noProof/>
            <w:webHidden/>
          </w:rPr>
          <w:fldChar w:fldCharType="end"/>
        </w:r>
      </w:hyperlink>
    </w:p>
    <w:p w:rsidR="006A052E" w:rsidRDefault="000343B9">
      <w:pPr>
        <w:pStyle w:val="TableofFigures"/>
        <w:tabs>
          <w:tab w:val="right" w:leader="dot" w:pos="9062"/>
        </w:tabs>
        <w:rPr>
          <w:rFonts w:eastAsiaTheme="minorEastAsia"/>
          <w:noProof/>
          <w:sz w:val="22"/>
        </w:rPr>
      </w:pPr>
      <w:hyperlink w:anchor="_Toc525551858" w:history="1">
        <w:r w:rsidR="006A052E" w:rsidRPr="00C040E9">
          <w:rPr>
            <w:rStyle w:val="Hyperlink"/>
            <w:noProof/>
          </w:rPr>
          <w:t>Slika 2 Tržišni udjeli operatora prema ukupnom broju završenih minuta</w:t>
        </w:r>
        <w:r w:rsidR="006A052E">
          <w:rPr>
            <w:noProof/>
            <w:webHidden/>
          </w:rPr>
          <w:tab/>
        </w:r>
        <w:r w:rsidR="006A052E">
          <w:rPr>
            <w:noProof/>
            <w:webHidden/>
          </w:rPr>
          <w:fldChar w:fldCharType="begin"/>
        </w:r>
        <w:r w:rsidR="006A052E">
          <w:rPr>
            <w:noProof/>
            <w:webHidden/>
          </w:rPr>
          <w:instrText xml:space="preserve"> PAGEREF _Toc525551858 \h </w:instrText>
        </w:r>
        <w:r w:rsidR="006A052E">
          <w:rPr>
            <w:noProof/>
            <w:webHidden/>
          </w:rPr>
        </w:r>
        <w:r w:rsidR="006A052E">
          <w:rPr>
            <w:noProof/>
            <w:webHidden/>
          </w:rPr>
          <w:fldChar w:fldCharType="separate"/>
        </w:r>
        <w:r w:rsidR="00E211E6">
          <w:rPr>
            <w:noProof/>
            <w:webHidden/>
          </w:rPr>
          <w:t>22</w:t>
        </w:r>
        <w:r w:rsidR="006A052E">
          <w:rPr>
            <w:noProof/>
            <w:webHidden/>
          </w:rPr>
          <w:fldChar w:fldCharType="end"/>
        </w:r>
      </w:hyperlink>
    </w:p>
    <w:p w:rsidR="006A052E" w:rsidRDefault="000343B9">
      <w:pPr>
        <w:pStyle w:val="TableofFigures"/>
        <w:tabs>
          <w:tab w:val="right" w:leader="dot" w:pos="9062"/>
        </w:tabs>
        <w:rPr>
          <w:rFonts w:eastAsiaTheme="minorEastAsia"/>
          <w:noProof/>
          <w:sz w:val="22"/>
        </w:rPr>
      </w:pPr>
      <w:hyperlink w:anchor="_Toc525551859" w:history="1">
        <w:r w:rsidR="006A052E" w:rsidRPr="00C040E9">
          <w:rPr>
            <w:rStyle w:val="Hyperlink"/>
            <w:noProof/>
          </w:rPr>
          <w:t>Slika 3 Prikaz reguliranih i nereguliranih odnosa poziva</w:t>
        </w:r>
        <w:r w:rsidR="006A052E">
          <w:rPr>
            <w:noProof/>
            <w:webHidden/>
          </w:rPr>
          <w:tab/>
        </w:r>
        <w:r w:rsidR="006A052E">
          <w:rPr>
            <w:noProof/>
            <w:webHidden/>
          </w:rPr>
          <w:fldChar w:fldCharType="begin"/>
        </w:r>
        <w:r w:rsidR="006A052E">
          <w:rPr>
            <w:noProof/>
            <w:webHidden/>
          </w:rPr>
          <w:instrText xml:space="preserve"> PAGEREF _Toc525551859 \h </w:instrText>
        </w:r>
        <w:r w:rsidR="006A052E">
          <w:rPr>
            <w:noProof/>
            <w:webHidden/>
          </w:rPr>
        </w:r>
        <w:r w:rsidR="006A052E">
          <w:rPr>
            <w:noProof/>
            <w:webHidden/>
          </w:rPr>
          <w:fldChar w:fldCharType="separate"/>
        </w:r>
        <w:r w:rsidR="00E211E6">
          <w:rPr>
            <w:noProof/>
            <w:webHidden/>
          </w:rPr>
          <w:t>41</w:t>
        </w:r>
        <w:r w:rsidR="006A052E">
          <w:rPr>
            <w:noProof/>
            <w:webHidden/>
          </w:rPr>
          <w:fldChar w:fldCharType="end"/>
        </w:r>
      </w:hyperlink>
    </w:p>
    <w:p w:rsidR="00CC3ACC" w:rsidRDefault="007B30BB" w:rsidP="00CC3ACC">
      <w:r>
        <w:fldChar w:fldCharType="end"/>
      </w:r>
    </w:p>
    <w:p w:rsidR="00B57A74" w:rsidRDefault="00B57A74" w:rsidP="005A144C">
      <w:pPr>
        <w:pStyle w:val="Heading1"/>
      </w:pPr>
      <w:bookmarkStart w:id="218" w:name="_Toc524984042"/>
      <w:bookmarkStart w:id="219" w:name="_Toc525073018"/>
      <w:bookmarkStart w:id="220" w:name="_Toc525729863"/>
      <w:r>
        <w:t>Popis tablica</w:t>
      </w:r>
      <w:bookmarkEnd w:id="218"/>
      <w:bookmarkEnd w:id="219"/>
      <w:bookmarkEnd w:id="220"/>
    </w:p>
    <w:p w:rsidR="00DD268A" w:rsidRPr="00DD268A" w:rsidRDefault="00DD268A" w:rsidP="00DD268A"/>
    <w:p w:rsidR="006A052E" w:rsidRDefault="0094466B">
      <w:pPr>
        <w:pStyle w:val="TableofFigures"/>
        <w:tabs>
          <w:tab w:val="right" w:leader="dot" w:pos="9062"/>
        </w:tabs>
        <w:rPr>
          <w:rFonts w:eastAsiaTheme="minorEastAsia"/>
          <w:noProof/>
          <w:sz w:val="22"/>
        </w:rPr>
      </w:pPr>
      <w:r>
        <w:fldChar w:fldCharType="begin"/>
      </w:r>
      <w:r>
        <w:instrText xml:space="preserve"> TOC \h \z \c "Tablica" </w:instrText>
      </w:r>
      <w:r>
        <w:fldChar w:fldCharType="separate"/>
      </w:r>
      <w:hyperlink w:anchor="_Toc525551879" w:history="1">
        <w:r w:rsidR="006A052E" w:rsidRPr="00DE518B">
          <w:rPr>
            <w:rStyle w:val="Hyperlink"/>
            <w:rFonts w:cstheme="minorHAnsi"/>
            <w:bCs/>
            <w:noProof/>
            <w:lang w:eastAsia="en-US"/>
          </w:rPr>
          <w:t>Tablica 1</w:t>
        </w:r>
        <w:r w:rsidR="006A052E" w:rsidRPr="00DE518B">
          <w:rPr>
            <w:rStyle w:val="Hyperlink"/>
            <w:rFonts w:cstheme="minorHAnsi"/>
            <w:i/>
            <w:iCs/>
            <w:noProof/>
            <w:lang w:eastAsia="en-US"/>
          </w:rPr>
          <w:t xml:space="preserve"> </w:t>
        </w:r>
        <w:r w:rsidR="006A052E" w:rsidRPr="00DE518B">
          <w:rPr>
            <w:rStyle w:val="Hyperlink"/>
            <w:rFonts w:cstheme="minorHAnsi"/>
            <w:noProof/>
            <w:lang w:eastAsia="en-US"/>
          </w:rPr>
          <w:t>Prikaz regionalnih pristupnih točaka HT-a</w:t>
        </w:r>
        <w:r w:rsidR="006A052E">
          <w:rPr>
            <w:noProof/>
            <w:webHidden/>
          </w:rPr>
          <w:tab/>
        </w:r>
        <w:r w:rsidR="006A052E">
          <w:rPr>
            <w:noProof/>
            <w:webHidden/>
          </w:rPr>
          <w:fldChar w:fldCharType="begin"/>
        </w:r>
        <w:r w:rsidR="006A052E">
          <w:rPr>
            <w:noProof/>
            <w:webHidden/>
          </w:rPr>
          <w:instrText xml:space="preserve"> PAGEREF _Toc525551879 \h </w:instrText>
        </w:r>
        <w:r w:rsidR="006A052E">
          <w:rPr>
            <w:noProof/>
            <w:webHidden/>
          </w:rPr>
        </w:r>
        <w:r w:rsidR="006A052E">
          <w:rPr>
            <w:noProof/>
            <w:webHidden/>
          </w:rPr>
          <w:fldChar w:fldCharType="separate"/>
        </w:r>
        <w:r w:rsidR="00E211E6">
          <w:rPr>
            <w:noProof/>
            <w:webHidden/>
          </w:rPr>
          <w:t>13</w:t>
        </w:r>
        <w:r w:rsidR="006A052E">
          <w:rPr>
            <w:noProof/>
            <w:webHidden/>
          </w:rPr>
          <w:fldChar w:fldCharType="end"/>
        </w:r>
      </w:hyperlink>
    </w:p>
    <w:p w:rsidR="006A052E" w:rsidRDefault="000343B9">
      <w:pPr>
        <w:pStyle w:val="TableofFigures"/>
        <w:tabs>
          <w:tab w:val="right" w:leader="dot" w:pos="9062"/>
        </w:tabs>
        <w:rPr>
          <w:rFonts w:eastAsiaTheme="minorEastAsia"/>
          <w:noProof/>
          <w:sz w:val="22"/>
        </w:rPr>
      </w:pPr>
      <w:hyperlink w:anchor="_Toc525551880" w:history="1">
        <w:r w:rsidR="006A052E" w:rsidRPr="00DE518B">
          <w:rPr>
            <w:rStyle w:val="Hyperlink"/>
            <w:noProof/>
          </w:rPr>
          <w:t>Tablica 2 Cijene usluge veleprodajnog završavanja poziva</w:t>
        </w:r>
        <w:r w:rsidR="006A052E">
          <w:rPr>
            <w:noProof/>
            <w:webHidden/>
          </w:rPr>
          <w:tab/>
        </w:r>
        <w:r w:rsidR="006A052E">
          <w:rPr>
            <w:noProof/>
            <w:webHidden/>
          </w:rPr>
          <w:fldChar w:fldCharType="begin"/>
        </w:r>
        <w:r w:rsidR="006A052E">
          <w:rPr>
            <w:noProof/>
            <w:webHidden/>
          </w:rPr>
          <w:instrText xml:space="preserve"> PAGEREF _Toc525551880 \h </w:instrText>
        </w:r>
        <w:r w:rsidR="006A052E">
          <w:rPr>
            <w:noProof/>
            <w:webHidden/>
          </w:rPr>
        </w:r>
        <w:r w:rsidR="006A052E">
          <w:rPr>
            <w:noProof/>
            <w:webHidden/>
          </w:rPr>
          <w:fldChar w:fldCharType="separate"/>
        </w:r>
        <w:r w:rsidR="00E211E6">
          <w:rPr>
            <w:noProof/>
            <w:webHidden/>
          </w:rPr>
          <w:t>18</w:t>
        </w:r>
        <w:r w:rsidR="006A052E">
          <w:rPr>
            <w:noProof/>
            <w:webHidden/>
          </w:rPr>
          <w:fldChar w:fldCharType="end"/>
        </w:r>
      </w:hyperlink>
    </w:p>
    <w:p w:rsidR="0094466B" w:rsidRDefault="0094466B" w:rsidP="0094466B">
      <w:r>
        <w:fldChar w:fldCharType="end"/>
      </w:r>
    </w:p>
    <w:p w:rsidR="008B6AB4" w:rsidRDefault="008B6AB4">
      <w:pPr>
        <w:spacing w:after="200" w:line="276" w:lineRule="auto"/>
        <w:rPr>
          <w:rFonts w:asciiTheme="majorHAnsi" w:hAnsiTheme="majorHAnsi"/>
          <w:b/>
          <w:i/>
          <w:color w:val="1F497D" w:themeColor="text2"/>
          <w:sz w:val="28"/>
          <w:szCs w:val="28"/>
        </w:rPr>
      </w:pPr>
      <w:r>
        <w:rPr>
          <w:rFonts w:asciiTheme="majorHAnsi" w:hAnsiTheme="majorHAnsi"/>
          <w:b/>
          <w:i/>
          <w:color w:val="1F497D" w:themeColor="text2"/>
          <w:sz w:val="28"/>
          <w:szCs w:val="28"/>
        </w:rPr>
        <w:br w:type="page"/>
      </w:r>
    </w:p>
    <w:p w:rsidR="008B6AB4" w:rsidRDefault="008B6AB4" w:rsidP="000C5040">
      <w:pPr>
        <w:pStyle w:val="Heading1"/>
        <w:ind w:left="431" w:hanging="431"/>
      </w:pPr>
      <w:bookmarkStart w:id="221" w:name="_Toc524984043"/>
      <w:bookmarkStart w:id="222" w:name="_Toc525073019"/>
      <w:bookmarkStart w:id="223" w:name="_Toc525729864"/>
      <w:r>
        <w:lastRenderedPageBreak/>
        <w:t>Privici</w:t>
      </w:r>
      <w:bookmarkEnd w:id="221"/>
      <w:bookmarkEnd w:id="222"/>
      <w:bookmarkEnd w:id="223"/>
    </w:p>
    <w:p w:rsidR="000B0366" w:rsidRDefault="000B0366" w:rsidP="00ED4D44">
      <w:pPr>
        <w:pStyle w:val="Heading2"/>
      </w:pPr>
      <w:bookmarkStart w:id="224" w:name="_Toc524984046"/>
      <w:bookmarkStart w:id="225" w:name="_Toc525073020"/>
      <w:bookmarkStart w:id="226" w:name="_Toc525729865"/>
      <w:r>
        <w:t xml:space="preserve">Privitak </w:t>
      </w:r>
      <w:r w:rsidR="00065982">
        <w:t>1</w:t>
      </w:r>
      <w:r>
        <w:t xml:space="preserve"> – </w:t>
      </w:r>
      <w:r w:rsidR="00737C44" w:rsidRPr="00737C44">
        <w:t>Arhitektura IP međupovezivanja</w:t>
      </w:r>
      <w:bookmarkEnd w:id="224"/>
      <w:bookmarkEnd w:id="225"/>
      <w:bookmarkEnd w:id="226"/>
    </w:p>
    <w:p w:rsidR="00737C44" w:rsidRPr="00737C44" w:rsidRDefault="00737C44" w:rsidP="00F50BB9">
      <w:pPr>
        <w:pStyle w:val="Subtitle"/>
      </w:pPr>
      <w:r w:rsidRPr="00737C44">
        <w:t>Povezivanje dva operatora s po jednim SBC-om</w:t>
      </w:r>
    </w:p>
    <w:p w:rsidR="00737C44" w:rsidRPr="00193020" w:rsidRDefault="00737C44" w:rsidP="00737C44">
      <w:pPr>
        <w:jc w:val="both"/>
        <w:rPr>
          <w:rFonts w:ascii="Calibri" w:hAnsi="Calibri" w:cs="Calibri"/>
          <w:szCs w:val="24"/>
        </w:rPr>
      </w:pPr>
    </w:p>
    <w:p w:rsidR="00737C44" w:rsidRPr="00193020" w:rsidRDefault="00737C44" w:rsidP="00737C44">
      <w:pPr>
        <w:spacing w:after="200" w:line="276" w:lineRule="auto"/>
        <w:jc w:val="both"/>
        <w:rPr>
          <w:rFonts w:ascii="Calibri" w:eastAsiaTheme="minorEastAsia" w:hAnsi="Calibri" w:cs="Calibri"/>
          <w:szCs w:val="24"/>
        </w:rPr>
      </w:pPr>
      <w:r w:rsidRPr="00193020">
        <w:rPr>
          <w:rFonts w:ascii="Calibri" w:eastAsiaTheme="minorEastAsia" w:hAnsi="Calibri" w:cs="Calibri"/>
          <w:szCs w:val="24"/>
        </w:rPr>
        <w:t>U</w:t>
      </w:r>
      <w:r w:rsidRPr="00E65FB3">
        <w:rPr>
          <w:rFonts w:eastAsiaTheme="minorEastAsia" w:cs="Calibri"/>
          <w:szCs w:val="24"/>
        </w:rPr>
        <w:t xml:space="preserve"> slučaju da svaki od operatora ima po jedan SBC, preporučena arhitektura je slijedeća:</w:t>
      </w:r>
    </w:p>
    <w:p w:rsidR="00737C44" w:rsidRPr="00193020" w:rsidRDefault="00737C44" w:rsidP="00737C44">
      <w:pPr>
        <w:spacing w:after="200" w:line="276" w:lineRule="auto"/>
        <w:jc w:val="both"/>
        <w:rPr>
          <w:rFonts w:ascii="Calibri" w:eastAsiaTheme="minorEastAsia" w:hAnsi="Calibri" w:cs="Calibri"/>
          <w:szCs w:val="24"/>
        </w:rPr>
      </w:pPr>
    </w:p>
    <w:p w:rsidR="00737C44" w:rsidRPr="00193020" w:rsidRDefault="00737C44" w:rsidP="00737C44">
      <w:pPr>
        <w:spacing w:after="200" w:line="276" w:lineRule="auto"/>
        <w:jc w:val="both"/>
        <w:rPr>
          <w:rFonts w:ascii="Calibri" w:eastAsiaTheme="minorEastAsia" w:hAnsi="Calibri" w:cs="Calibri"/>
          <w:szCs w:val="24"/>
        </w:rPr>
      </w:pPr>
      <w:r w:rsidRPr="00193020">
        <w:rPr>
          <w:rFonts w:ascii="Calibri" w:eastAsiaTheme="minorEastAsia" w:hAnsi="Calibri" w:cs="Calibri"/>
          <w:szCs w:val="24"/>
        </w:rPr>
        <w:object w:dxaOrig="12570" w:dyaOrig="12150" w14:anchorId="56B0F1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439.5pt" o:ole="">
            <v:imagedata r:id="rId34" o:title=""/>
          </v:shape>
          <o:OLEObject Type="Embed" ProgID="Visio.Drawing.15" ShapeID="_x0000_i1025" DrawAspect="Content" ObjectID="_1602406784" r:id="rId35"/>
        </w:object>
      </w:r>
    </w:p>
    <w:p w:rsidR="00737C44" w:rsidRPr="00193020" w:rsidRDefault="00737C44" w:rsidP="00737C44">
      <w:pPr>
        <w:spacing w:after="200" w:line="276" w:lineRule="auto"/>
        <w:jc w:val="both"/>
        <w:rPr>
          <w:rFonts w:ascii="Calibri" w:eastAsiaTheme="minorEastAsia" w:hAnsi="Calibri" w:cs="Calibri"/>
          <w:szCs w:val="24"/>
        </w:rPr>
      </w:pP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 xml:space="preserve">Operatori uspostavljaju jedan aktivan SIP link uz </w:t>
      </w:r>
      <w:r w:rsidRPr="001039A2">
        <w:rPr>
          <w:rFonts w:eastAsiaTheme="minorEastAsia" w:cs="Calibri"/>
          <w:szCs w:val="24"/>
        </w:rPr>
        <w:t xml:space="preserve">jedan </w:t>
      </w:r>
      <w:r w:rsidR="001039A2" w:rsidRPr="001039A2">
        <w:rPr>
          <w:rFonts w:eastAsiaTheme="minorEastAsia" w:cs="Calibri"/>
          <w:szCs w:val="24"/>
        </w:rPr>
        <w:t>pričuvni</w:t>
      </w:r>
      <w:r w:rsidRPr="00E65FB3">
        <w:rPr>
          <w:rFonts w:eastAsiaTheme="minorEastAsia" w:cs="Calibri"/>
          <w:szCs w:val="24"/>
        </w:rPr>
        <w:t xml:space="preserve"> SIP link koji će se koristiti u</w:t>
      </w:r>
      <w:r w:rsidR="001039A2">
        <w:rPr>
          <w:rFonts w:eastAsiaTheme="minorEastAsia" w:cs="Calibri"/>
          <w:szCs w:val="24"/>
        </w:rPr>
        <w:t xml:space="preserve"> slučaju ispada IP </w:t>
      </w:r>
      <w:proofErr w:type="spellStart"/>
      <w:r w:rsidR="001039A2">
        <w:rPr>
          <w:rFonts w:eastAsiaTheme="minorEastAsia" w:cs="Calibri"/>
          <w:szCs w:val="24"/>
        </w:rPr>
        <w:t>povezivosti</w:t>
      </w:r>
      <w:proofErr w:type="spellEnd"/>
      <w:r w:rsidR="001039A2">
        <w:rPr>
          <w:rFonts w:eastAsiaTheme="minorEastAsia" w:cs="Calibri"/>
          <w:szCs w:val="24"/>
        </w:rPr>
        <w:t xml:space="preserve"> </w:t>
      </w:r>
      <w:r w:rsidRPr="00E65FB3">
        <w:rPr>
          <w:rFonts w:eastAsiaTheme="minorEastAsia" w:cs="Calibri"/>
          <w:szCs w:val="24"/>
        </w:rPr>
        <w:t>između SBC-ova.</w:t>
      </w: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Detekcija ispada i zaštitno usmjeravanje ostvaruje se na IP sloju.</w:t>
      </w:r>
    </w:p>
    <w:p w:rsidR="00737C44" w:rsidRPr="00193020" w:rsidRDefault="00737C44" w:rsidP="00F50BB9">
      <w:pPr>
        <w:pStyle w:val="Subtitle"/>
      </w:pPr>
      <w:r w:rsidRPr="00193020">
        <w:lastRenderedPageBreak/>
        <w:t>Povezivanje operatora s jednim SBC-om i operatora s dva SBC-a</w:t>
      </w:r>
    </w:p>
    <w:p w:rsidR="00737C44" w:rsidRPr="00193020" w:rsidRDefault="00737C44" w:rsidP="00737C44">
      <w:pPr>
        <w:jc w:val="both"/>
        <w:rPr>
          <w:rFonts w:ascii="Calibri" w:hAnsi="Calibri" w:cs="Calibri"/>
          <w:szCs w:val="24"/>
        </w:rPr>
      </w:pP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U slučaju da jedan operator ima jedan SBC, a drugi operator dva SBC-a, preporučena arhitektura je slijedeća:</w:t>
      </w:r>
    </w:p>
    <w:p w:rsidR="00737C44" w:rsidRPr="00193020" w:rsidRDefault="00737C44" w:rsidP="00737C44">
      <w:pPr>
        <w:spacing w:after="200" w:line="276" w:lineRule="auto"/>
        <w:jc w:val="both"/>
        <w:rPr>
          <w:rFonts w:ascii="Calibri" w:eastAsiaTheme="minorEastAsia" w:hAnsi="Calibri" w:cs="Calibri"/>
          <w:szCs w:val="24"/>
        </w:rPr>
      </w:pPr>
      <w:r w:rsidRPr="00193020">
        <w:rPr>
          <w:rFonts w:ascii="Calibri" w:eastAsiaTheme="minorEastAsia" w:hAnsi="Calibri" w:cs="Calibri"/>
          <w:szCs w:val="24"/>
        </w:rPr>
        <w:object w:dxaOrig="16860" w:dyaOrig="12765" w14:anchorId="5D2310B7">
          <v:shape id="_x0000_i1026" type="#_x0000_t75" style="width:474.75pt;height:388.5pt" o:ole="">
            <v:imagedata r:id="rId36" o:title=""/>
          </v:shape>
          <o:OLEObject Type="Embed" ProgID="Visio.Drawing.11" ShapeID="_x0000_i1026" DrawAspect="Content" ObjectID="_1602406785" r:id="rId37"/>
        </w:object>
      </w: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 xml:space="preserve">Operatori uspostavljaju dva aktivna SIP linka koji rade u </w:t>
      </w:r>
      <w:proofErr w:type="spellStart"/>
      <w:r w:rsidRPr="00E65FB3">
        <w:rPr>
          <w:rFonts w:eastAsiaTheme="minorEastAsia" w:cs="Calibri"/>
          <w:i/>
          <w:szCs w:val="24"/>
        </w:rPr>
        <w:t>load</w:t>
      </w:r>
      <w:proofErr w:type="spellEnd"/>
      <w:r w:rsidRPr="00E65FB3">
        <w:rPr>
          <w:rFonts w:eastAsiaTheme="minorEastAsia" w:cs="Calibri"/>
          <w:i/>
          <w:szCs w:val="24"/>
        </w:rPr>
        <w:t xml:space="preserve"> </w:t>
      </w:r>
      <w:proofErr w:type="spellStart"/>
      <w:r w:rsidRPr="00E65FB3">
        <w:rPr>
          <w:rFonts w:eastAsiaTheme="minorEastAsia" w:cs="Calibri"/>
          <w:i/>
          <w:szCs w:val="24"/>
        </w:rPr>
        <w:t>balancing</w:t>
      </w:r>
      <w:proofErr w:type="spellEnd"/>
      <w:r w:rsidRPr="00E65FB3">
        <w:rPr>
          <w:rFonts w:eastAsiaTheme="minorEastAsia" w:cs="Calibri"/>
          <w:szCs w:val="24"/>
        </w:rPr>
        <w:t xml:space="preserve"> načinu rada, pri čemu u slučaju ispada jednog linka, drugi preuzima potpunu razmjenu prometa između operatora.</w:t>
      </w: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 xml:space="preserve">Detekcija ispada i zaštitno usmjeravanje ostvaruje se na aplikacijskom sloju </w:t>
      </w:r>
      <w:proofErr w:type="spellStart"/>
      <w:r w:rsidRPr="00E65FB3">
        <w:rPr>
          <w:rFonts w:eastAsiaTheme="minorEastAsia" w:cs="Calibri"/>
          <w:szCs w:val="24"/>
        </w:rPr>
        <w:t>tj</w:t>
      </w:r>
      <w:proofErr w:type="spellEnd"/>
      <w:r w:rsidRPr="00E65FB3">
        <w:rPr>
          <w:rFonts w:eastAsiaTheme="minorEastAsia" w:cs="Calibri"/>
          <w:szCs w:val="24"/>
        </w:rPr>
        <w:t xml:space="preserve"> na SIP razini. </w:t>
      </w: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Ovisno o potrebama operatora i bilateralnom dogovoru između operatora, detekciju ispada i zaštitno usmjeravanje moguće je ostvariti i na IP sloju.</w:t>
      </w:r>
    </w:p>
    <w:p w:rsidR="00737C44" w:rsidRPr="00193020" w:rsidRDefault="00737C44" w:rsidP="00F50BB9">
      <w:pPr>
        <w:pStyle w:val="Subtitle"/>
      </w:pPr>
      <w:r w:rsidRPr="00193020">
        <w:t>Povezivanje dva operatora s po dva SBC-a</w:t>
      </w:r>
    </w:p>
    <w:p w:rsidR="00737C44" w:rsidRPr="00193020" w:rsidRDefault="00737C44" w:rsidP="00737C44">
      <w:pPr>
        <w:jc w:val="both"/>
        <w:rPr>
          <w:rFonts w:ascii="Calibri" w:hAnsi="Calibri" w:cs="Calibri"/>
          <w:szCs w:val="24"/>
        </w:rPr>
      </w:pPr>
    </w:p>
    <w:p w:rsidR="00737C44" w:rsidRPr="00E65FB3" w:rsidRDefault="00737C44" w:rsidP="00737C44">
      <w:pPr>
        <w:spacing w:after="200" w:line="276" w:lineRule="auto"/>
        <w:jc w:val="both"/>
        <w:rPr>
          <w:rFonts w:eastAsiaTheme="minorEastAsia" w:cs="Calibri"/>
          <w:szCs w:val="24"/>
        </w:rPr>
      </w:pPr>
      <w:r w:rsidRPr="00E65FB3">
        <w:rPr>
          <w:rFonts w:eastAsiaTheme="minorEastAsia" w:cs="Calibri"/>
          <w:szCs w:val="24"/>
        </w:rPr>
        <w:t>U slučaju da svaki od operatora ima po dva SBC, preporučena arhitektura je slijedeća:</w:t>
      </w:r>
    </w:p>
    <w:p w:rsidR="00737C44" w:rsidRPr="00863B5A" w:rsidRDefault="00737C44" w:rsidP="00737C44">
      <w:pPr>
        <w:spacing w:after="200" w:line="276" w:lineRule="auto"/>
        <w:jc w:val="both"/>
        <w:rPr>
          <w:rFonts w:eastAsiaTheme="minorEastAsia"/>
          <w:sz w:val="22"/>
        </w:rPr>
      </w:pPr>
      <w:r w:rsidRPr="00863B5A">
        <w:rPr>
          <w:rFonts w:eastAsiaTheme="minorEastAsia"/>
          <w:sz w:val="22"/>
        </w:rPr>
        <w:object w:dxaOrig="12805" w:dyaOrig="10453" w14:anchorId="254523BC">
          <v:shape id="_x0000_i1027" type="#_x0000_t75" style="width:396pt;height:324.75pt" o:ole="">
            <v:imagedata r:id="rId38" o:title=""/>
          </v:shape>
          <o:OLEObject Type="Embed" ProgID="Visio.Drawing.11" ShapeID="_x0000_i1027" DrawAspect="Content" ObjectID="_1602406786" r:id="rId39"/>
        </w:object>
      </w:r>
    </w:p>
    <w:p w:rsidR="00737C44" w:rsidRPr="00C07008" w:rsidRDefault="00737C44" w:rsidP="00737C44">
      <w:pPr>
        <w:spacing w:after="200" w:line="276" w:lineRule="auto"/>
        <w:jc w:val="both"/>
        <w:rPr>
          <w:rFonts w:eastAsiaTheme="minorEastAsia"/>
          <w:szCs w:val="24"/>
        </w:rPr>
      </w:pPr>
      <w:r w:rsidRPr="00C07008">
        <w:rPr>
          <w:rFonts w:eastAsiaTheme="minorEastAsia"/>
          <w:szCs w:val="24"/>
        </w:rPr>
        <w:t xml:space="preserve">Operatori uspostavljaju četiri aktivna SIP linka koji rade u </w:t>
      </w:r>
      <w:proofErr w:type="spellStart"/>
      <w:r w:rsidRPr="00C07008">
        <w:rPr>
          <w:rFonts w:eastAsiaTheme="minorEastAsia"/>
          <w:i/>
          <w:szCs w:val="24"/>
        </w:rPr>
        <w:t>load</w:t>
      </w:r>
      <w:proofErr w:type="spellEnd"/>
      <w:r w:rsidRPr="00C07008">
        <w:rPr>
          <w:rFonts w:eastAsiaTheme="minorEastAsia"/>
          <w:i/>
          <w:szCs w:val="24"/>
        </w:rPr>
        <w:t xml:space="preserve"> </w:t>
      </w:r>
      <w:proofErr w:type="spellStart"/>
      <w:r w:rsidRPr="00C07008">
        <w:rPr>
          <w:rFonts w:eastAsiaTheme="minorEastAsia"/>
          <w:i/>
          <w:szCs w:val="24"/>
        </w:rPr>
        <w:t>balancing</w:t>
      </w:r>
      <w:proofErr w:type="spellEnd"/>
      <w:r w:rsidRPr="00C07008">
        <w:rPr>
          <w:rFonts w:eastAsiaTheme="minorEastAsia"/>
          <w:szCs w:val="24"/>
        </w:rPr>
        <w:t xml:space="preserve"> načinu rada, pri čemu u slučaju ispada jednog linka, preostali preuzimaju potpunu razmjenu prometa između operatora.</w:t>
      </w:r>
    </w:p>
    <w:p w:rsidR="00737C44" w:rsidRPr="00C07008" w:rsidRDefault="00737C44" w:rsidP="00737C44">
      <w:pPr>
        <w:spacing w:after="200" w:line="276" w:lineRule="auto"/>
        <w:jc w:val="both"/>
        <w:rPr>
          <w:rFonts w:eastAsiaTheme="minorEastAsia"/>
          <w:szCs w:val="24"/>
        </w:rPr>
      </w:pPr>
      <w:r w:rsidRPr="00C07008">
        <w:rPr>
          <w:rFonts w:eastAsiaTheme="minorEastAsia"/>
          <w:szCs w:val="24"/>
        </w:rPr>
        <w:t xml:space="preserve">Ovisno o potrebama operatora i bilateralnom dogovoru između operatora, alternativno je moguće ostvariti povezivanje putem dva aktivna SIP linka koji rade u </w:t>
      </w:r>
      <w:proofErr w:type="spellStart"/>
      <w:r w:rsidRPr="00C07008">
        <w:rPr>
          <w:rFonts w:eastAsiaTheme="minorEastAsia"/>
          <w:i/>
          <w:szCs w:val="24"/>
        </w:rPr>
        <w:t>load</w:t>
      </w:r>
      <w:proofErr w:type="spellEnd"/>
      <w:r w:rsidRPr="00C07008">
        <w:rPr>
          <w:rFonts w:eastAsiaTheme="minorEastAsia"/>
          <w:i/>
          <w:szCs w:val="24"/>
        </w:rPr>
        <w:t xml:space="preserve"> </w:t>
      </w:r>
      <w:proofErr w:type="spellStart"/>
      <w:r w:rsidRPr="00C07008">
        <w:rPr>
          <w:rFonts w:eastAsiaTheme="minorEastAsia"/>
          <w:i/>
          <w:szCs w:val="24"/>
        </w:rPr>
        <w:t>balancing</w:t>
      </w:r>
      <w:proofErr w:type="spellEnd"/>
      <w:r w:rsidRPr="00C07008">
        <w:rPr>
          <w:rFonts w:eastAsiaTheme="minorEastAsia"/>
          <w:szCs w:val="24"/>
        </w:rPr>
        <w:t xml:space="preserve"> načinu rada, pri čemu u slučaju ispada jednog linka, drugi preuzima potpunu razmjenu prometa između operatora.</w:t>
      </w:r>
    </w:p>
    <w:p w:rsidR="00737C44" w:rsidRPr="00863B5A" w:rsidRDefault="00737C44" w:rsidP="00737C44">
      <w:pPr>
        <w:spacing w:after="200" w:line="276" w:lineRule="auto"/>
        <w:jc w:val="both"/>
        <w:rPr>
          <w:rFonts w:eastAsiaTheme="minorEastAsia"/>
          <w:sz w:val="22"/>
        </w:rPr>
      </w:pPr>
      <w:r w:rsidRPr="00863B5A">
        <w:rPr>
          <w:rFonts w:eastAsiaTheme="minorEastAsia"/>
          <w:sz w:val="22"/>
        </w:rPr>
        <w:object w:dxaOrig="13140" w:dyaOrig="12150" w14:anchorId="6878A24F">
          <v:shape id="_x0000_i1028" type="#_x0000_t75" style="width:446.25pt;height:417pt" o:ole="">
            <v:imagedata r:id="rId40" o:title=""/>
          </v:shape>
          <o:OLEObject Type="Embed" ProgID="Visio.Drawing.11" ShapeID="_x0000_i1028" DrawAspect="Content" ObjectID="_1602406787" r:id="rId41"/>
        </w:object>
      </w:r>
    </w:p>
    <w:p w:rsidR="00737C44" w:rsidRPr="00E65FB3" w:rsidRDefault="00737C44" w:rsidP="00737C44">
      <w:pPr>
        <w:spacing w:after="200" w:line="276" w:lineRule="auto"/>
        <w:jc w:val="both"/>
        <w:rPr>
          <w:rFonts w:eastAsiaTheme="minorEastAsia"/>
          <w:szCs w:val="24"/>
        </w:rPr>
      </w:pPr>
      <w:r w:rsidRPr="00E65FB3">
        <w:rPr>
          <w:rFonts w:eastAsiaTheme="minorEastAsia"/>
          <w:szCs w:val="24"/>
        </w:rPr>
        <w:t>Detekcija ispada i zaštitno usmjeravanje ostvaruje se na aplikacijskom sloju tj</w:t>
      </w:r>
      <w:r w:rsidR="001039A2">
        <w:rPr>
          <w:rFonts w:eastAsiaTheme="minorEastAsia"/>
          <w:szCs w:val="24"/>
        </w:rPr>
        <w:t>.</w:t>
      </w:r>
      <w:r w:rsidRPr="00E65FB3">
        <w:rPr>
          <w:rFonts w:eastAsiaTheme="minorEastAsia"/>
          <w:szCs w:val="24"/>
        </w:rPr>
        <w:t xml:space="preserve"> na SIP razini. </w:t>
      </w:r>
    </w:p>
    <w:p w:rsidR="00737C44" w:rsidRPr="00E65FB3" w:rsidRDefault="00737C44" w:rsidP="00737C44">
      <w:pPr>
        <w:spacing w:after="200" w:line="276" w:lineRule="auto"/>
        <w:jc w:val="both"/>
        <w:rPr>
          <w:rFonts w:eastAsiaTheme="minorEastAsia"/>
          <w:szCs w:val="24"/>
        </w:rPr>
      </w:pPr>
      <w:r w:rsidRPr="00E65FB3">
        <w:rPr>
          <w:rFonts w:eastAsiaTheme="minorEastAsia"/>
          <w:szCs w:val="24"/>
        </w:rPr>
        <w:t>Ovisno o potrebama operatora i bilateralnom dogovoru između operatora, detekciju ispada i zaštitno usmjeravanje moguće je ostvariti i na IP sloju.</w:t>
      </w:r>
    </w:p>
    <w:p w:rsidR="00065982" w:rsidRDefault="00065982">
      <w:pPr>
        <w:spacing w:after="200" w:line="276" w:lineRule="auto"/>
      </w:pPr>
      <w:r>
        <w:br w:type="page"/>
      </w:r>
    </w:p>
    <w:p w:rsidR="00D1036A" w:rsidRPr="00D1036A" w:rsidRDefault="00065982" w:rsidP="00D1036A">
      <w:pPr>
        <w:pStyle w:val="Heading2"/>
      </w:pPr>
      <w:bookmarkStart w:id="227" w:name="_Toc524984045"/>
      <w:bookmarkStart w:id="228" w:name="_Toc525073021"/>
      <w:bookmarkStart w:id="229" w:name="_Toc525729866"/>
      <w:r>
        <w:lastRenderedPageBreak/>
        <w:t xml:space="preserve">Privitak 2 – </w:t>
      </w:r>
      <w:r w:rsidR="00A013E2">
        <w:t>O</w:t>
      </w:r>
      <w:r w:rsidRPr="00802C3E">
        <w:t>perator</w:t>
      </w:r>
      <w:r>
        <w:t>i</w:t>
      </w:r>
      <w:r w:rsidRPr="00802C3E">
        <w:t xml:space="preserve"> sa značajnom tržišnom snagom</w:t>
      </w:r>
      <w:r>
        <w:t xml:space="preserve"> na mjerodavnom tržištu</w:t>
      </w:r>
      <w:bookmarkEnd w:id="227"/>
      <w:bookmarkEnd w:id="228"/>
      <w:bookmarkEnd w:id="229"/>
    </w:p>
    <w:p w:rsidR="00CF38A8" w:rsidRDefault="00CF38A8" w:rsidP="00CF38A8"/>
    <w:p w:rsidR="009010EA" w:rsidRPr="009010EA" w:rsidRDefault="009010EA" w:rsidP="009010EA">
      <w:pPr>
        <w:pStyle w:val="LIsta"/>
        <w:rPr>
          <w:sz w:val="24"/>
          <w:szCs w:val="24"/>
        </w:rPr>
      </w:pPr>
      <w:r w:rsidRPr="009010EA">
        <w:rPr>
          <w:sz w:val="24"/>
          <w:szCs w:val="24"/>
        </w:rPr>
        <w:t xml:space="preserve">4 </w:t>
      </w:r>
      <w:proofErr w:type="spellStart"/>
      <w:r w:rsidRPr="009010EA">
        <w:rPr>
          <w:sz w:val="24"/>
          <w:szCs w:val="24"/>
        </w:rPr>
        <w:t>Tel</w:t>
      </w:r>
      <w:proofErr w:type="spellEnd"/>
      <w:r w:rsidRPr="009010EA">
        <w:rPr>
          <w:sz w:val="24"/>
          <w:szCs w:val="24"/>
        </w:rPr>
        <w:t xml:space="preserve"> komunikacije d.o.o., Samobor, Cvjetno naselje 16;</w:t>
      </w:r>
    </w:p>
    <w:p w:rsidR="009010EA" w:rsidRPr="009010EA" w:rsidRDefault="009010EA" w:rsidP="009010EA">
      <w:pPr>
        <w:pStyle w:val="LIsta"/>
        <w:rPr>
          <w:sz w:val="24"/>
          <w:szCs w:val="24"/>
        </w:rPr>
      </w:pPr>
      <w:r w:rsidRPr="009010EA">
        <w:rPr>
          <w:sz w:val="24"/>
          <w:szCs w:val="24"/>
        </w:rPr>
        <w:t>A1 Hrvatska d.o.o., Zagreb, Vrtni put 1;</w:t>
      </w:r>
    </w:p>
    <w:p w:rsidR="009010EA" w:rsidRPr="009010EA" w:rsidRDefault="009010EA" w:rsidP="009010EA">
      <w:pPr>
        <w:pStyle w:val="LIsta"/>
        <w:rPr>
          <w:sz w:val="24"/>
          <w:szCs w:val="24"/>
        </w:rPr>
      </w:pPr>
      <w:proofErr w:type="spellStart"/>
      <w:r w:rsidRPr="009010EA">
        <w:rPr>
          <w:sz w:val="24"/>
          <w:szCs w:val="24"/>
        </w:rPr>
        <w:t>Akton</w:t>
      </w:r>
      <w:proofErr w:type="spellEnd"/>
      <w:r w:rsidRPr="009010EA">
        <w:rPr>
          <w:sz w:val="24"/>
          <w:szCs w:val="24"/>
        </w:rPr>
        <w:t xml:space="preserve"> d.o.o., Zagreb, Bani 75;</w:t>
      </w:r>
    </w:p>
    <w:p w:rsidR="009010EA" w:rsidRPr="009010EA" w:rsidRDefault="009010EA" w:rsidP="009010EA">
      <w:pPr>
        <w:pStyle w:val="LIsta"/>
        <w:rPr>
          <w:sz w:val="24"/>
          <w:szCs w:val="24"/>
        </w:rPr>
      </w:pPr>
      <w:r w:rsidRPr="009010EA">
        <w:rPr>
          <w:sz w:val="24"/>
          <w:szCs w:val="24"/>
        </w:rPr>
        <w:t>BT Net d.o.o., Zagreb, Dubravkin trg 5;</w:t>
      </w:r>
    </w:p>
    <w:p w:rsidR="009010EA" w:rsidRPr="009010EA" w:rsidRDefault="009010EA" w:rsidP="009010EA">
      <w:pPr>
        <w:pStyle w:val="LIsta"/>
        <w:rPr>
          <w:sz w:val="24"/>
          <w:szCs w:val="24"/>
        </w:rPr>
      </w:pPr>
      <w:proofErr w:type="spellStart"/>
      <w:r w:rsidRPr="009010EA">
        <w:rPr>
          <w:sz w:val="24"/>
          <w:szCs w:val="24"/>
        </w:rPr>
        <w:t>Chaos</w:t>
      </w:r>
      <w:proofErr w:type="spellEnd"/>
      <w:r w:rsidRPr="009010EA">
        <w:rPr>
          <w:sz w:val="24"/>
          <w:szCs w:val="24"/>
        </w:rPr>
        <w:t xml:space="preserve"> d.o.o., Varaždin, Ive </w:t>
      </w:r>
      <w:proofErr w:type="spellStart"/>
      <w:r w:rsidRPr="009010EA">
        <w:rPr>
          <w:sz w:val="24"/>
          <w:szCs w:val="24"/>
        </w:rPr>
        <w:t>Režeka</w:t>
      </w:r>
      <w:proofErr w:type="spellEnd"/>
      <w:r w:rsidRPr="009010EA">
        <w:rPr>
          <w:sz w:val="24"/>
          <w:szCs w:val="24"/>
        </w:rPr>
        <w:t xml:space="preserve"> 15;</w:t>
      </w:r>
    </w:p>
    <w:p w:rsidR="009010EA" w:rsidRPr="009010EA" w:rsidRDefault="009010EA" w:rsidP="009010EA">
      <w:pPr>
        <w:pStyle w:val="LIsta"/>
        <w:rPr>
          <w:sz w:val="24"/>
          <w:szCs w:val="24"/>
        </w:rPr>
      </w:pPr>
      <w:proofErr w:type="spellStart"/>
      <w:r w:rsidRPr="009010EA">
        <w:rPr>
          <w:sz w:val="24"/>
          <w:szCs w:val="24"/>
        </w:rPr>
        <w:t>Dialoga</w:t>
      </w:r>
      <w:proofErr w:type="spellEnd"/>
      <w:r w:rsidRPr="009010EA">
        <w:rPr>
          <w:sz w:val="24"/>
          <w:szCs w:val="24"/>
        </w:rPr>
        <w:t xml:space="preserve"> </w:t>
      </w:r>
      <w:proofErr w:type="spellStart"/>
      <w:r w:rsidRPr="009010EA">
        <w:rPr>
          <w:sz w:val="24"/>
          <w:szCs w:val="24"/>
        </w:rPr>
        <w:t>Servicios</w:t>
      </w:r>
      <w:proofErr w:type="spellEnd"/>
      <w:r w:rsidRPr="009010EA">
        <w:rPr>
          <w:sz w:val="24"/>
          <w:szCs w:val="24"/>
        </w:rPr>
        <w:t xml:space="preserve"> </w:t>
      </w:r>
      <w:proofErr w:type="spellStart"/>
      <w:r w:rsidRPr="009010EA">
        <w:rPr>
          <w:sz w:val="24"/>
          <w:szCs w:val="24"/>
        </w:rPr>
        <w:t>Interactivos</w:t>
      </w:r>
      <w:proofErr w:type="spellEnd"/>
      <w:r w:rsidRPr="009010EA">
        <w:rPr>
          <w:sz w:val="24"/>
          <w:szCs w:val="24"/>
        </w:rPr>
        <w:t xml:space="preserve">, S.A., Plaza </w:t>
      </w:r>
      <w:proofErr w:type="spellStart"/>
      <w:r w:rsidRPr="009010EA">
        <w:rPr>
          <w:sz w:val="24"/>
          <w:szCs w:val="24"/>
        </w:rPr>
        <w:t>Euskadi</w:t>
      </w:r>
      <w:proofErr w:type="spellEnd"/>
      <w:r w:rsidRPr="009010EA">
        <w:rPr>
          <w:sz w:val="24"/>
          <w:szCs w:val="24"/>
        </w:rPr>
        <w:t xml:space="preserve"> n°5, </w:t>
      </w:r>
      <w:proofErr w:type="spellStart"/>
      <w:r w:rsidRPr="009010EA">
        <w:rPr>
          <w:sz w:val="24"/>
          <w:szCs w:val="24"/>
        </w:rPr>
        <w:t>Planta</w:t>
      </w:r>
      <w:proofErr w:type="spellEnd"/>
      <w:r w:rsidRPr="009010EA">
        <w:rPr>
          <w:sz w:val="24"/>
          <w:szCs w:val="24"/>
        </w:rPr>
        <w:t xml:space="preserve"> 12a, </w:t>
      </w:r>
      <w:proofErr w:type="spellStart"/>
      <w:r w:rsidRPr="009010EA">
        <w:rPr>
          <w:sz w:val="24"/>
          <w:szCs w:val="24"/>
        </w:rPr>
        <w:t>Torre</w:t>
      </w:r>
      <w:proofErr w:type="spellEnd"/>
      <w:r w:rsidRPr="009010EA">
        <w:rPr>
          <w:sz w:val="24"/>
          <w:szCs w:val="24"/>
        </w:rPr>
        <w:t xml:space="preserve"> Iberdrola, </w:t>
      </w:r>
      <w:proofErr w:type="spellStart"/>
      <w:r w:rsidRPr="009010EA">
        <w:rPr>
          <w:sz w:val="24"/>
          <w:szCs w:val="24"/>
        </w:rPr>
        <w:t>Bilbao</w:t>
      </w:r>
      <w:proofErr w:type="spellEnd"/>
      <w:r w:rsidRPr="009010EA">
        <w:rPr>
          <w:sz w:val="24"/>
          <w:szCs w:val="24"/>
        </w:rPr>
        <w:t>, Španjolska;</w:t>
      </w:r>
    </w:p>
    <w:p w:rsidR="009010EA" w:rsidRPr="009010EA" w:rsidRDefault="009010EA" w:rsidP="009010EA">
      <w:pPr>
        <w:pStyle w:val="LIsta"/>
        <w:rPr>
          <w:sz w:val="24"/>
          <w:szCs w:val="24"/>
        </w:rPr>
      </w:pPr>
      <w:proofErr w:type="spellStart"/>
      <w:r w:rsidRPr="009010EA">
        <w:rPr>
          <w:sz w:val="24"/>
          <w:szCs w:val="24"/>
        </w:rPr>
        <w:t>Fenice</w:t>
      </w:r>
      <w:proofErr w:type="spellEnd"/>
      <w:r w:rsidRPr="009010EA">
        <w:rPr>
          <w:sz w:val="24"/>
          <w:szCs w:val="24"/>
        </w:rPr>
        <w:t xml:space="preserve"> </w:t>
      </w:r>
      <w:proofErr w:type="spellStart"/>
      <w:r w:rsidRPr="009010EA">
        <w:rPr>
          <w:sz w:val="24"/>
          <w:szCs w:val="24"/>
        </w:rPr>
        <w:t>telekom</w:t>
      </w:r>
      <w:proofErr w:type="spellEnd"/>
      <w:r w:rsidRPr="009010EA">
        <w:rPr>
          <w:sz w:val="24"/>
          <w:szCs w:val="24"/>
        </w:rPr>
        <w:t xml:space="preserve"> grupa d.o.o., Rijeka, Gornja </w:t>
      </w:r>
      <w:proofErr w:type="spellStart"/>
      <w:r w:rsidRPr="009010EA">
        <w:rPr>
          <w:sz w:val="24"/>
          <w:szCs w:val="24"/>
        </w:rPr>
        <w:t>Vežica</w:t>
      </w:r>
      <w:proofErr w:type="spellEnd"/>
      <w:r w:rsidRPr="009010EA">
        <w:rPr>
          <w:sz w:val="24"/>
          <w:szCs w:val="24"/>
        </w:rPr>
        <w:t xml:space="preserve"> 16/a; </w:t>
      </w:r>
    </w:p>
    <w:p w:rsidR="009010EA" w:rsidRPr="009010EA" w:rsidRDefault="009010EA" w:rsidP="009010EA">
      <w:pPr>
        <w:pStyle w:val="LIsta"/>
        <w:rPr>
          <w:sz w:val="24"/>
          <w:szCs w:val="24"/>
        </w:rPr>
      </w:pPr>
      <w:r w:rsidRPr="009010EA">
        <w:rPr>
          <w:sz w:val="24"/>
          <w:szCs w:val="24"/>
        </w:rPr>
        <w:t>Hrvatski Telekom d.d., Zagreb, Roberta Frangeša Mihanovića 9;</w:t>
      </w:r>
    </w:p>
    <w:p w:rsidR="009010EA" w:rsidRPr="009010EA" w:rsidRDefault="009010EA" w:rsidP="009010EA">
      <w:pPr>
        <w:pStyle w:val="LIsta"/>
        <w:rPr>
          <w:sz w:val="24"/>
          <w:szCs w:val="24"/>
        </w:rPr>
      </w:pPr>
      <w:r w:rsidRPr="009010EA">
        <w:rPr>
          <w:sz w:val="24"/>
          <w:szCs w:val="24"/>
        </w:rPr>
        <w:t>Informatika Projekt d.o.o., Zagreb, Kozjak 56;</w:t>
      </w:r>
    </w:p>
    <w:p w:rsidR="009010EA" w:rsidRPr="009010EA" w:rsidRDefault="009010EA" w:rsidP="009010EA">
      <w:pPr>
        <w:pStyle w:val="LIsta"/>
        <w:rPr>
          <w:sz w:val="24"/>
          <w:szCs w:val="24"/>
        </w:rPr>
      </w:pPr>
      <w:r w:rsidRPr="009010EA">
        <w:rPr>
          <w:sz w:val="24"/>
          <w:szCs w:val="24"/>
        </w:rPr>
        <w:t xml:space="preserve">Iskon Internet d.d., Zagreb, </w:t>
      </w:r>
      <w:proofErr w:type="spellStart"/>
      <w:r w:rsidRPr="009010EA">
        <w:rPr>
          <w:sz w:val="24"/>
          <w:szCs w:val="24"/>
        </w:rPr>
        <w:t>Garićgradska</w:t>
      </w:r>
      <w:proofErr w:type="spellEnd"/>
      <w:r w:rsidRPr="009010EA">
        <w:rPr>
          <w:sz w:val="24"/>
          <w:szCs w:val="24"/>
        </w:rPr>
        <w:t xml:space="preserve"> 18;</w:t>
      </w:r>
    </w:p>
    <w:p w:rsidR="009010EA" w:rsidRPr="009010EA" w:rsidRDefault="009010EA" w:rsidP="009010EA">
      <w:pPr>
        <w:pStyle w:val="LIsta"/>
        <w:rPr>
          <w:sz w:val="24"/>
          <w:szCs w:val="24"/>
        </w:rPr>
      </w:pPr>
      <w:r w:rsidRPr="009010EA">
        <w:rPr>
          <w:sz w:val="24"/>
          <w:szCs w:val="24"/>
        </w:rPr>
        <w:t>IT Jedan d.o.o., Zagreb, Selska cesta 90A;</w:t>
      </w:r>
    </w:p>
    <w:p w:rsidR="009010EA" w:rsidRPr="009010EA" w:rsidRDefault="009010EA" w:rsidP="009010EA">
      <w:pPr>
        <w:pStyle w:val="LIsta"/>
        <w:rPr>
          <w:sz w:val="24"/>
          <w:szCs w:val="24"/>
        </w:rPr>
      </w:pPr>
      <w:proofErr w:type="spellStart"/>
      <w:r w:rsidRPr="009010EA">
        <w:rPr>
          <w:sz w:val="24"/>
          <w:szCs w:val="24"/>
        </w:rPr>
        <w:t>Magić</w:t>
      </w:r>
      <w:proofErr w:type="spellEnd"/>
      <w:r w:rsidRPr="009010EA">
        <w:rPr>
          <w:sz w:val="24"/>
          <w:szCs w:val="24"/>
        </w:rPr>
        <w:t xml:space="preserve"> Net d.o.o., Ludbreg, Koprivnička 17/c;</w:t>
      </w:r>
    </w:p>
    <w:p w:rsidR="009010EA" w:rsidRPr="009010EA" w:rsidRDefault="009010EA" w:rsidP="009010EA">
      <w:pPr>
        <w:pStyle w:val="LIsta"/>
        <w:rPr>
          <w:sz w:val="24"/>
          <w:szCs w:val="24"/>
        </w:rPr>
      </w:pPr>
      <w:r w:rsidRPr="009010EA">
        <w:rPr>
          <w:sz w:val="24"/>
          <w:szCs w:val="24"/>
        </w:rPr>
        <w:t>Net-</w:t>
      </w:r>
      <w:proofErr w:type="spellStart"/>
      <w:r w:rsidRPr="009010EA">
        <w:rPr>
          <w:sz w:val="24"/>
          <w:szCs w:val="24"/>
        </w:rPr>
        <w:t>connect</w:t>
      </w:r>
      <w:proofErr w:type="spellEnd"/>
      <w:r w:rsidRPr="009010EA">
        <w:rPr>
          <w:sz w:val="24"/>
          <w:szCs w:val="24"/>
        </w:rPr>
        <w:t xml:space="preserve"> d.o.o. Zagreb, </w:t>
      </w:r>
      <w:proofErr w:type="spellStart"/>
      <w:r w:rsidRPr="009010EA">
        <w:rPr>
          <w:sz w:val="24"/>
          <w:szCs w:val="24"/>
        </w:rPr>
        <w:t>Petrovaradinska</w:t>
      </w:r>
      <w:proofErr w:type="spellEnd"/>
      <w:r w:rsidRPr="009010EA">
        <w:rPr>
          <w:sz w:val="24"/>
          <w:szCs w:val="24"/>
        </w:rPr>
        <w:t xml:space="preserve"> 1;</w:t>
      </w:r>
    </w:p>
    <w:p w:rsidR="009010EA" w:rsidRPr="009010EA" w:rsidRDefault="009010EA" w:rsidP="009010EA">
      <w:pPr>
        <w:pStyle w:val="LIsta"/>
        <w:rPr>
          <w:sz w:val="24"/>
          <w:szCs w:val="24"/>
        </w:rPr>
      </w:pPr>
      <w:proofErr w:type="spellStart"/>
      <w:r w:rsidRPr="009010EA">
        <w:rPr>
          <w:sz w:val="24"/>
          <w:szCs w:val="24"/>
        </w:rPr>
        <w:t>Nexcom</w:t>
      </w:r>
      <w:proofErr w:type="spellEnd"/>
      <w:r w:rsidRPr="009010EA">
        <w:rPr>
          <w:sz w:val="24"/>
          <w:szCs w:val="24"/>
        </w:rPr>
        <w:t xml:space="preserve"> d.o.o., Zagreb, Trnjanska cesta 45;</w:t>
      </w:r>
    </w:p>
    <w:p w:rsidR="009010EA" w:rsidRPr="009010EA" w:rsidRDefault="009010EA" w:rsidP="009010EA">
      <w:pPr>
        <w:pStyle w:val="LIsta"/>
        <w:rPr>
          <w:sz w:val="24"/>
          <w:szCs w:val="24"/>
        </w:rPr>
      </w:pPr>
      <w:r w:rsidRPr="009010EA">
        <w:rPr>
          <w:sz w:val="24"/>
          <w:szCs w:val="24"/>
        </w:rPr>
        <w:t xml:space="preserve">Novi-Net d.o.o., </w:t>
      </w:r>
      <w:proofErr w:type="spellStart"/>
      <w:r w:rsidRPr="009010EA">
        <w:rPr>
          <w:sz w:val="24"/>
          <w:szCs w:val="24"/>
        </w:rPr>
        <w:t>Selnica</w:t>
      </w:r>
      <w:proofErr w:type="spellEnd"/>
      <w:r w:rsidRPr="009010EA">
        <w:rPr>
          <w:sz w:val="24"/>
          <w:szCs w:val="24"/>
        </w:rPr>
        <w:t xml:space="preserve">, </w:t>
      </w:r>
      <w:proofErr w:type="spellStart"/>
      <w:r w:rsidRPr="009010EA">
        <w:rPr>
          <w:sz w:val="24"/>
          <w:szCs w:val="24"/>
        </w:rPr>
        <w:t>Merhatovec</w:t>
      </w:r>
      <w:proofErr w:type="spellEnd"/>
      <w:r w:rsidRPr="009010EA">
        <w:rPr>
          <w:sz w:val="24"/>
          <w:szCs w:val="24"/>
        </w:rPr>
        <w:t xml:space="preserve"> 5;</w:t>
      </w:r>
    </w:p>
    <w:p w:rsidR="009010EA" w:rsidRPr="009010EA" w:rsidRDefault="009010EA" w:rsidP="009010EA">
      <w:pPr>
        <w:pStyle w:val="LIsta"/>
        <w:rPr>
          <w:sz w:val="24"/>
          <w:szCs w:val="24"/>
        </w:rPr>
      </w:pPr>
      <w:proofErr w:type="spellStart"/>
      <w:r w:rsidRPr="009010EA">
        <w:rPr>
          <w:sz w:val="24"/>
          <w:szCs w:val="24"/>
        </w:rPr>
        <w:t>Raystrom</w:t>
      </w:r>
      <w:proofErr w:type="spellEnd"/>
      <w:r w:rsidRPr="009010EA">
        <w:rPr>
          <w:sz w:val="24"/>
          <w:szCs w:val="24"/>
        </w:rPr>
        <w:t xml:space="preserve"> d.o.o., Zagreb, Radnička cesta 52/R3</w:t>
      </w:r>
    </w:p>
    <w:p w:rsidR="009010EA" w:rsidRPr="009010EA" w:rsidRDefault="009010EA" w:rsidP="009010EA">
      <w:pPr>
        <w:pStyle w:val="LIsta"/>
        <w:rPr>
          <w:sz w:val="24"/>
          <w:szCs w:val="24"/>
        </w:rPr>
      </w:pPr>
      <w:proofErr w:type="spellStart"/>
      <w:r w:rsidRPr="009010EA">
        <w:rPr>
          <w:sz w:val="24"/>
          <w:szCs w:val="24"/>
        </w:rPr>
        <w:t>Omonia</w:t>
      </w:r>
      <w:proofErr w:type="spellEnd"/>
      <w:r w:rsidRPr="009010EA">
        <w:rPr>
          <w:sz w:val="24"/>
          <w:szCs w:val="24"/>
        </w:rPr>
        <w:t xml:space="preserve"> d.o.o., Zagreb, Sisačka cesta 20/a;</w:t>
      </w:r>
    </w:p>
    <w:p w:rsidR="009010EA" w:rsidRPr="00E41783" w:rsidRDefault="009010EA" w:rsidP="00E41783">
      <w:pPr>
        <w:pStyle w:val="LIsta"/>
        <w:rPr>
          <w:sz w:val="24"/>
          <w:szCs w:val="24"/>
        </w:rPr>
      </w:pPr>
      <w:r w:rsidRPr="009010EA">
        <w:rPr>
          <w:sz w:val="24"/>
          <w:szCs w:val="24"/>
        </w:rPr>
        <w:t xml:space="preserve">Optika kabel TV d.o.o., Zaprešić, Drage </w:t>
      </w:r>
      <w:proofErr w:type="spellStart"/>
      <w:r w:rsidRPr="009010EA">
        <w:rPr>
          <w:sz w:val="24"/>
          <w:szCs w:val="24"/>
        </w:rPr>
        <w:t>Švajcera</w:t>
      </w:r>
      <w:proofErr w:type="spellEnd"/>
      <w:r w:rsidRPr="009010EA">
        <w:rPr>
          <w:sz w:val="24"/>
          <w:szCs w:val="24"/>
        </w:rPr>
        <w:t xml:space="preserve"> 1;</w:t>
      </w:r>
    </w:p>
    <w:p w:rsidR="009010EA" w:rsidRPr="009010EA" w:rsidRDefault="009010EA" w:rsidP="009010EA">
      <w:pPr>
        <w:pStyle w:val="LIsta"/>
        <w:rPr>
          <w:sz w:val="24"/>
          <w:szCs w:val="24"/>
        </w:rPr>
      </w:pPr>
      <w:r w:rsidRPr="009010EA">
        <w:rPr>
          <w:sz w:val="24"/>
          <w:szCs w:val="24"/>
        </w:rPr>
        <w:t xml:space="preserve">Orinoco d.o.o., Zagreb, </w:t>
      </w:r>
      <w:proofErr w:type="spellStart"/>
      <w:r w:rsidRPr="009010EA">
        <w:rPr>
          <w:sz w:val="24"/>
          <w:szCs w:val="24"/>
        </w:rPr>
        <w:t>Hebrangova</w:t>
      </w:r>
      <w:proofErr w:type="spellEnd"/>
      <w:r w:rsidRPr="009010EA">
        <w:rPr>
          <w:sz w:val="24"/>
          <w:szCs w:val="24"/>
        </w:rPr>
        <w:t xml:space="preserve"> 38;</w:t>
      </w:r>
    </w:p>
    <w:p w:rsidR="009010EA" w:rsidRPr="009010EA" w:rsidRDefault="009010EA" w:rsidP="009010EA">
      <w:pPr>
        <w:pStyle w:val="LIsta"/>
        <w:rPr>
          <w:sz w:val="24"/>
          <w:szCs w:val="24"/>
        </w:rPr>
      </w:pPr>
      <w:r w:rsidRPr="009010EA">
        <w:rPr>
          <w:sz w:val="24"/>
          <w:szCs w:val="24"/>
        </w:rPr>
        <w:t>OT-</w:t>
      </w:r>
      <w:proofErr w:type="spellStart"/>
      <w:r w:rsidRPr="009010EA">
        <w:rPr>
          <w:sz w:val="24"/>
          <w:szCs w:val="24"/>
        </w:rPr>
        <w:t>Optima</w:t>
      </w:r>
      <w:proofErr w:type="spellEnd"/>
      <w:r w:rsidRPr="009010EA">
        <w:rPr>
          <w:sz w:val="24"/>
          <w:szCs w:val="24"/>
        </w:rPr>
        <w:t xml:space="preserve"> Telekom d.d., Zagreb, Bani 75/a;</w:t>
      </w:r>
    </w:p>
    <w:p w:rsidR="009010EA" w:rsidRPr="009010EA" w:rsidRDefault="009010EA" w:rsidP="009010EA">
      <w:pPr>
        <w:pStyle w:val="LIsta"/>
        <w:rPr>
          <w:sz w:val="24"/>
          <w:szCs w:val="24"/>
        </w:rPr>
      </w:pPr>
      <w:proofErr w:type="spellStart"/>
      <w:r w:rsidRPr="009010EA">
        <w:rPr>
          <w:sz w:val="24"/>
          <w:szCs w:val="24"/>
        </w:rPr>
        <w:t>Primo</w:t>
      </w:r>
      <w:proofErr w:type="spellEnd"/>
      <w:r w:rsidRPr="009010EA">
        <w:rPr>
          <w:sz w:val="24"/>
          <w:szCs w:val="24"/>
        </w:rPr>
        <w:t xml:space="preserve"> </w:t>
      </w:r>
      <w:proofErr w:type="spellStart"/>
      <w:r w:rsidRPr="009010EA">
        <w:rPr>
          <w:sz w:val="24"/>
          <w:szCs w:val="24"/>
        </w:rPr>
        <w:t>Teh</w:t>
      </w:r>
      <w:proofErr w:type="spellEnd"/>
      <w:r w:rsidRPr="009010EA">
        <w:rPr>
          <w:sz w:val="24"/>
          <w:szCs w:val="24"/>
        </w:rPr>
        <w:t xml:space="preserve"> d.o.o., Rijeka, </w:t>
      </w:r>
      <w:proofErr w:type="spellStart"/>
      <w:r w:rsidRPr="009010EA">
        <w:rPr>
          <w:sz w:val="24"/>
          <w:szCs w:val="24"/>
        </w:rPr>
        <w:t>Drežnička</w:t>
      </w:r>
      <w:proofErr w:type="spellEnd"/>
      <w:r w:rsidRPr="009010EA">
        <w:rPr>
          <w:sz w:val="24"/>
          <w:szCs w:val="24"/>
        </w:rPr>
        <w:t xml:space="preserve"> 3;</w:t>
      </w:r>
    </w:p>
    <w:p w:rsidR="009010EA" w:rsidRPr="009010EA" w:rsidRDefault="009010EA" w:rsidP="009010EA">
      <w:pPr>
        <w:pStyle w:val="LIsta"/>
        <w:rPr>
          <w:sz w:val="24"/>
          <w:szCs w:val="24"/>
        </w:rPr>
      </w:pPr>
      <w:proofErr w:type="spellStart"/>
      <w:r w:rsidRPr="009010EA">
        <w:rPr>
          <w:sz w:val="24"/>
          <w:szCs w:val="24"/>
        </w:rPr>
        <w:t>Siol</w:t>
      </w:r>
      <w:proofErr w:type="spellEnd"/>
      <w:r w:rsidRPr="009010EA">
        <w:rPr>
          <w:sz w:val="24"/>
          <w:szCs w:val="24"/>
        </w:rPr>
        <w:t xml:space="preserve"> d.o.o., Zagreb, </w:t>
      </w:r>
      <w:proofErr w:type="spellStart"/>
      <w:r w:rsidRPr="009010EA">
        <w:rPr>
          <w:sz w:val="24"/>
          <w:szCs w:val="24"/>
        </w:rPr>
        <w:t>Margaretska</w:t>
      </w:r>
      <w:proofErr w:type="spellEnd"/>
      <w:r w:rsidRPr="009010EA">
        <w:rPr>
          <w:sz w:val="24"/>
          <w:szCs w:val="24"/>
        </w:rPr>
        <w:t xml:space="preserve"> 3;</w:t>
      </w:r>
    </w:p>
    <w:p w:rsidR="009010EA" w:rsidRPr="009010EA" w:rsidRDefault="009010EA" w:rsidP="009010EA">
      <w:pPr>
        <w:pStyle w:val="LIsta"/>
        <w:rPr>
          <w:sz w:val="24"/>
          <w:szCs w:val="24"/>
        </w:rPr>
      </w:pPr>
      <w:proofErr w:type="spellStart"/>
      <w:r w:rsidRPr="009010EA">
        <w:rPr>
          <w:sz w:val="24"/>
          <w:szCs w:val="24"/>
        </w:rPr>
        <w:t>Skvid</w:t>
      </w:r>
      <w:proofErr w:type="spellEnd"/>
      <w:r w:rsidRPr="009010EA">
        <w:rPr>
          <w:sz w:val="24"/>
          <w:szCs w:val="24"/>
        </w:rPr>
        <w:t xml:space="preserve"> d.o.o., Zagreb, </w:t>
      </w:r>
      <w:proofErr w:type="spellStart"/>
      <w:r w:rsidRPr="009010EA">
        <w:rPr>
          <w:sz w:val="24"/>
          <w:szCs w:val="24"/>
        </w:rPr>
        <w:t>Jalševečka</w:t>
      </w:r>
      <w:proofErr w:type="spellEnd"/>
      <w:r w:rsidRPr="009010EA">
        <w:rPr>
          <w:sz w:val="24"/>
          <w:szCs w:val="24"/>
        </w:rPr>
        <w:t xml:space="preserve"> cesta 40;</w:t>
      </w:r>
    </w:p>
    <w:p w:rsidR="009010EA" w:rsidRPr="009010EA" w:rsidRDefault="009010EA" w:rsidP="009010EA">
      <w:pPr>
        <w:pStyle w:val="LIsta"/>
        <w:rPr>
          <w:sz w:val="24"/>
          <w:szCs w:val="24"/>
        </w:rPr>
      </w:pPr>
      <w:proofErr w:type="spellStart"/>
      <w:r w:rsidRPr="009010EA">
        <w:rPr>
          <w:sz w:val="24"/>
          <w:szCs w:val="24"/>
        </w:rPr>
        <w:t>Softnet</w:t>
      </w:r>
      <w:proofErr w:type="spellEnd"/>
      <w:r w:rsidRPr="009010EA">
        <w:rPr>
          <w:sz w:val="24"/>
          <w:szCs w:val="24"/>
        </w:rPr>
        <w:t xml:space="preserve"> d.o.o., Zagreb, </w:t>
      </w:r>
      <w:proofErr w:type="spellStart"/>
      <w:r w:rsidRPr="009010EA">
        <w:rPr>
          <w:sz w:val="24"/>
          <w:szCs w:val="24"/>
        </w:rPr>
        <w:t>Cebini</w:t>
      </w:r>
      <w:proofErr w:type="spellEnd"/>
      <w:r w:rsidRPr="009010EA">
        <w:rPr>
          <w:sz w:val="24"/>
          <w:szCs w:val="24"/>
        </w:rPr>
        <w:t xml:space="preserve"> 37/2;</w:t>
      </w:r>
    </w:p>
    <w:p w:rsidR="009010EA" w:rsidRDefault="009010EA" w:rsidP="009010EA">
      <w:pPr>
        <w:pStyle w:val="LIsta"/>
        <w:rPr>
          <w:sz w:val="24"/>
          <w:szCs w:val="24"/>
        </w:rPr>
      </w:pPr>
      <w:proofErr w:type="spellStart"/>
      <w:r w:rsidRPr="009010EA">
        <w:rPr>
          <w:sz w:val="24"/>
          <w:szCs w:val="24"/>
        </w:rPr>
        <w:t>Terrakom</w:t>
      </w:r>
      <w:proofErr w:type="spellEnd"/>
      <w:r w:rsidRPr="009010EA">
        <w:rPr>
          <w:sz w:val="24"/>
          <w:szCs w:val="24"/>
        </w:rPr>
        <w:t xml:space="preserve"> d.o.o., Zagreb, Radnička cesta 48/1;</w:t>
      </w:r>
    </w:p>
    <w:p w:rsidR="00E41783" w:rsidRPr="009010EA" w:rsidRDefault="00E41783" w:rsidP="00E41783">
      <w:pPr>
        <w:pStyle w:val="LIsta"/>
      </w:pPr>
      <w:r>
        <w:t>VM Telekom d.o.o., Rijeka,</w:t>
      </w:r>
      <w:r w:rsidRPr="00E41783">
        <w:rPr>
          <w:sz w:val="24"/>
          <w:szCs w:val="24"/>
        </w:rPr>
        <w:t xml:space="preserve"> Riva Boduli 1;</w:t>
      </w:r>
    </w:p>
    <w:p w:rsidR="009010EA" w:rsidRPr="009010EA" w:rsidRDefault="009010EA" w:rsidP="009010EA">
      <w:pPr>
        <w:pStyle w:val="LIsta"/>
        <w:rPr>
          <w:sz w:val="24"/>
          <w:szCs w:val="24"/>
        </w:rPr>
      </w:pPr>
      <w:proofErr w:type="spellStart"/>
      <w:r w:rsidRPr="009010EA">
        <w:rPr>
          <w:sz w:val="24"/>
          <w:szCs w:val="24"/>
        </w:rPr>
        <w:t>Vocalis</w:t>
      </w:r>
      <w:proofErr w:type="spellEnd"/>
      <w:r w:rsidRPr="009010EA">
        <w:rPr>
          <w:sz w:val="24"/>
          <w:szCs w:val="24"/>
        </w:rPr>
        <w:t xml:space="preserve"> d.o.o., Opatija, Antona </w:t>
      </w:r>
      <w:proofErr w:type="spellStart"/>
      <w:r w:rsidRPr="009010EA">
        <w:rPr>
          <w:sz w:val="24"/>
          <w:szCs w:val="24"/>
        </w:rPr>
        <w:t>Mihića</w:t>
      </w:r>
      <w:proofErr w:type="spellEnd"/>
      <w:r w:rsidRPr="009010EA">
        <w:rPr>
          <w:sz w:val="24"/>
          <w:szCs w:val="24"/>
        </w:rPr>
        <w:t xml:space="preserve"> 12,</w:t>
      </w: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C71C44" w:rsidRDefault="00C71C44" w:rsidP="00C71C44">
      <w:pPr>
        <w:pStyle w:val="LIsta"/>
        <w:numPr>
          <w:ilvl w:val="0"/>
          <w:numId w:val="0"/>
        </w:numPr>
        <w:ind w:left="720" w:hanging="360"/>
        <w:jc w:val="both"/>
        <w:rPr>
          <w:i/>
        </w:rPr>
      </w:pPr>
      <w:r w:rsidRPr="00C71C44">
        <w:rPr>
          <w:i/>
        </w:rPr>
        <w:t xml:space="preserve">Napomena: </w:t>
      </w:r>
    </w:p>
    <w:p w:rsidR="003E4916" w:rsidRPr="00C71C44" w:rsidRDefault="00C71C44" w:rsidP="00C71C44">
      <w:pPr>
        <w:pStyle w:val="LIsta"/>
        <w:numPr>
          <w:ilvl w:val="0"/>
          <w:numId w:val="0"/>
        </w:numPr>
        <w:ind w:left="720" w:hanging="11"/>
        <w:jc w:val="both"/>
        <w:rPr>
          <w:i/>
        </w:rPr>
      </w:pPr>
      <w:r w:rsidRPr="00C71C44">
        <w:rPr>
          <w:i/>
        </w:rPr>
        <w:t>Tij</w:t>
      </w:r>
      <w:r w:rsidR="00EB1D11">
        <w:rPr>
          <w:i/>
        </w:rPr>
        <w:t xml:space="preserve">ekom listopada 2018. </w:t>
      </w:r>
      <w:proofErr w:type="spellStart"/>
      <w:r w:rsidR="00EB1D11">
        <w:rPr>
          <w:i/>
        </w:rPr>
        <w:t>Metronet</w:t>
      </w:r>
      <w:proofErr w:type="spellEnd"/>
      <w:r w:rsidR="00EB1D11">
        <w:rPr>
          <w:i/>
        </w:rPr>
        <w:t xml:space="preserve"> se pripojio</w:t>
      </w:r>
      <w:r w:rsidRPr="00C71C44">
        <w:rPr>
          <w:i/>
        </w:rPr>
        <w:t xml:space="preserve"> Vipnetu te će Vipnet postati </w:t>
      </w:r>
      <w:r>
        <w:rPr>
          <w:i/>
        </w:rPr>
        <w:t xml:space="preserve">pravni slijednik </w:t>
      </w:r>
      <w:r w:rsidRPr="00C71C44">
        <w:rPr>
          <w:i/>
        </w:rPr>
        <w:t xml:space="preserve">pripojenog društva </w:t>
      </w:r>
      <w:proofErr w:type="spellStart"/>
      <w:r w:rsidRPr="00C71C44">
        <w:rPr>
          <w:i/>
        </w:rPr>
        <w:t>Metronet</w:t>
      </w:r>
      <w:proofErr w:type="spellEnd"/>
      <w:r w:rsidRPr="00C71C44">
        <w:rPr>
          <w:i/>
        </w:rPr>
        <w:t>. Isto tako, tijeko</w:t>
      </w:r>
      <w:r w:rsidR="00EB1D11">
        <w:rPr>
          <w:i/>
        </w:rPr>
        <w:t>m listopada Vipnet d.o.o. promijenio</w:t>
      </w:r>
      <w:r w:rsidRPr="00C71C44">
        <w:rPr>
          <w:i/>
        </w:rPr>
        <w:t xml:space="preserve"> naziv u A1 Hrvatska d.o.o.</w:t>
      </w: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3E4916" w:rsidRDefault="003E4916" w:rsidP="003E4916">
      <w:pPr>
        <w:pStyle w:val="LIsta"/>
        <w:numPr>
          <w:ilvl w:val="0"/>
          <w:numId w:val="0"/>
        </w:numPr>
        <w:ind w:left="720" w:hanging="360"/>
        <w:rPr>
          <w:sz w:val="24"/>
          <w:szCs w:val="24"/>
        </w:rPr>
      </w:pPr>
    </w:p>
    <w:p w:rsidR="00D1036A" w:rsidRPr="001039A2" w:rsidRDefault="00D1036A" w:rsidP="009010EA">
      <w:pPr>
        <w:pStyle w:val="LIsta"/>
        <w:numPr>
          <w:ilvl w:val="0"/>
          <w:numId w:val="0"/>
        </w:numPr>
        <w:rPr>
          <w:sz w:val="24"/>
          <w:szCs w:val="24"/>
        </w:rPr>
      </w:pPr>
    </w:p>
    <w:p w:rsidR="00D1036A" w:rsidRPr="00D1036A" w:rsidRDefault="00D1036A" w:rsidP="00D1036A">
      <w:pPr>
        <w:pStyle w:val="Heading2"/>
      </w:pPr>
      <w:bookmarkStart w:id="230" w:name="_Toc525729867"/>
      <w:r>
        <w:t>Privitak 3 – Pregled regulatornih obveza</w:t>
      </w:r>
      <w:bookmarkEnd w:id="230"/>
    </w:p>
    <w:tbl>
      <w:tblPr>
        <w:tblW w:w="9640" w:type="dxa"/>
        <w:tblCellMar>
          <w:left w:w="0" w:type="dxa"/>
          <w:right w:w="0" w:type="dxa"/>
        </w:tblCellMar>
        <w:tblLook w:val="04A0" w:firstRow="1" w:lastRow="0" w:firstColumn="1" w:lastColumn="0" w:noHBand="0" w:noVBand="1"/>
      </w:tblPr>
      <w:tblGrid>
        <w:gridCol w:w="2540"/>
        <w:gridCol w:w="3440"/>
        <w:gridCol w:w="3660"/>
      </w:tblGrid>
      <w:tr w:rsidR="003E4916" w:rsidRPr="003E4916" w:rsidTr="003E4916">
        <w:trPr>
          <w:trHeight w:val="352"/>
        </w:trPr>
        <w:tc>
          <w:tcPr>
            <w:tcW w:w="25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jc w:val="center"/>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Obveze</w:t>
            </w:r>
          </w:p>
        </w:tc>
        <w:tc>
          <w:tcPr>
            <w:tcW w:w="34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jc w:val="center"/>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 xml:space="preserve">Prijedlog analize </w:t>
            </w:r>
          </w:p>
        </w:tc>
        <w:tc>
          <w:tcPr>
            <w:tcW w:w="366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jc w:val="center"/>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Obveze iz 2015 i razlika u odnosu na 2015.</w:t>
            </w:r>
          </w:p>
        </w:tc>
      </w:tr>
      <w:tr w:rsidR="003E4916" w:rsidRPr="003E4916" w:rsidTr="003E4916">
        <w:trPr>
          <w:trHeight w:val="1236"/>
        </w:trPr>
        <w:tc>
          <w:tcPr>
            <w:tcW w:w="2540" w:type="dxa"/>
            <w:tcBorders>
              <w:top w:val="single" w:sz="24"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Pristup</w:t>
            </w:r>
          </w:p>
        </w:tc>
        <w:tc>
          <w:tcPr>
            <w:tcW w:w="344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3E4916" w:rsidP="003E4916">
            <w:pPr>
              <w:numPr>
                <w:ilvl w:val="0"/>
                <w:numId w:val="34"/>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 xml:space="preserve">Samo za IP međupovezivanje             </w:t>
            </w:r>
          </w:p>
          <w:p w:rsidR="003E4916" w:rsidRPr="003E4916" w:rsidRDefault="003E4916" w:rsidP="003E4916">
            <w:pPr>
              <w:numPr>
                <w:ilvl w:val="0"/>
                <w:numId w:val="34"/>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Rok realizacije 75 dana</w:t>
            </w:r>
          </w:p>
          <w:p w:rsidR="003E4916" w:rsidRPr="003E4916" w:rsidRDefault="003E4916" w:rsidP="00C71C44">
            <w:pPr>
              <w:numPr>
                <w:ilvl w:val="0"/>
                <w:numId w:val="34"/>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TDM međupovezivanje mogu ukinuti nakon obavijesti godinu dana unaprijed</w:t>
            </w:r>
          </w:p>
        </w:tc>
        <w:tc>
          <w:tcPr>
            <w:tcW w:w="366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p>
          <w:p w:rsidR="003E4916" w:rsidRPr="003E4916" w:rsidRDefault="003E4916" w:rsidP="003E4916">
            <w:pPr>
              <w:numPr>
                <w:ilvl w:val="0"/>
                <w:numId w:val="35"/>
              </w:numPr>
              <w:spacing w:line="256" w:lineRule="auto"/>
              <w:ind w:left="994"/>
              <w:contextualSpacing/>
              <w:rPr>
                <w:rFonts w:ascii="Arial" w:eastAsia="Times New Roman" w:hAnsi="Arial" w:cs="Arial"/>
                <w:sz w:val="18"/>
                <w:szCs w:val="36"/>
              </w:rPr>
            </w:pPr>
            <w:r w:rsidRPr="003E4916">
              <w:rPr>
                <w:rFonts w:eastAsiaTheme="minorEastAsia" w:hAnsi="Calibri"/>
                <w:color w:val="000000" w:themeColor="dark1"/>
                <w:kern w:val="24"/>
                <w:sz w:val="18"/>
                <w:szCs w:val="18"/>
              </w:rPr>
              <w:t xml:space="preserve">Obveza pristupa i za TDM i za IP međupovezivanje    </w:t>
            </w:r>
          </w:p>
        </w:tc>
      </w:tr>
      <w:tr w:rsidR="003E4916" w:rsidRPr="003E4916" w:rsidTr="003E4916">
        <w:trPr>
          <w:trHeight w:val="1657"/>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Nediskriminacija</w:t>
            </w:r>
          </w:p>
        </w:tc>
        <w:tc>
          <w:tcPr>
            <w:tcW w:w="34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3E4916" w:rsidP="003E4916">
            <w:pPr>
              <w:numPr>
                <w:ilvl w:val="0"/>
                <w:numId w:val="36"/>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Informacije o planiranim promjenama u mreži najmanje 6 mjeseci unaprijed, osim u slučaju potpunog prelaska na IP međupovezivanje gdje taj rok iznosi godinu dana unaprijed.</w:t>
            </w:r>
          </w:p>
          <w:p w:rsidR="003E4916" w:rsidRPr="003E4916" w:rsidRDefault="003E4916" w:rsidP="003E4916">
            <w:pPr>
              <w:numPr>
                <w:ilvl w:val="0"/>
                <w:numId w:val="36"/>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 xml:space="preserve">Obveza dostave ugovora o IP međupovezivanju HAKOM-u roku od 15 dana od sklapanja istog.                                                                      </w:t>
            </w:r>
          </w:p>
        </w:tc>
        <w:tc>
          <w:tcPr>
            <w:tcW w:w="36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tc>
      </w:tr>
      <w:tr w:rsidR="003E4916" w:rsidRPr="003E4916" w:rsidTr="003E4916">
        <w:trPr>
          <w:trHeight w:val="876"/>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Transparentnost</w:t>
            </w:r>
          </w:p>
        </w:tc>
        <w:tc>
          <w:tcPr>
            <w:tcW w:w="34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3E4916" w:rsidP="003E4916">
            <w:pPr>
              <w:numPr>
                <w:ilvl w:val="0"/>
                <w:numId w:val="37"/>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Obveza objave Standardne ponude (30 dana za objavu, 60 dana za primjenu)</w:t>
            </w:r>
          </w:p>
          <w:p w:rsidR="003E4916" w:rsidRPr="003E4916" w:rsidRDefault="003E4916" w:rsidP="003E4916">
            <w:pPr>
              <w:numPr>
                <w:ilvl w:val="0"/>
                <w:numId w:val="37"/>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Praćenje glavnih pokazatelja učinkovitosti (KPI) – samo HT</w:t>
            </w:r>
          </w:p>
          <w:p w:rsidR="003E4916" w:rsidRPr="003E4916" w:rsidRDefault="003E4916" w:rsidP="003E4916">
            <w:pPr>
              <w:numPr>
                <w:ilvl w:val="0"/>
                <w:numId w:val="37"/>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Instrumenti osiguranja plaćanja</w:t>
            </w:r>
          </w:p>
        </w:tc>
        <w:tc>
          <w:tcPr>
            <w:tcW w:w="36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Da</w:t>
            </w:r>
          </w:p>
        </w:tc>
      </w:tr>
      <w:tr w:rsidR="003E4916" w:rsidRPr="003E4916" w:rsidTr="003E4916">
        <w:trPr>
          <w:trHeight w:val="1944"/>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Nadzor cijena</w:t>
            </w:r>
          </w:p>
        </w:tc>
        <w:tc>
          <w:tcPr>
            <w:tcW w:w="34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3E4916" w:rsidP="003E4916">
            <w:pPr>
              <w:numPr>
                <w:ilvl w:val="0"/>
                <w:numId w:val="38"/>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Regulirane cijene samo ako A broj pripada EEA operatoru</w:t>
            </w:r>
          </w:p>
          <w:p w:rsidR="003E4916" w:rsidRPr="003E4916" w:rsidRDefault="003E4916" w:rsidP="003E4916">
            <w:pPr>
              <w:numPr>
                <w:ilvl w:val="0"/>
                <w:numId w:val="38"/>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Regulirane cijene predstavljaju i najvišu razina cijena za operatore izvan EEA koji RH operatorima naplaćuju cijenu nižu ili istu reguliranoj cijeni u RH</w:t>
            </w:r>
          </w:p>
          <w:p w:rsidR="003E4916" w:rsidRPr="003E4916" w:rsidRDefault="003E4916" w:rsidP="003E4916">
            <w:pPr>
              <w:numPr>
                <w:ilvl w:val="0"/>
                <w:numId w:val="38"/>
              </w:numPr>
              <w:spacing w:line="256" w:lineRule="auto"/>
              <w:ind w:left="994"/>
              <w:contextualSpacing/>
              <w:rPr>
                <w:rFonts w:ascii="Arial" w:eastAsia="Times New Roman" w:hAnsi="Arial" w:cs="Arial"/>
                <w:sz w:val="18"/>
                <w:szCs w:val="36"/>
              </w:rPr>
            </w:pPr>
            <w:r w:rsidRPr="003E4916">
              <w:rPr>
                <w:rFonts w:ascii="Calibri" w:eastAsia="Times New Roman" w:hAnsi="Calibri" w:cs="Calibri"/>
                <w:color w:val="000000" w:themeColor="dark1"/>
                <w:kern w:val="24"/>
                <w:sz w:val="18"/>
                <w:szCs w:val="18"/>
              </w:rPr>
              <w:t>Regulirane cijene koje su u primjeni od 1.7.2017. na temelju ažuriranog modela primjenjuju se do donošenja jedinstvene cijene od strane EK</w:t>
            </w:r>
          </w:p>
        </w:tc>
        <w:tc>
          <w:tcPr>
            <w:tcW w:w="36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 xml:space="preserve">Da    </w:t>
            </w:r>
            <w:r w:rsidRPr="003E4916">
              <w:rPr>
                <w:rFonts w:ascii="Calibri" w:eastAsia="Times New Roman" w:hAnsi="Calibri" w:cs="Calibri"/>
                <w:color w:val="000000" w:themeColor="dark1"/>
                <w:kern w:val="24"/>
                <w:sz w:val="18"/>
                <w:szCs w:val="18"/>
              </w:rPr>
              <w:t xml:space="preserve">                                                                     </w:t>
            </w:r>
          </w:p>
          <w:p w:rsidR="003E4916" w:rsidRPr="003E4916" w:rsidRDefault="00C71C44" w:rsidP="003E4916">
            <w:pPr>
              <w:numPr>
                <w:ilvl w:val="0"/>
                <w:numId w:val="39"/>
              </w:numPr>
              <w:spacing w:line="256" w:lineRule="auto"/>
              <w:ind w:left="994"/>
              <w:contextualSpacing/>
              <w:rPr>
                <w:rFonts w:ascii="Arial" w:eastAsia="Times New Roman" w:hAnsi="Arial" w:cs="Arial"/>
                <w:sz w:val="18"/>
                <w:szCs w:val="36"/>
              </w:rPr>
            </w:pPr>
            <w:r>
              <w:rPr>
                <w:rFonts w:ascii="Calibri" w:eastAsia="Times New Roman" w:hAnsi="Calibri" w:cs="Calibri"/>
                <w:color w:val="000000" w:themeColor="dark1"/>
                <w:kern w:val="24"/>
                <w:sz w:val="18"/>
                <w:szCs w:val="18"/>
              </w:rPr>
              <w:t xml:space="preserve"> </w:t>
            </w:r>
            <w:r w:rsidR="003E4916" w:rsidRPr="003E4916">
              <w:rPr>
                <w:rFonts w:ascii="Calibri" w:eastAsia="Times New Roman" w:hAnsi="Calibri" w:cs="Calibri"/>
                <w:color w:val="000000" w:themeColor="dark1"/>
                <w:kern w:val="24"/>
                <w:sz w:val="18"/>
                <w:szCs w:val="18"/>
              </w:rPr>
              <w:t>Nije bila definirana najviša razin</w:t>
            </w:r>
            <w:r>
              <w:rPr>
                <w:rFonts w:ascii="Calibri" w:eastAsia="Times New Roman" w:hAnsi="Calibri" w:cs="Calibri"/>
                <w:color w:val="000000" w:themeColor="dark1"/>
                <w:kern w:val="24"/>
                <w:sz w:val="18"/>
                <w:szCs w:val="18"/>
              </w:rPr>
              <w:t>a</w:t>
            </w:r>
            <w:r w:rsidR="003E4916" w:rsidRPr="003E4916">
              <w:rPr>
                <w:rFonts w:ascii="Calibri" w:eastAsia="Times New Roman" w:hAnsi="Calibri" w:cs="Calibri"/>
                <w:color w:val="000000" w:themeColor="dark1"/>
                <w:kern w:val="24"/>
                <w:sz w:val="18"/>
                <w:szCs w:val="18"/>
              </w:rPr>
              <w:t xml:space="preserve"> cijena za operatore izvan EEA koji RH operatorima naplaćuju cijenu nižu ili istu reguliranoj cijeni u RH</w:t>
            </w:r>
          </w:p>
          <w:p w:rsidR="003E4916" w:rsidRPr="003E4916" w:rsidRDefault="003E4916" w:rsidP="003E4916">
            <w:pPr>
              <w:numPr>
                <w:ilvl w:val="0"/>
                <w:numId w:val="39"/>
              </w:numPr>
              <w:spacing w:line="256" w:lineRule="auto"/>
              <w:ind w:left="994"/>
              <w:contextualSpacing/>
              <w:rPr>
                <w:rFonts w:ascii="Arial" w:eastAsia="Times New Roman" w:hAnsi="Arial" w:cs="Arial"/>
                <w:sz w:val="18"/>
                <w:szCs w:val="36"/>
              </w:rPr>
            </w:pPr>
            <w:r w:rsidRPr="003E4916">
              <w:rPr>
                <w:rFonts w:ascii="Calibri" w:eastAsia="Calibri" w:hAnsi="Calibri" w:cs="Times New Roman"/>
                <w:color w:val="000000" w:themeColor="dark1"/>
                <w:kern w:val="24"/>
                <w:sz w:val="18"/>
                <w:szCs w:val="18"/>
              </w:rPr>
              <w:t>HAKOM je rekao da će ažurirati troškovni model</w:t>
            </w:r>
          </w:p>
        </w:tc>
      </w:tr>
      <w:tr w:rsidR="003E4916" w:rsidRPr="003E4916" w:rsidTr="003E4916">
        <w:trPr>
          <w:trHeight w:val="477"/>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ascii="Calibri" w:eastAsia="Times New Roman" w:hAnsi="Calibri" w:cs="Calibri"/>
                <w:b/>
                <w:bCs/>
                <w:color w:val="FFFFFF" w:themeColor="light1"/>
                <w:kern w:val="24"/>
                <w:sz w:val="20"/>
                <w:szCs w:val="20"/>
              </w:rPr>
              <w:t xml:space="preserve">Računovodstveno razdvajanje </w:t>
            </w:r>
          </w:p>
        </w:tc>
        <w:tc>
          <w:tcPr>
            <w:tcW w:w="34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Da, samo za HT</w:t>
            </w:r>
          </w:p>
        </w:tc>
        <w:tc>
          <w:tcPr>
            <w:tcW w:w="36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3E4916" w:rsidRPr="003E4916" w:rsidRDefault="003E4916" w:rsidP="003E4916">
            <w:pPr>
              <w:spacing w:line="256" w:lineRule="auto"/>
              <w:rPr>
                <w:rFonts w:ascii="Arial" w:eastAsia="Times New Roman" w:hAnsi="Arial" w:cs="Arial"/>
                <w:sz w:val="36"/>
                <w:szCs w:val="36"/>
              </w:rPr>
            </w:pPr>
            <w:r w:rsidRPr="003E4916">
              <w:rPr>
                <w:rFonts w:eastAsiaTheme="minorEastAsia" w:hAnsi="Calibri"/>
                <w:b/>
                <w:bCs/>
                <w:color w:val="000000" w:themeColor="dark1"/>
                <w:kern w:val="24"/>
                <w:sz w:val="22"/>
              </w:rPr>
              <w:t>Da, samo za HT</w:t>
            </w:r>
          </w:p>
        </w:tc>
      </w:tr>
    </w:tbl>
    <w:p w:rsidR="00A013E2" w:rsidRDefault="00A013E2">
      <w:pPr>
        <w:spacing w:after="200" w:line="276" w:lineRule="auto"/>
        <w:rPr>
          <w:sz w:val="28"/>
          <w:szCs w:val="28"/>
        </w:rPr>
      </w:pPr>
      <w:r>
        <w:rPr>
          <w:sz w:val="28"/>
          <w:szCs w:val="28"/>
        </w:rPr>
        <w:br w:type="page"/>
      </w:r>
    </w:p>
    <w:p w:rsidR="00A013E2" w:rsidRPr="00A013E2" w:rsidRDefault="00A013E2" w:rsidP="00A013E2">
      <w:pPr>
        <w:pStyle w:val="Heading2"/>
        <w:rPr>
          <w:lang w:eastAsia="en-US"/>
        </w:rPr>
      </w:pPr>
      <w:bookmarkStart w:id="231" w:name="_Toc525073499"/>
      <w:r>
        <w:rPr>
          <w:lang w:eastAsia="en-US"/>
        </w:rPr>
        <w:lastRenderedPageBreak/>
        <w:t xml:space="preserve"> </w:t>
      </w:r>
      <w:bookmarkStart w:id="232" w:name="_Toc525729868"/>
      <w:r w:rsidRPr="00A013E2">
        <w:rPr>
          <w:lang w:eastAsia="en-US"/>
        </w:rPr>
        <w:t>P</w:t>
      </w:r>
      <w:bookmarkEnd w:id="231"/>
      <w:r w:rsidR="001B34C8">
        <w:rPr>
          <w:lang w:eastAsia="en-US"/>
        </w:rPr>
        <w:t>rivitak 4</w:t>
      </w:r>
      <w:r>
        <w:rPr>
          <w:lang w:eastAsia="en-US"/>
        </w:rPr>
        <w:t xml:space="preserve"> -M</w:t>
      </w:r>
      <w:r w:rsidRPr="00A013E2">
        <w:rPr>
          <w:lang w:eastAsia="en-US"/>
        </w:rPr>
        <w:t>išljenje Agencije za zaštitu tržišnog natjecanja</w:t>
      </w:r>
      <w:bookmarkEnd w:id="232"/>
    </w:p>
    <w:p w:rsidR="00A013E2" w:rsidRDefault="00A013E2" w:rsidP="00A013E2">
      <w:pPr>
        <w:spacing w:after="200" w:line="276" w:lineRule="auto"/>
        <w:rPr>
          <w:sz w:val="28"/>
          <w:szCs w:val="28"/>
        </w:rPr>
      </w:pPr>
    </w:p>
    <w:p w:rsidR="00A013E2" w:rsidRDefault="00A013E2">
      <w:pPr>
        <w:spacing w:after="200" w:line="276" w:lineRule="auto"/>
        <w:rPr>
          <w:sz w:val="28"/>
          <w:szCs w:val="28"/>
        </w:rPr>
      </w:pPr>
    </w:p>
    <w:p w:rsidR="00A013E2" w:rsidRDefault="00A013E2" w:rsidP="00A013E2">
      <w:pPr>
        <w:spacing w:after="200" w:line="276" w:lineRule="auto"/>
        <w:rPr>
          <w:sz w:val="28"/>
          <w:szCs w:val="28"/>
        </w:rPr>
      </w:pPr>
      <w:r>
        <w:rPr>
          <w:sz w:val="28"/>
          <w:szCs w:val="28"/>
        </w:rPr>
        <w:br w:type="page"/>
      </w:r>
    </w:p>
    <w:p w:rsidR="00A013E2" w:rsidRPr="00A013E2" w:rsidRDefault="00A013E2" w:rsidP="00A013E2">
      <w:pPr>
        <w:pStyle w:val="LIsta"/>
        <w:numPr>
          <w:ilvl w:val="0"/>
          <w:numId w:val="0"/>
        </w:numPr>
        <w:ind w:left="720" w:hanging="360"/>
        <w:rPr>
          <w:sz w:val="28"/>
          <w:szCs w:val="28"/>
        </w:rPr>
        <w:sectPr w:rsidR="00A013E2" w:rsidRPr="00A013E2" w:rsidSect="00391672">
          <w:footerReference w:type="default" r:id="rId42"/>
          <w:pgSz w:w="11906" w:h="16838"/>
          <w:pgMar w:top="1417" w:right="1417" w:bottom="1417" w:left="1417" w:header="708" w:footer="708" w:gutter="0"/>
          <w:pgNumType w:start="1"/>
          <w:cols w:space="708"/>
          <w:docGrid w:linePitch="360"/>
        </w:sectPr>
      </w:pPr>
    </w:p>
    <w:p w:rsidR="00A013E2" w:rsidRPr="00A013E2" w:rsidRDefault="00A013E2" w:rsidP="00A013E2">
      <w:pPr>
        <w:pStyle w:val="Heading2"/>
        <w:rPr>
          <w:lang w:eastAsia="en-US"/>
        </w:rPr>
      </w:pPr>
      <w:bookmarkStart w:id="233" w:name="_Toc525073501"/>
      <w:r>
        <w:rPr>
          <w:lang w:eastAsia="en-US"/>
        </w:rPr>
        <w:lastRenderedPageBreak/>
        <w:t xml:space="preserve"> </w:t>
      </w:r>
      <w:bookmarkStart w:id="234" w:name="_Toc525729869"/>
      <w:r w:rsidR="00E00D56">
        <w:rPr>
          <w:lang w:eastAsia="en-US"/>
        </w:rPr>
        <w:t>Privitak 5</w:t>
      </w:r>
      <w:r w:rsidRPr="00A013E2">
        <w:rPr>
          <w:lang w:eastAsia="en-US"/>
        </w:rPr>
        <w:t xml:space="preserve"> – Komentari na dokument analize</w:t>
      </w:r>
      <w:bookmarkEnd w:id="233"/>
      <w:bookmarkEnd w:id="234"/>
      <w:r w:rsidRPr="00A013E2">
        <w:rPr>
          <w:lang w:eastAsia="en-US"/>
        </w:rPr>
        <w:t xml:space="preserve"> </w:t>
      </w:r>
    </w:p>
    <w:p w:rsidR="004A254B" w:rsidRDefault="004A254B" w:rsidP="008D1FD1"/>
    <w:p w:rsidR="000B0366" w:rsidRDefault="000B0366" w:rsidP="008D1FD1"/>
    <w:sectPr w:rsidR="000B0366" w:rsidSect="004A254B">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101A" w:rsidRDefault="00CA101A" w:rsidP="00663367">
      <w:r>
        <w:separator/>
      </w:r>
    </w:p>
    <w:p w:rsidR="00CA101A" w:rsidRDefault="00CA101A"/>
    <w:p w:rsidR="00CA101A" w:rsidRDefault="00CA101A"/>
  </w:endnote>
  <w:endnote w:type="continuationSeparator" w:id="0">
    <w:p w:rsidR="00CA101A" w:rsidRDefault="00CA101A" w:rsidP="00663367">
      <w:r>
        <w:continuationSeparator/>
      </w:r>
    </w:p>
    <w:p w:rsidR="00CA101A" w:rsidRDefault="00CA101A"/>
    <w:p w:rsidR="00CA101A" w:rsidRDefault="00CA10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3243" w:rsidRDefault="00373243">
    <w:pPr>
      <w:pStyle w:val="Footer"/>
      <w:jc w:val="right"/>
    </w:pPr>
    <w:r>
      <w:fldChar w:fldCharType="begin"/>
    </w:r>
    <w:r>
      <w:instrText>PAGE   \* MERGEFORMAT</w:instrText>
    </w:r>
    <w:r>
      <w:fldChar w:fldCharType="separate"/>
    </w:r>
    <w:r w:rsidR="000343B9">
      <w:rPr>
        <w:noProof/>
      </w:rPr>
      <w:t>4</w:t>
    </w:r>
    <w:r>
      <w:fldChar w:fldCharType="end"/>
    </w:r>
  </w:p>
  <w:p w:rsidR="00373243" w:rsidRDefault="0037324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672" w:rsidRPr="00391672" w:rsidRDefault="00391672" w:rsidP="00391672">
    <w:pPr>
      <w:ind w:left="-357" w:right="-357"/>
      <w:jc w:val="center"/>
      <w:rPr>
        <w:rFonts w:ascii="Calibri" w:eastAsia="Times New Roman" w:hAnsi="Calibri" w:cs="Times New Roman"/>
        <w:color w:val="024182"/>
        <w:sz w:val="16"/>
        <w:szCs w:val="20"/>
      </w:rPr>
    </w:pPr>
    <w:r w:rsidRPr="00391672">
      <w:rPr>
        <w:rFonts w:ascii="Calibri" w:eastAsia="Times New Roman" w:hAnsi="Calibri" w:cs="Times New Roman"/>
        <w:noProof/>
        <w:color w:val="024182"/>
        <w:sz w:val="16"/>
        <w:szCs w:val="20"/>
        <w:lang w:val="en-US" w:eastAsia="en-US"/>
      </w:rPr>
      <mc:AlternateContent>
        <mc:Choice Requires="wps">
          <w:drawing>
            <wp:inline distT="0" distB="0" distL="0" distR="0" wp14:anchorId="539E35BF" wp14:editId="7780CF0E">
              <wp:extent cx="6480175" cy="0"/>
              <wp:effectExtent l="9525" t="9525" r="6350" b="9525"/>
              <wp:docPr id="14"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b6AFQIAACo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GOG+&#10;gBUCAAAqBAAADgAAAAAAAAAAAAAAAAAuAgAAZHJzL2Uyb0RvYy54bWxQSwECLQAUAAYACAAAACEA&#10;cqEVF9oAAAADAQAADwAAAAAAAAAAAAAAAABvBAAAZHJzL2Rvd25yZXYueG1sUEsFBgAAAAAEAAQA&#10;8wAAAHYFAAAAAA==&#10;" strokecolor="#024182" strokeweight=".1pt">
              <w10:anchorlock/>
            </v:line>
          </w:pict>
        </mc:Fallback>
      </mc:AlternateContent>
    </w:r>
  </w:p>
  <w:p w:rsidR="00391672" w:rsidRPr="00391672" w:rsidRDefault="00391672" w:rsidP="00391672">
    <w:pPr>
      <w:spacing w:before="80" w:line="360" w:lineRule="auto"/>
      <w:jc w:val="center"/>
      <w:rPr>
        <w:rFonts w:ascii="Calibri" w:eastAsia="Times New Roman" w:hAnsi="Calibri" w:cs="Times New Roman"/>
        <w:b/>
        <w:color w:val="024182"/>
        <w:sz w:val="16"/>
        <w:szCs w:val="20"/>
      </w:rPr>
    </w:pPr>
    <w:r w:rsidRPr="00391672">
      <w:rPr>
        <w:rFonts w:ascii="Calibri" w:eastAsia="Times New Roman" w:hAnsi="Calibri" w:cs="Times New Roman"/>
        <w:b/>
        <w:color w:val="024182"/>
        <w:sz w:val="16"/>
        <w:szCs w:val="20"/>
      </w:rPr>
      <w:t>HRVATSKA REGULATORNA AGENCIJA ZA MREŽNE DJELATNOSTI</w:t>
    </w:r>
  </w:p>
  <w:p w:rsidR="00391672" w:rsidRPr="00391672" w:rsidRDefault="00391672" w:rsidP="00391672">
    <w:pPr>
      <w:spacing w:line="360" w:lineRule="auto"/>
      <w:jc w:val="center"/>
      <w:rPr>
        <w:rFonts w:ascii="Calibri" w:eastAsia="Times New Roman" w:hAnsi="Calibri" w:cs="Times New Roman"/>
        <w:color w:val="024182"/>
        <w:sz w:val="16"/>
        <w:szCs w:val="20"/>
      </w:rPr>
    </w:pPr>
    <w:r w:rsidRPr="00391672">
      <w:rPr>
        <w:rFonts w:ascii="Calibri" w:eastAsia="Times New Roman" w:hAnsi="Calibri" w:cs="Times New Roman"/>
        <w:color w:val="024182"/>
        <w:sz w:val="16"/>
        <w:szCs w:val="20"/>
      </w:rPr>
      <w:t xml:space="preserve">Roberta Frangeša Mihanovića 9, 10110 Zagreb / OIB: 87950783661 / </w:t>
    </w:r>
    <w:proofErr w:type="spellStart"/>
    <w:r w:rsidRPr="00391672">
      <w:rPr>
        <w:rFonts w:ascii="Calibri" w:eastAsia="Times New Roman" w:hAnsi="Calibri" w:cs="Times New Roman"/>
        <w:color w:val="024182"/>
        <w:sz w:val="16"/>
        <w:szCs w:val="20"/>
      </w:rPr>
      <w:t>Tel</w:t>
    </w:r>
    <w:proofErr w:type="spellEnd"/>
    <w:r w:rsidRPr="00391672">
      <w:rPr>
        <w:rFonts w:ascii="Calibri" w:eastAsia="Times New Roman" w:hAnsi="Calibri" w:cs="Times New Roman"/>
        <w:color w:val="024182"/>
        <w:sz w:val="16"/>
        <w:szCs w:val="20"/>
      </w:rPr>
      <w:t xml:space="preserve">: (01) 7007 007, </w:t>
    </w:r>
    <w:proofErr w:type="spellStart"/>
    <w:r w:rsidRPr="00391672">
      <w:rPr>
        <w:rFonts w:ascii="Calibri" w:eastAsia="Times New Roman" w:hAnsi="Calibri" w:cs="Times New Roman"/>
        <w:color w:val="024182"/>
        <w:sz w:val="16"/>
        <w:szCs w:val="20"/>
      </w:rPr>
      <w:t>Fax</w:t>
    </w:r>
    <w:proofErr w:type="spellEnd"/>
    <w:r w:rsidRPr="00391672">
      <w:rPr>
        <w:rFonts w:ascii="Calibri" w:eastAsia="Times New Roman" w:hAnsi="Calibri" w:cs="Times New Roman"/>
        <w:color w:val="024182"/>
        <w:sz w:val="16"/>
        <w:szCs w:val="20"/>
      </w:rPr>
      <w:t>: (01) 7007 070 / www.hakom.hr</w:t>
    </w:r>
  </w:p>
  <w:p w:rsidR="00391672" w:rsidRDefault="0039167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672" w:rsidRDefault="0039167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672" w:rsidRDefault="00391672">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672" w:rsidRDefault="00391672">
    <w:pPr>
      <w:pStyle w:val="Footer"/>
      <w:jc w:val="right"/>
    </w:pPr>
    <w:r>
      <w:fldChar w:fldCharType="begin"/>
    </w:r>
    <w:r>
      <w:instrText>PAGE   \* MERGEFORMAT</w:instrText>
    </w:r>
    <w:r>
      <w:fldChar w:fldCharType="separate"/>
    </w:r>
    <w:r w:rsidR="000343B9">
      <w:rPr>
        <w:noProof/>
      </w:rPr>
      <w:t>52</w:t>
    </w:r>
    <w:r>
      <w:fldChar w:fldCharType="end"/>
    </w:r>
  </w:p>
  <w:p w:rsidR="00391672" w:rsidRDefault="003916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101A" w:rsidRDefault="00CA101A" w:rsidP="0063764C">
      <w:r>
        <w:separator/>
      </w:r>
    </w:p>
  </w:footnote>
  <w:footnote w:type="continuationSeparator" w:id="0">
    <w:p w:rsidR="00CA101A" w:rsidRDefault="00CA101A" w:rsidP="00663367">
      <w:r>
        <w:continuationSeparator/>
      </w:r>
    </w:p>
    <w:p w:rsidR="00CA101A" w:rsidRDefault="00CA101A"/>
    <w:p w:rsidR="00CA101A" w:rsidRDefault="00CA101A"/>
  </w:footnote>
  <w:footnote w:id="1">
    <w:p w:rsidR="00373243" w:rsidRPr="007D61EF" w:rsidRDefault="00373243" w:rsidP="00021598">
      <w:pPr>
        <w:pStyle w:val="FootnoteText"/>
        <w:jc w:val="both"/>
        <w:rPr>
          <w:lang w:val="hr-HR"/>
        </w:rPr>
      </w:pPr>
      <w:r w:rsidRPr="00A8207E">
        <w:rPr>
          <w:rStyle w:val="FootnoteReference"/>
        </w:rPr>
        <w:footnoteRef/>
      </w:r>
      <w:r w:rsidRPr="00A8207E">
        <w:t xml:space="preserve"> </w:t>
      </w:r>
      <w:r w:rsidRPr="007D61EF">
        <w:rPr>
          <w:rFonts w:cstheme="minorHAnsi"/>
          <w:lang w:val="hr-HR"/>
        </w:rPr>
        <w:t>Hrvatska regulatorna agencija za mrežne djelatnosti</w:t>
      </w:r>
    </w:p>
  </w:footnote>
  <w:footnote w:id="2">
    <w:p w:rsidR="00373243" w:rsidRPr="007D61EF" w:rsidRDefault="00373243" w:rsidP="00021598">
      <w:pPr>
        <w:pStyle w:val="FootnoteText"/>
        <w:jc w:val="both"/>
        <w:rPr>
          <w:lang w:val="hr-HR"/>
        </w:rPr>
      </w:pPr>
      <w:r w:rsidRPr="007D61EF">
        <w:rPr>
          <w:rStyle w:val="FootnoteReference"/>
          <w:lang w:val="hr-HR"/>
        </w:rPr>
        <w:footnoteRef/>
      </w:r>
      <w:r w:rsidRPr="007D61EF">
        <w:rPr>
          <w:lang w:val="hr-HR"/>
        </w:rPr>
        <w:t xml:space="preserve"> </w:t>
      </w:r>
      <w:r w:rsidRPr="007D61EF">
        <w:rPr>
          <w:lang w:val="hr-HR"/>
        </w:rPr>
        <w:t>Zakon o elektroničkim komunikacijama (NN br. 73/08, 90/11, 133/12, 80/13, 71/14 i 72/17)</w:t>
      </w:r>
    </w:p>
  </w:footnote>
  <w:footnote w:id="3">
    <w:p w:rsidR="00373243" w:rsidRPr="00262BB3" w:rsidRDefault="00373243">
      <w:pPr>
        <w:pStyle w:val="FootnoteText"/>
        <w:rPr>
          <w:lang w:val="hr-HR"/>
        </w:rPr>
      </w:pPr>
      <w:r>
        <w:rPr>
          <w:rStyle w:val="FootnoteReference"/>
        </w:rPr>
        <w:footnoteRef/>
      </w:r>
      <w:r>
        <w:t xml:space="preserve"> </w:t>
      </w:r>
      <w:r>
        <w:rPr>
          <w:lang w:val="hr-HR"/>
        </w:rPr>
        <w:t>OJ L 295/79; 9. listopada 2014.</w:t>
      </w:r>
    </w:p>
  </w:footnote>
  <w:footnote w:id="4">
    <w:p w:rsidR="00373243" w:rsidRPr="00262BB3" w:rsidRDefault="00373243">
      <w:pPr>
        <w:pStyle w:val="FootnoteText"/>
        <w:rPr>
          <w:lang w:val="hr-HR"/>
        </w:rPr>
      </w:pPr>
      <w:r>
        <w:rPr>
          <w:rStyle w:val="FootnoteReference"/>
        </w:rPr>
        <w:footnoteRef/>
      </w:r>
      <w:r>
        <w:t xml:space="preserve"> </w:t>
      </w:r>
      <w:r>
        <w:rPr>
          <w:lang w:val="hr-HR"/>
        </w:rPr>
        <w:t>OJ L344/65; 28. prosinca 2007.</w:t>
      </w:r>
    </w:p>
  </w:footnote>
  <w:footnote w:id="5">
    <w:p w:rsidR="00373243" w:rsidRPr="00A8207E" w:rsidRDefault="00373243" w:rsidP="00021598">
      <w:pPr>
        <w:pStyle w:val="FootnoteText"/>
        <w:jc w:val="both"/>
      </w:pPr>
      <w:r w:rsidRPr="00A8207E">
        <w:rPr>
          <w:rStyle w:val="FootnoteReference"/>
        </w:rPr>
        <w:footnoteRef/>
      </w:r>
      <w:r w:rsidRPr="00A8207E">
        <w:t xml:space="preserve"> </w:t>
      </w:r>
      <w:r w:rsidRPr="00A8207E">
        <w:t xml:space="preserve">Commission Recommendation on the Regulatory Treatment of Fixed and Mobile Termination Rates in the EU (2009/396/EC), OJ L 124/67; 7. </w:t>
      </w:r>
      <w:proofErr w:type="spellStart"/>
      <w:r w:rsidRPr="00A8207E">
        <w:t>svibnja</w:t>
      </w:r>
      <w:proofErr w:type="spellEnd"/>
      <w:r w:rsidRPr="00A8207E">
        <w:t xml:space="preserve"> 2009.</w:t>
      </w:r>
    </w:p>
  </w:footnote>
  <w:footnote w:id="6">
    <w:p w:rsidR="00373243" w:rsidRPr="000C5040" w:rsidRDefault="00373243" w:rsidP="00021598">
      <w:pPr>
        <w:pStyle w:val="FootnoteText"/>
        <w:jc w:val="both"/>
        <w:rPr>
          <w:lang w:val="hr-HR"/>
        </w:rPr>
      </w:pPr>
      <w:r>
        <w:rPr>
          <w:rStyle w:val="FootnoteReference"/>
        </w:rPr>
        <w:footnoteRef/>
      </w:r>
      <w:r>
        <w:t xml:space="preserve"> </w:t>
      </w:r>
      <w:r>
        <w:rPr>
          <w:lang w:val="hr-HR"/>
        </w:rPr>
        <w:t>tržište br. 1</w:t>
      </w:r>
    </w:p>
  </w:footnote>
  <w:footnote w:id="7">
    <w:p w:rsidR="00373243" w:rsidRPr="00A8207E" w:rsidRDefault="00373243" w:rsidP="00021598">
      <w:pPr>
        <w:pStyle w:val="FootnoteText"/>
        <w:jc w:val="both"/>
        <w:rPr>
          <w:rFonts w:ascii="Calibri" w:hAnsi="Calibri" w:cs="Calibri"/>
        </w:rPr>
      </w:pPr>
      <w:r w:rsidRPr="00A8207E">
        <w:rPr>
          <w:rStyle w:val="FootnoteReference"/>
          <w:rFonts w:ascii="Calibri" w:hAnsi="Calibri" w:cs="Calibri"/>
        </w:rPr>
        <w:footnoteRef/>
      </w:r>
      <w:r w:rsidRPr="00A8207E">
        <w:rPr>
          <w:rFonts w:ascii="Calibri" w:hAnsi="Calibri" w:cs="Calibri"/>
        </w:rPr>
        <w:t xml:space="preserve"> „N</w:t>
      </w:r>
      <w:r>
        <w:rPr>
          <w:rFonts w:ascii="Calibri" w:hAnsi="Calibri" w:cs="Calibri"/>
          <w:lang w:val="hr-HR"/>
        </w:rPr>
        <w:t>N</w:t>
      </w:r>
      <w:r w:rsidR="00252DE4">
        <w:rPr>
          <w:rFonts w:ascii="Calibri" w:hAnsi="Calibri" w:cs="Calibri"/>
        </w:rPr>
        <w:t>“</w:t>
      </w:r>
      <w:r w:rsidRPr="00A8207E">
        <w:rPr>
          <w:rFonts w:ascii="Calibri" w:hAnsi="Calibri" w:cs="Calibri"/>
        </w:rPr>
        <w:t xml:space="preserve"> </w:t>
      </w:r>
      <w:proofErr w:type="spellStart"/>
      <w:r w:rsidRPr="00A8207E">
        <w:rPr>
          <w:rFonts w:ascii="Calibri" w:hAnsi="Calibri" w:cs="Calibri"/>
        </w:rPr>
        <w:t>b</w:t>
      </w:r>
      <w:r>
        <w:rPr>
          <w:rFonts w:ascii="Calibri" w:hAnsi="Calibri" w:cs="Calibri"/>
          <w:lang w:val="hr-HR"/>
        </w:rPr>
        <w:t>r</w:t>
      </w:r>
      <w:proofErr w:type="spellEnd"/>
      <w:r w:rsidRPr="00A8207E">
        <w:rPr>
          <w:rFonts w:ascii="Calibri" w:hAnsi="Calibri" w:cs="Calibri"/>
        </w:rPr>
        <w:t xml:space="preserve"> 79/09</w:t>
      </w:r>
    </w:p>
  </w:footnote>
  <w:footnote w:id="8">
    <w:p w:rsidR="00373243" w:rsidRPr="00F31507" w:rsidRDefault="00373243">
      <w:pPr>
        <w:pStyle w:val="FootnoteText"/>
        <w:rPr>
          <w:lang w:val="hr-HR"/>
        </w:rPr>
      </w:pPr>
      <w:r>
        <w:rPr>
          <w:rStyle w:val="FootnoteReference"/>
        </w:rPr>
        <w:footnoteRef/>
      </w:r>
      <w:r>
        <w:t xml:space="preserve"> </w:t>
      </w:r>
      <w:r>
        <w:t>KLASA: UP/I-344-01/14-03/</w:t>
      </w:r>
      <w:r>
        <w:rPr>
          <w:lang w:val="hr-HR"/>
        </w:rPr>
        <w:t>14</w:t>
      </w:r>
      <w:r w:rsidRPr="00A276AA">
        <w:t>; URBROJ: 376-</w:t>
      </w:r>
      <w:r>
        <w:t>11-15-1</w:t>
      </w:r>
      <w:r>
        <w:rPr>
          <w:lang w:val="hr-HR"/>
        </w:rPr>
        <w:t>2</w:t>
      </w:r>
    </w:p>
  </w:footnote>
  <w:footnote w:id="9">
    <w:p w:rsidR="00373243" w:rsidRPr="00B02775" w:rsidRDefault="00373243">
      <w:pPr>
        <w:pStyle w:val="FootnoteText"/>
        <w:rPr>
          <w:lang w:val="hr-HR"/>
        </w:rPr>
      </w:pPr>
      <w:r>
        <w:rPr>
          <w:rStyle w:val="FootnoteReference"/>
        </w:rPr>
        <w:footnoteRef/>
      </w:r>
      <w:r>
        <w:t xml:space="preserve"> </w:t>
      </w:r>
      <w:proofErr w:type="spellStart"/>
      <w:r w:rsidRPr="000C5EFB">
        <w:rPr>
          <w:rFonts w:cstheme="minorHAnsi"/>
        </w:rPr>
        <w:t>Operatoru</w:t>
      </w:r>
      <w:proofErr w:type="spellEnd"/>
      <w:r w:rsidRPr="000C5EFB">
        <w:rPr>
          <w:rFonts w:cstheme="minorHAnsi"/>
        </w:rPr>
        <w:t xml:space="preserve"> </w:t>
      </w:r>
      <w:proofErr w:type="spellStart"/>
      <w:r w:rsidRPr="000C5EFB">
        <w:rPr>
          <w:rFonts w:cstheme="minorHAnsi"/>
        </w:rPr>
        <w:t>koji</w:t>
      </w:r>
      <w:proofErr w:type="spellEnd"/>
      <w:r w:rsidRPr="000C5EFB">
        <w:rPr>
          <w:rFonts w:cstheme="minorHAnsi"/>
        </w:rPr>
        <w:t xml:space="preserve"> </w:t>
      </w:r>
      <w:proofErr w:type="spellStart"/>
      <w:r w:rsidRPr="000C5EFB">
        <w:rPr>
          <w:rFonts w:cstheme="minorHAnsi"/>
        </w:rPr>
        <w:t>ima</w:t>
      </w:r>
      <w:proofErr w:type="spellEnd"/>
      <w:r w:rsidRPr="000C5EFB">
        <w:rPr>
          <w:rFonts w:cstheme="minorHAnsi"/>
        </w:rPr>
        <w:t xml:space="preserve"> </w:t>
      </w:r>
      <w:proofErr w:type="spellStart"/>
      <w:r w:rsidRPr="000C5EFB">
        <w:rPr>
          <w:rFonts w:cstheme="minorHAnsi"/>
        </w:rPr>
        <w:t>mogućnost</w:t>
      </w:r>
      <w:proofErr w:type="spellEnd"/>
      <w:r w:rsidRPr="000C5EFB">
        <w:rPr>
          <w:rFonts w:cstheme="minorHAnsi"/>
        </w:rPr>
        <w:t xml:space="preserve"> </w:t>
      </w:r>
      <w:proofErr w:type="spellStart"/>
      <w:r w:rsidRPr="000C5EFB">
        <w:rPr>
          <w:rFonts w:cstheme="minorHAnsi"/>
        </w:rPr>
        <w:t>raspoznavanja</w:t>
      </w:r>
      <w:proofErr w:type="spellEnd"/>
      <w:r w:rsidRPr="000C5EFB">
        <w:rPr>
          <w:rFonts w:cstheme="minorHAnsi"/>
        </w:rPr>
        <w:t xml:space="preserve"> A </w:t>
      </w:r>
      <w:proofErr w:type="spellStart"/>
      <w:r w:rsidRPr="000C5EFB">
        <w:rPr>
          <w:rFonts w:cstheme="minorHAnsi"/>
        </w:rPr>
        <w:t>broja</w:t>
      </w:r>
      <w:proofErr w:type="spellEnd"/>
      <w:r w:rsidRPr="000C5EFB">
        <w:rPr>
          <w:rFonts w:cstheme="minorHAnsi"/>
        </w:rPr>
        <w:t xml:space="preserve"> </w:t>
      </w:r>
      <w:proofErr w:type="spellStart"/>
      <w:r w:rsidRPr="000C5EFB">
        <w:rPr>
          <w:rFonts w:cstheme="minorHAnsi"/>
        </w:rPr>
        <w:t>isti</w:t>
      </w:r>
      <w:proofErr w:type="spellEnd"/>
      <w:r w:rsidRPr="000C5EFB">
        <w:rPr>
          <w:rFonts w:cstheme="minorHAnsi"/>
        </w:rPr>
        <w:t xml:space="preserve"> mora </w:t>
      </w:r>
      <w:proofErr w:type="spellStart"/>
      <w:r w:rsidRPr="000C5EFB">
        <w:rPr>
          <w:rFonts w:cstheme="minorHAnsi"/>
        </w:rPr>
        <w:t>biti</w:t>
      </w:r>
      <w:proofErr w:type="spellEnd"/>
      <w:r w:rsidRPr="000C5EFB">
        <w:rPr>
          <w:rFonts w:cstheme="minorHAnsi"/>
        </w:rPr>
        <w:t xml:space="preserve"> </w:t>
      </w:r>
      <w:proofErr w:type="spellStart"/>
      <w:r w:rsidRPr="000C5EFB">
        <w:rPr>
          <w:rFonts w:cstheme="minorHAnsi"/>
        </w:rPr>
        <w:t>vidljiv</w:t>
      </w:r>
      <w:proofErr w:type="spellEnd"/>
      <w:r w:rsidRPr="000C5EFB">
        <w:rPr>
          <w:rFonts w:cstheme="minorHAnsi"/>
        </w:rPr>
        <w:t xml:space="preserve">, </w:t>
      </w:r>
      <w:proofErr w:type="spellStart"/>
      <w:r w:rsidRPr="000C5EFB">
        <w:rPr>
          <w:rFonts w:cstheme="minorHAnsi"/>
        </w:rPr>
        <w:t>ispravan</w:t>
      </w:r>
      <w:proofErr w:type="spellEnd"/>
      <w:r w:rsidRPr="000C5EFB">
        <w:rPr>
          <w:rFonts w:cstheme="minorHAnsi"/>
        </w:rPr>
        <w:t xml:space="preserve"> </w:t>
      </w:r>
      <w:proofErr w:type="spellStart"/>
      <w:r w:rsidRPr="000C5EFB">
        <w:rPr>
          <w:rFonts w:cstheme="minorHAnsi"/>
        </w:rPr>
        <w:t>i</w:t>
      </w:r>
      <w:proofErr w:type="spellEnd"/>
      <w:r w:rsidRPr="000C5EFB">
        <w:rPr>
          <w:rFonts w:cstheme="minorHAnsi"/>
        </w:rPr>
        <w:t xml:space="preserve"> </w:t>
      </w:r>
      <w:proofErr w:type="spellStart"/>
      <w:r w:rsidRPr="000C5EFB">
        <w:rPr>
          <w:rFonts w:cstheme="minorHAnsi"/>
        </w:rPr>
        <w:t>potpun</w:t>
      </w:r>
      <w:proofErr w:type="spellEnd"/>
      <w:r w:rsidRPr="000C5EFB">
        <w:rPr>
          <w:rFonts w:cstheme="minorHAnsi"/>
        </w:rPr>
        <w:t>.</w:t>
      </w:r>
    </w:p>
  </w:footnote>
  <w:footnote w:id="10">
    <w:p w:rsidR="00373243" w:rsidRPr="00F31507" w:rsidRDefault="00373243" w:rsidP="002C3F51">
      <w:pPr>
        <w:pStyle w:val="FootnoteText"/>
        <w:rPr>
          <w:lang w:val="hr-HR"/>
        </w:rPr>
      </w:pPr>
      <w:r>
        <w:rPr>
          <w:rStyle w:val="FootnoteReference"/>
        </w:rPr>
        <w:footnoteRef/>
      </w:r>
      <w:r>
        <w:t xml:space="preserve"> </w:t>
      </w:r>
      <w:r>
        <w:t>KLASA: UP/I-344-01/15-05/13</w:t>
      </w:r>
      <w:r>
        <w:rPr>
          <w:lang w:val="hr-HR"/>
        </w:rPr>
        <w:t xml:space="preserve">; </w:t>
      </w:r>
      <w:r>
        <w:t>URBROJ: 376-11-15-13</w:t>
      </w:r>
    </w:p>
  </w:footnote>
  <w:footnote w:id="11">
    <w:p w:rsidR="00373243" w:rsidRPr="00F91250" w:rsidRDefault="00373243" w:rsidP="002C3F51">
      <w:pPr>
        <w:pStyle w:val="FootnoteText"/>
        <w:rPr>
          <w:lang w:val="hr-HR"/>
        </w:rPr>
      </w:pPr>
      <w:r>
        <w:rPr>
          <w:rStyle w:val="FootnoteReference"/>
        </w:rPr>
        <w:footnoteRef/>
      </w:r>
      <w:r>
        <w:t xml:space="preserve"> </w:t>
      </w:r>
      <w:r>
        <w:t>KLASA: UP/I-344-01/16-05/10</w:t>
      </w:r>
      <w:r>
        <w:rPr>
          <w:lang w:val="hr-HR"/>
        </w:rPr>
        <w:t xml:space="preserve">; </w:t>
      </w:r>
      <w:r>
        <w:t>URBROJ: 376-11-16-8</w:t>
      </w:r>
    </w:p>
  </w:footnote>
  <w:footnote w:id="12">
    <w:p w:rsidR="00373243" w:rsidRPr="00F91250" w:rsidRDefault="00373243" w:rsidP="002C3F51">
      <w:pPr>
        <w:pStyle w:val="FootnoteText"/>
        <w:rPr>
          <w:lang w:val="hr-HR"/>
        </w:rPr>
      </w:pPr>
      <w:r>
        <w:rPr>
          <w:rStyle w:val="FootnoteReference"/>
        </w:rPr>
        <w:footnoteRef/>
      </w:r>
      <w:r>
        <w:t xml:space="preserve"> </w:t>
      </w:r>
      <w:r>
        <w:t>KLASA:UP/I-344-01/15-03/04</w:t>
      </w:r>
      <w:r>
        <w:rPr>
          <w:lang w:val="hr-HR"/>
        </w:rPr>
        <w:t xml:space="preserve">; </w:t>
      </w:r>
      <w:r>
        <w:t>URBROJ: 376-11-15-09</w:t>
      </w:r>
    </w:p>
  </w:footnote>
  <w:footnote w:id="13">
    <w:p w:rsidR="00373243" w:rsidRPr="00F91250" w:rsidRDefault="00373243" w:rsidP="002C3F51">
      <w:pPr>
        <w:pStyle w:val="FootnoteText"/>
        <w:rPr>
          <w:lang w:val="hr-HR"/>
        </w:rPr>
      </w:pPr>
      <w:r>
        <w:rPr>
          <w:rStyle w:val="FootnoteReference"/>
        </w:rPr>
        <w:footnoteRef/>
      </w:r>
      <w:r>
        <w:t xml:space="preserve"> </w:t>
      </w:r>
      <w:r>
        <w:t>KLASA:UP/I-344-01/15-03/04</w:t>
      </w:r>
      <w:r>
        <w:rPr>
          <w:lang w:val="hr-HR"/>
        </w:rPr>
        <w:t xml:space="preserve">; </w:t>
      </w:r>
      <w:r>
        <w:t>URBROJ: 376-11-17-10</w:t>
      </w:r>
    </w:p>
  </w:footnote>
  <w:footnote w:id="14">
    <w:p w:rsidR="00373243" w:rsidRPr="00173A7B" w:rsidRDefault="00373243" w:rsidP="00173A7B">
      <w:pPr>
        <w:pStyle w:val="FootnoteText"/>
        <w:rPr>
          <w:lang w:val="hr-HR"/>
        </w:rPr>
      </w:pPr>
      <w:r>
        <w:rPr>
          <w:rStyle w:val="FootnoteReference"/>
        </w:rPr>
        <w:footnoteRef/>
      </w:r>
      <w:r>
        <w:t xml:space="preserve"> </w:t>
      </w:r>
      <w:r>
        <w:t>KLASA: UP/I-344-01/15-03/04</w:t>
      </w:r>
      <w:r>
        <w:rPr>
          <w:lang w:val="hr-HR"/>
        </w:rPr>
        <w:t xml:space="preserve">; </w:t>
      </w:r>
      <w:r>
        <w:t>URBROJ: 376-11-1</w:t>
      </w:r>
      <w:r>
        <w:rPr>
          <w:lang w:val="hr-HR"/>
        </w:rPr>
        <w:t>8-15</w:t>
      </w:r>
    </w:p>
  </w:footnote>
  <w:footnote w:id="15">
    <w:p w:rsidR="00373243" w:rsidRPr="001039A2" w:rsidRDefault="00373243">
      <w:pPr>
        <w:pStyle w:val="FootnoteText"/>
        <w:rPr>
          <w:lang w:val="hr-HR"/>
        </w:rPr>
      </w:pPr>
      <w:r>
        <w:rPr>
          <w:rStyle w:val="FootnoteReference"/>
        </w:rPr>
        <w:footnoteRef/>
      </w:r>
      <w:r>
        <w:t xml:space="preserve"> </w:t>
      </w:r>
      <w:r>
        <w:t>KLASA: UP/I-344-0</w:t>
      </w:r>
      <w:r>
        <w:rPr>
          <w:lang w:val="hr-HR"/>
        </w:rPr>
        <w:t>8</w:t>
      </w:r>
      <w:r>
        <w:t>/1</w:t>
      </w:r>
      <w:r>
        <w:rPr>
          <w:lang w:val="hr-HR"/>
        </w:rPr>
        <w:t>6</w:t>
      </w:r>
      <w:r>
        <w:t>-03/0</w:t>
      </w:r>
      <w:r>
        <w:rPr>
          <w:lang w:val="hr-HR"/>
        </w:rPr>
        <w:t>7</w:t>
      </w:r>
      <w:r>
        <w:t>; URBROJ: 376-</w:t>
      </w:r>
      <w:r>
        <w:rPr>
          <w:lang w:val="hr-HR"/>
        </w:rPr>
        <w:t>04</w:t>
      </w:r>
      <w:r>
        <w:t>-1</w:t>
      </w:r>
      <w:r>
        <w:rPr>
          <w:lang w:val="hr-HR"/>
        </w:rPr>
        <w:t>6</w:t>
      </w:r>
      <w:r>
        <w:t>-</w:t>
      </w:r>
      <w:r>
        <w:rPr>
          <w:lang w:val="hr-HR"/>
        </w:rPr>
        <w:t>8</w:t>
      </w:r>
    </w:p>
  </w:footnote>
  <w:footnote w:id="16">
    <w:p w:rsidR="00373243" w:rsidRPr="001039A2" w:rsidRDefault="00373243">
      <w:pPr>
        <w:pStyle w:val="FootnoteText"/>
        <w:rPr>
          <w:lang w:val="hr-HR"/>
        </w:rPr>
      </w:pPr>
      <w:r>
        <w:rPr>
          <w:rStyle w:val="FootnoteReference"/>
        </w:rPr>
        <w:footnoteRef/>
      </w:r>
      <w:r>
        <w:t xml:space="preserve"> </w:t>
      </w:r>
      <w:r w:rsidRPr="00320B05">
        <w:t>KLASA: UP/I-344-08</w:t>
      </w:r>
      <w:r>
        <w:t>/1</w:t>
      </w:r>
      <w:r>
        <w:rPr>
          <w:lang w:val="hr-HR"/>
        </w:rPr>
        <w:t>7</w:t>
      </w:r>
      <w:r>
        <w:t>-03/0</w:t>
      </w:r>
      <w:r>
        <w:rPr>
          <w:lang w:val="hr-HR"/>
        </w:rPr>
        <w:t>5</w:t>
      </w:r>
      <w:r>
        <w:t>; URBROJ: 376-04-1</w:t>
      </w:r>
      <w:r>
        <w:rPr>
          <w:lang w:val="hr-HR"/>
        </w:rPr>
        <w:t>8</w:t>
      </w:r>
      <w:r>
        <w:t>-</w:t>
      </w:r>
      <w:r>
        <w:rPr>
          <w:lang w:val="hr-HR"/>
        </w:rPr>
        <w:t>35</w:t>
      </w:r>
    </w:p>
  </w:footnote>
  <w:footnote w:id="17">
    <w:p w:rsidR="00373243" w:rsidRPr="00A8207E" w:rsidRDefault="00373243" w:rsidP="00DC0BA2">
      <w:pPr>
        <w:pStyle w:val="FootnoteText"/>
        <w:jc w:val="both"/>
        <w:rPr>
          <w:rFonts w:ascii="Calibri" w:hAnsi="Calibri"/>
        </w:rPr>
      </w:pPr>
      <w:r w:rsidRPr="00A8207E">
        <w:rPr>
          <w:rStyle w:val="FootnoteReference"/>
          <w:rFonts w:ascii="Calibri" w:eastAsiaTheme="majorEastAsia" w:hAnsi="Calibri"/>
        </w:rPr>
        <w:footnoteRef/>
      </w:r>
      <w:r w:rsidRPr="00A8207E">
        <w:rPr>
          <w:rFonts w:ascii="Calibri" w:hAnsi="Calibri"/>
        </w:rPr>
        <w:t xml:space="preserve"> </w:t>
      </w:r>
      <w:proofErr w:type="spellStart"/>
      <w:r w:rsidRPr="00A8207E">
        <w:rPr>
          <w:rFonts w:ascii="Calibri" w:hAnsi="Calibri"/>
        </w:rPr>
        <w:t>Pojam</w:t>
      </w:r>
      <w:proofErr w:type="spellEnd"/>
      <w:r w:rsidRPr="00A8207E">
        <w:rPr>
          <w:rFonts w:ascii="Calibri" w:hAnsi="Calibri"/>
        </w:rPr>
        <w:t xml:space="preserve"> „</w:t>
      </w:r>
      <w:proofErr w:type="spellStart"/>
      <w:r w:rsidRPr="00A8207E">
        <w:rPr>
          <w:rFonts w:ascii="Calibri" w:hAnsi="Calibri"/>
        </w:rPr>
        <w:t>nepokretna</w:t>
      </w:r>
      <w:proofErr w:type="spellEnd"/>
      <w:r w:rsidRPr="00A8207E">
        <w:rPr>
          <w:rFonts w:ascii="Calibri" w:hAnsi="Calibri"/>
        </w:rPr>
        <w:t xml:space="preserve"> </w:t>
      </w:r>
      <w:proofErr w:type="spellStart"/>
      <w:r w:rsidRPr="00A8207E">
        <w:rPr>
          <w:rFonts w:ascii="Calibri" w:hAnsi="Calibri"/>
        </w:rPr>
        <w:t>mreža</w:t>
      </w:r>
      <w:proofErr w:type="spellEnd"/>
      <w:r w:rsidRPr="00A8207E">
        <w:rPr>
          <w:rFonts w:ascii="Calibri" w:hAnsi="Calibri"/>
        </w:rPr>
        <w:t xml:space="preserve">“ </w:t>
      </w:r>
      <w:proofErr w:type="spellStart"/>
      <w:r w:rsidRPr="00A8207E">
        <w:rPr>
          <w:rFonts w:ascii="Calibri" w:hAnsi="Calibri"/>
        </w:rPr>
        <w:t>odnosi</w:t>
      </w:r>
      <w:proofErr w:type="spellEnd"/>
      <w:r w:rsidRPr="00A8207E">
        <w:rPr>
          <w:rFonts w:ascii="Calibri" w:hAnsi="Calibri"/>
        </w:rPr>
        <w:t xml:space="preserve"> se </w:t>
      </w:r>
      <w:proofErr w:type="spellStart"/>
      <w:r w:rsidRPr="00A8207E">
        <w:rPr>
          <w:rFonts w:ascii="Calibri" w:hAnsi="Calibri"/>
        </w:rPr>
        <w:t>na</w:t>
      </w:r>
      <w:proofErr w:type="spellEnd"/>
      <w:r w:rsidRPr="00A8207E">
        <w:rPr>
          <w:rFonts w:ascii="Calibri" w:hAnsi="Calibri"/>
        </w:rPr>
        <w:t xml:space="preserve"> </w:t>
      </w:r>
      <w:proofErr w:type="spellStart"/>
      <w:r w:rsidRPr="00A8207E">
        <w:rPr>
          <w:rFonts w:ascii="Calibri" w:hAnsi="Calibri"/>
        </w:rPr>
        <w:t>javne</w:t>
      </w:r>
      <w:proofErr w:type="spellEnd"/>
      <w:r w:rsidRPr="00A8207E">
        <w:rPr>
          <w:rFonts w:ascii="Calibri" w:hAnsi="Calibri"/>
        </w:rPr>
        <w:t xml:space="preserve"> </w:t>
      </w:r>
      <w:proofErr w:type="spellStart"/>
      <w:r w:rsidRPr="00A8207E">
        <w:rPr>
          <w:rFonts w:ascii="Calibri" w:hAnsi="Calibri"/>
        </w:rPr>
        <w:t>komunikacijske</w:t>
      </w:r>
      <w:proofErr w:type="spellEnd"/>
      <w:r w:rsidRPr="00A8207E">
        <w:rPr>
          <w:rFonts w:ascii="Calibri" w:hAnsi="Calibri"/>
        </w:rPr>
        <w:t xml:space="preserve"> </w:t>
      </w:r>
      <w:proofErr w:type="spellStart"/>
      <w:r w:rsidRPr="00A8207E">
        <w:rPr>
          <w:rFonts w:ascii="Calibri" w:hAnsi="Calibri"/>
        </w:rPr>
        <w:t>mreže</w:t>
      </w:r>
      <w:proofErr w:type="spellEnd"/>
      <w:r w:rsidRPr="00A8207E">
        <w:rPr>
          <w:rFonts w:ascii="Calibri" w:hAnsi="Calibri"/>
        </w:rPr>
        <w:t xml:space="preserve"> </w:t>
      </w:r>
      <w:proofErr w:type="spellStart"/>
      <w:r w:rsidRPr="00A8207E">
        <w:rPr>
          <w:rFonts w:ascii="Calibri" w:hAnsi="Calibri"/>
        </w:rPr>
        <w:t>na</w:t>
      </w:r>
      <w:proofErr w:type="spellEnd"/>
      <w:r w:rsidRPr="00A8207E">
        <w:rPr>
          <w:rFonts w:ascii="Calibri" w:hAnsi="Calibri"/>
        </w:rPr>
        <w:t xml:space="preserve"> </w:t>
      </w:r>
      <w:proofErr w:type="spellStart"/>
      <w:r w:rsidRPr="00A8207E">
        <w:rPr>
          <w:rFonts w:ascii="Calibri" w:hAnsi="Calibri"/>
        </w:rPr>
        <w:t>fiksnoj</w:t>
      </w:r>
      <w:proofErr w:type="spellEnd"/>
      <w:r w:rsidRPr="00A8207E">
        <w:rPr>
          <w:rFonts w:ascii="Calibri" w:hAnsi="Calibri"/>
        </w:rPr>
        <w:t xml:space="preserve"> </w:t>
      </w:r>
      <w:proofErr w:type="spellStart"/>
      <w:r w:rsidRPr="00A8207E">
        <w:rPr>
          <w:rFonts w:ascii="Calibri" w:hAnsi="Calibri"/>
        </w:rPr>
        <w:t>lokaciji</w:t>
      </w:r>
      <w:proofErr w:type="spellEnd"/>
    </w:p>
  </w:footnote>
  <w:footnote w:id="18">
    <w:p w:rsidR="00373243" w:rsidRDefault="00373243" w:rsidP="0011775E">
      <w:pPr>
        <w:pStyle w:val="FootnoteText"/>
      </w:pPr>
      <w:r>
        <w:rPr>
          <w:rStyle w:val="FootnoteReference"/>
        </w:rPr>
        <w:footnoteRef/>
      </w:r>
      <w:r>
        <w:t xml:space="preserve"> </w:t>
      </w:r>
      <w:r>
        <w:rPr>
          <w:rFonts w:ascii="Calibri" w:hAnsi="Calibri"/>
          <w:color w:val="000000"/>
          <w:sz w:val="18"/>
          <w:szCs w:val="18"/>
        </w:rPr>
        <w:t>KLASA: UP/I-344-01/12-05/24, URBROJ: 376-11/13-25</w:t>
      </w:r>
    </w:p>
  </w:footnote>
  <w:footnote w:id="19">
    <w:p w:rsidR="00373243" w:rsidRPr="00A8207E" w:rsidRDefault="00373243" w:rsidP="0011775E">
      <w:pPr>
        <w:pStyle w:val="FootnoteText"/>
        <w:jc w:val="both"/>
      </w:pPr>
      <w:r w:rsidRPr="00A8207E">
        <w:rPr>
          <w:rStyle w:val="FootnoteReference"/>
          <w:rFonts w:eastAsiaTheme="majorEastAsia"/>
        </w:rPr>
        <w:footnoteRef/>
      </w:r>
      <w:r w:rsidRPr="00A8207E">
        <w:t xml:space="preserve"> </w:t>
      </w:r>
      <w:r w:rsidRPr="00A8207E">
        <w:t xml:space="preserve">HT </w:t>
      </w:r>
      <w:proofErr w:type="spellStart"/>
      <w:r w:rsidRPr="00A8207E">
        <w:t>i</w:t>
      </w:r>
      <w:proofErr w:type="spellEnd"/>
      <w:r w:rsidRPr="00A8207E">
        <w:t xml:space="preserve"> </w:t>
      </w:r>
      <w:proofErr w:type="spellStart"/>
      <w:r w:rsidRPr="00A8207E">
        <w:t>sada</w:t>
      </w:r>
      <w:proofErr w:type="spellEnd"/>
      <w:r w:rsidRPr="00A8207E">
        <w:t xml:space="preserve"> </w:t>
      </w:r>
      <w:proofErr w:type="spellStart"/>
      <w:r w:rsidRPr="00A8207E">
        <w:t>ima</w:t>
      </w:r>
      <w:proofErr w:type="spellEnd"/>
      <w:r w:rsidRPr="00A8207E">
        <w:t xml:space="preserve"> </w:t>
      </w:r>
      <w:proofErr w:type="spellStart"/>
      <w:r w:rsidRPr="00A8207E">
        <w:t>devet</w:t>
      </w:r>
      <w:proofErr w:type="spellEnd"/>
      <w:r w:rsidRPr="00A8207E">
        <w:t xml:space="preserve"> </w:t>
      </w:r>
      <w:proofErr w:type="spellStart"/>
      <w:r w:rsidRPr="00A8207E">
        <w:t>regionalnih</w:t>
      </w:r>
      <w:proofErr w:type="spellEnd"/>
      <w:r w:rsidRPr="00A8207E">
        <w:t xml:space="preserve"> </w:t>
      </w:r>
      <w:proofErr w:type="spellStart"/>
      <w:r w:rsidRPr="00A8207E">
        <w:t>centrala</w:t>
      </w:r>
      <w:proofErr w:type="spellEnd"/>
      <w:r w:rsidRPr="00A8207E">
        <w:t xml:space="preserve"> u </w:t>
      </w:r>
      <w:proofErr w:type="spellStart"/>
      <w:r w:rsidRPr="00A8207E">
        <w:t>svojoj</w:t>
      </w:r>
      <w:proofErr w:type="spellEnd"/>
      <w:r w:rsidRPr="00A8207E">
        <w:t xml:space="preserve"> </w:t>
      </w:r>
      <w:proofErr w:type="spellStart"/>
      <w:r w:rsidRPr="00A8207E">
        <w:t>mreži</w:t>
      </w:r>
      <w:proofErr w:type="spellEnd"/>
      <w:r w:rsidRPr="00A8207E">
        <w:t>.</w:t>
      </w:r>
    </w:p>
  </w:footnote>
  <w:footnote w:id="20">
    <w:p w:rsidR="00373243" w:rsidRDefault="00373243" w:rsidP="0011775E">
      <w:pPr>
        <w:pStyle w:val="FootnoteText"/>
      </w:pPr>
      <w:r>
        <w:rPr>
          <w:rStyle w:val="FootnoteReference"/>
          <w:rFonts w:eastAsiaTheme="majorEastAsia"/>
        </w:rPr>
        <w:footnoteRef/>
      </w:r>
      <w:r>
        <w:t xml:space="preserve"> </w:t>
      </w:r>
      <w:proofErr w:type="spellStart"/>
      <w:r w:rsidRPr="0059508B">
        <w:t>sukladno</w:t>
      </w:r>
      <w:proofErr w:type="spellEnd"/>
      <w:r w:rsidRPr="0059508B">
        <w:t xml:space="preserve"> </w:t>
      </w:r>
      <w:proofErr w:type="spellStart"/>
      <w:r w:rsidRPr="0059508B">
        <w:t>uvjetima</w:t>
      </w:r>
      <w:proofErr w:type="spellEnd"/>
      <w:r w:rsidRPr="0059508B">
        <w:t xml:space="preserve"> </w:t>
      </w:r>
      <w:proofErr w:type="spellStart"/>
      <w:r w:rsidRPr="0059508B">
        <w:t>za</w:t>
      </w:r>
      <w:proofErr w:type="spellEnd"/>
      <w:r w:rsidRPr="0059508B">
        <w:t xml:space="preserve"> IP </w:t>
      </w:r>
      <w:proofErr w:type="spellStart"/>
      <w:r w:rsidRPr="0059508B">
        <w:t>povezivanje</w:t>
      </w:r>
      <w:proofErr w:type="spellEnd"/>
      <w:r w:rsidRPr="0059508B">
        <w:t xml:space="preserve"> </w:t>
      </w:r>
      <w:proofErr w:type="spellStart"/>
      <w:r w:rsidRPr="0059508B">
        <w:t>pojedinog</w:t>
      </w:r>
      <w:proofErr w:type="spellEnd"/>
      <w:r w:rsidRPr="0059508B">
        <w:t xml:space="preserve"> </w:t>
      </w:r>
      <w:proofErr w:type="spellStart"/>
      <w:r w:rsidRPr="0059508B">
        <w:t>operatora</w:t>
      </w:r>
      <w:proofErr w:type="spellEnd"/>
    </w:p>
  </w:footnote>
  <w:footnote w:id="21">
    <w:p w:rsidR="00373243" w:rsidRPr="00A8207E" w:rsidRDefault="00373243" w:rsidP="00021598">
      <w:pPr>
        <w:pStyle w:val="FootnoteText"/>
        <w:jc w:val="both"/>
        <w:rPr>
          <w:rFonts w:ascii="Calibri" w:hAnsi="Calibri"/>
        </w:rPr>
      </w:pPr>
      <w:r w:rsidRPr="00A8207E">
        <w:rPr>
          <w:rStyle w:val="FootnoteReference"/>
          <w:rFonts w:ascii="Calibri" w:hAnsi="Calibri"/>
        </w:rPr>
        <w:footnoteRef/>
      </w:r>
      <w:r w:rsidRPr="00A8207E">
        <w:rPr>
          <w:rFonts w:ascii="Calibri" w:hAnsi="Calibri"/>
        </w:rPr>
        <w:t xml:space="preserve"> </w:t>
      </w:r>
      <w:r w:rsidRPr="00A8207E">
        <w:rPr>
          <w:rFonts w:ascii="Calibri" w:hAnsi="Calibri"/>
        </w:rPr>
        <w:t xml:space="preserve">CPP </w:t>
      </w:r>
      <w:proofErr w:type="spellStart"/>
      <w:r w:rsidRPr="00A8207E">
        <w:rPr>
          <w:rFonts w:ascii="Calibri" w:hAnsi="Calibri"/>
        </w:rPr>
        <w:t>princip</w:t>
      </w:r>
      <w:proofErr w:type="spellEnd"/>
      <w:r w:rsidRPr="00A8207E">
        <w:rPr>
          <w:rFonts w:ascii="Calibri" w:hAnsi="Calibri"/>
        </w:rPr>
        <w:t xml:space="preserve"> (</w:t>
      </w:r>
      <w:r w:rsidRPr="000C5040">
        <w:rPr>
          <w:rFonts w:ascii="Calibri" w:hAnsi="Calibri"/>
          <w:i/>
        </w:rPr>
        <w:t>Calling Party Pays</w:t>
      </w:r>
      <w:r w:rsidRPr="00A8207E">
        <w:rPr>
          <w:rFonts w:ascii="Calibri" w:hAnsi="Calibri"/>
        </w:rPr>
        <w:t>)-</w:t>
      </w:r>
      <w:proofErr w:type="spellStart"/>
      <w:r w:rsidRPr="00A8207E">
        <w:rPr>
          <w:rFonts w:ascii="Calibri" w:hAnsi="Calibri"/>
        </w:rPr>
        <w:t>trošak</w:t>
      </w:r>
      <w:proofErr w:type="spellEnd"/>
      <w:r w:rsidRPr="00A8207E">
        <w:rPr>
          <w:rFonts w:ascii="Calibri" w:hAnsi="Calibri"/>
        </w:rPr>
        <w:t xml:space="preserve"> </w:t>
      </w:r>
      <w:proofErr w:type="spellStart"/>
      <w:r w:rsidRPr="00A8207E">
        <w:rPr>
          <w:rFonts w:ascii="Calibri" w:hAnsi="Calibri"/>
        </w:rPr>
        <w:t>poziva</w:t>
      </w:r>
      <w:proofErr w:type="spellEnd"/>
      <w:r w:rsidRPr="00A8207E">
        <w:rPr>
          <w:rFonts w:ascii="Calibri" w:hAnsi="Calibri"/>
        </w:rPr>
        <w:t xml:space="preserve"> </w:t>
      </w:r>
      <w:proofErr w:type="spellStart"/>
      <w:r w:rsidRPr="00A8207E">
        <w:rPr>
          <w:rFonts w:ascii="Calibri" w:hAnsi="Calibri"/>
        </w:rPr>
        <w:t>snosi</w:t>
      </w:r>
      <w:proofErr w:type="spellEnd"/>
      <w:r w:rsidRPr="00A8207E">
        <w:rPr>
          <w:rFonts w:ascii="Calibri" w:hAnsi="Calibri"/>
        </w:rPr>
        <w:t xml:space="preserve"> </w:t>
      </w:r>
      <w:proofErr w:type="spellStart"/>
      <w:r w:rsidRPr="00A8207E">
        <w:rPr>
          <w:rFonts w:ascii="Calibri" w:hAnsi="Calibri"/>
        </w:rPr>
        <w:t>strana</w:t>
      </w:r>
      <w:proofErr w:type="spellEnd"/>
      <w:r w:rsidRPr="00A8207E">
        <w:rPr>
          <w:rFonts w:ascii="Calibri" w:hAnsi="Calibri"/>
        </w:rPr>
        <w:t xml:space="preserve"> </w:t>
      </w:r>
      <w:proofErr w:type="spellStart"/>
      <w:r w:rsidRPr="00A8207E">
        <w:rPr>
          <w:rFonts w:ascii="Calibri" w:hAnsi="Calibri"/>
        </w:rPr>
        <w:t>koja</w:t>
      </w:r>
      <w:proofErr w:type="spellEnd"/>
      <w:r w:rsidRPr="00A8207E">
        <w:rPr>
          <w:rFonts w:ascii="Calibri" w:hAnsi="Calibri"/>
        </w:rPr>
        <w:t xml:space="preserve"> </w:t>
      </w:r>
      <w:proofErr w:type="spellStart"/>
      <w:r w:rsidRPr="00A8207E">
        <w:rPr>
          <w:rFonts w:ascii="Calibri" w:hAnsi="Calibri"/>
        </w:rPr>
        <w:t>zove</w:t>
      </w:r>
      <w:proofErr w:type="spellEnd"/>
    </w:p>
  </w:footnote>
  <w:footnote w:id="22">
    <w:p w:rsidR="00373243" w:rsidRPr="000C5040" w:rsidRDefault="00373243" w:rsidP="00021598">
      <w:pPr>
        <w:pStyle w:val="FootnoteText"/>
        <w:jc w:val="both"/>
        <w:rPr>
          <w:lang w:val="hr-HR"/>
        </w:rPr>
      </w:pPr>
      <w:r>
        <w:rPr>
          <w:rStyle w:val="FootnoteReference"/>
        </w:rPr>
        <w:footnoteRef/>
      </w:r>
      <w:r>
        <w:t xml:space="preserve"> </w:t>
      </w:r>
      <w:r>
        <w:rPr>
          <w:lang w:val="hr-HR"/>
        </w:rPr>
        <w:t xml:space="preserve">Navedena usluga </w:t>
      </w:r>
      <w:r w:rsidRPr="003051B3">
        <w:rPr>
          <w:rFonts w:ascii="Calibri" w:hAnsi="Calibri"/>
        </w:rPr>
        <w:t xml:space="preserve">je u </w:t>
      </w:r>
      <w:proofErr w:type="spellStart"/>
      <w:r w:rsidRPr="003051B3">
        <w:rPr>
          <w:rFonts w:ascii="Calibri" w:hAnsi="Calibri"/>
        </w:rPr>
        <w:t>Republici</w:t>
      </w:r>
      <w:proofErr w:type="spellEnd"/>
      <w:r w:rsidRPr="003051B3">
        <w:rPr>
          <w:rFonts w:ascii="Calibri" w:hAnsi="Calibri"/>
        </w:rPr>
        <w:t xml:space="preserve"> </w:t>
      </w:r>
      <w:proofErr w:type="spellStart"/>
      <w:r w:rsidRPr="003051B3">
        <w:rPr>
          <w:rFonts w:ascii="Calibri" w:hAnsi="Calibri"/>
        </w:rPr>
        <w:t>Hrvatskoj</w:t>
      </w:r>
      <w:proofErr w:type="spellEnd"/>
      <w:r w:rsidRPr="003051B3">
        <w:rPr>
          <w:rFonts w:ascii="Calibri" w:hAnsi="Calibri"/>
        </w:rPr>
        <w:t xml:space="preserve"> </w:t>
      </w:r>
      <w:proofErr w:type="spellStart"/>
      <w:r w:rsidRPr="003051B3">
        <w:rPr>
          <w:rFonts w:ascii="Calibri" w:hAnsi="Calibri"/>
        </w:rPr>
        <w:t>dostupna</w:t>
      </w:r>
      <w:proofErr w:type="spellEnd"/>
      <w:r w:rsidRPr="003051B3">
        <w:rPr>
          <w:rFonts w:ascii="Calibri" w:hAnsi="Calibri"/>
        </w:rPr>
        <w:t xml:space="preserve"> od 2006.</w:t>
      </w:r>
    </w:p>
  </w:footnote>
  <w:footnote w:id="23">
    <w:p w:rsidR="00373243" w:rsidRPr="001039A2" w:rsidRDefault="00373243">
      <w:pPr>
        <w:pStyle w:val="FootnoteText"/>
        <w:rPr>
          <w:lang w:val="hr-HR"/>
        </w:rPr>
      </w:pPr>
      <w:r>
        <w:rPr>
          <w:rStyle w:val="FootnoteReference"/>
        </w:rPr>
        <w:footnoteRef/>
      </w:r>
      <w:r>
        <w:t xml:space="preserve"> </w:t>
      </w:r>
      <w:proofErr w:type="spellStart"/>
      <w:r>
        <w:t>eng.</w:t>
      </w:r>
      <w:proofErr w:type="spellEnd"/>
      <w:r>
        <w:t xml:space="preserve"> Over the </w:t>
      </w:r>
      <w:r>
        <w:rPr>
          <w:lang w:val="hr-HR"/>
        </w:rPr>
        <w:t>T</w:t>
      </w:r>
      <w:r>
        <w:t>op</w:t>
      </w:r>
    </w:p>
  </w:footnote>
  <w:footnote w:id="24">
    <w:p w:rsidR="00373243" w:rsidRPr="00E42A77" w:rsidRDefault="00373243" w:rsidP="00876B1F">
      <w:pPr>
        <w:pStyle w:val="FootnoteText"/>
        <w:rPr>
          <w:rFonts w:cstheme="minorHAnsi"/>
        </w:rPr>
      </w:pPr>
      <w:r w:rsidRPr="00E42A77">
        <w:rPr>
          <w:rStyle w:val="FootnoteReference"/>
          <w:rFonts w:cstheme="minorHAnsi"/>
        </w:rPr>
        <w:footnoteRef/>
      </w:r>
      <w:r w:rsidRPr="00E42A77">
        <w:rPr>
          <w:rFonts w:cstheme="minorHAnsi"/>
        </w:rPr>
        <w:t xml:space="preserve"> </w:t>
      </w:r>
      <w:proofErr w:type="spellStart"/>
      <w:r w:rsidRPr="00E42A77">
        <w:rPr>
          <w:rFonts w:cstheme="minorHAnsi"/>
        </w:rPr>
        <w:t>Prema</w:t>
      </w:r>
      <w:proofErr w:type="spellEnd"/>
      <w:r w:rsidRPr="00E42A77">
        <w:rPr>
          <w:rFonts w:cstheme="minorHAnsi"/>
        </w:rPr>
        <w:t xml:space="preserve"> </w:t>
      </w:r>
      <w:proofErr w:type="spellStart"/>
      <w:r w:rsidRPr="00E42A77">
        <w:rPr>
          <w:rFonts w:cstheme="minorHAnsi"/>
        </w:rPr>
        <w:t>dokumentu</w:t>
      </w:r>
      <w:proofErr w:type="spellEnd"/>
      <w:r w:rsidRPr="00E42A77">
        <w:rPr>
          <w:rFonts w:cstheme="minorHAnsi"/>
        </w:rPr>
        <w:t xml:space="preserve"> ERG (06) 33</w:t>
      </w:r>
    </w:p>
  </w:footnote>
  <w:footnote w:id="25">
    <w:p w:rsidR="00373243" w:rsidRPr="00A8207E" w:rsidRDefault="00373243" w:rsidP="00021598">
      <w:pPr>
        <w:pStyle w:val="FootnoteText"/>
        <w:jc w:val="both"/>
        <w:rPr>
          <w:rFonts w:ascii="Calibri" w:hAnsi="Calibri" w:cs="Calibri"/>
        </w:rPr>
      </w:pPr>
      <w:r w:rsidRPr="00A8207E">
        <w:rPr>
          <w:rStyle w:val="FootnoteReference"/>
          <w:rFonts w:ascii="Calibri" w:hAnsi="Calibri"/>
        </w:rPr>
        <w:footnoteRef/>
      </w:r>
      <w:r w:rsidRPr="00A8207E">
        <w:rPr>
          <w:rFonts w:ascii="Calibri" w:hAnsi="Calibri"/>
        </w:rPr>
        <w:t xml:space="preserve"> </w:t>
      </w:r>
      <w:proofErr w:type="spellStart"/>
      <w:r w:rsidRPr="00A8207E">
        <w:rPr>
          <w:rFonts w:ascii="Calibri" w:hAnsi="Calibri" w:cs="Calibri"/>
        </w:rPr>
        <w:t>Navedeni</w:t>
      </w:r>
      <w:proofErr w:type="spellEnd"/>
      <w:r w:rsidRPr="00A8207E">
        <w:rPr>
          <w:rFonts w:ascii="Calibri" w:hAnsi="Calibri" w:cs="Calibri"/>
        </w:rPr>
        <w:t xml:space="preserve"> problem je </w:t>
      </w:r>
      <w:proofErr w:type="spellStart"/>
      <w:r w:rsidRPr="00A8207E">
        <w:rPr>
          <w:rFonts w:ascii="Calibri" w:hAnsi="Calibri" w:cs="Calibri"/>
        </w:rPr>
        <w:t>objašnjen</w:t>
      </w:r>
      <w:proofErr w:type="spellEnd"/>
      <w:r w:rsidRPr="00A8207E">
        <w:rPr>
          <w:rFonts w:ascii="Calibri" w:hAnsi="Calibri" w:cs="Calibri"/>
        </w:rPr>
        <w:t xml:space="preserve"> pod </w:t>
      </w:r>
      <w:proofErr w:type="spellStart"/>
      <w:r w:rsidRPr="00A8207E">
        <w:rPr>
          <w:rFonts w:ascii="Calibri" w:hAnsi="Calibri" w:cs="Calibri"/>
        </w:rPr>
        <w:t>ovim</w:t>
      </w:r>
      <w:proofErr w:type="spellEnd"/>
      <w:r w:rsidRPr="00A8207E">
        <w:rPr>
          <w:rFonts w:ascii="Calibri" w:hAnsi="Calibri" w:cs="Calibri"/>
        </w:rPr>
        <w:t xml:space="preserve"> </w:t>
      </w:r>
      <w:proofErr w:type="spellStart"/>
      <w:r w:rsidRPr="00A8207E">
        <w:rPr>
          <w:rFonts w:ascii="Calibri" w:hAnsi="Calibri" w:cs="Calibri"/>
        </w:rPr>
        <w:t>kriterijem</w:t>
      </w:r>
      <w:proofErr w:type="spellEnd"/>
      <w:r w:rsidRPr="00A8207E">
        <w:rPr>
          <w:rFonts w:ascii="Calibri" w:hAnsi="Calibri" w:cs="Calibri"/>
        </w:rPr>
        <w:t xml:space="preserve">, a </w:t>
      </w:r>
      <w:proofErr w:type="spellStart"/>
      <w:r w:rsidRPr="00A8207E">
        <w:rPr>
          <w:rFonts w:ascii="Calibri" w:hAnsi="Calibri" w:cs="Calibri"/>
        </w:rPr>
        <w:t>ne</w:t>
      </w:r>
      <w:proofErr w:type="spellEnd"/>
      <w:r w:rsidRPr="00A8207E">
        <w:rPr>
          <w:rFonts w:ascii="Calibri" w:hAnsi="Calibri" w:cs="Calibri"/>
        </w:rPr>
        <w:t xml:space="preserve"> pod </w:t>
      </w:r>
      <w:proofErr w:type="spellStart"/>
      <w:r w:rsidRPr="00A8207E">
        <w:rPr>
          <w:rFonts w:ascii="Calibri" w:hAnsi="Calibri" w:cs="Calibri"/>
        </w:rPr>
        <w:t>diskriminacijom</w:t>
      </w:r>
      <w:proofErr w:type="spellEnd"/>
      <w:r w:rsidRPr="00A8207E">
        <w:rPr>
          <w:rFonts w:ascii="Calibri" w:hAnsi="Calibri" w:cs="Calibri"/>
        </w:rPr>
        <w:t xml:space="preserve"> </w:t>
      </w:r>
      <w:proofErr w:type="spellStart"/>
      <w:r w:rsidRPr="00A8207E">
        <w:rPr>
          <w:rFonts w:ascii="Calibri" w:hAnsi="Calibri" w:cs="Calibri"/>
        </w:rPr>
        <w:t>na</w:t>
      </w:r>
      <w:proofErr w:type="spellEnd"/>
      <w:r w:rsidRPr="00A8207E">
        <w:rPr>
          <w:rFonts w:ascii="Calibri" w:hAnsi="Calibri" w:cs="Calibri"/>
        </w:rPr>
        <w:t xml:space="preserve"> </w:t>
      </w:r>
      <w:proofErr w:type="spellStart"/>
      <w:r w:rsidRPr="00A8207E">
        <w:rPr>
          <w:rFonts w:ascii="Calibri" w:hAnsi="Calibri" w:cs="Calibri"/>
        </w:rPr>
        <w:t>cjenovnoj</w:t>
      </w:r>
      <w:proofErr w:type="spellEnd"/>
      <w:r w:rsidRPr="00A8207E">
        <w:rPr>
          <w:rFonts w:ascii="Calibri" w:hAnsi="Calibri" w:cs="Calibri"/>
        </w:rPr>
        <w:t xml:space="preserve"> </w:t>
      </w:r>
      <w:proofErr w:type="spellStart"/>
      <w:r w:rsidRPr="00A8207E">
        <w:rPr>
          <w:rFonts w:ascii="Calibri" w:hAnsi="Calibri" w:cs="Calibri"/>
        </w:rPr>
        <w:t>osnovi</w:t>
      </w:r>
      <w:proofErr w:type="spellEnd"/>
      <w:r w:rsidRPr="00A8207E">
        <w:rPr>
          <w:rFonts w:ascii="Calibri" w:hAnsi="Calibri" w:cs="Calibri"/>
        </w:rPr>
        <w:t xml:space="preserve"> </w:t>
      </w:r>
      <w:proofErr w:type="spellStart"/>
      <w:r w:rsidRPr="00A8207E">
        <w:rPr>
          <w:rFonts w:ascii="Calibri" w:hAnsi="Calibri" w:cs="Calibri"/>
        </w:rPr>
        <w:t>iz</w:t>
      </w:r>
      <w:proofErr w:type="spellEnd"/>
      <w:r w:rsidRPr="00A8207E">
        <w:rPr>
          <w:rFonts w:ascii="Calibri" w:hAnsi="Calibri" w:cs="Calibri"/>
        </w:rPr>
        <w:t xml:space="preserve"> </w:t>
      </w:r>
      <w:proofErr w:type="spellStart"/>
      <w:r w:rsidRPr="00A8207E">
        <w:rPr>
          <w:rFonts w:ascii="Calibri" w:hAnsi="Calibri" w:cs="Calibri"/>
        </w:rPr>
        <w:t>razloga</w:t>
      </w:r>
      <w:proofErr w:type="spellEnd"/>
      <w:r w:rsidRPr="00A8207E">
        <w:rPr>
          <w:rFonts w:ascii="Calibri" w:hAnsi="Calibri" w:cs="Calibri"/>
        </w:rPr>
        <w:t xml:space="preserve"> </w:t>
      </w:r>
      <w:proofErr w:type="spellStart"/>
      <w:r w:rsidRPr="00A8207E">
        <w:rPr>
          <w:rFonts w:ascii="Calibri" w:hAnsi="Calibri" w:cs="Calibri"/>
        </w:rPr>
        <w:t>što</w:t>
      </w:r>
      <w:proofErr w:type="spellEnd"/>
      <w:r w:rsidRPr="00A8207E">
        <w:rPr>
          <w:rFonts w:ascii="Calibri" w:hAnsi="Calibri" w:cs="Calibri"/>
        </w:rPr>
        <w:t xml:space="preserve"> je </w:t>
      </w:r>
      <w:proofErr w:type="spellStart"/>
      <w:r w:rsidRPr="00A8207E">
        <w:rPr>
          <w:rFonts w:ascii="Calibri" w:hAnsi="Calibri" w:cs="Calibri"/>
        </w:rPr>
        <w:t>navedena</w:t>
      </w:r>
      <w:proofErr w:type="spellEnd"/>
      <w:r w:rsidRPr="00A8207E">
        <w:rPr>
          <w:rFonts w:ascii="Calibri" w:hAnsi="Calibri" w:cs="Calibri"/>
        </w:rPr>
        <w:t xml:space="preserve"> </w:t>
      </w:r>
      <w:proofErr w:type="spellStart"/>
      <w:r w:rsidRPr="00A8207E">
        <w:rPr>
          <w:rFonts w:ascii="Calibri" w:hAnsi="Calibri" w:cs="Calibri"/>
        </w:rPr>
        <w:t>diskriminacija</w:t>
      </w:r>
      <w:proofErr w:type="spellEnd"/>
      <w:r w:rsidRPr="00A8207E">
        <w:rPr>
          <w:rFonts w:ascii="Calibri" w:hAnsi="Calibri" w:cs="Calibri"/>
        </w:rPr>
        <w:t xml:space="preserve"> </w:t>
      </w:r>
      <w:proofErr w:type="spellStart"/>
      <w:r w:rsidRPr="00A8207E">
        <w:rPr>
          <w:rFonts w:ascii="Calibri" w:hAnsi="Calibri" w:cs="Calibri"/>
        </w:rPr>
        <w:t>rezultat</w:t>
      </w:r>
      <w:proofErr w:type="spellEnd"/>
      <w:r w:rsidRPr="00A8207E">
        <w:rPr>
          <w:rFonts w:ascii="Calibri" w:hAnsi="Calibri" w:cs="Calibri"/>
        </w:rPr>
        <w:t xml:space="preserve"> </w:t>
      </w:r>
      <w:proofErr w:type="spellStart"/>
      <w:r w:rsidRPr="00A8207E">
        <w:rPr>
          <w:rFonts w:ascii="Calibri" w:hAnsi="Calibri" w:cs="Calibri"/>
        </w:rPr>
        <w:t>dogovora</w:t>
      </w:r>
      <w:proofErr w:type="spellEnd"/>
      <w:r w:rsidRPr="00A8207E">
        <w:rPr>
          <w:rFonts w:ascii="Calibri" w:hAnsi="Calibri" w:cs="Calibri"/>
        </w:rPr>
        <w:t xml:space="preserve"> </w:t>
      </w:r>
      <w:proofErr w:type="spellStart"/>
      <w:r w:rsidRPr="00A8207E">
        <w:rPr>
          <w:rFonts w:ascii="Calibri" w:hAnsi="Calibri" w:cs="Calibri"/>
        </w:rPr>
        <w:t>dva</w:t>
      </w:r>
      <w:proofErr w:type="spellEnd"/>
      <w:r w:rsidRPr="00A8207E">
        <w:rPr>
          <w:rFonts w:ascii="Calibri" w:hAnsi="Calibri" w:cs="Calibri"/>
        </w:rPr>
        <w:t xml:space="preserve"> </w:t>
      </w:r>
      <w:proofErr w:type="spellStart"/>
      <w:r w:rsidRPr="00A8207E">
        <w:rPr>
          <w:rFonts w:ascii="Calibri" w:hAnsi="Calibri" w:cs="Calibri"/>
        </w:rPr>
        <w:t>ili</w:t>
      </w:r>
      <w:proofErr w:type="spellEnd"/>
      <w:r w:rsidRPr="00A8207E">
        <w:rPr>
          <w:rFonts w:ascii="Calibri" w:hAnsi="Calibri" w:cs="Calibri"/>
        </w:rPr>
        <w:t xml:space="preserve"> </w:t>
      </w:r>
      <w:proofErr w:type="spellStart"/>
      <w:r w:rsidRPr="00A8207E">
        <w:rPr>
          <w:rFonts w:ascii="Calibri" w:hAnsi="Calibri" w:cs="Calibri"/>
        </w:rPr>
        <w:t>više</w:t>
      </w:r>
      <w:proofErr w:type="spellEnd"/>
      <w:r w:rsidRPr="00A8207E">
        <w:rPr>
          <w:rFonts w:ascii="Calibri" w:hAnsi="Calibri" w:cs="Calibri"/>
        </w:rPr>
        <w:t xml:space="preserve"> </w:t>
      </w:r>
      <w:proofErr w:type="spellStart"/>
      <w:r w:rsidRPr="00A8207E">
        <w:rPr>
          <w:rFonts w:ascii="Calibri" w:hAnsi="Calibri" w:cs="Calibri"/>
        </w:rPr>
        <w:t>operatora</w:t>
      </w:r>
      <w:proofErr w:type="spellEnd"/>
      <w:r w:rsidRPr="00A8207E">
        <w:rPr>
          <w:rFonts w:ascii="Calibri" w:hAnsi="Calibri" w:cs="Calibri"/>
        </w:rPr>
        <w:t xml:space="preserve"> </w:t>
      </w:r>
      <w:proofErr w:type="spellStart"/>
      <w:r w:rsidRPr="00A8207E">
        <w:rPr>
          <w:rFonts w:ascii="Calibri" w:hAnsi="Calibri" w:cs="Calibri"/>
        </w:rPr>
        <w:t>dok</w:t>
      </w:r>
      <w:proofErr w:type="spellEnd"/>
      <w:r w:rsidRPr="00A8207E">
        <w:rPr>
          <w:rFonts w:ascii="Calibri" w:hAnsi="Calibri" w:cs="Calibri"/>
        </w:rPr>
        <w:t xml:space="preserve"> je pod </w:t>
      </w:r>
      <w:proofErr w:type="spellStart"/>
      <w:r w:rsidRPr="00A8207E">
        <w:rPr>
          <w:rFonts w:ascii="Calibri" w:hAnsi="Calibri" w:cs="Calibri"/>
        </w:rPr>
        <w:t>preprekom</w:t>
      </w:r>
      <w:proofErr w:type="spellEnd"/>
      <w:r w:rsidRPr="00A8207E">
        <w:rPr>
          <w:rFonts w:ascii="Calibri" w:hAnsi="Calibri" w:cs="Calibri"/>
        </w:rPr>
        <w:t xml:space="preserve"> </w:t>
      </w:r>
      <w:proofErr w:type="spellStart"/>
      <w:r w:rsidRPr="00A8207E">
        <w:rPr>
          <w:rFonts w:ascii="Calibri" w:hAnsi="Calibri" w:cs="Calibri"/>
        </w:rPr>
        <w:t>diskriminacija</w:t>
      </w:r>
      <w:proofErr w:type="spellEnd"/>
      <w:r w:rsidRPr="00A8207E">
        <w:rPr>
          <w:rFonts w:ascii="Calibri" w:hAnsi="Calibri" w:cs="Calibri"/>
        </w:rPr>
        <w:t xml:space="preserve"> </w:t>
      </w:r>
      <w:proofErr w:type="spellStart"/>
      <w:r w:rsidRPr="00A8207E">
        <w:rPr>
          <w:rFonts w:ascii="Calibri" w:hAnsi="Calibri" w:cs="Calibri"/>
        </w:rPr>
        <w:t>na</w:t>
      </w:r>
      <w:proofErr w:type="spellEnd"/>
      <w:r w:rsidRPr="00A8207E">
        <w:rPr>
          <w:rFonts w:ascii="Calibri" w:hAnsi="Calibri" w:cs="Calibri"/>
        </w:rPr>
        <w:t xml:space="preserve"> </w:t>
      </w:r>
      <w:proofErr w:type="spellStart"/>
      <w:r w:rsidRPr="00A8207E">
        <w:rPr>
          <w:rFonts w:ascii="Calibri" w:hAnsi="Calibri" w:cs="Calibri"/>
        </w:rPr>
        <w:t>cjenovnoj</w:t>
      </w:r>
      <w:proofErr w:type="spellEnd"/>
      <w:r w:rsidRPr="00A8207E">
        <w:rPr>
          <w:rFonts w:ascii="Calibri" w:hAnsi="Calibri" w:cs="Calibri"/>
        </w:rPr>
        <w:t xml:space="preserve"> </w:t>
      </w:r>
      <w:proofErr w:type="spellStart"/>
      <w:r w:rsidRPr="00A8207E">
        <w:rPr>
          <w:rFonts w:ascii="Calibri" w:hAnsi="Calibri" w:cs="Calibri"/>
        </w:rPr>
        <w:t>osnovi</w:t>
      </w:r>
      <w:proofErr w:type="spellEnd"/>
      <w:r w:rsidRPr="00A8207E">
        <w:rPr>
          <w:rFonts w:ascii="Calibri" w:hAnsi="Calibri" w:cs="Calibri"/>
        </w:rPr>
        <w:t xml:space="preserve"> </w:t>
      </w:r>
      <w:proofErr w:type="spellStart"/>
      <w:r w:rsidRPr="00A8207E">
        <w:rPr>
          <w:rFonts w:ascii="Calibri" w:hAnsi="Calibri" w:cs="Calibri"/>
        </w:rPr>
        <w:t>objašnjena</w:t>
      </w:r>
      <w:proofErr w:type="spellEnd"/>
      <w:r w:rsidRPr="00A8207E">
        <w:rPr>
          <w:rFonts w:ascii="Calibri" w:hAnsi="Calibri" w:cs="Calibri"/>
        </w:rPr>
        <w:t xml:space="preserve"> </w:t>
      </w:r>
      <w:proofErr w:type="spellStart"/>
      <w:r w:rsidRPr="00A8207E">
        <w:rPr>
          <w:rFonts w:ascii="Calibri" w:hAnsi="Calibri" w:cs="Calibri"/>
        </w:rPr>
        <w:t>mogućnost</w:t>
      </w:r>
      <w:proofErr w:type="spellEnd"/>
      <w:r w:rsidRPr="00A8207E">
        <w:rPr>
          <w:rFonts w:ascii="Calibri" w:hAnsi="Calibri" w:cs="Calibri"/>
        </w:rPr>
        <w:t xml:space="preserve"> </w:t>
      </w:r>
      <w:proofErr w:type="spellStart"/>
      <w:r w:rsidRPr="00A8207E">
        <w:rPr>
          <w:rFonts w:ascii="Calibri" w:hAnsi="Calibri" w:cs="Calibri"/>
        </w:rPr>
        <w:t>diskriminacije</w:t>
      </w:r>
      <w:proofErr w:type="spellEnd"/>
      <w:r w:rsidRPr="00A8207E">
        <w:rPr>
          <w:rFonts w:ascii="Calibri" w:hAnsi="Calibri" w:cs="Calibri"/>
        </w:rPr>
        <w:t xml:space="preserve"> </w:t>
      </w:r>
      <w:proofErr w:type="spellStart"/>
      <w:r w:rsidRPr="00A8207E">
        <w:rPr>
          <w:rFonts w:ascii="Calibri" w:hAnsi="Calibri" w:cs="Calibri"/>
        </w:rPr>
        <w:t>koju</w:t>
      </w:r>
      <w:proofErr w:type="spellEnd"/>
      <w:r w:rsidRPr="00A8207E">
        <w:rPr>
          <w:rFonts w:ascii="Calibri" w:hAnsi="Calibri" w:cs="Calibri"/>
        </w:rPr>
        <w:t xml:space="preserve"> </w:t>
      </w:r>
      <w:proofErr w:type="spellStart"/>
      <w:r w:rsidRPr="00A8207E">
        <w:rPr>
          <w:rFonts w:ascii="Calibri" w:hAnsi="Calibri" w:cs="Calibri"/>
        </w:rPr>
        <w:t>može</w:t>
      </w:r>
      <w:proofErr w:type="spellEnd"/>
      <w:r w:rsidRPr="00A8207E">
        <w:rPr>
          <w:rFonts w:ascii="Calibri" w:hAnsi="Calibri" w:cs="Calibri"/>
        </w:rPr>
        <w:t xml:space="preserve"> </w:t>
      </w:r>
      <w:proofErr w:type="spellStart"/>
      <w:r w:rsidRPr="00A8207E">
        <w:rPr>
          <w:rFonts w:ascii="Calibri" w:hAnsi="Calibri" w:cs="Calibri"/>
        </w:rPr>
        <w:t>vršiti</w:t>
      </w:r>
      <w:proofErr w:type="spellEnd"/>
      <w:r w:rsidRPr="00A8207E">
        <w:rPr>
          <w:rFonts w:ascii="Calibri" w:hAnsi="Calibri" w:cs="Calibri"/>
        </w:rPr>
        <w:t xml:space="preserve"> </w:t>
      </w:r>
      <w:proofErr w:type="spellStart"/>
      <w:r w:rsidRPr="00A8207E">
        <w:rPr>
          <w:rFonts w:ascii="Calibri" w:hAnsi="Calibri" w:cs="Calibri"/>
        </w:rPr>
        <w:t>svaki</w:t>
      </w:r>
      <w:proofErr w:type="spellEnd"/>
      <w:r w:rsidRPr="00A8207E">
        <w:rPr>
          <w:rFonts w:ascii="Calibri" w:hAnsi="Calibri" w:cs="Calibri"/>
        </w:rPr>
        <w:t xml:space="preserve"> operator </w:t>
      </w:r>
      <w:proofErr w:type="spellStart"/>
      <w:r w:rsidRPr="00A8207E">
        <w:rPr>
          <w:rFonts w:ascii="Calibri" w:hAnsi="Calibri" w:cs="Calibri"/>
        </w:rPr>
        <w:t>individualno</w:t>
      </w:r>
      <w:proofErr w:type="spellEnd"/>
      <w:r w:rsidRPr="00A8207E">
        <w:rPr>
          <w:rFonts w:ascii="Calibri" w:hAnsi="Calibri" w:cs="Calibri"/>
        </w:rPr>
        <w:t>.</w:t>
      </w:r>
    </w:p>
  </w:footnote>
  <w:footnote w:id="26">
    <w:p w:rsidR="00373243" w:rsidRPr="00B37377" w:rsidRDefault="00373243">
      <w:pPr>
        <w:pStyle w:val="FootnoteText"/>
        <w:rPr>
          <w:lang w:val="hr-HR"/>
        </w:rPr>
      </w:pPr>
      <w:r>
        <w:rPr>
          <w:rStyle w:val="FootnoteReference"/>
        </w:rPr>
        <w:footnoteRef/>
      </w:r>
      <w:r>
        <w:t xml:space="preserve"> </w:t>
      </w:r>
      <w:r w:rsidRPr="00D26821">
        <w:t xml:space="preserve">U </w:t>
      </w:r>
      <w:proofErr w:type="spellStart"/>
      <w:r w:rsidRPr="00D26821">
        <w:t>konačnoj</w:t>
      </w:r>
      <w:proofErr w:type="spellEnd"/>
      <w:r w:rsidRPr="00D26821">
        <w:t xml:space="preserve"> </w:t>
      </w:r>
      <w:proofErr w:type="spellStart"/>
      <w:r w:rsidRPr="00D26821">
        <w:t>odluci</w:t>
      </w:r>
      <w:proofErr w:type="spellEnd"/>
      <w:r w:rsidRPr="00D26821">
        <w:t xml:space="preserve"> </w:t>
      </w:r>
      <w:proofErr w:type="spellStart"/>
      <w:r w:rsidRPr="00D26821">
        <w:t>biti</w:t>
      </w:r>
      <w:proofErr w:type="spellEnd"/>
      <w:r w:rsidRPr="00D26821">
        <w:t xml:space="preserve"> </w:t>
      </w:r>
      <w:proofErr w:type="spellStart"/>
      <w:r w:rsidRPr="00D26821">
        <w:t>će</w:t>
      </w:r>
      <w:proofErr w:type="spellEnd"/>
      <w:r w:rsidRPr="00D26821">
        <w:t xml:space="preserve"> </w:t>
      </w:r>
      <w:proofErr w:type="spellStart"/>
      <w:r w:rsidRPr="00D26821">
        <w:t>naveden</w:t>
      </w:r>
      <w:proofErr w:type="spellEnd"/>
      <w:r w:rsidRPr="00D26821">
        <w:t xml:space="preserve"> </w:t>
      </w:r>
      <w:proofErr w:type="spellStart"/>
      <w:r w:rsidRPr="00D26821">
        <w:t>točan</w:t>
      </w:r>
      <w:proofErr w:type="spellEnd"/>
      <w:r w:rsidRPr="00D26821">
        <w:t xml:space="preserve"> datum</w:t>
      </w:r>
    </w:p>
  </w:footnote>
  <w:footnote w:id="27">
    <w:p w:rsidR="00373243" w:rsidRPr="000C5040" w:rsidRDefault="00373243" w:rsidP="005F3D76">
      <w:pPr>
        <w:pStyle w:val="FootnoteText"/>
        <w:jc w:val="both"/>
        <w:rPr>
          <w:lang w:val="hr-HR"/>
        </w:rPr>
      </w:pPr>
      <w:r>
        <w:rPr>
          <w:rStyle w:val="FootnoteReference"/>
        </w:rPr>
        <w:footnoteRef/>
      </w:r>
      <w:r>
        <w:t xml:space="preserve"> </w:t>
      </w:r>
      <w:r>
        <w:rPr>
          <w:lang w:val="hr-HR"/>
        </w:rPr>
        <w:t>NN 126/15</w:t>
      </w:r>
    </w:p>
  </w:footnote>
  <w:footnote w:id="28">
    <w:p w:rsidR="00373243" w:rsidRPr="0009535C" w:rsidRDefault="00373243">
      <w:pPr>
        <w:pStyle w:val="FootnoteText"/>
        <w:rPr>
          <w:lang w:val="hr-HR"/>
        </w:rPr>
      </w:pPr>
      <w:r>
        <w:rPr>
          <w:rStyle w:val="FootnoteReference"/>
        </w:rPr>
        <w:footnoteRef/>
      </w:r>
      <w:r>
        <w:t xml:space="preserve"> </w:t>
      </w:r>
      <w:r w:rsidRPr="006D09B3">
        <w:t xml:space="preserve">U </w:t>
      </w:r>
      <w:proofErr w:type="spellStart"/>
      <w:r w:rsidRPr="006D09B3">
        <w:t>toku</w:t>
      </w:r>
      <w:proofErr w:type="spellEnd"/>
      <w:r w:rsidRPr="006D09B3">
        <w:t xml:space="preserve"> </w:t>
      </w:r>
      <w:proofErr w:type="spellStart"/>
      <w:r w:rsidRPr="006D09B3">
        <w:t>provođenja</w:t>
      </w:r>
      <w:proofErr w:type="spellEnd"/>
      <w:r w:rsidRPr="006D09B3">
        <w:t xml:space="preserve"> </w:t>
      </w:r>
      <w:proofErr w:type="spellStart"/>
      <w:r w:rsidRPr="006D09B3">
        <w:t>predmetne</w:t>
      </w:r>
      <w:proofErr w:type="spellEnd"/>
      <w:r w:rsidRPr="006D09B3">
        <w:t xml:space="preserve"> analize u </w:t>
      </w:r>
      <w:proofErr w:type="spellStart"/>
      <w:r w:rsidRPr="006D09B3">
        <w:t>postupku</w:t>
      </w:r>
      <w:proofErr w:type="spellEnd"/>
      <w:r w:rsidRPr="006D09B3">
        <w:t xml:space="preserve"> je </w:t>
      </w:r>
      <w:proofErr w:type="spellStart"/>
      <w:r w:rsidRPr="006D09B3">
        <w:t>promjena</w:t>
      </w:r>
      <w:proofErr w:type="spellEnd"/>
      <w:r w:rsidRPr="006D09B3">
        <w:t xml:space="preserve"> </w:t>
      </w:r>
      <w:proofErr w:type="spellStart"/>
      <w:r w:rsidRPr="006D09B3">
        <w:t>zakonodavnog</w:t>
      </w:r>
      <w:proofErr w:type="spellEnd"/>
      <w:r w:rsidRPr="006D09B3">
        <w:t xml:space="preserve"> </w:t>
      </w:r>
      <w:proofErr w:type="spellStart"/>
      <w:r w:rsidRPr="006D09B3">
        <w:t>okvira</w:t>
      </w:r>
      <w:proofErr w:type="spellEnd"/>
      <w:r w:rsidRPr="006D09B3">
        <w:t xml:space="preserve"> </w:t>
      </w:r>
      <w:proofErr w:type="spellStart"/>
      <w:r w:rsidRPr="006D09B3">
        <w:t>kojim</w:t>
      </w:r>
      <w:proofErr w:type="spellEnd"/>
      <w:r w:rsidRPr="006D09B3">
        <w:t xml:space="preserve"> je </w:t>
      </w:r>
      <w:proofErr w:type="spellStart"/>
      <w:r w:rsidRPr="006D09B3">
        <w:t>uređen</w:t>
      </w:r>
      <w:proofErr w:type="spellEnd"/>
      <w:r w:rsidRPr="006D09B3">
        <w:t xml:space="preserve"> </w:t>
      </w:r>
      <w:proofErr w:type="spellStart"/>
      <w:r w:rsidRPr="006D09B3">
        <w:t>postupak</w:t>
      </w:r>
      <w:proofErr w:type="spellEnd"/>
      <w:r w:rsidRPr="006D09B3">
        <w:t xml:space="preserve"> </w:t>
      </w:r>
      <w:proofErr w:type="spellStart"/>
      <w:r w:rsidRPr="006D09B3">
        <w:t>predstečajne</w:t>
      </w:r>
      <w:proofErr w:type="spellEnd"/>
      <w:r w:rsidRPr="006D09B3">
        <w:t xml:space="preserve"> </w:t>
      </w:r>
      <w:proofErr w:type="spellStart"/>
      <w:r w:rsidRPr="006D09B3">
        <w:t>nagodbe</w:t>
      </w:r>
      <w:proofErr w:type="spellEnd"/>
      <w:r w:rsidRPr="006D09B3">
        <w:t>.</w:t>
      </w:r>
    </w:p>
  </w:footnote>
  <w:footnote w:id="29">
    <w:p w:rsidR="00373243" w:rsidRPr="00187830" w:rsidRDefault="00373243" w:rsidP="00021598">
      <w:pPr>
        <w:pStyle w:val="FootnoteText"/>
        <w:jc w:val="both"/>
        <w:rPr>
          <w:lang w:val="hr-HR"/>
        </w:rPr>
      </w:pPr>
      <w:r w:rsidRPr="00A8207E">
        <w:rPr>
          <w:rStyle w:val="FootnoteReference"/>
        </w:rPr>
        <w:footnoteRef/>
      </w:r>
      <w:r w:rsidRPr="00A8207E">
        <w:t xml:space="preserve"> </w:t>
      </w:r>
      <w:r w:rsidRPr="00A8207E">
        <w:t>KLASA: UP/I-344-01/11-09/08, URBROJ: 376-11-12-13</w:t>
      </w:r>
    </w:p>
  </w:footnote>
  <w:footnote w:id="30">
    <w:p w:rsidR="00373243" w:rsidRPr="00B37377" w:rsidRDefault="00373243" w:rsidP="00957E7A">
      <w:pPr>
        <w:pStyle w:val="FootnoteText"/>
        <w:jc w:val="both"/>
        <w:rPr>
          <w:lang w:val="hr-HR"/>
        </w:rPr>
      </w:pPr>
      <w:r w:rsidRPr="00A8207E">
        <w:rPr>
          <w:rStyle w:val="FootnoteReference"/>
        </w:rPr>
        <w:footnoteRef/>
      </w:r>
      <w:r w:rsidRPr="00A8207E">
        <w:t xml:space="preserve"> </w:t>
      </w:r>
      <w:r w:rsidRPr="00A8207E">
        <w:rPr>
          <w:lang w:val="hr-HR"/>
        </w:rPr>
        <w:t>KLASA:</w:t>
      </w:r>
      <w:r w:rsidRPr="00A8207E">
        <w:t>UP/I-344-01/1</w:t>
      </w:r>
      <w:r>
        <w:rPr>
          <w:lang w:val="hr-HR"/>
        </w:rPr>
        <w:t>6</w:t>
      </w:r>
      <w:r w:rsidRPr="00A8207E">
        <w:t>-05/</w:t>
      </w:r>
      <w:r>
        <w:rPr>
          <w:lang w:val="hr-HR"/>
        </w:rPr>
        <w:t>10</w:t>
      </w:r>
      <w:r w:rsidRPr="00A8207E">
        <w:rPr>
          <w:lang w:val="hr-HR"/>
        </w:rPr>
        <w:t>,</w:t>
      </w:r>
      <w:r w:rsidRPr="00A8207E">
        <w:t xml:space="preserve"> URBROJ:376-11/1</w:t>
      </w:r>
      <w:r>
        <w:rPr>
          <w:lang w:val="hr-HR"/>
        </w:rPr>
        <w:t>6</w:t>
      </w:r>
      <w:r w:rsidRPr="00A8207E">
        <w:t>-0</w:t>
      </w:r>
      <w:r>
        <w:rPr>
          <w:lang w:val="hr-HR"/>
        </w:rPr>
        <w:t>8</w:t>
      </w:r>
    </w:p>
  </w:footnote>
  <w:footnote w:id="31">
    <w:p w:rsidR="00373243" w:rsidRPr="00A8207E" w:rsidRDefault="00373243" w:rsidP="00957E7A">
      <w:pPr>
        <w:pStyle w:val="FootnoteText"/>
        <w:jc w:val="both"/>
      </w:pPr>
      <w:r w:rsidRPr="00A8207E">
        <w:rPr>
          <w:rStyle w:val="FootnoteReference"/>
        </w:rPr>
        <w:footnoteRef/>
      </w:r>
      <w:r w:rsidRPr="00A8207E">
        <w:t xml:space="preserve"> </w:t>
      </w:r>
      <w:r w:rsidRPr="00A8207E">
        <w:t>Commission Recommendation on the Regulatory Treatment of Fixed and Mobile Termination Rates in the EU</w:t>
      </w:r>
    </w:p>
    <w:p w:rsidR="00373243" w:rsidRPr="00A8207E" w:rsidRDefault="00373243" w:rsidP="00957E7A">
      <w:pPr>
        <w:pStyle w:val="FootnoteText"/>
        <w:jc w:val="both"/>
        <w:rPr>
          <w:lang w:val="hr-HR"/>
        </w:rPr>
      </w:pPr>
      <w:r w:rsidRPr="00A8207E">
        <w:t>(2009/396/EC), 20 May 2009</w:t>
      </w:r>
    </w:p>
  </w:footnote>
  <w:footnote w:id="32">
    <w:p w:rsidR="00373243" w:rsidRPr="00DF658E" w:rsidRDefault="00373243" w:rsidP="00B02775">
      <w:pPr>
        <w:pStyle w:val="FootnoteText"/>
        <w:jc w:val="both"/>
        <w:rPr>
          <w:rFonts w:cstheme="minorHAnsi"/>
        </w:rPr>
      </w:pPr>
      <w:r w:rsidRPr="00DF658E">
        <w:rPr>
          <w:rStyle w:val="FootnoteReference"/>
          <w:rFonts w:cstheme="minorHAnsi"/>
        </w:rPr>
        <w:footnoteRef/>
      </w:r>
      <w:r w:rsidRPr="00DF658E">
        <w:rPr>
          <w:rFonts w:cstheme="minorHAnsi"/>
        </w:rPr>
        <w:t xml:space="preserve"> </w:t>
      </w:r>
      <w:proofErr w:type="spellStart"/>
      <w:r w:rsidRPr="00DF658E">
        <w:rPr>
          <w:rFonts w:cstheme="minorHAnsi"/>
        </w:rPr>
        <w:t>Direktiva</w:t>
      </w:r>
      <w:proofErr w:type="spellEnd"/>
      <w:r w:rsidRPr="00DF658E">
        <w:rPr>
          <w:rFonts w:cstheme="minorHAnsi"/>
        </w:rPr>
        <w:t xml:space="preserve"> </w:t>
      </w:r>
      <w:proofErr w:type="spellStart"/>
      <w:r w:rsidRPr="00DF658E">
        <w:rPr>
          <w:rFonts w:cstheme="minorHAnsi"/>
        </w:rPr>
        <w:t>Europskog</w:t>
      </w:r>
      <w:proofErr w:type="spellEnd"/>
      <w:r w:rsidRPr="00DF658E">
        <w:rPr>
          <w:rFonts w:cstheme="minorHAnsi"/>
        </w:rPr>
        <w:t xml:space="preserve"> </w:t>
      </w:r>
      <w:proofErr w:type="spellStart"/>
      <w:r w:rsidRPr="00DF658E">
        <w:rPr>
          <w:rFonts w:cstheme="minorHAnsi"/>
        </w:rPr>
        <w:t>parlamenta</w:t>
      </w:r>
      <w:proofErr w:type="spellEnd"/>
      <w:r w:rsidRPr="00DF658E">
        <w:rPr>
          <w:rFonts w:cstheme="minorHAnsi"/>
        </w:rPr>
        <w:t xml:space="preserve"> </w:t>
      </w:r>
      <w:proofErr w:type="spellStart"/>
      <w:r w:rsidRPr="00DF658E">
        <w:rPr>
          <w:rFonts w:cstheme="minorHAnsi"/>
        </w:rPr>
        <w:t>i</w:t>
      </w:r>
      <w:proofErr w:type="spellEnd"/>
      <w:r w:rsidRPr="00DF658E">
        <w:rPr>
          <w:rFonts w:cstheme="minorHAnsi"/>
        </w:rPr>
        <w:t xml:space="preserve"> </w:t>
      </w:r>
      <w:proofErr w:type="spellStart"/>
      <w:r w:rsidRPr="00DF658E">
        <w:rPr>
          <w:rFonts w:cstheme="minorHAnsi"/>
        </w:rPr>
        <w:t>Vijeća</w:t>
      </w:r>
      <w:proofErr w:type="spellEnd"/>
      <w:r w:rsidRPr="00DF658E">
        <w:rPr>
          <w:rFonts w:cstheme="minorHAnsi"/>
        </w:rPr>
        <w:t xml:space="preserve"> o </w:t>
      </w:r>
      <w:proofErr w:type="spellStart"/>
      <w:r w:rsidRPr="00DF658E">
        <w:rPr>
          <w:rFonts w:cstheme="minorHAnsi"/>
        </w:rPr>
        <w:t>Europskom</w:t>
      </w:r>
      <w:proofErr w:type="spellEnd"/>
      <w:r w:rsidRPr="00DF658E">
        <w:rPr>
          <w:rFonts w:cstheme="minorHAnsi"/>
        </w:rPr>
        <w:t xml:space="preserve"> </w:t>
      </w:r>
      <w:proofErr w:type="spellStart"/>
      <w:r w:rsidRPr="00DF658E">
        <w:rPr>
          <w:rFonts w:cstheme="minorHAnsi"/>
        </w:rPr>
        <w:t>zakoniku</w:t>
      </w:r>
      <w:proofErr w:type="spellEnd"/>
      <w:r w:rsidRPr="00DF658E">
        <w:rPr>
          <w:rFonts w:cstheme="minorHAnsi"/>
        </w:rPr>
        <w:t xml:space="preserve"> </w:t>
      </w:r>
      <w:proofErr w:type="spellStart"/>
      <w:r w:rsidRPr="00DF658E">
        <w:rPr>
          <w:rFonts w:cstheme="minorHAnsi"/>
        </w:rPr>
        <w:t>elektroničkih</w:t>
      </w:r>
      <w:proofErr w:type="spellEnd"/>
      <w:r w:rsidRPr="00DF658E">
        <w:rPr>
          <w:rFonts w:cstheme="minorHAnsi"/>
        </w:rPr>
        <w:t xml:space="preserve"> </w:t>
      </w:r>
      <w:proofErr w:type="spellStart"/>
      <w:r w:rsidRPr="00DF658E">
        <w:rPr>
          <w:rFonts w:cstheme="minorHAnsi"/>
        </w:rPr>
        <w:t>komunikacija</w:t>
      </w:r>
      <w:proofErr w:type="spellEnd"/>
      <w:r w:rsidRPr="00DF658E">
        <w:rPr>
          <w:rFonts w:cstheme="minorHAnsi"/>
        </w:rPr>
        <w:t xml:space="preserve"> </w:t>
      </w:r>
      <w:proofErr w:type="spellStart"/>
      <w:r w:rsidRPr="00DF658E">
        <w:rPr>
          <w:rFonts w:cstheme="minorHAnsi"/>
        </w:rPr>
        <w:t>koja</w:t>
      </w:r>
      <w:proofErr w:type="spellEnd"/>
      <w:r w:rsidRPr="00DF658E">
        <w:rPr>
          <w:rFonts w:cstheme="minorHAnsi"/>
        </w:rPr>
        <w:t xml:space="preserve"> </w:t>
      </w:r>
      <w:proofErr w:type="spellStart"/>
      <w:r w:rsidRPr="00DF658E">
        <w:rPr>
          <w:rFonts w:cstheme="minorHAnsi"/>
        </w:rPr>
        <w:t>će</w:t>
      </w:r>
      <w:proofErr w:type="spellEnd"/>
      <w:r w:rsidRPr="00DF658E">
        <w:rPr>
          <w:rFonts w:cstheme="minorHAnsi"/>
        </w:rPr>
        <w:t xml:space="preserve"> </w:t>
      </w:r>
      <w:proofErr w:type="spellStart"/>
      <w:r w:rsidRPr="00DF658E">
        <w:rPr>
          <w:rFonts w:cstheme="minorHAnsi"/>
        </w:rPr>
        <w:t>biti</w:t>
      </w:r>
      <w:proofErr w:type="spellEnd"/>
      <w:r w:rsidRPr="00DF658E">
        <w:rPr>
          <w:rFonts w:cstheme="minorHAnsi"/>
        </w:rPr>
        <w:t xml:space="preserve"> </w:t>
      </w:r>
      <w:proofErr w:type="spellStart"/>
      <w:r w:rsidRPr="00DF658E">
        <w:rPr>
          <w:rFonts w:cstheme="minorHAnsi"/>
        </w:rPr>
        <w:t>usvojena</w:t>
      </w:r>
      <w:proofErr w:type="spellEnd"/>
      <w:r w:rsidRPr="00DF658E">
        <w:rPr>
          <w:rFonts w:cstheme="minorHAnsi"/>
        </w:rPr>
        <w:t xml:space="preserve"> do </w:t>
      </w:r>
      <w:proofErr w:type="spellStart"/>
      <w:r w:rsidRPr="00DF658E">
        <w:rPr>
          <w:rFonts w:cstheme="minorHAnsi"/>
        </w:rPr>
        <w:t>kraja</w:t>
      </w:r>
      <w:proofErr w:type="spellEnd"/>
      <w:r w:rsidRPr="00DF658E">
        <w:rPr>
          <w:rFonts w:cstheme="minorHAnsi"/>
        </w:rPr>
        <w:t xml:space="preserve"> 2018. </w:t>
      </w:r>
    </w:p>
  </w:footnote>
  <w:footnote w:id="33">
    <w:p w:rsidR="00373243" w:rsidRPr="00E42A77" w:rsidRDefault="00373243" w:rsidP="00932E20">
      <w:pPr>
        <w:pStyle w:val="FootnoteText"/>
        <w:jc w:val="both"/>
        <w:rPr>
          <w:rFonts w:cstheme="minorHAnsi"/>
        </w:rPr>
      </w:pPr>
      <w:r w:rsidRPr="00E42A77">
        <w:rPr>
          <w:rStyle w:val="FootnoteReference"/>
          <w:rFonts w:eastAsiaTheme="majorEastAsia" w:cstheme="minorHAnsi"/>
        </w:rPr>
        <w:footnoteRef/>
      </w:r>
      <w:r w:rsidRPr="00E42A77">
        <w:rPr>
          <w:rFonts w:cstheme="minorHAnsi"/>
        </w:rPr>
        <w:t xml:space="preserve"> </w:t>
      </w:r>
      <w:r w:rsidRPr="00E42A77">
        <w:rPr>
          <w:rFonts w:cstheme="minorHAnsi"/>
        </w:rPr>
        <w:t>KLASA: UP/I-344-01/13-05/33; URBROJ: 376-11/13-2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672" w:rsidRPr="00391672" w:rsidRDefault="00391672" w:rsidP="00391672">
    <w:pPr>
      <w:ind w:left="-357" w:right="-357"/>
      <w:jc w:val="center"/>
      <w:rPr>
        <w:rFonts w:ascii="Calibri" w:eastAsia="Times New Roman" w:hAnsi="Calibri" w:cs="Times New Roman"/>
        <w:color w:val="024182"/>
        <w:sz w:val="16"/>
        <w:szCs w:val="24"/>
      </w:rPr>
    </w:pPr>
    <w:r w:rsidRPr="00391672">
      <w:rPr>
        <w:rFonts w:ascii="Calibri" w:eastAsia="Times New Roman" w:hAnsi="Calibri" w:cs="Times New Roman"/>
        <w:noProof/>
        <w:color w:val="024182"/>
        <w:sz w:val="16"/>
        <w:szCs w:val="24"/>
        <w:lang w:val="en-US" w:eastAsia="en-US"/>
      </w:rPr>
      <w:drawing>
        <wp:inline distT="0" distB="0" distL="0" distR="0" wp14:anchorId="0452E0DD" wp14:editId="7A8922D9">
          <wp:extent cx="1314450" cy="828675"/>
          <wp:effectExtent l="0" t="0" r="0" b="9525"/>
          <wp:docPr id="13" name="Picture 1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391672" w:rsidRPr="00391672" w:rsidRDefault="00391672" w:rsidP="00391672">
    <w:pPr>
      <w:ind w:left="-357" w:right="-357"/>
      <w:jc w:val="center"/>
      <w:rPr>
        <w:rFonts w:ascii="Calibri" w:eastAsia="Times New Roman" w:hAnsi="Calibri" w:cs="Times New Roman"/>
        <w:color w:val="024182"/>
        <w:sz w:val="16"/>
        <w:szCs w:val="24"/>
      </w:rPr>
    </w:pPr>
    <w:r w:rsidRPr="00391672">
      <w:rPr>
        <w:rFonts w:ascii="Calibri" w:eastAsia="Times New Roman" w:hAnsi="Calibri" w:cs="Times New Roman"/>
        <w:noProof/>
        <w:color w:val="024182"/>
        <w:sz w:val="16"/>
        <w:szCs w:val="24"/>
        <w:lang w:val="en-US" w:eastAsia="en-US"/>
      </w:rPr>
      <mc:AlternateContent>
        <mc:Choice Requires="wps">
          <w:drawing>
            <wp:inline distT="0" distB="0" distL="0" distR="0" wp14:anchorId="7A0AD13F" wp14:editId="0C0A45D1">
              <wp:extent cx="6480175" cy="0"/>
              <wp:effectExtent l="9525" t="9525" r="6350" b="9525"/>
              <wp:docPr id="3"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ImBECc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391672" w:rsidRPr="00391672" w:rsidRDefault="00391672" w:rsidP="00391672">
    <w:pPr>
      <w:ind w:left="-357" w:right="-357"/>
      <w:jc w:val="center"/>
      <w:rPr>
        <w:rFonts w:ascii="Calibri" w:eastAsia="Times New Roman" w:hAnsi="Calibri" w:cs="Times New Roman"/>
        <w:color w:val="024182"/>
        <w:sz w:val="16"/>
        <w:szCs w:val="24"/>
      </w:rPr>
    </w:pPr>
  </w:p>
  <w:p w:rsidR="00391672" w:rsidRPr="00391672" w:rsidRDefault="00391672" w:rsidP="00391672">
    <w:pPr>
      <w:ind w:left="-357" w:right="-357"/>
      <w:jc w:val="right"/>
      <w:rPr>
        <w:rFonts w:ascii="Times New Roman" w:eastAsia="Times New Roman" w:hAnsi="Times New Roman" w:cs="Times New Roman"/>
        <w:b/>
        <w:color w:val="024182"/>
        <w:szCs w:val="24"/>
      </w:rPr>
    </w:pPr>
    <w:r w:rsidRPr="00391672">
      <w:rPr>
        <w:rFonts w:ascii="Times New Roman" w:eastAsia="Times New Roman" w:hAnsi="Times New Roman" w:cs="Times New Roman"/>
        <w:b/>
        <w:color w:val="024182"/>
        <w:szCs w:val="24"/>
      </w:rPr>
      <w:t xml:space="preserve">PRIJEDLOG ZA JAVNU RASPRAVU- 2. KRUG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672" w:rsidRPr="00347A2E" w:rsidRDefault="00391672" w:rsidP="00347A2E">
    <w:pPr>
      <w:jc w:val="right"/>
      <w:rPr>
        <w:sz w:val="18"/>
        <w:szCs w:val="18"/>
      </w:rPr>
    </w:pPr>
    <w:r w:rsidRPr="00347A2E">
      <w:rPr>
        <w:noProof/>
        <w:sz w:val="18"/>
        <w:szCs w:val="18"/>
        <w:lang w:val="en-US" w:eastAsia="en-US"/>
      </w:rPr>
      <w:drawing>
        <wp:anchor distT="0" distB="0" distL="114300" distR="114300" simplePos="0" relativeHeight="251662336" behindDoc="0" locked="0" layoutInCell="1" allowOverlap="1" wp14:anchorId="0625BF90" wp14:editId="71329C40">
          <wp:simplePos x="0" y="0"/>
          <wp:positionH relativeFrom="column">
            <wp:posOffset>14605</wp:posOffset>
          </wp:positionH>
          <wp:positionV relativeFrom="paragraph">
            <wp:posOffset>14605</wp:posOffset>
          </wp:positionV>
          <wp:extent cx="342900" cy="224790"/>
          <wp:effectExtent l="0" t="0" r="0" b="381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7A2E">
      <w:rPr>
        <w:noProof/>
        <w:sz w:val="18"/>
        <w:szCs w:val="18"/>
        <w:lang w:val="en-US" w:eastAsia="en-US"/>
      </w:rPr>
      <w:drawing>
        <wp:anchor distT="0" distB="0" distL="114300" distR="114300" simplePos="0" relativeHeight="251663360" behindDoc="0" locked="0" layoutInCell="1" allowOverlap="1" wp14:anchorId="3DA13225" wp14:editId="6C0D88AF">
          <wp:simplePos x="0" y="0"/>
          <wp:positionH relativeFrom="column">
            <wp:posOffset>14605</wp:posOffset>
          </wp:positionH>
          <wp:positionV relativeFrom="paragraph">
            <wp:posOffset>14605</wp:posOffset>
          </wp:positionV>
          <wp:extent cx="342900" cy="224790"/>
          <wp:effectExtent l="0" t="0" r="0" b="381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7A2E">
      <w:rPr>
        <w:noProof/>
        <w:sz w:val="18"/>
        <w:szCs w:val="18"/>
        <w:lang w:val="en-US" w:eastAsia="en-US"/>
      </w:rPr>
      <w:drawing>
        <wp:anchor distT="0" distB="0" distL="114300" distR="114300" simplePos="0" relativeHeight="251664384" behindDoc="0" locked="0" layoutInCell="1" allowOverlap="1" wp14:anchorId="5E419A35" wp14:editId="15C5CE2E">
          <wp:simplePos x="0" y="0"/>
          <wp:positionH relativeFrom="column">
            <wp:posOffset>14605</wp:posOffset>
          </wp:positionH>
          <wp:positionV relativeFrom="paragraph">
            <wp:posOffset>14605</wp:posOffset>
          </wp:positionV>
          <wp:extent cx="342900" cy="224790"/>
          <wp:effectExtent l="0" t="0" r="0" b="381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8"/>
        <w:szCs w:val="18"/>
      </w:rPr>
      <w:t>T</w:t>
    </w:r>
    <w:r w:rsidRPr="00347A2E">
      <w:rPr>
        <w:sz w:val="18"/>
        <w:szCs w:val="18"/>
      </w:rPr>
      <w:t xml:space="preserve">ržište </w:t>
    </w:r>
    <w:r>
      <w:rPr>
        <w:sz w:val="18"/>
        <w:szCs w:val="18"/>
      </w:rPr>
      <w:t>veleprodajnog završavanja poziva u vlastitoj javnoj telefonskoj mreži koja se pruža na fiksnoj lokaciji</w:t>
    </w:r>
  </w:p>
  <w:p w:rsidR="00391672" w:rsidRPr="00AD1F07" w:rsidRDefault="00391672" w:rsidP="00AD1F07">
    <w:pPr>
      <w:pBdr>
        <w:bottom w:val="single" w:sz="4" w:space="1" w:color="auto"/>
      </w:pBdr>
      <w:jc w:val="right"/>
      <w:rPr>
        <w:rFonts w:eastAsia="Times New Roman"/>
        <w:b/>
        <w:sz w:val="16"/>
      </w:rPr>
    </w:pPr>
    <w:r>
      <w:rPr>
        <w:rFonts w:eastAsia="Times New Roman"/>
        <w:b/>
        <w:sz w:val="16"/>
      </w:rPr>
      <w:t xml:space="preserve">listopad </w:t>
    </w:r>
    <w:r w:rsidRPr="00347A2E">
      <w:rPr>
        <w:rFonts w:eastAsia="Times New Roman"/>
        <w:b/>
        <w:sz w:val="16"/>
      </w:rPr>
      <w:t>201</w:t>
    </w:r>
    <w:r>
      <w:rPr>
        <w:rFonts w:eastAsia="Times New Roman"/>
        <w:b/>
        <w:sz w:val="16"/>
      </w:rPr>
      <w:t>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672" w:rsidRDefault="0039167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61C2C"/>
    <w:multiLevelType w:val="hybridMultilevel"/>
    <w:tmpl w:val="EBD8564E"/>
    <w:lvl w:ilvl="0" w:tplc="428EC8C2">
      <w:start w:val="1"/>
      <w:numFmt w:val="bullet"/>
      <w:lvlText w:val="•"/>
      <w:lvlJc w:val="left"/>
      <w:pPr>
        <w:tabs>
          <w:tab w:val="num" w:pos="720"/>
        </w:tabs>
        <w:ind w:left="720" w:hanging="360"/>
      </w:pPr>
      <w:rPr>
        <w:rFonts w:ascii="Arial" w:hAnsi="Arial" w:hint="default"/>
      </w:rPr>
    </w:lvl>
    <w:lvl w:ilvl="1" w:tplc="30081E96" w:tentative="1">
      <w:start w:val="1"/>
      <w:numFmt w:val="bullet"/>
      <w:lvlText w:val="•"/>
      <w:lvlJc w:val="left"/>
      <w:pPr>
        <w:tabs>
          <w:tab w:val="num" w:pos="1440"/>
        </w:tabs>
        <w:ind w:left="1440" w:hanging="360"/>
      </w:pPr>
      <w:rPr>
        <w:rFonts w:ascii="Arial" w:hAnsi="Arial" w:hint="default"/>
      </w:rPr>
    </w:lvl>
    <w:lvl w:ilvl="2" w:tplc="E45AE88C" w:tentative="1">
      <w:start w:val="1"/>
      <w:numFmt w:val="bullet"/>
      <w:lvlText w:val="•"/>
      <w:lvlJc w:val="left"/>
      <w:pPr>
        <w:tabs>
          <w:tab w:val="num" w:pos="2160"/>
        </w:tabs>
        <w:ind w:left="2160" w:hanging="360"/>
      </w:pPr>
      <w:rPr>
        <w:rFonts w:ascii="Arial" w:hAnsi="Arial" w:hint="default"/>
      </w:rPr>
    </w:lvl>
    <w:lvl w:ilvl="3" w:tplc="058AE8C8" w:tentative="1">
      <w:start w:val="1"/>
      <w:numFmt w:val="bullet"/>
      <w:lvlText w:val="•"/>
      <w:lvlJc w:val="left"/>
      <w:pPr>
        <w:tabs>
          <w:tab w:val="num" w:pos="2880"/>
        </w:tabs>
        <w:ind w:left="2880" w:hanging="360"/>
      </w:pPr>
      <w:rPr>
        <w:rFonts w:ascii="Arial" w:hAnsi="Arial" w:hint="default"/>
      </w:rPr>
    </w:lvl>
    <w:lvl w:ilvl="4" w:tplc="080AD58C" w:tentative="1">
      <w:start w:val="1"/>
      <w:numFmt w:val="bullet"/>
      <w:lvlText w:val="•"/>
      <w:lvlJc w:val="left"/>
      <w:pPr>
        <w:tabs>
          <w:tab w:val="num" w:pos="3600"/>
        </w:tabs>
        <w:ind w:left="3600" w:hanging="360"/>
      </w:pPr>
      <w:rPr>
        <w:rFonts w:ascii="Arial" w:hAnsi="Arial" w:hint="default"/>
      </w:rPr>
    </w:lvl>
    <w:lvl w:ilvl="5" w:tplc="DBE0B1BA" w:tentative="1">
      <w:start w:val="1"/>
      <w:numFmt w:val="bullet"/>
      <w:lvlText w:val="•"/>
      <w:lvlJc w:val="left"/>
      <w:pPr>
        <w:tabs>
          <w:tab w:val="num" w:pos="4320"/>
        </w:tabs>
        <w:ind w:left="4320" w:hanging="360"/>
      </w:pPr>
      <w:rPr>
        <w:rFonts w:ascii="Arial" w:hAnsi="Arial" w:hint="default"/>
      </w:rPr>
    </w:lvl>
    <w:lvl w:ilvl="6" w:tplc="C5E45244" w:tentative="1">
      <w:start w:val="1"/>
      <w:numFmt w:val="bullet"/>
      <w:lvlText w:val="•"/>
      <w:lvlJc w:val="left"/>
      <w:pPr>
        <w:tabs>
          <w:tab w:val="num" w:pos="5040"/>
        </w:tabs>
        <w:ind w:left="5040" w:hanging="360"/>
      </w:pPr>
      <w:rPr>
        <w:rFonts w:ascii="Arial" w:hAnsi="Arial" w:hint="default"/>
      </w:rPr>
    </w:lvl>
    <w:lvl w:ilvl="7" w:tplc="94EEDD1C" w:tentative="1">
      <w:start w:val="1"/>
      <w:numFmt w:val="bullet"/>
      <w:lvlText w:val="•"/>
      <w:lvlJc w:val="left"/>
      <w:pPr>
        <w:tabs>
          <w:tab w:val="num" w:pos="5760"/>
        </w:tabs>
        <w:ind w:left="5760" w:hanging="360"/>
      </w:pPr>
      <w:rPr>
        <w:rFonts w:ascii="Arial" w:hAnsi="Arial" w:hint="default"/>
      </w:rPr>
    </w:lvl>
    <w:lvl w:ilvl="8" w:tplc="365CAFEC" w:tentative="1">
      <w:start w:val="1"/>
      <w:numFmt w:val="bullet"/>
      <w:lvlText w:val="•"/>
      <w:lvlJc w:val="left"/>
      <w:pPr>
        <w:tabs>
          <w:tab w:val="num" w:pos="6480"/>
        </w:tabs>
        <w:ind w:left="6480" w:hanging="360"/>
      </w:pPr>
      <w:rPr>
        <w:rFonts w:ascii="Arial" w:hAnsi="Arial" w:hint="default"/>
      </w:rPr>
    </w:lvl>
  </w:abstractNum>
  <w:abstractNum w:abstractNumId="1">
    <w:nsid w:val="06C7356E"/>
    <w:multiLevelType w:val="hybridMultilevel"/>
    <w:tmpl w:val="878EECFE"/>
    <w:lvl w:ilvl="0" w:tplc="04090001">
      <w:start w:val="1"/>
      <w:numFmt w:val="decimal"/>
      <w:lvlText w:val="%1."/>
      <w:lvlJc w:val="left"/>
      <w:pPr>
        <w:tabs>
          <w:tab w:val="num" w:pos="720"/>
        </w:tabs>
        <w:ind w:left="720" w:hanging="360"/>
      </w:pPr>
      <w:rPr>
        <w:rFonts w:hint="default"/>
        <w:color w:val="auto"/>
      </w:rPr>
    </w:lvl>
    <w:lvl w:ilvl="1" w:tplc="04090003">
      <w:numFmt w:val="bullet"/>
      <w:lvlText w:val="-"/>
      <w:lvlJc w:val="left"/>
      <w:pPr>
        <w:tabs>
          <w:tab w:val="num" w:pos="1800"/>
        </w:tabs>
        <w:ind w:left="1800" w:hanging="360"/>
      </w:pPr>
      <w:rPr>
        <w:rFonts w:ascii="Times New Roman" w:eastAsia="Times New Roman"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nsid w:val="08276F7F"/>
    <w:multiLevelType w:val="hybridMultilevel"/>
    <w:tmpl w:val="F4B8FD9E"/>
    <w:lvl w:ilvl="0" w:tplc="32204640">
      <w:start w:val="1"/>
      <w:numFmt w:val="bullet"/>
      <w:lvlText w:val=""/>
      <w:lvlJc w:val="left"/>
      <w:pPr>
        <w:ind w:left="720" w:hanging="360"/>
      </w:pPr>
      <w:rPr>
        <w:rFonts w:ascii="Symbol" w:hAnsi="Symbol" w:hint="default"/>
        <w:color w:val="4F81BD" w:themeColor="accent1"/>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nsid w:val="0CF84A8F"/>
    <w:multiLevelType w:val="hybridMultilevel"/>
    <w:tmpl w:val="33581DD6"/>
    <w:lvl w:ilvl="0" w:tplc="FCDAFA10">
      <w:start w:val="1"/>
      <w:numFmt w:val="bullet"/>
      <w:lvlText w:val="•"/>
      <w:lvlJc w:val="left"/>
      <w:pPr>
        <w:tabs>
          <w:tab w:val="num" w:pos="720"/>
        </w:tabs>
        <w:ind w:left="720" w:hanging="360"/>
      </w:pPr>
      <w:rPr>
        <w:rFonts w:ascii="Arial" w:hAnsi="Arial" w:hint="default"/>
      </w:rPr>
    </w:lvl>
    <w:lvl w:ilvl="1" w:tplc="00CAC46A" w:tentative="1">
      <w:start w:val="1"/>
      <w:numFmt w:val="bullet"/>
      <w:lvlText w:val="•"/>
      <w:lvlJc w:val="left"/>
      <w:pPr>
        <w:tabs>
          <w:tab w:val="num" w:pos="1440"/>
        </w:tabs>
        <w:ind w:left="1440" w:hanging="360"/>
      </w:pPr>
      <w:rPr>
        <w:rFonts w:ascii="Arial" w:hAnsi="Arial" w:hint="default"/>
      </w:rPr>
    </w:lvl>
    <w:lvl w:ilvl="2" w:tplc="D3AAC2E6" w:tentative="1">
      <w:start w:val="1"/>
      <w:numFmt w:val="bullet"/>
      <w:lvlText w:val="•"/>
      <w:lvlJc w:val="left"/>
      <w:pPr>
        <w:tabs>
          <w:tab w:val="num" w:pos="2160"/>
        </w:tabs>
        <w:ind w:left="2160" w:hanging="360"/>
      </w:pPr>
      <w:rPr>
        <w:rFonts w:ascii="Arial" w:hAnsi="Arial" w:hint="default"/>
      </w:rPr>
    </w:lvl>
    <w:lvl w:ilvl="3" w:tplc="A110598C" w:tentative="1">
      <w:start w:val="1"/>
      <w:numFmt w:val="bullet"/>
      <w:lvlText w:val="•"/>
      <w:lvlJc w:val="left"/>
      <w:pPr>
        <w:tabs>
          <w:tab w:val="num" w:pos="2880"/>
        </w:tabs>
        <w:ind w:left="2880" w:hanging="360"/>
      </w:pPr>
      <w:rPr>
        <w:rFonts w:ascii="Arial" w:hAnsi="Arial" w:hint="default"/>
      </w:rPr>
    </w:lvl>
    <w:lvl w:ilvl="4" w:tplc="B16E49EA" w:tentative="1">
      <w:start w:val="1"/>
      <w:numFmt w:val="bullet"/>
      <w:lvlText w:val="•"/>
      <w:lvlJc w:val="left"/>
      <w:pPr>
        <w:tabs>
          <w:tab w:val="num" w:pos="3600"/>
        </w:tabs>
        <w:ind w:left="3600" w:hanging="360"/>
      </w:pPr>
      <w:rPr>
        <w:rFonts w:ascii="Arial" w:hAnsi="Arial" w:hint="default"/>
      </w:rPr>
    </w:lvl>
    <w:lvl w:ilvl="5" w:tplc="FB5ECAEC" w:tentative="1">
      <w:start w:val="1"/>
      <w:numFmt w:val="bullet"/>
      <w:lvlText w:val="•"/>
      <w:lvlJc w:val="left"/>
      <w:pPr>
        <w:tabs>
          <w:tab w:val="num" w:pos="4320"/>
        </w:tabs>
        <w:ind w:left="4320" w:hanging="360"/>
      </w:pPr>
      <w:rPr>
        <w:rFonts w:ascii="Arial" w:hAnsi="Arial" w:hint="default"/>
      </w:rPr>
    </w:lvl>
    <w:lvl w:ilvl="6" w:tplc="4E0C9FB0" w:tentative="1">
      <w:start w:val="1"/>
      <w:numFmt w:val="bullet"/>
      <w:lvlText w:val="•"/>
      <w:lvlJc w:val="left"/>
      <w:pPr>
        <w:tabs>
          <w:tab w:val="num" w:pos="5040"/>
        </w:tabs>
        <w:ind w:left="5040" w:hanging="360"/>
      </w:pPr>
      <w:rPr>
        <w:rFonts w:ascii="Arial" w:hAnsi="Arial" w:hint="default"/>
      </w:rPr>
    </w:lvl>
    <w:lvl w:ilvl="7" w:tplc="BC909122" w:tentative="1">
      <w:start w:val="1"/>
      <w:numFmt w:val="bullet"/>
      <w:lvlText w:val="•"/>
      <w:lvlJc w:val="left"/>
      <w:pPr>
        <w:tabs>
          <w:tab w:val="num" w:pos="5760"/>
        </w:tabs>
        <w:ind w:left="5760" w:hanging="360"/>
      </w:pPr>
      <w:rPr>
        <w:rFonts w:ascii="Arial" w:hAnsi="Arial" w:hint="default"/>
      </w:rPr>
    </w:lvl>
    <w:lvl w:ilvl="8" w:tplc="2D28AF06" w:tentative="1">
      <w:start w:val="1"/>
      <w:numFmt w:val="bullet"/>
      <w:lvlText w:val="•"/>
      <w:lvlJc w:val="left"/>
      <w:pPr>
        <w:tabs>
          <w:tab w:val="num" w:pos="6480"/>
        </w:tabs>
        <w:ind w:left="6480" w:hanging="360"/>
      </w:pPr>
      <w:rPr>
        <w:rFonts w:ascii="Arial" w:hAnsi="Arial" w:hint="default"/>
      </w:rPr>
    </w:lvl>
  </w:abstractNum>
  <w:abstractNum w:abstractNumId="4">
    <w:nsid w:val="11354E00"/>
    <w:multiLevelType w:val="multilevel"/>
    <w:tmpl w:val="67C098DA"/>
    <w:lvl w:ilvl="0">
      <w:start w:val="1"/>
      <w:numFmt w:val="decimal"/>
      <w:lvlText w:val="%1."/>
      <w:lvlJc w:val="left"/>
      <w:pPr>
        <w:tabs>
          <w:tab w:val="num" w:pos="720"/>
        </w:tabs>
        <w:ind w:left="720" w:hanging="360"/>
      </w:pPr>
    </w:lvl>
    <w:lvl w:ilvl="1">
      <w:start w:val="2"/>
      <w:numFmt w:val="decimal"/>
      <w:isLgl/>
      <w:lvlText w:val="%1.%2."/>
      <w:lvlJc w:val="left"/>
      <w:pPr>
        <w:tabs>
          <w:tab w:val="num" w:pos="1245"/>
        </w:tabs>
        <w:ind w:left="1245" w:hanging="885"/>
      </w:pPr>
      <w:rPr>
        <w:rFonts w:ascii="Arial" w:hAnsi="Arial" w:cs="Arial" w:hint="default"/>
        <w:b w:val="0"/>
      </w:rPr>
    </w:lvl>
    <w:lvl w:ilvl="2">
      <w:start w:val="1"/>
      <w:numFmt w:val="decimal"/>
      <w:isLgl/>
      <w:lvlText w:val="%1.%2.%3."/>
      <w:lvlJc w:val="left"/>
      <w:pPr>
        <w:tabs>
          <w:tab w:val="num" w:pos="1245"/>
        </w:tabs>
        <w:ind w:left="1245" w:hanging="885"/>
      </w:pPr>
      <w:rPr>
        <w:rFonts w:ascii="Arial" w:hAnsi="Arial" w:cs="Arial" w:hint="default"/>
        <w:b w:val="0"/>
      </w:rPr>
    </w:lvl>
    <w:lvl w:ilvl="3">
      <w:start w:val="3"/>
      <w:numFmt w:val="decimal"/>
      <w:isLgl/>
      <w:lvlText w:val="%1.%2.%3.%4."/>
      <w:lvlJc w:val="left"/>
      <w:pPr>
        <w:tabs>
          <w:tab w:val="num" w:pos="1245"/>
        </w:tabs>
        <w:ind w:left="1245" w:hanging="885"/>
      </w:pPr>
      <w:rPr>
        <w:rFonts w:ascii="Arial" w:hAnsi="Arial" w:cs="Arial" w:hint="default"/>
        <w:b/>
      </w:rPr>
    </w:lvl>
    <w:lvl w:ilvl="4">
      <w:start w:val="1"/>
      <w:numFmt w:val="decimal"/>
      <w:isLgl/>
      <w:lvlText w:val="%1.%2.%3.%4.%5."/>
      <w:lvlJc w:val="left"/>
      <w:pPr>
        <w:tabs>
          <w:tab w:val="num" w:pos="1440"/>
        </w:tabs>
        <w:ind w:left="1440" w:hanging="1080"/>
      </w:pPr>
      <w:rPr>
        <w:rFonts w:ascii="Arial" w:hAnsi="Arial" w:cs="Arial" w:hint="default"/>
        <w:b w:val="0"/>
      </w:rPr>
    </w:lvl>
    <w:lvl w:ilvl="5">
      <w:start w:val="1"/>
      <w:numFmt w:val="decimal"/>
      <w:isLgl/>
      <w:lvlText w:val="%1.%2.%3.%4.%5.%6."/>
      <w:lvlJc w:val="left"/>
      <w:pPr>
        <w:tabs>
          <w:tab w:val="num" w:pos="1440"/>
        </w:tabs>
        <w:ind w:left="1440" w:hanging="1080"/>
      </w:pPr>
      <w:rPr>
        <w:rFonts w:ascii="Arial" w:hAnsi="Arial" w:cs="Arial" w:hint="default"/>
        <w:b w:val="0"/>
      </w:rPr>
    </w:lvl>
    <w:lvl w:ilvl="6">
      <w:start w:val="1"/>
      <w:numFmt w:val="decimal"/>
      <w:isLgl/>
      <w:lvlText w:val="%1.%2.%3.%4.%5.%6.%7."/>
      <w:lvlJc w:val="left"/>
      <w:pPr>
        <w:tabs>
          <w:tab w:val="num" w:pos="1800"/>
        </w:tabs>
        <w:ind w:left="1800" w:hanging="1440"/>
      </w:pPr>
      <w:rPr>
        <w:rFonts w:ascii="Arial" w:hAnsi="Arial" w:cs="Arial" w:hint="default"/>
        <w:b w:val="0"/>
      </w:rPr>
    </w:lvl>
    <w:lvl w:ilvl="7">
      <w:start w:val="1"/>
      <w:numFmt w:val="decimal"/>
      <w:isLgl/>
      <w:lvlText w:val="%1.%2.%3.%4.%5.%6.%7.%8."/>
      <w:lvlJc w:val="left"/>
      <w:pPr>
        <w:tabs>
          <w:tab w:val="num" w:pos="1800"/>
        </w:tabs>
        <w:ind w:left="1800" w:hanging="1440"/>
      </w:pPr>
      <w:rPr>
        <w:rFonts w:ascii="Arial" w:hAnsi="Arial" w:cs="Arial" w:hint="default"/>
        <w:b w:val="0"/>
      </w:rPr>
    </w:lvl>
    <w:lvl w:ilvl="8">
      <w:start w:val="1"/>
      <w:numFmt w:val="decimal"/>
      <w:isLgl/>
      <w:lvlText w:val="%1.%2.%3.%4.%5.%6.%7.%8.%9."/>
      <w:lvlJc w:val="left"/>
      <w:pPr>
        <w:tabs>
          <w:tab w:val="num" w:pos="2160"/>
        </w:tabs>
        <w:ind w:left="2160" w:hanging="1800"/>
      </w:pPr>
      <w:rPr>
        <w:rFonts w:ascii="Arial" w:hAnsi="Arial" w:cs="Arial" w:hint="default"/>
        <w:b w:val="0"/>
      </w:rPr>
    </w:lvl>
  </w:abstractNum>
  <w:abstractNum w:abstractNumId="5">
    <w:nsid w:val="132D4B55"/>
    <w:multiLevelType w:val="hybridMultilevel"/>
    <w:tmpl w:val="6B7ACA0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nsid w:val="18897E3B"/>
    <w:multiLevelType w:val="hybridMultilevel"/>
    <w:tmpl w:val="624691F8"/>
    <w:lvl w:ilvl="0" w:tplc="394A20D2">
      <w:start w:val="1"/>
      <w:numFmt w:val="decimal"/>
      <w:suff w:val="nothing"/>
      <w:lvlText w:val="%1."/>
      <w:lvlJc w:val="left"/>
      <w:pPr>
        <w:ind w:left="357" w:firstLine="0"/>
      </w:pPr>
      <w:rPr>
        <w:rFonts w:hint="default"/>
        <w:b w:val="0"/>
        <w:color w:val="auto"/>
        <w:sz w:val="20"/>
        <w:szCs w:val="20"/>
      </w:rPr>
    </w:lvl>
    <w:lvl w:ilvl="1" w:tplc="041A0019" w:tentative="1">
      <w:start w:val="1"/>
      <w:numFmt w:val="lowerLetter"/>
      <w:lvlText w:val="%2."/>
      <w:lvlJc w:val="left"/>
      <w:pPr>
        <w:ind w:left="1222"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abstractNum w:abstractNumId="7">
    <w:nsid w:val="1AB11EA6"/>
    <w:multiLevelType w:val="multilevel"/>
    <w:tmpl w:val="67C098DA"/>
    <w:lvl w:ilvl="0">
      <w:start w:val="1"/>
      <w:numFmt w:val="decimal"/>
      <w:lvlText w:val="%1."/>
      <w:lvlJc w:val="left"/>
      <w:pPr>
        <w:tabs>
          <w:tab w:val="num" w:pos="720"/>
        </w:tabs>
        <w:ind w:left="720" w:hanging="360"/>
      </w:pPr>
    </w:lvl>
    <w:lvl w:ilvl="1">
      <w:start w:val="2"/>
      <w:numFmt w:val="decimal"/>
      <w:isLgl/>
      <w:lvlText w:val="%1.%2."/>
      <w:lvlJc w:val="left"/>
      <w:pPr>
        <w:tabs>
          <w:tab w:val="num" w:pos="1245"/>
        </w:tabs>
        <w:ind w:left="1245" w:hanging="885"/>
      </w:pPr>
      <w:rPr>
        <w:rFonts w:ascii="Arial" w:hAnsi="Arial" w:cs="Arial" w:hint="default"/>
        <w:b w:val="0"/>
      </w:rPr>
    </w:lvl>
    <w:lvl w:ilvl="2">
      <w:start w:val="1"/>
      <w:numFmt w:val="decimal"/>
      <w:isLgl/>
      <w:lvlText w:val="%1.%2.%3."/>
      <w:lvlJc w:val="left"/>
      <w:pPr>
        <w:tabs>
          <w:tab w:val="num" w:pos="1245"/>
        </w:tabs>
        <w:ind w:left="1245" w:hanging="885"/>
      </w:pPr>
      <w:rPr>
        <w:rFonts w:ascii="Arial" w:hAnsi="Arial" w:cs="Arial" w:hint="default"/>
        <w:b w:val="0"/>
      </w:rPr>
    </w:lvl>
    <w:lvl w:ilvl="3">
      <w:start w:val="3"/>
      <w:numFmt w:val="decimal"/>
      <w:isLgl/>
      <w:lvlText w:val="%1.%2.%3.%4."/>
      <w:lvlJc w:val="left"/>
      <w:pPr>
        <w:tabs>
          <w:tab w:val="num" w:pos="1245"/>
        </w:tabs>
        <w:ind w:left="1245" w:hanging="885"/>
      </w:pPr>
      <w:rPr>
        <w:rFonts w:ascii="Arial" w:hAnsi="Arial" w:cs="Arial" w:hint="default"/>
        <w:b/>
      </w:rPr>
    </w:lvl>
    <w:lvl w:ilvl="4">
      <w:start w:val="1"/>
      <w:numFmt w:val="decimal"/>
      <w:isLgl/>
      <w:lvlText w:val="%1.%2.%3.%4.%5."/>
      <w:lvlJc w:val="left"/>
      <w:pPr>
        <w:tabs>
          <w:tab w:val="num" w:pos="1440"/>
        </w:tabs>
        <w:ind w:left="1440" w:hanging="1080"/>
      </w:pPr>
      <w:rPr>
        <w:rFonts w:ascii="Arial" w:hAnsi="Arial" w:cs="Arial" w:hint="default"/>
        <w:b w:val="0"/>
      </w:rPr>
    </w:lvl>
    <w:lvl w:ilvl="5">
      <w:start w:val="1"/>
      <w:numFmt w:val="decimal"/>
      <w:isLgl/>
      <w:lvlText w:val="%1.%2.%3.%4.%5.%6."/>
      <w:lvlJc w:val="left"/>
      <w:pPr>
        <w:tabs>
          <w:tab w:val="num" w:pos="1440"/>
        </w:tabs>
        <w:ind w:left="1440" w:hanging="1080"/>
      </w:pPr>
      <w:rPr>
        <w:rFonts w:ascii="Arial" w:hAnsi="Arial" w:cs="Arial" w:hint="default"/>
        <w:b w:val="0"/>
      </w:rPr>
    </w:lvl>
    <w:lvl w:ilvl="6">
      <w:start w:val="1"/>
      <w:numFmt w:val="decimal"/>
      <w:isLgl/>
      <w:lvlText w:val="%1.%2.%3.%4.%5.%6.%7."/>
      <w:lvlJc w:val="left"/>
      <w:pPr>
        <w:tabs>
          <w:tab w:val="num" w:pos="1800"/>
        </w:tabs>
        <w:ind w:left="1800" w:hanging="1440"/>
      </w:pPr>
      <w:rPr>
        <w:rFonts w:ascii="Arial" w:hAnsi="Arial" w:cs="Arial" w:hint="default"/>
        <w:b w:val="0"/>
      </w:rPr>
    </w:lvl>
    <w:lvl w:ilvl="7">
      <w:start w:val="1"/>
      <w:numFmt w:val="decimal"/>
      <w:isLgl/>
      <w:lvlText w:val="%1.%2.%3.%4.%5.%6.%7.%8."/>
      <w:lvlJc w:val="left"/>
      <w:pPr>
        <w:tabs>
          <w:tab w:val="num" w:pos="1800"/>
        </w:tabs>
        <w:ind w:left="1800" w:hanging="1440"/>
      </w:pPr>
      <w:rPr>
        <w:rFonts w:ascii="Arial" w:hAnsi="Arial" w:cs="Arial" w:hint="default"/>
        <w:b w:val="0"/>
      </w:rPr>
    </w:lvl>
    <w:lvl w:ilvl="8">
      <w:start w:val="1"/>
      <w:numFmt w:val="decimal"/>
      <w:isLgl/>
      <w:lvlText w:val="%1.%2.%3.%4.%5.%6.%7.%8.%9."/>
      <w:lvlJc w:val="left"/>
      <w:pPr>
        <w:tabs>
          <w:tab w:val="num" w:pos="2160"/>
        </w:tabs>
        <w:ind w:left="2160" w:hanging="1800"/>
      </w:pPr>
      <w:rPr>
        <w:rFonts w:ascii="Arial" w:hAnsi="Arial" w:cs="Arial" w:hint="default"/>
        <w:b w:val="0"/>
      </w:rPr>
    </w:lvl>
  </w:abstractNum>
  <w:abstractNum w:abstractNumId="8">
    <w:nsid w:val="1AD87899"/>
    <w:multiLevelType w:val="hybridMultilevel"/>
    <w:tmpl w:val="8E98D5C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1D631E43"/>
    <w:multiLevelType w:val="hybridMultilevel"/>
    <w:tmpl w:val="4970CD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1F0067C4"/>
    <w:multiLevelType w:val="hybridMultilevel"/>
    <w:tmpl w:val="5164E4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820614"/>
    <w:multiLevelType w:val="hybridMultilevel"/>
    <w:tmpl w:val="B1EAD164"/>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nsid w:val="20F8097B"/>
    <w:multiLevelType w:val="hybridMultilevel"/>
    <w:tmpl w:val="CB6A1A6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nsid w:val="21AA3049"/>
    <w:multiLevelType w:val="hybridMultilevel"/>
    <w:tmpl w:val="1C7AD52E"/>
    <w:lvl w:ilvl="0" w:tplc="01A0D86C">
      <w:start w:val="1"/>
      <w:numFmt w:val="bullet"/>
      <w:lvlText w:val="•"/>
      <w:lvlJc w:val="left"/>
      <w:pPr>
        <w:tabs>
          <w:tab w:val="num" w:pos="720"/>
        </w:tabs>
        <w:ind w:left="720" w:hanging="360"/>
      </w:pPr>
      <w:rPr>
        <w:rFonts w:ascii="Arial" w:hAnsi="Arial" w:hint="default"/>
      </w:rPr>
    </w:lvl>
    <w:lvl w:ilvl="1" w:tplc="4C7479EA" w:tentative="1">
      <w:start w:val="1"/>
      <w:numFmt w:val="bullet"/>
      <w:lvlText w:val="•"/>
      <w:lvlJc w:val="left"/>
      <w:pPr>
        <w:tabs>
          <w:tab w:val="num" w:pos="1440"/>
        </w:tabs>
        <w:ind w:left="1440" w:hanging="360"/>
      </w:pPr>
      <w:rPr>
        <w:rFonts w:ascii="Arial" w:hAnsi="Arial" w:hint="default"/>
      </w:rPr>
    </w:lvl>
    <w:lvl w:ilvl="2" w:tplc="A64C24EA" w:tentative="1">
      <w:start w:val="1"/>
      <w:numFmt w:val="bullet"/>
      <w:lvlText w:val="•"/>
      <w:lvlJc w:val="left"/>
      <w:pPr>
        <w:tabs>
          <w:tab w:val="num" w:pos="2160"/>
        </w:tabs>
        <w:ind w:left="2160" w:hanging="360"/>
      </w:pPr>
      <w:rPr>
        <w:rFonts w:ascii="Arial" w:hAnsi="Arial" w:hint="default"/>
      </w:rPr>
    </w:lvl>
    <w:lvl w:ilvl="3" w:tplc="B20029D0" w:tentative="1">
      <w:start w:val="1"/>
      <w:numFmt w:val="bullet"/>
      <w:lvlText w:val="•"/>
      <w:lvlJc w:val="left"/>
      <w:pPr>
        <w:tabs>
          <w:tab w:val="num" w:pos="2880"/>
        </w:tabs>
        <w:ind w:left="2880" w:hanging="360"/>
      </w:pPr>
      <w:rPr>
        <w:rFonts w:ascii="Arial" w:hAnsi="Arial" w:hint="default"/>
      </w:rPr>
    </w:lvl>
    <w:lvl w:ilvl="4" w:tplc="84C86B9C" w:tentative="1">
      <w:start w:val="1"/>
      <w:numFmt w:val="bullet"/>
      <w:lvlText w:val="•"/>
      <w:lvlJc w:val="left"/>
      <w:pPr>
        <w:tabs>
          <w:tab w:val="num" w:pos="3600"/>
        </w:tabs>
        <w:ind w:left="3600" w:hanging="360"/>
      </w:pPr>
      <w:rPr>
        <w:rFonts w:ascii="Arial" w:hAnsi="Arial" w:hint="default"/>
      </w:rPr>
    </w:lvl>
    <w:lvl w:ilvl="5" w:tplc="AC42CE24" w:tentative="1">
      <w:start w:val="1"/>
      <w:numFmt w:val="bullet"/>
      <w:lvlText w:val="•"/>
      <w:lvlJc w:val="left"/>
      <w:pPr>
        <w:tabs>
          <w:tab w:val="num" w:pos="4320"/>
        </w:tabs>
        <w:ind w:left="4320" w:hanging="360"/>
      </w:pPr>
      <w:rPr>
        <w:rFonts w:ascii="Arial" w:hAnsi="Arial" w:hint="default"/>
      </w:rPr>
    </w:lvl>
    <w:lvl w:ilvl="6" w:tplc="C846A16E" w:tentative="1">
      <w:start w:val="1"/>
      <w:numFmt w:val="bullet"/>
      <w:lvlText w:val="•"/>
      <w:lvlJc w:val="left"/>
      <w:pPr>
        <w:tabs>
          <w:tab w:val="num" w:pos="5040"/>
        </w:tabs>
        <w:ind w:left="5040" w:hanging="360"/>
      </w:pPr>
      <w:rPr>
        <w:rFonts w:ascii="Arial" w:hAnsi="Arial" w:hint="default"/>
      </w:rPr>
    </w:lvl>
    <w:lvl w:ilvl="7" w:tplc="90766A08" w:tentative="1">
      <w:start w:val="1"/>
      <w:numFmt w:val="bullet"/>
      <w:lvlText w:val="•"/>
      <w:lvlJc w:val="left"/>
      <w:pPr>
        <w:tabs>
          <w:tab w:val="num" w:pos="5760"/>
        </w:tabs>
        <w:ind w:left="5760" w:hanging="360"/>
      </w:pPr>
      <w:rPr>
        <w:rFonts w:ascii="Arial" w:hAnsi="Arial" w:hint="default"/>
      </w:rPr>
    </w:lvl>
    <w:lvl w:ilvl="8" w:tplc="2930865E" w:tentative="1">
      <w:start w:val="1"/>
      <w:numFmt w:val="bullet"/>
      <w:lvlText w:val="•"/>
      <w:lvlJc w:val="left"/>
      <w:pPr>
        <w:tabs>
          <w:tab w:val="num" w:pos="6480"/>
        </w:tabs>
        <w:ind w:left="6480" w:hanging="360"/>
      </w:pPr>
      <w:rPr>
        <w:rFonts w:ascii="Arial" w:hAnsi="Arial" w:hint="default"/>
      </w:rPr>
    </w:lvl>
  </w:abstractNum>
  <w:abstractNum w:abstractNumId="14">
    <w:nsid w:val="229572E3"/>
    <w:multiLevelType w:val="hybridMultilevel"/>
    <w:tmpl w:val="F4644400"/>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nsid w:val="23244332"/>
    <w:multiLevelType w:val="hybridMultilevel"/>
    <w:tmpl w:val="5B949A7E"/>
    <w:lvl w:ilvl="0" w:tplc="83FCC008">
      <w:start w:val="1"/>
      <w:numFmt w:val="bullet"/>
      <w:lvlText w:val=""/>
      <w:lvlJc w:val="left"/>
      <w:pPr>
        <w:tabs>
          <w:tab w:val="num" w:pos="360"/>
        </w:tabs>
        <w:ind w:left="360" w:hanging="360"/>
      </w:pPr>
      <w:rPr>
        <w:rFonts w:ascii="Symbol" w:hAnsi="Symbol" w:hint="default"/>
        <w:color w:val="auto"/>
        <w:sz w:val="20"/>
        <w:szCs w:val="20"/>
      </w:rPr>
    </w:lvl>
    <w:lvl w:ilvl="1" w:tplc="041A0001">
      <w:start w:val="1"/>
      <w:numFmt w:val="bullet"/>
      <w:lvlText w:val=""/>
      <w:lvlJc w:val="left"/>
      <w:pPr>
        <w:tabs>
          <w:tab w:val="num" w:pos="720"/>
        </w:tabs>
        <w:ind w:left="720" w:hanging="360"/>
      </w:pPr>
      <w:rPr>
        <w:rFonts w:ascii="Symbol" w:hAnsi="Symbol"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6">
    <w:nsid w:val="24C379B7"/>
    <w:multiLevelType w:val="hybridMultilevel"/>
    <w:tmpl w:val="55749B3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7">
    <w:nsid w:val="26704372"/>
    <w:multiLevelType w:val="multilevel"/>
    <w:tmpl w:val="67C098DA"/>
    <w:lvl w:ilvl="0">
      <w:start w:val="1"/>
      <w:numFmt w:val="decimal"/>
      <w:lvlText w:val="%1."/>
      <w:lvlJc w:val="left"/>
      <w:pPr>
        <w:tabs>
          <w:tab w:val="num" w:pos="720"/>
        </w:tabs>
        <w:ind w:left="720" w:hanging="360"/>
      </w:pPr>
    </w:lvl>
    <w:lvl w:ilvl="1">
      <w:start w:val="2"/>
      <w:numFmt w:val="decimal"/>
      <w:isLgl/>
      <w:lvlText w:val="%1.%2."/>
      <w:lvlJc w:val="left"/>
      <w:pPr>
        <w:tabs>
          <w:tab w:val="num" w:pos="1245"/>
        </w:tabs>
        <w:ind w:left="1245" w:hanging="885"/>
      </w:pPr>
      <w:rPr>
        <w:rFonts w:ascii="Arial" w:hAnsi="Arial" w:cs="Arial" w:hint="default"/>
        <w:b w:val="0"/>
      </w:rPr>
    </w:lvl>
    <w:lvl w:ilvl="2">
      <w:start w:val="1"/>
      <w:numFmt w:val="decimal"/>
      <w:isLgl/>
      <w:lvlText w:val="%1.%2.%3."/>
      <w:lvlJc w:val="left"/>
      <w:pPr>
        <w:tabs>
          <w:tab w:val="num" w:pos="1245"/>
        </w:tabs>
        <w:ind w:left="1245" w:hanging="885"/>
      </w:pPr>
      <w:rPr>
        <w:rFonts w:ascii="Arial" w:hAnsi="Arial" w:cs="Arial" w:hint="default"/>
        <w:b w:val="0"/>
      </w:rPr>
    </w:lvl>
    <w:lvl w:ilvl="3">
      <w:start w:val="3"/>
      <w:numFmt w:val="decimal"/>
      <w:isLgl/>
      <w:lvlText w:val="%1.%2.%3.%4."/>
      <w:lvlJc w:val="left"/>
      <w:pPr>
        <w:tabs>
          <w:tab w:val="num" w:pos="1245"/>
        </w:tabs>
        <w:ind w:left="1245" w:hanging="885"/>
      </w:pPr>
      <w:rPr>
        <w:rFonts w:ascii="Arial" w:hAnsi="Arial" w:cs="Arial" w:hint="default"/>
        <w:b/>
      </w:rPr>
    </w:lvl>
    <w:lvl w:ilvl="4">
      <w:start w:val="1"/>
      <w:numFmt w:val="decimal"/>
      <w:isLgl/>
      <w:lvlText w:val="%1.%2.%3.%4.%5."/>
      <w:lvlJc w:val="left"/>
      <w:pPr>
        <w:tabs>
          <w:tab w:val="num" w:pos="1440"/>
        </w:tabs>
        <w:ind w:left="1440" w:hanging="1080"/>
      </w:pPr>
      <w:rPr>
        <w:rFonts w:ascii="Arial" w:hAnsi="Arial" w:cs="Arial" w:hint="default"/>
        <w:b w:val="0"/>
      </w:rPr>
    </w:lvl>
    <w:lvl w:ilvl="5">
      <w:start w:val="1"/>
      <w:numFmt w:val="decimal"/>
      <w:isLgl/>
      <w:lvlText w:val="%1.%2.%3.%4.%5.%6."/>
      <w:lvlJc w:val="left"/>
      <w:pPr>
        <w:tabs>
          <w:tab w:val="num" w:pos="1440"/>
        </w:tabs>
        <w:ind w:left="1440" w:hanging="1080"/>
      </w:pPr>
      <w:rPr>
        <w:rFonts w:ascii="Arial" w:hAnsi="Arial" w:cs="Arial" w:hint="default"/>
        <w:b w:val="0"/>
      </w:rPr>
    </w:lvl>
    <w:lvl w:ilvl="6">
      <w:start w:val="1"/>
      <w:numFmt w:val="decimal"/>
      <w:isLgl/>
      <w:lvlText w:val="%1.%2.%3.%4.%5.%6.%7."/>
      <w:lvlJc w:val="left"/>
      <w:pPr>
        <w:tabs>
          <w:tab w:val="num" w:pos="1800"/>
        </w:tabs>
        <w:ind w:left="1800" w:hanging="1440"/>
      </w:pPr>
      <w:rPr>
        <w:rFonts w:ascii="Arial" w:hAnsi="Arial" w:cs="Arial" w:hint="default"/>
        <w:b w:val="0"/>
      </w:rPr>
    </w:lvl>
    <w:lvl w:ilvl="7">
      <w:start w:val="1"/>
      <w:numFmt w:val="decimal"/>
      <w:isLgl/>
      <w:lvlText w:val="%1.%2.%3.%4.%5.%6.%7.%8."/>
      <w:lvlJc w:val="left"/>
      <w:pPr>
        <w:tabs>
          <w:tab w:val="num" w:pos="1800"/>
        </w:tabs>
        <w:ind w:left="1800" w:hanging="1440"/>
      </w:pPr>
      <w:rPr>
        <w:rFonts w:ascii="Arial" w:hAnsi="Arial" w:cs="Arial" w:hint="default"/>
        <w:b w:val="0"/>
      </w:rPr>
    </w:lvl>
    <w:lvl w:ilvl="8">
      <w:start w:val="1"/>
      <w:numFmt w:val="decimal"/>
      <w:isLgl/>
      <w:lvlText w:val="%1.%2.%3.%4.%5.%6.%7.%8.%9."/>
      <w:lvlJc w:val="left"/>
      <w:pPr>
        <w:tabs>
          <w:tab w:val="num" w:pos="2160"/>
        </w:tabs>
        <w:ind w:left="2160" w:hanging="1800"/>
      </w:pPr>
      <w:rPr>
        <w:rFonts w:ascii="Arial" w:hAnsi="Arial" w:cs="Arial" w:hint="default"/>
        <w:b w:val="0"/>
      </w:rPr>
    </w:lvl>
  </w:abstractNum>
  <w:abstractNum w:abstractNumId="18">
    <w:nsid w:val="2A664693"/>
    <w:multiLevelType w:val="hybridMultilevel"/>
    <w:tmpl w:val="948AEA6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nsid w:val="2A7E5543"/>
    <w:multiLevelType w:val="hybridMultilevel"/>
    <w:tmpl w:val="878EECFE"/>
    <w:lvl w:ilvl="0" w:tplc="04090001">
      <w:start w:val="1"/>
      <w:numFmt w:val="decimal"/>
      <w:lvlText w:val="%1."/>
      <w:lvlJc w:val="left"/>
      <w:pPr>
        <w:tabs>
          <w:tab w:val="num" w:pos="720"/>
        </w:tabs>
        <w:ind w:left="720" w:hanging="360"/>
      </w:pPr>
      <w:rPr>
        <w:rFonts w:hint="default"/>
        <w:color w:val="auto"/>
      </w:rPr>
    </w:lvl>
    <w:lvl w:ilvl="1" w:tplc="04090003">
      <w:numFmt w:val="bullet"/>
      <w:lvlText w:val="-"/>
      <w:lvlJc w:val="left"/>
      <w:pPr>
        <w:tabs>
          <w:tab w:val="num" w:pos="1800"/>
        </w:tabs>
        <w:ind w:left="1800" w:hanging="360"/>
      </w:pPr>
      <w:rPr>
        <w:rFonts w:ascii="Times New Roman" w:eastAsia="Times New Roman"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0">
    <w:nsid w:val="2C421F4D"/>
    <w:multiLevelType w:val="multilevel"/>
    <w:tmpl w:val="67C098DA"/>
    <w:lvl w:ilvl="0">
      <w:start w:val="1"/>
      <w:numFmt w:val="decimal"/>
      <w:lvlText w:val="%1."/>
      <w:lvlJc w:val="left"/>
      <w:pPr>
        <w:tabs>
          <w:tab w:val="num" w:pos="720"/>
        </w:tabs>
        <w:ind w:left="720" w:hanging="360"/>
      </w:pPr>
    </w:lvl>
    <w:lvl w:ilvl="1">
      <w:start w:val="2"/>
      <w:numFmt w:val="decimal"/>
      <w:isLgl/>
      <w:lvlText w:val="%1.%2."/>
      <w:lvlJc w:val="left"/>
      <w:pPr>
        <w:tabs>
          <w:tab w:val="num" w:pos="1245"/>
        </w:tabs>
        <w:ind w:left="1245" w:hanging="885"/>
      </w:pPr>
      <w:rPr>
        <w:rFonts w:ascii="Arial" w:hAnsi="Arial" w:cs="Arial" w:hint="default"/>
        <w:b w:val="0"/>
      </w:rPr>
    </w:lvl>
    <w:lvl w:ilvl="2">
      <w:start w:val="1"/>
      <w:numFmt w:val="decimal"/>
      <w:isLgl/>
      <w:lvlText w:val="%1.%2.%3."/>
      <w:lvlJc w:val="left"/>
      <w:pPr>
        <w:tabs>
          <w:tab w:val="num" w:pos="1245"/>
        </w:tabs>
        <w:ind w:left="1245" w:hanging="885"/>
      </w:pPr>
      <w:rPr>
        <w:rFonts w:ascii="Arial" w:hAnsi="Arial" w:cs="Arial" w:hint="default"/>
        <w:b w:val="0"/>
      </w:rPr>
    </w:lvl>
    <w:lvl w:ilvl="3">
      <w:start w:val="3"/>
      <w:numFmt w:val="decimal"/>
      <w:isLgl/>
      <w:lvlText w:val="%1.%2.%3.%4."/>
      <w:lvlJc w:val="left"/>
      <w:pPr>
        <w:tabs>
          <w:tab w:val="num" w:pos="1245"/>
        </w:tabs>
        <w:ind w:left="1245" w:hanging="885"/>
      </w:pPr>
      <w:rPr>
        <w:rFonts w:ascii="Arial" w:hAnsi="Arial" w:cs="Arial" w:hint="default"/>
        <w:b/>
      </w:rPr>
    </w:lvl>
    <w:lvl w:ilvl="4">
      <w:start w:val="1"/>
      <w:numFmt w:val="decimal"/>
      <w:isLgl/>
      <w:lvlText w:val="%1.%2.%3.%4.%5."/>
      <w:lvlJc w:val="left"/>
      <w:pPr>
        <w:tabs>
          <w:tab w:val="num" w:pos="1440"/>
        </w:tabs>
        <w:ind w:left="1440" w:hanging="1080"/>
      </w:pPr>
      <w:rPr>
        <w:rFonts w:ascii="Arial" w:hAnsi="Arial" w:cs="Arial" w:hint="default"/>
        <w:b w:val="0"/>
      </w:rPr>
    </w:lvl>
    <w:lvl w:ilvl="5">
      <w:start w:val="1"/>
      <w:numFmt w:val="decimal"/>
      <w:isLgl/>
      <w:lvlText w:val="%1.%2.%3.%4.%5.%6."/>
      <w:lvlJc w:val="left"/>
      <w:pPr>
        <w:tabs>
          <w:tab w:val="num" w:pos="1440"/>
        </w:tabs>
        <w:ind w:left="1440" w:hanging="1080"/>
      </w:pPr>
      <w:rPr>
        <w:rFonts w:ascii="Arial" w:hAnsi="Arial" w:cs="Arial" w:hint="default"/>
        <w:b w:val="0"/>
      </w:rPr>
    </w:lvl>
    <w:lvl w:ilvl="6">
      <w:start w:val="1"/>
      <w:numFmt w:val="decimal"/>
      <w:isLgl/>
      <w:lvlText w:val="%1.%2.%3.%4.%5.%6.%7."/>
      <w:lvlJc w:val="left"/>
      <w:pPr>
        <w:tabs>
          <w:tab w:val="num" w:pos="1800"/>
        </w:tabs>
        <w:ind w:left="1800" w:hanging="1440"/>
      </w:pPr>
      <w:rPr>
        <w:rFonts w:ascii="Arial" w:hAnsi="Arial" w:cs="Arial" w:hint="default"/>
        <w:b w:val="0"/>
      </w:rPr>
    </w:lvl>
    <w:lvl w:ilvl="7">
      <w:start w:val="1"/>
      <w:numFmt w:val="decimal"/>
      <w:isLgl/>
      <w:lvlText w:val="%1.%2.%3.%4.%5.%6.%7.%8."/>
      <w:lvlJc w:val="left"/>
      <w:pPr>
        <w:tabs>
          <w:tab w:val="num" w:pos="1800"/>
        </w:tabs>
        <w:ind w:left="1800" w:hanging="1440"/>
      </w:pPr>
      <w:rPr>
        <w:rFonts w:ascii="Arial" w:hAnsi="Arial" w:cs="Arial" w:hint="default"/>
        <w:b w:val="0"/>
      </w:rPr>
    </w:lvl>
    <w:lvl w:ilvl="8">
      <w:start w:val="1"/>
      <w:numFmt w:val="decimal"/>
      <w:isLgl/>
      <w:lvlText w:val="%1.%2.%3.%4.%5.%6.%7.%8.%9."/>
      <w:lvlJc w:val="left"/>
      <w:pPr>
        <w:tabs>
          <w:tab w:val="num" w:pos="2160"/>
        </w:tabs>
        <w:ind w:left="2160" w:hanging="1800"/>
      </w:pPr>
      <w:rPr>
        <w:rFonts w:ascii="Arial" w:hAnsi="Arial" w:cs="Arial" w:hint="default"/>
        <w:b w:val="0"/>
      </w:rPr>
    </w:lvl>
  </w:abstractNum>
  <w:abstractNum w:abstractNumId="21">
    <w:nsid w:val="2CC36F0C"/>
    <w:multiLevelType w:val="hybridMultilevel"/>
    <w:tmpl w:val="C11AAA54"/>
    <w:lvl w:ilvl="0" w:tplc="C3307AB6">
      <w:start w:val="1"/>
      <w:numFmt w:val="bullet"/>
      <w:lvlText w:val="•"/>
      <w:lvlJc w:val="left"/>
      <w:pPr>
        <w:tabs>
          <w:tab w:val="num" w:pos="720"/>
        </w:tabs>
        <w:ind w:left="720" w:hanging="360"/>
      </w:pPr>
      <w:rPr>
        <w:rFonts w:ascii="Arial" w:hAnsi="Arial" w:hint="default"/>
      </w:rPr>
    </w:lvl>
    <w:lvl w:ilvl="1" w:tplc="3A84616C" w:tentative="1">
      <w:start w:val="1"/>
      <w:numFmt w:val="bullet"/>
      <w:lvlText w:val="•"/>
      <w:lvlJc w:val="left"/>
      <w:pPr>
        <w:tabs>
          <w:tab w:val="num" w:pos="1440"/>
        </w:tabs>
        <w:ind w:left="1440" w:hanging="360"/>
      </w:pPr>
      <w:rPr>
        <w:rFonts w:ascii="Arial" w:hAnsi="Arial" w:hint="default"/>
      </w:rPr>
    </w:lvl>
    <w:lvl w:ilvl="2" w:tplc="FB58114C" w:tentative="1">
      <w:start w:val="1"/>
      <w:numFmt w:val="bullet"/>
      <w:lvlText w:val="•"/>
      <w:lvlJc w:val="left"/>
      <w:pPr>
        <w:tabs>
          <w:tab w:val="num" w:pos="2160"/>
        </w:tabs>
        <w:ind w:left="2160" w:hanging="360"/>
      </w:pPr>
      <w:rPr>
        <w:rFonts w:ascii="Arial" w:hAnsi="Arial" w:hint="default"/>
      </w:rPr>
    </w:lvl>
    <w:lvl w:ilvl="3" w:tplc="E796275E" w:tentative="1">
      <w:start w:val="1"/>
      <w:numFmt w:val="bullet"/>
      <w:lvlText w:val="•"/>
      <w:lvlJc w:val="left"/>
      <w:pPr>
        <w:tabs>
          <w:tab w:val="num" w:pos="2880"/>
        </w:tabs>
        <w:ind w:left="2880" w:hanging="360"/>
      </w:pPr>
      <w:rPr>
        <w:rFonts w:ascii="Arial" w:hAnsi="Arial" w:hint="default"/>
      </w:rPr>
    </w:lvl>
    <w:lvl w:ilvl="4" w:tplc="C2722688" w:tentative="1">
      <w:start w:val="1"/>
      <w:numFmt w:val="bullet"/>
      <w:lvlText w:val="•"/>
      <w:lvlJc w:val="left"/>
      <w:pPr>
        <w:tabs>
          <w:tab w:val="num" w:pos="3600"/>
        </w:tabs>
        <w:ind w:left="3600" w:hanging="360"/>
      </w:pPr>
      <w:rPr>
        <w:rFonts w:ascii="Arial" w:hAnsi="Arial" w:hint="default"/>
      </w:rPr>
    </w:lvl>
    <w:lvl w:ilvl="5" w:tplc="9D28B68A" w:tentative="1">
      <w:start w:val="1"/>
      <w:numFmt w:val="bullet"/>
      <w:lvlText w:val="•"/>
      <w:lvlJc w:val="left"/>
      <w:pPr>
        <w:tabs>
          <w:tab w:val="num" w:pos="4320"/>
        </w:tabs>
        <w:ind w:left="4320" w:hanging="360"/>
      </w:pPr>
      <w:rPr>
        <w:rFonts w:ascii="Arial" w:hAnsi="Arial" w:hint="default"/>
      </w:rPr>
    </w:lvl>
    <w:lvl w:ilvl="6" w:tplc="6BF89406" w:tentative="1">
      <w:start w:val="1"/>
      <w:numFmt w:val="bullet"/>
      <w:lvlText w:val="•"/>
      <w:lvlJc w:val="left"/>
      <w:pPr>
        <w:tabs>
          <w:tab w:val="num" w:pos="5040"/>
        </w:tabs>
        <w:ind w:left="5040" w:hanging="360"/>
      </w:pPr>
      <w:rPr>
        <w:rFonts w:ascii="Arial" w:hAnsi="Arial" w:hint="default"/>
      </w:rPr>
    </w:lvl>
    <w:lvl w:ilvl="7" w:tplc="0D143156" w:tentative="1">
      <w:start w:val="1"/>
      <w:numFmt w:val="bullet"/>
      <w:lvlText w:val="•"/>
      <w:lvlJc w:val="left"/>
      <w:pPr>
        <w:tabs>
          <w:tab w:val="num" w:pos="5760"/>
        </w:tabs>
        <w:ind w:left="5760" w:hanging="360"/>
      </w:pPr>
      <w:rPr>
        <w:rFonts w:ascii="Arial" w:hAnsi="Arial" w:hint="default"/>
      </w:rPr>
    </w:lvl>
    <w:lvl w:ilvl="8" w:tplc="0CA443F0" w:tentative="1">
      <w:start w:val="1"/>
      <w:numFmt w:val="bullet"/>
      <w:lvlText w:val="•"/>
      <w:lvlJc w:val="left"/>
      <w:pPr>
        <w:tabs>
          <w:tab w:val="num" w:pos="6480"/>
        </w:tabs>
        <w:ind w:left="6480" w:hanging="360"/>
      </w:pPr>
      <w:rPr>
        <w:rFonts w:ascii="Arial" w:hAnsi="Arial" w:hint="default"/>
      </w:rPr>
    </w:lvl>
  </w:abstractNum>
  <w:abstractNum w:abstractNumId="22">
    <w:nsid w:val="2D8D3845"/>
    <w:multiLevelType w:val="hybridMultilevel"/>
    <w:tmpl w:val="B9EE97C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32A52AE5"/>
    <w:multiLevelType w:val="hybridMultilevel"/>
    <w:tmpl w:val="878EECFE"/>
    <w:lvl w:ilvl="0" w:tplc="04090001">
      <w:start w:val="1"/>
      <w:numFmt w:val="decimal"/>
      <w:lvlText w:val="%1."/>
      <w:lvlJc w:val="left"/>
      <w:pPr>
        <w:tabs>
          <w:tab w:val="num" w:pos="720"/>
        </w:tabs>
        <w:ind w:left="720" w:hanging="360"/>
      </w:pPr>
      <w:rPr>
        <w:rFonts w:hint="default"/>
        <w:color w:val="auto"/>
      </w:rPr>
    </w:lvl>
    <w:lvl w:ilvl="1" w:tplc="04090003">
      <w:numFmt w:val="bullet"/>
      <w:lvlText w:val="-"/>
      <w:lvlJc w:val="left"/>
      <w:pPr>
        <w:tabs>
          <w:tab w:val="num" w:pos="1800"/>
        </w:tabs>
        <w:ind w:left="1800" w:hanging="360"/>
      </w:pPr>
      <w:rPr>
        <w:rFonts w:ascii="Times New Roman" w:eastAsia="Times New Roman"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4">
    <w:nsid w:val="365D4084"/>
    <w:multiLevelType w:val="hybridMultilevel"/>
    <w:tmpl w:val="84E85EB6"/>
    <w:lvl w:ilvl="0" w:tplc="041A0001">
      <w:start w:val="1"/>
      <w:numFmt w:val="bullet"/>
      <w:lvlText w:val=""/>
      <w:lvlJc w:val="left"/>
      <w:pPr>
        <w:tabs>
          <w:tab w:val="num" w:pos="720"/>
        </w:tabs>
        <w:ind w:left="720" w:hanging="360"/>
      </w:pPr>
      <w:rPr>
        <w:rFonts w:ascii="Symbol" w:hAnsi="Symbol" w:hint="default"/>
      </w:rPr>
    </w:lvl>
    <w:lvl w:ilvl="1" w:tplc="041A0003">
      <w:start w:val="1"/>
      <w:numFmt w:val="bullet"/>
      <w:pStyle w:val="NASLOV2"/>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5">
    <w:nsid w:val="37CD7A30"/>
    <w:multiLevelType w:val="hybridMultilevel"/>
    <w:tmpl w:val="27544F04"/>
    <w:lvl w:ilvl="0" w:tplc="CED2F2AA">
      <w:start w:val="1"/>
      <w:numFmt w:val="decimal"/>
      <w:lvlText w:val="%1."/>
      <w:lvlJc w:val="left"/>
      <w:pPr>
        <w:tabs>
          <w:tab w:val="num" w:pos="360"/>
        </w:tabs>
        <w:ind w:left="360" w:hanging="360"/>
      </w:pPr>
      <w:rPr>
        <w:rFonts w:hint="default"/>
        <w:i w:val="0"/>
      </w:rPr>
    </w:lvl>
    <w:lvl w:ilvl="1" w:tplc="041A000F">
      <w:start w:val="1"/>
      <w:numFmt w:val="decimal"/>
      <w:lvlText w:val="%2."/>
      <w:lvlJc w:val="left"/>
      <w:pPr>
        <w:tabs>
          <w:tab w:val="num" w:pos="1380"/>
        </w:tabs>
        <w:ind w:left="1380" w:hanging="360"/>
      </w:pPr>
      <w:rPr>
        <w:rFonts w:hint="default"/>
        <w:i/>
      </w:rPr>
    </w:lvl>
    <w:lvl w:ilvl="2" w:tplc="881CFBA0">
      <w:numFmt w:val="bullet"/>
      <w:lvlText w:val="•"/>
      <w:lvlJc w:val="left"/>
      <w:pPr>
        <w:ind w:left="2625" w:hanging="705"/>
      </w:pPr>
      <w:rPr>
        <w:rFonts w:ascii="Calibri" w:eastAsia="Times New Roman" w:hAnsi="Calibri" w:cs="Times New Roman" w:hint="default"/>
        <w:i w:val="0"/>
        <w:color w:val="auto"/>
      </w:rPr>
    </w:lvl>
    <w:lvl w:ilvl="3" w:tplc="92DA1F5E">
      <w:start w:val="1"/>
      <w:numFmt w:val="upperLetter"/>
      <w:lvlText w:val="%4)"/>
      <w:lvlJc w:val="left"/>
      <w:pPr>
        <w:ind w:left="2820" w:hanging="360"/>
      </w:pPr>
      <w:rPr>
        <w:rFonts w:hint="default"/>
      </w:rPr>
    </w:lvl>
    <w:lvl w:ilvl="4" w:tplc="041A0019" w:tentative="1">
      <w:start w:val="1"/>
      <w:numFmt w:val="lowerLetter"/>
      <w:lvlText w:val="%5."/>
      <w:lvlJc w:val="left"/>
      <w:pPr>
        <w:tabs>
          <w:tab w:val="num" w:pos="3540"/>
        </w:tabs>
        <w:ind w:left="3540" w:hanging="360"/>
      </w:pPr>
    </w:lvl>
    <w:lvl w:ilvl="5" w:tplc="041A001B" w:tentative="1">
      <w:start w:val="1"/>
      <w:numFmt w:val="lowerRoman"/>
      <w:lvlText w:val="%6."/>
      <w:lvlJc w:val="right"/>
      <w:pPr>
        <w:tabs>
          <w:tab w:val="num" w:pos="4260"/>
        </w:tabs>
        <w:ind w:left="4260" w:hanging="180"/>
      </w:pPr>
    </w:lvl>
    <w:lvl w:ilvl="6" w:tplc="041A000F" w:tentative="1">
      <w:start w:val="1"/>
      <w:numFmt w:val="decimal"/>
      <w:lvlText w:val="%7."/>
      <w:lvlJc w:val="left"/>
      <w:pPr>
        <w:tabs>
          <w:tab w:val="num" w:pos="4980"/>
        </w:tabs>
        <w:ind w:left="4980" w:hanging="360"/>
      </w:pPr>
    </w:lvl>
    <w:lvl w:ilvl="7" w:tplc="041A0019" w:tentative="1">
      <w:start w:val="1"/>
      <w:numFmt w:val="lowerLetter"/>
      <w:lvlText w:val="%8."/>
      <w:lvlJc w:val="left"/>
      <w:pPr>
        <w:tabs>
          <w:tab w:val="num" w:pos="5700"/>
        </w:tabs>
        <w:ind w:left="5700" w:hanging="360"/>
      </w:pPr>
    </w:lvl>
    <w:lvl w:ilvl="8" w:tplc="041A001B" w:tentative="1">
      <w:start w:val="1"/>
      <w:numFmt w:val="lowerRoman"/>
      <w:lvlText w:val="%9."/>
      <w:lvlJc w:val="right"/>
      <w:pPr>
        <w:tabs>
          <w:tab w:val="num" w:pos="6420"/>
        </w:tabs>
        <w:ind w:left="6420" w:hanging="180"/>
      </w:pPr>
    </w:lvl>
  </w:abstractNum>
  <w:abstractNum w:abstractNumId="26">
    <w:nsid w:val="40FD765A"/>
    <w:multiLevelType w:val="hybridMultilevel"/>
    <w:tmpl w:val="5E821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2712E05"/>
    <w:multiLevelType w:val="hybridMultilevel"/>
    <w:tmpl w:val="71CCFDF2"/>
    <w:lvl w:ilvl="0" w:tplc="BECC3484">
      <w:start w:val="1"/>
      <w:numFmt w:val="bullet"/>
      <w:lvlText w:val="•"/>
      <w:lvlJc w:val="left"/>
      <w:pPr>
        <w:tabs>
          <w:tab w:val="num" w:pos="720"/>
        </w:tabs>
        <w:ind w:left="720" w:hanging="360"/>
      </w:pPr>
      <w:rPr>
        <w:rFonts w:ascii="Arial" w:hAnsi="Arial" w:hint="default"/>
      </w:rPr>
    </w:lvl>
    <w:lvl w:ilvl="1" w:tplc="0DB0734C" w:tentative="1">
      <w:start w:val="1"/>
      <w:numFmt w:val="bullet"/>
      <w:lvlText w:val="•"/>
      <w:lvlJc w:val="left"/>
      <w:pPr>
        <w:tabs>
          <w:tab w:val="num" w:pos="1440"/>
        </w:tabs>
        <w:ind w:left="1440" w:hanging="360"/>
      </w:pPr>
      <w:rPr>
        <w:rFonts w:ascii="Arial" w:hAnsi="Arial" w:hint="default"/>
      </w:rPr>
    </w:lvl>
    <w:lvl w:ilvl="2" w:tplc="862CC31C" w:tentative="1">
      <w:start w:val="1"/>
      <w:numFmt w:val="bullet"/>
      <w:lvlText w:val="•"/>
      <w:lvlJc w:val="left"/>
      <w:pPr>
        <w:tabs>
          <w:tab w:val="num" w:pos="2160"/>
        </w:tabs>
        <w:ind w:left="2160" w:hanging="360"/>
      </w:pPr>
      <w:rPr>
        <w:rFonts w:ascii="Arial" w:hAnsi="Arial" w:hint="default"/>
      </w:rPr>
    </w:lvl>
    <w:lvl w:ilvl="3" w:tplc="8B6AEE08" w:tentative="1">
      <w:start w:val="1"/>
      <w:numFmt w:val="bullet"/>
      <w:lvlText w:val="•"/>
      <w:lvlJc w:val="left"/>
      <w:pPr>
        <w:tabs>
          <w:tab w:val="num" w:pos="2880"/>
        </w:tabs>
        <w:ind w:left="2880" w:hanging="360"/>
      </w:pPr>
      <w:rPr>
        <w:rFonts w:ascii="Arial" w:hAnsi="Arial" w:hint="default"/>
      </w:rPr>
    </w:lvl>
    <w:lvl w:ilvl="4" w:tplc="2B3634B6" w:tentative="1">
      <w:start w:val="1"/>
      <w:numFmt w:val="bullet"/>
      <w:lvlText w:val="•"/>
      <w:lvlJc w:val="left"/>
      <w:pPr>
        <w:tabs>
          <w:tab w:val="num" w:pos="3600"/>
        </w:tabs>
        <w:ind w:left="3600" w:hanging="360"/>
      </w:pPr>
      <w:rPr>
        <w:rFonts w:ascii="Arial" w:hAnsi="Arial" w:hint="default"/>
      </w:rPr>
    </w:lvl>
    <w:lvl w:ilvl="5" w:tplc="7436A0FE" w:tentative="1">
      <w:start w:val="1"/>
      <w:numFmt w:val="bullet"/>
      <w:lvlText w:val="•"/>
      <w:lvlJc w:val="left"/>
      <w:pPr>
        <w:tabs>
          <w:tab w:val="num" w:pos="4320"/>
        </w:tabs>
        <w:ind w:left="4320" w:hanging="360"/>
      </w:pPr>
      <w:rPr>
        <w:rFonts w:ascii="Arial" w:hAnsi="Arial" w:hint="default"/>
      </w:rPr>
    </w:lvl>
    <w:lvl w:ilvl="6" w:tplc="A7C25E8A" w:tentative="1">
      <w:start w:val="1"/>
      <w:numFmt w:val="bullet"/>
      <w:lvlText w:val="•"/>
      <w:lvlJc w:val="left"/>
      <w:pPr>
        <w:tabs>
          <w:tab w:val="num" w:pos="5040"/>
        </w:tabs>
        <w:ind w:left="5040" w:hanging="360"/>
      </w:pPr>
      <w:rPr>
        <w:rFonts w:ascii="Arial" w:hAnsi="Arial" w:hint="default"/>
      </w:rPr>
    </w:lvl>
    <w:lvl w:ilvl="7" w:tplc="685ABF5A" w:tentative="1">
      <w:start w:val="1"/>
      <w:numFmt w:val="bullet"/>
      <w:lvlText w:val="•"/>
      <w:lvlJc w:val="left"/>
      <w:pPr>
        <w:tabs>
          <w:tab w:val="num" w:pos="5760"/>
        </w:tabs>
        <w:ind w:left="5760" w:hanging="360"/>
      </w:pPr>
      <w:rPr>
        <w:rFonts w:ascii="Arial" w:hAnsi="Arial" w:hint="default"/>
      </w:rPr>
    </w:lvl>
    <w:lvl w:ilvl="8" w:tplc="92D8E6C0" w:tentative="1">
      <w:start w:val="1"/>
      <w:numFmt w:val="bullet"/>
      <w:lvlText w:val="•"/>
      <w:lvlJc w:val="left"/>
      <w:pPr>
        <w:tabs>
          <w:tab w:val="num" w:pos="6480"/>
        </w:tabs>
        <w:ind w:left="6480" w:hanging="360"/>
      </w:pPr>
      <w:rPr>
        <w:rFonts w:ascii="Arial" w:hAnsi="Arial" w:hint="default"/>
      </w:rPr>
    </w:lvl>
  </w:abstractNum>
  <w:abstractNum w:abstractNumId="28">
    <w:nsid w:val="45C85567"/>
    <w:multiLevelType w:val="hybridMultilevel"/>
    <w:tmpl w:val="317A5E5A"/>
    <w:lvl w:ilvl="0" w:tplc="041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9200258"/>
    <w:multiLevelType w:val="hybridMultilevel"/>
    <w:tmpl w:val="3560F1EA"/>
    <w:lvl w:ilvl="0" w:tplc="58B20C48">
      <w:start w:val="1"/>
      <w:numFmt w:val="bullet"/>
      <w:lvlText w:val="•"/>
      <w:lvlJc w:val="left"/>
      <w:pPr>
        <w:tabs>
          <w:tab w:val="num" w:pos="720"/>
        </w:tabs>
        <w:ind w:left="720" w:hanging="360"/>
      </w:pPr>
      <w:rPr>
        <w:rFonts w:ascii="Arial" w:hAnsi="Arial" w:hint="default"/>
      </w:rPr>
    </w:lvl>
    <w:lvl w:ilvl="1" w:tplc="9668927C" w:tentative="1">
      <w:start w:val="1"/>
      <w:numFmt w:val="bullet"/>
      <w:lvlText w:val="•"/>
      <w:lvlJc w:val="left"/>
      <w:pPr>
        <w:tabs>
          <w:tab w:val="num" w:pos="1440"/>
        </w:tabs>
        <w:ind w:left="1440" w:hanging="360"/>
      </w:pPr>
      <w:rPr>
        <w:rFonts w:ascii="Arial" w:hAnsi="Arial" w:hint="default"/>
      </w:rPr>
    </w:lvl>
    <w:lvl w:ilvl="2" w:tplc="2382AF54" w:tentative="1">
      <w:start w:val="1"/>
      <w:numFmt w:val="bullet"/>
      <w:lvlText w:val="•"/>
      <w:lvlJc w:val="left"/>
      <w:pPr>
        <w:tabs>
          <w:tab w:val="num" w:pos="2160"/>
        </w:tabs>
        <w:ind w:left="2160" w:hanging="360"/>
      </w:pPr>
      <w:rPr>
        <w:rFonts w:ascii="Arial" w:hAnsi="Arial" w:hint="default"/>
      </w:rPr>
    </w:lvl>
    <w:lvl w:ilvl="3" w:tplc="DEC6F3F6" w:tentative="1">
      <w:start w:val="1"/>
      <w:numFmt w:val="bullet"/>
      <w:lvlText w:val="•"/>
      <w:lvlJc w:val="left"/>
      <w:pPr>
        <w:tabs>
          <w:tab w:val="num" w:pos="2880"/>
        </w:tabs>
        <w:ind w:left="2880" w:hanging="360"/>
      </w:pPr>
      <w:rPr>
        <w:rFonts w:ascii="Arial" w:hAnsi="Arial" w:hint="default"/>
      </w:rPr>
    </w:lvl>
    <w:lvl w:ilvl="4" w:tplc="A7F4E468" w:tentative="1">
      <w:start w:val="1"/>
      <w:numFmt w:val="bullet"/>
      <w:lvlText w:val="•"/>
      <w:lvlJc w:val="left"/>
      <w:pPr>
        <w:tabs>
          <w:tab w:val="num" w:pos="3600"/>
        </w:tabs>
        <w:ind w:left="3600" w:hanging="360"/>
      </w:pPr>
      <w:rPr>
        <w:rFonts w:ascii="Arial" w:hAnsi="Arial" w:hint="default"/>
      </w:rPr>
    </w:lvl>
    <w:lvl w:ilvl="5" w:tplc="0862D3BE" w:tentative="1">
      <w:start w:val="1"/>
      <w:numFmt w:val="bullet"/>
      <w:lvlText w:val="•"/>
      <w:lvlJc w:val="left"/>
      <w:pPr>
        <w:tabs>
          <w:tab w:val="num" w:pos="4320"/>
        </w:tabs>
        <w:ind w:left="4320" w:hanging="360"/>
      </w:pPr>
      <w:rPr>
        <w:rFonts w:ascii="Arial" w:hAnsi="Arial" w:hint="default"/>
      </w:rPr>
    </w:lvl>
    <w:lvl w:ilvl="6" w:tplc="C47C46F0" w:tentative="1">
      <w:start w:val="1"/>
      <w:numFmt w:val="bullet"/>
      <w:lvlText w:val="•"/>
      <w:lvlJc w:val="left"/>
      <w:pPr>
        <w:tabs>
          <w:tab w:val="num" w:pos="5040"/>
        </w:tabs>
        <w:ind w:left="5040" w:hanging="360"/>
      </w:pPr>
      <w:rPr>
        <w:rFonts w:ascii="Arial" w:hAnsi="Arial" w:hint="default"/>
      </w:rPr>
    </w:lvl>
    <w:lvl w:ilvl="7" w:tplc="F858D256" w:tentative="1">
      <w:start w:val="1"/>
      <w:numFmt w:val="bullet"/>
      <w:lvlText w:val="•"/>
      <w:lvlJc w:val="left"/>
      <w:pPr>
        <w:tabs>
          <w:tab w:val="num" w:pos="5760"/>
        </w:tabs>
        <w:ind w:left="5760" w:hanging="360"/>
      </w:pPr>
      <w:rPr>
        <w:rFonts w:ascii="Arial" w:hAnsi="Arial" w:hint="default"/>
      </w:rPr>
    </w:lvl>
    <w:lvl w:ilvl="8" w:tplc="EA822568" w:tentative="1">
      <w:start w:val="1"/>
      <w:numFmt w:val="bullet"/>
      <w:lvlText w:val="•"/>
      <w:lvlJc w:val="left"/>
      <w:pPr>
        <w:tabs>
          <w:tab w:val="num" w:pos="6480"/>
        </w:tabs>
        <w:ind w:left="6480" w:hanging="360"/>
      </w:pPr>
      <w:rPr>
        <w:rFonts w:ascii="Arial" w:hAnsi="Arial" w:hint="default"/>
      </w:rPr>
    </w:lvl>
  </w:abstractNum>
  <w:abstractNum w:abstractNumId="30">
    <w:nsid w:val="4F926081"/>
    <w:multiLevelType w:val="hybridMultilevel"/>
    <w:tmpl w:val="29C4AA44"/>
    <w:lvl w:ilvl="0" w:tplc="D850ED2E">
      <w:start w:val="1"/>
      <w:numFmt w:val="upperRoman"/>
      <w:lvlText w:val="%1."/>
      <w:lvlJc w:val="left"/>
      <w:pPr>
        <w:tabs>
          <w:tab w:val="num" w:pos="1080"/>
        </w:tabs>
        <w:ind w:left="1080" w:hanging="720"/>
      </w:pPr>
      <w:rPr>
        <w:rFonts w:hint="default"/>
      </w:rPr>
    </w:lvl>
    <w:lvl w:ilvl="1" w:tplc="041A0001">
      <w:start w:val="1"/>
      <w:numFmt w:val="bullet"/>
      <w:lvlText w:val=""/>
      <w:lvlJc w:val="left"/>
      <w:pPr>
        <w:ind w:left="1440" w:hanging="360"/>
      </w:pPr>
      <w:rPr>
        <w:rFonts w:ascii="Symbol" w:hAnsi="Symbol"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nsid w:val="512C3EDB"/>
    <w:multiLevelType w:val="hybridMultilevel"/>
    <w:tmpl w:val="579676B6"/>
    <w:lvl w:ilvl="0" w:tplc="B5DE9E1C">
      <w:numFmt w:val="bullet"/>
      <w:lvlText w:val=""/>
      <w:lvlJc w:val="left"/>
      <w:pPr>
        <w:tabs>
          <w:tab w:val="num" w:pos="777"/>
        </w:tabs>
        <w:ind w:left="777" w:hanging="360"/>
      </w:pPr>
      <w:rPr>
        <w:rFonts w:ascii="Symbol" w:eastAsia="Times New Roman" w:hAnsi="Symbol" w:cs="Times New Roman" w:hint="default"/>
        <w:color w:val="auto"/>
      </w:rPr>
    </w:lvl>
    <w:lvl w:ilvl="1" w:tplc="041A0019" w:tentative="1">
      <w:start w:val="1"/>
      <w:numFmt w:val="bullet"/>
      <w:lvlText w:val="o"/>
      <w:lvlJc w:val="left"/>
      <w:pPr>
        <w:tabs>
          <w:tab w:val="num" w:pos="1497"/>
        </w:tabs>
        <w:ind w:left="1497" w:hanging="360"/>
      </w:pPr>
      <w:rPr>
        <w:rFonts w:ascii="Courier New" w:hAnsi="Courier New" w:cs="Courier New" w:hint="default"/>
      </w:rPr>
    </w:lvl>
    <w:lvl w:ilvl="2" w:tplc="041A001B" w:tentative="1">
      <w:start w:val="1"/>
      <w:numFmt w:val="bullet"/>
      <w:lvlText w:val=""/>
      <w:lvlJc w:val="left"/>
      <w:pPr>
        <w:tabs>
          <w:tab w:val="num" w:pos="2217"/>
        </w:tabs>
        <w:ind w:left="2217" w:hanging="360"/>
      </w:pPr>
      <w:rPr>
        <w:rFonts w:ascii="Wingdings" w:hAnsi="Wingdings" w:hint="default"/>
      </w:rPr>
    </w:lvl>
    <w:lvl w:ilvl="3" w:tplc="041A000F" w:tentative="1">
      <w:start w:val="1"/>
      <w:numFmt w:val="bullet"/>
      <w:lvlText w:val=""/>
      <w:lvlJc w:val="left"/>
      <w:pPr>
        <w:tabs>
          <w:tab w:val="num" w:pos="2937"/>
        </w:tabs>
        <w:ind w:left="2937" w:hanging="360"/>
      </w:pPr>
      <w:rPr>
        <w:rFonts w:ascii="Symbol" w:hAnsi="Symbol" w:hint="default"/>
      </w:rPr>
    </w:lvl>
    <w:lvl w:ilvl="4" w:tplc="041A0019" w:tentative="1">
      <w:start w:val="1"/>
      <w:numFmt w:val="bullet"/>
      <w:lvlText w:val="o"/>
      <w:lvlJc w:val="left"/>
      <w:pPr>
        <w:tabs>
          <w:tab w:val="num" w:pos="3657"/>
        </w:tabs>
        <w:ind w:left="3657" w:hanging="360"/>
      </w:pPr>
      <w:rPr>
        <w:rFonts w:ascii="Courier New" w:hAnsi="Courier New" w:cs="Courier New" w:hint="default"/>
      </w:rPr>
    </w:lvl>
    <w:lvl w:ilvl="5" w:tplc="041A001B" w:tentative="1">
      <w:start w:val="1"/>
      <w:numFmt w:val="bullet"/>
      <w:lvlText w:val=""/>
      <w:lvlJc w:val="left"/>
      <w:pPr>
        <w:tabs>
          <w:tab w:val="num" w:pos="4377"/>
        </w:tabs>
        <w:ind w:left="4377" w:hanging="360"/>
      </w:pPr>
      <w:rPr>
        <w:rFonts w:ascii="Wingdings" w:hAnsi="Wingdings" w:hint="default"/>
      </w:rPr>
    </w:lvl>
    <w:lvl w:ilvl="6" w:tplc="041A000F" w:tentative="1">
      <w:start w:val="1"/>
      <w:numFmt w:val="bullet"/>
      <w:lvlText w:val=""/>
      <w:lvlJc w:val="left"/>
      <w:pPr>
        <w:tabs>
          <w:tab w:val="num" w:pos="5097"/>
        </w:tabs>
        <w:ind w:left="5097" w:hanging="360"/>
      </w:pPr>
      <w:rPr>
        <w:rFonts w:ascii="Symbol" w:hAnsi="Symbol" w:hint="default"/>
      </w:rPr>
    </w:lvl>
    <w:lvl w:ilvl="7" w:tplc="041A0019" w:tentative="1">
      <w:start w:val="1"/>
      <w:numFmt w:val="bullet"/>
      <w:lvlText w:val="o"/>
      <w:lvlJc w:val="left"/>
      <w:pPr>
        <w:tabs>
          <w:tab w:val="num" w:pos="5817"/>
        </w:tabs>
        <w:ind w:left="5817" w:hanging="360"/>
      </w:pPr>
      <w:rPr>
        <w:rFonts w:ascii="Courier New" w:hAnsi="Courier New" w:cs="Courier New" w:hint="default"/>
      </w:rPr>
    </w:lvl>
    <w:lvl w:ilvl="8" w:tplc="041A001B" w:tentative="1">
      <w:start w:val="1"/>
      <w:numFmt w:val="bullet"/>
      <w:lvlText w:val=""/>
      <w:lvlJc w:val="left"/>
      <w:pPr>
        <w:tabs>
          <w:tab w:val="num" w:pos="6537"/>
        </w:tabs>
        <w:ind w:left="6537" w:hanging="360"/>
      </w:pPr>
      <w:rPr>
        <w:rFonts w:ascii="Wingdings" w:hAnsi="Wingdings" w:hint="default"/>
      </w:rPr>
    </w:lvl>
  </w:abstractNum>
  <w:abstractNum w:abstractNumId="32">
    <w:nsid w:val="582E2CE8"/>
    <w:multiLevelType w:val="hybridMultilevel"/>
    <w:tmpl w:val="01BCD32C"/>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nsid w:val="5DA54C85"/>
    <w:multiLevelType w:val="hybridMultilevel"/>
    <w:tmpl w:val="8D603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CB11491"/>
    <w:multiLevelType w:val="multilevel"/>
    <w:tmpl w:val="57363B72"/>
    <w:lvl w:ilvl="0">
      <w:start w:val="1"/>
      <w:numFmt w:val="decimal"/>
      <w:pStyle w:val="Heading1"/>
      <w:lvlText w:val="%1"/>
      <w:lvlJc w:val="left"/>
      <w:pPr>
        <w:ind w:left="574" w:hanging="432"/>
      </w:pPr>
    </w:lvl>
    <w:lvl w:ilvl="1">
      <w:start w:val="1"/>
      <w:numFmt w:val="decimal"/>
      <w:pStyle w:val="Heading2"/>
      <w:lvlText w:val="%1.%2"/>
      <w:lvlJc w:val="left"/>
      <w:pPr>
        <w:ind w:left="3837"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5682"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5">
    <w:nsid w:val="6CF37EEE"/>
    <w:multiLevelType w:val="hybridMultilevel"/>
    <w:tmpl w:val="874862D6"/>
    <w:lvl w:ilvl="0" w:tplc="041A0005">
      <w:start w:val="1"/>
      <w:numFmt w:val="bullet"/>
      <w:lvlText w:val=""/>
      <w:lvlJc w:val="left"/>
      <w:pPr>
        <w:tabs>
          <w:tab w:val="num" w:pos="360"/>
        </w:tabs>
        <w:ind w:left="360" w:hanging="360"/>
      </w:pPr>
      <w:rPr>
        <w:rFonts w:ascii="Wingdings" w:hAnsi="Wingdings"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nsid w:val="6E9467E3"/>
    <w:multiLevelType w:val="hybridMultilevel"/>
    <w:tmpl w:val="929E374C"/>
    <w:lvl w:ilvl="0" w:tplc="F01E52B0">
      <w:start w:val="1"/>
      <w:numFmt w:val="bullet"/>
      <w:pStyle w:val="LIsta"/>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4"/>
  </w:num>
  <w:num w:numId="2">
    <w:abstractNumId w:val="8"/>
  </w:num>
  <w:num w:numId="3">
    <w:abstractNumId w:val="9"/>
  </w:num>
  <w:num w:numId="4">
    <w:abstractNumId w:val="18"/>
  </w:num>
  <w:num w:numId="5">
    <w:abstractNumId w:val="22"/>
  </w:num>
  <w:num w:numId="6">
    <w:abstractNumId w:val="31"/>
  </w:num>
  <w:num w:numId="7">
    <w:abstractNumId w:val="12"/>
  </w:num>
  <w:num w:numId="8">
    <w:abstractNumId w:val="20"/>
  </w:num>
  <w:num w:numId="9">
    <w:abstractNumId w:val="25"/>
  </w:num>
  <w:num w:numId="10">
    <w:abstractNumId w:val="15"/>
  </w:num>
  <w:num w:numId="11">
    <w:abstractNumId w:val="7"/>
  </w:num>
  <w:num w:numId="12">
    <w:abstractNumId w:val="4"/>
  </w:num>
  <w:num w:numId="13">
    <w:abstractNumId w:val="2"/>
  </w:num>
  <w:num w:numId="14">
    <w:abstractNumId w:val="23"/>
    <w:lvlOverride w:ilvl="0">
      <w:startOverride w:val="1"/>
    </w:lvlOverride>
    <w:lvlOverride w:ilvl="1"/>
    <w:lvlOverride w:ilvl="2"/>
    <w:lvlOverride w:ilvl="3"/>
    <w:lvlOverride w:ilvl="4"/>
    <w:lvlOverride w:ilvl="5"/>
    <w:lvlOverride w:ilvl="6"/>
    <w:lvlOverride w:ilvl="7"/>
    <w:lvlOverride w:ilvl="8"/>
  </w:num>
  <w:num w:numId="15">
    <w:abstractNumId w:val="19"/>
    <w:lvlOverride w:ilvl="0">
      <w:startOverride w:val="1"/>
    </w:lvlOverride>
    <w:lvlOverride w:ilvl="1"/>
    <w:lvlOverride w:ilvl="2"/>
    <w:lvlOverride w:ilvl="3"/>
    <w:lvlOverride w:ilvl="4"/>
    <w:lvlOverride w:ilvl="5"/>
    <w:lvlOverride w:ilvl="6"/>
    <w:lvlOverride w:ilvl="7"/>
    <w:lvlOverride w:ilvl="8"/>
  </w:num>
  <w:num w:numId="16">
    <w:abstractNumId w:val="34"/>
  </w:num>
  <w:num w:numId="17">
    <w:abstractNumId w:val="36"/>
  </w:num>
  <w:num w:numId="18">
    <w:abstractNumId w:val="11"/>
  </w:num>
  <w:num w:numId="19">
    <w:abstractNumId w:val="17"/>
  </w:num>
  <w:num w:numId="20">
    <w:abstractNumId w:val="32"/>
  </w:num>
  <w:num w:numId="21">
    <w:abstractNumId w:val="1"/>
  </w:num>
  <w:num w:numId="22">
    <w:abstractNumId w:val="6"/>
  </w:num>
  <w:num w:numId="23">
    <w:abstractNumId w:val="34"/>
  </w:num>
  <w:num w:numId="24">
    <w:abstractNumId w:val="11"/>
  </w:num>
  <w:num w:numId="25">
    <w:abstractNumId w:val="16"/>
  </w:num>
  <w:num w:numId="26">
    <w:abstractNumId w:val="5"/>
  </w:num>
  <w:num w:numId="27">
    <w:abstractNumId w:val="34"/>
  </w:num>
  <w:num w:numId="28">
    <w:abstractNumId w:val="34"/>
  </w:num>
  <w:num w:numId="29">
    <w:abstractNumId w:val="35"/>
  </w:num>
  <w:num w:numId="30">
    <w:abstractNumId w:val="33"/>
  </w:num>
  <w:num w:numId="31">
    <w:abstractNumId w:val="10"/>
  </w:num>
  <w:num w:numId="32">
    <w:abstractNumId w:val="26"/>
  </w:num>
  <w:num w:numId="33">
    <w:abstractNumId w:val="28"/>
  </w:num>
  <w:num w:numId="34">
    <w:abstractNumId w:val="21"/>
  </w:num>
  <w:num w:numId="35">
    <w:abstractNumId w:val="27"/>
  </w:num>
  <w:num w:numId="36">
    <w:abstractNumId w:val="13"/>
  </w:num>
  <w:num w:numId="37">
    <w:abstractNumId w:val="3"/>
  </w:num>
  <w:num w:numId="38">
    <w:abstractNumId w:val="0"/>
  </w:num>
  <w:num w:numId="39">
    <w:abstractNumId w:val="29"/>
  </w:num>
  <w:num w:numId="40">
    <w:abstractNumId w:val="14"/>
  </w:num>
  <w:num w:numId="41">
    <w:abstractNumId w:val="3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367"/>
    <w:rsid w:val="00000480"/>
    <w:rsid w:val="00000777"/>
    <w:rsid w:val="00000DA1"/>
    <w:rsid w:val="00000EDC"/>
    <w:rsid w:val="00002E26"/>
    <w:rsid w:val="00005EAE"/>
    <w:rsid w:val="00010F62"/>
    <w:rsid w:val="00011084"/>
    <w:rsid w:val="00013EF8"/>
    <w:rsid w:val="00014C89"/>
    <w:rsid w:val="00015374"/>
    <w:rsid w:val="000155F9"/>
    <w:rsid w:val="000165DF"/>
    <w:rsid w:val="0001705A"/>
    <w:rsid w:val="0002084A"/>
    <w:rsid w:val="00021050"/>
    <w:rsid w:val="000210C1"/>
    <w:rsid w:val="00021598"/>
    <w:rsid w:val="0002228D"/>
    <w:rsid w:val="00023058"/>
    <w:rsid w:val="00026095"/>
    <w:rsid w:val="00026663"/>
    <w:rsid w:val="00026D6A"/>
    <w:rsid w:val="00027044"/>
    <w:rsid w:val="0003167D"/>
    <w:rsid w:val="00031B48"/>
    <w:rsid w:val="00032E62"/>
    <w:rsid w:val="000343B9"/>
    <w:rsid w:val="00034A04"/>
    <w:rsid w:val="00035692"/>
    <w:rsid w:val="00040C48"/>
    <w:rsid w:val="0004354C"/>
    <w:rsid w:val="00044E0F"/>
    <w:rsid w:val="00045084"/>
    <w:rsid w:val="00052FB2"/>
    <w:rsid w:val="00053534"/>
    <w:rsid w:val="00054571"/>
    <w:rsid w:val="0005566C"/>
    <w:rsid w:val="00061921"/>
    <w:rsid w:val="00065982"/>
    <w:rsid w:val="00066FFF"/>
    <w:rsid w:val="00070B9E"/>
    <w:rsid w:val="00070BA4"/>
    <w:rsid w:val="00070CC1"/>
    <w:rsid w:val="00072466"/>
    <w:rsid w:val="000743A8"/>
    <w:rsid w:val="00074AC7"/>
    <w:rsid w:val="00075D25"/>
    <w:rsid w:val="00077F5F"/>
    <w:rsid w:val="00082398"/>
    <w:rsid w:val="00082526"/>
    <w:rsid w:val="000838A5"/>
    <w:rsid w:val="000858AF"/>
    <w:rsid w:val="00087DFD"/>
    <w:rsid w:val="0009052A"/>
    <w:rsid w:val="0009253F"/>
    <w:rsid w:val="00092B2A"/>
    <w:rsid w:val="000943C8"/>
    <w:rsid w:val="0009535C"/>
    <w:rsid w:val="00096884"/>
    <w:rsid w:val="000A14F0"/>
    <w:rsid w:val="000A1A6E"/>
    <w:rsid w:val="000A205E"/>
    <w:rsid w:val="000A24C1"/>
    <w:rsid w:val="000A27DD"/>
    <w:rsid w:val="000A29DA"/>
    <w:rsid w:val="000A2DF2"/>
    <w:rsid w:val="000A3AA5"/>
    <w:rsid w:val="000A5158"/>
    <w:rsid w:val="000A6A3A"/>
    <w:rsid w:val="000A6C44"/>
    <w:rsid w:val="000A6E6E"/>
    <w:rsid w:val="000A708F"/>
    <w:rsid w:val="000A7722"/>
    <w:rsid w:val="000B0366"/>
    <w:rsid w:val="000B1037"/>
    <w:rsid w:val="000B1C85"/>
    <w:rsid w:val="000B46FC"/>
    <w:rsid w:val="000B733E"/>
    <w:rsid w:val="000B7DEE"/>
    <w:rsid w:val="000C046C"/>
    <w:rsid w:val="000C1BF3"/>
    <w:rsid w:val="000C2DDD"/>
    <w:rsid w:val="000C3480"/>
    <w:rsid w:val="000C3CF6"/>
    <w:rsid w:val="000C5040"/>
    <w:rsid w:val="000C592F"/>
    <w:rsid w:val="000C69AC"/>
    <w:rsid w:val="000C7AAA"/>
    <w:rsid w:val="000C7D95"/>
    <w:rsid w:val="000D10A3"/>
    <w:rsid w:val="000D2030"/>
    <w:rsid w:val="000D221F"/>
    <w:rsid w:val="000D473E"/>
    <w:rsid w:val="000D5D14"/>
    <w:rsid w:val="000E0352"/>
    <w:rsid w:val="000E0B52"/>
    <w:rsid w:val="000E12D5"/>
    <w:rsid w:val="000E2B49"/>
    <w:rsid w:val="000E317A"/>
    <w:rsid w:val="000E4CE6"/>
    <w:rsid w:val="000E4D81"/>
    <w:rsid w:val="000E6C3D"/>
    <w:rsid w:val="000F1674"/>
    <w:rsid w:val="000F1D71"/>
    <w:rsid w:val="000F292C"/>
    <w:rsid w:val="000F2FBF"/>
    <w:rsid w:val="000F3770"/>
    <w:rsid w:val="000F3B6E"/>
    <w:rsid w:val="000F5FAB"/>
    <w:rsid w:val="000F6F38"/>
    <w:rsid w:val="001013AA"/>
    <w:rsid w:val="00102C26"/>
    <w:rsid w:val="001039A2"/>
    <w:rsid w:val="00106519"/>
    <w:rsid w:val="00106DC9"/>
    <w:rsid w:val="00110380"/>
    <w:rsid w:val="0011153F"/>
    <w:rsid w:val="00112F45"/>
    <w:rsid w:val="00113A5B"/>
    <w:rsid w:val="0011590F"/>
    <w:rsid w:val="00116E59"/>
    <w:rsid w:val="00116F11"/>
    <w:rsid w:val="00116FE3"/>
    <w:rsid w:val="0011704B"/>
    <w:rsid w:val="0011775E"/>
    <w:rsid w:val="00117B8A"/>
    <w:rsid w:val="001228D6"/>
    <w:rsid w:val="0012329D"/>
    <w:rsid w:val="00123683"/>
    <w:rsid w:val="001237DC"/>
    <w:rsid w:val="00123AC0"/>
    <w:rsid w:val="001249E8"/>
    <w:rsid w:val="00124A06"/>
    <w:rsid w:val="00125C61"/>
    <w:rsid w:val="00127D9C"/>
    <w:rsid w:val="001312B4"/>
    <w:rsid w:val="00131968"/>
    <w:rsid w:val="00132DEE"/>
    <w:rsid w:val="00133109"/>
    <w:rsid w:val="00133C52"/>
    <w:rsid w:val="00135F0A"/>
    <w:rsid w:val="0013638E"/>
    <w:rsid w:val="00136396"/>
    <w:rsid w:val="001370C5"/>
    <w:rsid w:val="00137E8C"/>
    <w:rsid w:val="001403CA"/>
    <w:rsid w:val="00142ED2"/>
    <w:rsid w:val="00146E12"/>
    <w:rsid w:val="00150512"/>
    <w:rsid w:val="0015147D"/>
    <w:rsid w:val="00154235"/>
    <w:rsid w:val="00157829"/>
    <w:rsid w:val="001612C3"/>
    <w:rsid w:val="001626A6"/>
    <w:rsid w:val="00162D74"/>
    <w:rsid w:val="0016655C"/>
    <w:rsid w:val="00170AAD"/>
    <w:rsid w:val="00173A7B"/>
    <w:rsid w:val="00174026"/>
    <w:rsid w:val="001754ED"/>
    <w:rsid w:val="00175868"/>
    <w:rsid w:val="00176012"/>
    <w:rsid w:val="0017714D"/>
    <w:rsid w:val="00181812"/>
    <w:rsid w:val="00182E5A"/>
    <w:rsid w:val="001834CE"/>
    <w:rsid w:val="00184C33"/>
    <w:rsid w:val="0018501E"/>
    <w:rsid w:val="00186E6B"/>
    <w:rsid w:val="00187830"/>
    <w:rsid w:val="001900C7"/>
    <w:rsid w:val="00193020"/>
    <w:rsid w:val="00195BDB"/>
    <w:rsid w:val="001A039E"/>
    <w:rsid w:val="001A106E"/>
    <w:rsid w:val="001A1CF8"/>
    <w:rsid w:val="001A398E"/>
    <w:rsid w:val="001A3AAC"/>
    <w:rsid w:val="001A7830"/>
    <w:rsid w:val="001A7C08"/>
    <w:rsid w:val="001B34C8"/>
    <w:rsid w:val="001B3C88"/>
    <w:rsid w:val="001B79E3"/>
    <w:rsid w:val="001C0A5B"/>
    <w:rsid w:val="001C29F1"/>
    <w:rsid w:val="001C5177"/>
    <w:rsid w:val="001C5678"/>
    <w:rsid w:val="001C5FC3"/>
    <w:rsid w:val="001C60CF"/>
    <w:rsid w:val="001C6E26"/>
    <w:rsid w:val="001D11E9"/>
    <w:rsid w:val="001D2039"/>
    <w:rsid w:val="001D22A5"/>
    <w:rsid w:val="001D33C0"/>
    <w:rsid w:val="001D3B49"/>
    <w:rsid w:val="001D3C10"/>
    <w:rsid w:val="001D643B"/>
    <w:rsid w:val="001E337B"/>
    <w:rsid w:val="001E5E3A"/>
    <w:rsid w:val="001F0F2C"/>
    <w:rsid w:val="001F39B6"/>
    <w:rsid w:val="001F41F8"/>
    <w:rsid w:val="001F5F50"/>
    <w:rsid w:val="001F628E"/>
    <w:rsid w:val="001F6609"/>
    <w:rsid w:val="001F6A97"/>
    <w:rsid w:val="00200BAF"/>
    <w:rsid w:val="00200DE4"/>
    <w:rsid w:val="002018EB"/>
    <w:rsid w:val="0020272E"/>
    <w:rsid w:val="00202D35"/>
    <w:rsid w:val="00206834"/>
    <w:rsid w:val="002118B9"/>
    <w:rsid w:val="00214D95"/>
    <w:rsid w:val="002154C4"/>
    <w:rsid w:val="00216E00"/>
    <w:rsid w:val="002170CF"/>
    <w:rsid w:val="0021786F"/>
    <w:rsid w:val="002217B9"/>
    <w:rsid w:val="00222101"/>
    <w:rsid w:val="00222AC9"/>
    <w:rsid w:val="002237EE"/>
    <w:rsid w:val="002242D6"/>
    <w:rsid w:val="00224A96"/>
    <w:rsid w:val="00230A78"/>
    <w:rsid w:val="0023221C"/>
    <w:rsid w:val="0023269A"/>
    <w:rsid w:val="002338A0"/>
    <w:rsid w:val="00234177"/>
    <w:rsid w:val="0023497B"/>
    <w:rsid w:val="002371D6"/>
    <w:rsid w:val="00237FF5"/>
    <w:rsid w:val="0024036C"/>
    <w:rsid w:val="00244646"/>
    <w:rsid w:val="00246D47"/>
    <w:rsid w:val="00247C45"/>
    <w:rsid w:val="00247DEA"/>
    <w:rsid w:val="00251BBD"/>
    <w:rsid w:val="00252DE4"/>
    <w:rsid w:val="00253A6F"/>
    <w:rsid w:val="00254510"/>
    <w:rsid w:val="002562F5"/>
    <w:rsid w:val="0025674F"/>
    <w:rsid w:val="00257BA5"/>
    <w:rsid w:val="00257D92"/>
    <w:rsid w:val="00257F05"/>
    <w:rsid w:val="00260420"/>
    <w:rsid w:val="002617B3"/>
    <w:rsid w:val="00262BB3"/>
    <w:rsid w:val="00262D6D"/>
    <w:rsid w:val="00263AFF"/>
    <w:rsid w:val="00264146"/>
    <w:rsid w:val="0026458A"/>
    <w:rsid w:val="00266556"/>
    <w:rsid w:val="00266636"/>
    <w:rsid w:val="00266912"/>
    <w:rsid w:val="00270C19"/>
    <w:rsid w:val="002723C4"/>
    <w:rsid w:val="002732B4"/>
    <w:rsid w:val="002735AC"/>
    <w:rsid w:val="00274EAE"/>
    <w:rsid w:val="00275625"/>
    <w:rsid w:val="00275E2D"/>
    <w:rsid w:val="00277D65"/>
    <w:rsid w:val="00280E2C"/>
    <w:rsid w:val="00281E18"/>
    <w:rsid w:val="00281F8B"/>
    <w:rsid w:val="00283082"/>
    <w:rsid w:val="002833B5"/>
    <w:rsid w:val="00283AE6"/>
    <w:rsid w:val="00283B97"/>
    <w:rsid w:val="00284748"/>
    <w:rsid w:val="00284946"/>
    <w:rsid w:val="0028500C"/>
    <w:rsid w:val="00285DC8"/>
    <w:rsid w:val="0028782D"/>
    <w:rsid w:val="00287A5C"/>
    <w:rsid w:val="00287A63"/>
    <w:rsid w:val="00291693"/>
    <w:rsid w:val="00293B1C"/>
    <w:rsid w:val="00293B22"/>
    <w:rsid w:val="00294FFD"/>
    <w:rsid w:val="00295189"/>
    <w:rsid w:val="00296BA0"/>
    <w:rsid w:val="00297309"/>
    <w:rsid w:val="00297BD9"/>
    <w:rsid w:val="00297CC9"/>
    <w:rsid w:val="002A034F"/>
    <w:rsid w:val="002A183D"/>
    <w:rsid w:val="002A24FD"/>
    <w:rsid w:val="002A302D"/>
    <w:rsid w:val="002A30AE"/>
    <w:rsid w:val="002A32C6"/>
    <w:rsid w:val="002A593B"/>
    <w:rsid w:val="002A5C87"/>
    <w:rsid w:val="002B1C27"/>
    <w:rsid w:val="002B29ED"/>
    <w:rsid w:val="002B348B"/>
    <w:rsid w:val="002B35C6"/>
    <w:rsid w:val="002B3765"/>
    <w:rsid w:val="002B5676"/>
    <w:rsid w:val="002B7229"/>
    <w:rsid w:val="002C011B"/>
    <w:rsid w:val="002C21EE"/>
    <w:rsid w:val="002C287C"/>
    <w:rsid w:val="002C3F51"/>
    <w:rsid w:val="002C6207"/>
    <w:rsid w:val="002C6D21"/>
    <w:rsid w:val="002C7C55"/>
    <w:rsid w:val="002D057B"/>
    <w:rsid w:val="002D2A8D"/>
    <w:rsid w:val="002D4DEA"/>
    <w:rsid w:val="002D6F49"/>
    <w:rsid w:val="002D7C4F"/>
    <w:rsid w:val="002E0238"/>
    <w:rsid w:val="002E4BAC"/>
    <w:rsid w:val="002E4D4C"/>
    <w:rsid w:val="002E6C08"/>
    <w:rsid w:val="002F1091"/>
    <w:rsid w:val="002F1429"/>
    <w:rsid w:val="002F44AB"/>
    <w:rsid w:val="002F47D4"/>
    <w:rsid w:val="002F5C3B"/>
    <w:rsid w:val="002F62E9"/>
    <w:rsid w:val="002F664C"/>
    <w:rsid w:val="00301EE8"/>
    <w:rsid w:val="00302248"/>
    <w:rsid w:val="00303B0A"/>
    <w:rsid w:val="003051B3"/>
    <w:rsid w:val="003074EB"/>
    <w:rsid w:val="00312422"/>
    <w:rsid w:val="003127CB"/>
    <w:rsid w:val="003131F4"/>
    <w:rsid w:val="003134BA"/>
    <w:rsid w:val="00313538"/>
    <w:rsid w:val="00314A9B"/>
    <w:rsid w:val="00314EB7"/>
    <w:rsid w:val="00320ADA"/>
    <w:rsid w:val="00320B05"/>
    <w:rsid w:val="003219A7"/>
    <w:rsid w:val="00322975"/>
    <w:rsid w:val="00322CB3"/>
    <w:rsid w:val="003230BF"/>
    <w:rsid w:val="00324B50"/>
    <w:rsid w:val="00325CC9"/>
    <w:rsid w:val="00330996"/>
    <w:rsid w:val="00331486"/>
    <w:rsid w:val="003354C3"/>
    <w:rsid w:val="003434C4"/>
    <w:rsid w:val="00343D74"/>
    <w:rsid w:val="00344CDF"/>
    <w:rsid w:val="00346660"/>
    <w:rsid w:val="0034678C"/>
    <w:rsid w:val="00347A2E"/>
    <w:rsid w:val="0035023F"/>
    <w:rsid w:val="003515AA"/>
    <w:rsid w:val="003516A2"/>
    <w:rsid w:val="003525B2"/>
    <w:rsid w:val="003529FF"/>
    <w:rsid w:val="00353723"/>
    <w:rsid w:val="003541E1"/>
    <w:rsid w:val="00356E70"/>
    <w:rsid w:val="00357335"/>
    <w:rsid w:val="00360DCD"/>
    <w:rsid w:val="00360EF3"/>
    <w:rsid w:val="00362812"/>
    <w:rsid w:val="0036297D"/>
    <w:rsid w:val="00363B23"/>
    <w:rsid w:val="0036647E"/>
    <w:rsid w:val="00366F87"/>
    <w:rsid w:val="003700F3"/>
    <w:rsid w:val="00370DE4"/>
    <w:rsid w:val="00371F11"/>
    <w:rsid w:val="00371F31"/>
    <w:rsid w:val="00373243"/>
    <w:rsid w:val="00374388"/>
    <w:rsid w:val="00375007"/>
    <w:rsid w:val="00376616"/>
    <w:rsid w:val="00377B44"/>
    <w:rsid w:val="003801F9"/>
    <w:rsid w:val="00380CBC"/>
    <w:rsid w:val="00381001"/>
    <w:rsid w:val="00381015"/>
    <w:rsid w:val="00383560"/>
    <w:rsid w:val="00387201"/>
    <w:rsid w:val="0039123C"/>
    <w:rsid w:val="00391672"/>
    <w:rsid w:val="003920BC"/>
    <w:rsid w:val="00392AB9"/>
    <w:rsid w:val="0039310B"/>
    <w:rsid w:val="0039438B"/>
    <w:rsid w:val="003967EA"/>
    <w:rsid w:val="00396A17"/>
    <w:rsid w:val="00396AAE"/>
    <w:rsid w:val="00396F6F"/>
    <w:rsid w:val="003A005E"/>
    <w:rsid w:val="003A1CFD"/>
    <w:rsid w:val="003A3C9E"/>
    <w:rsid w:val="003A5962"/>
    <w:rsid w:val="003A772B"/>
    <w:rsid w:val="003B27C9"/>
    <w:rsid w:val="003B4E8C"/>
    <w:rsid w:val="003B79AC"/>
    <w:rsid w:val="003B7D6A"/>
    <w:rsid w:val="003C01E0"/>
    <w:rsid w:val="003C15BB"/>
    <w:rsid w:val="003C3821"/>
    <w:rsid w:val="003C57EF"/>
    <w:rsid w:val="003C639A"/>
    <w:rsid w:val="003C6532"/>
    <w:rsid w:val="003D4B6F"/>
    <w:rsid w:val="003D6613"/>
    <w:rsid w:val="003D6E42"/>
    <w:rsid w:val="003E0689"/>
    <w:rsid w:val="003E0CB1"/>
    <w:rsid w:val="003E2F40"/>
    <w:rsid w:val="003E4916"/>
    <w:rsid w:val="003E5C39"/>
    <w:rsid w:val="003E7BD2"/>
    <w:rsid w:val="003F0A4C"/>
    <w:rsid w:val="003F0F9C"/>
    <w:rsid w:val="003F10E1"/>
    <w:rsid w:val="003F28BD"/>
    <w:rsid w:val="003F3C34"/>
    <w:rsid w:val="003F3D4E"/>
    <w:rsid w:val="003F4E0A"/>
    <w:rsid w:val="003F4EBE"/>
    <w:rsid w:val="003F6226"/>
    <w:rsid w:val="003F69D8"/>
    <w:rsid w:val="003F718B"/>
    <w:rsid w:val="003F7C13"/>
    <w:rsid w:val="00402CCE"/>
    <w:rsid w:val="00403874"/>
    <w:rsid w:val="00406870"/>
    <w:rsid w:val="00407361"/>
    <w:rsid w:val="00411582"/>
    <w:rsid w:val="00411FAF"/>
    <w:rsid w:val="00413065"/>
    <w:rsid w:val="00415805"/>
    <w:rsid w:val="00416948"/>
    <w:rsid w:val="00417919"/>
    <w:rsid w:val="00417B5F"/>
    <w:rsid w:val="00417B89"/>
    <w:rsid w:val="00421223"/>
    <w:rsid w:val="004224B6"/>
    <w:rsid w:val="0042269B"/>
    <w:rsid w:val="004229E9"/>
    <w:rsid w:val="0042321B"/>
    <w:rsid w:val="00424443"/>
    <w:rsid w:val="00430033"/>
    <w:rsid w:val="004312B6"/>
    <w:rsid w:val="00431D09"/>
    <w:rsid w:val="00433100"/>
    <w:rsid w:val="004340EC"/>
    <w:rsid w:val="00436F9D"/>
    <w:rsid w:val="00440132"/>
    <w:rsid w:val="00444C0F"/>
    <w:rsid w:val="004456CB"/>
    <w:rsid w:val="00446FBC"/>
    <w:rsid w:val="004476D2"/>
    <w:rsid w:val="00447EE7"/>
    <w:rsid w:val="004502F4"/>
    <w:rsid w:val="0045142A"/>
    <w:rsid w:val="00451D37"/>
    <w:rsid w:val="00452A1C"/>
    <w:rsid w:val="004540CE"/>
    <w:rsid w:val="00455F74"/>
    <w:rsid w:val="00455F82"/>
    <w:rsid w:val="004574C9"/>
    <w:rsid w:val="00460537"/>
    <w:rsid w:val="004616F3"/>
    <w:rsid w:val="004621F6"/>
    <w:rsid w:val="00462970"/>
    <w:rsid w:val="00462A2D"/>
    <w:rsid w:val="00462DC4"/>
    <w:rsid w:val="00463730"/>
    <w:rsid w:val="00463A55"/>
    <w:rsid w:val="004657AF"/>
    <w:rsid w:val="00466326"/>
    <w:rsid w:val="00466B68"/>
    <w:rsid w:val="00467A2A"/>
    <w:rsid w:val="004728B4"/>
    <w:rsid w:val="00472D28"/>
    <w:rsid w:val="00472D64"/>
    <w:rsid w:val="00472F94"/>
    <w:rsid w:val="00474C9F"/>
    <w:rsid w:val="00475642"/>
    <w:rsid w:val="00475DF6"/>
    <w:rsid w:val="004803BC"/>
    <w:rsid w:val="00481C6E"/>
    <w:rsid w:val="0048248E"/>
    <w:rsid w:val="00482AB5"/>
    <w:rsid w:val="00483059"/>
    <w:rsid w:val="004834BF"/>
    <w:rsid w:val="00485142"/>
    <w:rsid w:val="00487275"/>
    <w:rsid w:val="004872CD"/>
    <w:rsid w:val="004877C2"/>
    <w:rsid w:val="004910D9"/>
    <w:rsid w:val="004921B5"/>
    <w:rsid w:val="00492ED3"/>
    <w:rsid w:val="0049326F"/>
    <w:rsid w:val="0049657F"/>
    <w:rsid w:val="00496D30"/>
    <w:rsid w:val="00497A74"/>
    <w:rsid w:val="004A1343"/>
    <w:rsid w:val="004A1615"/>
    <w:rsid w:val="004A1AC7"/>
    <w:rsid w:val="004A254B"/>
    <w:rsid w:val="004A4668"/>
    <w:rsid w:val="004B0BD0"/>
    <w:rsid w:val="004B0ECA"/>
    <w:rsid w:val="004B325F"/>
    <w:rsid w:val="004B58AE"/>
    <w:rsid w:val="004B63C8"/>
    <w:rsid w:val="004B6637"/>
    <w:rsid w:val="004B7DC0"/>
    <w:rsid w:val="004C0020"/>
    <w:rsid w:val="004C2520"/>
    <w:rsid w:val="004C2594"/>
    <w:rsid w:val="004C29FE"/>
    <w:rsid w:val="004C4E22"/>
    <w:rsid w:val="004C512C"/>
    <w:rsid w:val="004C53C4"/>
    <w:rsid w:val="004C5F1A"/>
    <w:rsid w:val="004C6EA7"/>
    <w:rsid w:val="004C7D22"/>
    <w:rsid w:val="004D374F"/>
    <w:rsid w:val="004D4BEE"/>
    <w:rsid w:val="004D5A66"/>
    <w:rsid w:val="004D5E1E"/>
    <w:rsid w:val="004D5EE9"/>
    <w:rsid w:val="004D787F"/>
    <w:rsid w:val="004E071F"/>
    <w:rsid w:val="004E0A64"/>
    <w:rsid w:val="004E1D09"/>
    <w:rsid w:val="004E1D7D"/>
    <w:rsid w:val="004E1FC7"/>
    <w:rsid w:val="004E3919"/>
    <w:rsid w:val="004E4824"/>
    <w:rsid w:val="004E4AA4"/>
    <w:rsid w:val="004E5018"/>
    <w:rsid w:val="004E5DFC"/>
    <w:rsid w:val="004E5E4A"/>
    <w:rsid w:val="004E7D1A"/>
    <w:rsid w:val="004F33C0"/>
    <w:rsid w:val="004F3663"/>
    <w:rsid w:val="004F3A89"/>
    <w:rsid w:val="004F47DF"/>
    <w:rsid w:val="004F4AFF"/>
    <w:rsid w:val="004F4FBF"/>
    <w:rsid w:val="004F6247"/>
    <w:rsid w:val="0050043D"/>
    <w:rsid w:val="00501BD2"/>
    <w:rsid w:val="005035A6"/>
    <w:rsid w:val="00503AF7"/>
    <w:rsid w:val="00504212"/>
    <w:rsid w:val="0050432F"/>
    <w:rsid w:val="00504A1B"/>
    <w:rsid w:val="00505533"/>
    <w:rsid w:val="005055B3"/>
    <w:rsid w:val="00506530"/>
    <w:rsid w:val="0051396F"/>
    <w:rsid w:val="00514C55"/>
    <w:rsid w:val="005176CE"/>
    <w:rsid w:val="00521124"/>
    <w:rsid w:val="00521266"/>
    <w:rsid w:val="0052151B"/>
    <w:rsid w:val="00521A82"/>
    <w:rsid w:val="00522A2D"/>
    <w:rsid w:val="00523982"/>
    <w:rsid w:val="005241E4"/>
    <w:rsid w:val="00524EA2"/>
    <w:rsid w:val="005262C7"/>
    <w:rsid w:val="00530D81"/>
    <w:rsid w:val="00531173"/>
    <w:rsid w:val="00531517"/>
    <w:rsid w:val="00531F8A"/>
    <w:rsid w:val="00534AAF"/>
    <w:rsid w:val="00534F2B"/>
    <w:rsid w:val="005351CB"/>
    <w:rsid w:val="005363A9"/>
    <w:rsid w:val="005378D3"/>
    <w:rsid w:val="00543555"/>
    <w:rsid w:val="00544494"/>
    <w:rsid w:val="00544506"/>
    <w:rsid w:val="00547D6D"/>
    <w:rsid w:val="00550754"/>
    <w:rsid w:val="005509FB"/>
    <w:rsid w:val="00552FB3"/>
    <w:rsid w:val="005533F0"/>
    <w:rsid w:val="00553882"/>
    <w:rsid w:val="00556AEA"/>
    <w:rsid w:val="005571ED"/>
    <w:rsid w:val="005576BE"/>
    <w:rsid w:val="0056047C"/>
    <w:rsid w:val="00561778"/>
    <w:rsid w:val="00561CF0"/>
    <w:rsid w:val="005628B5"/>
    <w:rsid w:val="00562BA5"/>
    <w:rsid w:val="00567998"/>
    <w:rsid w:val="00567BF6"/>
    <w:rsid w:val="005711EC"/>
    <w:rsid w:val="005714AE"/>
    <w:rsid w:val="00571D5F"/>
    <w:rsid w:val="00572933"/>
    <w:rsid w:val="005759A4"/>
    <w:rsid w:val="00576725"/>
    <w:rsid w:val="005769CB"/>
    <w:rsid w:val="005776B0"/>
    <w:rsid w:val="005801C8"/>
    <w:rsid w:val="00581674"/>
    <w:rsid w:val="00582E87"/>
    <w:rsid w:val="00583842"/>
    <w:rsid w:val="005844C8"/>
    <w:rsid w:val="005853A8"/>
    <w:rsid w:val="00586008"/>
    <w:rsid w:val="00586A4A"/>
    <w:rsid w:val="00587A8B"/>
    <w:rsid w:val="00587AEF"/>
    <w:rsid w:val="00587D7D"/>
    <w:rsid w:val="00587E6B"/>
    <w:rsid w:val="005900BB"/>
    <w:rsid w:val="00590279"/>
    <w:rsid w:val="00590741"/>
    <w:rsid w:val="00591492"/>
    <w:rsid w:val="005928A7"/>
    <w:rsid w:val="0059353A"/>
    <w:rsid w:val="0059471A"/>
    <w:rsid w:val="00595257"/>
    <w:rsid w:val="00596000"/>
    <w:rsid w:val="00596BA3"/>
    <w:rsid w:val="005974A0"/>
    <w:rsid w:val="005A0217"/>
    <w:rsid w:val="005A04F7"/>
    <w:rsid w:val="005A0D5A"/>
    <w:rsid w:val="005A144C"/>
    <w:rsid w:val="005A1DC2"/>
    <w:rsid w:val="005A25D7"/>
    <w:rsid w:val="005A25E8"/>
    <w:rsid w:val="005A36EB"/>
    <w:rsid w:val="005A382E"/>
    <w:rsid w:val="005A43D4"/>
    <w:rsid w:val="005A467A"/>
    <w:rsid w:val="005A521C"/>
    <w:rsid w:val="005B0972"/>
    <w:rsid w:val="005B2163"/>
    <w:rsid w:val="005B3F3A"/>
    <w:rsid w:val="005B415A"/>
    <w:rsid w:val="005B57CB"/>
    <w:rsid w:val="005C0A92"/>
    <w:rsid w:val="005C10CC"/>
    <w:rsid w:val="005C17A5"/>
    <w:rsid w:val="005C1CAB"/>
    <w:rsid w:val="005C2D4D"/>
    <w:rsid w:val="005C3551"/>
    <w:rsid w:val="005C3C0A"/>
    <w:rsid w:val="005C4025"/>
    <w:rsid w:val="005C4E6B"/>
    <w:rsid w:val="005C4FD7"/>
    <w:rsid w:val="005C501F"/>
    <w:rsid w:val="005C51AD"/>
    <w:rsid w:val="005C546A"/>
    <w:rsid w:val="005C574C"/>
    <w:rsid w:val="005C58B4"/>
    <w:rsid w:val="005C617D"/>
    <w:rsid w:val="005C6500"/>
    <w:rsid w:val="005C68B3"/>
    <w:rsid w:val="005C721A"/>
    <w:rsid w:val="005D00B1"/>
    <w:rsid w:val="005D0A33"/>
    <w:rsid w:val="005D1D67"/>
    <w:rsid w:val="005D1D97"/>
    <w:rsid w:val="005D35A7"/>
    <w:rsid w:val="005D4937"/>
    <w:rsid w:val="005D4E33"/>
    <w:rsid w:val="005D4FC2"/>
    <w:rsid w:val="005D55A0"/>
    <w:rsid w:val="005D567A"/>
    <w:rsid w:val="005D5D39"/>
    <w:rsid w:val="005E08BF"/>
    <w:rsid w:val="005E147D"/>
    <w:rsid w:val="005E15C8"/>
    <w:rsid w:val="005E193C"/>
    <w:rsid w:val="005E1D72"/>
    <w:rsid w:val="005E33E2"/>
    <w:rsid w:val="005E358D"/>
    <w:rsid w:val="005E3707"/>
    <w:rsid w:val="005E48AE"/>
    <w:rsid w:val="005E4FFC"/>
    <w:rsid w:val="005E7571"/>
    <w:rsid w:val="005E7B3E"/>
    <w:rsid w:val="005F04DB"/>
    <w:rsid w:val="005F07B4"/>
    <w:rsid w:val="005F1F50"/>
    <w:rsid w:val="005F2B37"/>
    <w:rsid w:val="005F3D76"/>
    <w:rsid w:val="005F4805"/>
    <w:rsid w:val="005F518B"/>
    <w:rsid w:val="005F6338"/>
    <w:rsid w:val="005F6767"/>
    <w:rsid w:val="005F7F0A"/>
    <w:rsid w:val="0060082D"/>
    <w:rsid w:val="006016DC"/>
    <w:rsid w:val="006045C8"/>
    <w:rsid w:val="00604C1F"/>
    <w:rsid w:val="006069B2"/>
    <w:rsid w:val="00607473"/>
    <w:rsid w:val="00607DAB"/>
    <w:rsid w:val="006113BE"/>
    <w:rsid w:val="006149D1"/>
    <w:rsid w:val="00617234"/>
    <w:rsid w:val="00621066"/>
    <w:rsid w:val="00621204"/>
    <w:rsid w:val="00621565"/>
    <w:rsid w:val="00623B87"/>
    <w:rsid w:val="006251F1"/>
    <w:rsid w:val="00633DBD"/>
    <w:rsid w:val="00637122"/>
    <w:rsid w:val="0063764C"/>
    <w:rsid w:val="00637BCA"/>
    <w:rsid w:val="00640FF5"/>
    <w:rsid w:val="00644CA7"/>
    <w:rsid w:val="00644D77"/>
    <w:rsid w:val="006454C2"/>
    <w:rsid w:val="00645706"/>
    <w:rsid w:val="00647D3E"/>
    <w:rsid w:val="00650867"/>
    <w:rsid w:val="00651E52"/>
    <w:rsid w:val="00652234"/>
    <w:rsid w:val="00655FA9"/>
    <w:rsid w:val="00656EC8"/>
    <w:rsid w:val="00661364"/>
    <w:rsid w:val="00661D6E"/>
    <w:rsid w:val="00662598"/>
    <w:rsid w:val="00663367"/>
    <w:rsid w:val="00664A94"/>
    <w:rsid w:val="0066506F"/>
    <w:rsid w:val="00667072"/>
    <w:rsid w:val="00667A2D"/>
    <w:rsid w:val="00670DB7"/>
    <w:rsid w:val="006712C7"/>
    <w:rsid w:val="006720B9"/>
    <w:rsid w:val="0067278C"/>
    <w:rsid w:val="006754F9"/>
    <w:rsid w:val="006770CE"/>
    <w:rsid w:val="00677CDC"/>
    <w:rsid w:val="0068061D"/>
    <w:rsid w:val="00681DFD"/>
    <w:rsid w:val="006820FD"/>
    <w:rsid w:val="00683624"/>
    <w:rsid w:val="0068434E"/>
    <w:rsid w:val="006856E6"/>
    <w:rsid w:val="006904DA"/>
    <w:rsid w:val="006905F1"/>
    <w:rsid w:val="00691BCA"/>
    <w:rsid w:val="006929C0"/>
    <w:rsid w:val="00692AB2"/>
    <w:rsid w:val="00693151"/>
    <w:rsid w:val="006945DA"/>
    <w:rsid w:val="0069493D"/>
    <w:rsid w:val="00696056"/>
    <w:rsid w:val="006972E7"/>
    <w:rsid w:val="00697A12"/>
    <w:rsid w:val="006A052E"/>
    <w:rsid w:val="006A1387"/>
    <w:rsid w:val="006A27D5"/>
    <w:rsid w:val="006A4884"/>
    <w:rsid w:val="006A4DEF"/>
    <w:rsid w:val="006A6726"/>
    <w:rsid w:val="006A6F95"/>
    <w:rsid w:val="006A708B"/>
    <w:rsid w:val="006A7BAE"/>
    <w:rsid w:val="006B31D6"/>
    <w:rsid w:val="006B35E9"/>
    <w:rsid w:val="006B3B54"/>
    <w:rsid w:val="006B3E84"/>
    <w:rsid w:val="006B3EBC"/>
    <w:rsid w:val="006B4ACE"/>
    <w:rsid w:val="006C157E"/>
    <w:rsid w:val="006C1A2B"/>
    <w:rsid w:val="006C24F6"/>
    <w:rsid w:val="006C3A91"/>
    <w:rsid w:val="006C47CF"/>
    <w:rsid w:val="006C4AFE"/>
    <w:rsid w:val="006C5167"/>
    <w:rsid w:val="006C59B4"/>
    <w:rsid w:val="006C699C"/>
    <w:rsid w:val="006C7E82"/>
    <w:rsid w:val="006D09B3"/>
    <w:rsid w:val="006D121C"/>
    <w:rsid w:val="006D1F5C"/>
    <w:rsid w:val="006D3518"/>
    <w:rsid w:val="006D4918"/>
    <w:rsid w:val="006D49DE"/>
    <w:rsid w:val="006D6FF2"/>
    <w:rsid w:val="006E111F"/>
    <w:rsid w:val="006E3DEB"/>
    <w:rsid w:val="006F03CD"/>
    <w:rsid w:val="006F1EF7"/>
    <w:rsid w:val="006F213F"/>
    <w:rsid w:val="006F563D"/>
    <w:rsid w:val="006F5D53"/>
    <w:rsid w:val="006F679B"/>
    <w:rsid w:val="007015EE"/>
    <w:rsid w:val="00702D7B"/>
    <w:rsid w:val="00703000"/>
    <w:rsid w:val="0070358B"/>
    <w:rsid w:val="00706FD2"/>
    <w:rsid w:val="00707736"/>
    <w:rsid w:val="00707737"/>
    <w:rsid w:val="00710241"/>
    <w:rsid w:val="00710BC2"/>
    <w:rsid w:val="007121A0"/>
    <w:rsid w:val="00712627"/>
    <w:rsid w:val="00712778"/>
    <w:rsid w:val="00712C34"/>
    <w:rsid w:val="0071467F"/>
    <w:rsid w:val="00716735"/>
    <w:rsid w:val="00722604"/>
    <w:rsid w:val="00722865"/>
    <w:rsid w:val="00723B8D"/>
    <w:rsid w:val="00724348"/>
    <w:rsid w:val="007256EA"/>
    <w:rsid w:val="0072572A"/>
    <w:rsid w:val="00727908"/>
    <w:rsid w:val="00730E6E"/>
    <w:rsid w:val="00733A5A"/>
    <w:rsid w:val="00733D8F"/>
    <w:rsid w:val="00737B11"/>
    <w:rsid w:val="00737C44"/>
    <w:rsid w:val="00740649"/>
    <w:rsid w:val="007408FE"/>
    <w:rsid w:val="00740F26"/>
    <w:rsid w:val="00740FB2"/>
    <w:rsid w:val="007427A0"/>
    <w:rsid w:val="00742D5C"/>
    <w:rsid w:val="00742EAC"/>
    <w:rsid w:val="00743797"/>
    <w:rsid w:val="00747514"/>
    <w:rsid w:val="00747DD5"/>
    <w:rsid w:val="007503E6"/>
    <w:rsid w:val="007526D3"/>
    <w:rsid w:val="0075272A"/>
    <w:rsid w:val="00753404"/>
    <w:rsid w:val="00753A29"/>
    <w:rsid w:val="00753CFC"/>
    <w:rsid w:val="007547DD"/>
    <w:rsid w:val="00757A39"/>
    <w:rsid w:val="00757FE1"/>
    <w:rsid w:val="00760A4A"/>
    <w:rsid w:val="007616A3"/>
    <w:rsid w:val="0076186E"/>
    <w:rsid w:val="007634CD"/>
    <w:rsid w:val="00764DC0"/>
    <w:rsid w:val="00766C4B"/>
    <w:rsid w:val="00770610"/>
    <w:rsid w:val="007707F3"/>
    <w:rsid w:val="007728B7"/>
    <w:rsid w:val="00773998"/>
    <w:rsid w:val="0077573A"/>
    <w:rsid w:val="00776048"/>
    <w:rsid w:val="0077751C"/>
    <w:rsid w:val="007775AC"/>
    <w:rsid w:val="00780052"/>
    <w:rsid w:val="00781784"/>
    <w:rsid w:val="00782BE8"/>
    <w:rsid w:val="00783863"/>
    <w:rsid w:val="00783B4C"/>
    <w:rsid w:val="007853F9"/>
    <w:rsid w:val="0078590B"/>
    <w:rsid w:val="007865F8"/>
    <w:rsid w:val="00786AF3"/>
    <w:rsid w:val="00787414"/>
    <w:rsid w:val="0079084E"/>
    <w:rsid w:val="00792558"/>
    <w:rsid w:val="00792D50"/>
    <w:rsid w:val="00792E98"/>
    <w:rsid w:val="00793960"/>
    <w:rsid w:val="0079465D"/>
    <w:rsid w:val="00796994"/>
    <w:rsid w:val="007973D9"/>
    <w:rsid w:val="007A3271"/>
    <w:rsid w:val="007A5DCA"/>
    <w:rsid w:val="007A7CAA"/>
    <w:rsid w:val="007B1876"/>
    <w:rsid w:val="007B30BB"/>
    <w:rsid w:val="007B4DFC"/>
    <w:rsid w:val="007B75A0"/>
    <w:rsid w:val="007C11D6"/>
    <w:rsid w:val="007C2BF9"/>
    <w:rsid w:val="007C4922"/>
    <w:rsid w:val="007C4971"/>
    <w:rsid w:val="007C66ED"/>
    <w:rsid w:val="007C7A3F"/>
    <w:rsid w:val="007D03DC"/>
    <w:rsid w:val="007D364F"/>
    <w:rsid w:val="007D505D"/>
    <w:rsid w:val="007D61EF"/>
    <w:rsid w:val="007D7B0F"/>
    <w:rsid w:val="007E0B29"/>
    <w:rsid w:val="007E25CC"/>
    <w:rsid w:val="007E35B8"/>
    <w:rsid w:val="007E4538"/>
    <w:rsid w:val="007E5179"/>
    <w:rsid w:val="007E53DB"/>
    <w:rsid w:val="007E5BD4"/>
    <w:rsid w:val="007E5C07"/>
    <w:rsid w:val="007E65EC"/>
    <w:rsid w:val="007E7B72"/>
    <w:rsid w:val="007E7F56"/>
    <w:rsid w:val="007E7FD2"/>
    <w:rsid w:val="007F0747"/>
    <w:rsid w:val="007F0C70"/>
    <w:rsid w:val="007F0EF7"/>
    <w:rsid w:val="007F134F"/>
    <w:rsid w:val="007F1FA6"/>
    <w:rsid w:val="007F2230"/>
    <w:rsid w:val="007F3E71"/>
    <w:rsid w:val="007F6738"/>
    <w:rsid w:val="007F7B55"/>
    <w:rsid w:val="0080033F"/>
    <w:rsid w:val="008020AD"/>
    <w:rsid w:val="008021FC"/>
    <w:rsid w:val="008026CE"/>
    <w:rsid w:val="00802AEF"/>
    <w:rsid w:val="00802C3E"/>
    <w:rsid w:val="00802D76"/>
    <w:rsid w:val="00803679"/>
    <w:rsid w:val="008048A0"/>
    <w:rsid w:val="008048A3"/>
    <w:rsid w:val="008056ED"/>
    <w:rsid w:val="00806516"/>
    <w:rsid w:val="00806B8A"/>
    <w:rsid w:val="008077F1"/>
    <w:rsid w:val="0081118D"/>
    <w:rsid w:val="00811271"/>
    <w:rsid w:val="00813649"/>
    <w:rsid w:val="008143B4"/>
    <w:rsid w:val="0081611E"/>
    <w:rsid w:val="008166FF"/>
    <w:rsid w:val="00817143"/>
    <w:rsid w:val="00820DA9"/>
    <w:rsid w:val="00822342"/>
    <w:rsid w:val="00824120"/>
    <w:rsid w:val="00824B2E"/>
    <w:rsid w:val="00824CBC"/>
    <w:rsid w:val="00825049"/>
    <w:rsid w:val="00833131"/>
    <w:rsid w:val="00834198"/>
    <w:rsid w:val="008347B5"/>
    <w:rsid w:val="00834CAE"/>
    <w:rsid w:val="008351EA"/>
    <w:rsid w:val="008356D1"/>
    <w:rsid w:val="0083680C"/>
    <w:rsid w:val="008376EC"/>
    <w:rsid w:val="0083797D"/>
    <w:rsid w:val="00837F79"/>
    <w:rsid w:val="0084036F"/>
    <w:rsid w:val="008443CA"/>
    <w:rsid w:val="00845062"/>
    <w:rsid w:val="00846C2E"/>
    <w:rsid w:val="008472A3"/>
    <w:rsid w:val="00850E8F"/>
    <w:rsid w:val="008526E4"/>
    <w:rsid w:val="008530EF"/>
    <w:rsid w:val="00853D2A"/>
    <w:rsid w:val="00855542"/>
    <w:rsid w:val="008559F5"/>
    <w:rsid w:val="00855AE3"/>
    <w:rsid w:val="0085635D"/>
    <w:rsid w:val="00857DA0"/>
    <w:rsid w:val="008602BD"/>
    <w:rsid w:val="008622F0"/>
    <w:rsid w:val="00862BD1"/>
    <w:rsid w:val="0086365B"/>
    <w:rsid w:val="00865192"/>
    <w:rsid w:val="00865CB8"/>
    <w:rsid w:val="00866163"/>
    <w:rsid w:val="0086660A"/>
    <w:rsid w:val="00866672"/>
    <w:rsid w:val="00871169"/>
    <w:rsid w:val="008723D2"/>
    <w:rsid w:val="00872FC6"/>
    <w:rsid w:val="008736F9"/>
    <w:rsid w:val="00873DF3"/>
    <w:rsid w:val="008744D5"/>
    <w:rsid w:val="00874645"/>
    <w:rsid w:val="0087534B"/>
    <w:rsid w:val="00875FB2"/>
    <w:rsid w:val="008762E3"/>
    <w:rsid w:val="00876715"/>
    <w:rsid w:val="00876B1F"/>
    <w:rsid w:val="00877808"/>
    <w:rsid w:val="00880559"/>
    <w:rsid w:val="00880E2E"/>
    <w:rsid w:val="0088344E"/>
    <w:rsid w:val="0088385D"/>
    <w:rsid w:val="0088474B"/>
    <w:rsid w:val="0088495D"/>
    <w:rsid w:val="008858C4"/>
    <w:rsid w:val="00886F4C"/>
    <w:rsid w:val="00887928"/>
    <w:rsid w:val="00894181"/>
    <w:rsid w:val="008943E3"/>
    <w:rsid w:val="008956E7"/>
    <w:rsid w:val="008958D8"/>
    <w:rsid w:val="00895CF5"/>
    <w:rsid w:val="00896EB1"/>
    <w:rsid w:val="008A0D27"/>
    <w:rsid w:val="008A4AA1"/>
    <w:rsid w:val="008A4D7C"/>
    <w:rsid w:val="008A50FB"/>
    <w:rsid w:val="008A5364"/>
    <w:rsid w:val="008B007C"/>
    <w:rsid w:val="008B2B39"/>
    <w:rsid w:val="008B2E70"/>
    <w:rsid w:val="008B3E14"/>
    <w:rsid w:val="008B6734"/>
    <w:rsid w:val="008B6819"/>
    <w:rsid w:val="008B6AB4"/>
    <w:rsid w:val="008B7E74"/>
    <w:rsid w:val="008C231F"/>
    <w:rsid w:val="008C2FB7"/>
    <w:rsid w:val="008C32B0"/>
    <w:rsid w:val="008C3519"/>
    <w:rsid w:val="008C366E"/>
    <w:rsid w:val="008C3A04"/>
    <w:rsid w:val="008C3AA6"/>
    <w:rsid w:val="008C4B8F"/>
    <w:rsid w:val="008C5C39"/>
    <w:rsid w:val="008C5E58"/>
    <w:rsid w:val="008D140B"/>
    <w:rsid w:val="008D1F32"/>
    <w:rsid w:val="008D1FD1"/>
    <w:rsid w:val="008D4300"/>
    <w:rsid w:val="008D4E7B"/>
    <w:rsid w:val="008D56B2"/>
    <w:rsid w:val="008E1632"/>
    <w:rsid w:val="008E2C16"/>
    <w:rsid w:val="008E2F95"/>
    <w:rsid w:val="008E48B1"/>
    <w:rsid w:val="008E5389"/>
    <w:rsid w:val="008E622D"/>
    <w:rsid w:val="008E6F19"/>
    <w:rsid w:val="008F0471"/>
    <w:rsid w:val="008F0767"/>
    <w:rsid w:val="008F0D4D"/>
    <w:rsid w:val="008F1A97"/>
    <w:rsid w:val="008F1BB3"/>
    <w:rsid w:val="008F1F4D"/>
    <w:rsid w:val="008F2076"/>
    <w:rsid w:val="008F4393"/>
    <w:rsid w:val="008F4A46"/>
    <w:rsid w:val="009010EA"/>
    <w:rsid w:val="009018F4"/>
    <w:rsid w:val="009034AC"/>
    <w:rsid w:val="00911382"/>
    <w:rsid w:val="00912195"/>
    <w:rsid w:val="009130A0"/>
    <w:rsid w:val="00913622"/>
    <w:rsid w:val="009142A4"/>
    <w:rsid w:val="00916E7B"/>
    <w:rsid w:val="009209F2"/>
    <w:rsid w:val="00921787"/>
    <w:rsid w:val="00925A8A"/>
    <w:rsid w:val="00925DF8"/>
    <w:rsid w:val="0092664D"/>
    <w:rsid w:val="009271FE"/>
    <w:rsid w:val="00930280"/>
    <w:rsid w:val="00930379"/>
    <w:rsid w:val="00930FCD"/>
    <w:rsid w:val="009320D8"/>
    <w:rsid w:val="00932E20"/>
    <w:rsid w:val="00932F54"/>
    <w:rsid w:val="00934834"/>
    <w:rsid w:val="00935969"/>
    <w:rsid w:val="009416FE"/>
    <w:rsid w:val="00941D8D"/>
    <w:rsid w:val="009434B7"/>
    <w:rsid w:val="009434F5"/>
    <w:rsid w:val="00944395"/>
    <w:rsid w:val="0094466B"/>
    <w:rsid w:val="00945262"/>
    <w:rsid w:val="00945D6C"/>
    <w:rsid w:val="009526A5"/>
    <w:rsid w:val="009527C1"/>
    <w:rsid w:val="00955A56"/>
    <w:rsid w:val="00957756"/>
    <w:rsid w:val="00957DAD"/>
    <w:rsid w:val="00957E7A"/>
    <w:rsid w:val="00961DA2"/>
    <w:rsid w:val="00961DC5"/>
    <w:rsid w:val="00962510"/>
    <w:rsid w:val="00963465"/>
    <w:rsid w:val="009639EC"/>
    <w:rsid w:val="00965731"/>
    <w:rsid w:val="00965871"/>
    <w:rsid w:val="00966A46"/>
    <w:rsid w:val="00967C23"/>
    <w:rsid w:val="00967FCA"/>
    <w:rsid w:val="00970037"/>
    <w:rsid w:val="009713A5"/>
    <w:rsid w:val="0097240D"/>
    <w:rsid w:val="00972640"/>
    <w:rsid w:val="00974162"/>
    <w:rsid w:val="00976EF3"/>
    <w:rsid w:val="00981A1E"/>
    <w:rsid w:val="00982273"/>
    <w:rsid w:val="00983886"/>
    <w:rsid w:val="00983B24"/>
    <w:rsid w:val="0098457C"/>
    <w:rsid w:val="00984B67"/>
    <w:rsid w:val="009851D7"/>
    <w:rsid w:val="009868F6"/>
    <w:rsid w:val="00987975"/>
    <w:rsid w:val="009907C7"/>
    <w:rsid w:val="00990E01"/>
    <w:rsid w:val="00990FF4"/>
    <w:rsid w:val="009911BA"/>
    <w:rsid w:val="009932AB"/>
    <w:rsid w:val="00993D7D"/>
    <w:rsid w:val="009945F1"/>
    <w:rsid w:val="009965F5"/>
    <w:rsid w:val="009969C4"/>
    <w:rsid w:val="00997384"/>
    <w:rsid w:val="00997452"/>
    <w:rsid w:val="009A05CE"/>
    <w:rsid w:val="009A3165"/>
    <w:rsid w:val="009A3DED"/>
    <w:rsid w:val="009A3F60"/>
    <w:rsid w:val="009A4F01"/>
    <w:rsid w:val="009A5890"/>
    <w:rsid w:val="009A69C0"/>
    <w:rsid w:val="009A6C26"/>
    <w:rsid w:val="009A76FE"/>
    <w:rsid w:val="009B0652"/>
    <w:rsid w:val="009B1C62"/>
    <w:rsid w:val="009B356B"/>
    <w:rsid w:val="009B422D"/>
    <w:rsid w:val="009B48A6"/>
    <w:rsid w:val="009B4F13"/>
    <w:rsid w:val="009B5211"/>
    <w:rsid w:val="009B5531"/>
    <w:rsid w:val="009B5824"/>
    <w:rsid w:val="009B59A2"/>
    <w:rsid w:val="009B7571"/>
    <w:rsid w:val="009C0A70"/>
    <w:rsid w:val="009C3023"/>
    <w:rsid w:val="009C5102"/>
    <w:rsid w:val="009C54BD"/>
    <w:rsid w:val="009C5591"/>
    <w:rsid w:val="009D0321"/>
    <w:rsid w:val="009D0B54"/>
    <w:rsid w:val="009D2350"/>
    <w:rsid w:val="009D2E03"/>
    <w:rsid w:val="009D37DD"/>
    <w:rsid w:val="009D5188"/>
    <w:rsid w:val="009D6775"/>
    <w:rsid w:val="009D7823"/>
    <w:rsid w:val="009D7B9E"/>
    <w:rsid w:val="009E1454"/>
    <w:rsid w:val="009E1706"/>
    <w:rsid w:val="009E2DD4"/>
    <w:rsid w:val="009E2E4E"/>
    <w:rsid w:val="009E4838"/>
    <w:rsid w:val="009E5B49"/>
    <w:rsid w:val="009E74CD"/>
    <w:rsid w:val="009F04D8"/>
    <w:rsid w:val="009F295A"/>
    <w:rsid w:val="009F2A01"/>
    <w:rsid w:val="009F3412"/>
    <w:rsid w:val="009F3912"/>
    <w:rsid w:val="009F3B99"/>
    <w:rsid w:val="009F5638"/>
    <w:rsid w:val="009F71DB"/>
    <w:rsid w:val="00A00C54"/>
    <w:rsid w:val="00A012CA"/>
    <w:rsid w:val="00A013E2"/>
    <w:rsid w:val="00A015D4"/>
    <w:rsid w:val="00A01F72"/>
    <w:rsid w:val="00A026D1"/>
    <w:rsid w:val="00A050DA"/>
    <w:rsid w:val="00A1002F"/>
    <w:rsid w:val="00A11810"/>
    <w:rsid w:val="00A136B5"/>
    <w:rsid w:val="00A14013"/>
    <w:rsid w:val="00A149D0"/>
    <w:rsid w:val="00A164F6"/>
    <w:rsid w:val="00A2178E"/>
    <w:rsid w:val="00A21A53"/>
    <w:rsid w:val="00A232DE"/>
    <w:rsid w:val="00A2487E"/>
    <w:rsid w:val="00A24A36"/>
    <w:rsid w:val="00A24A45"/>
    <w:rsid w:val="00A24A72"/>
    <w:rsid w:val="00A24EB8"/>
    <w:rsid w:val="00A276AA"/>
    <w:rsid w:val="00A31827"/>
    <w:rsid w:val="00A328A4"/>
    <w:rsid w:val="00A32D20"/>
    <w:rsid w:val="00A33005"/>
    <w:rsid w:val="00A34AAF"/>
    <w:rsid w:val="00A3786B"/>
    <w:rsid w:val="00A403E9"/>
    <w:rsid w:val="00A406F3"/>
    <w:rsid w:val="00A41A7C"/>
    <w:rsid w:val="00A42B32"/>
    <w:rsid w:val="00A43C52"/>
    <w:rsid w:val="00A446DF"/>
    <w:rsid w:val="00A44F72"/>
    <w:rsid w:val="00A45A0A"/>
    <w:rsid w:val="00A47A0E"/>
    <w:rsid w:val="00A50CB9"/>
    <w:rsid w:val="00A52105"/>
    <w:rsid w:val="00A53AF3"/>
    <w:rsid w:val="00A548CE"/>
    <w:rsid w:val="00A54FF5"/>
    <w:rsid w:val="00A55344"/>
    <w:rsid w:val="00A553E1"/>
    <w:rsid w:val="00A57271"/>
    <w:rsid w:val="00A57B30"/>
    <w:rsid w:val="00A6201C"/>
    <w:rsid w:val="00A62D05"/>
    <w:rsid w:val="00A6689A"/>
    <w:rsid w:val="00A668F1"/>
    <w:rsid w:val="00A672AB"/>
    <w:rsid w:val="00A6798A"/>
    <w:rsid w:val="00A70515"/>
    <w:rsid w:val="00A70DC4"/>
    <w:rsid w:val="00A7165A"/>
    <w:rsid w:val="00A721FB"/>
    <w:rsid w:val="00A773A2"/>
    <w:rsid w:val="00A80282"/>
    <w:rsid w:val="00A8035F"/>
    <w:rsid w:val="00A80D55"/>
    <w:rsid w:val="00A81F61"/>
    <w:rsid w:val="00A8207E"/>
    <w:rsid w:val="00A832F2"/>
    <w:rsid w:val="00A84240"/>
    <w:rsid w:val="00A865E7"/>
    <w:rsid w:val="00A91389"/>
    <w:rsid w:val="00A9362D"/>
    <w:rsid w:val="00A9511B"/>
    <w:rsid w:val="00A95FF6"/>
    <w:rsid w:val="00A96102"/>
    <w:rsid w:val="00A97205"/>
    <w:rsid w:val="00A97AAA"/>
    <w:rsid w:val="00AA1081"/>
    <w:rsid w:val="00AA2BB0"/>
    <w:rsid w:val="00AA4E1C"/>
    <w:rsid w:val="00AA5480"/>
    <w:rsid w:val="00AA6457"/>
    <w:rsid w:val="00AA64FF"/>
    <w:rsid w:val="00AA6CFC"/>
    <w:rsid w:val="00AB0969"/>
    <w:rsid w:val="00AB19CA"/>
    <w:rsid w:val="00AB25B0"/>
    <w:rsid w:val="00AB32FB"/>
    <w:rsid w:val="00AC0A4E"/>
    <w:rsid w:val="00AC1030"/>
    <w:rsid w:val="00AC160F"/>
    <w:rsid w:val="00AC1701"/>
    <w:rsid w:val="00AC2393"/>
    <w:rsid w:val="00AC441A"/>
    <w:rsid w:val="00AC4835"/>
    <w:rsid w:val="00AC562E"/>
    <w:rsid w:val="00AC6331"/>
    <w:rsid w:val="00AC684A"/>
    <w:rsid w:val="00AC759F"/>
    <w:rsid w:val="00AD12AE"/>
    <w:rsid w:val="00AD1F07"/>
    <w:rsid w:val="00AD3458"/>
    <w:rsid w:val="00AD3869"/>
    <w:rsid w:val="00AD386D"/>
    <w:rsid w:val="00AD4F2B"/>
    <w:rsid w:val="00AD5170"/>
    <w:rsid w:val="00AD7741"/>
    <w:rsid w:val="00AE05E0"/>
    <w:rsid w:val="00AE17CD"/>
    <w:rsid w:val="00AE1E4E"/>
    <w:rsid w:val="00AE24A2"/>
    <w:rsid w:val="00AE39E2"/>
    <w:rsid w:val="00AE4A7E"/>
    <w:rsid w:val="00AE4B16"/>
    <w:rsid w:val="00AE4B4A"/>
    <w:rsid w:val="00AE7F4F"/>
    <w:rsid w:val="00AF032A"/>
    <w:rsid w:val="00AF128C"/>
    <w:rsid w:val="00AF3F58"/>
    <w:rsid w:val="00AF4CA1"/>
    <w:rsid w:val="00AF5D5E"/>
    <w:rsid w:val="00AF6382"/>
    <w:rsid w:val="00B01FD6"/>
    <w:rsid w:val="00B02775"/>
    <w:rsid w:val="00B04E31"/>
    <w:rsid w:val="00B07890"/>
    <w:rsid w:val="00B1102F"/>
    <w:rsid w:val="00B1117C"/>
    <w:rsid w:val="00B165EA"/>
    <w:rsid w:val="00B16BCF"/>
    <w:rsid w:val="00B16C02"/>
    <w:rsid w:val="00B2048C"/>
    <w:rsid w:val="00B20B3C"/>
    <w:rsid w:val="00B2198D"/>
    <w:rsid w:val="00B24691"/>
    <w:rsid w:val="00B32C4B"/>
    <w:rsid w:val="00B344B8"/>
    <w:rsid w:val="00B36409"/>
    <w:rsid w:val="00B37377"/>
    <w:rsid w:val="00B379D5"/>
    <w:rsid w:val="00B40ECB"/>
    <w:rsid w:val="00B41267"/>
    <w:rsid w:val="00B4168D"/>
    <w:rsid w:val="00B42CB3"/>
    <w:rsid w:val="00B42F40"/>
    <w:rsid w:val="00B43368"/>
    <w:rsid w:val="00B44566"/>
    <w:rsid w:val="00B463D7"/>
    <w:rsid w:val="00B468F3"/>
    <w:rsid w:val="00B47078"/>
    <w:rsid w:val="00B47D48"/>
    <w:rsid w:val="00B51C0E"/>
    <w:rsid w:val="00B53877"/>
    <w:rsid w:val="00B54D61"/>
    <w:rsid w:val="00B54F22"/>
    <w:rsid w:val="00B56A9F"/>
    <w:rsid w:val="00B571F5"/>
    <w:rsid w:val="00B57A74"/>
    <w:rsid w:val="00B60F88"/>
    <w:rsid w:val="00B61D02"/>
    <w:rsid w:val="00B6294D"/>
    <w:rsid w:val="00B635E5"/>
    <w:rsid w:val="00B6445A"/>
    <w:rsid w:val="00B645BA"/>
    <w:rsid w:val="00B64792"/>
    <w:rsid w:val="00B64A5D"/>
    <w:rsid w:val="00B66256"/>
    <w:rsid w:val="00B671F5"/>
    <w:rsid w:val="00B709C5"/>
    <w:rsid w:val="00B71A89"/>
    <w:rsid w:val="00B71C7D"/>
    <w:rsid w:val="00B743AD"/>
    <w:rsid w:val="00B74521"/>
    <w:rsid w:val="00B758BF"/>
    <w:rsid w:val="00B75B28"/>
    <w:rsid w:val="00B81DF4"/>
    <w:rsid w:val="00B82429"/>
    <w:rsid w:val="00B82B33"/>
    <w:rsid w:val="00B86CD5"/>
    <w:rsid w:val="00B86E80"/>
    <w:rsid w:val="00B91957"/>
    <w:rsid w:val="00B925E2"/>
    <w:rsid w:val="00B94226"/>
    <w:rsid w:val="00B9703D"/>
    <w:rsid w:val="00B97D01"/>
    <w:rsid w:val="00BA01DF"/>
    <w:rsid w:val="00BA447F"/>
    <w:rsid w:val="00BA5139"/>
    <w:rsid w:val="00BA6DC9"/>
    <w:rsid w:val="00BA741F"/>
    <w:rsid w:val="00BA7545"/>
    <w:rsid w:val="00BB39A7"/>
    <w:rsid w:val="00BB42FA"/>
    <w:rsid w:val="00BB4A89"/>
    <w:rsid w:val="00BB4DA3"/>
    <w:rsid w:val="00BB79C8"/>
    <w:rsid w:val="00BC273C"/>
    <w:rsid w:val="00BC47A3"/>
    <w:rsid w:val="00BC6CA8"/>
    <w:rsid w:val="00BD223D"/>
    <w:rsid w:val="00BD2E6B"/>
    <w:rsid w:val="00BD31F7"/>
    <w:rsid w:val="00BD3C97"/>
    <w:rsid w:val="00BD423D"/>
    <w:rsid w:val="00BD557E"/>
    <w:rsid w:val="00BD5BFB"/>
    <w:rsid w:val="00BD60D7"/>
    <w:rsid w:val="00BD644A"/>
    <w:rsid w:val="00BD74B0"/>
    <w:rsid w:val="00BD7A45"/>
    <w:rsid w:val="00BE06E5"/>
    <w:rsid w:val="00BE1F93"/>
    <w:rsid w:val="00BE4ADB"/>
    <w:rsid w:val="00BE6258"/>
    <w:rsid w:val="00BE6F93"/>
    <w:rsid w:val="00BF01D1"/>
    <w:rsid w:val="00BF0F88"/>
    <w:rsid w:val="00BF42BB"/>
    <w:rsid w:val="00BF43F7"/>
    <w:rsid w:val="00BF448E"/>
    <w:rsid w:val="00C010F4"/>
    <w:rsid w:val="00C01DD1"/>
    <w:rsid w:val="00C025EE"/>
    <w:rsid w:val="00C02F61"/>
    <w:rsid w:val="00C04142"/>
    <w:rsid w:val="00C05734"/>
    <w:rsid w:val="00C068E5"/>
    <w:rsid w:val="00C07008"/>
    <w:rsid w:val="00C07060"/>
    <w:rsid w:val="00C0772A"/>
    <w:rsid w:val="00C10181"/>
    <w:rsid w:val="00C11340"/>
    <w:rsid w:val="00C11508"/>
    <w:rsid w:val="00C12507"/>
    <w:rsid w:val="00C12DDD"/>
    <w:rsid w:val="00C16E36"/>
    <w:rsid w:val="00C176D0"/>
    <w:rsid w:val="00C17B88"/>
    <w:rsid w:val="00C17C84"/>
    <w:rsid w:val="00C17D49"/>
    <w:rsid w:val="00C2132C"/>
    <w:rsid w:val="00C234C3"/>
    <w:rsid w:val="00C24086"/>
    <w:rsid w:val="00C24593"/>
    <w:rsid w:val="00C24A30"/>
    <w:rsid w:val="00C26760"/>
    <w:rsid w:val="00C33497"/>
    <w:rsid w:val="00C34B29"/>
    <w:rsid w:val="00C3503A"/>
    <w:rsid w:val="00C35BF8"/>
    <w:rsid w:val="00C36136"/>
    <w:rsid w:val="00C36FD0"/>
    <w:rsid w:val="00C3713D"/>
    <w:rsid w:val="00C374AA"/>
    <w:rsid w:val="00C41228"/>
    <w:rsid w:val="00C4423D"/>
    <w:rsid w:val="00C457A8"/>
    <w:rsid w:val="00C45EA7"/>
    <w:rsid w:val="00C45F9B"/>
    <w:rsid w:val="00C470DD"/>
    <w:rsid w:val="00C471B6"/>
    <w:rsid w:val="00C52A0A"/>
    <w:rsid w:val="00C558CC"/>
    <w:rsid w:val="00C55B47"/>
    <w:rsid w:val="00C55D82"/>
    <w:rsid w:val="00C57DA7"/>
    <w:rsid w:val="00C6258E"/>
    <w:rsid w:val="00C62D20"/>
    <w:rsid w:val="00C631B5"/>
    <w:rsid w:val="00C637ED"/>
    <w:rsid w:val="00C65D43"/>
    <w:rsid w:val="00C66A2A"/>
    <w:rsid w:val="00C6723D"/>
    <w:rsid w:val="00C67372"/>
    <w:rsid w:val="00C705AC"/>
    <w:rsid w:val="00C71C44"/>
    <w:rsid w:val="00C721A6"/>
    <w:rsid w:val="00C73F83"/>
    <w:rsid w:val="00C75E88"/>
    <w:rsid w:val="00C772D1"/>
    <w:rsid w:val="00C829A9"/>
    <w:rsid w:val="00C83A3D"/>
    <w:rsid w:val="00C85B12"/>
    <w:rsid w:val="00C862EF"/>
    <w:rsid w:val="00C91AB3"/>
    <w:rsid w:val="00C934F6"/>
    <w:rsid w:val="00C93EB4"/>
    <w:rsid w:val="00C94639"/>
    <w:rsid w:val="00C968D7"/>
    <w:rsid w:val="00C96EED"/>
    <w:rsid w:val="00C96F95"/>
    <w:rsid w:val="00CA0169"/>
    <w:rsid w:val="00CA101A"/>
    <w:rsid w:val="00CA22CE"/>
    <w:rsid w:val="00CA2AFD"/>
    <w:rsid w:val="00CA4BFA"/>
    <w:rsid w:val="00CA7EDA"/>
    <w:rsid w:val="00CB0A78"/>
    <w:rsid w:val="00CB1000"/>
    <w:rsid w:val="00CB1FAB"/>
    <w:rsid w:val="00CB3438"/>
    <w:rsid w:val="00CB6D82"/>
    <w:rsid w:val="00CC1C99"/>
    <w:rsid w:val="00CC1ECC"/>
    <w:rsid w:val="00CC2A04"/>
    <w:rsid w:val="00CC3ACC"/>
    <w:rsid w:val="00CC4ABD"/>
    <w:rsid w:val="00CC5414"/>
    <w:rsid w:val="00CC6C61"/>
    <w:rsid w:val="00CC6F98"/>
    <w:rsid w:val="00CD1D5D"/>
    <w:rsid w:val="00CD202C"/>
    <w:rsid w:val="00CD5261"/>
    <w:rsid w:val="00CD63B8"/>
    <w:rsid w:val="00CD79AA"/>
    <w:rsid w:val="00CD7A79"/>
    <w:rsid w:val="00CE0443"/>
    <w:rsid w:val="00CE1689"/>
    <w:rsid w:val="00CE2114"/>
    <w:rsid w:val="00CE2147"/>
    <w:rsid w:val="00CE4060"/>
    <w:rsid w:val="00CE4F81"/>
    <w:rsid w:val="00CE7D20"/>
    <w:rsid w:val="00CF117D"/>
    <w:rsid w:val="00CF137F"/>
    <w:rsid w:val="00CF1BCF"/>
    <w:rsid w:val="00CF1ECB"/>
    <w:rsid w:val="00CF1F5C"/>
    <w:rsid w:val="00CF2884"/>
    <w:rsid w:val="00CF2EA3"/>
    <w:rsid w:val="00CF38A8"/>
    <w:rsid w:val="00CF3A0D"/>
    <w:rsid w:val="00CF3B5F"/>
    <w:rsid w:val="00CF3ECD"/>
    <w:rsid w:val="00CF69DF"/>
    <w:rsid w:val="00CF71C6"/>
    <w:rsid w:val="00D005B6"/>
    <w:rsid w:val="00D017A5"/>
    <w:rsid w:val="00D01BD8"/>
    <w:rsid w:val="00D02735"/>
    <w:rsid w:val="00D03599"/>
    <w:rsid w:val="00D04693"/>
    <w:rsid w:val="00D10288"/>
    <w:rsid w:val="00D1036A"/>
    <w:rsid w:val="00D105D6"/>
    <w:rsid w:val="00D10EDF"/>
    <w:rsid w:val="00D13BF8"/>
    <w:rsid w:val="00D14893"/>
    <w:rsid w:val="00D16C6E"/>
    <w:rsid w:val="00D16F9D"/>
    <w:rsid w:val="00D22877"/>
    <w:rsid w:val="00D241EA"/>
    <w:rsid w:val="00D25A2D"/>
    <w:rsid w:val="00D26821"/>
    <w:rsid w:val="00D26B0F"/>
    <w:rsid w:val="00D307E6"/>
    <w:rsid w:val="00D308C4"/>
    <w:rsid w:val="00D31DF6"/>
    <w:rsid w:val="00D3308A"/>
    <w:rsid w:val="00D33497"/>
    <w:rsid w:val="00D3400B"/>
    <w:rsid w:val="00D34B14"/>
    <w:rsid w:val="00D37545"/>
    <w:rsid w:val="00D376A9"/>
    <w:rsid w:val="00D40225"/>
    <w:rsid w:val="00D40474"/>
    <w:rsid w:val="00D43ADE"/>
    <w:rsid w:val="00D447A2"/>
    <w:rsid w:val="00D50054"/>
    <w:rsid w:val="00D504F0"/>
    <w:rsid w:val="00D50BC7"/>
    <w:rsid w:val="00D51D7E"/>
    <w:rsid w:val="00D52FAC"/>
    <w:rsid w:val="00D53BEE"/>
    <w:rsid w:val="00D53E2B"/>
    <w:rsid w:val="00D53EEF"/>
    <w:rsid w:val="00D54D8B"/>
    <w:rsid w:val="00D561F4"/>
    <w:rsid w:val="00D63B20"/>
    <w:rsid w:val="00D65505"/>
    <w:rsid w:val="00D66E1A"/>
    <w:rsid w:val="00D66F36"/>
    <w:rsid w:val="00D72DC9"/>
    <w:rsid w:val="00D743D9"/>
    <w:rsid w:val="00D748A2"/>
    <w:rsid w:val="00D74E04"/>
    <w:rsid w:val="00D75A75"/>
    <w:rsid w:val="00D75CE7"/>
    <w:rsid w:val="00D7656B"/>
    <w:rsid w:val="00D777FD"/>
    <w:rsid w:val="00D8019F"/>
    <w:rsid w:val="00D80932"/>
    <w:rsid w:val="00D812B4"/>
    <w:rsid w:val="00D81FD6"/>
    <w:rsid w:val="00D85010"/>
    <w:rsid w:val="00D851FE"/>
    <w:rsid w:val="00D852AF"/>
    <w:rsid w:val="00D85425"/>
    <w:rsid w:val="00D85775"/>
    <w:rsid w:val="00D87F5E"/>
    <w:rsid w:val="00D90397"/>
    <w:rsid w:val="00D90F7C"/>
    <w:rsid w:val="00D926A3"/>
    <w:rsid w:val="00D927C7"/>
    <w:rsid w:val="00D92B3C"/>
    <w:rsid w:val="00D93BF3"/>
    <w:rsid w:val="00D94396"/>
    <w:rsid w:val="00D94782"/>
    <w:rsid w:val="00D9551A"/>
    <w:rsid w:val="00D95B4B"/>
    <w:rsid w:val="00D95F4D"/>
    <w:rsid w:val="00DA128C"/>
    <w:rsid w:val="00DA2D4D"/>
    <w:rsid w:val="00DA5167"/>
    <w:rsid w:val="00DA5BB1"/>
    <w:rsid w:val="00DA5BFD"/>
    <w:rsid w:val="00DA631D"/>
    <w:rsid w:val="00DA6574"/>
    <w:rsid w:val="00DA75F3"/>
    <w:rsid w:val="00DB11B5"/>
    <w:rsid w:val="00DB24D6"/>
    <w:rsid w:val="00DB3DE9"/>
    <w:rsid w:val="00DB6E84"/>
    <w:rsid w:val="00DB7CDB"/>
    <w:rsid w:val="00DC0416"/>
    <w:rsid w:val="00DC065D"/>
    <w:rsid w:val="00DC0BA2"/>
    <w:rsid w:val="00DC0D11"/>
    <w:rsid w:val="00DC1C14"/>
    <w:rsid w:val="00DC381B"/>
    <w:rsid w:val="00DC52B0"/>
    <w:rsid w:val="00DC5D7D"/>
    <w:rsid w:val="00DC64A8"/>
    <w:rsid w:val="00DC705C"/>
    <w:rsid w:val="00DC77E2"/>
    <w:rsid w:val="00DD0835"/>
    <w:rsid w:val="00DD0E9D"/>
    <w:rsid w:val="00DD126A"/>
    <w:rsid w:val="00DD268A"/>
    <w:rsid w:val="00DD27E0"/>
    <w:rsid w:val="00DD71D1"/>
    <w:rsid w:val="00DE1020"/>
    <w:rsid w:val="00DE42EB"/>
    <w:rsid w:val="00DE4BD3"/>
    <w:rsid w:val="00DE5546"/>
    <w:rsid w:val="00DE5744"/>
    <w:rsid w:val="00DE57AE"/>
    <w:rsid w:val="00DE5C95"/>
    <w:rsid w:val="00DE6319"/>
    <w:rsid w:val="00DE7CD2"/>
    <w:rsid w:val="00DF1EE4"/>
    <w:rsid w:val="00DF2000"/>
    <w:rsid w:val="00DF2920"/>
    <w:rsid w:val="00DF3550"/>
    <w:rsid w:val="00DF4EA3"/>
    <w:rsid w:val="00DF5A5D"/>
    <w:rsid w:val="00DF713C"/>
    <w:rsid w:val="00DF7DBC"/>
    <w:rsid w:val="00E00468"/>
    <w:rsid w:val="00E00692"/>
    <w:rsid w:val="00E00D56"/>
    <w:rsid w:val="00E016DC"/>
    <w:rsid w:val="00E01D60"/>
    <w:rsid w:val="00E03371"/>
    <w:rsid w:val="00E07861"/>
    <w:rsid w:val="00E14C49"/>
    <w:rsid w:val="00E170AC"/>
    <w:rsid w:val="00E20B29"/>
    <w:rsid w:val="00E211E6"/>
    <w:rsid w:val="00E21461"/>
    <w:rsid w:val="00E22151"/>
    <w:rsid w:val="00E234E4"/>
    <w:rsid w:val="00E23D98"/>
    <w:rsid w:val="00E24848"/>
    <w:rsid w:val="00E25E99"/>
    <w:rsid w:val="00E310DB"/>
    <w:rsid w:val="00E31146"/>
    <w:rsid w:val="00E31832"/>
    <w:rsid w:val="00E3217C"/>
    <w:rsid w:val="00E364ED"/>
    <w:rsid w:val="00E41783"/>
    <w:rsid w:val="00E4272B"/>
    <w:rsid w:val="00E42A4C"/>
    <w:rsid w:val="00E42D73"/>
    <w:rsid w:val="00E43086"/>
    <w:rsid w:val="00E47531"/>
    <w:rsid w:val="00E5036B"/>
    <w:rsid w:val="00E51413"/>
    <w:rsid w:val="00E515AA"/>
    <w:rsid w:val="00E53E9B"/>
    <w:rsid w:val="00E546B1"/>
    <w:rsid w:val="00E554B9"/>
    <w:rsid w:val="00E5673F"/>
    <w:rsid w:val="00E6079F"/>
    <w:rsid w:val="00E63B37"/>
    <w:rsid w:val="00E64F5A"/>
    <w:rsid w:val="00E64FF5"/>
    <w:rsid w:val="00E65351"/>
    <w:rsid w:val="00E6592F"/>
    <w:rsid w:val="00E65B2B"/>
    <w:rsid w:val="00E65F6D"/>
    <w:rsid w:val="00E65FB3"/>
    <w:rsid w:val="00E661C1"/>
    <w:rsid w:val="00E671D7"/>
    <w:rsid w:val="00E72442"/>
    <w:rsid w:val="00E75892"/>
    <w:rsid w:val="00E7752D"/>
    <w:rsid w:val="00E77BB1"/>
    <w:rsid w:val="00E77ED3"/>
    <w:rsid w:val="00E80FFB"/>
    <w:rsid w:val="00E81507"/>
    <w:rsid w:val="00E81D77"/>
    <w:rsid w:val="00E83AA3"/>
    <w:rsid w:val="00E8457E"/>
    <w:rsid w:val="00E87748"/>
    <w:rsid w:val="00E90103"/>
    <w:rsid w:val="00E90116"/>
    <w:rsid w:val="00E91B24"/>
    <w:rsid w:val="00E91C12"/>
    <w:rsid w:val="00E91FFF"/>
    <w:rsid w:val="00E922C3"/>
    <w:rsid w:val="00E92D4D"/>
    <w:rsid w:val="00E940A0"/>
    <w:rsid w:val="00E953C3"/>
    <w:rsid w:val="00E95BC5"/>
    <w:rsid w:val="00E962D0"/>
    <w:rsid w:val="00E96E99"/>
    <w:rsid w:val="00E97BDA"/>
    <w:rsid w:val="00EA3595"/>
    <w:rsid w:val="00EA449A"/>
    <w:rsid w:val="00EA49E2"/>
    <w:rsid w:val="00EA748E"/>
    <w:rsid w:val="00EB127B"/>
    <w:rsid w:val="00EB1D11"/>
    <w:rsid w:val="00EB32A3"/>
    <w:rsid w:val="00EB46C2"/>
    <w:rsid w:val="00EB6890"/>
    <w:rsid w:val="00EB7EC3"/>
    <w:rsid w:val="00EC17CB"/>
    <w:rsid w:val="00EC323F"/>
    <w:rsid w:val="00EC40DC"/>
    <w:rsid w:val="00EC4896"/>
    <w:rsid w:val="00EC71A8"/>
    <w:rsid w:val="00EC785E"/>
    <w:rsid w:val="00ED003C"/>
    <w:rsid w:val="00ED0A23"/>
    <w:rsid w:val="00ED0E46"/>
    <w:rsid w:val="00ED12EE"/>
    <w:rsid w:val="00ED148E"/>
    <w:rsid w:val="00ED1C7E"/>
    <w:rsid w:val="00ED283A"/>
    <w:rsid w:val="00ED42BD"/>
    <w:rsid w:val="00ED4D44"/>
    <w:rsid w:val="00ED4E78"/>
    <w:rsid w:val="00ED5563"/>
    <w:rsid w:val="00ED574D"/>
    <w:rsid w:val="00ED5E97"/>
    <w:rsid w:val="00ED6280"/>
    <w:rsid w:val="00ED66E2"/>
    <w:rsid w:val="00ED6A8F"/>
    <w:rsid w:val="00ED6FDC"/>
    <w:rsid w:val="00EE0418"/>
    <w:rsid w:val="00EE183B"/>
    <w:rsid w:val="00EE2373"/>
    <w:rsid w:val="00EE2A80"/>
    <w:rsid w:val="00EE3158"/>
    <w:rsid w:val="00EE4527"/>
    <w:rsid w:val="00EE47A4"/>
    <w:rsid w:val="00EE7309"/>
    <w:rsid w:val="00EF07F7"/>
    <w:rsid w:val="00EF11E4"/>
    <w:rsid w:val="00EF12FD"/>
    <w:rsid w:val="00EF23E7"/>
    <w:rsid w:val="00EF3DDA"/>
    <w:rsid w:val="00EF4E77"/>
    <w:rsid w:val="00EF5B3A"/>
    <w:rsid w:val="00EF6A00"/>
    <w:rsid w:val="00F00682"/>
    <w:rsid w:val="00F01A3C"/>
    <w:rsid w:val="00F01B01"/>
    <w:rsid w:val="00F01D33"/>
    <w:rsid w:val="00F032B6"/>
    <w:rsid w:val="00F03D4A"/>
    <w:rsid w:val="00F041C9"/>
    <w:rsid w:val="00F043BE"/>
    <w:rsid w:val="00F04899"/>
    <w:rsid w:val="00F059B4"/>
    <w:rsid w:val="00F05B4B"/>
    <w:rsid w:val="00F06D9C"/>
    <w:rsid w:val="00F07EA5"/>
    <w:rsid w:val="00F07F98"/>
    <w:rsid w:val="00F1054D"/>
    <w:rsid w:val="00F12CB5"/>
    <w:rsid w:val="00F13192"/>
    <w:rsid w:val="00F2028F"/>
    <w:rsid w:val="00F2230E"/>
    <w:rsid w:val="00F223DE"/>
    <w:rsid w:val="00F23FD3"/>
    <w:rsid w:val="00F246E7"/>
    <w:rsid w:val="00F26187"/>
    <w:rsid w:val="00F26C45"/>
    <w:rsid w:val="00F27999"/>
    <w:rsid w:val="00F30901"/>
    <w:rsid w:val="00F31507"/>
    <w:rsid w:val="00F326F5"/>
    <w:rsid w:val="00F32EC4"/>
    <w:rsid w:val="00F331CE"/>
    <w:rsid w:val="00F3428D"/>
    <w:rsid w:val="00F34336"/>
    <w:rsid w:val="00F34531"/>
    <w:rsid w:val="00F42D0A"/>
    <w:rsid w:val="00F4325E"/>
    <w:rsid w:val="00F43462"/>
    <w:rsid w:val="00F445A9"/>
    <w:rsid w:val="00F461F0"/>
    <w:rsid w:val="00F46A0E"/>
    <w:rsid w:val="00F471CD"/>
    <w:rsid w:val="00F47BA4"/>
    <w:rsid w:val="00F50772"/>
    <w:rsid w:val="00F50956"/>
    <w:rsid w:val="00F50BB9"/>
    <w:rsid w:val="00F516DC"/>
    <w:rsid w:val="00F5173D"/>
    <w:rsid w:val="00F5195E"/>
    <w:rsid w:val="00F52049"/>
    <w:rsid w:val="00F5291D"/>
    <w:rsid w:val="00F54763"/>
    <w:rsid w:val="00F54FA4"/>
    <w:rsid w:val="00F62BB9"/>
    <w:rsid w:val="00F64D5A"/>
    <w:rsid w:val="00F64D93"/>
    <w:rsid w:val="00F66554"/>
    <w:rsid w:val="00F6692F"/>
    <w:rsid w:val="00F6713A"/>
    <w:rsid w:val="00F70207"/>
    <w:rsid w:val="00F730AC"/>
    <w:rsid w:val="00F74396"/>
    <w:rsid w:val="00F75ED4"/>
    <w:rsid w:val="00F765B8"/>
    <w:rsid w:val="00F76B59"/>
    <w:rsid w:val="00F77841"/>
    <w:rsid w:val="00F8064A"/>
    <w:rsid w:val="00F813C7"/>
    <w:rsid w:val="00F81888"/>
    <w:rsid w:val="00F82641"/>
    <w:rsid w:val="00F82824"/>
    <w:rsid w:val="00F873BF"/>
    <w:rsid w:val="00F877DF"/>
    <w:rsid w:val="00F906C4"/>
    <w:rsid w:val="00F9176C"/>
    <w:rsid w:val="00F92095"/>
    <w:rsid w:val="00F92B29"/>
    <w:rsid w:val="00F94B65"/>
    <w:rsid w:val="00FA0EA9"/>
    <w:rsid w:val="00FA196D"/>
    <w:rsid w:val="00FA38E2"/>
    <w:rsid w:val="00FA3D8E"/>
    <w:rsid w:val="00FA5AE5"/>
    <w:rsid w:val="00FA5F33"/>
    <w:rsid w:val="00FA6D46"/>
    <w:rsid w:val="00FB175B"/>
    <w:rsid w:val="00FB1C5D"/>
    <w:rsid w:val="00FB36A3"/>
    <w:rsid w:val="00FB3824"/>
    <w:rsid w:val="00FB415C"/>
    <w:rsid w:val="00FB545B"/>
    <w:rsid w:val="00FB54BD"/>
    <w:rsid w:val="00FB799C"/>
    <w:rsid w:val="00FC03FC"/>
    <w:rsid w:val="00FC0F94"/>
    <w:rsid w:val="00FC231D"/>
    <w:rsid w:val="00FC3FAC"/>
    <w:rsid w:val="00FC450A"/>
    <w:rsid w:val="00FC4A2F"/>
    <w:rsid w:val="00FC55D8"/>
    <w:rsid w:val="00FC6A7B"/>
    <w:rsid w:val="00FC7557"/>
    <w:rsid w:val="00FC7C56"/>
    <w:rsid w:val="00FD0ECC"/>
    <w:rsid w:val="00FD1649"/>
    <w:rsid w:val="00FD1799"/>
    <w:rsid w:val="00FD20C3"/>
    <w:rsid w:val="00FD232B"/>
    <w:rsid w:val="00FD2C32"/>
    <w:rsid w:val="00FD3869"/>
    <w:rsid w:val="00FD3CB9"/>
    <w:rsid w:val="00FD3D39"/>
    <w:rsid w:val="00FD45E8"/>
    <w:rsid w:val="00FD4D8F"/>
    <w:rsid w:val="00FD4DBE"/>
    <w:rsid w:val="00FD5E15"/>
    <w:rsid w:val="00FD7869"/>
    <w:rsid w:val="00FE0813"/>
    <w:rsid w:val="00FE1141"/>
    <w:rsid w:val="00FE2049"/>
    <w:rsid w:val="00FE27EA"/>
    <w:rsid w:val="00FE493C"/>
    <w:rsid w:val="00FE5219"/>
    <w:rsid w:val="00FE653B"/>
    <w:rsid w:val="00FE7A38"/>
    <w:rsid w:val="00FF25EB"/>
    <w:rsid w:val="00FF2E1B"/>
    <w:rsid w:val="00FF3D46"/>
    <w:rsid w:val="00FF5114"/>
    <w:rsid w:val="00FF5807"/>
    <w:rsid w:val="00FF6C47"/>
    <w:rsid w:val="00FF79C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hr-H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0"/>
    <w:lsdException w:name="footnote text" w:uiPriority="0"/>
    <w:lsdException w:name="header"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4782"/>
    <w:pPr>
      <w:spacing w:after="0" w:line="240" w:lineRule="auto"/>
    </w:pPr>
    <w:rPr>
      <w:sz w:val="24"/>
    </w:rPr>
  </w:style>
  <w:style w:type="paragraph" w:styleId="Heading1">
    <w:name w:val="heading 1"/>
    <w:basedOn w:val="Normal"/>
    <w:next w:val="Normal"/>
    <w:link w:val="Heading1Char"/>
    <w:uiPriority w:val="9"/>
    <w:qFormat/>
    <w:rsid w:val="005A144C"/>
    <w:pPr>
      <w:keepNext/>
      <w:keepLines/>
      <w:numPr>
        <w:numId w:val="16"/>
      </w:numPr>
      <w:spacing w:line="276" w:lineRule="auto"/>
      <w:ind w:left="432"/>
      <w:jc w:val="both"/>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ED4D44"/>
    <w:pPr>
      <w:keepNext/>
      <w:keepLines/>
      <w:numPr>
        <w:ilvl w:val="1"/>
        <w:numId w:val="16"/>
      </w:numPr>
      <w:spacing w:before="200" w:after="240"/>
      <w:ind w:left="993" w:hanging="993"/>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B24D6"/>
    <w:pPr>
      <w:keepNext/>
      <w:keepLines/>
      <w:numPr>
        <w:ilvl w:val="2"/>
        <w:numId w:val="16"/>
      </w:numPr>
      <w:spacing w:before="200" w:after="120"/>
      <w:ind w:left="993" w:hanging="993"/>
      <w:jc w:val="both"/>
      <w:outlineLvl w:val="2"/>
    </w:pPr>
    <w:rPr>
      <w:rFonts w:asciiTheme="majorHAnsi" w:eastAsia="Times New Roman" w:hAnsiTheme="majorHAnsi" w:cstheme="majorBidi"/>
      <w:b/>
      <w:bCs/>
      <w:color w:val="4F81BD" w:themeColor="accent1"/>
    </w:rPr>
  </w:style>
  <w:style w:type="paragraph" w:styleId="Heading4">
    <w:name w:val="heading 4"/>
    <w:basedOn w:val="Normal"/>
    <w:next w:val="Normal"/>
    <w:link w:val="Heading4Char"/>
    <w:unhideWhenUsed/>
    <w:qFormat/>
    <w:rsid w:val="00452A1C"/>
    <w:pPr>
      <w:keepNext/>
      <w:keepLines/>
      <w:numPr>
        <w:ilvl w:val="3"/>
        <w:numId w:val="16"/>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452A1C"/>
    <w:pPr>
      <w:keepNext/>
      <w:keepLines/>
      <w:numPr>
        <w:ilvl w:val="4"/>
        <w:numId w:val="16"/>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452A1C"/>
    <w:pPr>
      <w:keepNext/>
      <w:keepLines/>
      <w:numPr>
        <w:ilvl w:val="5"/>
        <w:numId w:val="16"/>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452A1C"/>
    <w:pPr>
      <w:keepNext/>
      <w:keepLines/>
      <w:numPr>
        <w:ilvl w:val="6"/>
        <w:numId w:val="16"/>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452A1C"/>
    <w:pPr>
      <w:keepNext/>
      <w:keepLines/>
      <w:numPr>
        <w:ilvl w:val="7"/>
        <w:numId w:val="16"/>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452A1C"/>
    <w:pPr>
      <w:keepNext/>
      <w:keepLines/>
      <w:numPr>
        <w:ilvl w:val="8"/>
        <w:numId w:val="1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144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ED4D4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B24D6"/>
    <w:rPr>
      <w:rFonts w:asciiTheme="majorHAnsi" w:eastAsia="Times New Roman" w:hAnsiTheme="majorHAnsi" w:cstheme="majorBidi"/>
      <w:b/>
      <w:bCs/>
      <w:color w:val="4F81BD" w:themeColor="accent1"/>
      <w:sz w:val="24"/>
    </w:rPr>
  </w:style>
  <w:style w:type="numbering" w:customStyle="1" w:styleId="NoList1">
    <w:name w:val="No List1"/>
    <w:next w:val="NoList"/>
    <w:semiHidden/>
    <w:rsid w:val="00663367"/>
  </w:style>
  <w:style w:type="paragraph" w:styleId="TOC1">
    <w:name w:val="toc 1"/>
    <w:basedOn w:val="Normal"/>
    <w:next w:val="Normal"/>
    <w:autoRedefine/>
    <w:uiPriority w:val="39"/>
    <w:qFormat/>
    <w:rsid w:val="00B6294D"/>
    <w:pPr>
      <w:spacing w:before="360" w:after="360"/>
    </w:pPr>
    <w:rPr>
      <w:rFonts w:cstheme="minorHAnsi"/>
      <w:b/>
      <w:bCs/>
      <w:caps/>
      <w:sz w:val="22"/>
      <w:u w:val="single"/>
    </w:rPr>
  </w:style>
  <w:style w:type="character" w:styleId="Hyperlink">
    <w:name w:val="Hyperlink"/>
    <w:uiPriority w:val="99"/>
    <w:rsid w:val="00663367"/>
    <w:rPr>
      <w:color w:val="0000FF"/>
      <w:u w:val="single"/>
    </w:rPr>
  </w:style>
  <w:style w:type="paragraph" w:styleId="FootnoteText">
    <w:name w:val="footnote text"/>
    <w:basedOn w:val="Normal"/>
    <w:link w:val="FootnoteTextChar"/>
    <w:rsid w:val="00D74E04"/>
    <w:rPr>
      <w:rFonts w:eastAsia="Times New Roman"/>
      <w:sz w:val="20"/>
      <w:szCs w:val="20"/>
      <w:lang w:val="x-none" w:eastAsia="x-none"/>
    </w:rPr>
  </w:style>
  <w:style w:type="character" w:customStyle="1" w:styleId="FootnoteTextChar">
    <w:name w:val="Footnote Text Char"/>
    <w:link w:val="FootnoteText"/>
    <w:rsid w:val="00D74E04"/>
    <w:rPr>
      <w:rFonts w:eastAsia="Times New Roman"/>
      <w:sz w:val="20"/>
      <w:szCs w:val="20"/>
      <w:lang w:val="x-none" w:eastAsia="x-none"/>
    </w:rPr>
  </w:style>
  <w:style w:type="character" w:styleId="FootnoteReference">
    <w:name w:val="footnote reference"/>
    <w:rsid w:val="00663367"/>
    <w:rPr>
      <w:vertAlign w:val="superscript"/>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663367"/>
    <w:pPr>
      <w:spacing w:after="160" w:line="240" w:lineRule="exact"/>
    </w:pPr>
    <w:rPr>
      <w:rFonts w:ascii="Tahoma" w:eastAsia="Times New Roman" w:hAnsi="Tahoma"/>
      <w:sz w:val="20"/>
      <w:szCs w:val="20"/>
      <w:lang w:val="en-US"/>
    </w:rPr>
  </w:style>
  <w:style w:type="paragraph" w:styleId="TOC2">
    <w:name w:val="toc 2"/>
    <w:basedOn w:val="Normal"/>
    <w:next w:val="Normal"/>
    <w:autoRedefine/>
    <w:uiPriority w:val="39"/>
    <w:qFormat/>
    <w:rsid w:val="001013AA"/>
    <w:rPr>
      <w:rFonts w:cstheme="minorHAnsi"/>
      <w:b/>
      <w:bCs/>
      <w:smallCaps/>
      <w:sz w:val="22"/>
    </w:rPr>
  </w:style>
  <w:style w:type="paragraph" w:styleId="Footer">
    <w:name w:val="footer"/>
    <w:basedOn w:val="Normal"/>
    <w:link w:val="FooterChar"/>
    <w:uiPriority w:val="99"/>
    <w:rsid w:val="00663367"/>
    <w:pPr>
      <w:tabs>
        <w:tab w:val="center" w:pos="4536"/>
        <w:tab w:val="right" w:pos="9072"/>
      </w:tabs>
    </w:pPr>
    <w:rPr>
      <w:rFonts w:eastAsia="Times New Roman"/>
      <w:sz w:val="20"/>
      <w:szCs w:val="20"/>
      <w:lang w:val="x-none"/>
    </w:rPr>
  </w:style>
  <w:style w:type="character" w:customStyle="1" w:styleId="FooterChar">
    <w:name w:val="Footer Char"/>
    <w:link w:val="Footer"/>
    <w:uiPriority w:val="99"/>
    <w:rsid w:val="00663367"/>
    <w:rPr>
      <w:rFonts w:eastAsia="Times New Roman"/>
      <w:lang w:eastAsia="hr-HR"/>
    </w:rPr>
  </w:style>
  <w:style w:type="character" w:styleId="PageNumber">
    <w:name w:val="page number"/>
    <w:basedOn w:val="DefaultParagraphFont"/>
    <w:rsid w:val="00663367"/>
  </w:style>
  <w:style w:type="paragraph" w:styleId="TOC3">
    <w:name w:val="toc 3"/>
    <w:basedOn w:val="Normal"/>
    <w:next w:val="Normal"/>
    <w:autoRedefine/>
    <w:uiPriority w:val="39"/>
    <w:qFormat/>
    <w:rsid w:val="000F1D71"/>
    <w:rPr>
      <w:rFonts w:cstheme="minorHAnsi"/>
      <w:smallCaps/>
      <w:sz w:val="22"/>
    </w:rPr>
  </w:style>
  <w:style w:type="table" w:styleId="TableGrid">
    <w:name w:val="Table Grid"/>
    <w:basedOn w:val="TableNormal"/>
    <w:rsid w:val="00663367"/>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663367"/>
    <w:rPr>
      <w:sz w:val="16"/>
      <w:szCs w:val="16"/>
    </w:rPr>
  </w:style>
  <w:style w:type="paragraph" w:styleId="CommentText">
    <w:name w:val="annotation text"/>
    <w:basedOn w:val="Normal"/>
    <w:link w:val="CommentTextChar"/>
    <w:uiPriority w:val="99"/>
    <w:semiHidden/>
    <w:rsid w:val="00663367"/>
    <w:rPr>
      <w:rFonts w:eastAsia="Times New Roman"/>
      <w:sz w:val="20"/>
      <w:szCs w:val="20"/>
      <w:lang w:val="x-none"/>
    </w:rPr>
  </w:style>
  <w:style w:type="character" w:customStyle="1" w:styleId="CommentTextChar">
    <w:name w:val="Comment Text Char"/>
    <w:link w:val="CommentText"/>
    <w:uiPriority w:val="99"/>
    <w:semiHidden/>
    <w:rsid w:val="00663367"/>
    <w:rPr>
      <w:rFonts w:eastAsia="Times New Roman"/>
      <w:sz w:val="20"/>
      <w:szCs w:val="20"/>
      <w:lang w:eastAsia="hr-HR"/>
    </w:rPr>
  </w:style>
  <w:style w:type="paragraph" w:styleId="CommentSubject">
    <w:name w:val="annotation subject"/>
    <w:basedOn w:val="CommentText"/>
    <w:next w:val="CommentText"/>
    <w:link w:val="CommentSubjectChar"/>
    <w:semiHidden/>
    <w:rsid w:val="00663367"/>
    <w:rPr>
      <w:b/>
      <w:bCs/>
    </w:rPr>
  </w:style>
  <w:style w:type="character" w:customStyle="1" w:styleId="CommentSubjectChar">
    <w:name w:val="Comment Subject Char"/>
    <w:link w:val="CommentSubject"/>
    <w:semiHidden/>
    <w:rsid w:val="00663367"/>
    <w:rPr>
      <w:rFonts w:eastAsia="Times New Roman"/>
      <w:b/>
      <w:bCs/>
      <w:sz w:val="20"/>
      <w:szCs w:val="20"/>
      <w:lang w:eastAsia="hr-HR"/>
    </w:rPr>
  </w:style>
  <w:style w:type="paragraph" w:styleId="BalloonText">
    <w:name w:val="Balloon Text"/>
    <w:basedOn w:val="Normal"/>
    <w:link w:val="BalloonTextChar"/>
    <w:semiHidden/>
    <w:rsid w:val="00663367"/>
    <w:rPr>
      <w:rFonts w:ascii="Tahoma" w:eastAsia="Times New Roman" w:hAnsi="Tahoma"/>
      <w:sz w:val="16"/>
      <w:szCs w:val="16"/>
      <w:lang w:val="x-none"/>
    </w:rPr>
  </w:style>
  <w:style w:type="character" w:customStyle="1" w:styleId="BalloonTextChar">
    <w:name w:val="Balloon Text Char"/>
    <w:link w:val="BalloonText"/>
    <w:semiHidden/>
    <w:rsid w:val="00663367"/>
    <w:rPr>
      <w:rFonts w:ascii="Tahoma" w:eastAsia="Times New Roman" w:hAnsi="Tahoma" w:cs="Tahoma"/>
      <w:sz w:val="16"/>
      <w:szCs w:val="16"/>
      <w:lang w:eastAsia="hr-HR"/>
    </w:rPr>
  </w:style>
  <w:style w:type="paragraph" w:styleId="NormalWeb">
    <w:name w:val="Normal (Web)"/>
    <w:basedOn w:val="Normal"/>
    <w:uiPriority w:val="99"/>
    <w:rsid w:val="00663367"/>
    <w:pPr>
      <w:spacing w:before="100" w:beforeAutospacing="1" w:after="100" w:afterAutospacing="1"/>
    </w:pPr>
    <w:rPr>
      <w:rFonts w:eastAsia="Times New Roman"/>
    </w:rPr>
  </w:style>
  <w:style w:type="character" w:styleId="FollowedHyperlink">
    <w:name w:val="FollowedHyperlink"/>
    <w:rsid w:val="00663367"/>
    <w:rPr>
      <w:color w:val="800080"/>
      <w:u w:val="single"/>
    </w:rPr>
  </w:style>
  <w:style w:type="paragraph" w:styleId="BodyText">
    <w:name w:val="Body Text"/>
    <w:basedOn w:val="Normal"/>
    <w:link w:val="BodyTextChar"/>
    <w:rsid w:val="00663367"/>
    <w:pPr>
      <w:jc w:val="both"/>
    </w:pPr>
    <w:rPr>
      <w:rFonts w:eastAsia="Times New Roman"/>
      <w:sz w:val="20"/>
      <w:szCs w:val="20"/>
      <w:lang w:val="x-none"/>
    </w:rPr>
  </w:style>
  <w:style w:type="character" w:customStyle="1" w:styleId="BodyTextChar">
    <w:name w:val="Body Text Char"/>
    <w:link w:val="BodyText"/>
    <w:rsid w:val="00663367"/>
    <w:rPr>
      <w:rFonts w:eastAsia="Times New Roman"/>
      <w:lang w:eastAsia="hr-HR"/>
    </w:rPr>
  </w:style>
  <w:style w:type="paragraph" w:styleId="BodyText2">
    <w:name w:val="Body Text 2"/>
    <w:basedOn w:val="Normal"/>
    <w:link w:val="BodyText2Char"/>
    <w:rsid w:val="00663367"/>
    <w:pPr>
      <w:spacing w:after="120" w:line="480" w:lineRule="auto"/>
    </w:pPr>
    <w:rPr>
      <w:rFonts w:eastAsia="Times New Roman"/>
      <w:sz w:val="20"/>
      <w:szCs w:val="20"/>
      <w:lang w:val="x-none"/>
    </w:rPr>
  </w:style>
  <w:style w:type="character" w:customStyle="1" w:styleId="BodyText2Char">
    <w:name w:val="Body Text 2 Char"/>
    <w:link w:val="BodyText2"/>
    <w:rsid w:val="00663367"/>
    <w:rPr>
      <w:rFonts w:eastAsia="Times New Roman"/>
      <w:lang w:eastAsia="hr-HR"/>
    </w:rPr>
  </w:style>
  <w:style w:type="paragraph" w:styleId="Header">
    <w:name w:val="header"/>
    <w:basedOn w:val="Normal"/>
    <w:link w:val="HeaderChar"/>
    <w:rsid w:val="00663367"/>
    <w:pPr>
      <w:tabs>
        <w:tab w:val="center" w:pos="4536"/>
        <w:tab w:val="right" w:pos="9072"/>
      </w:tabs>
    </w:pPr>
    <w:rPr>
      <w:rFonts w:eastAsia="Times New Roman"/>
      <w:sz w:val="20"/>
      <w:szCs w:val="20"/>
      <w:lang w:val="x-none"/>
    </w:rPr>
  </w:style>
  <w:style w:type="character" w:customStyle="1" w:styleId="HeaderChar">
    <w:name w:val="Header Char"/>
    <w:link w:val="Header"/>
    <w:rsid w:val="00663367"/>
    <w:rPr>
      <w:rFonts w:eastAsia="Times New Roman"/>
      <w:lang w:eastAsia="hr-HR"/>
    </w:rPr>
  </w:style>
  <w:style w:type="paragraph" w:styleId="TOC9">
    <w:name w:val="toc 9"/>
    <w:basedOn w:val="Normal"/>
    <w:next w:val="Normal"/>
    <w:autoRedefine/>
    <w:semiHidden/>
    <w:rsid w:val="00663367"/>
    <w:rPr>
      <w:rFonts w:cstheme="minorHAnsi"/>
      <w:sz w:val="22"/>
    </w:rPr>
  </w:style>
  <w:style w:type="paragraph" w:customStyle="1" w:styleId="Naslov4">
    <w:name w:val="Naslov4"/>
    <w:basedOn w:val="Heading3"/>
    <w:rsid w:val="00663367"/>
    <w:pPr>
      <w:ind w:firstLine="709"/>
    </w:pPr>
  </w:style>
  <w:style w:type="paragraph" w:customStyle="1" w:styleId="Naslov5">
    <w:name w:val="Naslov5"/>
    <w:basedOn w:val="Naslov4"/>
    <w:rsid w:val="00663367"/>
    <w:pPr>
      <w:ind w:firstLine="1021"/>
    </w:pPr>
  </w:style>
  <w:style w:type="paragraph" w:customStyle="1" w:styleId="Char">
    <w:name w:val="Char"/>
    <w:basedOn w:val="Normal"/>
    <w:rsid w:val="00663367"/>
    <w:pPr>
      <w:spacing w:after="160" w:line="240" w:lineRule="exact"/>
    </w:pPr>
    <w:rPr>
      <w:rFonts w:ascii="Tahoma" w:eastAsia="Times New Roman" w:hAnsi="Tahoma"/>
      <w:sz w:val="20"/>
      <w:szCs w:val="20"/>
      <w:lang w:val="en-US"/>
    </w:rPr>
  </w:style>
  <w:style w:type="paragraph" w:customStyle="1" w:styleId="CharChar">
    <w:name w:val="Char Char"/>
    <w:basedOn w:val="Normal"/>
    <w:rsid w:val="00663367"/>
    <w:pPr>
      <w:spacing w:after="160" w:line="240" w:lineRule="exact"/>
    </w:pPr>
    <w:rPr>
      <w:rFonts w:ascii="Tahoma" w:eastAsia="Times New Roman" w:hAnsi="Tahoma"/>
      <w:sz w:val="20"/>
      <w:szCs w:val="20"/>
      <w:lang w:val="en-US"/>
    </w:rPr>
  </w:style>
  <w:style w:type="paragraph" w:styleId="Caption">
    <w:name w:val="caption"/>
    <w:basedOn w:val="Normal"/>
    <w:next w:val="Normal"/>
    <w:link w:val="CaptionChar"/>
    <w:unhideWhenUsed/>
    <w:qFormat/>
    <w:rsid w:val="000B7DEE"/>
    <w:pPr>
      <w:keepNext/>
      <w:spacing w:before="120" w:after="120"/>
    </w:pPr>
    <w:rPr>
      <w:b/>
      <w:bCs/>
      <w:color w:val="4F81BD" w:themeColor="accent1"/>
      <w:sz w:val="18"/>
      <w:szCs w:val="18"/>
    </w:rPr>
  </w:style>
  <w:style w:type="paragraph" w:customStyle="1" w:styleId="Default">
    <w:name w:val="Default"/>
    <w:rsid w:val="00663367"/>
    <w:pPr>
      <w:autoSpaceDE w:val="0"/>
      <w:autoSpaceDN w:val="0"/>
      <w:adjustRightInd w:val="0"/>
    </w:pPr>
    <w:rPr>
      <w:rFonts w:ascii="Arial" w:eastAsia="Times New Roman" w:hAnsi="Arial" w:cs="Arial"/>
      <w:color w:val="000000"/>
      <w:sz w:val="24"/>
      <w:szCs w:val="24"/>
    </w:rPr>
  </w:style>
  <w:style w:type="paragraph" w:customStyle="1" w:styleId="Terminacija1">
    <w:name w:val="Terminacija1"/>
    <w:basedOn w:val="Normal"/>
    <w:rsid w:val="00663367"/>
    <w:pPr>
      <w:ind w:left="360" w:hanging="360"/>
      <w:jc w:val="both"/>
    </w:pPr>
    <w:rPr>
      <w:rFonts w:eastAsia="Times New Roman"/>
      <w:b/>
      <w:sz w:val="32"/>
      <w:szCs w:val="32"/>
    </w:rPr>
  </w:style>
  <w:style w:type="paragraph" w:customStyle="1" w:styleId="Termiancija2">
    <w:name w:val="Termiancija2"/>
    <w:basedOn w:val="Normal"/>
    <w:rsid w:val="00663367"/>
    <w:pPr>
      <w:jc w:val="both"/>
    </w:pPr>
    <w:rPr>
      <w:rFonts w:eastAsia="Times New Roman"/>
      <w:b/>
      <w:sz w:val="26"/>
      <w:szCs w:val="26"/>
    </w:rPr>
  </w:style>
  <w:style w:type="paragraph" w:styleId="ListParagraph">
    <w:name w:val="List Paragraph"/>
    <w:basedOn w:val="Normal"/>
    <w:link w:val="ListParagraphChar"/>
    <w:uiPriority w:val="34"/>
    <w:qFormat/>
    <w:rsid w:val="00C721A6"/>
    <w:pPr>
      <w:spacing w:before="120" w:after="120"/>
      <w:ind w:left="397"/>
      <w:contextualSpacing/>
    </w:pPr>
    <w:rPr>
      <w:color w:val="4F81BD" w:themeColor="accent1"/>
      <w:sz w:val="18"/>
    </w:rPr>
  </w:style>
  <w:style w:type="paragraph" w:styleId="Revision">
    <w:name w:val="Revision"/>
    <w:hidden/>
    <w:uiPriority w:val="99"/>
    <w:semiHidden/>
    <w:rsid w:val="00724348"/>
    <w:rPr>
      <w:sz w:val="24"/>
      <w:szCs w:val="24"/>
      <w:lang w:eastAsia="en-US"/>
    </w:rPr>
  </w:style>
  <w:style w:type="character" w:styleId="Emphasis">
    <w:name w:val="Emphasis"/>
    <w:uiPriority w:val="20"/>
    <w:qFormat/>
    <w:rsid w:val="005F518B"/>
    <w:rPr>
      <w:i/>
      <w:iCs/>
    </w:rPr>
  </w:style>
  <w:style w:type="character" w:customStyle="1" w:styleId="Heading4Char">
    <w:name w:val="Heading 4 Char"/>
    <w:basedOn w:val="DefaultParagraphFont"/>
    <w:link w:val="Heading4"/>
    <w:rsid w:val="00452A1C"/>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rsid w:val="00452A1C"/>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rsid w:val="00452A1C"/>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rsid w:val="00452A1C"/>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rsid w:val="00452A1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452A1C"/>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unhideWhenUsed/>
    <w:qFormat/>
    <w:rsid w:val="00452A1C"/>
    <w:pPr>
      <w:numPr>
        <w:numId w:val="0"/>
      </w:numPr>
      <w:outlineLvl w:val="9"/>
    </w:pPr>
  </w:style>
  <w:style w:type="character" w:styleId="PlaceholderText">
    <w:name w:val="Placeholder Text"/>
    <w:uiPriority w:val="99"/>
    <w:semiHidden/>
    <w:rsid w:val="008E1632"/>
    <w:rPr>
      <w:color w:val="808080"/>
    </w:rPr>
  </w:style>
  <w:style w:type="paragraph" w:styleId="NoSpacing">
    <w:name w:val="No Spacing"/>
    <w:link w:val="NoSpacingChar"/>
    <w:uiPriority w:val="1"/>
    <w:qFormat/>
    <w:rsid w:val="004E1FC7"/>
    <w:pPr>
      <w:spacing w:after="0" w:line="240" w:lineRule="auto"/>
    </w:pPr>
  </w:style>
  <w:style w:type="character" w:customStyle="1" w:styleId="NoSpacingChar">
    <w:name w:val="No Spacing Char"/>
    <w:link w:val="NoSpacing"/>
    <w:uiPriority w:val="1"/>
    <w:rsid w:val="004E1FC7"/>
  </w:style>
  <w:style w:type="table" w:styleId="LightGrid-Accent5">
    <w:name w:val="Light Grid Accent 5"/>
    <w:basedOn w:val="TableNormal"/>
    <w:uiPriority w:val="62"/>
    <w:rsid w:val="008D1FD1"/>
    <w:rPr>
      <w:rFonts w:ascii="Calibri" w:hAnsi="Calibri"/>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customStyle="1" w:styleId="TableText">
    <w:name w:val="Table Text"/>
    <w:basedOn w:val="Normal"/>
    <w:rsid w:val="008956E7"/>
    <w:pPr>
      <w:spacing w:before="120" w:after="120"/>
      <w:jc w:val="both"/>
    </w:pPr>
    <w:rPr>
      <w:rFonts w:ascii="Arial" w:eastAsia="Times" w:hAnsi="Arial" w:cs="Arial"/>
      <w:sz w:val="20"/>
      <w:szCs w:val="20"/>
      <w:lang w:val="en-GB"/>
    </w:rPr>
  </w:style>
  <w:style w:type="table" w:customStyle="1" w:styleId="LightGrid-Accent51">
    <w:name w:val="Light Grid - Accent 51"/>
    <w:basedOn w:val="TableNormal"/>
    <w:next w:val="LightGrid-Accent5"/>
    <w:uiPriority w:val="62"/>
    <w:rsid w:val="008956E7"/>
    <w:rPr>
      <w:rFonts w:ascii="Calibri" w:hAnsi="Calibri"/>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customStyle="1" w:styleId="Tekst">
    <w:name w:val="Tekst"/>
    <w:rsid w:val="009A6C26"/>
    <w:pPr>
      <w:overflowPunct w:val="0"/>
      <w:autoSpaceDE w:val="0"/>
      <w:autoSpaceDN w:val="0"/>
      <w:adjustRightInd w:val="0"/>
      <w:jc w:val="both"/>
      <w:textAlignment w:val="baseline"/>
    </w:pPr>
    <w:rPr>
      <w:rFonts w:eastAsia="Times New Roman"/>
      <w:sz w:val="24"/>
      <w:lang w:val="en-US"/>
    </w:rPr>
  </w:style>
  <w:style w:type="paragraph" w:styleId="Subtitle">
    <w:name w:val="Subtitle"/>
    <w:basedOn w:val="Normal"/>
    <w:next w:val="Normal"/>
    <w:link w:val="SubtitleChar"/>
    <w:uiPriority w:val="11"/>
    <w:qFormat/>
    <w:rsid w:val="00452A1C"/>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452A1C"/>
    <w:rPr>
      <w:rFonts w:asciiTheme="majorHAnsi" w:eastAsiaTheme="majorEastAsia" w:hAnsiTheme="majorHAnsi" w:cstheme="majorBidi"/>
      <w:i/>
      <w:iCs/>
      <w:color w:val="4F81BD" w:themeColor="accent1"/>
      <w:spacing w:val="15"/>
      <w:sz w:val="24"/>
      <w:szCs w:val="24"/>
    </w:rPr>
  </w:style>
  <w:style w:type="table" w:styleId="MediumList2-Accent1">
    <w:name w:val="Medium List 2 Accent 1"/>
    <w:basedOn w:val="TableNormal"/>
    <w:uiPriority w:val="66"/>
    <w:rsid w:val="00347A2E"/>
    <w:rPr>
      <w:rFonts w:asciiTheme="majorHAnsi" w:eastAsiaTheme="majorEastAsia" w:hAnsiTheme="majorHAnsi" w:cstheme="majorBidi"/>
      <w:color w:val="000000" w:themeColor="text1"/>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LineNumber">
    <w:name w:val="line number"/>
    <w:basedOn w:val="DefaultParagraphFont"/>
    <w:uiPriority w:val="99"/>
    <w:semiHidden/>
    <w:unhideWhenUsed/>
    <w:rsid w:val="00AB32FB"/>
  </w:style>
  <w:style w:type="table" w:styleId="LightShading-Accent1">
    <w:name w:val="Light Shading Accent 1"/>
    <w:basedOn w:val="TableNormal"/>
    <w:uiPriority w:val="60"/>
    <w:rsid w:val="00EC17CB"/>
    <w:rPr>
      <w:color w:val="365F91" w:themeColor="accent1" w:themeShade="BF"/>
      <w:lang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IntenseEmphasis">
    <w:name w:val="Intense Emphasis"/>
    <w:basedOn w:val="DefaultParagraphFont"/>
    <w:uiPriority w:val="21"/>
    <w:qFormat/>
    <w:rsid w:val="00452A1C"/>
    <w:rPr>
      <w:b/>
      <w:bCs/>
      <w:i/>
      <w:iCs/>
      <w:color w:val="4F81BD" w:themeColor="accent1"/>
    </w:rPr>
  </w:style>
  <w:style w:type="paragraph" w:customStyle="1" w:styleId="NASLOV2">
    <w:name w:val="NASLOV 2"/>
    <w:basedOn w:val="Heading2"/>
    <w:link w:val="NASLOV2Char"/>
    <w:qFormat/>
    <w:rsid w:val="00452A1C"/>
    <w:pPr>
      <w:numPr>
        <w:numId w:val="1"/>
      </w:numPr>
      <w:tabs>
        <w:tab w:val="clear" w:pos="1440"/>
      </w:tabs>
      <w:spacing w:before="0"/>
      <w:ind w:left="578" w:hanging="578"/>
    </w:pPr>
  </w:style>
  <w:style w:type="character" w:customStyle="1" w:styleId="NASLOV2Char">
    <w:name w:val="NASLOV 2 Char"/>
    <w:basedOn w:val="Heading2Char"/>
    <w:link w:val="NASLOV2"/>
    <w:rsid w:val="00452A1C"/>
    <w:rPr>
      <w:rFonts w:asciiTheme="majorHAnsi" w:eastAsiaTheme="majorEastAsia" w:hAnsiTheme="majorHAnsi" w:cstheme="majorBidi"/>
      <w:b/>
      <w:bCs/>
      <w:color w:val="4F81BD" w:themeColor="accent1"/>
      <w:sz w:val="26"/>
      <w:szCs w:val="26"/>
    </w:rPr>
  </w:style>
  <w:style w:type="paragraph" w:customStyle="1" w:styleId="Tablica">
    <w:name w:val="Tablica"/>
    <w:basedOn w:val="Caption"/>
    <w:link w:val="TablicaChar"/>
    <w:qFormat/>
    <w:rsid w:val="005A467A"/>
  </w:style>
  <w:style w:type="paragraph" w:customStyle="1" w:styleId="LIsta">
    <w:name w:val="LIsta"/>
    <w:basedOn w:val="ListParagraph"/>
    <w:link w:val="LIstaChar"/>
    <w:qFormat/>
    <w:rsid w:val="00F461F0"/>
    <w:pPr>
      <w:numPr>
        <w:numId w:val="17"/>
      </w:numPr>
    </w:pPr>
    <w:rPr>
      <w:color w:val="auto"/>
      <w:sz w:val="22"/>
    </w:rPr>
  </w:style>
  <w:style w:type="character" w:customStyle="1" w:styleId="CaptionChar">
    <w:name w:val="Caption Char"/>
    <w:basedOn w:val="DefaultParagraphFont"/>
    <w:link w:val="Caption"/>
    <w:rsid w:val="000B7DEE"/>
    <w:rPr>
      <w:b/>
      <w:bCs/>
      <w:color w:val="4F81BD" w:themeColor="accent1"/>
      <w:sz w:val="18"/>
      <w:szCs w:val="18"/>
    </w:rPr>
  </w:style>
  <w:style w:type="character" w:customStyle="1" w:styleId="TablicaChar">
    <w:name w:val="Tablica Char"/>
    <w:basedOn w:val="CaptionChar"/>
    <w:link w:val="Tablica"/>
    <w:rsid w:val="005A467A"/>
    <w:rPr>
      <w:b/>
      <w:bCs/>
      <w:color w:val="4F81BD" w:themeColor="accent1"/>
      <w:sz w:val="18"/>
      <w:szCs w:val="18"/>
    </w:rPr>
  </w:style>
  <w:style w:type="paragraph" w:styleId="TableofFigures">
    <w:name w:val="table of figures"/>
    <w:basedOn w:val="Normal"/>
    <w:next w:val="Normal"/>
    <w:uiPriority w:val="99"/>
    <w:unhideWhenUsed/>
    <w:rsid w:val="007B30BB"/>
  </w:style>
  <w:style w:type="character" w:customStyle="1" w:styleId="ListParagraphChar">
    <w:name w:val="List Paragraph Char"/>
    <w:basedOn w:val="DefaultParagraphFont"/>
    <w:link w:val="ListParagraph"/>
    <w:uiPriority w:val="34"/>
    <w:rsid w:val="00C721A6"/>
    <w:rPr>
      <w:color w:val="4F81BD" w:themeColor="accent1"/>
      <w:sz w:val="18"/>
    </w:rPr>
  </w:style>
  <w:style w:type="character" w:customStyle="1" w:styleId="LIstaChar">
    <w:name w:val="LIsta Char"/>
    <w:basedOn w:val="ListParagraphChar"/>
    <w:link w:val="LIsta"/>
    <w:rsid w:val="00F461F0"/>
    <w:rPr>
      <w:color w:val="4F81BD" w:themeColor="accent1"/>
      <w:sz w:val="18"/>
    </w:rPr>
  </w:style>
  <w:style w:type="table" w:customStyle="1" w:styleId="LightGrid-Accent52">
    <w:name w:val="Light Grid - Accent 52"/>
    <w:basedOn w:val="TableNormal"/>
    <w:next w:val="LightGrid-Accent5"/>
    <w:uiPriority w:val="62"/>
    <w:rsid w:val="004A254B"/>
    <w:pPr>
      <w:spacing w:after="0" w:line="240" w:lineRule="auto"/>
    </w:pPr>
    <w:rPr>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TOC4">
    <w:name w:val="toc 4"/>
    <w:basedOn w:val="Normal"/>
    <w:next w:val="Normal"/>
    <w:autoRedefine/>
    <w:uiPriority w:val="39"/>
    <w:unhideWhenUsed/>
    <w:rsid w:val="00B6294D"/>
    <w:rPr>
      <w:rFonts w:cstheme="minorHAnsi"/>
      <w:sz w:val="22"/>
    </w:rPr>
  </w:style>
  <w:style w:type="paragraph" w:styleId="TOC5">
    <w:name w:val="toc 5"/>
    <w:basedOn w:val="Normal"/>
    <w:next w:val="Normal"/>
    <w:autoRedefine/>
    <w:uiPriority w:val="39"/>
    <w:unhideWhenUsed/>
    <w:rsid w:val="00B6294D"/>
    <w:rPr>
      <w:rFonts w:cstheme="minorHAnsi"/>
      <w:sz w:val="22"/>
    </w:rPr>
  </w:style>
  <w:style w:type="paragraph" w:styleId="TOC6">
    <w:name w:val="toc 6"/>
    <w:basedOn w:val="Normal"/>
    <w:next w:val="Normal"/>
    <w:autoRedefine/>
    <w:uiPriority w:val="39"/>
    <w:unhideWhenUsed/>
    <w:rsid w:val="00B6294D"/>
    <w:rPr>
      <w:rFonts w:cstheme="minorHAnsi"/>
      <w:sz w:val="22"/>
    </w:rPr>
  </w:style>
  <w:style w:type="paragraph" w:styleId="TOC7">
    <w:name w:val="toc 7"/>
    <w:basedOn w:val="Normal"/>
    <w:next w:val="Normal"/>
    <w:autoRedefine/>
    <w:uiPriority w:val="39"/>
    <w:unhideWhenUsed/>
    <w:rsid w:val="00B6294D"/>
    <w:rPr>
      <w:rFonts w:cstheme="minorHAnsi"/>
      <w:sz w:val="22"/>
    </w:rPr>
  </w:style>
  <w:style w:type="paragraph" w:styleId="TOC8">
    <w:name w:val="toc 8"/>
    <w:basedOn w:val="Normal"/>
    <w:next w:val="Normal"/>
    <w:autoRedefine/>
    <w:uiPriority w:val="39"/>
    <w:unhideWhenUsed/>
    <w:rsid w:val="00B6294D"/>
    <w:rPr>
      <w:rFonts w:cstheme="minorHAns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hr-H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0"/>
    <w:lsdException w:name="footnote text" w:uiPriority="0"/>
    <w:lsdException w:name="header"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4782"/>
    <w:pPr>
      <w:spacing w:after="0" w:line="240" w:lineRule="auto"/>
    </w:pPr>
    <w:rPr>
      <w:sz w:val="24"/>
    </w:rPr>
  </w:style>
  <w:style w:type="paragraph" w:styleId="Heading1">
    <w:name w:val="heading 1"/>
    <w:basedOn w:val="Normal"/>
    <w:next w:val="Normal"/>
    <w:link w:val="Heading1Char"/>
    <w:uiPriority w:val="9"/>
    <w:qFormat/>
    <w:rsid w:val="005A144C"/>
    <w:pPr>
      <w:keepNext/>
      <w:keepLines/>
      <w:numPr>
        <w:numId w:val="16"/>
      </w:numPr>
      <w:spacing w:line="276" w:lineRule="auto"/>
      <w:ind w:left="432"/>
      <w:jc w:val="both"/>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ED4D44"/>
    <w:pPr>
      <w:keepNext/>
      <w:keepLines/>
      <w:numPr>
        <w:ilvl w:val="1"/>
        <w:numId w:val="16"/>
      </w:numPr>
      <w:spacing w:before="200" w:after="240"/>
      <w:ind w:left="993" w:hanging="993"/>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B24D6"/>
    <w:pPr>
      <w:keepNext/>
      <w:keepLines/>
      <w:numPr>
        <w:ilvl w:val="2"/>
        <w:numId w:val="16"/>
      </w:numPr>
      <w:spacing w:before="200" w:after="120"/>
      <w:ind w:left="993" w:hanging="993"/>
      <w:jc w:val="both"/>
      <w:outlineLvl w:val="2"/>
    </w:pPr>
    <w:rPr>
      <w:rFonts w:asciiTheme="majorHAnsi" w:eastAsia="Times New Roman" w:hAnsiTheme="majorHAnsi" w:cstheme="majorBidi"/>
      <w:b/>
      <w:bCs/>
      <w:color w:val="4F81BD" w:themeColor="accent1"/>
    </w:rPr>
  </w:style>
  <w:style w:type="paragraph" w:styleId="Heading4">
    <w:name w:val="heading 4"/>
    <w:basedOn w:val="Normal"/>
    <w:next w:val="Normal"/>
    <w:link w:val="Heading4Char"/>
    <w:unhideWhenUsed/>
    <w:qFormat/>
    <w:rsid w:val="00452A1C"/>
    <w:pPr>
      <w:keepNext/>
      <w:keepLines/>
      <w:numPr>
        <w:ilvl w:val="3"/>
        <w:numId w:val="16"/>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452A1C"/>
    <w:pPr>
      <w:keepNext/>
      <w:keepLines/>
      <w:numPr>
        <w:ilvl w:val="4"/>
        <w:numId w:val="16"/>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452A1C"/>
    <w:pPr>
      <w:keepNext/>
      <w:keepLines/>
      <w:numPr>
        <w:ilvl w:val="5"/>
        <w:numId w:val="16"/>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452A1C"/>
    <w:pPr>
      <w:keepNext/>
      <w:keepLines/>
      <w:numPr>
        <w:ilvl w:val="6"/>
        <w:numId w:val="16"/>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452A1C"/>
    <w:pPr>
      <w:keepNext/>
      <w:keepLines/>
      <w:numPr>
        <w:ilvl w:val="7"/>
        <w:numId w:val="16"/>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452A1C"/>
    <w:pPr>
      <w:keepNext/>
      <w:keepLines/>
      <w:numPr>
        <w:ilvl w:val="8"/>
        <w:numId w:val="1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144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ED4D4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B24D6"/>
    <w:rPr>
      <w:rFonts w:asciiTheme="majorHAnsi" w:eastAsia="Times New Roman" w:hAnsiTheme="majorHAnsi" w:cstheme="majorBidi"/>
      <w:b/>
      <w:bCs/>
      <w:color w:val="4F81BD" w:themeColor="accent1"/>
      <w:sz w:val="24"/>
    </w:rPr>
  </w:style>
  <w:style w:type="numbering" w:customStyle="1" w:styleId="NoList1">
    <w:name w:val="No List1"/>
    <w:next w:val="NoList"/>
    <w:semiHidden/>
    <w:rsid w:val="00663367"/>
  </w:style>
  <w:style w:type="paragraph" w:styleId="TOC1">
    <w:name w:val="toc 1"/>
    <w:basedOn w:val="Normal"/>
    <w:next w:val="Normal"/>
    <w:autoRedefine/>
    <w:uiPriority w:val="39"/>
    <w:qFormat/>
    <w:rsid w:val="00B6294D"/>
    <w:pPr>
      <w:spacing w:before="360" w:after="360"/>
    </w:pPr>
    <w:rPr>
      <w:rFonts w:cstheme="minorHAnsi"/>
      <w:b/>
      <w:bCs/>
      <w:caps/>
      <w:sz w:val="22"/>
      <w:u w:val="single"/>
    </w:rPr>
  </w:style>
  <w:style w:type="character" w:styleId="Hyperlink">
    <w:name w:val="Hyperlink"/>
    <w:uiPriority w:val="99"/>
    <w:rsid w:val="00663367"/>
    <w:rPr>
      <w:color w:val="0000FF"/>
      <w:u w:val="single"/>
    </w:rPr>
  </w:style>
  <w:style w:type="paragraph" w:styleId="FootnoteText">
    <w:name w:val="footnote text"/>
    <w:basedOn w:val="Normal"/>
    <w:link w:val="FootnoteTextChar"/>
    <w:rsid w:val="00D74E04"/>
    <w:rPr>
      <w:rFonts w:eastAsia="Times New Roman"/>
      <w:sz w:val="20"/>
      <w:szCs w:val="20"/>
      <w:lang w:val="x-none" w:eastAsia="x-none"/>
    </w:rPr>
  </w:style>
  <w:style w:type="character" w:customStyle="1" w:styleId="FootnoteTextChar">
    <w:name w:val="Footnote Text Char"/>
    <w:link w:val="FootnoteText"/>
    <w:rsid w:val="00D74E04"/>
    <w:rPr>
      <w:rFonts w:eastAsia="Times New Roman"/>
      <w:sz w:val="20"/>
      <w:szCs w:val="20"/>
      <w:lang w:val="x-none" w:eastAsia="x-none"/>
    </w:rPr>
  </w:style>
  <w:style w:type="character" w:styleId="FootnoteReference">
    <w:name w:val="footnote reference"/>
    <w:rsid w:val="00663367"/>
    <w:rPr>
      <w:vertAlign w:val="superscript"/>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663367"/>
    <w:pPr>
      <w:spacing w:after="160" w:line="240" w:lineRule="exact"/>
    </w:pPr>
    <w:rPr>
      <w:rFonts w:ascii="Tahoma" w:eastAsia="Times New Roman" w:hAnsi="Tahoma"/>
      <w:sz w:val="20"/>
      <w:szCs w:val="20"/>
      <w:lang w:val="en-US"/>
    </w:rPr>
  </w:style>
  <w:style w:type="paragraph" w:styleId="TOC2">
    <w:name w:val="toc 2"/>
    <w:basedOn w:val="Normal"/>
    <w:next w:val="Normal"/>
    <w:autoRedefine/>
    <w:uiPriority w:val="39"/>
    <w:qFormat/>
    <w:rsid w:val="001013AA"/>
    <w:rPr>
      <w:rFonts w:cstheme="minorHAnsi"/>
      <w:b/>
      <w:bCs/>
      <w:smallCaps/>
      <w:sz w:val="22"/>
    </w:rPr>
  </w:style>
  <w:style w:type="paragraph" w:styleId="Footer">
    <w:name w:val="footer"/>
    <w:basedOn w:val="Normal"/>
    <w:link w:val="FooterChar"/>
    <w:uiPriority w:val="99"/>
    <w:rsid w:val="00663367"/>
    <w:pPr>
      <w:tabs>
        <w:tab w:val="center" w:pos="4536"/>
        <w:tab w:val="right" w:pos="9072"/>
      </w:tabs>
    </w:pPr>
    <w:rPr>
      <w:rFonts w:eastAsia="Times New Roman"/>
      <w:sz w:val="20"/>
      <w:szCs w:val="20"/>
      <w:lang w:val="x-none"/>
    </w:rPr>
  </w:style>
  <w:style w:type="character" w:customStyle="1" w:styleId="FooterChar">
    <w:name w:val="Footer Char"/>
    <w:link w:val="Footer"/>
    <w:uiPriority w:val="99"/>
    <w:rsid w:val="00663367"/>
    <w:rPr>
      <w:rFonts w:eastAsia="Times New Roman"/>
      <w:lang w:eastAsia="hr-HR"/>
    </w:rPr>
  </w:style>
  <w:style w:type="character" w:styleId="PageNumber">
    <w:name w:val="page number"/>
    <w:basedOn w:val="DefaultParagraphFont"/>
    <w:rsid w:val="00663367"/>
  </w:style>
  <w:style w:type="paragraph" w:styleId="TOC3">
    <w:name w:val="toc 3"/>
    <w:basedOn w:val="Normal"/>
    <w:next w:val="Normal"/>
    <w:autoRedefine/>
    <w:uiPriority w:val="39"/>
    <w:qFormat/>
    <w:rsid w:val="000F1D71"/>
    <w:rPr>
      <w:rFonts w:cstheme="minorHAnsi"/>
      <w:smallCaps/>
      <w:sz w:val="22"/>
    </w:rPr>
  </w:style>
  <w:style w:type="table" w:styleId="TableGrid">
    <w:name w:val="Table Grid"/>
    <w:basedOn w:val="TableNormal"/>
    <w:rsid w:val="00663367"/>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663367"/>
    <w:rPr>
      <w:sz w:val="16"/>
      <w:szCs w:val="16"/>
    </w:rPr>
  </w:style>
  <w:style w:type="paragraph" w:styleId="CommentText">
    <w:name w:val="annotation text"/>
    <w:basedOn w:val="Normal"/>
    <w:link w:val="CommentTextChar"/>
    <w:uiPriority w:val="99"/>
    <w:semiHidden/>
    <w:rsid w:val="00663367"/>
    <w:rPr>
      <w:rFonts w:eastAsia="Times New Roman"/>
      <w:sz w:val="20"/>
      <w:szCs w:val="20"/>
      <w:lang w:val="x-none"/>
    </w:rPr>
  </w:style>
  <w:style w:type="character" w:customStyle="1" w:styleId="CommentTextChar">
    <w:name w:val="Comment Text Char"/>
    <w:link w:val="CommentText"/>
    <w:uiPriority w:val="99"/>
    <w:semiHidden/>
    <w:rsid w:val="00663367"/>
    <w:rPr>
      <w:rFonts w:eastAsia="Times New Roman"/>
      <w:sz w:val="20"/>
      <w:szCs w:val="20"/>
      <w:lang w:eastAsia="hr-HR"/>
    </w:rPr>
  </w:style>
  <w:style w:type="paragraph" w:styleId="CommentSubject">
    <w:name w:val="annotation subject"/>
    <w:basedOn w:val="CommentText"/>
    <w:next w:val="CommentText"/>
    <w:link w:val="CommentSubjectChar"/>
    <w:semiHidden/>
    <w:rsid w:val="00663367"/>
    <w:rPr>
      <w:b/>
      <w:bCs/>
    </w:rPr>
  </w:style>
  <w:style w:type="character" w:customStyle="1" w:styleId="CommentSubjectChar">
    <w:name w:val="Comment Subject Char"/>
    <w:link w:val="CommentSubject"/>
    <w:semiHidden/>
    <w:rsid w:val="00663367"/>
    <w:rPr>
      <w:rFonts w:eastAsia="Times New Roman"/>
      <w:b/>
      <w:bCs/>
      <w:sz w:val="20"/>
      <w:szCs w:val="20"/>
      <w:lang w:eastAsia="hr-HR"/>
    </w:rPr>
  </w:style>
  <w:style w:type="paragraph" w:styleId="BalloonText">
    <w:name w:val="Balloon Text"/>
    <w:basedOn w:val="Normal"/>
    <w:link w:val="BalloonTextChar"/>
    <w:semiHidden/>
    <w:rsid w:val="00663367"/>
    <w:rPr>
      <w:rFonts w:ascii="Tahoma" w:eastAsia="Times New Roman" w:hAnsi="Tahoma"/>
      <w:sz w:val="16"/>
      <w:szCs w:val="16"/>
      <w:lang w:val="x-none"/>
    </w:rPr>
  </w:style>
  <w:style w:type="character" w:customStyle="1" w:styleId="BalloonTextChar">
    <w:name w:val="Balloon Text Char"/>
    <w:link w:val="BalloonText"/>
    <w:semiHidden/>
    <w:rsid w:val="00663367"/>
    <w:rPr>
      <w:rFonts w:ascii="Tahoma" w:eastAsia="Times New Roman" w:hAnsi="Tahoma" w:cs="Tahoma"/>
      <w:sz w:val="16"/>
      <w:szCs w:val="16"/>
      <w:lang w:eastAsia="hr-HR"/>
    </w:rPr>
  </w:style>
  <w:style w:type="paragraph" w:styleId="NormalWeb">
    <w:name w:val="Normal (Web)"/>
    <w:basedOn w:val="Normal"/>
    <w:uiPriority w:val="99"/>
    <w:rsid w:val="00663367"/>
    <w:pPr>
      <w:spacing w:before="100" w:beforeAutospacing="1" w:after="100" w:afterAutospacing="1"/>
    </w:pPr>
    <w:rPr>
      <w:rFonts w:eastAsia="Times New Roman"/>
    </w:rPr>
  </w:style>
  <w:style w:type="character" w:styleId="FollowedHyperlink">
    <w:name w:val="FollowedHyperlink"/>
    <w:rsid w:val="00663367"/>
    <w:rPr>
      <w:color w:val="800080"/>
      <w:u w:val="single"/>
    </w:rPr>
  </w:style>
  <w:style w:type="paragraph" w:styleId="BodyText">
    <w:name w:val="Body Text"/>
    <w:basedOn w:val="Normal"/>
    <w:link w:val="BodyTextChar"/>
    <w:rsid w:val="00663367"/>
    <w:pPr>
      <w:jc w:val="both"/>
    </w:pPr>
    <w:rPr>
      <w:rFonts w:eastAsia="Times New Roman"/>
      <w:sz w:val="20"/>
      <w:szCs w:val="20"/>
      <w:lang w:val="x-none"/>
    </w:rPr>
  </w:style>
  <w:style w:type="character" w:customStyle="1" w:styleId="BodyTextChar">
    <w:name w:val="Body Text Char"/>
    <w:link w:val="BodyText"/>
    <w:rsid w:val="00663367"/>
    <w:rPr>
      <w:rFonts w:eastAsia="Times New Roman"/>
      <w:lang w:eastAsia="hr-HR"/>
    </w:rPr>
  </w:style>
  <w:style w:type="paragraph" w:styleId="BodyText2">
    <w:name w:val="Body Text 2"/>
    <w:basedOn w:val="Normal"/>
    <w:link w:val="BodyText2Char"/>
    <w:rsid w:val="00663367"/>
    <w:pPr>
      <w:spacing w:after="120" w:line="480" w:lineRule="auto"/>
    </w:pPr>
    <w:rPr>
      <w:rFonts w:eastAsia="Times New Roman"/>
      <w:sz w:val="20"/>
      <w:szCs w:val="20"/>
      <w:lang w:val="x-none"/>
    </w:rPr>
  </w:style>
  <w:style w:type="character" w:customStyle="1" w:styleId="BodyText2Char">
    <w:name w:val="Body Text 2 Char"/>
    <w:link w:val="BodyText2"/>
    <w:rsid w:val="00663367"/>
    <w:rPr>
      <w:rFonts w:eastAsia="Times New Roman"/>
      <w:lang w:eastAsia="hr-HR"/>
    </w:rPr>
  </w:style>
  <w:style w:type="paragraph" w:styleId="Header">
    <w:name w:val="header"/>
    <w:basedOn w:val="Normal"/>
    <w:link w:val="HeaderChar"/>
    <w:rsid w:val="00663367"/>
    <w:pPr>
      <w:tabs>
        <w:tab w:val="center" w:pos="4536"/>
        <w:tab w:val="right" w:pos="9072"/>
      </w:tabs>
    </w:pPr>
    <w:rPr>
      <w:rFonts w:eastAsia="Times New Roman"/>
      <w:sz w:val="20"/>
      <w:szCs w:val="20"/>
      <w:lang w:val="x-none"/>
    </w:rPr>
  </w:style>
  <w:style w:type="character" w:customStyle="1" w:styleId="HeaderChar">
    <w:name w:val="Header Char"/>
    <w:link w:val="Header"/>
    <w:rsid w:val="00663367"/>
    <w:rPr>
      <w:rFonts w:eastAsia="Times New Roman"/>
      <w:lang w:eastAsia="hr-HR"/>
    </w:rPr>
  </w:style>
  <w:style w:type="paragraph" w:styleId="TOC9">
    <w:name w:val="toc 9"/>
    <w:basedOn w:val="Normal"/>
    <w:next w:val="Normal"/>
    <w:autoRedefine/>
    <w:semiHidden/>
    <w:rsid w:val="00663367"/>
    <w:rPr>
      <w:rFonts w:cstheme="minorHAnsi"/>
      <w:sz w:val="22"/>
    </w:rPr>
  </w:style>
  <w:style w:type="paragraph" w:customStyle="1" w:styleId="Naslov4">
    <w:name w:val="Naslov4"/>
    <w:basedOn w:val="Heading3"/>
    <w:rsid w:val="00663367"/>
    <w:pPr>
      <w:ind w:firstLine="709"/>
    </w:pPr>
  </w:style>
  <w:style w:type="paragraph" w:customStyle="1" w:styleId="Naslov5">
    <w:name w:val="Naslov5"/>
    <w:basedOn w:val="Naslov4"/>
    <w:rsid w:val="00663367"/>
    <w:pPr>
      <w:ind w:firstLine="1021"/>
    </w:pPr>
  </w:style>
  <w:style w:type="paragraph" w:customStyle="1" w:styleId="Char">
    <w:name w:val="Char"/>
    <w:basedOn w:val="Normal"/>
    <w:rsid w:val="00663367"/>
    <w:pPr>
      <w:spacing w:after="160" w:line="240" w:lineRule="exact"/>
    </w:pPr>
    <w:rPr>
      <w:rFonts w:ascii="Tahoma" w:eastAsia="Times New Roman" w:hAnsi="Tahoma"/>
      <w:sz w:val="20"/>
      <w:szCs w:val="20"/>
      <w:lang w:val="en-US"/>
    </w:rPr>
  </w:style>
  <w:style w:type="paragraph" w:customStyle="1" w:styleId="CharChar">
    <w:name w:val="Char Char"/>
    <w:basedOn w:val="Normal"/>
    <w:rsid w:val="00663367"/>
    <w:pPr>
      <w:spacing w:after="160" w:line="240" w:lineRule="exact"/>
    </w:pPr>
    <w:rPr>
      <w:rFonts w:ascii="Tahoma" w:eastAsia="Times New Roman" w:hAnsi="Tahoma"/>
      <w:sz w:val="20"/>
      <w:szCs w:val="20"/>
      <w:lang w:val="en-US"/>
    </w:rPr>
  </w:style>
  <w:style w:type="paragraph" w:styleId="Caption">
    <w:name w:val="caption"/>
    <w:basedOn w:val="Normal"/>
    <w:next w:val="Normal"/>
    <w:link w:val="CaptionChar"/>
    <w:unhideWhenUsed/>
    <w:qFormat/>
    <w:rsid w:val="000B7DEE"/>
    <w:pPr>
      <w:keepNext/>
      <w:spacing w:before="120" w:after="120"/>
    </w:pPr>
    <w:rPr>
      <w:b/>
      <w:bCs/>
      <w:color w:val="4F81BD" w:themeColor="accent1"/>
      <w:sz w:val="18"/>
      <w:szCs w:val="18"/>
    </w:rPr>
  </w:style>
  <w:style w:type="paragraph" w:customStyle="1" w:styleId="Default">
    <w:name w:val="Default"/>
    <w:rsid w:val="00663367"/>
    <w:pPr>
      <w:autoSpaceDE w:val="0"/>
      <w:autoSpaceDN w:val="0"/>
      <w:adjustRightInd w:val="0"/>
    </w:pPr>
    <w:rPr>
      <w:rFonts w:ascii="Arial" w:eastAsia="Times New Roman" w:hAnsi="Arial" w:cs="Arial"/>
      <w:color w:val="000000"/>
      <w:sz w:val="24"/>
      <w:szCs w:val="24"/>
    </w:rPr>
  </w:style>
  <w:style w:type="paragraph" w:customStyle="1" w:styleId="Terminacija1">
    <w:name w:val="Terminacija1"/>
    <w:basedOn w:val="Normal"/>
    <w:rsid w:val="00663367"/>
    <w:pPr>
      <w:ind w:left="360" w:hanging="360"/>
      <w:jc w:val="both"/>
    </w:pPr>
    <w:rPr>
      <w:rFonts w:eastAsia="Times New Roman"/>
      <w:b/>
      <w:sz w:val="32"/>
      <w:szCs w:val="32"/>
    </w:rPr>
  </w:style>
  <w:style w:type="paragraph" w:customStyle="1" w:styleId="Termiancija2">
    <w:name w:val="Termiancija2"/>
    <w:basedOn w:val="Normal"/>
    <w:rsid w:val="00663367"/>
    <w:pPr>
      <w:jc w:val="both"/>
    </w:pPr>
    <w:rPr>
      <w:rFonts w:eastAsia="Times New Roman"/>
      <w:b/>
      <w:sz w:val="26"/>
      <w:szCs w:val="26"/>
    </w:rPr>
  </w:style>
  <w:style w:type="paragraph" w:styleId="ListParagraph">
    <w:name w:val="List Paragraph"/>
    <w:basedOn w:val="Normal"/>
    <w:link w:val="ListParagraphChar"/>
    <w:uiPriority w:val="34"/>
    <w:qFormat/>
    <w:rsid w:val="00C721A6"/>
    <w:pPr>
      <w:spacing w:before="120" w:after="120"/>
      <w:ind w:left="397"/>
      <w:contextualSpacing/>
    </w:pPr>
    <w:rPr>
      <w:color w:val="4F81BD" w:themeColor="accent1"/>
      <w:sz w:val="18"/>
    </w:rPr>
  </w:style>
  <w:style w:type="paragraph" w:styleId="Revision">
    <w:name w:val="Revision"/>
    <w:hidden/>
    <w:uiPriority w:val="99"/>
    <w:semiHidden/>
    <w:rsid w:val="00724348"/>
    <w:rPr>
      <w:sz w:val="24"/>
      <w:szCs w:val="24"/>
      <w:lang w:eastAsia="en-US"/>
    </w:rPr>
  </w:style>
  <w:style w:type="character" w:styleId="Emphasis">
    <w:name w:val="Emphasis"/>
    <w:uiPriority w:val="20"/>
    <w:qFormat/>
    <w:rsid w:val="005F518B"/>
    <w:rPr>
      <w:i/>
      <w:iCs/>
    </w:rPr>
  </w:style>
  <w:style w:type="character" w:customStyle="1" w:styleId="Heading4Char">
    <w:name w:val="Heading 4 Char"/>
    <w:basedOn w:val="DefaultParagraphFont"/>
    <w:link w:val="Heading4"/>
    <w:rsid w:val="00452A1C"/>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rsid w:val="00452A1C"/>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rsid w:val="00452A1C"/>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rsid w:val="00452A1C"/>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rsid w:val="00452A1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452A1C"/>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unhideWhenUsed/>
    <w:qFormat/>
    <w:rsid w:val="00452A1C"/>
    <w:pPr>
      <w:numPr>
        <w:numId w:val="0"/>
      </w:numPr>
      <w:outlineLvl w:val="9"/>
    </w:pPr>
  </w:style>
  <w:style w:type="character" w:styleId="PlaceholderText">
    <w:name w:val="Placeholder Text"/>
    <w:uiPriority w:val="99"/>
    <w:semiHidden/>
    <w:rsid w:val="008E1632"/>
    <w:rPr>
      <w:color w:val="808080"/>
    </w:rPr>
  </w:style>
  <w:style w:type="paragraph" w:styleId="NoSpacing">
    <w:name w:val="No Spacing"/>
    <w:link w:val="NoSpacingChar"/>
    <w:uiPriority w:val="1"/>
    <w:qFormat/>
    <w:rsid w:val="004E1FC7"/>
    <w:pPr>
      <w:spacing w:after="0" w:line="240" w:lineRule="auto"/>
    </w:pPr>
  </w:style>
  <w:style w:type="character" w:customStyle="1" w:styleId="NoSpacingChar">
    <w:name w:val="No Spacing Char"/>
    <w:link w:val="NoSpacing"/>
    <w:uiPriority w:val="1"/>
    <w:rsid w:val="004E1FC7"/>
  </w:style>
  <w:style w:type="table" w:styleId="LightGrid-Accent5">
    <w:name w:val="Light Grid Accent 5"/>
    <w:basedOn w:val="TableNormal"/>
    <w:uiPriority w:val="62"/>
    <w:rsid w:val="008D1FD1"/>
    <w:rPr>
      <w:rFonts w:ascii="Calibri" w:hAnsi="Calibri"/>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customStyle="1" w:styleId="TableText">
    <w:name w:val="Table Text"/>
    <w:basedOn w:val="Normal"/>
    <w:rsid w:val="008956E7"/>
    <w:pPr>
      <w:spacing w:before="120" w:after="120"/>
      <w:jc w:val="both"/>
    </w:pPr>
    <w:rPr>
      <w:rFonts w:ascii="Arial" w:eastAsia="Times" w:hAnsi="Arial" w:cs="Arial"/>
      <w:sz w:val="20"/>
      <w:szCs w:val="20"/>
      <w:lang w:val="en-GB"/>
    </w:rPr>
  </w:style>
  <w:style w:type="table" w:customStyle="1" w:styleId="LightGrid-Accent51">
    <w:name w:val="Light Grid - Accent 51"/>
    <w:basedOn w:val="TableNormal"/>
    <w:next w:val="LightGrid-Accent5"/>
    <w:uiPriority w:val="62"/>
    <w:rsid w:val="008956E7"/>
    <w:rPr>
      <w:rFonts w:ascii="Calibri" w:hAnsi="Calibri"/>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customStyle="1" w:styleId="Tekst">
    <w:name w:val="Tekst"/>
    <w:rsid w:val="009A6C26"/>
    <w:pPr>
      <w:overflowPunct w:val="0"/>
      <w:autoSpaceDE w:val="0"/>
      <w:autoSpaceDN w:val="0"/>
      <w:adjustRightInd w:val="0"/>
      <w:jc w:val="both"/>
      <w:textAlignment w:val="baseline"/>
    </w:pPr>
    <w:rPr>
      <w:rFonts w:eastAsia="Times New Roman"/>
      <w:sz w:val="24"/>
      <w:lang w:val="en-US"/>
    </w:rPr>
  </w:style>
  <w:style w:type="paragraph" w:styleId="Subtitle">
    <w:name w:val="Subtitle"/>
    <w:basedOn w:val="Normal"/>
    <w:next w:val="Normal"/>
    <w:link w:val="SubtitleChar"/>
    <w:uiPriority w:val="11"/>
    <w:qFormat/>
    <w:rsid w:val="00452A1C"/>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452A1C"/>
    <w:rPr>
      <w:rFonts w:asciiTheme="majorHAnsi" w:eastAsiaTheme="majorEastAsia" w:hAnsiTheme="majorHAnsi" w:cstheme="majorBidi"/>
      <w:i/>
      <w:iCs/>
      <w:color w:val="4F81BD" w:themeColor="accent1"/>
      <w:spacing w:val="15"/>
      <w:sz w:val="24"/>
      <w:szCs w:val="24"/>
    </w:rPr>
  </w:style>
  <w:style w:type="table" w:styleId="MediumList2-Accent1">
    <w:name w:val="Medium List 2 Accent 1"/>
    <w:basedOn w:val="TableNormal"/>
    <w:uiPriority w:val="66"/>
    <w:rsid w:val="00347A2E"/>
    <w:rPr>
      <w:rFonts w:asciiTheme="majorHAnsi" w:eastAsiaTheme="majorEastAsia" w:hAnsiTheme="majorHAnsi" w:cstheme="majorBidi"/>
      <w:color w:val="000000" w:themeColor="text1"/>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LineNumber">
    <w:name w:val="line number"/>
    <w:basedOn w:val="DefaultParagraphFont"/>
    <w:uiPriority w:val="99"/>
    <w:semiHidden/>
    <w:unhideWhenUsed/>
    <w:rsid w:val="00AB32FB"/>
  </w:style>
  <w:style w:type="table" w:styleId="LightShading-Accent1">
    <w:name w:val="Light Shading Accent 1"/>
    <w:basedOn w:val="TableNormal"/>
    <w:uiPriority w:val="60"/>
    <w:rsid w:val="00EC17CB"/>
    <w:rPr>
      <w:color w:val="365F91" w:themeColor="accent1" w:themeShade="BF"/>
      <w:lang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IntenseEmphasis">
    <w:name w:val="Intense Emphasis"/>
    <w:basedOn w:val="DefaultParagraphFont"/>
    <w:uiPriority w:val="21"/>
    <w:qFormat/>
    <w:rsid w:val="00452A1C"/>
    <w:rPr>
      <w:b/>
      <w:bCs/>
      <w:i/>
      <w:iCs/>
      <w:color w:val="4F81BD" w:themeColor="accent1"/>
    </w:rPr>
  </w:style>
  <w:style w:type="paragraph" w:customStyle="1" w:styleId="NASLOV2">
    <w:name w:val="NASLOV 2"/>
    <w:basedOn w:val="Heading2"/>
    <w:link w:val="NASLOV2Char"/>
    <w:qFormat/>
    <w:rsid w:val="00452A1C"/>
    <w:pPr>
      <w:numPr>
        <w:numId w:val="1"/>
      </w:numPr>
      <w:tabs>
        <w:tab w:val="clear" w:pos="1440"/>
      </w:tabs>
      <w:spacing w:before="0"/>
      <w:ind w:left="578" w:hanging="578"/>
    </w:pPr>
  </w:style>
  <w:style w:type="character" w:customStyle="1" w:styleId="NASLOV2Char">
    <w:name w:val="NASLOV 2 Char"/>
    <w:basedOn w:val="Heading2Char"/>
    <w:link w:val="NASLOV2"/>
    <w:rsid w:val="00452A1C"/>
    <w:rPr>
      <w:rFonts w:asciiTheme="majorHAnsi" w:eastAsiaTheme="majorEastAsia" w:hAnsiTheme="majorHAnsi" w:cstheme="majorBidi"/>
      <w:b/>
      <w:bCs/>
      <w:color w:val="4F81BD" w:themeColor="accent1"/>
      <w:sz w:val="26"/>
      <w:szCs w:val="26"/>
    </w:rPr>
  </w:style>
  <w:style w:type="paragraph" w:customStyle="1" w:styleId="Tablica">
    <w:name w:val="Tablica"/>
    <w:basedOn w:val="Caption"/>
    <w:link w:val="TablicaChar"/>
    <w:qFormat/>
    <w:rsid w:val="005A467A"/>
  </w:style>
  <w:style w:type="paragraph" w:customStyle="1" w:styleId="LIsta">
    <w:name w:val="LIsta"/>
    <w:basedOn w:val="ListParagraph"/>
    <w:link w:val="LIstaChar"/>
    <w:qFormat/>
    <w:rsid w:val="00F461F0"/>
    <w:pPr>
      <w:numPr>
        <w:numId w:val="17"/>
      </w:numPr>
    </w:pPr>
    <w:rPr>
      <w:color w:val="auto"/>
      <w:sz w:val="22"/>
    </w:rPr>
  </w:style>
  <w:style w:type="character" w:customStyle="1" w:styleId="CaptionChar">
    <w:name w:val="Caption Char"/>
    <w:basedOn w:val="DefaultParagraphFont"/>
    <w:link w:val="Caption"/>
    <w:rsid w:val="000B7DEE"/>
    <w:rPr>
      <w:b/>
      <w:bCs/>
      <w:color w:val="4F81BD" w:themeColor="accent1"/>
      <w:sz w:val="18"/>
      <w:szCs w:val="18"/>
    </w:rPr>
  </w:style>
  <w:style w:type="character" w:customStyle="1" w:styleId="TablicaChar">
    <w:name w:val="Tablica Char"/>
    <w:basedOn w:val="CaptionChar"/>
    <w:link w:val="Tablica"/>
    <w:rsid w:val="005A467A"/>
    <w:rPr>
      <w:b/>
      <w:bCs/>
      <w:color w:val="4F81BD" w:themeColor="accent1"/>
      <w:sz w:val="18"/>
      <w:szCs w:val="18"/>
    </w:rPr>
  </w:style>
  <w:style w:type="paragraph" w:styleId="TableofFigures">
    <w:name w:val="table of figures"/>
    <w:basedOn w:val="Normal"/>
    <w:next w:val="Normal"/>
    <w:uiPriority w:val="99"/>
    <w:unhideWhenUsed/>
    <w:rsid w:val="007B30BB"/>
  </w:style>
  <w:style w:type="character" w:customStyle="1" w:styleId="ListParagraphChar">
    <w:name w:val="List Paragraph Char"/>
    <w:basedOn w:val="DefaultParagraphFont"/>
    <w:link w:val="ListParagraph"/>
    <w:uiPriority w:val="34"/>
    <w:rsid w:val="00C721A6"/>
    <w:rPr>
      <w:color w:val="4F81BD" w:themeColor="accent1"/>
      <w:sz w:val="18"/>
    </w:rPr>
  </w:style>
  <w:style w:type="character" w:customStyle="1" w:styleId="LIstaChar">
    <w:name w:val="LIsta Char"/>
    <w:basedOn w:val="ListParagraphChar"/>
    <w:link w:val="LIsta"/>
    <w:rsid w:val="00F461F0"/>
    <w:rPr>
      <w:color w:val="4F81BD" w:themeColor="accent1"/>
      <w:sz w:val="18"/>
    </w:rPr>
  </w:style>
  <w:style w:type="table" w:customStyle="1" w:styleId="LightGrid-Accent52">
    <w:name w:val="Light Grid - Accent 52"/>
    <w:basedOn w:val="TableNormal"/>
    <w:next w:val="LightGrid-Accent5"/>
    <w:uiPriority w:val="62"/>
    <w:rsid w:val="004A254B"/>
    <w:pPr>
      <w:spacing w:after="0" w:line="240" w:lineRule="auto"/>
    </w:pPr>
    <w:rPr>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TOC4">
    <w:name w:val="toc 4"/>
    <w:basedOn w:val="Normal"/>
    <w:next w:val="Normal"/>
    <w:autoRedefine/>
    <w:uiPriority w:val="39"/>
    <w:unhideWhenUsed/>
    <w:rsid w:val="00B6294D"/>
    <w:rPr>
      <w:rFonts w:cstheme="minorHAnsi"/>
      <w:sz w:val="22"/>
    </w:rPr>
  </w:style>
  <w:style w:type="paragraph" w:styleId="TOC5">
    <w:name w:val="toc 5"/>
    <w:basedOn w:val="Normal"/>
    <w:next w:val="Normal"/>
    <w:autoRedefine/>
    <w:uiPriority w:val="39"/>
    <w:unhideWhenUsed/>
    <w:rsid w:val="00B6294D"/>
    <w:rPr>
      <w:rFonts w:cstheme="minorHAnsi"/>
      <w:sz w:val="22"/>
    </w:rPr>
  </w:style>
  <w:style w:type="paragraph" w:styleId="TOC6">
    <w:name w:val="toc 6"/>
    <w:basedOn w:val="Normal"/>
    <w:next w:val="Normal"/>
    <w:autoRedefine/>
    <w:uiPriority w:val="39"/>
    <w:unhideWhenUsed/>
    <w:rsid w:val="00B6294D"/>
    <w:rPr>
      <w:rFonts w:cstheme="minorHAnsi"/>
      <w:sz w:val="22"/>
    </w:rPr>
  </w:style>
  <w:style w:type="paragraph" w:styleId="TOC7">
    <w:name w:val="toc 7"/>
    <w:basedOn w:val="Normal"/>
    <w:next w:val="Normal"/>
    <w:autoRedefine/>
    <w:uiPriority w:val="39"/>
    <w:unhideWhenUsed/>
    <w:rsid w:val="00B6294D"/>
    <w:rPr>
      <w:rFonts w:cstheme="minorHAnsi"/>
      <w:sz w:val="22"/>
    </w:rPr>
  </w:style>
  <w:style w:type="paragraph" w:styleId="TOC8">
    <w:name w:val="toc 8"/>
    <w:basedOn w:val="Normal"/>
    <w:next w:val="Normal"/>
    <w:autoRedefine/>
    <w:uiPriority w:val="39"/>
    <w:unhideWhenUsed/>
    <w:rsid w:val="00B6294D"/>
    <w:rPr>
      <w:rFonts w:cs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87855">
      <w:bodyDiv w:val="1"/>
      <w:marLeft w:val="0"/>
      <w:marRight w:val="0"/>
      <w:marTop w:val="0"/>
      <w:marBottom w:val="0"/>
      <w:divBdr>
        <w:top w:val="none" w:sz="0" w:space="0" w:color="auto"/>
        <w:left w:val="none" w:sz="0" w:space="0" w:color="auto"/>
        <w:bottom w:val="none" w:sz="0" w:space="0" w:color="auto"/>
        <w:right w:val="none" w:sz="0" w:space="0" w:color="auto"/>
      </w:divBdr>
    </w:div>
    <w:div w:id="26179963">
      <w:bodyDiv w:val="1"/>
      <w:marLeft w:val="0"/>
      <w:marRight w:val="0"/>
      <w:marTop w:val="0"/>
      <w:marBottom w:val="0"/>
      <w:divBdr>
        <w:top w:val="none" w:sz="0" w:space="0" w:color="auto"/>
        <w:left w:val="none" w:sz="0" w:space="0" w:color="auto"/>
        <w:bottom w:val="none" w:sz="0" w:space="0" w:color="auto"/>
        <w:right w:val="none" w:sz="0" w:space="0" w:color="auto"/>
      </w:divBdr>
      <w:divsChild>
        <w:div w:id="1878157451">
          <w:marLeft w:val="0"/>
          <w:marRight w:val="0"/>
          <w:marTop w:val="0"/>
          <w:marBottom w:val="0"/>
          <w:divBdr>
            <w:top w:val="none" w:sz="0" w:space="0" w:color="auto"/>
            <w:left w:val="none" w:sz="0" w:space="0" w:color="auto"/>
            <w:bottom w:val="none" w:sz="0" w:space="0" w:color="auto"/>
            <w:right w:val="none" w:sz="0" w:space="0" w:color="auto"/>
          </w:divBdr>
        </w:div>
        <w:div w:id="1073627937">
          <w:marLeft w:val="0"/>
          <w:marRight w:val="0"/>
          <w:marTop w:val="0"/>
          <w:marBottom w:val="0"/>
          <w:divBdr>
            <w:top w:val="none" w:sz="0" w:space="0" w:color="auto"/>
            <w:left w:val="none" w:sz="0" w:space="0" w:color="auto"/>
            <w:bottom w:val="none" w:sz="0" w:space="0" w:color="auto"/>
            <w:right w:val="none" w:sz="0" w:space="0" w:color="auto"/>
          </w:divBdr>
        </w:div>
        <w:div w:id="1604461926">
          <w:marLeft w:val="0"/>
          <w:marRight w:val="0"/>
          <w:marTop w:val="0"/>
          <w:marBottom w:val="0"/>
          <w:divBdr>
            <w:top w:val="none" w:sz="0" w:space="0" w:color="auto"/>
            <w:left w:val="none" w:sz="0" w:space="0" w:color="auto"/>
            <w:bottom w:val="none" w:sz="0" w:space="0" w:color="auto"/>
            <w:right w:val="none" w:sz="0" w:space="0" w:color="auto"/>
          </w:divBdr>
        </w:div>
        <w:div w:id="1192184414">
          <w:marLeft w:val="0"/>
          <w:marRight w:val="0"/>
          <w:marTop w:val="0"/>
          <w:marBottom w:val="0"/>
          <w:divBdr>
            <w:top w:val="none" w:sz="0" w:space="0" w:color="auto"/>
            <w:left w:val="none" w:sz="0" w:space="0" w:color="auto"/>
            <w:bottom w:val="none" w:sz="0" w:space="0" w:color="auto"/>
            <w:right w:val="none" w:sz="0" w:space="0" w:color="auto"/>
          </w:divBdr>
        </w:div>
        <w:div w:id="568804517">
          <w:marLeft w:val="0"/>
          <w:marRight w:val="0"/>
          <w:marTop w:val="0"/>
          <w:marBottom w:val="0"/>
          <w:divBdr>
            <w:top w:val="none" w:sz="0" w:space="0" w:color="auto"/>
            <w:left w:val="none" w:sz="0" w:space="0" w:color="auto"/>
            <w:bottom w:val="none" w:sz="0" w:space="0" w:color="auto"/>
            <w:right w:val="none" w:sz="0" w:space="0" w:color="auto"/>
          </w:divBdr>
        </w:div>
      </w:divsChild>
    </w:div>
    <w:div w:id="61753136">
      <w:bodyDiv w:val="1"/>
      <w:marLeft w:val="0"/>
      <w:marRight w:val="0"/>
      <w:marTop w:val="0"/>
      <w:marBottom w:val="0"/>
      <w:divBdr>
        <w:top w:val="none" w:sz="0" w:space="0" w:color="auto"/>
        <w:left w:val="none" w:sz="0" w:space="0" w:color="auto"/>
        <w:bottom w:val="none" w:sz="0" w:space="0" w:color="auto"/>
        <w:right w:val="none" w:sz="0" w:space="0" w:color="auto"/>
      </w:divBdr>
    </w:div>
    <w:div w:id="136148724">
      <w:bodyDiv w:val="1"/>
      <w:marLeft w:val="0"/>
      <w:marRight w:val="0"/>
      <w:marTop w:val="0"/>
      <w:marBottom w:val="0"/>
      <w:divBdr>
        <w:top w:val="none" w:sz="0" w:space="0" w:color="auto"/>
        <w:left w:val="none" w:sz="0" w:space="0" w:color="auto"/>
        <w:bottom w:val="none" w:sz="0" w:space="0" w:color="auto"/>
        <w:right w:val="none" w:sz="0" w:space="0" w:color="auto"/>
      </w:divBdr>
    </w:div>
    <w:div w:id="169954717">
      <w:bodyDiv w:val="1"/>
      <w:marLeft w:val="0"/>
      <w:marRight w:val="0"/>
      <w:marTop w:val="0"/>
      <w:marBottom w:val="0"/>
      <w:divBdr>
        <w:top w:val="none" w:sz="0" w:space="0" w:color="auto"/>
        <w:left w:val="none" w:sz="0" w:space="0" w:color="auto"/>
        <w:bottom w:val="none" w:sz="0" w:space="0" w:color="auto"/>
        <w:right w:val="none" w:sz="0" w:space="0" w:color="auto"/>
      </w:divBdr>
    </w:div>
    <w:div w:id="264004231">
      <w:bodyDiv w:val="1"/>
      <w:marLeft w:val="0"/>
      <w:marRight w:val="0"/>
      <w:marTop w:val="0"/>
      <w:marBottom w:val="0"/>
      <w:divBdr>
        <w:top w:val="none" w:sz="0" w:space="0" w:color="auto"/>
        <w:left w:val="none" w:sz="0" w:space="0" w:color="auto"/>
        <w:bottom w:val="none" w:sz="0" w:space="0" w:color="auto"/>
        <w:right w:val="none" w:sz="0" w:space="0" w:color="auto"/>
      </w:divBdr>
      <w:divsChild>
        <w:div w:id="2085375876">
          <w:marLeft w:val="0"/>
          <w:marRight w:val="0"/>
          <w:marTop w:val="0"/>
          <w:marBottom w:val="0"/>
          <w:divBdr>
            <w:top w:val="none" w:sz="0" w:space="0" w:color="auto"/>
            <w:left w:val="none" w:sz="0" w:space="0" w:color="auto"/>
            <w:bottom w:val="none" w:sz="0" w:space="0" w:color="auto"/>
            <w:right w:val="none" w:sz="0" w:space="0" w:color="auto"/>
          </w:divBdr>
        </w:div>
        <w:div w:id="286669071">
          <w:marLeft w:val="0"/>
          <w:marRight w:val="0"/>
          <w:marTop w:val="0"/>
          <w:marBottom w:val="0"/>
          <w:divBdr>
            <w:top w:val="none" w:sz="0" w:space="0" w:color="auto"/>
            <w:left w:val="none" w:sz="0" w:space="0" w:color="auto"/>
            <w:bottom w:val="none" w:sz="0" w:space="0" w:color="auto"/>
            <w:right w:val="none" w:sz="0" w:space="0" w:color="auto"/>
          </w:divBdr>
        </w:div>
        <w:div w:id="83428142">
          <w:marLeft w:val="0"/>
          <w:marRight w:val="0"/>
          <w:marTop w:val="0"/>
          <w:marBottom w:val="0"/>
          <w:divBdr>
            <w:top w:val="none" w:sz="0" w:space="0" w:color="auto"/>
            <w:left w:val="none" w:sz="0" w:space="0" w:color="auto"/>
            <w:bottom w:val="none" w:sz="0" w:space="0" w:color="auto"/>
            <w:right w:val="none" w:sz="0" w:space="0" w:color="auto"/>
          </w:divBdr>
        </w:div>
        <w:div w:id="1927808318">
          <w:marLeft w:val="0"/>
          <w:marRight w:val="0"/>
          <w:marTop w:val="0"/>
          <w:marBottom w:val="0"/>
          <w:divBdr>
            <w:top w:val="none" w:sz="0" w:space="0" w:color="auto"/>
            <w:left w:val="none" w:sz="0" w:space="0" w:color="auto"/>
            <w:bottom w:val="none" w:sz="0" w:space="0" w:color="auto"/>
            <w:right w:val="none" w:sz="0" w:space="0" w:color="auto"/>
          </w:divBdr>
        </w:div>
        <w:div w:id="322586957">
          <w:marLeft w:val="0"/>
          <w:marRight w:val="0"/>
          <w:marTop w:val="0"/>
          <w:marBottom w:val="0"/>
          <w:divBdr>
            <w:top w:val="none" w:sz="0" w:space="0" w:color="auto"/>
            <w:left w:val="none" w:sz="0" w:space="0" w:color="auto"/>
            <w:bottom w:val="none" w:sz="0" w:space="0" w:color="auto"/>
            <w:right w:val="none" w:sz="0" w:space="0" w:color="auto"/>
          </w:divBdr>
        </w:div>
        <w:div w:id="477579330">
          <w:marLeft w:val="0"/>
          <w:marRight w:val="0"/>
          <w:marTop w:val="0"/>
          <w:marBottom w:val="0"/>
          <w:divBdr>
            <w:top w:val="none" w:sz="0" w:space="0" w:color="auto"/>
            <w:left w:val="none" w:sz="0" w:space="0" w:color="auto"/>
            <w:bottom w:val="none" w:sz="0" w:space="0" w:color="auto"/>
            <w:right w:val="none" w:sz="0" w:space="0" w:color="auto"/>
          </w:divBdr>
        </w:div>
        <w:div w:id="535118969">
          <w:marLeft w:val="0"/>
          <w:marRight w:val="0"/>
          <w:marTop w:val="0"/>
          <w:marBottom w:val="0"/>
          <w:divBdr>
            <w:top w:val="none" w:sz="0" w:space="0" w:color="auto"/>
            <w:left w:val="none" w:sz="0" w:space="0" w:color="auto"/>
            <w:bottom w:val="none" w:sz="0" w:space="0" w:color="auto"/>
            <w:right w:val="none" w:sz="0" w:space="0" w:color="auto"/>
          </w:divBdr>
        </w:div>
        <w:div w:id="2105110169">
          <w:marLeft w:val="0"/>
          <w:marRight w:val="0"/>
          <w:marTop w:val="0"/>
          <w:marBottom w:val="0"/>
          <w:divBdr>
            <w:top w:val="none" w:sz="0" w:space="0" w:color="auto"/>
            <w:left w:val="none" w:sz="0" w:space="0" w:color="auto"/>
            <w:bottom w:val="none" w:sz="0" w:space="0" w:color="auto"/>
            <w:right w:val="none" w:sz="0" w:space="0" w:color="auto"/>
          </w:divBdr>
        </w:div>
      </w:divsChild>
    </w:div>
    <w:div w:id="297227556">
      <w:bodyDiv w:val="1"/>
      <w:marLeft w:val="0"/>
      <w:marRight w:val="0"/>
      <w:marTop w:val="0"/>
      <w:marBottom w:val="0"/>
      <w:divBdr>
        <w:top w:val="none" w:sz="0" w:space="0" w:color="auto"/>
        <w:left w:val="none" w:sz="0" w:space="0" w:color="auto"/>
        <w:bottom w:val="none" w:sz="0" w:space="0" w:color="auto"/>
        <w:right w:val="none" w:sz="0" w:space="0" w:color="auto"/>
      </w:divBdr>
    </w:div>
    <w:div w:id="431244363">
      <w:bodyDiv w:val="1"/>
      <w:marLeft w:val="0"/>
      <w:marRight w:val="0"/>
      <w:marTop w:val="0"/>
      <w:marBottom w:val="0"/>
      <w:divBdr>
        <w:top w:val="none" w:sz="0" w:space="0" w:color="auto"/>
        <w:left w:val="none" w:sz="0" w:space="0" w:color="auto"/>
        <w:bottom w:val="none" w:sz="0" w:space="0" w:color="auto"/>
        <w:right w:val="none" w:sz="0" w:space="0" w:color="auto"/>
      </w:divBdr>
    </w:div>
    <w:div w:id="541551869">
      <w:bodyDiv w:val="1"/>
      <w:marLeft w:val="0"/>
      <w:marRight w:val="0"/>
      <w:marTop w:val="0"/>
      <w:marBottom w:val="0"/>
      <w:divBdr>
        <w:top w:val="none" w:sz="0" w:space="0" w:color="auto"/>
        <w:left w:val="none" w:sz="0" w:space="0" w:color="auto"/>
        <w:bottom w:val="none" w:sz="0" w:space="0" w:color="auto"/>
        <w:right w:val="none" w:sz="0" w:space="0" w:color="auto"/>
      </w:divBdr>
    </w:div>
    <w:div w:id="544607268">
      <w:bodyDiv w:val="1"/>
      <w:marLeft w:val="0"/>
      <w:marRight w:val="0"/>
      <w:marTop w:val="0"/>
      <w:marBottom w:val="0"/>
      <w:divBdr>
        <w:top w:val="none" w:sz="0" w:space="0" w:color="auto"/>
        <w:left w:val="none" w:sz="0" w:space="0" w:color="auto"/>
        <w:bottom w:val="none" w:sz="0" w:space="0" w:color="auto"/>
        <w:right w:val="none" w:sz="0" w:space="0" w:color="auto"/>
      </w:divBdr>
    </w:div>
    <w:div w:id="599409490">
      <w:bodyDiv w:val="1"/>
      <w:marLeft w:val="0"/>
      <w:marRight w:val="0"/>
      <w:marTop w:val="0"/>
      <w:marBottom w:val="0"/>
      <w:divBdr>
        <w:top w:val="none" w:sz="0" w:space="0" w:color="auto"/>
        <w:left w:val="none" w:sz="0" w:space="0" w:color="auto"/>
        <w:bottom w:val="none" w:sz="0" w:space="0" w:color="auto"/>
        <w:right w:val="none" w:sz="0" w:space="0" w:color="auto"/>
      </w:divBdr>
    </w:div>
    <w:div w:id="607396093">
      <w:bodyDiv w:val="1"/>
      <w:marLeft w:val="0"/>
      <w:marRight w:val="0"/>
      <w:marTop w:val="0"/>
      <w:marBottom w:val="0"/>
      <w:divBdr>
        <w:top w:val="none" w:sz="0" w:space="0" w:color="auto"/>
        <w:left w:val="none" w:sz="0" w:space="0" w:color="auto"/>
        <w:bottom w:val="none" w:sz="0" w:space="0" w:color="auto"/>
        <w:right w:val="none" w:sz="0" w:space="0" w:color="auto"/>
      </w:divBdr>
    </w:div>
    <w:div w:id="614334565">
      <w:bodyDiv w:val="1"/>
      <w:marLeft w:val="0"/>
      <w:marRight w:val="0"/>
      <w:marTop w:val="0"/>
      <w:marBottom w:val="0"/>
      <w:divBdr>
        <w:top w:val="none" w:sz="0" w:space="0" w:color="auto"/>
        <w:left w:val="none" w:sz="0" w:space="0" w:color="auto"/>
        <w:bottom w:val="none" w:sz="0" w:space="0" w:color="auto"/>
        <w:right w:val="none" w:sz="0" w:space="0" w:color="auto"/>
      </w:divBdr>
      <w:divsChild>
        <w:div w:id="275137567">
          <w:marLeft w:val="0"/>
          <w:marRight w:val="0"/>
          <w:marTop w:val="0"/>
          <w:marBottom w:val="0"/>
          <w:divBdr>
            <w:top w:val="none" w:sz="0" w:space="0" w:color="auto"/>
            <w:left w:val="none" w:sz="0" w:space="0" w:color="auto"/>
            <w:bottom w:val="none" w:sz="0" w:space="0" w:color="auto"/>
            <w:right w:val="none" w:sz="0" w:space="0" w:color="auto"/>
          </w:divBdr>
        </w:div>
        <w:div w:id="2031254000">
          <w:marLeft w:val="0"/>
          <w:marRight w:val="0"/>
          <w:marTop w:val="0"/>
          <w:marBottom w:val="0"/>
          <w:divBdr>
            <w:top w:val="none" w:sz="0" w:space="0" w:color="auto"/>
            <w:left w:val="none" w:sz="0" w:space="0" w:color="auto"/>
            <w:bottom w:val="none" w:sz="0" w:space="0" w:color="auto"/>
            <w:right w:val="none" w:sz="0" w:space="0" w:color="auto"/>
          </w:divBdr>
        </w:div>
        <w:div w:id="514265981">
          <w:marLeft w:val="0"/>
          <w:marRight w:val="0"/>
          <w:marTop w:val="0"/>
          <w:marBottom w:val="0"/>
          <w:divBdr>
            <w:top w:val="none" w:sz="0" w:space="0" w:color="auto"/>
            <w:left w:val="none" w:sz="0" w:space="0" w:color="auto"/>
            <w:bottom w:val="none" w:sz="0" w:space="0" w:color="auto"/>
            <w:right w:val="none" w:sz="0" w:space="0" w:color="auto"/>
          </w:divBdr>
        </w:div>
        <w:div w:id="1010334500">
          <w:marLeft w:val="0"/>
          <w:marRight w:val="0"/>
          <w:marTop w:val="0"/>
          <w:marBottom w:val="0"/>
          <w:divBdr>
            <w:top w:val="none" w:sz="0" w:space="0" w:color="auto"/>
            <w:left w:val="none" w:sz="0" w:space="0" w:color="auto"/>
            <w:bottom w:val="none" w:sz="0" w:space="0" w:color="auto"/>
            <w:right w:val="none" w:sz="0" w:space="0" w:color="auto"/>
          </w:divBdr>
        </w:div>
        <w:div w:id="1406026326">
          <w:marLeft w:val="0"/>
          <w:marRight w:val="0"/>
          <w:marTop w:val="0"/>
          <w:marBottom w:val="0"/>
          <w:divBdr>
            <w:top w:val="none" w:sz="0" w:space="0" w:color="auto"/>
            <w:left w:val="none" w:sz="0" w:space="0" w:color="auto"/>
            <w:bottom w:val="none" w:sz="0" w:space="0" w:color="auto"/>
            <w:right w:val="none" w:sz="0" w:space="0" w:color="auto"/>
          </w:divBdr>
        </w:div>
        <w:div w:id="2090805662">
          <w:marLeft w:val="0"/>
          <w:marRight w:val="0"/>
          <w:marTop w:val="0"/>
          <w:marBottom w:val="0"/>
          <w:divBdr>
            <w:top w:val="none" w:sz="0" w:space="0" w:color="auto"/>
            <w:left w:val="none" w:sz="0" w:space="0" w:color="auto"/>
            <w:bottom w:val="none" w:sz="0" w:space="0" w:color="auto"/>
            <w:right w:val="none" w:sz="0" w:space="0" w:color="auto"/>
          </w:divBdr>
        </w:div>
        <w:div w:id="910039621">
          <w:marLeft w:val="0"/>
          <w:marRight w:val="0"/>
          <w:marTop w:val="0"/>
          <w:marBottom w:val="0"/>
          <w:divBdr>
            <w:top w:val="none" w:sz="0" w:space="0" w:color="auto"/>
            <w:left w:val="none" w:sz="0" w:space="0" w:color="auto"/>
            <w:bottom w:val="none" w:sz="0" w:space="0" w:color="auto"/>
            <w:right w:val="none" w:sz="0" w:space="0" w:color="auto"/>
          </w:divBdr>
        </w:div>
        <w:div w:id="1760910513">
          <w:marLeft w:val="0"/>
          <w:marRight w:val="0"/>
          <w:marTop w:val="0"/>
          <w:marBottom w:val="0"/>
          <w:divBdr>
            <w:top w:val="none" w:sz="0" w:space="0" w:color="auto"/>
            <w:left w:val="none" w:sz="0" w:space="0" w:color="auto"/>
            <w:bottom w:val="none" w:sz="0" w:space="0" w:color="auto"/>
            <w:right w:val="none" w:sz="0" w:space="0" w:color="auto"/>
          </w:divBdr>
        </w:div>
      </w:divsChild>
    </w:div>
    <w:div w:id="701248761">
      <w:bodyDiv w:val="1"/>
      <w:marLeft w:val="0"/>
      <w:marRight w:val="0"/>
      <w:marTop w:val="0"/>
      <w:marBottom w:val="0"/>
      <w:divBdr>
        <w:top w:val="none" w:sz="0" w:space="0" w:color="auto"/>
        <w:left w:val="none" w:sz="0" w:space="0" w:color="auto"/>
        <w:bottom w:val="none" w:sz="0" w:space="0" w:color="auto"/>
        <w:right w:val="none" w:sz="0" w:space="0" w:color="auto"/>
      </w:divBdr>
      <w:divsChild>
        <w:div w:id="1486892655">
          <w:marLeft w:val="0"/>
          <w:marRight w:val="0"/>
          <w:marTop w:val="0"/>
          <w:marBottom w:val="0"/>
          <w:divBdr>
            <w:top w:val="none" w:sz="0" w:space="0" w:color="auto"/>
            <w:left w:val="none" w:sz="0" w:space="0" w:color="auto"/>
            <w:bottom w:val="none" w:sz="0" w:space="0" w:color="auto"/>
            <w:right w:val="none" w:sz="0" w:space="0" w:color="auto"/>
          </w:divBdr>
        </w:div>
        <w:div w:id="2108769493">
          <w:marLeft w:val="0"/>
          <w:marRight w:val="0"/>
          <w:marTop w:val="0"/>
          <w:marBottom w:val="0"/>
          <w:divBdr>
            <w:top w:val="none" w:sz="0" w:space="0" w:color="auto"/>
            <w:left w:val="none" w:sz="0" w:space="0" w:color="auto"/>
            <w:bottom w:val="none" w:sz="0" w:space="0" w:color="auto"/>
            <w:right w:val="none" w:sz="0" w:space="0" w:color="auto"/>
          </w:divBdr>
        </w:div>
        <w:div w:id="821459013">
          <w:marLeft w:val="0"/>
          <w:marRight w:val="0"/>
          <w:marTop w:val="0"/>
          <w:marBottom w:val="0"/>
          <w:divBdr>
            <w:top w:val="none" w:sz="0" w:space="0" w:color="auto"/>
            <w:left w:val="none" w:sz="0" w:space="0" w:color="auto"/>
            <w:bottom w:val="none" w:sz="0" w:space="0" w:color="auto"/>
            <w:right w:val="none" w:sz="0" w:space="0" w:color="auto"/>
          </w:divBdr>
        </w:div>
        <w:div w:id="467212575">
          <w:marLeft w:val="0"/>
          <w:marRight w:val="0"/>
          <w:marTop w:val="0"/>
          <w:marBottom w:val="0"/>
          <w:divBdr>
            <w:top w:val="none" w:sz="0" w:space="0" w:color="auto"/>
            <w:left w:val="none" w:sz="0" w:space="0" w:color="auto"/>
            <w:bottom w:val="none" w:sz="0" w:space="0" w:color="auto"/>
            <w:right w:val="none" w:sz="0" w:space="0" w:color="auto"/>
          </w:divBdr>
        </w:div>
        <w:div w:id="1379822477">
          <w:marLeft w:val="0"/>
          <w:marRight w:val="0"/>
          <w:marTop w:val="0"/>
          <w:marBottom w:val="0"/>
          <w:divBdr>
            <w:top w:val="none" w:sz="0" w:space="0" w:color="auto"/>
            <w:left w:val="none" w:sz="0" w:space="0" w:color="auto"/>
            <w:bottom w:val="none" w:sz="0" w:space="0" w:color="auto"/>
            <w:right w:val="none" w:sz="0" w:space="0" w:color="auto"/>
          </w:divBdr>
        </w:div>
        <w:div w:id="568081277">
          <w:marLeft w:val="0"/>
          <w:marRight w:val="0"/>
          <w:marTop w:val="0"/>
          <w:marBottom w:val="0"/>
          <w:divBdr>
            <w:top w:val="none" w:sz="0" w:space="0" w:color="auto"/>
            <w:left w:val="none" w:sz="0" w:space="0" w:color="auto"/>
            <w:bottom w:val="none" w:sz="0" w:space="0" w:color="auto"/>
            <w:right w:val="none" w:sz="0" w:space="0" w:color="auto"/>
          </w:divBdr>
        </w:div>
        <w:div w:id="1166559189">
          <w:marLeft w:val="0"/>
          <w:marRight w:val="0"/>
          <w:marTop w:val="0"/>
          <w:marBottom w:val="0"/>
          <w:divBdr>
            <w:top w:val="none" w:sz="0" w:space="0" w:color="auto"/>
            <w:left w:val="none" w:sz="0" w:space="0" w:color="auto"/>
            <w:bottom w:val="none" w:sz="0" w:space="0" w:color="auto"/>
            <w:right w:val="none" w:sz="0" w:space="0" w:color="auto"/>
          </w:divBdr>
        </w:div>
        <w:div w:id="1394162483">
          <w:marLeft w:val="0"/>
          <w:marRight w:val="0"/>
          <w:marTop w:val="0"/>
          <w:marBottom w:val="0"/>
          <w:divBdr>
            <w:top w:val="none" w:sz="0" w:space="0" w:color="auto"/>
            <w:left w:val="none" w:sz="0" w:space="0" w:color="auto"/>
            <w:bottom w:val="none" w:sz="0" w:space="0" w:color="auto"/>
            <w:right w:val="none" w:sz="0" w:space="0" w:color="auto"/>
          </w:divBdr>
        </w:div>
      </w:divsChild>
    </w:div>
    <w:div w:id="931280750">
      <w:bodyDiv w:val="1"/>
      <w:marLeft w:val="0"/>
      <w:marRight w:val="0"/>
      <w:marTop w:val="0"/>
      <w:marBottom w:val="0"/>
      <w:divBdr>
        <w:top w:val="none" w:sz="0" w:space="0" w:color="auto"/>
        <w:left w:val="none" w:sz="0" w:space="0" w:color="auto"/>
        <w:bottom w:val="none" w:sz="0" w:space="0" w:color="auto"/>
        <w:right w:val="none" w:sz="0" w:space="0" w:color="auto"/>
      </w:divBdr>
    </w:div>
    <w:div w:id="976373852">
      <w:bodyDiv w:val="1"/>
      <w:marLeft w:val="0"/>
      <w:marRight w:val="0"/>
      <w:marTop w:val="0"/>
      <w:marBottom w:val="0"/>
      <w:divBdr>
        <w:top w:val="none" w:sz="0" w:space="0" w:color="auto"/>
        <w:left w:val="none" w:sz="0" w:space="0" w:color="auto"/>
        <w:bottom w:val="none" w:sz="0" w:space="0" w:color="auto"/>
        <w:right w:val="none" w:sz="0" w:space="0" w:color="auto"/>
      </w:divBdr>
      <w:divsChild>
        <w:div w:id="1957910720">
          <w:marLeft w:val="0"/>
          <w:marRight w:val="0"/>
          <w:marTop w:val="0"/>
          <w:marBottom w:val="0"/>
          <w:divBdr>
            <w:top w:val="none" w:sz="0" w:space="0" w:color="auto"/>
            <w:left w:val="none" w:sz="0" w:space="0" w:color="auto"/>
            <w:bottom w:val="none" w:sz="0" w:space="0" w:color="auto"/>
            <w:right w:val="none" w:sz="0" w:space="0" w:color="auto"/>
          </w:divBdr>
        </w:div>
        <w:div w:id="1664814442">
          <w:marLeft w:val="0"/>
          <w:marRight w:val="0"/>
          <w:marTop w:val="0"/>
          <w:marBottom w:val="0"/>
          <w:divBdr>
            <w:top w:val="none" w:sz="0" w:space="0" w:color="auto"/>
            <w:left w:val="none" w:sz="0" w:space="0" w:color="auto"/>
            <w:bottom w:val="none" w:sz="0" w:space="0" w:color="auto"/>
            <w:right w:val="none" w:sz="0" w:space="0" w:color="auto"/>
          </w:divBdr>
        </w:div>
        <w:div w:id="650721212">
          <w:marLeft w:val="0"/>
          <w:marRight w:val="0"/>
          <w:marTop w:val="0"/>
          <w:marBottom w:val="0"/>
          <w:divBdr>
            <w:top w:val="none" w:sz="0" w:space="0" w:color="auto"/>
            <w:left w:val="none" w:sz="0" w:space="0" w:color="auto"/>
            <w:bottom w:val="none" w:sz="0" w:space="0" w:color="auto"/>
            <w:right w:val="none" w:sz="0" w:space="0" w:color="auto"/>
          </w:divBdr>
        </w:div>
      </w:divsChild>
    </w:div>
    <w:div w:id="984285987">
      <w:bodyDiv w:val="1"/>
      <w:marLeft w:val="0"/>
      <w:marRight w:val="0"/>
      <w:marTop w:val="0"/>
      <w:marBottom w:val="0"/>
      <w:divBdr>
        <w:top w:val="none" w:sz="0" w:space="0" w:color="auto"/>
        <w:left w:val="none" w:sz="0" w:space="0" w:color="auto"/>
        <w:bottom w:val="none" w:sz="0" w:space="0" w:color="auto"/>
        <w:right w:val="none" w:sz="0" w:space="0" w:color="auto"/>
      </w:divBdr>
    </w:div>
    <w:div w:id="1035038088">
      <w:bodyDiv w:val="1"/>
      <w:marLeft w:val="0"/>
      <w:marRight w:val="0"/>
      <w:marTop w:val="0"/>
      <w:marBottom w:val="0"/>
      <w:divBdr>
        <w:top w:val="none" w:sz="0" w:space="0" w:color="auto"/>
        <w:left w:val="none" w:sz="0" w:space="0" w:color="auto"/>
        <w:bottom w:val="none" w:sz="0" w:space="0" w:color="auto"/>
        <w:right w:val="none" w:sz="0" w:space="0" w:color="auto"/>
      </w:divBdr>
    </w:div>
    <w:div w:id="1097561767">
      <w:bodyDiv w:val="1"/>
      <w:marLeft w:val="0"/>
      <w:marRight w:val="0"/>
      <w:marTop w:val="0"/>
      <w:marBottom w:val="0"/>
      <w:divBdr>
        <w:top w:val="none" w:sz="0" w:space="0" w:color="auto"/>
        <w:left w:val="none" w:sz="0" w:space="0" w:color="auto"/>
        <w:bottom w:val="none" w:sz="0" w:space="0" w:color="auto"/>
        <w:right w:val="none" w:sz="0" w:space="0" w:color="auto"/>
      </w:divBdr>
    </w:div>
    <w:div w:id="1158309065">
      <w:bodyDiv w:val="1"/>
      <w:marLeft w:val="0"/>
      <w:marRight w:val="0"/>
      <w:marTop w:val="0"/>
      <w:marBottom w:val="0"/>
      <w:divBdr>
        <w:top w:val="none" w:sz="0" w:space="0" w:color="auto"/>
        <w:left w:val="none" w:sz="0" w:space="0" w:color="auto"/>
        <w:bottom w:val="none" w:sz="0" w:space="0" w:color="auto"/>
        <w:right w:val="none" w:sz="0" w:space="0" w:color="auto"/>
      </w:divBdr>
    </w:div>
    <w:div w:id="1224675533">
      <w:bodyDiv w:val="1"/>
      <w:marLeft w:val="0"/>
      <w:marRight w:val="0"/>
      <w:marTop w:val="0"/>
      <w:marBottom w:val="0"/>
      <w:divBdr>
        <w:top w:val="none" w:sz="0" w:space="0" w:color="auto"/>
        <w:left w:val="none" w:sz="0" w:space="0" w:color="auto"/>
        <w:bottom w:val="none" w:sz="0" w:space="0" w:color="auto"/>
        <w:right w:val="none" w:sz="0" w:space="0" w:color="auto"/>
      </w:divBdr>
    </w:div>
    <w:div w:id="1248879131">
      <w:bodyDiv w:val="1"/>
      <w:marLeft w:val="0"/>
      <w:marRight w:val="0"/>
      <w:marTop w:val="0"/>
      <w:marBottom w:val="0"/>
      <w:divBdr>
        <w:top w:val="none" w:sz="0" w:space="0" w:color="auto"/>
        <w:left w:val="none" w:sz="0" w:space="0" w:color="auto"/>
        <w:bottom w:val="none" w:sz="0" w:space="0" w:color="auto"/>
        <w:right w:val="none" w:sz="0" w:space="0" w:color="auto"/>
      </w:divBdr>
      <w:divsChild>
        <w:div w:id="1429932262">
          <w:marLeft w:val="274"/>
          <w:marRight w:val="0"/>
          <w:marTop w:val="0"/>
          <w:marBottom w:val="0"/>
          <w:divBdr>
            <w:top w:val="none" w:sz="0" w:space="0" w:color="auto"/>
            <w:left w:val="none" w:sz="0" w:space="0" w:color="auto"/>
            <w:bottom w:val="none" w:sz="0" w:space="0" w:color="auto"/>
            <w:right w:val="none" w:sz="0" w:space="0" w:color="auto"/>
          </w:divBdr>
        </w:div>
        <w:div w:id="1871408755">
          <w:marLeft w:val="274"/>
          <w:marRight w:val="0"/>
          <w:marTop w:val="0"/>
          <w:marBottom w:val="0"/>
          <w:divBdr>
            <w:top w:val="none" w:sz="0" w:space="0" w:color="auto"/>
            <w:left w:val="none" w:sz="0" w:space="0" w:color="auto"/>
            <w:bottom w:val="none" w:sz="0" w:space="0" w:color="auto"/>
            <w:right w:val="none" w:sz="0" w:space="0" w:color="auto"/>
          </w:divBdr>
        </w:div>
        <w:div w:id="416900673">
          <w:marLeft w:val="274"/>
          <w:marRight w:val="0"/>
          <w:marTop w:val="0"/>
          <w:marBottom w:val="0"/>
          <w:divBdr>
            <w:top w:val="none" w:sz="0" w:space="0" w:color="auto"/>
            <w:left w:val="none" w:sz="0" w:space="0" w:color="auto"/>
            <w:bottom w:val="none" w:sz="0" w:space="0" w:color="auto"/>
            <w:right w:val="none" w:sz="0" w:space="0" w:color="auto"/>
          </w:divBdr>
        </w:div>
        <w:div w:id="1788115380">
          <w:marLeft w:val="274"/>
          <w:marRight w:val="0"/>
          <w:marTop w:val="0"/>
          <w:marBottom w:val="0"/>
          <w:divBdr>
            <w:top w:val="none" w:sz="0" w:space="0" w:color="auto"/>
            <w:left w:val="none" w:sz="0" w:space="0" w:color="auto"/>
            <w:bottom w:val="none" w:sz="0" w:space="0" w:color="auto"/>
            <w:right w:val="none" w:sz="0" w:space="0" w:color="auto"/>
          </w:divBdr>
        </w:div>
        <w:div w:id="2085249840">
          <w:marLeft w:val="274"/>
          <w:marRight w:val="0"/>
          <w:marTop w:val="0"/>
          <w:marBottom w:val="0"/>
          <w:divBdr>
            <w:top w:val="none" w:sz="0" w:space="0" w:color="auto"/>
            <w:left w:val="none" w:sz="0" w:space="0" w:color="auto"/>
            <w:bottom w:val="none" w:sz="0" w:space="0" w:color="auto"/>
            <w:right w:val="none" w:sz="0" w:space="0" w:color="auto"/>
          </w:divBdr>
        </w:div>
        <w:div w:id="1409621435">
          <w:marLeft w:val="274"/>
          <w:marRight w:val="0"/>
          <w:marTop w:val="0"/>
          <w:marBottom w:val="0"/>
          <w:divBdr>
            <w:top w:val="none" w:sz="0" w:space="0" w:color="auto"/>
            <w:left w:val="none" w:sz="0" w:space="0" w:color="auto"/>
            <w:bottom w:val="none" w:sz="0" w:space="0" w:color="auto"/>
            <w:right w:val="none" w:sz="0" w:space="0" w:color="auto"/>
          </w:divBdr>
        </w:div>
        <w:div w:id="245118934">
          <w:marLeft w:val="274"/>
          <w:marRight w:val="0"/>
          <w:marTop w:val="0"/>
          <w:marBottom w:val="0"/>
          <w:divBdr>
            <w:top w:val="none" w:sz="0" w:space="0" w:color="auto"/>
            <w:left w:val="none" w:sz="0" w:space="0" w:color="auto"/>
            <w:bottom w:val="none" w:sz="0" w:space="0" w:color="auto"/>
            <w:right w:val="none" w:sz="0" w:space="0" w:color="auto"/>
          </w:divBdr>
        </w:div>
        <w:div w:id="552423543">
          <w:marLeft w:val="274"/>
          <w:marRight w:val="0"/>
          <w:marTop w:val="0"/>
          <w:marBottom w:val="0"/>
          <w:divBdr>
            <w:top w:val="none" w:sz="0" w:space="0" w:color="auto"/>
            <w:left w:val="none" w:sz="0" w:space="0" w:color="auto"/>
            <w:bottom w:val="none" w:sz="0" w:space="0" w:color="auto"/>
            <w:right w:val="none" w:sz="0" w:space="0" w:color="auto"/>
          </w:divBdr>
        </w:div>
        <w:div w:id="1802645885">
          <w:marLeft w:val="274"/>
          <w:marRight w:val="0"/>
          <w:marTop w:val="0"/>
          <w:marBottom w:val="0"/>
          <w:divBdr>
            <w:top w:val="none" w:sz="0" w:space="0" w:color="auto"/>
            <w:left w:val="none" w:sz="0" w:space="0" w:color="auto"/>
            <w:bottom w:val="none" w:sz="0" w:space="0" w:color="auto"/>
            <w:right w:val="none" w:sz="0" w:space="0" w:color="auto"/>
          </w:divBdr>
        </w:div>
        <w:div w:id="1643731218">
          <w:marLeft w:val="274"/>
          <w:marRight w:val="0"/>
          <w:marTop w:val="0"/>
          <w:marBottom w:val="0"/>
          <w:divBdr>
            <w:top w:val="none" w:sz="0" w:space="0" w:color="auto"/>
            <w:left w:val="none" w:sz="0" w:space="0" w:color="auto"/>
            <w:bottom w:val="none" w:sz="0" w:space="0" w:color="auto"/>
            <w:right w:val="none" w:sz="0" w:space="0" w:color="auto"/>
          </w:divBdr>
        </w:div>
        <w:div w:id="289408637">
          <w:marLeft w:val="274"/>
          <w:marRight w:val="0"/>
          <w:marTop w:val="0"/>
          <w:marBottom w:val="0"/>
          <w:divBdr>
            <w:top w:val="none" w:sz="0" w:space="0" w:color="auto"/>
            <w:left w:val="none" w:sz="0" w:space="0" w:color="auto"/>
            <w:bottom w:val="none" w:sz="0" w:space="0" w:color="auto"/>
            <w:right w:val="none" w:sz="0" w:space="0" w:color="auto"/>
          </w:divBdr>
        </w:div>
        <w:div w:id="1310400096">
          <w:marLeft w:val="274"/>
          <w:marRight w:val="0"/>
          <w:marTop w:val="0"/>
          <w:marBottom w:val="0"/>
          <w:divBdr>
            <w:top w:val="none" w:sz="0" w:space="0" w:color="auto"/>
            <w:left w:val="none" w:sz="0" w:space="0" w:color="auto"/>
            <w:bottom w:val="none" w:sz="0" w:space="0" w:color="auto"/>
            <w:right w:val="none" w:sz="0" w:space="0" w:color="auto"/>
          </w:divBdr>
        </w:div>
        <w:div w:id="1250383099">
          <w:marLeft w:val="274"/>
          <w:marRight w:val="0"/>
          <w:marTop w:val="0"/>
          <w:marBottom w:val="0"/>
          <w:divBdr>
            <w:top w:val="none" w:sz="0" w:space="0" w:color="auto"/>
            <w:left w:val="none" w:sz="0" w:space="0" w:color="auto"/>
            <w:bottom w:val="none" w:sz="0" w:space="0" w:color="auto"/>
            <w:right w:val="none" w:sz="0" w:space="0" w:color="auto"/>
          </w:divBdr>
        </w:div>
        <w:div w:id="2071267100">
          <w:marLeft w:val="274"/>
          <w:marRight w:val="0"/>
          <w:marTop w:val="0"/>
          <w:marBottom w:val="0"/>
          <w:divBdr>
            <w:top w:val="none" w:sz="0" w:space="0" w:color="auto"/>
            <w:left w:val="none" w:sz="0" w:space="0" w:color="auto"/>
            <w:bottom w:val="none" w:sz="0" w:space="0" w:color="auto"/>
            <w:right w:val="none" w:sz="0" w:space="0" w:color="auto"/>
          </w:divBdr>
        </w:div>
        <w:div w:id="927693914">
          <w:marLeft w:val="274"/>
          <w:marRight w:val="0"/>
          <w:marTop w:val="0"/>
          <w:marBottom w:val="0"/>
          <w:divBdr>
            <w:top w:val="none" w:sz="0" w:space="0" w:color="auto"/>
            <w:left w:val="none" w:sz="0" w:space="0" w:color="auto"/>
            <w:bottom w:val="none" w:sz="0" w:space="0" w:color="auto"/>
            <w:right w:val="none" w:sz="0" w:space="0" w:color="auto"/>
          </w:divBdr>
        </w:div>
        <w:div w:id="250697480">
          <w:marLeft w:val="274"/>
          <w:marRight w:val="0"/>
          <w:marTop w:val="0"/>
          <w:marBottom w:val="0"/>
          <w:divBdr>
            <w:top w:val="none" w:sz="0" w:space="0" w:color="auto"/>
            <w:left w:val="none" w:sz="0" w:space="0" w:color="auto"/>
            <w:bottom w:val="none" w:sz="0" w:space="0" w:color="auto"/>
            <w:right w:val="none" w:sz="0" w:space="0" w:color="auto"/>
          </w:divBdr>
        </w:div>
      </w:divsChild>
    </w:div>
    <w:div w:id="1254433202">
      <w:bodyDiv w:val="1"/>
      <w:marLeft w:val="0"/>
      <w:marRight w:val="0"/>
      <w:marTop w:val="0"/>
      <w:marBottom w:val="0"/>
      <w:divBdr>
        <w:top w:val="none" w:sz="0" w:space="0" w:color="auto"/>
        <w:left w:val="none" w:sz="0" w:space="0" w:color="auto"/>
        <w:bottom w:val="none" w:sz="0" w:space="0" w:color="auto"/>
        <w:right w:val="none" w:sz="0" w:space="0" w:color="auto"/>
      </w:divBdr>
    </w:div>
    <w:div w:id="1256861931">
      <w:bodyDiv w:val="1"/>
      <w:marLeft w:val="0"/>
      <w:marRight w:val="0"/>
      <w:marTop w:val="0"/>
      <w:marBottom w:val="0"/>
      <w:divBdr>
        <w:top w:val="none" w:sz="0" w:space="0" w:color="auto"/>
        <w:left w:val="none" w:sz="0" w:space="0" w:color="auto"/>
        <w:bottom w:val="none" w:sz="0" w:space="0" w:color="auto"/>
        <w:right w:val="none" w:sz="0" w:space="0" w:color="auto"/>
      </w:divBdr>
    </w:div>
    <w:div w:id="1287855003">
      <w:bodyDiv w:val="1"/>
      <w:marLeft w:val="0"/>
      <w:marRight w:val="0"/>
      <w:marTop w:val="0"/>
      <w:marBottom w:val="0"/>
      <w:divBdr>
        <w:top w:val="none" w:sz="0" w:space="0" w:color="auto"/>
        <w:left w:val="none" w:sz="0" w:space="0" w:color="auto"/>
        <w:bottom w:val="none" w:sz="0" w:space="0" w:color="auto"/>
        <w:right w:val="none" w:sz="0" w:space="0" w:color="auto"/>
      </w:divBdr>
    </w:div>
    <w:div w:id="1312826992">
      <w:bodyDiv w:val="1"/>
      <w:marLeft w:val="0"/>
      <w:marRight w:val="0"/>
      <w:marTop w:val="0"/>
      <w:marBottom w:val="0"/>
      <w:divBdr>
        <w:top w:val="none" w:sz="0" w:space="0" w:color="auto"/>
        <w:left w:val="none" w:sz="0" w:space="0" w:color="auto"/>
        <w:bottom w:val="none" w:sz="0" w:space="0" w:color="auto"/>
        <w:right w:val="none" w:sz="0" w:space="0" w:color="auto"/>
      </w:divBdr>
    </w:div>
    <w:div w:id="1344551368">
      <w:bodyDiv w:val="1"/>
      <w:marLeft w:val="0"/>
      <w:marRight w:val="0"/>
      <w:marTop w:val="0"/>
      <w:marBottom w:val="0"/>
      <w:divBdr>
        <w:top w:val="none" w:sz="0" w:space="0" w:color="auto"/>
        <w:left w:val="none" w:sz="0" w:space="0" w:color="auto"/>
        <w:bottom w:val="none" w:sz="0" w:space="0" w:color="auto"/>
        <w:right w:val="none" w:sz="0" w:space="0" w:color="auto"/>
      </w:divBdr>
    </w:div>
    <w:div w:id="1345401609">
      <w:bodyDiv w:val="1"/>
      <w:marLeft w:val="0"/>
      <w:marRight w:val="0"/>
      <w:marTop w:val="0"/>
      <w:marBottom w:val="0"/>
      <w:divBdr>
        <w:top w:val="none" w:sz="0" w:space="0" w:color="auto"/>
        <w:left w:val="none" w:sz="0" w:space="0" w:color="auto"/>
        <w:bottom w:val="none" w:sz="0" w:space="0" w:color="auto"/>
        <w:right w:val="none" w:sz="0" w:space="0" w:color="auto"/>
      </w:divBdr>
    </w:div>
    <w:div w:id="1377655785">
      <w:bodyDiv w:val="1"/>
      <w:marLeft w:val="0"/>
      <w:marRight w:val="0"/>
      <w:marTop w:val="0"/>
      <w:marBottom w:val="0"/>
      <w:divBdr>
        <w:top w:val="none" w:sz="0" w:space="0" w:color="auto"/>
        <w:left w:val="none" w:sz="0" w:space="0" w:color="auto"/>
        <w:bottom w:val="none" w:sz="0" w:space="0" w:color="auto"/>
        <w:right w:val="none" w:sz="0" w:space="0" w:color="auto"/>
      </w:divBdr>
      <w:divsChild>
        <w:div w:id="308441677">
          <w:marLeft w:val="0"/>
          <w:marRight w:val="0"/>
          <w:marTop w:val="0"/>
          <w:marBottom w:val="0"/>
          <w:divBdr>
            <w:top w:val="none" w:sz="0" w:space="0" w:color="auto"/>
            <w:left w:val="none" w:sz="0" w:space="0" w:color="auto"/>
            <w:bottom w:val="none" w:sz="0" w:space="0" w:color="auto"/>
            <w:right w:val="none" w:sz="0" w:space="0" w:color="auto"/>
          </w:divBdr>
        </w:div>
        <w:div w:id="726535509">
          <w:marLeft w:val="0"/>
          <w:marRight w:val="0"/>
          <w:marTop w:val="0"/>
          <w:marBottom w:val="0"/>
          <w:divBdr>
            <w:top w:val="none" w:sz="0" w:space="0" w:color="auto"/>
            <w:left w:val="none" w:sz="0" w:space="0" w:color="auto"/>
            <w:bottom w:val="none" w:sz="0" w:space="0" w:color="auto"/>
            <w:right w:val="none" w:sz="0" w:space="0" w:color="auto"/>
          </w:divBdr>
        </w:div>
        <w:div w:id="177741047">
          <w:marLeft w:val="0"/>
          <w:marRight w:val="0"/>
          <w:marTop w:val="0"/>
          <w:marBottom w:val="0"/>
          <w:divBdr>
            <w:top w:val="none" w:sz="0" w:space="0" w:color="auto"/>
            <w:left w:val="none" w:sz="0" w:space="0" w:color="auto"/>
            <w:bottom w:val="none" w:sz="0" w:space="0" w:color="auto"/>
            <w:right w:val="none" w:sz="0" w:space="0" w:color="auto"/>
          </w:divBdr>
        </w:div>
      </w:divsChild>
    </w:div>
    <w:div w:id="1455248244">
      <w:bodyDiv w:val="1"/>
      <w:marLeft w:val="0"/>
      <w:marRight w:val="0"/>
      <w:marTop w:val="0"/>
      <w:marBottom w:val="0"/>
      <w:divBdr>
        <w:top w:val="none" w:sz="0" w:space="0" w:color="auto"/>
        <w:left w:val="none" w:sz="0" w:space="0" w:color="auto"/>
        <w:bottom w:val="none" w:sz="0" w:space="0" w:color="auto"/>
        <w:right w:val="none" w:sz="0" w:space="0" w:color="auto"/>
      </w:divBdr>
    </w:div>
    <w:div w:id="1518612951">
      <w:bodyDiv w:val="1"/>
      <w:marLeft w:val="0"/>
      <w:marRight w:val="0"/>
      <w:marTop w:val="0"/>
      <w:marBottom w:val="0"/>
      <w:divBdr>
        <w:top w:val="none" w:sz="0" w:space="0" w:color="auto"/>
        <w:left w:val="none" w:sz="0" w:space="0" w:color="auto"/>
        <w:bottom w:val="none" w:sz="0" w:space="0" w:color="auto"/>
        <w:right w:val="none" w:sz="0" w:space="0" w:color="auto"/>
      </w:divBdr>
    </w:div>
    <w:div w:id="1551378557">
      <w:bodyDiv w:val="1"/>
      <w:marLeft w:val="0"/>
      <w:marRight w:val="0"/>
      <w:marTop w:val="0"/>
      <w:marBottom w:val="0"/>
      <w:divBdr>
        <w:top w:val="none" w:sz="0" w:space="0" w:color="auto"/>
        <w:left w:val="none" w:sz="0" w:space="0" w:color="auto"/>
        <w:bottom w:val="none" w:sz="0" w:space="0" w:color="auto"/>
        <w:right w:val="none" w:sz="0" w:space="0" w:color="auto"/>
      </w:divBdr>
    </w:div>
    <w:div w:id="1610359077">
      <w:bodyDiv w:val="1"/>
      <w:marLeft w:val="0"/>
      <w:marRight w:val="0"/>
      <w:marTop w:val="0"/>
      <w:marBottom w:val="0"/>
      <w:divBdr>
        <w:top w:val="none" w:sz="0" w:space="0" w:color="auto"/>
        <w:left w:val="none" w:sz="0" w:space="0" w:color="auto"/>
        <w:bottom w:val="none" w:sz="0" w:space="0" w:color="auto"/>
        <w:right w:val="none" w:sz="0" w:space="0" w:color="auto"/>
      </w:divBdr>
    </w:div>
    <w:div w:id="1776438168">
      <w:bodyDiv w:val="1"/>
      <w:marLeft w:val="0"/>
      <w:marRight w:val="0"/>
      <w:marTop w:val="0"/>
      <w:marBottom w:val="0"/>
      <w:divBdr>
        <w:top w:val="none" w:sz="0" w:space="0" w:color="auto"/>
        <w:left w:val="none" w:sz="0" w:space="0" w:color="auto"/>
        <w:bottom w:val="none" w:sz="0" w:space="0" w:color="auto"/>
        <w:right w:val="none" w:sz="0" w:space="0" w:color="auto"/>
      </w:divBdr>
    </w:div>
    <w:div w:id="1798833650">
      <w:bodyDiv w:val="1"/>
      <w:marLeft w:val="0"/>
      <w:marRight w:val="0"/>
      <w:marTop w:val="0"/>
      <w:marBottom w:val="0"/>
      <w:divBdr>
        <w:top w:val="none" w:sz="0" w:space="0" w:color="auto"/>
        <w:left w:val="none" w:sz="0" w:space="0" w:color="auto"/>
        <w:bottom w:val="none" w:sz="0" w:space="0" w:color="auto"/>
        <w:right w:val="none" w:sz="0" w:space="0" w:color="auto"/>
      </w:divBdr>
    </w:div>
    <w:div w:id="1919513614">
      <w:bodyDiv w:val="1"/>
      <w:marLeft w:val="0"/>
      <w:marRight w:val="0"/>
      <w:marTop w:val="0"/>
      <w:marBottom w:val="0"/>
      <w:divBdr>
        <w:top w:val="none" w:sz="0" w:space="0" w:color="auto"/>
        <w:left w:val="none" w:sz="0" w:space="0" w:color="auto"/>
        <w:bottom w:val="none" w:sz="0" w:space="0" w:color="auto"/>
        <w:right w:val="none" w:sz="0" w:space="0" w:color="auto"/>
      </w:divBdr>
    </w:div>
    <w:div w:id="2071805251">
      <w:bodyDiv w:val="1"/>
      <w:marLeft w:val="0"/>
      <w:marRight w:val="0"/>
      <w:marTop w:val="0"/>
      <w:marBottom w:val="0"/>
      <w:divBdr>
        <w:top w:val="none" w:sz="0" w:space="0" w:color="auto"/>
        <w:left w:val="none" w:sz="0" w:space="0" w:color="auto"/>
        <w:bottom w:val="none" w:sz="0" w:space="0" w:color="auto"/>
        <w:right w:val="none" w:sz="0" w:space="0" w:color="auto"/>
      </w:divBdr>
    </w:div>
    <w:div w:id="2130003826">
      <w:bodyDiv w:val="1"/>
      <w:marLeft w:val="0"/>
      <w:marRight w:val="0"/>
      <w:marTop w:val="0"/>
      <w:marBottom w:val="0"/>
      <w:divBdr>
        <w:top w:val="none" w:sz="0" w:space="0" w:color="auto"/>
        <w:left w:val="none" w:sz="0" w:space="0" w:color="auto"/>
        <w:bottom w:val="none" w:sz="0" w:space="0" w:color="auto"/>
        <w:right w:val="none" w:sz="0" w:space="0" w:color="auto"/>
      </w:divBdr>
      <w:divsChild>
        <w:div w:id="365714947">
          <w:marLeft w:val="0"/>
          <w:marRight w:val="0"/>
          <w:marTop w:val="0"/>
          <w:marBottom w:val="0"/>
          <w:divBdr>
            <w:top w:val="none" w:sz="0" w:space="0" w:color="auto"/>
            <w:left w:val="none" w:sz="0" w:space="0" w:color="auto"/>
            <w:bottom w:val="none" w:sz="0" w:space="0" w:color="auto"/>
            <w:right w:val="none" w:sz="0" w:space="0" w:color="auto"/>
          </w:divBdr>
        </w:div>
        <w:div w:id="1013072609">
          <w:marLeft w:val="0"/>
          <w:marRight w:val="0"/>
          <w:marTop w:val="0"/>
          <w:marBottom w:val="0"/>
          <w:divBdr>
            <w:top w:val="none" w:sz="0" w:space="0" w:color="auto"/>
            <w:left w:val="none" w:sz="0" w:space="0" w:color="auto"/>
            <w:bottom w:val="none" w:sz="0" w:space="0" w:color="auto"/>
            <w:right w:val="none" w:sz="0" w:space="0" w:color="auto"/>
          </w:divBdr>
        </w:div>
        <w:div w:id="1544363646">
          <w:marLeft w:val="0"/>
          <w:marRight w:val="0"/>
          <w:marTop w:val="0"/>
          <w:marBottom w:val="0"/>
          <w:divBdr>
            <w:top w:val="none" w:sz="0" w:space="0" w:color="auto"/>
            <w:left w:val="none" w:sz="0" w:space="0" w:color="auto"/>
            <w:bottom w:val="none" w:sz="0" w:space="0" w:color="auto"/>
            <w:right w:val="none" w:sz="0" w:space="0" w:color="auto"/>
          </w:divBdr>
        </w:div>
        <w:div w:id="1575698668">
          <w:marLeft w:val="0"/>
          <w:marRight w:val="0"/>
          <w:marTop w:val="0"/>
          <w:marBottom w:val="0"/>
          <w:divBdr>
            <w:top w:val="none" w:sz="0" w:space="0" w:color="auto"/>
            <w:left w:val="none" w:sz="0" w:space="0" w:color="auto"/>
            <w:bottom w:val="none" w:sz="0" w:space="0" w:color="auto"/>
            <w:right w:val="none" w:sz="0" w:space="0" w:color="auto"/>
          </w:divBdr>
        </w:div>
        <w:div w:id="888876700">
          <w:marLeft w:val="0"/>
          <w:marRight w:val="0"/>
          <w:marTop w:val="0"/>
          <w:marBottom w:val="0"/>
          <w:divBdr>
            <w:top w:val="none" w:sz="0" w:space="0" w:color="auto"/>
            <w:left w:val="none" w:sz="0" w:space="0" w:color="auto"/>
            <w:bottom w:val="none" w:sz="0" w:space="0" w:color="auto"/>
            <w:right w:val="none" w:sz="0" w:space="0" w:color="auto"/>
          </w:divBdr>
        </w:div>
        <w:div w:id="692998983">
          <w:marLeft w:val="0"/>
          <w:marRight w:val="0"/>
          <w:marTop w:val="0"/>
          <w:marBottom w:val="0"/>
          <w:divBdr>
            <w:top w:val="none" w:sz="0" w:space="0" w:color="auto"/>
            <w:left w:val="none" w:sz="0" w:space="0" w:color="auto"/>
            <w:bottom w:val="none" w:sz="0" w:space="0" w:color="auto"/>
            <w:right w:val="none" w:sz="0" w:space="0" w:color="auto"/>
          </w:divBdr>
        </w:div>
        <w:div w:id="18295926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hyperlink" Target="https://www.hakom.hr/UserDocsImages/2015/odluke_rjesenja_presude/Odluka-Analiza%20tr%C5%BEi%C5%A1ta%20zavr%C5%A1avanja%20u%20nepokretnoj%20mre%C5%BEi%20M1_2014-20150330.pdf" TargetMode="External"/><Relationship Id="rId26" Type="http://schemas.openxmlformats.org/officeDocument/2006/relationships/hyperlink" Target="https://www.hakom.hr/UserDocsImages/2018/odluke_rjesenja_presude/Odluka-%20Uvjeti%20IP%20me&#273;upovezivanja_20180206_v%201.0.pdf" TargetMode="External"/><Relationship Id="rId39" Type="http://schemas.openxmlformats.org/officeDocument/2006/relationships/oleObject" Target="embeddings/oleObject2.bin"/><Relationship Id="rId21" Type="http://schemas.openxmlformats.org/officeDocument/2006/relationships/hyperlink" Target="https://www.hakom.hr/UserDocsImages/2016/odluke_rjesenja_presude/2_Odluka-OPR-originacija%20i%20FTR_kona&#269;na%20odluka-20160914.pdf" TargetMode="External"/><Relationship Id="rId34" Type="http://schemas.openxmlformats.org/officeDocument/2006/relationships/image" Target="media/image6.emf"/><Relationship Id="rId42" Type="http://schemas.openxmlformats.org/officeDocument/2006/relationships/footer" Target="footer5.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www.hakom.hr/UserDocsImages/2015/odluke_rjesenja_presude/Odluka-%20izmjena%20analiza%20ex%20M1%20M3a%20i%20M3b%20javne%20nabave-%2020151207.pdf" TargetMode="External"/><Relationship Id="rId29" Type="http://schemas.openxmlformats.org/officeDocument/2006/relationships/image" Target="media/image3.png"/><Relationship Id="rId41"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yperlink" Target="https://www.hakom.hr/UserDocsImages/2017/odluke_rjesenja_presude/Odluka%20-%20me&#273;upovezivanje%2020160302.pdf" TargetMode="External"/><Relationship Id="rId32" Type="http://schemas.openxmlformats.org/officeDocument/2006/relationships/chart" Target="charts/chart1.xml"/><Relationship Id="rId37" Type="http://schemas.openxmlformats.org/officeDocument/2006/relationships/oleObject" Target="embeddings/oleObject1.bin"/><Relationship Id="rId40" Type="http://schemas.openxmlformats.org/officeDocument/2006/relationships/image" Target="media/image9.emf"/><Relationship Id="rId5" Type="http://schemas.microsoft.com/office/2007/relationships/stylesWithEffects" Target="stylesWithEffects.xml"/><Relationship Id="rId15" Type="http://schemas.openxmlformats.org/officeDocument/2006/relationships/footer" Target="footer3.xml"/><Relationship Id="rId23" Type="http://schemas.openxmlformats.org/officeDocument/2006/relationships/hyperlink" Target="https://www.hakom.hr/UserDocsImages/2015/odluke_rjesenja_presude/Dokument%20Uvjeti%20%20IP%20medjupovezivanje%2020150528.pdf" TargetMode="External"/><Relationship Id="rId28" Type="http://schemas.openxmlformats.org/officeDocument/2006/relationships/hyperlink" Target="https://www.hakom.hr/UserDocsImages/2018/odluke_rjesenja_presude/Rjesenje-Terrakom-Tele2-EU%20pozivi-20180511.pdf" TargetMode="External"/><Relationship Id="rId36" Type="http://schemas.openxmlformats.org/officeDocument/2006/relationships/image" Target="media/image7.emf"/><Relationship Id="rId10" Type="http://schemas.openxmlformats.org/officeDocument/2006/relationships/footer" Target="footer1.xml"/><Relationship Id="rId19" Type="http://schemas.openxmlformats.org/officeDocument/2006/relationships/hyperlink" Target="https://www.hakom.hr/UserDocsImages/2015/odluke_rjesenja_presude/Dokument%20Analize%20tr&#382;i&#353;ta%20veleprodajnog%20zavr&#353;avanja%20poziva%20na%20fiksnoj%20lokaciji%20M1_2014-201500330.pdf" TargetMode="External"/><Relationship Id="rId31" Type="http://schemas.openxmlformats.org/officeDocument/2006/relationships/image" Target="media/image4.emf"/><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2.xml"/><Relationship Id="rId22" Type="http://schemas.openxmlformats.org/officeDocument/2006/relationships/hyperlink" Target="https://www.hakom.hr/UserDocsImages/2015/odluke_rjesenja_presude/Odluka-%20IP%20medjupovezivanje%2020150528.pdf" TargetMode="External"/><Relationship Id="rId27" Type="http://schemas.openxmlformats.org/officeDocument/2006/relationships/hyperlink" Target="https://www.hakom.hr/UserDocsImages/2016/odluke_rjesenja_presude/Rjesenje-spor%20Terrakom%20v%20%20H1%20obustava-20161114.pdf" TargetMode="External"/><Relationship Id="rId30" Type="http://schemas.openxmlformats.org/officeDocument/2006/relationships/image" Target="media/image4.png"/><Relationship Id="rId35" Type="http://schemas.openxmlformats.org/officeDocument/2006/relationships/package" Target="embeddings/Microsoft_Visio_Drawing1111111111111111111111111111111111111122211111111111111111111111111.vsdx"/><Relationship Id="rId43" Type="http://schemas.openxmlformats.org/officeDocument/2006/relationships/fontTable" Target="fontTable.xml"/><Relationship Id="rId8" Type="http://schemas.openxmlformats.org/officeDocument/2006/relationships/footnotes" Target="foot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yperlink" Target="https://www.hakom.hr/UserDocsImages/2017/odluke_rjesenja_presude/Uvjeti%20-me&#273;upovezivanje%2020170302.pdf" TargetMode="External"/><Relationship Id="rId33" Type="http://schemas.openxmlformats.org/officeDocument/2006/relationships/image" Target="media/image5.png"/><Relationship Id="rId38" Type="http://schemas.openxmlformats.org/officeDocument/2006/relationships/image" Target="media/image8.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charts/_rels/chart1.xml.rels><?xml version="1.0" encoding="UTF-8" standalone="yes"?>
<Relationships xmlns="http://schemas.openxmlformats.org/package/2006/relationships"><Relationship Id="rId2" Type="http://schemas.openxmlformats.org/officeDocument/2006/relationships/oleObject" Target="file:///D:\Prebacivanje%202017\Posao\ITU\2018\Izra&#269;uni%20za%20M1_2018.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6971238485213622E-2"/>
          <c:y val="9.1152816338391895E-2"/>
          <c:w val="0.92519910970763575"/>
          <c:h val="0.82684435968751446"/>
        </c:manualLayout>
      </c:layout>
      <c:barChart>
        <c:barDir val="col"/>
        <c:grouping val="percentStacked"/>
        <c:varyColors val="0"/>
        <c:ser>
          <c:idx val="0"/>
          <c:order val="0"/>
          <c:tx>
            <c:strRef>
              <c:f>UKUPNO!$E$73</c:f>
              <c:strCache>
                <c:ptCount val="1"/>
                <c:pt idx="0">
                  <c:v>HT</c:v>
                </c:pt>
              </c:strCache>
            </c:strRef>
          </c:tx>
          <c:spPr>
            <a:solidFill>
              <a:schemeClr val="accent1">
                <a:lumMod val="50000"/>
              </a:schemeClr>
            </a:solidFill>
            <a:scene3d>
              <a:camera prst="orthographicFront"/>
              <a:lightRig rig="threePt" dir="t"/>
            </a:scene3d>
            <a:sp3d>
              <a:bevelT/>
            </a:sp3d>
          </c:spPr>
          <c:invertIfNegative val="0"/>
          <c:dLbls>
            <c:dLbl>
              <c:idx val="6"/>
              <c:spPr>
                <a:scene3d>
                  <a:camera prst="orthographicFront"/>
                  <a:lightRig rig="threePt" dir="t"/>
                </a:scene3d>
                <a:sp3d>
                  <a:bevelB/>
                </a:sp3d>
              </c:spPr>
              <c:txPr>
                <a:bodyPr/>
                <a:lstStyle/>
                <a:p>
                  <a:pPr>
                    <a:defRPr sz="800" baseline="0">
                      <a:solidFill>
                        <a:schemeClr val="bg1"/>
                      </a:solidFill>
                    </a:defRPr>
                  </a:pPr>
                  <a:endParaRPr lang="en-US"/>
                </a:p>
              </c:txPr>
              <c:dLblPos val="ctr"/>
              <c:showLegendKey val="0"/>
              <c:showVal val="1"/>
              <c:showCatName val="0"/>
              <c:showSerName val="0"/>
              <c:showPercent val="0"/>
              <c:showBubbleSize val="0"/>
            </c:dLbl>
            <c:dLbl>
              <c:idx val="7"/>
              <c:spPr>
                <a:scene3d>
                  <a:camera prst="orthographicFront"/>
                  <a:lightRig rig="threePt" dir="t"/>
                </a:scene3d>
                <a:sp3d>
                  <a:bevelB/>
                </a:sp3d>
              </c:spPr>
              <c:txPr>
                <a:bodyPr/>
                <a:lstStyle/>
                <a:p>
                  <a:pPr>
                    <a:defRPr sz="800" baseline="0">
                      <a:solidFill>
                        <a:schemeClr val="bg1"/>
                      </a:solidFill>
                    </a:defRPr>
                  </a:pPr>
                  <a:endParaRPr lang="en-US"/>
                </a:p>
              </c:txPr>
              <c:dLblPos val="ctr"/>
              <c:showLegendKey val="0"/>
              <c:showVal val="1"/>
              <c:showCatName val="0"/>
              <c:showSerName val="0"/>
              <c:showPercent val="0"/>
              <c:showBubbleSize val="0"/>
            </c:dLbl>
            <c:spPr>
              <a:scene3d>
                <a:camera prst="orthographicFront"/>
                <a:lightRig rig="threePt" dir="t"/>
              </a:scene3d>
              <a:sp3d>
                <a:bevelB/>
              </a:sp3d>
            </c:spPr>
            <c:txPr>
              <a:bodyPr/>
              <a:lstStyle/>
              <a:p>
                <a:pPr>
                  <a:defRPr sz="800">
                    <a:solidFill>
                      <a:schemeClr val="bg1"/>
                    </a:solidFill>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UKUPNO!$F$47:$L$47</c:f>
              <c:strCache>
                <c:ptCount val="7"/>
                <c:pt idx="0">
                  <c:v>2014/2</c:v>
                </c:pt>
                <c:pt idx="1">
                  <c:v>2015/1</c:v>
                </c:pt>
                <c:pt idx="2">
                  <c:v>2015/2</c:v>
                </c:pt>
                <c:pt idx="3">
                  <c:v>2016/1</c:v>
                </c:pt>
                <c:pt idx="4">
                  <c:v>2016/2</c:v>
                </c:pt>
                <c:pt idx="5">
                  <c:v>2017/1</c:v>
                </c:pt>
                <c:pt idx="6">
                  <c:v>2017/2</c:v>
                </c:pt>
              </c:strCache>
            </c:strRef>
          </c:cat>
          <c:val>
            <c:numRef>
              <c:f>UKUPNO!$F$73:$L$73</c:f>
              <c:numCache>
                <c:formatCode>0.00%</c:formatCode>
                <c:ptCount val="7"/>
                <c:pt idx="0">
                  <c:v>0.69531918173708207</c:v>
                </c:pt>
                <c:pt idx="1">
                  <c:v>0.68339544325598767</c:v>
                </c:pt>
                <c:pt idx="2">
                  <c:v>0.67173545214583807</c:v>
                </c:pt>
                <c:pt idx="3">
                  <c:v>0.64846398119930948</c:v>
                </c:pt>
                <c:pt idx="4">
                  <c:v>0.63818566796158593</c:v>
                </c:pt>
                <c:pt idx="5">
                  <c:v>0.60862482031907805</c:v>
                </c:pt>
                <c:pt idx="6">
                  <c:v>0.61152972884767887</c:v>
                </c:pt>
              </c:numCache>
            </c:numRef>
          </c:val>
        </c:ser>
        <c:ser>
          <c:idx val="1"/>
          <c:order val="1"/>
          <c:tx>
            <c:strRef>
              <c:f>UKUPNO!$E$74</c:f>
              <c:strCache>
                <c:ptCount val="1"/>
                <c:pt idx="0">
                  <c:v>OSTALI</c:v>
                </c:pt>
              </c:strCache>
            </c:strRef>
          </c:tx>
          <c:spPr>
            <a:solidFill>
              <a:srgbClr val="C0504D"/>
            </a:solidFill>
            <a:scene3d>
              <a:camera prst="orthographicFront"/>
              <a:lightRig rig="threePt" dir="t"/>
            </a:scene3d>
            <a:sp3d>
              <a:bevelT/>
            </a:sp3d>
          </c:spPr>
          <c:invertIfNegative val="0"/>
          <c:dLbls>
            <c:spPr>
              <a:noFill/>
              <a:ln w="25400">
                <a:noFill/>
              </a:ln>
            </c:spPr>
            <c:txPr>
              <a:bodyPr/>
              <a:lstStyle/>
              <a:p>
                <a:pPr>
                  <a:defRPr sz="800" baseline="0">
                    <a:solidFill>
                      <a:schemeClr val="bg1"/>
                    </a:solidFill>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UKUPNO!$F$47:$L$47</c:f>
              <c:strCache>
                <c:ptCount val="7"/>
                <c:pt idx="0">
                  <c:v>2014/2</c:v>
                </c:pt>
                <c:pt idx="1">
                  <c:v>2015/1</c:v>
                </c:pt>
                <c:pt idx="2">
                  <c:v>2015/2</c:v>
                </c:pt>
                <c:pt idx="3">
                  <c:v>2016/1</c:v>
                </c:pt>
                <c:pt idx="4">
                  <c:v>2016/2</c:v>
                </c:pt>
                <c:pt idx="5">
                  <c:v>2017/1</c:v>
                </c:pt>
                <c:pt idx="6">
                  <c:v>2017/2</c:v>
                </c:pt>
              </c:strCache>
            </c:strRef>
          </c:cat>
          <c:val>
            <c:numRef>
              <c:f>UKUPNO!$F$74:$L$74</c:f>
              <c:numCache>
                <c:formatCode>0.00%</c:formatCode>
                <c:ptCount val="7"/>
                <c:pt idx="0">
                  <c:v>0.30468081826291793</c:v>
                </c:pt>
                <c:pt idx="1">
                  <c:v>0.31660455674401228</c:v>
                </c:pt>
                <c:pt idx="2">
                  <c:v>0.32826454785416193</c:v>
                </c:pt>
                <c:pt idx="3">
                  <c:v>0.35153601880069052</c:v>
                </c:pt>
                <c:pt idx="4">
                  <c:v>0.36181433203841407</c:v>
                </c:pt>
                <c:pt idx="5">
                  <c:v>0.39137517968092195</c:v>
                </c:pt>
                <c:pt idx="6">
                  <c:v>0.38847027115232119</c:v>
                </c:pt>
              </c:numCache>
            </c:numRef>
          </c:val>
        </c:ser>
        <c:dLbls>
          <c:showLegendKey val="0"/>
          <c:showVal val="0"/>
          <c:showCatName val="0"/>
          <c:showSerName val="0"/>
          <c:showPercent val="0"/>
          <c:showBubbleSize val="0"/>
        </c:dLbls>
        <c:gapWidth val="150"/>
        <c:overlap val="100"/>
        <c:axId val="217438720"/>
        <c:axId val="194492032"/>
      </c:barChart>
      <c:catAx>
        <c:axId val="217438720"/>
        <c:scaling>
          <c:orientation val="minMax"/>
        </c:scaling>
        <c:delete val="0"/>
        <c:axPos val="b"/>
        <c:numFmt formatCode="General" sourceLinked="1"/>
        <c:majorTickMark val="out"/>
        <c:minorTickMark val="none"/>
        <c:tickLblPos val="nextTo"/>
        <c:crossAx val="194492032"/>
        <c:crosses val="autoZero"/>
        <c:auto val="1"/>
        <c:lblAlgn val="ctr"/>
        <c:lblOffset val="100"/>
        <c:noMultiLvlLbl val="0"/>
      </c:catAx>
      <c:valAx>
        <c:axId val="194492032"/>
        <c:scaling>
          <c:orientation val="minMax"/>
          <c:min val="0"/>
        </c:scaling>
        <c:delete val="0"/>
        <c:axPos val="l"/>
        <c:majorGridlines/>
        <c:numFmt formatCode="0%" sourceLinked="0"/>
        <c:majorTickMark val="out"/>
        <c:minorTickMark val="none"/>
        <c:tickLblPos val="nextTo"/>
        <c:spPr>
          <a:ln cmpd="sng"/>
        </c:spPr>
        <c:crossAx val="217438720"/>
        <c:crosses val="autoZero"/>
        <c:crossBetween val="between"/>
      </c:valAx>
    </c:plotArea>
    <c:legend>
      <c:legendPos val="b"/>
      <c:layout>
        <c:manualLayout>
          <c:xMode val="edge"/>
          <c:yMode val="edge"/>
          <c:x val="0.38407022106631994"/>
          <c:y val="2.0772298714057395E-2"/>
          <c:w val="0.30145875783732501"/>
          <c:h val="9.1991329296128493E-2"/>
        </c:manualLayout>
      </c:layout>
      <c:overlay val="0"/>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2013-05-26T00:00:00</PublishDate>
  <Abstract>Hrvatska agencija za poštu i elektroničke komunikacije</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940B8B3-95C2-4B24-BF19-3735E4A16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18729</Words>
  <Characters>106758</Characters>
  <Application>Microsoft Office Word</Application>
  <DocSecurity>0</DocSecurity>
  <Lines>889</Lines>
  <Paragraphs>250</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125237</CharactersWithSpaces>
  <SharedDoc>false</SharedDoc>
  <HLinks>
    <vt:vector size="324" baseType="variant">
      <vt:variant>
        <vt:i4>2031664</vt:i4>
      </vt:variant>
      <vt:variant>
        <vt:i4>300</vt:i4>
      </vt:variant>
      <vt:variant>
        <vt:i4>0</vt:i4>
      </vt:variant>
      <vt:variant>
        <vt:i4>5</vt:i4>
      </vt:variant>
      <vt:variant>
        <vt:lpwstr/>
      </vt:variant>
      <vt:variant>
        <vt:lpwstr>_Toc180396856</vt:lpwstr>
      </vt:variant>
      <vt:variant>
        <vt:i4>1441848</vt:i4>
      </vt:variant>
      <vt:variant>
        <vt:i4>292</vt:i4>
      </vt:variant>
      <vt:variant>
        <vt:i4>0</vt:i4>
      </vt:variant>
      <vt:variant>
        <vt:i4>5</vt:i4>
      </vt:variant>
      <vt:variant>
        <vt:lpwstr/>
      </vt:variant>
      <vt:variant>
        <vt:lpwstr>_Toc357582435</vt:lpwstr>
      </vt:variant>
      <vt:variant>
        <vt:i4>1441848</vt:i4>
      </vt:variant>
      <vt:variant>
        <vt:i4>286</vt:i4>
      </vt:variant>
      <vt:variant>
        <vt:i4>0</vt:i4>
      </vt:variant>
      <vt:variant>
        <vt:i4>5</vt:i4>
      </vt:variant>
      <vt:variant>
        <vt:lpwstr/>
      </vt:variant>
      <vt:variant>
        <vt:lpwstr>_Toc357582434</vt:lpwstr>
      </vt:variant>
      <vt:variant>
        <vt:i4>1441848</vt:i4>
      </vt:variant>
      <vt:variant>
        <vt:i4>280</vt:i4>
      </vt:variant>
      <vt:variant>
        <vt:i4>0</vt:i4>
      </vt:variant>
      <vt:variant>
        <vt:i4>5</vt:i4>
      </vt:variant>
      <vt:variant>
        <vt:lpwstr/>
      </vt:variant>
      <vt:variant>
        <vt:lpwstr>_Toc357582433</vt:lpwstr>
      </vt:variant>
      <vt:variant>
        <vt:i4>1441848</vt:i4>
      </vt:variant>
      <vt:variant>
        <vt:i4>274</vt:i4>
      </vt:variant>
      <vt:variant>
        <vt:i4>0</vt:i4>
      </vt:variant>
      <vt:variant>
        <vt:i4>5</vt:i4>
      </vt:variant>
      <vt:variant>
        <vt:lpwstr/>
      </vt:variant>
      <vt:variant>
        <vt:lpwstr>_Toc357582432</vt:lpwstr>
      </vt:variant>
      <vt:variant>
        <vt:i4>1441848</vt:i4>
      </vt:variant>
      <vt:variant>
        <vt:i4>268</vt:i4>
      </vt:variant>
      <vt:variant>
        <vt:i4>0</vt:i4>
      </vt:variant>
      <vt:variant>
        <vt:i4>5</vt:i4>
      </vt:variant>
      <vt:variant>
        <vt:lpwstr/>
      </vt:variant>
      <vt:variant>
        <vt:lpwstr>_Toc357582431</vt:lpwstr>
      </vt:variant>
      <vt:variant>
        <vt:i4>1441848</vt:i4>
      </vt:variant>
      <vt:variant>
        <vt:i4>262</vt:i4>
      </vt:variant>
      <vt:variant>
        <vt:i4>0</vt:i4>
      </vt:variant>
      <vt:variant>
        <vt:i4>5</vt:i4>
      </vt:variant>
      <vt:variant>
        <vt:lpwstr/>
      </vt:variant>
      <vt:variant>
        <vt:lpwstr>_Toc357582430</vt:lpwstr>
      </vt:variant>
      <vt:variant>
        <vt:i4>1507384</vt:i4>
      </vt:variant>
      <vt:variant>
        <vt:i4>256</vt:i4>
      </vt:variant>
      <vt:variant>
        <vt:i4>0</vt:i4>
      </vt:variant>
      <vt:variant>
        <vt:i4>5</vt:i4>
      </vt:variant>
      <vt:variant>
        <vt:lpwstr/>
      </vt:variant>
      <vt:variant>
        <vt:lpwstr>_Toc357582429</vt:lpwstr>
      </vt:variant>
      <vt:variant>
        <vt:i4>1507384</vt:i4>
      </vt:variant>
      <vt:variant>
        <vt:i4>250</vt:i4>
      </vt:variant>
      <vt:variant>
        <vt:i4>0</vt:i4>
      </vt:variant>
      <vt:variant>
        <vt:i4>5</vt:i4>
      </vt:variant>
      <vt:variant>
        <vt:lpwstr/>
      </vt:variant>
      <vt:variant>
        <vt:lpwstr>_Toc357582428</vt:lpwstr>
      </vt:variant>
      <vt:variant>
        <vt:i4>1507384</vt:i4>
      </vt:variant>
      <vt:variant>
        <vt:i4>244</vt:i4>
      </vt:variant>
      <vt:variant>
        <vt:i4>0</vt:i4>
      </vt:variant>
      <vt:variant>
        <vt:i4>5</vt:i4>
      </vt:variant>
      <vt:variant>
        <vt:lpwstr/>
      </vt:variant>
      <vt:variant>
        <vt:lpwstr>_Toc357582427</vt:lpwstr>
      </vt:variant>
      <vt:variant>
        <vt:i4>1507384</vt:i4>
      </vt:variant>
      <vt:variant>
        <vt:i4>238</vt:i4>
      </vt:variant>
      <vt:variant>
        <vt:i4>0</vt:i4>
      </vt:variant>
      <vt:variant>
        <vt:i4>5</vt:i4>
      </vt:variant>
      <vt:variant>
        <vt:lpwstr/>
      </vt:variant>
      <vt:variant>
        <vt:lpwstr>_Toc357582426</vt:lpwstr>
      </vt:variant>
      <vt:variant>
        <vt:i4>1507384</vt:i4>
      </vt:variant>
      <vt:variant>
        <vt:i4>232</vt:i4>
      </vt:variant>
      <vt:variant>
        <vt:i4>0</vt:i4>
      </vt:variant>
      <vt:variant>
        <vt:i4>5</vt:i4>
      </vt:variant>
      <vt:variant>
        <vt:lpwstr/>
      </vt:variant>
      <vt:variant>
        <vt:lpwstr>_Toc357582425</vt:lpwstr>
      </vt:variant>
      <vt:variant>
        <vt:i4>1507384</vt:i4>
      </vt:variant>
      <vt:variant>
        <vt:i4>226</vt:i4>
      </vt:variant>
      <vt:variant>
        <vt:i4>0</vt:i4>
      </vt:variant>
      <vt:variant>
        <vt:i4>5</vt:i4>
      </vt:variant>
      <vt:variant>
        <vt:lpwstr/>
      </vt:variant>
      <vt:variant>
        <vt:lpwstr>_Toc357582424</vt:lpwstr>
      </vt:variant>
      <vt:variant>
        <vt:i4>1507384</vt:i4>
      </vt:variant>
      <vt:variant>
        <vt:i4>220</vt:i4>
      </vt:variant>
      <vt:variant>
        <vt:i4>0</vt:i4>
      </vt:variant>
      <vt:variant>
        <vt:i4>5</vt:i4>
      </vt:variant>
      <vt:variant>
        <vt:lpwstr/>
      </vt:variant>
      <vt:variant>
        <vt:lpwstr>_Toc357582423</vt:lpwstr>
      </vt:variant>
      <vt:variant>
        <vt:i4>1507384</vt:i4>
      </vt:variant>
      <vt:variant>
        <vt:i4>214</vt:i4>
      </vt:variant>
      <vt:variant>
        <vt:i4>0</vt:i4>
      </vt:variant>
      <vt:variant>
        <vt:i4>5</vt:i4>
      </vt:variant>
      <vt:variant>
        <vt:lpwstr/>
      </vt:variant>
      <vt:variant>
        <vt:lpwstr>_Toc357582422</vt:lpwstr>
      </vt:variant>
      <vt:variant>
        <vt:i4>1507384</vt:i4>
      </vt:variant>
      <vt:variant>
        <vt:i4>208</vt:i4>
      </vt:variant>
      <vt:variant>
        <vt:i4>0</vt:i4>
      </vt:variant>
      <vt:variant>
        <vt:i4>5</vt:i4>
      </vt:variant>
      <vt:variant>
        <vt:lpwstr/>
      </vt:variant>
      <vt:variant>
        <vt:lpwstr>_Toc357582421</vt:lpwstr>
      </vt:variant>
      <vt:variant>
        <vt:i4>1507384</vt:i4>
      </vt:variant>
      <vt:variant>
        <vt:i4>202</vt:i4>
      </vt:variant>
      <vt:variant>
        <vt:i4>0</vt:i4>
      </vt:variant>
      <vt:variant>
        <vt:i4>5</vt:i4>
      </vt:variant>
      <vt:variant>
        <vt:lpwstr/>
      </vt:variant>
      <vt:variant>
        <vt:lpwstr>_Toc357582420</vt:lpwstr>
      </vt:variant>
      <vt:variant>
        <vt:i4>1310776</vt:i4>
      </vt:variant>
      <vt:variant>
        <vt:i4>196</vt:i4>
      </vt:variant>
      <vt:variant>
        <vt:i4>0</vt:i4>
      </vt:variant>
      <vt:variant>
        <vt:i4>5</vt:i4>
      </vt:variant>
      <vt:variant>
        <vt:lpwstr/>
      </vt:variant>
      <vt:variant>
        <vt:lpwstr>_Toc357582419</vt:lpwstr>
      </vt:variant>
      <vt:variant>
        <vt:i4>1310776</vt:i4>
      </vt:variant>
      <vt:variant>
        <vt:i4>190</vt:i4>
      </vt:variant>
      <vt:variant>
        <vt:i4>0</vt:i4>
      </vt:variant>
      <vt:variant>
        <vt:i4>5</vt:i4>
      </vt:variant>
      <vt:variant>
        <vt:lpwstr/>
      </vt:variant>
      <vt:variant>
        <vt:lpwstr>_Toc357582418</vt:lpwstr>
      </vt:variant>
      <vt:variant>
        <vt:i4>1310776</vt:i4>
      </vt:variant>
      <vt:variant>
        <vt:i4>184</vt:i4>
      </vt:variant>
      <vt:variant>
        <vt:i4>0</vt:i4>
      </vt:variant>
      <vt:variant>
        <vt:i4>5</vt:i4>
      </vt:variant>
      <vt:variant>
        <vt:lpwstr/>
      </vt:variant>
      <vt:variant>
        <vt:lpwstr>_Toc357582417</vt:lpwstr>
      </vt:variant>
      <vt:variant>
        <vt:i4>1310776</vt:i4>
      </vt:variant>
      <vt:variant>
        <vt:i4>178</vt:i4>
      </vt:variant>
      <vt:variant>
        <vt:i4>0</vt:i4>
      </vt:variant>
      <vt:variant>
        <vt:i4>5</vt:i4>
      </vt:variant>
      <vt:variant>
        <vt:lpwstr/>
      </vt:variant>
      <vt:variant>
        <vt:lpwstr>_Toc357582416</vt:lpwstr>
      </vt:variant>
      <vt:variant>
        <vt:i4>1310776</vt:i4>
      </vt:variant>
      <vt:variant>
        <vt:i4>172</vt:i4>
      </vt:variant>
      <vt:variant>
        <vt:i4>0</vt:i4>
      </vt:variant>
      <vt:variant>
        <vt:i4>5</vt:i4>
      </vt:variant>
      <vt:variant>
        <vt:lpwstr/>
      </vt:variant>
      <vt:variant>
        <vt:lpwstr>_Toc357582415</vt:lpwstr>
      </vt:variant>
      <vt:variant>
        <vt:i4>1310776</vt:i4>
      </vt:variant>
      <vt:variant>
        <vt:i4>166</vt:i4>
      </vt:variant>
      <vt:variant>
        <vt:i4>0</vt:i4>
      </vt:variant>
      <vt:variant>
        <vt:i4>5</vt:i4>
      </vt:variant>
      <vt:variant>
        <vt:lpwstr/>
      </vt:variant>
      <vt:variant>
        <vt:lpwstr>_Toc357582414</vt:lpwstr>
      </vt:variant>
      <vt:variant>
        <vt:i4>1310776</vt:i4>
      </vt:variant>
      <vt:variant>
        <vt:i4>160</vt:i4>
      </vt:variant>
      <vt:variant>
        <vt:i4>0</vt:i4>
      </vt:variant>
      <vt:variant>
        <vt:i4>5</vt:i4>
      </vt:variant>
      <vt:variant>
        <vt:lpwstr/>
      </vt:variant>
      <vt:variant>
        <vt:lpwstr>_Toc357582413</vt:lpwstr>
      </vt:variant>
      <vt:variant>
        <vt:i4>1310776</vt:i4>
      </vt:variant>
      <vt:variant>
        <vt:i4>154</vt:i4>
      </vt:variant>
      <vt:variant>
        <vt:i4>0</vt:i4>
      </vt:variant>
      <vt:variant>
        <vt:i4>5</vt:i4>
      </vt:variant>
      <vt:variant>
        <vt:lpwstr/>
      </vt:variant>
      <vt:variant>
        <vt:lpwstr>_Toc357582412</vt:lpwstr>
      </vt:variant>
      <vt:variant>
        <vt:i4>1310776</vt:i4>
      </vt:variant>
      <vt:variant>
        <vt:i4>148</vt:i4>
      </vt:variant>
      <vt:variant>
        <vt:i4>0</vt:i4>
      </vt:variant>
      <vt:variant>
        <vt:i4>5</vt:i4>
      </vt:variant>
      <vt:variant>
        <vt:lpwstr/>
      </vt:variant>
      <vt:variant>
        <vt:lpwstr>_Toc357582411</vt:lpwstr>
      </vt:variant>
      <vt:variant>
        <vt:i4>1310776</vt:i4>
      </vt:variant>
      <vt:variant>
        <vt:i4>142</vt:i4>
      </vt:variant>
      <vt:variant>
        <vt:i4>0</vt:i4>
      </vt:variant>
      <vt:variant>
        <vt:i4>5</vt:i4>
      </vt:variant>
      <vt:variant>
        <vt:lpwstr/>
      </vt:variant>
      <vt:variant>
        <vt:lpwstr>_Toc357582410</vt:lpwstr>
      </vt:variant>
      <vt:variant>
        <vt:i4>1376312</vt:i4>
      </vt:variant>
      <vt:variant>
        <vt:i4>136</vt:i4>
      </vt:variant>
      <vt:variant>
        <vt:i4>0</vt:i4>
      </vt:variant>
      <vt:variant>
        <vt:i4>5</vt:i4>
      </vt:variant>
      <vt:variant>
        <vt:lpwstr/>
      </vt:variant>
      <vt:variant>
        <vt:lpwstr>_Toc357582409</vt:lpwstr>
      </vt:variant>
      <vt:variant>
        <vt:i4>1376312</vt:i4>
      </vt:variant>
      <vt:variant>
        <vt:i4>130</vt:i4>
      </vt:variant>
      <vt:variant>
        <vt:i4>0</vt:i4>
      </vt:variant>
      <vt:variant>
        <vt:i4>5</vt:i4>
      </vt:variant>
      <vt:variant>
        <vt:lpwstr/>
      </vt:variant>
      <vt:variant>
        <vt:lpwstr>_Toc357582408</vt:lpwstr>
      </vt:variant>
      <vt:variant>
        <vt:i4>1376312</vt:i4>
      </vt:variant>
      <vt:variant>
        <vt:i4>124</vt:i4>
      </vt:variant>
      <vt:variant>
        <vt:i4>0</vt:i4>
      </vt:variant>
      <vt:variant>
        <vt:i4>5</vt:i4>
      </vt:variant>
      <vt:variant>
        <vt:lpwstr/>
      </vt:variant>
      <vt:variant>
        <vt:lpwstr>_Toc357582407</vt:lpwstr>
      </vt:variant>
      <vt:variant>
        <vt:i4>1376312</vt:i4>
      </vt:variant>
      <vt:variant>
        <vt:i4>118</vt:i4>
      </vt:variant>
      <vt:variant>
        <vt:i4>0</vt:i4>
      </vt:variant>
      <vt:variant>
        <vt:i4>5</vt:i4>
      </vt:variant>
      <vt:variant>
        <vt:lpwstr/>
      </vt:variant>
      <vt:variant>
        <vt:lpwstr>_Toc357582406</vt:lpwstr>
      </vt:variant>
      <vt:variant>
        <vt:i4>1376312</vt:i4>
      </vt:variant>
      <vt:variant>
        <vt:i4>112</vt:i4>
      </vt:variant>
      <vt:variant>
        <vt:i4>0</vt:i4>
      </vt:variant>
      <vt:variant>
        <vt:i4>5</vt:i4>
      </vt:variant>
      <vt:variant>
        <vt:lpwstr/>
      </vt:variant>
      <vt:variant>
        <vt:lpwstr>_Toc357582405</vt:lpwstr>
      </vt:variant>
      <vt:variant>
        <vt:i4>1376312</vt:i4>
      </vt:variant>
      <vt:variant>
        <vt:i4>106</vt:i4>
      </vt:variant>
      <vt:variant>
        <vt:i4>0</vt:i4>
      </vt:variant>
      <vt:variant>
        <vt:i4>5</vt:i4>
      </vt:variant>
      <vt:variant>
        <vt:lpwstr/>
      </vt:variant>
      <vt:variant>
        <vt:lpwstr>_Toc357582404</vt:lpwstr>
      </vt:variant>
      <vt:variant>
        <vt:i4>1376312</vt:i4>
      </vt:variant>
      <vt:variant>
        <vt:i4>100</vt:i4>
      </vt:variant>
      <vt:variant>
        <vt:i4>0</vt:i4>
      </vt:variant>
      <vt:variant>
        <vt:i4>5</vt:i4>
      </vt:variant>
      <vt:variant>
        <vt:lpwstr/>
      </vt:variant>
      <vt:variant>
        <vt:lpwstr>_Toc357582403</vt:lpwstr>
      </vt:variant>
      <vt:variant>
        <vt:i4>1376312</vt:i4>
      </vt:variant>
      <vt:variant>
        <vt:i4>94</vt:i4>
      </vt:variant>
      <vt:variant>
        <vt:i4>0</vt:i4>
      </vt:variant>
      <vt:variant>
        <vt:i4>5</vt:i4>
      </vt:variant>
      <vt:variant>
        <vt:lpwstr/>
      </vt:variant>
      <vt:variant>
        <vt:lpwstr>_Toc357582402</vt:lpwstr>
      </vt:variant>
      <vt:variant>
        <vt:i4>1376312</vt:i4>
      </vt:variant>
      <vt:variant>
        <vt:i4>88</vt:i4>
      </vt:variant>
      <vt:variant>
        <vt:i4>0</vt:i4>
      </vt:variant>
      <vt:variant>
        <vt:i4>5</vt:i4>
      </vt:variant>
      <vt:variant>
        <vt:lpwstr/>
      </vt:variant>
      <vt:variant>
        <vt:lpwstr>_Toc357582401</vt:lpwstr>
      </vt:variant>
      <vt:variant>
        <vt:i4>1376312</vt:i4>
      </vt:variant>
      <vt:variant>
        <vt:i4>82</vt:i4>
      </vt:variant>
      <vt:variant>
        <vt:i4>0</vt:i4>
      </vt:variant>
      <vt:variant>
        <vt:i4>5</vt:i4>
      </vt:variant>
      <vt:variant>
        <vt:lpwstr/>
      </vt:variant>
      <vt:variant>
        <vt:lpwstr>_Toc357582400</vt:lpwstr>
      </vt:variant>
      <vt:variant>
        <vt:i4>1835071</vt:i4>
      </vt:variant>
      <vt:variant>
        <vt:i4>76</vt:i4>
      </vt:variant>
      <vt:variant>
        <vt:i4>0</vt:i4>
      </vt:variant>
      <vt:variant>
        <vt:i4>5</vt:i4>
      </vt:variant>
      <vt:variant>
        <vt:lpwstr/>
      </vt:variant>
      <vt:variant>
        <vt:lpwstr>_Toc357582399</vt:lpwstr>
      </vt:variant>
      <vt:variant>
        <vt:i4>1835071</vt:i4>
      </vt:variant>
      <vt:variant>
        <vt:i4>70</vt:i4>
      </vt:variant>
      <vt:variant>
        <vt:i4>0</vt:i4>
      </vt:variant>
      <vt:variant>
        <vt:i4>5</vt:i4>
      </vt:variant>
      <vt:variant>
        <vt:lpwstr/>
      </vt:variant>
      <vt:variant>
        <vt:lpwstr>_Toc357582398</vt:lpwstr>
      </vt:variant>
      <vt:variant>
        <vt:i4>1835071</vt:i4>
      </vt:variant>
      <vt:variant>
        <vt:i4>64</vt:i4>
      </vt:variant>
      <vt:variant>
        <vt:i4>0</vt:i4>
      </vt:variant>
      <vt:variant>
        <vt:i4>5</vt:i4>
      </vt:variant>
      <vt:variant>
        <vt:lpwstr/>
      </vt:variant>
      <vt:variant>
        <vt:lpwstr>_Toc357582397</vt:lpwstr>
      </vt:variant>
      <vt:variant>
        <vt:i4>1835071</vt:i4>
      </vt:variant>
      <vt:variant>
        <vt:i4>58</vt:i4>
      </vt:variant>
      <vt:variant>
        <vt:i4>0</vt:i4>
      </vt:variant>
      <vt:variant>
        <vt:i4>5</vt:i4>
      </vt:variant>
      <vt:variant>
        <vt:lpwstr/>
      </vt:variant>
      <vt:variant>
        <vt:lpwstr>_Toc357582396</vt:lpwstr>
      </vt:variant>
      <vt:variant>
        <vt:i4>1835071</vt:i4>
      </vt:variant>
      <vt:variant>
        <vt:i4>52</vt:i4>
      </vt:variant>
      <vt:variant>
        <vt:i4>0</vt:i4>
      </vt:variant>
      <vt:variant>
        <vt:i4>5</vt:i4>
      </vt:variant>
      <vt:variant>
        <vt:lpwstr/>
      </vt:variant>
      <vt:variant>
        <vt:lpwstr>_Toc357582395</vt:lpwstr>
      </vt:variant>
      <vt:variant>
        <vt:i4>1835071</vt:i4>
      </vt:variant>
      <vt:variant>
        <vt:i4>46</vt:i4>
      </vt:variant>
      <vt:variant>
        <vt:i4>0</vt:i4>
      </vt:variant>
      <vt:variant>
        <vt:i4>5</vt:i4>
      </vt:variant>
      <vt:variant>
        <vt:lpwstr/>
      </vt:variant>
      <vt:variant>
        <vt:lpwstr>_Toc357582394</vt:lpwstr>
      </vt:variant>
      <vt:variant>
        <vt:i4>1835071</vt:i4>
      </vt:variant>
      <vt:variant>
        <vt:i4>40</vt:i4>
      </vt:variant>
      <vt:variant>
        <vt:i4>0</vt:i4>
      </vt:variant>
      <vt:variant>
        <vt:i4>5</vt:i4>
      </vt:variant>
      <vt:variant>
        <vt:lpwstr/>
      </vt:variant>
      <vt:variant>
        <vt:lpwstr>_Toc357582393</vt:lpwstr>
      </vt:variant>
      <vt:variant>
        <vt:i4>1835071</vt:i4>
      </vt:variant>
      <vt:variant>
        <vt:i4>34</vt:i4>
      </vt:variant>
      <vt:variant>
        <vt:i4>0</vt:i4>
      </vt:variant>
      <vt:variant>
        <vt:i4>5</vt:i4>
      </vt:variant>
      <vt:variant>
        <vt:lpwstr/>
      </vt:variant>
      <vt:variant>
        <vt:lpwstr>_Toc357582392</vt:lpwstr>
      </vt:variant>
      <vt:variant>
        <vt:i4>1835071</vt:i4>
      </vt:variant>
      <vt:variant>
        <vt:i4>28</vt:i4>
      </vt:variant>
      <vt:variant>
        <vt:i4>0</vt:i4>
      </vt:variant>
      <vt:variant>
        <vt:i4>5</vt:i4>
      </vt:variant>
      <vt:variant>
        <vt:lpwstr/>
      </vt:variant>
      <vt:variant>
        <vt:lpwstr>_Toc357582391</vt:lpwstr>
      </vt:variant>
      <vt:variant>
        <vt:i4>1835071</vt:i4>
      </vt:variant>
      <vt:variant>
        <vt:i4>22</vt:i4>
      </vt:variant>
      <vt:variant>
        <vt:i4>0</vt:i4>
      </vt:variant>
      <vt:variant>
        <vt:i4>5</vt:i4>
      </vt:variant>
      <vt:variant>
        <vt:lpwstr/>
      </vt:variant>
      <vt:variant>
        <vt:lpwstr>_Toc357582390</vt:lpwstr>
      </vt:variant>
      <vt:variant>
        <vt:i4>1900607</vt:i4>
      </vt:variant>
      <vt:variant>
        <vt:i4>16</vt:i4>
      </vt:variant>
      <vt:variant>
        <vt:i4>0</vt:i4>
      </vt:variant>
      <vt:variant>
        <vt:i4>5</vt:i4>
      </vt:variant>
      <vt:variant>
        <vt:lpwstr/>
      </vt:variant>
      <vt:variant>
        <vt:lpwstr>_Toc357582389</vt:lpwstr>
      </vt:variant>
      <vt:variant>
        <vt:i4>1900607</vt:i4>
      </vt:variant>
      <vt:variant>
        <vt:i4>10</vt:i4>
      </vt:variant>
      <vt:variant>
        <vt:i4>0</vt:i4>
      </vt:variant>
      <vt:variant>
        <vt:i4>5</vt:i4>
      </vt:variant>
      <vt:variant>
        <vt:lpwstr/>
      </vt:variant>
      <vt:variant>
        <vt:lpwstr>_Toc357582388</vt:lpwstr>
      </vt:variant>
      <vt:variant>
        <vt:i4>1900607</vt:i4>
      </vt:variant>
      <vt:variant>
        <vt:i4>4</vt:i4>
      </vt:variant>
      <vt:variant>
        <vt:i4>0</vt:i4>
      </vt:variant>
      <vt:variant>
        <vt:i4>5</vt:i4>
      </vt:variant>
      <vt:variant>
        <vt:lpwstr/>
      </vt:variant>
      <vt:variant>
        <vt:lpwstr>_Toc357582387</vt:lpwstr>
      </vt:variant>
      <vt:variant>
        <vt:i4>1179757</vt:i4>
      </vt:variant>
      <vt:variant>
        <vt:i4>9</vt:i4>
      </vt:variant>
      <vt:variant>
        <vt:i4>0</vt:i4>
      </vt:variant>
      <vt:variant>
        <vt:i4>5</vt:i4>
      </vt:variant>
      <vt:variant>
        <vt:lpwstr>http://www.hakom.hr/UserDocsImages/2011/propisi_pravilnici_zakoni/Pravilnik o standardnim ponudama NN 37_09.PDF</vt:lpwstr>
      </vt:variant>
      <vt:variant>
        <vt:lpwstr/>
      </vt:variant>
      <vt:variant>
        <vt:i4>1966195</vt:i4>
      </vt:variant>
      <vt:variant>
        <vt:i4>6</vt:i4>
      </vt:variant>
      <vt:variant>
        <vt:i4>0</vt:i4>
      </vt:variant>
      <vt:variant>
        <vt:i4>5</vt:i4>
      </vt:variant>
      <vt:variant>
        <vt:lpwstr>http://www.hakom.hr/UserDocsImages/2012/odluke_rjesenja/IZ-AT-RJ-OPR-Privremeno rje%C5%A1enje IMS-pilot projekt 20121219.pdf</vt:lpwstr>
      </vt:variant>
      <vt:variant>
        <vt:lpwstr/>
      </vt:variant>
      <vt:variant>
        <vt:i4>1900616</vt:i4>
      </vt:variant>
      <vt:variant>
        <vt:i4>3</vt:i4>
      </vt:variant>
      <vt:variant>
        <vt:i4>0</vt:i4>
      </vt:variant>
      <vt:variant>
        <vt:i4>5</vt:i4>
      </vt:variant>
      <vt:variant>
        <vt:lpwstr>http://www.hakom.hr/UserDocsImages/2010.g/Odluke/rje%C5%A1enje - izmjena regulatorne obveze transparentnosti.pdf</vt:lpwstr>
      </vt:variant>
      <vt:variant>
        <vt:lpwstr/>
      </vt:variant>
      <vt:variant>
        <vt:i4>4587541</vt:i4>
      </vt:variant>
      <vt:variant>
        <vt:i4>0</vt:i4>
      </vt:variant>
      <vt:variant>
        <vt:i4>0</vt:i4>
      </vt:variant>
      <vt:variant>
        <vt:i4>5</vt:i4>
      </vt:variant>
      <vt:variant>
        <vt:lpwstr>http://www.hakom.hr/UserDocsImages/2010.g/Odluke/izmjene Standardne ponude za usluge me%C4%91upovezivanja HT- 988.pdf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V0.7</dc:subject>
  <dc:creator>HAKOM</dc:creator>
  <cp:lastModifiedBy>Ivan Gilja</cp:lastModifiedBy>
  <cp:revision>3</cp:revision>
  <cp:lastPrinted>2018-09-18T07:58:00Z</cp:lastPrinted>
  <dcterms:created xsi:type="dcterms:W3CDTF">2018-10-30T09:44:00Z</dcterms:created>
  <dcterms:modified xsi:type="dcterms:W3CDTF">2018-10-30T11:13:00Z</dcterms:modified>
</cp:coreProperties>
</file>