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8A9C9" w14:textId="390C730B" w:rsidR="001A2A92" w:rsidRPr="00DC35EC" w:rsidRDefault="00183E09" w:rsidP="00DC35EC">
      <w:pPr>
        <w:jc w:val="center"/>
        <w:rPr>
          <w:b/>
          <w:sz w:val="28"/>
          <w:szCs w:val="28"/>
        </w:rPr>
      </w:pPr>
      <w:r w:rsidRPr="00183E09">
        <w:rPr>
          <w:b/>
          <w:iCs/>
          <w:sz w:val="28"/>
          <w:szCs w:val="28"/>
        </w:rPr>
        <w:t xml:space="preserve">Javna rasprava o budućoj dodjeli frekvencijskih </w:t>
      </w:r>
      <w:bookmarkStart w:id="0" w:name="_GoBack"/>
      <w:bookmarkEnd w:id="0"/>
      <w:r w:rsidRPr="00183E09">
        <w:rPr>
          <w:b/>
          <w:iCs/>
          <w:sz w:val="28"/>
          <w:szCs w:val="28"/>
        </w:rPr>
        <w:t>pojaseva 700 MHz, 1500 MHz, 3,6 GHz i 26 GHz</w:t>
      </w:r>
    </w:p>
    <w:sdt>
      <w:sdtPr>
        <w:rPr>
          <w:rFonts w:asciiTheme="minorHAnsi" w:eastAsiaTheme="minorHAnsi" w:hAnsiTheme="minorHAnsi" w:cstheme="minorBidi"/>
          <w:color w:val="auto"/>
          <w:sz w:val="22"/>
          <w:szCs w:val="22"/>
          <w:lang w:val="hr-HR"/>
        </w:rPr>
        <w:id w:val="-1637490744"/>
        <w:docPartObj>
          <w:docPartGallery w:val="Table of Contents"/>
          <w:docPartUnique/>
        </w:docPartObj>
      </w:sdtPr>
      <w:sdtEndPr>
        <w:rPr>
          <w:b/>
          <w:bCs/>
          <w:noProof/>
        </w:rPr>
      </w:sdtEndPr>
      <w:sdtContent>
        <w:p w14:paraId="39C645E2" w14:textId="77777777" w:rsidR="00DD215C" w:rsidRDefault="00DD215C">
          <w:pPr>
            <w:pStyle w:val="TOCHeading"/>
          </w:pPr>
          <w:proofErr w:type="spellStart"/>
          <w:r>
            <w:t>Sadržaj</w:t>
          </w:r>
          <w:proofErr w:type="spellEnd"/>
        </w:p>
        <w:p w14:paraId="103C5B74" w14:textId="77777777" w:rsidR="00061213" w:rsidRDefault="00DD215C">
          <w:pPr>
            <w:pStyle w:val="TOC1"/>
            <w:tabs>
              <w:tab w:val="left" w:pos="440"/>
              <w:tab w:val="right" w:leader="dot" w:pos="9062"/>
            </w:tabs>
            <w:rPr>
              <w:rFonts w:eastAsiaTheme="minorEastAsia"/>
              <w:noProof/>
              <w:lang w:eastAsia="hr-HR"/>
            </w:rPr>
          </w:pPr>
          <w:r>
            <w:rPr>
              <w:b/>
              <w:bCs/>
              <w:noProof/>
            </w:rPr>
            <w:fldChar w:fldCharType="begin"/>
          </w:r>
          <w:r>
            <w:rPr>
              <w:b/>
              <w:bCs/>
              <w:noProof/>
            </w:rPr>
            <w:instrText xml:space="preserve"> TOC \o "1-3" \h \z \u </w:instrText>
          </w:r>
          <w:r>
            <w:rPr>
              <w:b/>
              <w:bCs/>
              <w:noProof/>
            </w:rPr>
            <w:fldChar w:fldCharType="separate"/>
          </w:r>
          <w:hyperlink w:anchor="_Toc19714484" w:history="1">
            <w:r w:rsidR="00061213" w:rsidRPr="00F81E24">
              <w:rPr>
                <w:rStyle w:val="Hyperlink"/>
                <w:noProof/>
              </w:rPr>
              <w:t>1.</w:t>
            </w:r>
            <w:r w:rsidR="00061213">
              <w:rPr>
                <w:rFonts w:eastAsiaTheme="minorEastAsia"/>
                <w:noProof/>
                <w:lang w:eastAsia="hr-HR"/>
              </w:rPr>
              <w:tab/>
            </w:r>
            <w:r w:rsidR="00061213" w:rsidRPr="00F81E24">
              <w:rPr>
                <w:rStyle w:val="Hyperlink"/>
                <w:noProof/>
              </w:rPr>
              <w:t>UVOD</w:t>
            </w:r>
            <w:r w:rsidR="00061213">
              <w:rPr>
                <w:noProof/>
                <w:webHidden/>
              </w:rPr>
              <w:tab/>
            </w:r>
            <w:r w:rsidR="00061213">
              <w:rPr>
                <w:noProof/>
                <w:webHidden/>
              </w:rPr>
              <w:fldChar w:fldCharType="begin"/>
            </w:r>
            <w:r w:rsidR="00061213">
              <w:rPr>
                <w:noProof/>
                <w:webHidden/>
              </w:rPr>
              <w:instrText xml:space="preserve"> PAGEREF _Toc19714484 \h </w:instrText>
            </w:r>
            <w:r w:rsidR="00061213">
              <w:rPr>
                <w:noProof/>
                <w:webHidden/>
              </w:rPr>
            </w:r>
            <w:r w:rsidR="00061213">
              <w:rPr>
                <w:noProof/>
                <w:webHidden/>
              </w:rPr>
              <w:fldChar w:fldCharType="separate"/>
            </w:r>
            <w:r w:rsidR="00061213">
              <w:rPr>
                <w:noProof/>
                <w:webHidden/>
              </w:rPr>
              <w:t>3</w:t>
            </w:r>
            <w:r w:rsidR="00061213">
              <w:rPr>
                <w:noProof/>
                <w:webHidden/>
              </w:rPr>
              <w:fldChar w:fldCharType="end"/>
            </w:r>
          </w:hyperlink>
        </w:p>
        <w:p w14:paraId="768D2D15" w14:textId="77777777" w:rsidR="00061213" w:rsidRDefault="00183E09">
          <w:pPr>
            <w:pStyle w:val="TOC1"/>
            <w:tabs>
              <w:tab w:val="left" w:pos="440"/>
              <w:tab w:val="right" w:leader="dot" w:pos="9062"/>
            </w:tabs>
            <w:rPr>
              <w:rFonts w:eastAsiaTheme="minorEastAsia"/>
              <w:noProof/>
              <w:lang w:eastAsia="hr-HR"/>
            </w:rPr>
          </w:pPr>
          <w:hyperlink w:anchor="_Toc19714485" w:history="1">
            <w:r w:rsidR="00061213" w:rsidRPr="00F81E24">
              <w:rPr>
                <w:rStyle w:val="Hyperlink"/>
                <w:noProof/>
              </w:rPr>
              <w:t>2.</w:t>
            </w:r>
            <w:r w:rsidR="00061213">
              <w:rPr>
                <w:rFonts w:eastAsiaTheme="minorEastAsia"/>
                <w:noProof/>
                <w:lang w:eastAsia="hr-HR"/>
              </w:rPr>
              <w:tab/>
            </w:r>
            <w:r w:rsidR="00061213" w:rsidRPr="00F81E24">
              <w:rPr>
                <w:rStyle w:val="Hyperlink"/>
                <w:noProof/>
              </w:rPr>
              <w:t>FREKVENCIJSKI POJASEVI</w:t>
            </w:r>
            <w:r w:rsidR="00061213">
              <w:rPr>
                <w:noProof/>
                <w:webHidden/>
              </w:rPr>
              <w:tab/>
            </w:r>
            <w:r w:rsidR="00061213">
              <w:rPr>
                <w:noProof/>
                <w:webHidden/>
              </w:rPr>
              <w:fldChar w:fldCharType="begin"/>
            </w:r>
            <w:r w:rsidR="00061213">
              <w:rPr>
                <w:noProof/>
                <w:webHidden/>
              </w:rPr>
              <w:instrText xml:space="preserve"> PAGEREF _Toc19714485 \h </w:instrText>
            </w:r>
            <w:r w:rsidR="00061213">
              <w:rPr>
                <w:noProof/>
                <w:webHidden/>
              </w:rPr>
            </w:r>
            <w:r w:rsidR="00061213">
              <w:rPr>
                <w:noProof/>
                <w:webHidden/>
              </w:rPr>
              <w:fldChar w:fldCharType="separate"/>
            </w:r>
            <w:r w:rsidR="00061213">
              <w:rPr>
                <w:noProof/>
                <w:webHidden/>
              </w:rPr>
              <w:t>4</w:t>
            </w:r>
            <w:r w:rsidR="00061213">
              <w:rPr>
                <w:noProof/>
                <w:webHidden/>
              </w:rPr>
              <w:fldChar w:fldCharType="end"/>
            </w:r>
          </w:hyperlink>
        </w:p>
        <w:p w14:paraId="21076475" w14:textId="77777777" w:rsidR="00061213" w:rsidRDefault="00183E09">
          <w:pPr>
            <w:pStyle w:val="TOC2"/>
            <w:tabs>
              <w:tab w:val="right" w:leader="dot" w:pos="9062"/>
            </w:tabs>
            <w:rPr>
              <w:rFonts w:eastAsiaTheme="minorEastAsia"/>
              <w:noProof/>
              <w:lang w:eastAsia="hr-HR"/>
            </w:rPr>
          </w:pPr>
          <w:hyperlink w:anchor="_Toc19714486" w:history="1">
            <w:r w:rsidR="00061213" w:rsidRPr="00F81E24">
              <w:rPr>
                <w:rStyle w:val="Hyperlink"/>
                <w:noProof/>
              </w:rPr>
              <w:t>2.1. Frekvencijski pojas 700 MHz</w:t>
            </w:r>
            <w:r w:rsidR="00061213">
              <w:rPr>
                <w:noProof/>
                <w:webHidden/>
              </w:rPr>
              <w:tab/>
            </w:r>
            <w:r w:rsidR="00061213">
              <w:rPr>
                <w:noProof/>
                <w:webHidden/>
              </w:rPr>
              <w:fldChar w:fldCharType="begin"/>
            </w:r>
            <w:r w:rsidR="00061213">
              <w:rPr>
                <w:noProof/>
                <w:webHidden/>
              </w:rPr>
              <w:instrText xml:space="preserve"> PAGEREF _Toc19714486 \h </w:instrText>
            </w:r>
            <w:r w:rsidR="00061213">
              <w:rPr>
                <w:noProof/>
                <w:webHidden/>
              </w:rPr>
            </w:r>
            <w:r w:rsidR="00061213">
              <w:rPr>
                <w:noProof/>
                <w:webHidden/>
              </w:rPr>
              <w:fldChar w:fldCharType="separate"/>
            </w:r>
            <w:r w:rsidR="00061213">
              <w:rPr>
                <w:noProof/>
                <w:webHidden/>
              </w:rPr>
              <w:t>4</w:t>
            </w:r>
            <w:r w:rsidR="00061213">
              <w:rPr>
                <w:noProof/>
                <w:webHidden/>
              </w:rPr>
              <w:fldChar w:fldCharType="end"/>
            </w:r>
          </w:hyperlink>
        </w:p>
        <w:p w14:paraId="33A5B0A6" w14:textId="77777777" w:rsidR="00061213" w:rsidRDefault="00183E09">
          <w:pPr>
            <w:pStyle w:val="TOC2"/>
            <w:tabs>
              <w:tab w:val="right" w:leader="dot" w:pos="9062"/>
            </w:tabs>
            <w:rPr>
              <w:rFonts w:eastAsiaTheme="minorEastAsia"/>
              <w:noProof/>
              <w:lang w:eastAsia="hr-HR"/>
            </w:rPr>
          </w:pPr>
          <w:hyperlink w:anchor="_Toc19714487" w:history="1">
            <w:r w:rsidR="00061213" w:rsidRPr="00F81E24">
              <w:rPr>
                <w:rStyle w:val="Hyperlink"/>
                <w:noProof/>
              </w:rPr>
              <w:t>2.2. Frekvencijski pojas 1500 MHz</w:t>
            </w:r>
            <w:r w:rsidR="00061213">
              <w:rPr>
                <w:noProof/>
                <w:webHidden/>
              </w:rPr>
              <w:tab/>
            </w:r>
            <w:r w:rsidR="00061213">
              <w:rPr>
                <w:noProof/>
                <w:webHidden/>
              </w:rPr>
              <w:fldChar w:fldCharType="begin"/>
            </w:r>
            <w:r w:rsidR="00061213">
              <w:rPr>
                <w:noProof/>
                <w:webHidden/>
              </w:rPr>
              <w:instrText xml:space="preserve"> PAGEREF _Toc19714487 \h </w:instrText>
            </w:r>
            <w:r w:rsidR="00061213">
              <w:rPr>
                <w:noProof/>
                <w:webHidden/>
              </w:rPr>
            </w:r>
            <w:r w:rsidR="00061213">
              <w:rPr>
                <w:noProof/>
                <w:webHidden/>
              </w:rPr>
              <w:fldChar w:fldCharType="separate"/>
            </w:r>
            <w:r w:rsidR="00061213">
              <w:rPr>
                <w:noProof/>
                <w:webHidden/>
              </w:rPr>
              <w:t>5</w:t>
            </w:r>
            <w:r w:rsidR="00061213">
              <w:rPr>
                <w:noProof/>
                <w:webHidden/>
              </w:rPr>
              <w:fldChar w:fldCharType="end"/>
            </w:r>
          </w:hyperlink>
        </w:p>
        <w:p w14:paraId="7676A977" w14:textId="77777777" w:rsidR="00061213" w:rsidRDefault="00183E09">
          <w:pPr>
            <w:pStyle w:val="TOC2"/>
            <w:tabs>
              <w:tab w:val="right" w:leader="dot" w:pos="9062"/>
            </w:tabs>
            <w:rPr>
              <w:rFonts w:eastAsiaTheme="minorEastAsia"/>
              <w:noProof/>
              <w:lang w:eastAsia="hr-HR"/>
            </w:rPr>
          </w:pPr>
          <w:hyperlink w:anchor="_Toc19714488" w:history="1">
            <w:r w:rsidR="00061213" w:rsidRPr="00F81E24">
              <w:rPr>
                <w:rStyle w:val="Hyperlink"/>
                <w:noProof/>
              </w:rPr>
              <w:t>2.3. Frekvencijski pojas 3,6 GHz</w:t>
            </w:r>
            <w:r w:rsidR="00061213">
              <w:rPr>
                <w:noProof/>
                <w:webHidden/>
              </w:rPr>
              <w:tab/>
            </w:r>
            <w:r w:rsidR="00061213">
              <w:rPr>
                <w:noProof/>
                <w:webHidden/>
              </w:rPr>
              <w:fldChar w:fldCharType="begin"/>
            </w:r>
            <w:r w:rsidR="00061213">
              <w:rPr>
                <w:noProof/>
                <w:webHidden/>
              </w:rPr>
              <w:instrText xml:space="preserve"> PAGEREF _Toc19714488 \h </w:instrText>
            </w:r>
            <w:r w:rsidR="00061213">
              <w:rPr>
                <w:noProof/>
                <w:webHidden/>
              </w:rPr>
            </w:r>
            <w:r w:rsidR="00061213">
              <w:rPr>
                <w:noProof/>
                <w:webHidden/>
              </w:rPr>
              <w:fldChar w:fldCharType="separate"/>
            </w:r>
            <w:r w:rsidR="00061213">
              <w:rPr>
                <w:noProof/>
                <w:webHidden/>
              </w:rPr>
              <w:t>6</w:t>
            </w:r>
            <w:r w:rsidR="00061213">
              <w:rPr>
                <w:noProof/>
                <w:webHidden/>
              </w:rPr>
              <w:fldChar w:fldCharType="end"/>
            </w:r>
          </w:hyperlink>
        </w:p>
        <w:p w14:paraId="41504047" w14:textId="77777777" w:rsidR="00061213" w:rsidRDefault="00183E09">
          <w:pPr>
            <w:pStyle w:val="TOC2"/>
            <w:tabs>
              <w:tab w:val="right" w:leader="dot" w:pos="9062"/>
            </w:tabs>
            <w:rPr>
              <w:rFonts w:eastAsiaTheme="minorEastAsia"/>
              <w:noProof/>
              <w:lang w:eastAsia="hr-HR"/>
            </w:rPr>
          </w:pPr>
          <w:hyperlink w:anchor="_Toc19714489" w:history="1">
            <w:r w:rsidR="00061213" w:rsidRPr="00F81E24">
              <w:rPr>
                <w:rStyle w:val="Hyperlink"/>
                <w:noProof/>
              </w:rPr>
              <w:t>2.4. Frekvencijski pojas 26 GHz</w:t>
            </w:r>
            <w:r w:rsidR="00061213">
              <w:rPr>
                <w:noProof/>
                <w:webHidden/>
              </w:rPr>
              <w:tab/>
            </w:r>
            <w:r w:rsidR="00061213">
              <w:rPr>
                <w:noProof/>
                <w:webHidden/>
              </w:rPr>
              <w:fldChar w:fldCharType="begin"/>
            </w:r>
            <w:r w:rsidR="00061213">
              <w:rPr>
                <w:noProof/>
                <w:webHidden/>
              </w:rPr>
              <w:instrText xml:space="preserve"> PAGEREF _Toc19714489 \h </w:instrText>
            </w:r>
            <w:r w:rsidR="00061213">
              <w:rPr>
                <w:noProof/>
                <w:webHidden/>
              </w:rPr>
            </w:r>
            <w:r w:rsidR="00061213">
              <w:rPr>
                <w:noProof/>
                <w:webHidden/>
              </w:rPr>
              <w:fldChar w:fldCharType="separate"/>
            </w:r>
            <w:r w:rsidR="00061213">
              <w:rPr>
                <w:noProof/>
                <w:webHidden/>
              </w:rPr>
              <w:t>7</w:t>
            </w:r>
            <w:r w:rsidR="00061213">
              <w:rPr>
                <w:noProof/>
                <w:webHidden/>
              </w:rPr>
              <w:fldChar w:fldCharType="end"/>
            </w:r>
          </w:hyperlink>
        </w:p>
        <w:p w14:paraId="3EBEBBFC" w14:textId="77777777" w:rsidR="00061213" w:rsidRDefault="00183E09">
          <w:pPr>
            <w:pStyle w:val="TOC1"/>
            <w:tabs>
              <w:tab w:val="left" w:pos="440"/>
              <w:tab w:val="right" w:leader="dot" w:pos="9062"/>
            </w:tabs>
            <w:rPr>
              <w:rFonts w:eastAsiaTheme="minorEastAsia"/>
              <w:noProof/>
              <w:lang w:eastAsia="hr-HR"/>
            </w:rPr>
          </w:pPr>
          <w:hyperlink w:anchor="_Toc19714490" w:history="1">
            <w:r w:rsidR="00061213" w:rsidRPr="00F81E24">
              <w:rPr>
                <w:rStyle w:val="Hyperlink"/>
                <w:noProof/>
              </w:rPr>
              <w:t>3.</w:t>
            </w:r>
            <w:r w:rsidR="00061213">
              <w:rPr>
                <w:rFonts w:eastAsiaTheme="minorEastAsia"/>
                <w:noProof/>
                <w:lang w:eastAsia="hr-HR"/>
              </w:rPr>
              <w:tab/>
            </w:r>
            <w:r w:rsidR="00061213" w:rsidRPr="00F81E24">
              <w:rPr>
                <w:rStyle w:val="Hyperlink"/>
                <w:noProof/>
              </w:rPr>
              <w:t>DODJELA SPEKTRA</w:t>
            </w:r>
            <w:r w:rsidR="00061213">
              <w:rPr>
                <w:noProof/>
                <w:webHidden/>
              </w:rPr>
              <w:tab/>
            </w:r>
            <w:r w:rsidR="00061213">
              <w:rPr>
                <w:noProof/>
                <w:webHidden/>
              </w:rPr>
              <w:fldChar w:fldCharType="begin"/>
            </w:r>
            <w:r w:rsidR="00061213">
              <w:rPr>
                <w:noProof/>
                <w:webHidden/>
              </w:rPr>
              <w:instrText xml:space="preserve"> PAGEREF _Toc19714490 \h </w:instrText>
            </w:r>
            <w:r w:rsidR="00061213">
              <w:rPr>
                <w:noProof/>
                <w:webHidden/>
              </w:rPr>
            </w:r>
            <w:r w:rsidR="00061213">
              <w:rPr>
                <w:noProof/>
                <w:webHidden/>
              </w:rPr>
              <w:fldChar w:fldCharType="separate"/>
            </w:r>
            <w:r w:rsidR="00061213">
              <w:rPr>
                <w:noProof/>
                <w:webHidden/>
              </w:rPr>
              <w:t>8</w:t>
            </w:r>
            <w:r w:rsidR="00061213">
              <w:rPr>
                <w:noProof/>
                <w:webHidden/>
              </w:rPr>
              <w:fldChar w:fldCharType="end"/>
            </w:r>
          </w:hyperlink>
        </w:p>
        <w:p w14:paraId="363E845F" w14:textId="77777777" w:rsidR="00061213" w:rsidRDefault="00183E09">
          <w:pPr>
            <w:pStyle w:val="TOC2"/>
            <w:tabs>
              <w:tab w:val="right" w:leader="dot" w:pos="9062"/>
            </w:tabs>
            <w:rPr>
              <w:rFonts w:eastAsiaTheme="minorEastAsia"/>
              <w:noProof/>
              <w:lang w:eastAsia="hr-HR"/>
            </w:rPr>
          </w:pPr>
          <w:hyperlink w:anchor="_Toc19714491" w:history="1">
            <w:r w:rsidR="00061213" w:rsidRPr="00F81E24">
              <w:rPr>
                <w:rStyle w:val="Hyperlink"/>
                <w:noProof/>
              </w:rPr>
              <w:t>3.1. Prijedlog dodjele</w:t>
            </w:r>
            <w:r w:rsidR="00061213">
              <w:rPr>
                <w:noProof/>
                <w:webHidden/>
              </w:rPr>
              <w:tab/>
            </w:r>
            <w:r w:rsidR="00061213">
              <w:rPr>
                <w:noProof/>
                <w:webHidden/>
              </w:rPr>
              <w:fldChar w:fldCharType="begin"/>
            </w:r>
            <w:r w:rsidR="00061213">
              <w:rPr>
                <w:noProof/>
                <w:webHidden/>
              </w:rPr>
              <w:instrText xml:space="preserve"> PAGEREF _Toc19714491 \h </w:instrText>
            </w:r>
            <w:r w:rsidR="00061213">
              <w:rPr>
                <w:noProof/>
                <w:webHidden/>
              </w:rPr>
            </w:r>
            <w:r w:rsidR="00061213">
              <w:rPr>
                <w:noProof/>
                <w:webHidden/>
              </w:rPr>
              <w:fldChar w:fldCharType="separate"/>
            </w:r>
            <w:r w:rsidR="00061213">
              <w:rPr>
                <w:noProof/>
                <w:webHidden/>
              </w:rPr>
              <w:t>8</w:t>
            </w:r>
            <w:r w:rsidR="00061213">
              <w:rPr>
                <w:noProof/>
                <w:webHidden/>
              </w:rPr>
              <w:fldChar w:fldCharType="end"/>
            </w:r>
          </w:hyperlink>
        </w:p>
        <w:p w14:paraId="1768F17A" w14:textId="77777777" w:rsidR="00061213" w:rsidRDefault="00183E09">
          <w:pPr>
            <w:pStyle w:val="TOC3"/>
            <w:tabs>
              <w:tab w:val="right" w:leader="dot" w:pos="9062"/>
            </w:tabs>
            <w:rPr>
              <w:rFonts w:eastAsiaTheme="minorEastAsia"/>
              <w:noProof/>
              <w:lang w:eastAsia="hr-HR"/>
            </w:rPr>
          </w:pPr>
          <w:hyperlink w:anchor="_Toc19714492" w:history="1">
            <w:r w:rsidR="00061213" w:rsidRPr="00F81E24">
              <w:rPr>
                <w:rStyle w:val="Hyperlink"/>
                <w:noProof/>
              </w:rPr>
              <w:t>3.1.1. Postupak dodjele</w:t>
            </w:r>
            <w:r w:rsidR="00061213">
              <w:rPr>
                <w:noProof/>
                <w:webHidden/>
              </w:rPr>
              <w:tab/>
            </w:r>
            <w:r w:rsidR="00061213">
              <w:rPr>
                <w:noProof/>
                <w:webHidden/>
              </w:rPr>
              <w:fldChar w:fldCharType="begin"/>
            </w:r>
            <w:r w:rsidR="00061213">
              <w:rPr>
                <w:noProof/>
                <w:webHidden/>
              </w:rPr>
              <w:instrText xml:space="preserve"> PAGEREF _Toc19714492 \h </w:instrText>
            </w:r>
            <w:r w:rsidR="00061213">
              <w:rPr>
                <w:noProof/>
                <w:webHidden/>
              </w:rPr>
            </w:r>
            <w:r w:rsidR="00061213">
              <w:rPr>
                <w:noProof/>
                <w:webHidden/>
              </w:rPr>
              <w:fldChar w:fldCharType="separate"/>
            </w:r>
            <w:r w:rsidR="00061213">
              <w:rPr>
                <w:noProof/>
                <w:webHidden/>
              </w:rPr>
              <w:t>8</w:t>
            </w:r>
            <w:r w:rsidR="00061213">
              <w:rPr>
                <w:noProof/>
                <w:webHidden/>
              </w:rPr>
              <w:fldChar w:fldCharType="end"/>
            </w:r>
          </w:hyperlink>
        </w:p>
        <w:p w14:paraId="30049B4E" w14:textId="77777777" w:rsidR="00061213" w:rsidRDefault="00183E09">
          <w:pPr>
            <w:pStyle w:val="TOC3"/>
            <w:tabs>
              <w:tab w:val="right" w:leader="dot" w:pos="9062"/>
            </w:tabs>
            <w:rPr>
              <w:rFonts w:eastAsiaTheme="minorEastAsia"/>
              <w:noProof/>
              <w:lang w:eastAsia="hr-HR"/>
            </w:rPr>
          </w:pPr>
          <w:hyperlink w:anchor="_Toc19714493" w:history="1">
            <w:r w:rsidR="00061213" w:rsidRPr="00F81E24">
              <w:rPr>
                <w:rStyle w:val="Hyperlink"/>
                <w:noProof/>
              </w:rPr>
              <w:t>3.1.2. Vrijeme trajanja dozvole</w:t>
            </w:r>
            <w:r w:rsidR="00061213">
              <w:rPr>
                <w:noProof/>
                <w:webHidden/>
              </w:rPr>
              <w:tab/>
            </w:r>
            <w:r w:rsidR="00061213">
              <w:rPr>
                <w:noProof/>
                <w:webHidden/>
              </w:rPr>
              <w:fldChar w:fldCharType="begin"/>
            </w:r>
            <w:r w:rsidR="00061213">
              <w:rPr>
                <w:noProof/>
                <w:webHidden/>
              </w:rPr>
              <w:instrText xml:space="preserve"> PAGEREF _Toc19714493 \h </w:instrText>
            </w:r>
            <w:r w:rsidR="00061213">
              <w:rPr>
                <w:noProof/>
                <w:webHidden/>
              </w:rPr>
            </w:r>
            <w:r w:rsidR="00061213">
              <w:rPr>
                <w:noProof/>
                <w:webHidden/>
              </w:rPr>
              <w:fldChar w:fldCharType="separate"/>
            </w:r>
            <w:r w:rsidR="00061213">
              <w:rPr>
                <w:noProof/>
                <w:webHidden/>
              </w:rPr>
              <w:t>9</w:t>
            </w:r>
            <w:r w:rsidR="00061213">
              <w:rPr>
                <w:noProof/>
                <w:webHidden/>
              </w:rPr>
              <w:fldChar w:fldCharType="end"/>
            </w:r>
          </w:hyperlink>
        </w:p>
        <w:p w14:paraId="3BC6CBD7" w14:textId="77777777" w:rsidR="00061213" w:rsidRDefault="00183E09">
          <w:pPr>
            <w:pStyle w:val="TOC3"/>
            <w:tabs>
              <w:tab w:val="right" w:leader="dot" w:pos="9062"/>
            </w:tabs>
            <w:rPr>
              <w:rFonts w:eastAsiaTheme="minorEastAsia"/>
              <w:noProof/>
              <w:lang w:eastAsia="hr-HR"/>
            </w:rPr>
          </w:pPr>
          <w:hyperlink w:anchor="_Toc19714494" w:history="1">
            <w:r w:rsidR="00061213" w:rsidRPr="00F81E24">
              <w:rPr>
                <w:rStyle w:val="Hyperlink"/>
                <w:noProof/>
              </w:rPr>
              <w:t>3.1.3. Područje uporabe</w:t>
            </w:r>
            <w:r w:rsidR="00061213">
              <w:rPr>
                <w:noProof/>
                <w:webHidden/>
              </w:rPr>
              <w:tab/>
            </w:r>
            <w:r w:rsidR="00061213">
              <w:rPr>
                <w:noProof/>
                <w:webHidden/>
              </w:rPr>
              <w:fldChar w:fldCharType="begin"/>
            </w:r>
            <w:r w:rsidR="00061213">
              <w:rPr>
                <w:noProof/>
                <w:webHidden/>
              </w:rPr>
              <w:instrText xml:space="preserve"> PAGEREF _Toc19714494 \h </w:instrText>
            </w:r>
            <w:r w:rsidR="00061213">
              <w:rPr>
                <w:noProof/>
                <w:webHidden/>
              </w:rPr>
            </w:r>
            <w:r w:rsidR="00061213">
              <w:rPr>
                <w:noProof/>
                <w:webHidden/>
              </w:rPr>
              <w:fldChar w:fldCharType="separate"/>
            </w:r>
            <w:r w:rsidR="00061213">
              <w:rPr>
                <w:noProof/>
                <w:webHidden/>
              </w:rPr>
              <w:t>9</w:t>
            </w:r>
            <w:r w:rsidR="00061213">
              <w:rPr>
                <w:noProof/>
                <w:webHidden/>
              </w:rPr>
              <w:fldChar w:fldCharType="end"/>
            </w:r>
          </w:hyperlink>
        </w:p>
        <w:p w14:paraId="5486BC0A" w14:textId="77777777" w:rsidR="00061213" w:rsidRDefault="00183E09">
          <w:pPr>
            <w:pStyle w:val="TOC3"/>
            <w:tabs>
              <w:tab w:val="right" w:leader="dot" w:pos="9062"/>
            </w:tabs>
            <w:rPr>
              <w:rFonts w:eastAsiaTheme="minorEastAsia"/>
              <w:noProof/>
              <w:lang w:eastAsia="hr-HR"/>
            </w:rPr>
          </w:pPr>
          <w:hyperlink w:anchor="_Toc19714495" w:history="1">
            <w:r w:rsidR="00061213" w:rsidRPr="00F81E24">
              <w:rPr>
                <w:rStyle w:val="Hyperlink"/>
                <w:noProof/>
              </w:rPr>
              <w:t>3.1.4. Koordinacija u pograničnim područjima i na regionalnoj razini</w:t>
            </w:r>
            <w:r w:rsidR="00061213">
              <w:rPr>
                <w:noProof/>
                <w:webHidden/>
              </w:rPr>
              <w:tab/>
            </w:r>
            <w:r w:rsidR="00061213">
              <w:rPr>
                <w:noProof/>
                <w:webHidden/>
              </w:rPr>
              <w:fldChar w:fldCharType="begin"/>
            </w:r>
            <w:r w:rsidR="00061213">
              <w:rPr>
                <w:noProof/>
                <w:webHidden/>
              </w:rPr>
              <w:instrText xml:space="preserve"> PAGEREF _Toc19714495 \h </w:instrText>
            </w:r>
            <w:r w:rsidR="00061213">
              <w:rPr>
                <w:noProof/>
                <w:webHidden/>
              </w:rPr>
            </w:r>
            <w:r w:rsidR="00061213">
              <w:rPr>
                <w:noProof/>
                <w:webHidden/>
              </w:rPr>
              <w:fldChar w:fldCharType="separate"/>
            </w:r>
            <w:r w:rsidR="00061213">
              <w:rPr>
                <w:noProof/>
                <w:webHidden/>
              </w:rPr>
              <w:t>9</w:t>
            </w:r>
            <w:r w:rsidR="00061213">
              <w:rPr>
                <w:noProof/>
                <w:webHidden/>
              </w:rPr>
              <w:fldChar w:fldCharType="end"/>
            </w:r>
          </w:hyperlink>
        </w:p>
        <w:p w14:paraId="4FE8A9AB" w14:textId="77777777" w:rsidR="00061213" w:rsidRDefault="00183E09">
          <w:pPr>
            <w:pStyle w:val="TOC3"/>
            <w:tabs>
              <w:tab w:val="right" w:leader="dot" w:pos="9062"/>
            </w:tabs>
            <w:rPr>
              <w:rFonts w:eastAsiaTheme="minorEastAsia"/>
              <w:noProof/>
              <w:lang w:eastAsia="hr-HR"/>
            </w:rPr>
          </w:pPr>
          <w:hyperlink w:anchor="_Toc19714496" w:history="1">
            <w:r w:rsidR="00061213" w:rsidRPr="00F81E24">
              <w:rPr>
                <w:rStyle w:val="Hyperlink"/>
                <w:noProof/>
              </w:rPr>
              <w:t>3.1.6. Uvjeti pokrivanja</w:t>
            </w:r>
            <w:r w:rsidR="00061213">
              <w:rPr>
                <w:noProof/>
                <w:webHidden/>
              </w:rPr>
              <w:tab/>
            </w:r>
            <w:r w:rsidR="00061213">
              <w:rPr>
                <w:noProof/>
                <w:webHidden/>
              </w:rPr>
              <w:fldChar w:fldCharType="begin"/>
            </w:r>
            <w:r w:rsidR="00061213">
              <w:rPr>
                <w:noProof/>
                <w:webHidden/>
              </w:rPr>
              <w:instrText xml:space="preserve"> PAGEREF _Toc19714496 \h </w:instrText>
            </w:r>
            <w:r w:rsidR="00061213">
              <w:rPr>
                <w:noProof/>
                <w:webHidden/>
              </w:rPr>
            </w:r>
            <w:r w:rsidR="00061213">
              <w:rPr>
                <w:noProof/>
                <w:webHidden/>
              </w:rPr>
              <w:fldChar w:fldCharType="separate"/>
            </w:r>
            <w:r w:rsidR="00061213">
              <w:rPr>
                <w:noProof/>
                <w:webHidden/>
              </w:rPr>
              <w:t>10</w:t>
            </w:r>
            <w:r w:rsidR="00061213">
              <w:rPr>
                <w:noProof/>
                <w:webHidden/>
              </w:rPr>
              <w:fldChar w:fldCharType="end"/>
            </w:r>
          </w:hyperlink>
        </w:p>
        <w:p w14:paraId="2BC1DD63" w14:textId="77777777" w:rsidR="00061213" w:rsidRDefault="00183E09">
          <w:pPr>
            <w:pStyle w:val="TOC3"/>
            <w:tabs>
              <w:tab w:val="right" w:leader="dot" w:pos="9062"/>
            </w:tabs>
            <w:rPr>
              <w:rFonts w:eastAsiaTheme="minorEastAsia"/>
              <w:noProof/>
              <w:lang w:eastAsia="hr-HR"/>
            </w:rPr>
          </w:pPr>
          <w:hyperlink w:anchor="_Toc19714497" w:history="1">
            <w:r w:rsidR="00061213" w:rsidRPr="00F81E24">
              <w:rPr>
                <w:rStyle w:val="Hyperlink"/>
                <w:noProof/>
              </w:rPr>
              <w:t>3.1.7. Sinkronizacija</w:t>
            </w:r>
            <w:r w:rsidR="00061213">
              <w:rPr>
                <w:noProof/>
                <w:webHidden/>
              </w:rPr>
              <w:tab/>
            </w:r>
            <w:r w:rsidR="00061213">
              <w:rPr>
                <w:noProof/>
                <w:webHidden/>
              </w:rPr>
              <w:fldChar w:fldCharType="begin"/>
            </w:r>
            <w:r w:rsidR="00061213">
              <w:rPr>
                <w:noProof/>
                <w:webHidden/>
              </w:rPr>
              <w:instrText xml:space="preserve"> PAGEREF _Toc19714497 \h </w:instrText>
            </w:r>
            <w:r w:rsidR="00061213">
              <w:rPr>
                <w:noProof/>
                <w:webHidden/>
              </w:rPr>
            </w:r>
            <w:r w:rsidR="00061213">
              <w:rPr>
                <w:noProof/>
                <w:webHidden/>
              </w:rPr>
              <w:fldChar w:fldCharType="separate"/>
            </w:r>
            <w:r w:rsidR="00061213">
              <w:rPr>
                <w:noProof/>
                <w:webHidden/>
              </w:rPr>
              <w:t>11</w:t>
            </w:r>
            <w:r w:rsidR="00061213">
              <w:rPr>
                <w:noProof/>
                <w:webHidden/>
              </w:rPr>
              <w:fldChar w:fldCharType="end"/>
            </w:r>
          </w:hyperlink>
        </w:p>
        <w:p w14:paraId="4756F7C1" w14:textId="77777777" w:rsidR="00061213" w:rsidRDefault="00183E09">
          <w:pPr>
            <w:pStyle w:val="TOC2"/>
            <w:tabs>
              <w:tab w:val="right" w:leader="dot" w:pos="9062"/>
            </w:tabs>
            <w:rPr>
              <w:rFonts w:eastAsiaTheme="minorEastAsia"/>
              <w:noProof/>
              <w:lang w:eastAsia="hr-HR"/>
            </w:rPr>
          </w:pPr>
          <w:hyperlink w:anchor="_Toc19714498" w:history="1">
            <w:r w:rsidR="00061213" w:rsidRPr="00F81E24">
              <w:rPr>
                <w:rStyle w:val="Hyperlink"/>
                <w:noProof/>
              </w:rPr>
              <w:t>3.2. Vremenski raspored dodjela</w:t>
            </w:r>
            <w:r w:rsidR="00061213">
              <w:rPr>
                <w:noProof/>
                <w:webHidden/>
              </w:rPr>
              <w:tab/>
            </w:r>
            <w:r w:rsidR="00061213">
              <w:rPr>
                <w:noProof/>
                <w:webHidden/>
              </w:rPr>
              <w:fldChar w:fldCharType="begin"/>
            </w:r>
            <w:r w:rsidR="00061213">
              <w:rPr>
                <w:noProof/>
                <w:webHidden/>
              </w:rPr>
              <w:instrText xml:space="preserve"> PAGEREF _Toc19714498 \h </w:instrText>
            </w:r>
            <w:r w:rsidR="00061213">
              <w:rPr>
                <w:noProof/>
                <w:webHidden/>
              </w:rPr>
            </w:r>
            <w:r w:rsidR="00061213">
              <w:rPr>
                <w:noProof/>
                <w:webHidden/>
              </w:rPr>
              <w:fldChar w:fldCharType="separate"/>
            </w:r>
            <w:r w:rsidR="00061213">
              <w:rPr>
                <w:noProof/>
                <w:webHidden/>
              </w:rPr>
              <w:t>12</w:t>
            </w:r>
            <w:r w:rsidR="00061213">
              <w:rPr>
                <w:noProof/>
                <w:webHidden/>
              </w:rPr>
              <w:fldChar w:fldCharType="end"/>
            </w:r>
          </w:hyperlink>
        </w:p>
        <w:p w14:paraId="6E6B8A51" w14:textId="77777777" w:rsidR="00061213" w:rsidRDefault="00183E09">
          <w:pPr>
            <w:pStyle w:val="TOC2"/>
            <w:tabs>
              <w:tab w:val="right" w:leader="dot" w:pos="9062"/>
            </w:tabs>
            <w:rPr>
              <w:rFonts w:eastAsiaTheme="minorEastAsia"/>
              <w:noProof/>
              <w:lang w:eastAsia="hr-HR"/>
            </w:rPr>
          </w:pPr>
          <w:hyperlink w:anchor="_Toc19714499" w:history="1">
            <w:r w:rsidR="00061213" w:rsidRPr="00F81E24">
              <w:rPr>
                <w:rStyle w:val="Hyperlink"/>
                <w:noProof/>
              </w:rPr>
              <w:t>3.3. Pitanja</w:t>
            </w:r>
            <w:r w:rsidR="00061213">
              <w:rPr>
                <w:noProof/>
                <w:webHidden/>
              </w:rPr>
              <w:tab/>
            </w:r>
            <w:r w:rsidR="00061213">
              <w:rPr>
                <w:noProof/>
                <w:webHidden/>
              </w:rPr>
              <w:fldChar w:fldCharType="begin"/>
            </w:r>
            <w:r w:rsidR="00061213">
              <w:rPr>
                <w:noProof/>
                <w:webHidden/>
              </w:rPr>
              <w:instrText xml:space="preserve"> PAGEREF _Toc19714499 \h </w:instrText>
            </w:r>
            <w:r w:rsidR="00061213">
              <w:rPr>
                <w:noProof/>
                <w:webHidden/>
              </w:rPr>
            </w:r>
            <w:r w:rsidR="00061213">
              <w:rPr>
                <w:noProof/>
                <w:webHidden/>
              </w:rPr>
              <w:fldChar w:fldCharType="separate"/>
            </w:r>
            <w:r w:rsidR="00061213">
              <w:rPr>
                <w:noProof/>
                <w:webHidden/>
              </w:rPr>
              <w:t>12</w:t>
            </w:r>
            <w:r w:rsidR="00061213">
              <w:rPr>
                <w:noProof/>
                <w:webHidden/>
              </w:rPr>
              <w:fldChar w:fldCharType="end"/>
            </w:r>
          </w:hyperlink>
        </w:p>
        <w:p w14:paraId="2402E949" w14:textId="48423EA5" w:rsidR="00DD215C" w:rsidRDefault="00DD215C">
          <w:r>
            <w:rPr>
              <w:b/>
              <w:bCs/>
              <w:noProof/>
            </w:rPr>
            <w:fldChar w:fldCharType="end"/>
          </w:r>
        </w:p>
      </w:sdtContent>
    </w:sdt>
    <w:p w14:paraId="133E7117" w14:textId="0C924099" w:rsidR="001D2BB2" w:rsidRDefault="00B951C2" w:rsidP="00A57F01">
      <w:pPr>
        <w:rPr>
          <w:b/>
        </w:rPr>
      </w:pPr>
      <w:r>
        <w:rPr>
          <w:b/>
        </w:rPr>
        <w:br w:type="page"/>
      </w:r>
    </w:p>
    <w:p w14:paraId="5AD65D38" w14:textId="4A3F7057" w:rsidR="001D2BB2" w:rsidRDefault="001A2A92" w:rsidP="004B3AAE">
      <w:pPr>
        <w:pStyle w:val="Heading1"/>
        <w:numPr>
          <w:ilvl w:val="0"/>
          <w:numId w:val="3"/>
        </w:numPr>
        <w:spacing w:before="0" w:after="240"/>
        <w:ind w:left="714" w:hanging="357"/>
      </w:pPr>
      <w:bookmarkStart w:id="1" w:name="_Toc19714484"/>
      <w:r>
        <w:lastRenderedPageBreak/>
        <w:t>UVOD</w:t>
      </w:r>
      <w:bookmarkEnd w:id="1"/>
    </w:p>
    <w:p w14:paraId="6CC326CD" w14:textId="5A2E017D" w:rsidR="001D2BB2" w:rsidRDefault="00E275E0" w:rsidP="001D2BB2">
      <w:pPr>
        <w:jc w:val="both"/>
      </w:pPr>
      <w:r>
        <w:t>Uvođenje</w:t>
      </w:r>
      <w:r w:rsidR="001D2BB2" w:rsidRPr="00CE3638">
        <w:t xml:space="preserve"> mreža</w:t>
      </w:r>
      <w:r w:rsidR="00F3325E">
        <w:t xml:space="preserve"> pete generacije (</w:t>
      </w:r>
      <w:r>
        <w:t>5G)</w:t>
      </w:r>
      <w:r w:rsidR="001D2BB2" w:rsidRPr="00CE3638">
        <w:t xml:space="preserve"> jedan je od ključnih čimbenika za omogućavanje dostupnosti širokopojasnog pristupa svim kućanstvima. Očekuje se također da će 5G stvoriti preduvjete</w:t>
      </w:r>
      <w:r w:rsidR="001D2BB2">
        <w:t>,</w:t>
      </w:r>
      <w:r w:rsidR="001D2BB2" w:rsidRPr="00CE3638">
        <w:t xml:space="preserve"> ne samo za nove usluge u pokretnim komunikacijama</w:t>
      </w:r>
      <w:r w:rsidR="001D2BB2">
        <w:t>,</w:t>
      </w:r>
      <w:r w:rsidR="001D2BB2" w:rsidRPr="00CE3638">
        <w:t xml:space="preserve"> nego i nove usluge/primjene u drugim industrijama kao što su automobilska industrija, zdravstvo, poljoprivreda, turizam, edukacija, mediji. Te mreže konceptualno predstavljaju potpuno novi ekosustav koji ne uključuje samo dionike tržišta elektroničkih komunikacija nego i drugih tržišta. </w:t>
      </w:r>
    </w:p>
    <w:p w14:paraId="15B4712C" w14:textId="5B25598F" w:rsidR="001D2BB2" w:rsidRDefault="001D2BB2" w:rsidP="001D2BB2">
      <w:pPr>
        <w:jc w:val="both"/>
      </w:pPr>
      <w:r>
        <w:t>Uzimajući u obzir navedeno, d</w:t>
      </w:r>
      <w:r w:rsidRPr="00CE3638">
        <w:t xml:space="preserve">ostupnost širokopojasnog pristupa internetu svim kućanstvima EU </w:t>
      </w:r>
      <w:r>
        <w:t>i</w:t>
      </w:r>
      <w:r w:rsidRPr="00CE3638">
        <w:t xml:space="preserve"> pokrivanje signalom 5G mreža svih glavnih prometnih pravaca i urbanih područja do 2025. neki su od glavnih ciljeva E</w:t>
      </w:r>
      <w:r>
        <w:t xml:space="preserve">uropske </w:t>
      </w:r>
      <w:r w:rsidRPr="00CE3638">
        <w:t>K</w:t>
      </w:r>
      <w:r w:rsidR="00F3325E">
        <w:t>omisije (</w:t>
      </w:r>
      <w:r>
        <w:t>EK)</w:t>
      </w:r>
      <w:r w:rsidRPr="00CE3638">
        <w:t xml:space="preserve"> definiranih 5G akcijskim planom</w:t>
      </w:r>
      <w:r w:rsidR="009A5AF4">
        <w:rPr>
          <w:rStyle w:val="FootnoteReference"/>
        </w:rPr>
        <w:footnoteReference w:id="1"/>
      </w:r>
      <w:r w:rsidRPr="00CE3638">
        <w:t xml:space="preserve"> i komunikacijom Povezivost za konkurentno jedinstveno digitalno tržište – Prema europskom gigabitnom društvu</w:t>
      </w:r>
      <w:r w:rsidR="009A5AF4">
        <w:rPr>
          <w:rStyle w:val="FootnoteReference"/>
        </w:rPr>
        <w:footnoteReference w:id="2"/>
      </w:r>
      <w:r w:rsidRPr="00CE3638">
        <w:t xml:space="preserve">. </w:t>
      </w:r>
    </w:p>
    <w:p w14:paraId="466671A3" w14:textId="1A1B2886" w:rsidR="00D24CBD" w:rsidRDefault="009E0BCD" w:rsidP="00D24CBD">
      <w:pPr>
        <w:jc w:val="both"/>
      </w:pPr>
      <w:r>
        <w:t>Navedeni</w:t>
      </w:r>
      <w:r w:rsidRPr="00CE3638">
        <w:t xml:space="preserve"> dokumenti </w:t>
      </w:r>
      <w:r w:rsidR="001D2BB2" w:rsidRPr="00CE3638">
        <w:t>povezani su s nov</w:t>
      </w:r>
      <w:r w:rsidR="001D2BB2">
        <w:t>im</w:t>
      </w:r>
      <w:r w:rsidR="001D2BB2" w:rsidRPr="00CE3638">
        <w:t xml:space="preserve"> regulatorn</w:t>
      </w:r>
      <w:r w:rsidR="001D2BB2">
        <w:t>im</w:t>
      </w:r>
      <w:r w:rsidR="001D2BB2" w:rsidRPr="00CE3638">
        <w:t xml:space="preserve"> okvir</w:t>
      </w:r>
      <w:r w:rsidR="001D2BB2">
        <w:t>om</w:t>
      </w:r>
      <w:r w:rsidR="001D2BB2" w:rsidRPr="00CE3638">
        <w:t xml:space="preserve"> za elektroničke komunikacije (</w:t>
      </w:r>
      <w:r w:rsidR="001D2BB2" w:rsidRPr="00CE3638">
        <w:rPr>
          <w:i/>
        </w:rPr>
        <w:t>European Electronic Communications Code</w:t>
      </w:r>
      <w:r w:rsidR="001D2BB2" w:rsidRPr="00CE3638">
        <w:t xml:space="preserve"> – EECC</w:t>
      </w:r>
      <w:r w:rsidR="001D2BB2">
        <w:t xml:space="preserve"> - </w:t>
      </w:r>
      <w:r w:rsidR="001D2BB2" w:rsidRPr="006241B6">
        <w:t>Direktiva (EU) 2018/1972</w:t>
      </w:r>
      <w:r w:rsidR="001D2BB2" w:rsidRPr="00CE3638">
        <w:t>)</w:t>
      </w:r>
      <w:r w:rsidR="009A5AF4">
        <w:rPr>
          <w:rStyle w:val="FootnoteReference"/>
        </w:rPr>
        <w:footnoteReference w:id="3"/>
      </w:r>
      <w:r w:rsidR="001D2BB2">
        <w:t xml:space="preserve">, koji je stupio na snagu u prosincu 2018., a države članice ga trebaju prenijeti u svoje zakonske okvire </w:t>
      </w:r>
      <w:r w:rsidR="001D2BB2" w:rsidRPr="006241B6">
        <w:t>najkasnije do 21. prosinca 2020</w:t>
      </w:r>
      <w:r w:rsidR="001D2BB2">
        <w:t xml:space="preserve">. Temeljni frekvencijski pojasevi za implementaciju 5G tehnologije su </w:t>
      </w:r>
      <w:r w:rsidR="001D2BB2" w:rsidRPr="00AC28ED">
        <w:t>700 M</w:t>
      </w:r>
      <w:r w:rsidR="001D2BB2">
        <w:t xml:space="preserve">Hz, </w:t>
      </w:r>
      <w:r w:rsidR="001D2BB2" w:rsidRPr="006241B6">
        <w:t>3,6 GHz i 26 GHz</w:t>
      </w:r>
      <w:r w:rsidR="001D2BB2">
        <w:t xml:space="preserve">. Prema EECC do 31. prosinca 2020. države članice moraju omogućiti uporabu </w:t>
      </w:r>
      <w:r w:rsidR="00502A4F">
        <w:t xml:space="preserve">frekvencijskih pojaseva </w:t>
      </w:r>
      <w:r w:rsidR="001D2BB2" w:rsidRPr="006241B6">
        <w:t>3,6 GHz i 26 GHz</w:t>
      </w:r>
      <w:r w:rsidR="001D2BB2">
        <w:t xml:space="preserve"> za 5G, dok je za </w:t>
      </w:r>
      <w:r w:rsidR="00502A4F">
        <w:t xml:space="preserve">pojas </w:t>
      </w:r>
      <w:r w:rsidR="001D2BB2">
        <w:t>700 MHz obveza omogućavanja uporabe do 30. lipnja 2020. određena Odlukom (EU)</w:t>
      </w:r>
      <w:r w:rsidR="001D2BB2" w:rsidRPr="00AC28ED">
        <w:t xml:space="preserve"> 2017/899</w:t>
      </w:r>
      <w:r w:rsidR="001D2BB2">
        <w:t>.</w:t>
      </w:r>
    </w:p>
    <w:p w14:paraId="6E96DFC5" w14:textId="418B1C24" w:rsidR="00A02958" w:rsidRDefault="00316A1A" w:rsidP="001D2BB2">
      <w:pPr>
        <w:jc w:val="both"/>
      </w:pPr>
      <w:r w:rsidRPr="00883DFD">
        <w:t xml:space="preserve">Nacionalnim planom djelovanja za uporabu frekvencijskog pojasa 470 – 790 MHz (NPD) </w:t>
      </w:r>
      <w:r w:rsidR="00883DFD" w:rsidRPr="00883DFD">
        <w:t>bit će</w:t>
      </w:r>
      <w:r w:rsidR="00883DFD">
        <w:t xml:space="preserve"> </w:t>
      </w:r>
      <w:r>
        <w:t>određene</w:t>
      </w:r>
      <w:r w:rsidRPr="003E0BBC">
        <w:t xml:space="preserve"> mjere i aktivnosti kako bi se dopustila uporaba frekvencijskog pojasa 700 MHz za bežične širokopojasne usluge elektroničkih komunikacija te osigurala raspoloživost frekvencijskog pojasa 470-694 MHz za zemaljsko pružanje radiodifuzijskih usluga te za uporabu od strane bežičnog audio PMSE-a</w:t>
      </w:r>
      <w:r>
        <w:t xml:space="preserve">. </w:t>
      </w:r>
      <w:r w:rsidR="00585F4B" w:rsidRPr="00883DFD">
        <w:t>Sukladno uvjetima iz</w:t>
      </w:r>
      <w:r w:rsidR="00585F4B">
        <w:t xml:space="preserve"> </w:t>
      </w:r>
      <w:r w:rsidR="00585F4B" w:rsidRPr="00883DFD">
        <w:t>dozvole</w:t>
      </w:r>
      <w:r w:rsidR="00585F4B">
        <w:t xml:space="preserve"> izdane</w:t>
      </w:r>
      <w:r w:rsidR="00585F4B" w:rsidRPr="00883DFD">
        <w:t xml:space="preserve"> za uporabu RF spektra za mreže digitalne televizije multipleksa M1, M2 i L1, prelazak nenaplatne zemaljske televizije</w:t>
      </w:r>
      <w:r w:rsidR="00585F4B">
        <w:t xml:space="preserve"> na DVB-T2/h.265 (HEVC)</w:t>
      </w:r>
      <w:r w:rsidR="00585F4B" w:rsidRPr="00883DFD">
        <w:t xml:space="preserve"> </w:t>
      </w:r>
      <w:r w:rsidR="00585F4B">
        <w:t>će se</w:t>
      </w:r>
      <w:r w:rsidR="00585F4B" w:rsidRPr="00883DFD">
        <w:t xml:space="preserve"> realizirati do srpnja 2020., uz isključivanje postojećih mreža </w:t>
      </w:r>
      <w:r w:rsidR="00585F4B" w:rsidRPr="00883DFD">
        <w:lastRenderedPageBreak/>
        <w:t>multipleksa A, B i D</w:t>
      </w:r>
      <w:r w:rsidR="00585F4B">
        <w:t xml:space="preserve">, čime će započeti oslobađanje </w:t>
      </w:r>
      <w:r w:rsidR="00585F4B" w:rsidRPr="00883DFD">
        <w:t>frekvencijskog pojasa 470 – 790 MHz.</w:t>
      </w:r>
      <w:r w:rsidR="00585F4B">
        <w:t xml:space="preserve"> Nakon promjene kanala u mrežama naplatne televizije (EVO TV), multipleksi C i E, frekvencijski pojas </w:t>
      </w:r>
      <w:r w:rsidRPr="00883DFD">
        <w:t>700 MHz</w:t>
      </w:r>
      <w:r w:rsidR="00585F4B">
        <w:t xml:space="preserve"> </w:t>
      </w:r>
      <w:r w:rsidRPr="00883DFD">
        <w:t xml:space="preserve">u kontinentalnom dijelu </w:t>
      </w:r>
      <w:r w:rsidR="00C041A1">
        <w:t>RH</w:t>
      </w:r>
      <w:r w:rsidR="00C041A1" w:rsidRPr="00883DFD">
        <w:t xml:space="preserve"> </w:t>
      </w:r>
      <w:r w:rsidR="006F4D57">
        <w:t xml:space="preserve">bit će </w:t>
      </w:r>
      <w:r w:rsidR="00C91635">
        <w:t xml:space="preserve">slobodan </w:t>
      </w:r>
      <w:r w:rsidRPr="00883DFD">
        <w:t>najkasnije do listopada 2020., a u priobalnom dijelu</w:t>
      </w:r>
      <w:r w:rsidR="00A02958">
        <w:t xml:space="preserve"> RH</w:t>
      </w:r>
      <w:r w:rsidRPr="00883DFD">
        <w:t xml:space="preserve"> najkasnije do listopada 2021. </w:t>
      </w:r>
    </w:p>
    <w:p w14:paraId="35F41AC9" w14:textId="13C21E95" w:rsidR="001D2BB2" w:rsidRPr="001D2BB2" w:rsidRDefault="001D2BB2" w:rsidP="001D2BB2">
      <w:pPr>
        <w:jc w:val="both"/>
      </w:pPr>
      <w:r w:rsidRPr="001D2BB2">
        <w:t>Zajednički EU vremenski plan uvođenja 5G tehnologije</w:t>
      </w:r>
      <w:r>
        <w:t>,</w:t>
      </w:r>
      <w:r w:rsidRPr="001D2BB2">
        <w:t xml:space="preserve"> uključuje</w:t>
      </w:r>
      <w:r w:rsidR="00D24CBD">
        <w:t>,</w:t>
      </w:r>
      <w:r w:rsidRPr="001D2BB2">
        <w:t xml:space="preserve"> </w:t>
      </w:r>
      <w:r w:rsidR="00D24CBD">
        <w:t xml:space="preserve">između ostalog, </w:t>
      </w:r>
      <w:r w:rsidRPr="001D2BB2">
        <w:t xml:space="preserve">identifikaciju </w:t>
      </w:r>
      <w:r w:rsidR="00883DFD">
        <w:t xml:space="preserve">i pokrivanje </w:t>
      </w:r>
      <w:r w:rsidRPr="001D2BB2">
        <w:t xml:space="preserve">barem jednog većeg grada do kraja </w:t>
      </w:r>
      <w:r w:rsidR="009E0BCD" w:rsidRPr="001D2BB2">
        <w:t>2020</w:t>
      </w:r>
      <w:r w:rsidRPr="001D2BB2">
        <w:t xml:space="preserve">. </w:t>
      </w:r>
      <w:r w:rsidR="00883DFD">
        <w:t>te</w:t>
      </w:r>
      <w:r w:rsidR="00883DFD" w:rsidRPr="001D2BB2">
        <w:t xml:space="preserve"> </w:t>
      </w:r>
      <w:r w:rsidRPr="001D2BB2">
        <w:t>neprekinuto 5G pokrivanje urbanih područja i glavnih zemaljskih transportnih putova do 2025.</w:t>
      </w:r>
      <w:r w:rsidR="00D24CBD">
        <w:t xml:space="preserve"> </w:t>
      </w:r>
    </w:p>
    <w:p w14:paraId="70B46A08" w14:textId="77777777" w:rsidR="001D2BB2" w:rsidRDefault="00E275E0" w:rsidP="00E275E0">
      <w:pPr>
        <w:jc w:val="both"/>
      </w:pPr>
      <w:r>
        <w:t>Ka</w:t>
      </w:r>
      <w:r w:rsidR="00D24CBD">
        <w:t>o</w:t>
      </w:r>
      <w:r>
        <w:t xml:space="preserve"> prvi preduvjet za</w:t>
      </w:r>
      <w:r w:rsidR="00D24CBD">
        <w:t xml:space="preserve"> </w:t>
      </w:r>
      <w:r>
        <w:t>ostvarivanje ovog vremenskog plana potrebno je provesti dodjelu RF spektra za 5G mreže pokretnih komunikacija. S obzirom na raspoloživost frekvencijskog spektra i dostupnost odašiljačke opreme te dodjele spektra u drugim državama članicama EU, HAKOM planira prvo provesti postupak dodjele frekvencijskih pojaseva 700 MHz i 3,6 GHz.</w:t>
      </w:r>
      <w:r w:rsidR="00F70F43">
        <w:t xml:space="preserve"> Prije pokretanja postupka dodjele donijet će se, odnosno izmijeniti odgovarajući planovi dodjele za navedene frekvencijske pojaseve. </w:t>
      </w:r>
      <w:r w:rsidR="00F70F43" w:rsidRPr="00883DFD">
        <w:t>Za druge frekvencijske pojaseve koji su predviđeni za mreže pokretnih komunikacija postupak dodjele provodit će se ovisno o interesu tržišta i preporukama EK.</w:t>
      </w:r>
    </w:p>
    <w:p w14:paraId="16B748ED" w14:textId="0AF8CE94" w:rsidR="00C776BB" w:rsidRDefault="00C776BB" w:rsidP="00E275E0">
      <w:pPr>
        <w:jc w:val="both"/>
      </w:pPr>
      <w:r w:rsidRPr="00C776BB">
        <w:rPr>
          <w:lang w:eastAsia="pl-PL"/>
        </w:rPr>
        <w:t xml:space="preserve">Prilikom dodjele 700 MHz potrebno je voditi računa potrebama </w:t>
      </w:r>
      <w:r w:rsidR="003B1BE9" w:rsidRPr="00C776BB">
        <w:rPr>
          <w:lang w:eastAsia="pl-PL"/>
        </w:rPr>
        <w:t xml:space="preserve">i osiguravanju dovoljne količine spektra </w:t>
      </w:r>
      <w:r w:rsidRPr="00C776BB">
        <w:rPr>
          <w:lang w:eastAsia="pl-PL"/>
        </w:rPr>
        <w:t>za PPDR</w:t>
      </w:r>
      <w:r w:rsidR="003B1BE9">
        <w:rPr>
          <w:lang w:eastAsia="pl-PL"/>
        </w:rPr>
        <w:t xml:space="preserve"> </w:t>
      </w:r>
      <w:r w:rsidR="003B1BE9">
        <w:t>(</w:t>
      </w:r>
      <w:r w:rsidR="003B1BE9">
        <w:rPr>
          <w:i/>
        </w:rPr>
        <w:t>Public Protection and Disaster Relief</w:t>
      </w:r>
      <w:r w:rsidR="003B1BE9">
        <w:t>)</w:t>
      </w:r>
      <w:r w:rsidRPr="00C776BB">
        <w:rPr>
          <w:lang w:eastAsia="pl-PL"/>
        </w:rPr>
        <w:t xml:space="preserve"> </w:t>
      </w:r>
      <w:r w:rsidR="003B1BE9">
        <w:rPr>
          <w:lang w:eastAsia="pl-PL"/>
        </w:rPr>
        <w:t>mreže</w:t>
      </w:r>
      <w:r w:rsidRPr="00C776BB">
        <w:rPr>
          <w:lang w:eastAsia="pl-PL"/>
        </w:rPr>
        <w:t xml:space="preserve">. </w:t>
      </w:r>
      <w:r w:rsidRPr="00C776BB">
        <w:rPr>
          <w:bCs/>
        </w:rPr>
        <w:t>Tehnička realizacija PPDR</w:t>
      </w:r>
      <w:r>
        <w:rPr>
          <w:bCs/>
        </w:rPr>
        <w:t xml:space="preserve"> </w:t>
      </w:r>
      <w:r w:rsidRPr="00C776BB">
        <w:rPr>
          <w:bCs/>
        </w:rPr>
        <w:t xml:space="preserve"> mreže treba udovoljavati specifičnim zahtjevima korisnika za kritičnim i nekritičnim komunikacijama te povećavati djelotvornost hitnih službi u obavljanju njihovih zadaća.</w:t>
      </w:r>
    </w:p>
    <w:p w14:paraId="497B3923" w14:textId="776D2981" w:rsidR="00F70F43" w:rsidRDefault="009E0BCD" w:rsidP="00E275E0">
      <w:pPr>
        <w:jc w:val="both"/>
      </w:pPr>
      <w:r>
        <w:t xml:space="preserve">Sukladno navedenom, HAKOM pokreće ovu javnu raspravu kako bi izvijestio dionike tržišta i javnost o namjeri dodjele spektra za </w:t>
      </w:r>
      <w:r w:rsidR="00C041A1">
        <w:t>5G mreže</w:t>
      </w:r>
      <w:r>
        <w:t xml:space="preserve"> te ispitao stanje na tržištu u smislu potreba za spektrom za pojedine korisnike, utvrdio opti</w:t>
      </w:r>
      <w:r w:rsidR="00C041A1">
        <w:t xml:space="preserve">malni način dodjele RF spektra </w:t>
      </w:r>
      <w:r>
        <w:t>i rok valjanosti dozvola koji će biti usklađen s povratom investicija te definirao područje i druge uvjete uporabe RF spektra.</w:t>
      </w:r>
      <w:r w:rsidR="001D0D55">
        <w:t xml:space="preserve"> HAKOM će na osnovu rezultata ove javne rasprave izmijeniti odgovarajuće planove dodjele za navedene frekvencijske pojaseve.</w:t>
      </w:r>
    </w:p>
    <w:p w14:paraId="035DE959" w14:textId="77777777" w:rsidR="00DC35EC" w:rsidRPr="001D2BB2" w:rsidRDefault="00DC35EC" w:rsidP="00E275E0">
      <w:pPr>
        <w:jc w:val="both"/>
      </w:pPr>
    </w:p>
    <w:p w14:paraId="4E9F026E" w14:textId="3E1496BA" w:rsidR="00ED3F2E" w:rsidRPr="00ED3F2E" w:rsidRDefault="001A2A92" w:rsidP="004B3AAE">
      <w:pPr>
        <w:pStyle w:val="Heading1"/>
        <w:numPr>
          <w:ilvl w:val="0"/>
          <w:numId w:val="3"/>
        </w:numPr>
        <w:spacing w:before="0" w:after="240"/>
        <w:ind w:left="714" w:hanging="357"/>
      </w:pPr>
      <w:bookmarkStart w:id="2" w:name="_Toc19714485"/>
      <w:r>
        <w:lastRenderedPageBreak/>
        <w:t>FREKVENCIJSKI POJASEVI</w:t>
      </w:r>
      <w:bookmarkEnd w:id="2"/>
    </w:p>
    <w:p w14:paraId="7E70AA34" w14:textId="0EF3D7D0" w:rsidR="00DD215C" w:rsidRDefault="00A57F01" w:rsidP="004B3AAE">
      <w:pPr>
        <w:pStyle w:val="Heading2"/>
        <w:spacing w:before="0" w:after="240"/>
        <w:ind w:firstLine="709"/>
      </w:pPr>
      <w:bookmarkStart w:id="3" w:name="_Toc19714486"/>
      <w:r>
        <w:t xml:space="preserve">2.1. </w:t>
      </w:r>
      <w:r w:rsidR="001E0185">
        <w:t xml:space="preserve">Frekvencijski pojas </w:t>
      </w:r>
      <w:r w:rsidR="001A2A92">
        <w:t>700 MHz</w:t>
      </w:r>
      <w:bookmarkEnd w:id="3"/>
    </w:p>
    <w:p w14:paraId="2B530180" w14:textId="77777777" w:rsidR="00C041A1" w:rsidRPr="002944B9" w:rsidRDefault="00C041A1" w:rsidP="00C041A1">
      <w:pPr>
        <w:shd w:val="clear" w:color="auto" w:fill="FFFFFF"/>
        <w:jc w:val="both"/>
      </w:pPr>
      <w:r w:rsidRPr="002944B9">
        <w:t>Frekvencijski pojas 700 MHz jedan je od temeljnih frekvencijskih pojas</w:t>
      </w:r>
      <w:r>
        <w:t>ev</w:t>
      </w:r>
      <w:r w:rsidRPr="002944B9">
        <w:t>a u koj</w:t>
      </w:r>
      <w:r>
        <w:t>em</w:t>
      </w:r>
      <w:r w:rsidRPr="0077030A">
        <w:t xml:space="preserve"> će se uvoditi 5G tehnologija. </w:t>
      </w:r>
    </w:p>
    <w:p w14:paraId="2A6D4785" w14:textId="77777777" w:rsidR="00C041A1" w:rsidRPr="009B5F94" w:rsidRDefault="00C041A1" w:rsidP="00C041A1">
      <w:r>
        <w:t>Značajke RF</w:t>
      </w:r>
      <w:r w:rsidRPr="0077030A">
        <w:t xml:space="preserve"> spektra u frekvencijskom pojasu </w:t>
      </w:r>
      <w:r w:rsidRPr="009B5F94">
        <w:t>700 MHz omogućuju:</w:t>
      </w:r>
    </w:p>
    <w:p w14:paraId="3D5D7FC0" w14:textId="77777777" w:rsidR="00C041A1" w:rsidRPr="006A3575" w:rsidRDefault="00C041A1" w:rsidP="00C041A1">
      <w:pPr>
        <w:numPr>
          <w:ilvl w:val="0"/>
          <w:numId w:val="5"/>
        </w:numPr>
        <w:spacing w:after="120" w:line="240" w:lineRule="auto"/>
        <w:jc w:val="both"/>
      </w:pPr>
      <w:r w:rsidRPr="009B5F94">
        <w:t>veće pokrivanje, što operatorima omoguć</w:t>
      </w:r>
      <w:r>
        <w:t>uje</w:t>
      </w:r>
      <w:r w:rsidRPr="0077030A">
        <w:t xml:space="preserve"> izgradnju manjeg broja </w:t>
      </w:r>
      <w:r>
        <w:t>osnovnih (</w:t>
      </w:r>
      <w:r w:rsidRPr="0077030A">
        <w:t>baznih</w:t>
      </w:r>
      <w:r>
        <w:t>) postaja</w:t>
      </w:r>
      <w:r w:rsidRPr="0077030A">
        <w:t xml:space="preserve">, </w:t>
      </w:r>
      <w:r>
        <w:t>čime</w:t>
      </w:r>
      <w:r w:rsidRPr="0077030A">
        <w:t xml:space="preserve"> se ujedno smanjuju i troškovi ulaganja u izgradnju mreže</w:t>
      </w:r>
    </w:p>
    <w:p w14:paraId="46FAB8B3" w14:textId="77777777" w:rsidR="00C041A1" w:rsidRPr="009B5F94" w:rsidRDefault="00C041A1" w:rsidP="00C041A1">
      <w:pPr>
        <w:numPr>
          <w:ilvl w:val="0"/>
          <w:numId w:val="5"/>
        </w:numPr>
        <w:spacing w:after="120" w:line="240" w:lineRule="auto"/>
        <w:jc w:val="both"/>
      </w:pPr>
      <w:r w:rsidRPr="002944B9">
        <w:t xml:space="preserve">poboljšanje </w:t>
      </w:r>
      <w:r w:rsidRPr="009B5F94">
        <w:t xml:space="preserve"> propusnosti mreže s </w:t>
      </w:r>
      <w:r>
        <w:t>većom</w:t>
      </w:r>
      <w:r w:rsidRPr="009B5F94">
        <w:t xml:space="preserve"> mogućnosti pokrivanja ruralnih područja</w:t>
      </w:r>
      <w:r>
        <w:t>, što će se</w:t>
      </w:r>
      <w:r w:rsidRPr="006A3575">
        <w:t xml:space="preserve"> najviše </w:t>
      </w:r>
      <w:r w:rsidRPr="009B5F94">
        <w:t>odrazi</w:t>
      </w:r>
      <w:r>
        <w:t>ti</w:t>
      </w:r>
      <w:r w:rsidRPr="0077030A">
        <w:t xml:space="preserve"> na korisnike koji se nalaze na rubnom području pokrivanja</w:t>
      </w:r>
    </w:p>
    <w:p w14:paraId="17C6FB8C" w14:textId="40C42539" w:rsidR="00C041A1" w:rsidRDefault="00C041A1" w:rsidP="00C041A1">
      <w:pPr>
        <w:numPr>
          <w:ilvl w:val="0"/>
          <w:numId w:val="5"/>
        </w:numPr>
        <w:spacing w:line="240" w:lineRule="auto"/>
        <w:ind w:left="714" w:hanging="357"/>
        <w:jc w:val="both"/>
      </w:pPr>
      <w:r w:rsidRPr="005B0F37">
        <w:t>stvara</w:t>
      </w:r>
      <w:r>
        <w:t>nje</w:t>
      </w:r>
      <w:r w:rsidRPr="0077030A">
        <w:t xml:space="preserve"> </w:t>
      </w:r>
      <w:r w:rsidR="00F82761">
        <w:t>preduvjeta</w:t>
      </w:r>
      <w:r w:rsidR="00F82761" w:rsidRPr="0077030A">
        <w:t xml:space="preserve"> </w:t>
      </w:r>
      <w:r w:rsidRPr="0077030A">
        <w:t xml:space="preserve">za pružanje novih usluga i tehnologija u tom </w:t>
      </w:r>
      <w:r w:rsidRPr="00FE2D11">
        <w:t>radiofrekvencijsko</w:t>
      </w:r>
      <w:r>
        <w:t>m</w:t>
      </w:r>
      <w:r w:rsidRPr="0077030A">
        <w:t xml:space="preserve"> spektru </w:t>
      </w:r>
      <w:r>
        <w:t>zbog</w:t>
      </w:r>
      <w:r w:rsidRPr="0077030A">
        <w:t xml:space="preserve"> </w:t>
      </w:r>
      <w:r>
        <w:t xml:space="preserve">harmonizirane </w:t>
      </w:r>
      <w:r w:rsidRPr="0077030A">
        <w:t>uporab</w:t>
      </w:r>
      <w:r>
        <w:t xml:space="preserve">e </w:t>
      </w:r>
      <w:r w:rsidRPr="0077030A">
        <w:t>na međunarodnoj razini</w:t>
      </w:r>
    </w:p>
    <w:p w14:paraId="433E792A" w14:textId="1EC7234D" w:rsidR="00173FA9" w:rsidRDefault="00173FA9" w:rsidP="009B436C">
      <w:pPr>
        <w:jc w:val="both"/>
      </w:pPr>
      <w:r>
        <w:t>Usklađeni tehnički uvjeti za pokretne/fiksne komunikacijske mreže (MFCN</w:t>
      </w:r>
      <w:r w:rsidR="00924A44">
        <w:t xml:space="preserve"> mreže</w:t>
      </w:r>
      <w:r>
        <w:t>) u pojasu 694-790 MHz na razini Europske unije propisani su provedbenom odlukom Europske</w:t>
      </w:r>
      <w:r w:rsidRPr="009B436C">
        <w:t xml:space="preserve"> </w:t>
      </w:r>
      <w:r w:rsidR="002275ED">
        <w:t xml:space="preserve">komisije </w:t>
      </w:r>
      <w:r w:rsidRPr="009B436C">
        <w:t>(EU) 2016/687</w:t>
      </w:r>
      <w:r w:rsidR="00CB1300">
        <w:rPr>
          <w:rStyle w:val="FootnoteReference"/>
        </w:rPr>
        <w:footnoteReference w:id="4"/>
      </w:r>
      <w:r>
        <w:t xml:space="preserve"> (odnosno ECC</w:t>
      </w:r>
      <w:r w:rsidR="00CB1300">
        <w:t>/DEC/</w:t>
      </w:r>
      <w:r w:rsidR="00ED3F2E">
        <w:t>(15)01</w:t>
      </w:r>
      <w:r w:rsidR="00CB1300">
        <w:rPr>
          <w:rStyle w:val="FootnoteReference"/>
        </w:rPr>
        <w:footnoteReference w:id="5"/>
      </w:r>
      <w:r w:rsidR="00ED3F2E">
        <w:t>). Frekvencijski pojas</w:t>
      </w:r>
      <w:r>
        <w:t xml:space="preserve"> sastoji</w:t>
      </w:r>
      <w:r w:rsidR="00ED3F2E">
        <w:t xml:space="preserve"> se</w:t>
      </w:r>
      <w:r>
        <w:t xml:space="preserve"> od uparenog dijela spektra od 2x30 MHz koji je podijeljen u šest frekvencijskih blokova od 5 MHz i zaštitnih pojaseva 694-703 MHz i 788-791 MHz te FDD dupleksnog </w:t>
      </w:r>
      <w:r w:rsidR="00121235">
        <w:t>rascjepa</w:t>
      </w:r>
      <w:r>
        <w:t xml:space="preserve"> </w:t>
      </w:r>
      <w:r w:rsidR="00121235">
        <w:t>o</w:t>
      </w:r>
      <w:r>
        <w:t>d 733-758 MHz.</w:t>
      </w:r>
    </w:p>
    <w:p w14:paraId="4EBB05DE" w14:textId="5E971878" w:rsidR="00173FA9" w:rsidRDefault="00173FA9" w:rsidP="009B436C">
      <w:pPr>
        <w:jc w:val="both"/>
      </w:pPr>
      <w:r>
        <w:t xml:space="preserve">Upareni </w:t>
      </w:r>
      <w:r w:rsidR="00121235">
        <w:t xml:space="preserve">dio </w:t>
      </w:r>
      <w:r w:rsidR="00ED3F2E">
        <w:t xml:space="preserve">pojasa </w:t>
      </w:r>
      <w:r w:rsidR="00121235">
        <w:t>700 MHz određen je</w:t>
      </w:r>
      <w:r>
        <w:t xml:space="preserve"> dupleksnim razmakom od 55 MHz</w:t>
      </w:r>
      <w:r w:rsidR="00121235">
        <w:t>,</w:t>
      </w:r>
      <w:r>
        <w:t xml:space="preserve"> frekvencijsk</w:t>
      </w:r>
      <w:r w:rsidR="00121235">
        <w:t>im</w:t>
      </w:r>
      <w:r>
        <w:t xml:space="preserve"> </w:t>
      </w:r>
      <w:r w:rsidR="0061158F">
        <w:t>poj</w:t>
      </w:r>
      <w:r w:rsidR="00CB1300">
        <w:t>a</w:t>
      </w:r>
      <w:r w:rsidR="0061158F">
        <w:t>so</w:t>
      </w:r>
      <w:r w:rsidR="00121235">
        <w:t>m</w:t>
      </w:r>
      <w:r>
        <w:t xml:space="preserve"> silazne veze 758-788 MHz i frekvencijsk</w:t>
      </w:r>
      <w:r w:rsidR="00121235">
        <w:t>im</w:t>
      </w:r>
      <w:r w:rsidR="0061158F">
        <w:t xml:space="preserve"> pojaso</w:t>
      </w:r>
      <w:r w:rsidR="00121235">
        <w:t>m</w:t>
      </w:r>
      <w:r>
        <w:t xml:space="preserve"> uzlazne veze 703-733MHz. Frekvencijski pojas 738-758 MHz može se dodijeliti isključivo za silaznu vezu</w:t>
      </w:r>
      <w:r w:rsidR="00121235">
        <w:t xml:space="preserve"> (SDL)</w:t>
      </w:r>
      <w:r w:rsidR="00351DDB">
        <w:t xml:space="preserve"> u blokovima od 5 MHz</w:t>
      </w:r>
      <w:r>
        <w:t xml:space="preserve"> gdje gornji dio pojasa može biti na 758 ili 753 </w:t>
      </w:r>
      <w:r w:rsidR="00A25642">
        <w:t>MHz</w:t>
      </w:r>
      <w:r>
        <w:t>, a donji dio na 738</w:t>
      </w:r>
      <w:r w:rsidR="00351DDB">
        <w:t xml:space="preserve"> MHz</w:t>
      </w:r>
      <w:r>
        <w:t>, 743</w:t>
      </w:r>
      <w:r w:rsidR="00351DDB">
        <w:t xml:space="preserve"> MHz</w:t>
      </w:r>
      <w:r>
        <w:t>, 748</w:t>
      </w:r>
      <w:r w:rsidR="00351DDB">
        <w:t xml:space="preserve"> MHz</w:t>
      </w:r>
      <w:r>
        <w:t xml:space="preserve"> ili 753 MHz.</w:t>
      </w:r>
    </w:p>
    <w:p w14:paraId="307AAADC" w14:textId="154AA0A8" w:rsidR="009E0BCD" w:rsidRDefault="009E0BCD" w:rsidP="009B436C">
      <w:pPr>
        <w:jc w:val="both"/>
      </w:pPr>
      <w:r>
        <w:t xml:space="preserve">U slučaju uporabe frekvencijskih pojaseva 698-703 MHz, 733-736 MHz, 753-758 MHz i 788-791 MHz u cijelosti ili djelomično za </w:t>
      </w:r>
      <w:r w:rsidRPr="00C041A1">
        <w:t>PPDR</w:t>
      </w:r>
      <w:r>
        <w:t xml:space="preserve"> komunikacije, navedene frekvencije se moraju koristiti kao frekvencijski dupleks s dupleksnim razmak</w:t>
      </w:r>
      <w:r w:rsidR="00A25642">
        <w:t>om</w:t>
      </w:r>
      <w:r>
        <w:t xml:space="preserve"> od 55 MHz gdje </w:t>
      </w:r>
      <w:r w:rsidR="00A25642">
        <w:t xml:space="preserve">se </w:t>
      </w:r>
      <w:r>
        <w:t>kao frekvencijsk</w:t>
      </w:r>
      <w:r w:rsidR="0061158F">
        <w:t>i</w:t>
      </w:r>
      <w:r>
        <w:t xml:space="preserve"> </w:t>
      </w:r>
      <w:r w:rsidR="0061158F">
        <w:lastRenderedPageBreak/>
        <w:t>pojas</w:t>
      </w:r>
      <w:r>
        <w:t xml:space="preserve"> uzlazne veze koriste pojasevi 698-703 MHz i/ili 733-736 MHz, a kao frekvencijsk</w:t>
      </w:r>
      <w:r w:rsidR="0061158F">
        <w:t>i</w:t>
      </w:r>
      <w:r>
        <w:t xml:space="preserve"> po</w:t>
      </w:r>
      <w:r w:rsidR="0061158F">
        <w:t>jas</w:t>
      </w:r>
      <w:r>
        <w:t xml:space="preserve"> silazne veze 753-758 i/ili 788-791 MHz.</w:t>
      </w:r>
    </w:p>
    <w:p w14:paraId="7063D105" w14:textId="4895C11C" w:rsidR="00173FA9" w:rsidRPr="00C041A1" w:rsidRDefault="009E0BCD" w:rsidP="009B436C">
      <w:pPr>
        <w:jc w:val="both"/>
      </w:pPr>
      <w:r>
        <w:t xml:space="preserve">U slučaju uporabe frekvencijskih pojaseva 733-736 MHz i 788-791 MHz za </w:t>
      </w:r>
      <w:r w:rsidRPr="00C041A1">
        <w:t>M2M</w:t>
      </w:r>
      <w:r w:rsidR="00CB1300" w:rsidRPr="00C041A1">
        <w:t xml:space="preserve"> (</w:t>
      </w:r>
      <w:r w:rsidR="00CB1300" w:rsidRPr="00C041A1">
        <w:rPr>
          <w:i/>
        </w:rPr>
        <w:t>Machine-to-Machine</w:t>
      </w:r>
      <w:r w:rsidR="00CB1300" w:rsidRPr="00C041A1">
        <w:t>)</w:t>
      </w:r>
      <w:r w:rsidRPr="00C041A1">
        <w:t xml:space="preserve"> komunikaciju, navedene frekvencije se moraju koristiti kao frekvencijski dupleks s dupleksnim razmak</w:t>
      </w:r>
      <w:r w:rsidR="00A25642" w:rsidRPr="00C041A1">
        <w:t>om</w:t>
      </w:r>
      <w:r w:rsidRPr="00C041A1">
        <w:t xml:space="preserve"> od 55 MHz gdje </w:t>
      </w:r>
      <w:r w:rsidR="00A25642" w:rsidRPr="00C041A1">
        <w:t xml:space="preserve">se </w:t>
      </w:r>
      <w:r w:rsidRPr="00C041A1">
        <w:t>kao frekvencijsk</w:t>
      </w:r>
      <w:r w:rsidR="0061158F" w:rsidRPr="00C041A1">
        <w:t>i</w:t>
      </w:r>
      <w:r w:rsidRPr="00C041A1">
        <w:t xml:space="preserve"> po</w:t>
      </w:r>
      <w:r w:rsidR="0061158F" w:rsidRPr="00C041A1">
        <w:t>jas</w:t>
      </w:r>
      <w:r w:rsidRPr="00C041A1">
        <w:t xml:space="preserve"> uzlazne veze </w:t>
      </w:r>
      <w:r w:rsidR="00A25642" w:rsidRPr="00C041A1">
        <w:t xml:space="preserve">koristi </w:t>
      </w:r>
      <w:r w:rsidRPr="00C041A1">
        <w:t>pojas 733-736 MHz, a kao frekvencijsk</w:t>
      </w:r>
      <w:r w:rsidR="0061158F" w:rsidRPr="00C041A1">
        <w:t xml:space="preserve">i </w:t>
      </w:r>
      <w:r w:rsidRPr="00C041A1">
        <w:t>po</w:t>
      </w:r>
      <w:r w:rsidR="0061158F" w:rsidRPr="00C041A1">
        <w:t>jas</w:t>
      </w:r>
      <w:r w:rsidRPr="00C041A1">
        <w:t xml:space="preserve"> silazne veze 788-791 MHz.</w:t>
      </w:r>
    </w:p>
    <w:p w14:paraId="4056AF6B" w14:textId="3C290F79" w:rsidR="00173FA9" w:rsidRDefault="00E9504A" w:rsidP="009B436C">
      <w:pPr>
        <w:jc w:val="both"/>
      </w:pPr>
      <w:r w:rsidRPr="00C041A1">
        <w:t>Frekvencijski pojasevi</w:t>
      </w:r>
      <w:r w:rsidR="00173FA9" w:rsidRPr="00C041A1">
        <w:t xml:space="preserve"> 694-703 MHz i 733-758 MHz mogu</w:t>
      </w:r>
      <w:r w:rsidR="00010051" w:rsidRPr="00C041A1">
        <w:t xml:space="preserve"> se</w:t>
      </w:r>
      <w:r w:rsidR="00173FA9" w:rsidRPr="00C041A1">
        <w:t xml:space="preserve"> u cijelosti ili djelomično koristi i za bežičnu audio PMSE </w:t>
      </w:r>
      <w:r w:rsidR="00CB1300" w:rsidRPr="00C041A1">
        <w:t>(</w:t>
      </w:r>
      <w:r w:rsidR="00CB1300" w:rsidRPr="00C041A1">
        <w:rPr>
          <w:i/>
        </w:rPr>
        <w:t>Programme Making and Special Events</w:t>
      </w:r>
      <w:r w:rsidR="00CB1300" w:rsidRPr="00C041A1">
        <w:t xml:space="preserve">) </w:t>
      </w:r>
      <w:r w:rsidR="00173FA9" w:rsidRPr="00C041A1">
        <w:t>opremu</w:t>
      </w:r>
      <w:r w:rsidR="004963CB" w:rsidRPr="00C041A1">
        <w:t>.</w:t>
      </w:r>
    </w:p>
    <w:p w14:paraId="5BE93DE0" w14:textId="6EFA43AA" w:rsidR="00093283" w:rsidRDefault="00093283" w:rsidP="009B436C">
      <w:pPr>
        <w:jc w:val="both"/>
      </w:pPr>
      <w:r>
        <w:t>Frekvencijski raspored za frekvencijski pojas 694-790 MHz prikazan je na sljedećoj slici</w:t>
      </w:r>
      <w:r w:rsidR="00ED3F2E">
        <w:t>:</w:t>
      </w:r>
    </w:p>
    <w:tbl>
      <w:tblPr>
        <w:tblW w:w="0" w:type="auto"/>
        <w:tblInd w:w="55" w:type="dxa"/>
        <w:tblLayout w:type="fixed"/>
        <w:tblCellMar>
          <w:left w:w="0" w:type="dxa"/>
          <w:right w:w="0" w:type="dxa"/>
        </w:tblCellMar>
        <w:tblLook w:val="04A0" w:firstRow="1" w:lastRow="0" w:firstColumn="1" w:lastColumn="0" w:noHBand="0" w:noVBand="1"/>
      </w:tblPr>
      <w:tblGrid>
        <w:gridCol w:w="500"/>
        <w:gridCol w:w="469"/>
        <w:gridCol w:w="469"/>
        <w:gridCol w:w="469"/>
        <w:gridCol w:w="469"/>
        <w:gridCol w:w="469"/>
        <w:gridCol w:w="470"/>
        <w:gridCol w:w="482"/>
        <w:gridCol w:w="470"/>
        <w:gridCol w:w="470"/>
        <w:gridCol w:w="470"/>
        <w:gridCol w:w="470"/>
        <w:gridCol w:w="470"/>
        <w:gridCol w:w="470"/>
        <w:gridCol w:w="470"/>
        <w:gridCol w:w="470"/>
        <w:gridCol w:w="470"/>
        <w:gridCol w:w="470"/>
        <w:gridCol w:w="500"/>
      </w:tblGrid>
      <w:tr w:rsidR="00173FA9" w14:paraId="0E5832B6" w14:textId="77777777" w:rsidTr="00E9504A">
        <w:trPr>
          <w:trHeight w:val="767"/>
        </w:trPr>
        <w:tc>
          <w:tcPr>
            <w:tcW w:w="5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894666C" w14:textId="77777777" w:rsidR="00173FA9" w:rsidRDefault="00173FA9">
            <w:pPr>
              <w:rPr>
                <w:color w:val="000000"/>
                <w:sz w:val="16"/>
                <w:szCs w:val="16"/>
                <w:lang w:val="en-GB"/>
              </w:rPr>
            </w:pPr>
            <w:r>
              <w:rPr>
                <w:color w:val="000000"/>
                <w:sz w:val="16"/>
                <w:szCs w:val="16"/>
                <w:lang w:val="en-GB"/>
              </w:rPr>
              <w:t>694-703</w:t>
            </w:r>
          </w:p>
        </w:tc>
        <w:tc>
          <w:tcPr>
            <w:tcW w:w="4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02A332C" w14:textId="77777777" w:rsidR="00173FA9" w:rsidRDefault="00173FA9">
            <w:pPr>
              <w:rPr>
                <w:color w:val="000000"/>
                <w:sz w:val="16"/>
                <w:szCs w:val="16"/>
                <w:lang w:val="en-GB"/>
              </w:rPr>
            </w:pPr>
            <w:r>
              <w:rPr>
                <w:color w:val="000000"/>
                <w:sz w:val="16"/>
                <w:szCs w:val="16"/>
                <w:lang w:val="en-GB"/>
              </w:rPr>
              <w:t>703-708</w:t>
            </w:r>
          </w:p>
        </w:tc>
        <w:tc>
          <w:tcPr>
            <w:tcW w:w="4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DF9F513" w14:textId="77777777" w:rsidR="00173FA9" w:rsidRDefault="00173FA9">
            <w:pPr>
              <w:rPr>
                <w:color w:val="000000"/>
                <w:sz w:val="16"/>
                <w:szCs w:val="16"/>
                <w:lang w:val="en-GB"/>
              </w:rPr>
            </w:pPr>
            <w:r>
              <w:rPr>
                <w:color w:val="000000"/>
                <w:sz w:val="16"/>
                <w:szCs w:val="16"/>
                <w:lang w:val="en-GB"/>
              </w:rPr>
              <w:t>708-713</w:t>
            </w:r>
          </w:p>
        </w:tc>
        <w:tc>
          <w:tcPr>
            <w:tcW w:w="4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93BCECA" w14:textId="77777777" w:rsidR="00173FA9" w:rsidRDefault="00173FA9">
            <w:pPr>
              <w:rPr>
                <w:color w:val="000000"/>
                <w:sz w:val="16"/>
                <w:szCs w:val="16"/>
                <w:lang w:val="en-GB"/>
              </w:rPr>
            </w:pPr>
            <w:r>
              <w:rPr>
                <w:color w:val="000000"/>
                <w:sz w:val="16"/>
                <w:szCs w:val="16"/>
                <w:lang w:val="en-GB"/>
              </w:rPr>
              <w:t>713-718</w:t>
            </w:r>
          </w:p>
        </w:tc>
        <w:tc>
          <w:tcPr>
            <w:tcW w:w="4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6790303" w14:textId="77777777" w:rsidR="00173FA9" w:rsidRDefault="00173FA9">
            <w:pPr>
              <w:rPr>
                <w:color w:val="000000"/>
                <w:sz w:val="16"/>
                <w:szCs w:val="16"/>
                <w:lang w:val="en-GB"/>
              </w:rPr>
            </w:pPr>
            <w:r>
              <w:rPr>
                <w:color w:val="000000"/>
                <w:sz w:val="16"/>
                <w:szCs w:val="16"/>
                <w:lang w:val="en-GB"/>
              </w:rPr>
              <w:t>718-723</w:t>
            </w:r>
          </w:p>
        </w:tc>
        <w:tc>
          <w:tcPr>
            <w:tcW w:w="4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B7545A8" w14:textId="77777777" w:rsidR="00173FA9" w:rsidRDefault="00173FA9">
            <w:pPr>
              <w:rPr>
                <w:color w:val="000000"/>
                <w:sz w:val="16"/>
                <w:szCs w:val="16"/>
                <w:lang w:val="en-GB"/>
              </w:rPr>
            </w:pPr>
            <w:r>
              <w:rPr>
                <w:color w:val="000000"/>
                <w:sz w:val="16"/>
                <w:szCs w:val="16"/>
                <w:lang w:val="en-GB"/>
              </w:rPr>
              <w:t>723-728</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CFE2762" w14:textId="77777777" w:rsidR="00173FA9" w:rsidRDefault="00173FA9">
            <w:pPr>
              <w:rPr>
                <w:color w:val="000000"/>
                <w:sz w:val="16"/>
                <w:szCs w:val="16"/>
                <w:lang w:val="en-GB"/>
              </w:rPr>
            </w:pPr>
            <w:r>
              <w:rPr>
                <w:color w:val="000000"/>
                <w:sz w:val="16"/>
                <w:szCs w:val="16"/>
                <w:lang w:val="en-GB"/>
              </w:rPr>
              <w:t>728-733</w:t>
            </w:r>
          </w:p>
        </w:tc>
        <w:tc>
          <w:tcPr>
            <w:tcW w:w="48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D399D11" w14:textId="77777777" w:rsidR="00173FA9" w:rsidRDefault="00173FA9">
            <w:pPr>
              <w:rPr>
                <w:color w:val="000000"/>
                <w:sz w:val="16"/>
                <w:szCs w:val="16"/>
                <w:lang w:val="en-GB"/>
              </w:rPr>
            </w:pPr>
            <w:r>
              <w:rPr>
                <w:color w:val="000000"/>
                <w:sz w:val="16"/>
                <w:szCs w:val="16"/>
                <w:lang w:val="en-GB"/>
              </w:rPr>
              <w:t>733-738</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64B4D12" w14:textId="77777777" w:rsidR="00173FA9" w:rsidRDefault="00173FA9">
            <w:pPr>
              <w:rPr>
                <w:color w:val="000000"/>
                <w:sz w:val="16"/>
                <w:szCs w:val="16"/>
                <w:lang w:val="en-GB"/>
              </w:rPr>
            </w:pPr>
            <w:r>
              <w:rPr>
                <w:color w:val="000000"/>
                <w:sz w:val="16"/>
                <w:szCs w:val="16"/>
                <w:lang w:val="en-GB"/>
              </w:rPr>
              <w:t>738-743</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1D898B6" w14:textId="77777777" w:rsidR="00173FA9" w:rsidRDefault="00173FA9">
            <w:pPr>
              <w:rPr>
                <w:color w:val="000000"/>
                <w:sz w:val="16"/>
                <w:szCs w:val="16"/>
                <w:lang w:val="en-GB"/>
              </w:rPr>
            </w:pPr>
            <w:r>
              <w:rPr>
                <w:color w:val="000000"/>
                <w:sz w:val="16"/>
                <w:szCs w:val="16"/>
                <w:lang w:val="en-GB"/>
              </w:rPr>
              <w:t>743-748</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D674A9F" w14:textId="77777777" w:rsidR="00173FA9" w:rsidRDefault="00173FA9">
            <w:pPr>
              <w:rPr>
                <w:color w:val="000000"/>
                <w:sz w:val="16"/>
                <w:szCs w:val="16"/>
                <w:lang w:val="en-GB"/>
              </w:rPr>
            </w:pPr>
            <w:r>
              <w:rPr>
                <w:color w:val="000000"/>
                <w:sz w:val="16"/>
                <w:szCs w:val="16"/>
                <w:lang w:val="en-GB"/>
              </w:rPr>
              <w:t>748-753</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EA67AB1" w14:textId="77777777" w:rsidR="00173FA9" w:rsidRDefault="00173FA9">
            <w:pPr>
              <w:rPr>
                <w:color w:val="000000"/>
                <w:sz w:val="16"/>
                <w:szCs w:val="16"/>
                <w:lang w:val="en-GB"/>
              </w:rPr>
            </w:pPr>
            <w:r>
              <w:rPr>
                <w:color w:val="000000"/>
                <w:sz w:val="16"/>
                <w:szCs w:val="16"/>
                <w:lang w:val="en-GB"/>
              </w:rPr>
              <w:t>753-758</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3BDDCB4" w14:textId="77777777" w:rsidR="00173FA9" w:rsidRDefault="00173FA9">
            <w:pPr>
              <w:rPr>
                <w:color w:val="000000"/>
                <w:sz w:val="16"/>
                <w:szCs w:val="16"/>
                <w:lang w:val="en-GB"/>
              </w:rPr>
            </w:pPr>
            <w:r>
              <w:rPr>
                <w:color w:val="000000"/>
                <w:sz w:val="16"/>
                <w:szCs w:val="16"/>
                <w:lang w:val="en-GB"/>
              </w:rPr>
              <w:t>758-763</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5C8975F" w14:textId="77777777" w:rsidR="00173FA9" w:rsidRDefault="00173FA9">
            <w:pPr>
              <w:rPr>
                <w:color w:val="000000"/>
                <w:sz w:val="16"/>
                <w:szCs w:val="16"/>
                <w:lang w:val="en-GB"/>
              </w:rPr>
            </w:pPr>
            <w:r>
              <w:rPr>
                <w:color w:val="000000"/>
                <w:sz w:val="16"/>
                <w:szCs w:val="16"/>
                <w:lang w:val="en-GB"/>
              </w:rPr>
              <w:t>763-768</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B63D0E9" w14:textId="77777777" w:rsidR="00173FA9" w:rsidRDefault="00173FA9">
            <w:pPr>
              <w:rPr>
                <w:color w:val="000000"/>
                <w:sz w:val="16"/>
                <w:szCs w:val="16"/>
                <w:lang w:val="en-GB"/>
              </w:rPr>
            </w:pPr>
            <w:r>
              <w:rPr>
                <w:color w:val="000000"/>
                <w:sz w:val="16"/>
                <w:szCs w:val="16"/>
                <w:lang w:val="en-GB"/>
              </w:rPr>
              <w:t>768-773</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F52335D" w14:textId="77777777" w:rsidR="00173FA9" w:rsidRDefault="00173FA9">
            <w:pPr>
              <w:rPr>
                <w:color w:val="000000"/>
                <w:sz w:val="16"/>
                <w:szCs w:val="16"/>
                <w:lang w:val="en-GB"/>
              </w:rPr>
            </w:pPr>
            <w:r>
              <w:rPr>
                <w:color w:val="000000"/>
                <w:sz w:val="16"/>
                <w:szCs w:val="16"/>
                <w:lang w:val="en-GB"/>
              </w:rPr>
              <w:t>773-778</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F8963E1" w14:textId="77777777" w:rsidR="00173FA9" w:rsidRDefault="00173FA9">
            <w:pPr>
              <w:rPr>
                <w:color w:val="000000"/>
                <w:sz w:val="16"/>
                <w:szCs w:val="16"/>
                <w:lang w:val="en-GB"/>
              </w:rPr>
            </w:pPr>
            <w:r>
              <w:rPr>
                <w:color w:val="000000"/>
                <w:sz w:val="16"/>
                <w:szCs w:val="16"/>
                <w:lang w:val="en-GB"/>
              </w:rPr>
              <w:t>778-783</w:t>
            </w:r>
          </w:p>
        </w:tc>
        <w:tc>
          <w:tcPr>
            <w:tcW w:w="4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4C99A90" w14:textId="77777777" w:rsidR="00173FA9" w:rsidRDefault="00173FA9">
            <w:pPr>
              <w:rPr>
                <w:color w:val="000000"/>
                <w:sz w:val="16"/>
                <w:szCs w:val="16"/>
                <w:lang w:val="en-GB"/>
              </w:rPr>
            </w:pPr>
            <w:r>
              <w:rPr>
                <w:color w:val="000000"/>
                <w:sz w:val="16"/>
                <w:szCs w:val="16"/>
                <w:lang w:val="en-GB"/>
              </w:rPr>
              <w:t>783-788</w:t>
            </w:r>
          </w:p>
        </w:tc>
        <w:tc>
          <w:tcPr>
            <w:tcW w:w="5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53B4879" w14:textId="77777777" w:rsidR="00173FA9" w:rsidRDefault="00173FA9">
            <w:pPr>
              <w:spacing w:before="240"/>
              <w:rPr>
                <w:color w:val="000000"/>
                <w:sz w:val="16"/>
                <w:szCs w:val="16"/>
                <w:lang w:val="en-GB"/>
              </w:rPr>
            </w:pPr>
            <w:r>
              <w:rPr>
                <w:color w:val="000000"/>
                <w:sz w:val="16"/>
                <w:szCs w:val="16"/>
                <w:lang w:val="en-GB"/>
              </w:rPr>
              <w:t>788-791</w:t>
            </w:r>
          </w:p>
        </w:tc>
      </w:tr>
      <w:tr w:rsidR="00173FA9" w14:paraId="25695CB6" w14:textId="77777777" w:rsidTr="00E9504A">
        <w:trPr>
          <w:trHeight w:val="755"/>
        </w:trPr>
        <w:tc>
          <w:tcPr>
            <w:tcW w:w="500"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tcPr>
          <w:p w14:paraId="689E210B" w14:textId="074CBC10" w:rsidR="00173FA9" w:rsidRPr="008C1D13" w:rsidRDefault="003A610B" w:rsidP="00173FA9">
            <w:pPr>
              <w:spacing w:before="240"/>
              <w:jc w:val="center"/>
              <w:rPr>
                <w:color w:val="000000"/>
                <w:sz w:val="12"/>
                <w:szCs w:val="12"/>
                <w:lang w:val="en-GB"/>
              </w:rPr>
            </w:pPr>
            <w:proofErr w:type="spellStart"/>
            <w:r w:rsidRPr="008C1D13">
              <w:rPr>
                <w:color w:val="000000"/>
                <w:sz w:val="12"/>
                <w:szCs w:val="12"/>
                <w:lang w:val="en-GB"/>
              </w:rPr>
              <w:t>Zaštitni</w:t>
            </w:r>
            <w:proofErr w:type="spellEnd"/>
            <w:r w:rsidRPr="008C1D13">
              <w:rPr>
                <w:color w:val="000000"/>
                <w:sz w:val="12"/>
                <w:szCs w:val="12"/>
                <w:lang w:val="en-GB"/>
              </w:rPr>
              <w:t xml:space="preserve"> </w:t>
            </w:r>
            <w:proofErr w:type="spellStart"/>
            <w:r w:rsidRPr="008C1D13">
              <w:rPr>
                <w:color w:val="000000"/>
                <w:sz w:val="12"/>
                <w:szCs w:val="12"/>
                <w:lang w:val="en-GB"/>
              </w:rPr>
              <w:t>pojas</w:t>
            </w:r>
            <w:proofErr w:type="spellEnd"/>
          </w:p>
        </w:tc>
        <w:tc>
          <w:tcPr>
            <w:tcW w:w="2815" w:type="dxa"/>
            <w:gridSpan w:val="6"/>
            <w:tcBorders>
              <w:top w:val="nil"/>
              <w:left w:val="nil"/>
              <w:bottom w:val="single" w:sz="8" w:space="0" w:color="auto"/>
              <w:right w:val="single" w:sz="8" w:space="0" w:color="auto"/>
            </w:tcBorders>
            <w:shd w:val="clear" w:color="auto" w:fill="00B0F0"/>
            <w:noWrap/>
            <w:tcMar>
              <w:top w:w="0" w:type="dxa"/>
              <w:left w:w="70" w:type="dxa"/>
              <w:bottom w:w="0" w:type="dxa"/>
              <w:right w:w="70" w:type="dxa"/>
            </w:tcMar>
            <w:vAlign w:val="center"/>
          </w:tcPr>
          <w:p w14:paraId="1566944A" w14:textId="6885790D" w:rsidR="00173FA9" w:rsidRDefault="003A610B" w:rsidP="00F3325E">
            <w:pPr>
              <w:spacing w:after="0"/>
              <w:jc w:val="center"/>
              <w:rPr>
                <w:color w:val="000000"/>
                <w:lang w:val="en-GB"/>
              </w:rPr>
            </w:pPr>
            <w:proofErr w:type="spellStart"/>
            <w:r>
              <w:rPr>
                <w:color w:val="000000"/>
                <w:lang w:val="en-GB"/>
              </w:rPr>
              <w:t>Uzlazna</w:t>
            </w:r>
            <w:proofErr w:type="spellEnd"/>
            <w:r>
              <w:rPr>
                <w:color w:val="000000"/>
                <w:lang w:val="en-GB"/>
              </w:rPr>
              <w:t xml:space="preserve"> </w:t>
            </w:r>
            <w:proofErr w:type="spellStart"/>
            <w:r>
              <w:rPr>
                <w:color w:val="000000"/>
                <w:lang w:val="en-GB"/>
              </w:rPr>
              <w:t>veza</w:t>
            </w:r>
            <w:proofErr w:type="spellEnd"/>
          </w:p>
        </w:tc>
        <w:tc>
          <w:tcPr>
            <w:tcW w:w="482" w:type="dxa"/>
            <w:tcBorders>
              <w:top w:val="nil"/>
              <w:left w:val="nil"/>
              <w:bottom w:val="single" w:sz="8" w:space="0" w:color="auto"/>
              <w:right w:val="single" w:sz="8" w:space="0" w:color="auto"/>
            </w:tcBorders>
            <w:shd w:val="clear" w:color="auto" w:fill="008000"/>
            <w:tcMar>
              <w:top w:w="0" w:type="dxa"/>
              <w:left w:w="70" w:type="dxa"/>
              <w:bottom w:w="0" w:type="dxa"/>
              <w:right w:w="70" w:type="dxa"/>
            </w:tcMar>
            <w:vAlign w:val="center"/>
            <w:hideMark/>
          </w:tcPr>
          <w:p w14:paraId="1B53A6F0" w14:textId="1EE758FD" w:rsidR="00173FA9" w:rsidRPr="006B3557" w:rsidRDefault="006B3557" w:rsidP="00F3325E">
            <w:pPr>
              <w:spacing w:after="0"/>
              <w:jc w:val="center"/>
              <w:rPr>
                <w:color w:val="000000"/>
                <w:sz w:val="16"/>
                <w:szCs w:val="16"/>
                <w:lang w:val="en-GB"/>
              </w:rPr>
            </w:pPr>
            <w:r w:rsidRPr="006B3557">
              <w:rPr>
                <w:color w:val="000000"/>
                <w:sz w:val="16"/>
                <w:szCs w:val="16"/>
                <w:lang w:val="en-GB"/>
              </w:rPr>
              <w:t>Ra-</w:t>
            </w:r>
            <w:proofErr w:type="spellStart"/>
            <w:r w:rsidRPr="006B3557">
              <w:rPr>
                <w:color w:val="000000"/>
                <w:sz w:val="16"/>
                <w:szCs w:val="16"/>
                <w:lang w:val="en-GB"/>
              </w:rPr>
              <w:t>scjep</w:t>
            </w:r>
            <w:proofErr w:type="spellEnd"/>
          </w:p>
        </w:tc>
        <w:tc>
          <w:tcPr>
            <w:tcW w:w="1880" w:type="dxa"/>
            <w:gridSpan w:val="4"/>
            <w:tcBorders>
              <w:top w:val="nil"/>
              <w:left w:val="nil"/>
              <w:bottom w:val="single" w:sz="8" w:space="0" w:color="auto"/>
              <w:right w:val="single" w:sz="8" w:space="0" w:color="auto"/>
            </w:tcBorders>
            <w:shd w:val="clear" w:color="auto" w:fill="0066CC"/>
            <w:noWrap/>
            <w:tcMar>
              <w:top w:w="0" w:type="dxa"/>
              <w:left w:w="70" w:type="dxa"/>
              <w:bottom w:w="0" w:type="dxa"/>
              <w:right w:w="70" w:type="dxa"/>
            </w:tcMar>
            <w:vAlign w:val="center"/>
            <w:hideMark/>
          </w:tcPr>
          <w:p w14:paraId="733806AC" w14:textId="77777777" w:rsidR="00173FA9" w:rsidRDefault="00173FA9" w:rsidP="00F3325E">
            <w:pPr>
              <w:spacing w:after="0"/>
              <w:jc w:val="center"/>
              <w:rPr>
                <w:color w:val="000000"/>
                <w:lang w:val="en-GB"/>
              </w:rPr>
            </w:pPr>
            <w:r>
              <w:rPr>
                <w:color w:val="000000"/>
                <w:lang w:val="en-GB"/>
              </w:rPr>
              <w:t>SDL (A)</w:t>
            </w:r>
          </w:p>
        </w:tc>
        <w:tc>
          <w:tcPr>
            <w:tcW w:w="2820" w:type="dxa"/>
            <w:gridSpan w:val="6"/>
            <w:tcBorders>
              <w:top w:val="nil"/>
              <w:left w:val="nil"/>
              <w:bottom w:val="single" w:sz="8" w:space="0" w:color="auto"/>
              <w:right w:val="single" w:sz="8" w:space="0" w:color="auto"/>
            </w:tcBorders>
            <w:shd w:val="clear" w:color="auto" w:fill="00CCFF"/>
            <w:noWrap/>
            <w:tcMar>
              <w:top w:w="0" w:type="dxa"/>
              <w:left w:w="70" w:type="dxa"/>
              <w:bottom w:w="0" w:type="dxa"/>
              <w:right w:w="70" w:type="dxa"/>
            </w:tcMar>
            <w:vAlign w:val="center"/>
          </w:tcPr>
          <w:p w14:paraId="4764EB3F" w14:textId="583F17E0" w:rsidR="00173FA9" w:rsidRDefault="003A610B" w:rsidP="00F3325E">
            <w:pPr>
              <w:spacing w:after="0"/>
              <w:jc w:val="center"/>
              <w:rPr>
                <w:color w:val="000000"/>
                <w:lang w:val="en-GB"/>
              </w:rPr>
            </w:pPr>
            <w:proofErr w:type="spellStart"/>
            <w:r>
              <w:rPr>
                <w:color w:val="000000"/>
                <w:lang w:val="en-GB"/>
              </w:rPr>
              <w:t>Silazna</w:t>
            </w:r>
            <w:proofErr w:type="spellEnd"/>
            <w:r>
              <w:rPr>
                <w:color w:val="000000"/>
                <w:lang w:val="en-GB"/>
              </w:rPr>
              <w:t xml:space="preserve"> </w:t>
            </w:r>
            <w:proofErr w:type="spellStart"/>
            <w:r>
              <w:rPr>
                <w:color w:val="000000"/>
                <w:lang w:val="en-GB"/>
              </w:rPr>
              <w:t>veza</w:t>
            </w:r>
            <w:proofErr w:type="spellEnd"/>
          </w:p>
        </w:tc>
        <w:tc>
          <w:tcPr>
            <w:tcW w:w="500" w:type="dxa"/>
            <w:tcBorders>
              <w:top w:val="nil"/>
              <w:left w:val="nil"/>
              <w:bottom w:val="single" w:sz="8" w:space="0" w:color="auto"/>
              <w:right w:val="single" w:sz="8" w:space="0" w:color="auto"/>
            </w:tcBorders>
            <w:shd w:val="clear" w:color="auto" w:fill="FFFF00"/>
            <w:tcMar>
              <w:top w:w="0" w:type="dxa"/>
              <w:left w:w="70" w:type="dxa"/>
              <w:bottom w:w="0" w:type="dxa"/>
              <w:right w:w="70" w:type="dxa"/>
            </w:tcMar>
          </w:tcPr>
          <w:p w14:paraId="05A1A5FC" w14:textId="57417F54" w:rsidR="00173FA9" w:rsidRPr="008C1D13" w:rsidRDefault="003A610B" w:rsidP="00173FA9">
            <w:pPr>
              <w:spacing w:before="240"/>
              <w:jc w:val="center"/>
              <w:rPr>
                <w:color w:val="000000"/>
                <w:sz w:val="12"/>
                <w:szCs w:val="12"/>
                <w:lang w:val="en-GB"/>
              </w:rPr>
            </w:pPr>
            <w:proofErr w:type="spellStart"/>
            <w:r w:rsidRPr="008C1D13">
              <w:rPr>
                <w:color w:val="000000"/>
                <w:sz w:val="12"/>
                <w:szCs w:val="12"/>
                <w:lang w:val="en-GB"/>
              </w:rPr>
              <w:t>Zaštitni</w:t>
            </w:r>
            <w:proofErr w:type="spellEnd"/>
            <w:r w:rsidRPr="008C1D13">
              <w:rPr>
                <w:color w:val="000000"/>
                <w:sz w:val="12"/>
                <w:szCs w:val="12"/>
                <w:lang w:val="en-GB"/>
              </w:rPr>
              <w:t xml:space="preserve"> </w:t>
            </w:r>
            <w:proofErr w:type="spellStart"/>
            <w:r w:rsidRPr="008C1D13">
              <w:rPr>
                <w:color w:val="000000"/>
                <w:sz w:val="12"/>
                <w:szCs w:val="12"/>
                <w:lang w:val="en-GB"/>
              </w:rPr>
              <w:t>pojas</w:t>
            </w:r>
            <w:proofErr w:type="spellEnd"/>
          </w:p>
        </w:tc>
      </w:tr>
      <w:tr w:rsidR="00173FA9" w14:paraId="257090A9" w14:textId="77777777" w:rsidTr="00E9504A">
        <w:trPr>
          <w:trHeight w:val="381"/>
        </w:trPr>
        <w:tc>
          <w:tcPr>
            <w:tcW w:w="500" w:type="dxa"/>
            <w:tcBorders>
              <w:top w:val="nil"/>
              <w:left w:val="single" w:sz="8" w:space="0" w:color="auto"/>
              <w:bottom w:val="single" w:sz="8" w:space="0" w:color="auto"/>
              <w:right w:val="single" w:sz="8" w:space="0" w:color="auto"/>
            </w:tcBorders>
            <w:noWrap/>
            <w:vAlign w:val="bottom"/>
            <w:hideMark/>
          </w:tcPr>
          <w:p w14:paraId="56167361" w14:textId="77777777" w:rsidR="00173FA9" w:rsidRPr="007A793C" w:rsidRDefault="00173FA9" w:rsidP="009A5AF4">
            <w:pPr>
              <w:spacing w:after="100"/>
              <w:jc w:val="center"/>
              <w:rPr>
                <w:color w:val="000000"/>
                <w:sz w:val="16"/>
                <w:szCs w:val="16"/>
                <w:lang w:val="en-GB"/>
              </w:rPr>
            </w:pPr>
            <w:r w:rsidRPr="007A793C">
              <w:rPr>
                <w:color w:val="000000"/>
                <w:sz w:val="16"/>
                <w:szCs w:val="16"/>
                <w:lang w:val="en-GB"/>
              </w:rPr>
              <w:t>9 MHz</w:t>
            </w:r>
          </w:p>
        </w:tc>
        <w:tc>
          <w:tcPr>
            <w:tcW w:w="2815" w:type="dxa"/>
            <w:gridSpan w:val="6"/>
            <w:tcBorders>
              <w:top w:val="nil"/>
              <w:left w:val="nil"/>
              <w:bottom w:val="single" w:sz="8" w:space="0" w:color="auto"/>
              <w:right w:val="single" w:sz="8" w:space="0" w:color="auto"/>
            </w:tcBorders>
            <w:noWrap/>
            <w:vAlign w:val="bottom"/>
            <w:hideMark/>
          </w:tcPr>
          <w:p w14:paraId="36553218" w14:textId="57F9DDCC" w:rsidR="00173FA9" w:rsidRPr="007A793C" w:rsidRDefault="00173FA9" w:rsidP="009A5AF4">
            <w:pPr>
              <w:spacing w:after="100"/>
              <w:jc w:val="center"/>
              <w:rPr>
                <w:color w:val="000000"/>
                <w:sz w:val="16"/>
                <w:szCs w:val="16"/>
                <w:lang w:val="en-GB"/>
              </w:rPr>
            </w:pPr>
            <w:r w:rsidRPr="007A793C">
              <w:rPr>
                <w:color w:val="000000"/>
                <w:sz w:val="16"/>
                <w:szCs w:val="16"/>
                <w:lang w:val="en-GB"/>
              </w:rPr>
              <w:t xml:space="preserve">30 MHz (6 </w:t>
            </w:r>
            <w:r w:rsidR="003A610B" w:rsidRPr="007A793C">
              <w:rPr>
                <w:color w:val="000000"/>
                <w:sz w:val="16"/>
                <w:szCs w:val="16"/>
                <w:lang w:val="en-GB"/>
              </w:rPr>
              <w:t>x</w:t>
            </w:r>
            <w:r w:rsidRPr="007A793C">
              <w:rPr>
                <w:color w:val="000000"/>
                <w:sz w:val="16"/>
                <w:szCs w:val="16"/>
                <w:lang w:val="en-GB"/>
              </w:rPr>
              <w:t xml:space="preserve"> 5 MHz)</w:t>
            </w:r>
          </w:p>
        </w:tc>
        <w:tc>
          <w:tcPr>
            <w:tcW w:w="482" w:type="dxa"/>
            <w:tcBorders>
              <w:top w:val="nil"/>
              <w:left w:val="nil"/>
              <w:bottom w:val="single" w:sz="8" w:space="0" w:color="auto"/>
              <w:right w:val="single" w:sz="8" w:space="0" w:color="auto"/>
            </w:tcBorders>
            <w:noWrap/>
            <w:vAlign w:val="bottom"/>
            <w:hideMark/>
          </w:tcPr>
          <w:p w14:paraId="7D6FA519" w14:textId="77777777" w:rsidR="00173FA9" w:rsidRPr="007A793C" w:rsidRDefault="00173FA9" w:rsidP="009A5AF4">
            <w:pPr>
              <w:spacing w:after="100"/>
              <w:jc w:val="center"/>
              <w:rPr>
                <w:color w:val="000000"/>
                <w:sz w:val="16"/>
                <w:szCs w:val="16"/>
                <w:lang w:val="en-GB"/>
              </w:rPr>
            </w:pPr>
            <w:r w:rsidRPr="007A793C">
              <w:rPr>
                <w:color w:val="000000"/>
                <w:sz w:val="16"/>
                <w:szCs w:val="16"/>
                <w:lang w:val="en-GB"/>
              </w:rPr>
              <w:t>5 MHz</w:t>
            </w:r>
          </w:p>
        </w:tc>
        <w:tc>
          <w:tcPr>
            <w:tcW w:w="1880" w:type="dxa"/>
            <w:gridSpan w:val="4"/>
            <w:tcBorders>
              <w:top w:val="nil"/>
              <w:left w:val="nil"/>
              <w:bottom w:val="single" w:sz="8" w:space="0" w:color="auto"/>
              <w:right w:val="single" w:sz="8" w:space="0" w:color="auto"/>
            </w:tcBorders>
            <w:noWrap/>
            <w:vAlign w:val="center"/>
            <w:hideMark/>
          </w:tcPr>
          <w:p w14:paraId="3F1D9CE1" w14:textId="155E85A6" w:rsidR="00173FA9" w:rsidRPr="007A793C" w:rsidRDefault="00173FA9" w:rsidP="009A5AF4">
            <w:pPr>
              <w:spacing w:after="0"/>
              <w:jc w:val="center"/>
              <w:rPr>
                <w:color w:val="000000"/>
                <w:sz w:val="16"/>
                <w:szCs w:val="16"/>
                <w:lang w:val="en-GB"/>
              </w:rPr>
            </w:pPr>
            <w:r w:rsidRPr="007A793C">
              <w:rPr>
                <w:color w:val="000000"/>
                <w:sz w:val="16"/>
                <w:szCs w:val="16"/>
                <w:lang w:val="en-GB"/>
              </w:rPr>
              <w:t>20 MHz (</w:t>
            </w:r>
            <w:r w:rsidR="009D352F" w:rsidRPr="007A793C">
              <w:rPr>
                <w:color w:val="000000"/>
                <w:sz w:val="16"/>
                <w:szCs w:val="16"/>
                <w:lang w:val="en-GB"/>
              </w:rPr>
              <w:t>do</w:t>
            </w:r>
            <w:r w:rsidRPr="007A793C">
              <w:rPr>
                <w:color w:val="000000"/>
                <w:sz w:val="16"/>
                <w:szCs w:val="16"/>
                <w:lang w:val="en-GB"/>
              </w:rPr>
              <w:t xml:space="preserve"> 4 </w:t>
            </w:r>
            <w:proofErr w:type="spellStart"/>
            <w:r w:rsidRPr="007A793C">
              <w:rPr>
                <w:color w:val="000000"/>
                <w:sz w:val="16"/>
                <w:szCs w:val="16"/>
                <w:lang w:val="en-GB"/>
              </w:rPr>
              <w:t>blok</w:t>
            </w:r>
            <w:r w:rsidR="009D352F" w:rsidRPr="007A793C">
              <w:rPr>
                <w:color w:val="000000"/>
                <w:sz w:val="16"/>
                <w:szCs w:val="16"/>
                <w:lang w:val="en-GB"/>
              </w:rPr>
              <w:t>a</w:t>
            </w:r>
            <w:proofErr w:type="spellEnd"/>
            <w:r w:rsidR="009D352F" w:rsidRPr="007A793C">
              <w:rPr>
                <w:color w:val="000000"/>
                <w:sz w:val="16"/>
                <w:szCs w:val="16"/>
                <w:lang w:val="en-GB"/>
              </w:rPr>
              <w:t xml:space="preserve"> od</w:t>
            </w:r>
            <w:r w:rsidRPr="007A793C">
              <w:rPr>
                <w:color w:val="000000"/>
                <w:sz w:val="16"/>
                <w:szCs w:val="16"/>
                <w:lang w:val="en-GB"/>
              </w:rPr>
              <w:t>5 MHz)</w:t>
            </w:r>
          </w:p>
        </w:tc>
        <w:tc>
          <w:tcPr>
            <w:tcW w:w="2820" w:type="dxa"/>
            <w:gridSpan w:val="6"/>
            <w:tcBorders>
              <w:top w:val="nil"/>
              <w:left w:val="nil"/>
              <w:bottom w:val="single" w:sz="8" w:space="0" w:color="auto"/>
              <w:right w:val="single" w:sz="8" w:space="0" w:color="auto"/>
            </w:tcBorders>
            <w:noWrap/>
            <w:vAlign w:val="bottom"/>
            <w:hideMark/>
          </w:tcPr>
          <w:p w14:paraId="6E1833AF" w14:textId="5E413122" w:rsidR="00173FA9" w:rsidRPr="007A793C" w:rsidRDefault="00173FA9" w:rsidP="009A5AF4">
            <w:pPr>
              <w:spacing w:after="100"/>
              <w:jc w:val="center"/>
              <w:rPr>
                <w:color w:val="000000"/>
                <w:sz w:val="16"/>
                <w:szCs w:val="16"/>
                <w:lang w:val="en-GB"/>
              </w:rPr>
            </w:pPr>
            <w:r w:rsidRPr="007A793C">
              <w:rPr>
                <w:color w:val="000000"/>
                <w:sz w:val="16"/>
                <w:szCs w:val="16"/>
                <w:lang w:val="en-GB"/>
              </w:rPr>
              <w:t xml:space="preserve">30 MHz (6 </w:t>
            </w:r>
            <w:r w:rsidR="003A610B" w:rsidRPr="007A793C">
              <w:rPr>
                <w:color w:val="000000"/>
                <w:sz w:val="16"/>
                <w:szCs w:val="16"/>
                <w:lang w:val="en-GB"/>
              </w:rPr>
              <w:t>x</w:t>
            </w:r>
            <w:r w:rsidRPr="007A793C">
              <w:rPr>
                <w:color w:val="000000"/>
                <w:sz w:val="16"/>
                <w:szCs w:val="16"/>
                <w:lang w:val="en-GB"/>
              </w:rPr>
              <w:t xml:space="preserve"> 5 MHz)</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83B982" w14:textId="77777777" w:rsidR="00173FA9" w:rsidRPr="007A793C" w:rsidRDefault="00173FA9" w:rsidP="009A5AF4">
            <w:pPr>
              <w:spacing w:after="0"/>
              <w:jc w:val="center"/>
              <w:rPr>
                <w:color w:val="000000"/>
                <w:sz w:val="16"/>
                <w:szCs w:val="16"/>
                <w:lang w:val="en-GB"/>
              </w:rPr>
            </w:pPr>
            <w:r w:rsidRPr="00E9504A">
              <w:rPr>
                <w:color w:val="000000"/>
                <w:sz w:val="16"/>
                <w:szCs w:val="16"/>
                <w:lang w:val="en-GB"/>
              </w:rPr>
              <w:t>3 MHz</w:t>
            </w:r>
          </w:p>
        </w:tc>
      </w:tr>
    </w:tbl>
    <w:p w14:paraId="6A6A7477" w14:textId="77777777" w:rsidR="00173FA9" w:rsidRDefault="00173FA9" w:rsidP="00DD215C"/>
    <w:p w14:paraId="510613F5" w14:textId="44CDA298" w:rsidR="00DD215C" w:rsidRPr="00DD215C" w:rsidRDefault="009E0BCD" w:rsidP="00DD215C">
      <w:pPr>
        <w:jc w:val="both"/>
      </w:pPr>
      <w:r w:rsidRPr="00C34479">
        <w:rPr>
          <w:bCs/>
        </w:rPr>
        <w:t>Postojeće dozvole za</w:t>
      </w:r>
      <w:r>
        <w:rPr>
          <w:bCs/>
        </w:rPr>
        <w:t xml:space="preserve"> uporabu</w:t>
      </w:r>
      <w:r w:rsidRPr="002944B9">
        <w:rPr>
          <w:bCs/>
        </w:rPr>
        <w:t xml:space="preserve"> naveden</w:t>
      </w:r>
      <w:r>
        <w:rPr>
          <w:bCs/>
        </w:rPr>
        <w:t>og</w:t>
      </w:r>
      <w:r w:rsidRPr="002944B9">
        <w:rPr>
          <w:bCs/>
        </w:rPr>
        <w:t xml:space="preserve"> </w:t>
      </w:r>
      <w:r>
        <w:rPr>
          <w:bCs/>
        </w:rPr>
        <w:t>RF</w:t>
      </w:r>
      <w:r w:rsidRPr="002944B9">
        <w:rPr>
          <w:bCs/>
        </w:rPr>
        <w:t xml:space="preserve"> spekt</w:t>
      </w:r>
      <w:r>
        <w:rPr>
          <w:bCs/>
        </w:rPr>
        <w:t>ra</w:t>
      </w:r>
      <w:r w:rsidRPr="002944B9">
        <w:rPr>
          <w:bCs/>
        </w:rPr>
        <w:t xml:space="preserve"> u </w:t>
      </w:r>
      <w:r>
        <w:rPr>
          <w:bCs/>
        </w:rPr>
        <w:t>RH</w:t>
      </w:r>
      <w:r w:rsidRPr="002944B9">
        <w:rPr>
          <w:bCs/>
        </w:rPr>
        <w:t xml:space="preserve"> za MUX A</w:t>
      </w:r>
      <w:r>
        <w:rPr>
          <w:bCs/>
        </w:rPr>
        <w:t>,</w:t>
      </w:r>
      <w:r w:rsidRPr="002944B9">
        <w:rPr>
          <w:bCs/>
        </w:rPr>
        <w:t xml:space="preserve"> </w:t>
      </w:r>
      <w:r>
        <w:rPr>
          <w:bCs/>
        </w:rPr>
        <w:t xml:space="preserve">MUX </w:t>
      </w:r>
      <w:r w:rsidRPr="002944B9">
        <w:rPr>
          <w:bCs/>
        </w:rPr>
        <w:t xml:space="preserve">B </w:t>
      </w:r>
      <w:r>
        <w:rPr>
          <w:bCs/>
        </w:rPr>
        <w:t>i MUX D vrijede</w:t>
      </w:r>
      <w:r w:rsidRPr="003F7CC5">
        <w:rPr>
          <w:bCs/>
        </w:rPr>
        <w:t xml:space="preserve"> do </w:t>
      </w:r>
      <w:r>
        <w:rPr>
          <w:bCs/>
        </w:rPr>
        <w:t>srpnja</w:t>
      </w:r>
      <w:r w:rsidRPr="003F7CC5">
        <w:rPr>
          <w:bCs/>
        </w:rPr>
        <w:t xml:space="preserve"> 20</w:t>
      </w:r>
      <w:r>
        <w:rPr>
          <w:bCs/>
        </w:rPr>
        <w:t>20</w:t>
      </w:r>
      <w:r w:rsidRPr="003F7CC5">
        <w:rPr>
          <w:bCs/>
        </w:rPr>
        <w:t>. godine</w:t>
      </w:r>
      <w:r w:rsidRPr="002944B9">
        <w:rPr>
          <w:bCs/>
        </w:rPr>
        <w:t xml:space="preserve">, </w:t>
      </w:r>
      <w:r>
        <w:rPr>
          <w:bCs/>
        </w:rPr>
        <w:t>a dozvole</w:t>
      </w:r>
      <w:r w:rsidRPr="002944B9">
        <w:rPr>
          <w:bCs/>
        </w:rPr>
        <w:t xml:space="preserve"> za MUX C i </w:t>
      </w:r>
      <w:r>
        <w:rPr>
          <w:bCs/>
        </w:rPr>
        <w:t xml:space="preserve">MUX </w:t>
      </w:r>
      <w:r w:rsidRPr="002944B9">
        <w:rPr>
          <w:bCs/>
        </w:rPr>
        <w:t>E do listopada 2021</w:t>
      </w:r>
      <w:r w:rsidRPr="00D14211">
        <w:rPr>
          <w:bCs/>
        </w:rPr>
        <w:t>.</w:t>
      </w:r>
      <w:r>
        <w:rPr>
          <w:bCs/>
        </w:rPr>
        <w:t>, n</w:t>
      </w:r>
      <w:r>
        <w:t>akon čega će frekvencijski pojas biti dostupan za uporabu.</w:t>
      </w:r>
    </w:p>
    <w:p w14:paraId="71388840" w14:textId="7D1E1808" w:rsidR="001A2A92" w:rsidRDefault="001A2A92" w:rsidP="006D3617">
      <w:pPr>
        <w:pStyle w:val="Heading2"/>
        <w:spacing w:before="0" w:after="240"/>
      </w:pPr>
      <w:r>
        <w:t xml:space="preserve"> </w:t>
      </w:r>
      <w:r w:rsidR="00A57F01">
        <w:tab/>
      </w:r>
      <w:bookmarkStart w:id="4" w:name="_Toc19714487"/>
      <w:r w:rsidR="00A57F01">
        <w:t xml:space="preserve">2.2. </w:t>
      </w:r>
      <w:r w:rsidR="001E0185">
        <w:t xml:space="preserve">Frekvencijski pojas </w:t>
      </w:r>
      <w:r>
        <w:t>1500 MHz</w:t>
      </w:r>
      <w:bookmarkEnd w:id="4"/>
    </w:p>
    <w:p w14:paraId="20CFEED2" w14:textId="2C225E5F" w:rsidR="001D22C3" w:rsidRPr="009B436C" w:rsidRDefault="001D22C3" w:rsidP="009B436C">
      <w:pPr>
        <w:jc w:val="both"/>
        <w:rPr>
          <w:bCs/>
        </w:rPr>
      </w:pPr>
      <w:r w:rsidRPr="009B436C">
        <w:rPr>
          <w:bCs/>
        </w:rPr>
        <w:t xml:space="preserve">Usklađeni tehnički uvjeti za </w:t>
      </w:r>
      <w:r w:rsidR="00924A44" w:rsidRPr="009B436C">
        <w:rPr>
          <w:bCs/>
        </w:rPr>
        <w:t>MFCN mreže</w:t>
      </w:r>
      <w:r w:rsidRPr="009B436C">
        <w:rPr>
          <w:bCs/>
        </w:rPr>
        <w:t xml:space="preserve"> u frekvencijskom pojasu 1452-1492 MHz na razini Europske unije propisani su provedbenom odlukom Europske </w:t>
      </w:r>
      <w:r w:rsidR="000917E0" w:rsidRPr="009B436C">
        <w:rPr>
          <w:bCs/>
        </w:rPr>
        <w:t xml:space="preserve">komisije </w:t>
      </w:r>
      <w:r w:rsidRPr="009B436C">
        <w:rPr>
          <w:bCs/>
        </w:rPr>
        <w:t>(EU) 2015/750</w:t>
      </w:r>
      <w:r w:rsidR="00CB1300">
        <w:rPr>
          <w:rStyle w:val="FootnoteReference"/>
          <w:bCs/>
        </w:rPr>
        <w:footnoteReference w:id="6"/>
      </w:r>
      <w:r w:rsidRPr="009B436C">
        <w:rPr>
          <w:bCs/>
        </w:rPr>
        <w:t xml:space="preserve"> odnosno ECC Odlukom ECC/DEC/(13)03</w:t>
      </w:r>
      <w:r w:rsidR="00CB1300">
        <w:rPr>
          <w:rStyle w:val="FootnoteReference"/>
          <w:bCs/>
        </w:rPr>
        <w:footnoteReference w:id="7"/>
      </w:r>
      <w:r w:rsidRPr="009B436C">
        <w:rPr>
          <w:bCs/>
        </w:rPr>
        <w:t xml:space="preserve">). Frekvencijski pojas </w:t>
      </w:r>
      <w:r w:rsidR="00093283" w:rsidRPr="009B436C">
        <w:rPr>
          <w:bCs/>
        </w:rPr>
        <w:t>s</w:t>
      </w:r>
      <w:r w:rsidRPr="009B436C">
        <w:rPr>
          <w:bCs/>
        </w:rPr>
        <w:t xml:space="preserve">e sastoji </w:t>
      </w:r>
      <w:r w:rsidR="000917E0" w:rsidRPr="009B436C">
        <w:rPr>
          <w:bCs/>
        </w:rPr>
        <w:t xml:space="preserve">od </w:t>
      </w:r>
      <w:r w:rsidRPr="009B436C">
        <w:rPr>
          <w:bCs/>
        </w:rPr>
        <w:t>spektra namijenjenog isključivo za silaznu vezu i predviđena je dodjela radiofrekvencijsk</w:t>
      </w:r>
      <w:r w:rsidR="00093283" w:rsidRPr="009B436C">
        <w:rPr>
          <w:bCs/>
        </w:rPr>
        <w:t>og</w:t>
      </w:r>
      <w:r w:rsidRPr="009B436C">
        <w:rPr>
          <w:bCs/>
        </w:rPr>
        <w:t xml:space="preserve"> </w:t>
      </w:r>
      <w:r w:rsidR="000917E0" w:rsidRPr="009B436C">
        <w:rPr>
          <w:bCs/>
        </w:rPr>
        <w:t xml:space="preserve">spektra </w:t>
      </w:r>
      <w:r w:rsidRPr="009B436C">
        <w:rPr>
          <w:bCs/>
        </w:rPr>
        <w:t xml:space="preserve">u višekratnicima bloka frekvencija širine 5 MHz </w:t>
      </w:r>
      <w:r w:rsidR="000917E0" w:rsidRPr="009B436C">
        <w:rPr>
          <w:bCs/>
        </w:rPr>
        <w:t xml:space="preserve">poravnatih </w:t>
      </w:r>
      <w:r w:rsidRPr="009B436C">
        <w:rPr>
          <w:bCs/>
        </w:rPr>
        <w:t>na razma</w:t>
      </w:r>
      <w:r w:rsidR="00093283" w:rsidRPr="009B436C">
        <w:rPr>
          <w:bCs/>
        </w:rPr>
        <w:t>cima</w:t>
      </w:r>
      <w:r w:rsidRPr="009B436C">
        <w:rPr>
          <w:bCs/>
        </w:rPr>
        <w:t xml:space="preserve"> od 5 MHz od donjeg ruba područja na 1452 MHz.</w:t>
      </w:r>
    </w:p>
    <w:p w14:paraId="05F8493B" w14:textId="4DC1D183" w:rsidR="009D352F" w:rsidRPr="009B436C" w:rsidRDefault="001D22C3" w:rsidP="009B436C">
      <w:pPr>
        <w:jc w:val="both"/>
        <w:rPr>
          <w:bCs/>
        </w:rPr>
      </w:pPr>
      <w:r w:rsidRPr="009B436C">
        <w:rPr>
          <w:bCs/>
        </w:rPr>
        <w:lastRenderedPageBreak/>
        <w:t>ECC Odlukom ECC/DEC/(1</w:t>
      </w:r>
      <w:r w:rsidR="00093283" w:rsidRPr="009B436C">
        <w:rPr>
          <w:bCs/>
        </w:rPr>
        <w:t>7</w:t>
      </w:r>
      <w:r w:rsidRPr="009B436C">
        <w:rPr>
          <w:bCs/>
        </w:rPr>
        <w:t>)0</w:t>
      </w:r>
      <w:r w:rsidR="00093283" w:rsidRPr="009B436C">
        <w:rPr>
          <w:bCs/>
        </w:rPr>
        <w:t>6</w:t>
      </w:r>
      <w:r w:rsidR="00CB1300">
        <w:rPr>
          <w:rStyle w:val="FootnoteReference"/>
          <w:bCs/>
        </w:rPr>
        <w:footnoteReference w:id="8"/>
      </w:r>
      <w:r w:rsidRPr="009B436C">
        <w:rPr>
          <w:bCs/>
        </w:rPr>
        <w:t xml:space="preserve"> usklađeni tehnički uvjeti za </w:t>
      </w:r>
      <w:r w:rsidR="00924A44" w:rsidRPr="009B436C">
        <w:rPr>
          <w:bCs/>
        </w:rPr>
        <w:t>MFCN mreže</w:t>
      </w:r>
      <w:r w:rsidRPr="009B436C">
        <w:rPr>
          <w:bCs/>
        </w:rPr>
        <w:t xml:space="preserve"> propisani su i za frekvencijske pojaseve 1427-1452 MHz i 1492-1518 MHz, a predviđena je dodjela radiofrekvencijskog spektra u višekratnicima bloka frekvencija širine 5 MHz. </w:t>
      </w:r>
    </w:p>
    <w:p w14:paraId="6409B399" w14:textId="649A80A8" w:rsidR="001D22C3" w:rsidRDefault="001D22C3" w:rsidP="009B436C">
      <w:pPr>
        <w:jc w:val="both"/>
        <w:rPr>
          <w:bCs/>
        </w:rPr>
      </w:pPr>
      <w:r w:rsidRPr="009B436C">
        <w:rPr>
          <w:bCs/>
        </w:rPr>
        <w:t xml:space="preserve">Frekvencijski pojasevi 1427-1452 MHz i 1492-1518 MHz u skladu </w:t>
      </w:r>
      <w:r w:rsidR="009A6932">
        <w:rPr>
          <w:bCs/>
        </w:rPr>
        <w:t xml:space="preserve">s </w:t>
      </w:r>
      <w:r w:rsidRPr="009B436C">
        <w:rPr>
          <w:bCs/>
        </w:rPr>
        <w:t>NJFA (</w:t>
      </w:r>
      <w:r w:rsidRPr="009A6932">
        <w:rPr>
          <w:bCs/>
          <w:i/>
        </w:rPr>
        <w:t xml:space="preserve">NATO </w:t>
      </w:r>
      <w:r w:rsidR="00F2183E" w:rsidRPr="009A6932">
        <w:rPr>
          <w:bCs/>
          <w:i/>
        </w:rPr>
        <w:t>Joint Civil</w:t>
      </w:r>
      <w:r w:rsidRPr="009A6932">
        <w:rPr>
          <w:bCs/>
          <w:i/>
        </w:rPr>
        <w:t>/</w:t>
      </w:r>
      <w:r w:rsidR="00F2183E" w:rsidRPr="009A6932">
        <w:rPr>
          <w:bCs/>
          <w:i/>
        </w:rPr>
        <w:t>Military Frequency Agreement</w:t>
      </w:r>
      <w:r w:rsidRPr="009B436C">
        <w:rPr>
          <w:bCs/>
        </w:rPr>
        <w:t>)</w:t>
      </w:r>
      <w:r w:rsidR="00C96B46" w:rsidRPr="009B436C">
        <w:rPr>
          <w:bCs/>
        </w:rPr>
        <w:t xml:space="preserve"> sporazumom</w:t>
      </w:r>
      <w:r w:rsidRPr="009B436C">
        <w:rPr>
          <w:bCs/>
        </w:rPr>
        <w:t xml:space="preserve"> </w:t>
      </w:r>
      <w:r w:rsidR="00C96B46" w:rsidRPr="009B436C">
        <w:rPr>
          <w:bCs/>
        </w:rPr>
        <w:t xml:space="preserve">i Tablicom namjene radiofrekvencijskog spektra u RH </w:t>
      </w:r>
      <w:r w:rsidR="00F2183E" w:rsidRPr="009B436C">
        <w:rPr>
          <w:bCs/>
        </w:rPr>
        <w:t xml:space="preserve">(Tablica namjene) </w:t>
      </w:r>
      <w:r w:rsidRPr="009B436C">
        <w:rPr>
          <w:bCs/>
        </w:rPr>
        <w:t>su također n</w:t>
      </w:r>
      <w:r w:rsidR="00C96B46" w:rsidRPr="009B436C">
        <w:rPr>
          <w:bCs/>
        </w:rPr>
        <w:t xml:space="preserve">amijenjeni i za vojnu </w:t>
      </w:r>
      <w:r w:rsidR="000917E0" w:rsidRPr="009B436C">
        <w:rPr>
          <w:bCs/>
        </w:rPr>
        <w:t>uporabu</w:t>
      </w:r>
      <w:r w:rsidR="00C96B46" w:rsidRPr="009B436C">
        <w:rPr>
          <w:bCs/>
        </w:rPr>
        <w:t>.</w:t>
      </w:r>
      <w:r w:rsidR="00F2183E" w:rsidRPr="009B436C">
        <w:rPr>
          <w:bCs/>
        </w:rPr>
        <w:t xml:space="preserve"> Tablicom namjene frekvencijski pojas 1452-1492 MHz namijenjen je i za T-DAB. </w:t>
      </w:r>
    </w:p>
    <w:p w14:paraId="13F5759E" w14:textId="4AADF881" w:rsidR="003D5D50" w:rsidRDefault="003D5D50">
      <w:pPr>
        <w:rPr>
          <w:bCs/>
        </w:rPr>
      </w:pPr>
      <w:r>
        <w:rPr>
          <w:bCs/>
        </w:rPr>
        <w:br w:type="page"/>
      </w:r>
    </w:p>
    <w:p w14:paraId="0F2338FE" w14:textId="77777777" w:rsidR="003D5D50" w:rsidRPr="009B436C" w:rsidRDefault="003D5D50" w:rsidP="009B436C">
      <w:pPr>
        <w:jc w:val="both"/>
        <w:rPr>
          <w:bCs/>
        </w:rPr>
      </w:pPr>
    </w:p>
    <w:p w14:paraId="633BCF18" w14:textId="40CABA06" w:rsidR="001D22C3" w:rsidRPr="009B436C" w:rsidRDefault="001D22C3" w:rsidP="009B436C">
      <w:pPr>
        <w:jc w:val="both"/>
        <w:rPr>
          <w:bCs/>
        </w:rPr>
      </w:pPr>
      <w:r w:rsidRPr="009B436C">
        <w:rPr>
          <w:bCs/>
        </w:rPr>
        <w:t>Frekvencijski raspored za frekvencijski pojas 1427-1518 MHz prikazan je na sljedećoj slici:</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25"/>
        <w:gridCol w:w="526"/>
        <w:gridCol w:w="526"/>
        <w:gridCol w:w="526"/>
        <w:gridCol w:w="525"/>
        <w:gridCol w:w="526"/>
        <w:gridCol w:w="526"/>
        <w:gridCol w:w="526"/>
        <w:gridCol w:w="526"/>
        <w:gridCol w:w="525"/>
        <w:gridCol w:w="526"/>
        <w:gridCol w:w="526"/>
        <w:gridCol w:w="526"/>
        <w:gridCol w:w="525"/>
        <w:gridCol w:w="526"/>
        <w:gridCol w:w="526"/>
        <w:gridCol w:w="526"/>
        <w:gridCol w:w="526"/>
        <w:gridCol w:w="601"/>
      </w:tblGrid>
      <w:tr w:rsidR="001D22C3" w14:paraId="565D542E" w14:textId="77777777" w:rsidTr="0082620E">
        <w:tc>
          <w:tcPr>
            <w:tcW w:w="525" w:type="dxa"/>
            <w:tcBorders>
              <w:top w:val="single" w:sz="4" w:space="0" w:color="D2232A"/>
              <w:left w:val="single" w:sz="4" w:space="0" w:color="D2232A"/>
              <w:bottom w:val="single" w:sz="4" w:space="0" w:color="D2232A"/>
              <w:right w:val="single" w:sz="4" w:space="0" w:color="D2232A"/>
            </w:tcBorders>
          </w:tcPr>
          <w:p w14:paraId="0884B5BF" w14:textId="77777777" w:rsidR="001D22C3" w:rsidRPr="005424D3" w:rsidRDefault="001D22C3" w:rsidP="0082620E">
            <w:pPr>
              <w:spacing w:after="0" w:line="288" w:lineRule="auto"/>
              <w:jc w:val="center"/>
              <w:rPr>
                <w:sz w:val="14"/>
                <w:szCs w:val="14"/>
                <w:lang w:val="en-GB"/>
              </w:rPr>
            </w:pPr>
            <w:r w:rsidRPr="005424D3">
              <w:rPr>
                <w:sz w:val="14"/>
                <w:szCs w:val="14"/>
                <w:lang w:val="en-GB"/>
              </w:rPr>
              <w:t>1427</w:t>
            </w:r>
          </w:p>
          <w:p w14:paraId="663D14AF"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504F7589" w14:textId="77777777" w:rsidR="001D22C3" w:rsidRDefault="001D22C3" w:rsidP="0082620E">
            <w:pPr>
              <w:spacing w:after="0" w:line="288" w:lineRule="auto"/>
              <w:jc w:val="center"/>
              <w:rPr>
                <w:lang w:val="en-GB"/>
              </w:rPr>
            </w:pPr>
            <w:r w:rsidRPr="005424D3">
              <w:rPr>
                <w:sz w:val="14"/>
                <w:szCs w:val="14"/>
                <w:lang w:val="en-GB"/>
              </w:rPr>
              <w:t>1432*</w:t>
            </w:r>
          </w:p>
        </w:tc>
        <w:tc>
          <w:tcPr>
            <w:tcW w:w="526" w:type="dxa"/>
            <w:tcBorders>
              <w:top w:val="single" w:sz="4" w:space="0" w:color="D2232A"/>
              <w:left w:val="single" w:sz="4" w:space="0" w:color="D2232A"/>
              <w:bottom w:val="single" w:sz="4" w:space="0" w:color="D2232A"/>
              <w:right w:val="single" w:sz="4" w:space="0" w:color="D2232A"/>
            </w:tcBorders>
          </w:tcPr>
          <w:p w14:paraId="135CDB32" w14:textId="77777777" w:rsidR="001D22C3" w:rsidRPr="005424D3" w:rsidRDefault="001D22C3" w:rsidP="0082620E">
            <w:pPr>
              <w:spacing w:after="0" w:line="288" w:lineRule="auto"/>
              <w:jc w:val="center"/>
              <w:rPr>
                <w:sz w:val="14"/>
                <w:szCs w:val="14"/>
                <w:lang w:val="en-GB"/>
              </w:rPr>
            </w:pPr>
            <w:r w:rsidRPr="005424D3">
              <w:rPr>
                <w:sz w:val="14"/>
                <w:szCs w:val="14"/>
                <w:lang w:val="en-GB"/>
              </w:rPr>
              <w:t>1432</w:t>
            </w:r>
          </w:p>
          <w:p w14:paraId="6C51B925"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1638B22F" w14:textId="77777777" w:rsidR="001D22C3" w:rsidRPr="005424D3" w:rsidRDefault="001D22C3" w:rsidP="0082620E">
            <w:pPr>
              <w:spacing w:after="0" w:line="288" w:lineRule="auto"/>
              <w:jc w:val="center"/>
              <w:rPr>
                <w:sz w:val="14"/>
                <w:szCs w:val="14"/>
                <w:lang w:val="en-GB"/>
              </w:rPr>
            </w:pPr>
            <w:r w:rsidRPr="005424D3">
              <w:rPr>
                <w:sz w:val="14"/>
                <w:szCs w:val="14"/>
                <w:lang w:val="en-GB"/>
              </w:rPr>
              <w:t>1437</w:t>
            </w:r>
          </w:p>
        </w:tc>
        <w:tc>
          <w:tcPr>
            <w:tcW w:w="526" w:type="dxa"/>
            <w:tcBorders>
              <w:top w:val="single" w:sz="4" w:space="0" w:color="D2232A"/>
              <w:left w:val="single" w:sz="4" w:space="0" w:color="D2232A"/>
              <w:bottom w:val="single" w:sz="4" w:space="0" w:color="D2232A"/>
              <w:right w:val="single" w:sz="4" w:space="0" w:color="D2232A"/>
            </w:tcBorders>
          </w:tcPr>
          <w:p w14:paraId="181884BA" w14:textId="77777777" w:rsidR="001D22C3" w:rsidRPr="005424D3" w:rsidRDefault="001D22C3" w:rsidP="0082620E">
            <w:pPr>
              <w:spacing w:after="0" w:line="288" w:lineRule="auto"/>
              <w:jc w:val="center"/>
              <w:rPr>
                <w:sz w:val="14"/>
                <w:szCs w:val="14"/>
                <w:lang w:val="en-GB"/>
              </w:rPr>
            </w:pPr>
            <w:r w:rsidRPr="005424D3">
              <w:rPr>
                <w:sz w:val="14"/>
                <w:szCs w:val="14"/>
                <w:lang w:val="en-GB"/>
              </w:rPr>
              <w:t>1437</w:t>
            </w:r>
          </w:p>
          <w:p w14:paraId="7FA88A44"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7FCD4377" w14:textId="77777777" w:rsidR="001D22C3" w:rsidRPr="005424D3" w:rsidRDefault="001D22C3" w:rsidP="0082620E">
            <w:pPr>
              <w:spacing w:after="0" w:line="288" w:lineRule="auto"/>
              <w:jc w:val="center"/>
              <w:rPr>
                <w:sz w:val="14"/>
                <w:szCs w:val="14"/>
                <w:lang w:val="en-GB"/>
              </w:rPr>
            </w:pPr>
            <w:r w:rsidRPr="005424D3">
              <w:rPr>
                <w:sz w:val="14"/>
                <w:szCs w:val="14"/>
                <w:lang w:val="en-GB"/>
              </w:rPr>
              <w:t>1442</w:t>
            </w:r>
          </w:p>
        </w:tc>
        <w:tc>
          <w:tcPr>
            <w:tcW w:w="526" w:type="dxa"/>
            <w:tcBorders>
              <w:top w:val="single" w:sz="4" w:space="0" w:color="D2232A"/>
              <w:left w:val="single" w:sz="4" w:space="0" w:color="D2232A"/>
              <w:bottom w:val="single" w:sz="4" w:space="0" w:color="D2232A"/>
              <w:right w:val="single" w:sz="4" w:space="0" w:color="D2232A"/>
            </w:tcBorders>
          </w:tcPr>
          <w:p w14:paraId="00A23AAC" w14:textId="77777777" w:rsidR="001D22C3" w:rsidRPr="005424D3" w:rsidRDefault="001D22C3" w:rsidP="0082620E">
            <w:pPr>
              <w:spacing w:after="0" w:line="288" w:lineRule="auto"/>
              <w:jc w:val="center"/>
              <w:rPr>
                <w:sz w:val="14"/>
                <w:szCs w:val="14"/>
                <w:lang w:val="en-GB"/>
              </w:rPr>
            </w:pPr>
            <w:r w:rsidRPr="005424D3">
              <w:rPr>
                <w:sz w:val="14"/>
                <w:szCs w:val="14"/>
                <w:lang w:val="en-GB"/>
              </w:rPr>
              <w:t>1442</w:t>
            </w:r>
          </w:p>
          <w:p w14:paraId="6AB1977F"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3A0DDA20" w14:textId="77777777" w:rsidR="001D22C3" w:rsidRPr="005424D3" w:rsidRDefault="001D22C3" w:rsidP="0082620E">
            <w:pPr>
              <w:spacing w:after="0" w:line="288" w:lineRule="auto"/>
              <w:jc w:val="center"/>
              <w:rPr>
                <w:sz w:val="14"/>
                <w:szCs w:val="14"/>
                <w:lang w:val="en-GB"/>
              </w:rPr>
            </w:pPr>
            <w:r w:rsidRPr="005424D3">
              <w:rPr>
                <w:sz w:val="14"/>
                <w:szCs w:val="14"/>
                <w:lang w:val="en-GB"/>
              </w:rPr>
              <w:t>1447</w:t>
            </w:r>
          </w:p>
        </w:tc>
        <w:tc>
          <w:tcPr>
            <w:tcW w:w="525" w:type="dxa"/>
            <w:tcBorders>
              <w:top w:val="single" w:sz="4" w:space="0" w:color="D2232A"/>
              <w:left w:val="single" w:sz="4" w:space="0" w:color="D2232A"/>
              <w:bottom w:val="single" w:sz="4" w:space="0" w:color="D2232A"/>
              <w:right w:val="single" w:sz="4" w:space="0" w:color="D2232A"/>
            </w:tcBorders>
          </w:tcPr>
          <w:p w14:paraId="4075CDA6" w14:textId="77777777" w:rsidR="001D22C3" w:rsidRPr="005424D3" w:rsidRDefault="001D22C3" w:rsidP="0082620E">
            <w:pPr>
              <w:spacing w:after="0" w:line="288" w:lineRule="auto"/>
              <w:jc w:val="center"/>
              <w:rPr>
                <w:sz w:val="14"/>
                <w:szCs w:val="14"/>
                <w:lang w:val="en-GB"/>
              </w:rPr>
            </w:pPr>
            <w:r w:rsidRPr="005424D3">
              <w:rPr>
                <w:sz w:val="14"/>
                <w:szCs w:val="14"/>
                <w:lang w:val="en-GB"/>
              </w:rPr>
              <w:t>1447</w:t>
            </w:r>
          </w:p>
          <w:p w14:paraId="025F32D9"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192E64A2" w14:textId="77777777" w:rsidR="001D22C3" w:rsidRPr="005424D3" w:rsidRDefault="001D22C3" w:rsidP="0082620E">
            <w:pPr>
              <w:spacing w:after="0" w:line="288" w:lineRule="auto"/>
              <w:jc w:val="center"/>
              <w:rPr>
                <w:sz w:val="14"/>
                <w:szCs w:val="14"/>
                <w:lang w:val="en-GB"/>
              </w:rPr>
            </w:pPr>
            <w:r w:rsidRPr="005424D3">
              <w:rPr>
                <w:sz w:val="14"/>
                <w:szCs w:val="14"/>
                <w:lang w:val="en-GB"/>
              </w:rPr>
              <w:t>1452</w:t>
            </w:r>
          </w:p>
        </w:tc>
        <w:tc>
          <w:tcPr>
            <w:tcW w:w="526" w:type="dxa"/>
            <w:tcBorders>
              <w:top w:val="single" w:sz="4" w:space="0" w:color="D2232A"/>
              <w:left w:val="single" w:sz="4" w:space="0" w:color="D2232A"/>
              <w:bottom w:val="single" w:sz="4" w:space="0" w:color="D2232A"/>
              <w:right w:val="single" w:sz="4" w:space="0" w:color="D2232A"/>
            </w:tcBorders>
          </w:tcPr>
          <w:p w14:paraId="23D75E5E" w14:textId="77777777" w:rsidR="001D22C3" w:rsidRPr="005424D3" w:rsidRDefault="001D22C3" w:rsidP="0082620E">
            <w:pPr>
              <w:spacing w:after="0" w:line="288" w:lineRule="auto"/>
              <w:jc w:val="center"/>
              <w:rPr>
                <w:sz w:val="14"/>
                <w:szCs w:val="14"/>
                <w:lang w:val="en-GB"/>
              </w:rPr>
            </w:pPr>
            <w:r w:rsidRPr="005424D3">
              <w:rPr>
                <w:sz w:val="14"/>
                <w:szCs w:val="14"/>
                <w:lang w:val="en-GB"/>
              </w:rPr>
              <w:t>1452</w:t>
            </w:r>
          </w:p>
          <w:p w14:paraId="184BF984"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35B00DBA" w14:textId="77777777" w:rsidR="001D22C3" w:rsidRPr="005424D3" w:rsidRDefault="001D22C3" w:rsidP="0082620E">
            <w:pPr>
              <w:spacing w:after="0" w:line="288" w:lineRule="auto"/>
              <w:jc w:val="center"/>
              <w:rPr>
                <w:sz w:val="14"/>
                <w:szCs w:val="14"/>
                <w:lang w:val="en-GB"/>
              </w:rPr>
            </w:pPr>
            <w:r w:rsidRPr="005424D3">
              <w:rPr>
                <w:sz w:val="14"/>
                <w:szCs w:val="14"/>
                <w:lang w:val="en-GB"/>
              </w:rPr>
              <w:t>1457</w:t>
            </w:r>
          </w:p>
        </w:tc>
        <w:tc>
          <w:tcPr>
            <w:tcW w:w="526" w:type="dxa"/>
            <w:tcBorders>
              <w:top w:val="single" w:sz="4" w:space="0" w:color="D2232A"/>
              <w:left w:val="single" w:sz="4" w:space="0" w:color="D2232A"/>
              <w:bottom w:val="single" w:sz="4" w:space="0" w:color="D2232A"/>
              <w:right w:val="single" w:sz="4" w:space="0" w:color="D2232A"/>
            </w:tcBorders>
          </w:tcPr>
          <w:p w14:paraId="3E0B6B11" w14:textId="77777777" w:rsidR="001D22C3" w:rsidRPr="005424D3" w:rsidRDefault="001D22C3" w:rsidP="0082620E">
            <w:pPr>
              <w:spacing w:after="0" w:line="288" w:lineRule="auto"/>
              <w:jc w:val="center"/>
              <w:rPr>
                <w:sz w:val="14"/>
                <w:szCs w:val="14"/>
                <w:lang w:val="en-GB"/>
              </w:rPr>
            </w:pPr>
            <w:r w:rsidRPr="005424D3">
              <w:rPr>
                <w:sz w:val="14"/>
                <w:szCs w:val="14"/>
                <w:lang w:val="en-GB"/>
              </w:rPr>
              <w:t>1457</w:t>
            </w:r>
          </w:p>
          <w:p w14:paraId="5717447D"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32AB5D08" w14:textId="77777777" w:rsidR="001D22C3" w:rsidRPr="005424D3" w:rsidRDefault="001D22C3" w:rsidP="0082620E">
            <w:pPr>
              <w:spacing w:after="0" w:line="288" w:lineRule="auto"/>
              <w:jc w:val="center"/>
              <w:rPr>
                <w:sz w:val="14"/>
                <w:szCs w:val="14"/>
                <w:lang w:val="en-GB"/>
              </w:rPr>
            </w:pPr>
            <w:r w:rsidRPr="005424D3">
              <w:rPr>
                <w:sz w:val="14"/>
                <w:szCs w:val="14"/>
                <w:lang w:val="en-GB"/>
              </w:rPr>
              <w:t>1462</w:t>
            </w:r>
          </w:p>
        </w:tc>
        <w:tc>
          <w:tcPr>
            <w:tcW w:w="526" w:type="dxa"/>
            <w:tcBorders>
              <w:top w:val="single" w:sz="4" w:space="0" w:color="D2232A"/>
              <w:left w:val="single" w:sz="4" w:space="0" w:color="D2232A"/>
              <w:bottom w:val="single" w:sz="4" w:space="0" w:color="D2232A"/>
              <w:right w:val="single" w:sz="4" w:space="0" w:color="D2232A"/>
            </w:tcBorders>
          </w:tcPr>
          <w:p w14:paraId="731CCBC7" w14:textId="77777777" w:rsidR="001D22C3" w:rsidRPr="005424D3" w:rsidRDefault="001D22C3" w:rsidP="0082620E">
            <w:pPr>
              <w:spacing w:after="0" w:line="288" w:lineRule="auto"/>
              <w:jc w:val="center"/>
              <w:rPr>
                <w:sz w:val="14"/>
                <w:szCs w:val="14"/>
                <w:lang w:val="en-GB"/>
              </w:rPr>
            </w:pPr>
            <w:r w:rsidRPr="005424D3">
              <w:rPr>
                <w:sz w:val="14"/>
                <w:szCs w:val="14"/>
                <w:lang w:val="en-GB"/>
              </w:rPr>
              <w:t>1462</w:t>
            </w:r>
          </w:p>
          <w:p w14:paraId="32C28343"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6B325F74" w14:textId="77777777" w:rsidR="001D22C3" w:rsidRPr="005424D3" w:rsidRDefault="001D22C3" w:rsidP="0082620E">
            <w:pPr>
              <w:spacing w:after="0" w:line="288" w:lineRule="auto"/>
              <w:jc w:val="center"/>
              <w:rPr>
                <w:sz w:val="14"/>
                <w:szCs w:val="14"/>
                <w:lang w:val="en-GB"/>
              </w:rPr>
            </w:pPr>
            <w:r w:rsidRPr="005424D3">
              <w:rPr>
                <w:sz w:val="14"/>
                <w:szCs w:val="14"/>
                <w:lang w:val="en-GB"/>
              </w:rPr>
              <w:t>1467</w:t>
            </w:r>
          </w:p>
        </w:tc>
        <w:tc>
          <w:tcPr>
            <w:tcW w:w="526" w:type="dxa"/>
            <w:tcBorders>
              <w:top w:val="single" w:sz="4" w:space="0" w:color="D2232A"/>
              <w:left w:val="single" w:sz="4" w:space="0" w:color="D2232A"/>
              <w:bottom w:val="single" w:sz="4" w:space="0" w:color="D2232A"/>
              <w:right w:val="single" w:sz="4" w:space="0" w:color="D2232A"/>
            </w:tcBorders>
          </w:tcPr>
          <w:p w14:paraId="0684D53D" w14:textId="77777777" w:rsidR="001D22C3" w:rsidRPr="005424D3" w:rsidRDefault="001D22C3" w:rsidP="0082620E">
            <w:pPr>
              <w:spacing w:after="0" w:line="288" w:lineRule="auto"/>
              <w:jc w:val="center"/>
              <w:rPr>
                <w:sz w:val="14"/>
                <w:szCs w:val="14"/>
                <w:lang w:val="en-GB"/>
              </w:rPr>
            </w:pPr>
            <w:r w:rsidRPr="005424D3">
              <w:rPr>
                <w:sz w:val="14"/>
                <w:szCs w:val="14"/>
                <w:lang w:val="en-GB"/>
              </w:rPr>
              <w:t>1467</w:t>
            </w:r>
          </w:p>
          <w:p w14:paraId="30F52E72"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4903A87A" w14:textId="77777777" w:rsidR="001D22C3" w:rsidRPr="005424D3" w:rsidRDefault="001D22C3" w:rsidP="0082620E">
            <w:pPr>
              <w:spacing w:after="0" w:line="288" w:lineRule="auto"/>
              <w:jc w:val="center"/>
              <w:rPr>
                <w:sz w:val="14"/>
                <w:szCs w:val="14"/>
                <w:lang w:val="en-GB"/>
              </w:rPr>
            </w:pPr>
            <w:r w:rsidRPr="005424D3">
              <w:rPr>
                <w:sz w:val="14"/>
                <w:szCs w:val="14"/>
                <w:lang w:val="en-GB"/>
              </w:rPr>
              <w:t>1472</w:t>
            </w:r>
          </w:p>
        </w:tc>
        <w:tc>
          <w:tcPr>
            <w:tcW w:w="525" w:type="dxa"/>
            <w:tcBorders>
              <w:top w:val="single" w:sz="4" w:space="0" w:color="D2232A"/>
              <w:left w:val="single" w:sz="4" w:space="0" w:color="D2232A"/>
              <w:bottom w:val="single" w:sz="4" w:space="0" w:color="D2232A"/>
              <w:right w:val="single" w:sz="4" w:space="0" w:color="D2232A"/>
            </w:tcBorders>
          </w:tcPr>
          <w:p w14:paraId="2C631ABA" w14:textId="77777777" w:rsidR="001D22C3" w:rsidRPr="005424D3" w:rsidRDefault="001D22C3" w:rsidP="0082620E">
            <w:pPr>
              <w:spacing w:after="0" w:line="288" w:lineRule="auto"/>
              <w:jc w:val="center"/>
              <w:rPr>
                <w:sz w:val="14"/>
                <w:szCs w:val="14"/>
                <w:lang w:val="en-GB"/>
              </w:rPr>
            </w:pPr>
            <w:r w:rsidRPr="005424D3">
              <w:rPr>
                <w:sz w:val="14"/>
                <w:szCs w:val="14"/>
                <w:lang w:val="en-GB"/>
              </w:rPr>
              <w:t>1472</w:t>
            </w:r>
          </w:p>
          <w:p w14:paraId="71051334"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6ABEB696" w14:textId="77777777" w:rsidR="001D22C3" w:rsidRPr="005424D3" w:rsidRDefault="001D22C3" w:rsidP="0082620E">
            <w:pPr>
              <w:spacing w:after="0" w:line="288" w:lineRule="auto"/>
              <w:jc w:val="center"/>
              <w:rPr>
                <w:sz w:val="14"/>
                <w:szCs w:val="14"/>
                <w:lang w:val="en-GB"/>
              </w:rPr>
            </w:pPr>
            <w:r w:rsidRPr="005424D3">
              <w:rPr>
                <w:sz w:val="14"/>
                <w:szCs w:val="14"/>
                <w:lang w:val="en-GB"/>
              </w:rPr>
              <w:t>1477</w:t>
            </w:r>
          </w:p>
        </w:tc>
        <w:tc>
          <w:tcPr>
            <w:tcW w:w="526" w:type="dxa"/>
            <w:tcBorders>
              <w:top w:val="single" w:sz="4" w:space="0" w:color="D2232A"/>
              <w:left w:val="single" w:sz="4" w:space="0" w:color="D2232A"/>
              <w:bottom w:val="single" w:sz="4" w:space="0" w:color="D2232A"/>
              <w:right w:val="single" w:sz="4" w:space="0" w:color="D2232A"/>
            </w:tcBorders>
          </w:tcPr>
          <w:p w14:paraId="316F8CB5" w14:textId="77777777" w:rsidR="001D22C3" w:rsidRPr="005424D3" w:rsidRDefault="001D22C3" w:rsidP="0082620E">
            <w:pPr>
              <w:spacing w:after="0" w:line="288" w:lineRule="auto"/>
              <w:jc w:val="center"/>
              <w:rPr>
                <w:sz w:val="14"/>
                <w:szCs w:val="14"/>
                <w:lang w:val="en-GB"/>
              </w:rPr>
            </w:pPr>
            <w:r w:rsidRPr="005424D3">
              <w:rPr>
                <w:sz w:val="14"/>
                <w:szCs w:val="14"/>
                <w:lang w:val="en-GB"/>
              </w:rPr>
              <w:t>1477</w:t>
            </w:r>
          </w:p>
          <w:p w14:paraId="1F75CB08"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04FAAC21" w14:textId="77777777" w:rsidR="001D22C3" w:rsidRPr="005424D3" w:rsidRDefault="001D22C3" w:rsidP="0082620E">
            <w:pPr>
              <w:spacing w:after="0" w:line="288" w:lineRule="auto"/>
              <w:jc w:val="center"/>
              <w:rPr>
                <w:sz w:val="14"/>
                <w:szCs w:val="14"/>
                <w:lang w:val="en-GB"/>
              </w:rPr>
            </w:pPr>
            <w:r w:rsidRPr="005424D3">
              <w:rPr>
                <w:sz w:val="14"/>
                <w:szCs w:val="14"/>
                <w:lang w:val="en-GB"/>
              </w:rPr>
              <w:t>1482</w:t>
            </w:r>
          </w:p>
        </w:tc>
        <w:tc>
          <w:tcPr>
            <w:tcW w:w="526" w:type="dxa"/>
            <w:tcBorders>
              <w:top w:val="single" w:sz="4" w:space="0" w:color="D2232A"/>
              <w:left w:val="single" w:sz="4" w:space="0" w:color="D2232A"/>
              <w:bottom w:val="single" w:sz="4" w:space="0" w:color="D2232A"/>
              <w:right w:val="single" w:sz="4" w:space="0" w:color="D2232A"/>
            </w:tcBorders>
          </w:tcPr>
          <w:p w14:paraId="1FAA26A3" w14:textId="77777777" w:rsidR="001D22C3" w:rsidRPr="005424D3" w:rsidRDefault="001D22C3" w:rsidP="0082620E">
            <w:pPr>
              <w:spacing w:after="0" w:line="288" w:lineRule="auto"/>
              <w:jc w:val="center"/>
              <w:rPr>
                <w:sz w:val="14"/>
                <w:szCs w:val="14"/>
                <w:lang w:val="en-GB"/>
              </w:rPr>
            </w:pPr>
            <w:r w:rsidRPr="005424D3">
              <w:rPr>
                <w:sz w:val="14"/>
                <w:szCs w:val="14"/>
                <w:lang w:val="en-GB"/>
              </w:rPr>
              <w:t>1482</w:t>
            </w:r>
          </w:p>
          <w:p w14:paraId="5D98FAFA"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50E138C3" w14:textId="77777777" w:rsidR="001D22C3" w:rsidRPr="005424D3" w:rsidRDefault="001D22C3" w:rsidP="0082620E">
            <w:pPr>
              <w:spacing w:after="0" w:line="288" w:lineRule="auto"/>
              <w:jc w:val="center"/>
              <w:rPr>
                <w:sz w:val="14"/>
                <w:szCs w:val="14"/>
                <w:lang w:val="en-GB"/>
              </w:rPr>
            </w:pPr>
            <w:r w:rsidRPr="005424D3">
              <w:rPr>
                <w:sz w:val="14"/>
                <w:szCs w:val="14"/>
                <w:lang w:val="en-GB"/>
              </w:rPr>
              <w:t>1487</w:t>
            </w:r>
          </w:p>
        </w:tc>
        <w:tc>
          <w:tcPr>
            <w:tcW w:w="526" w:type="dxa"/>
            <w:tcBorders>
              <w:top w:val="single" w:sz="4" w:space="0" w:color="D2232A"/>
              <w:left w:val="single" w:sz="4" w:space="0" w:color="D2232A"/>
              <w:bottom w:val="single" w:sz="4" w:space="0" w:color="D2232A"/>
              <w:right w:val="single" w:sz="4" w:space="0" w:color="D2232A"/>
            </w:tcBorders>
          </w:tcPr>
          <w:p w14:paraId="6B4B78EA" w14:textId="77777777" w:rsidR="001D22C3" w:rsidRPr="005424D3" w:rsidRDefault="001D22C3" w:rsidP="0082620E">
            <w:pPr>
              <w:spacing w:after="0" w:line="288" w:lineRule="auto"/>
              <w:jc w:val="center"/>
              <w:rPr>
                <w:sz w:val="14"/>
                <w:szCs w:val="14"/>
                <w:lang w:val="en-GB"/>
              </w:rPr>
            </w:pPr>
            <w:r w:rsidRPr="005424D3">
              <w:rPr>
                <w:sz w:val="14"/>
                <w:szCs w:val="14"/>
                <w:lang w:val="en-GB"/>
              </w:rPr>
              <w:t>1487</w:t>
            </w:r>
          </w:p>
          <w:p w14:paraId="496A8E50"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17E25CB8" w14:textId="77777777" w:rsidR="001D22C3" w:rsidRPr="005424D3" w:rsidRDefault="001D22C3" w:rsidP="0082620E">
            <w:pPr>
              <w:spacing w:after="0" w:line="288" w:lineRule="auto"/>
              <w:jc w:val="center"/>
              <w:rPr>
                <w:sz w:val="14"/>
                <w:szCs w:val="14"/>
                <w:lang w:val="en-GB"/>
              </w:rPr>
            </w:pPr>
            <w:r w:rsidRPr="005424D3">
              <w:rPr>
                <w:sz w:val="14"/>
                <w:szCs w:val="14"/>
                <w:lang w:val="en-GB"/>
              </w:rPr>
              <w:t>1492</w:t>
            </w:r>
          </w:p>
        </w:tc>
        <w:tc>
          <w:tcPr>
            <w:tcW w:w="525" w:type="dxa"/>
            <w:tcBorders>
              <w:top w:val="single" w:sz="4" w:space="0" w:color="D2232A"/>
              <w:left w:val="single" w:sz="4" w:space="0" w:color="D2232A"/>
              <w:bottom w:val="single" w:sz="4" w:space="0" w:color="D2232A"/>
              <w:right w:val="single" w:sz="4" w:space="0" w:color="D2232A"/>
            </w:tcBorders>
          </w:tcPr>
          <w:p w14:paraId="620BC786" w14:textId="77777777" w:rsidR="001D22C3" w:rsidRPr="005424D3" w:rsidRDefault="001D22C3" w:rsidP="0082620E">
            <w:pPr>
              <w:spacing w:after="0" w:line="288" w:lineRule="auto"/>
              <w:jc w:val="center"/>
              <w:rPr>
                <w:sz w:val="14"/>
                <w:szCs w:val="14"/>
                <w:lang w:val="en-GB"/>
              </w:rPr>
            </w:pPr>
            <w:r w:rsidRPr="005424D3">
              <w:rPr>
                <w:sz w:val="14"/>
                <w:szCs w:val="14"/>
                <w:lang w:val="en-GB"/>
              </w:rPr>
              <w:t>1492</w:t>
            </w:r>
          </w:p>
          <w:p w14:paraId="78F240DC"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00AF2852" w14:textId="77777777" w:rsidR="001D22C3" w:rsidRPr="005424D3" w:rsidRDefault="001D22C3" w:rsidP="0082620E">
            <w:pPr>
              <w:spacing w:after="0" w:line="288" w:lineRule="auto"/>
              <w:jc w:val="center"/>
              <w:rPr>
                <w:sz w:val="14"/>
                <w:szCs w:val="14"/>
                <w:lang w:val="en-GB"/>
              </w:rPr>
            </w:pPr>
            <w:r w:rsidRPr="005424D3">
              <w:rPr>
                <w:sz w:val="14"/>
                <w:szCs w:val="14"/>
                <w:lang w:val="en-GB"/>
              </w:rPr>
              <w:t>1497</w:t>
            </w:r>
          </w:p>
        </w:tc>
        <w:tc>
          <w:tcPr>
            <w:tcW w:w="526" w:type="dxa"/>
            <w:tcBorders>
              <w:top w:val="single" w:sz="4" w:space="0" w:color="D2232A"/>
              <w:left w:val="single" w:sz="4" w:space="0" w:color="D2232A"/>
              <w:bottom w:val="single" w:sz="4" w:space="0" w:color="D2232A"/>
              <w:right w:val="single" w:sz="4" w:space="0" w:color="D2232A"/>
            </w:tcBorders>
          </w:tcPr>
          <w:p w14:paraId="5AAA7095" w14:textId="77777777" w:rsidR="001D22C3" w:rsidRPr="005424D3" w:rsidRDefault="001D22C3" w:rsidP="0082620E">
            <w:pPr>
              <w:spacing w:after="0" w:line="288" w:lineRule="auto"/>
              <w:jc w:val="center"/>
              <w:rPr>
                <w:sz w:val="14"/>
                <w:szCs w:val="14"/>
                <w:lang w:val="en-GB"/>
              </w:rPr>
            </w:pPr>
            <w:r w:rsidRPr="005424D3">
              <w:rPr>
                <w:sz w:val="14"/>
                <w:szCs w:val="14"/>
                <w:lang w:val="en-GB"/>
              </w:rPr>
              <w:t>1497</w:t>
            </w:r>
          </w:p>
          <w:p w14:paraId="57ADF712"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47EC44E8" w14:textId="77777777" w:rsidR="001D22C3" w:rsidRPr="005424D3" w:rsidRDefault="001D22C3" w:rsidP="0082620E">
            <w:pPr>
              <w:spacing w:after="0" w:line="288" w:lineRule="auto"/>
              <w:jc w:val="center"/>
              <w:rPr>
                <w:sz w:val="14"/>
                <w:szCs w:val="14"/>
                <w:lang w:val="en-GB"/>
              </w:rPr>
            </w:pPr>
            <w:r w:rsidRPr="005424D3">
              <w:rPr>
                <w:sz w:val="14"/>
                <w:szCs w:val="14"/>
                <w:lang w:val="en-GB"/>
              </w:rPr>
              <w:t>1502</w:t>
            </w:r>
          </w:p>
        </w:tc>
        <w:tc>
          <w:tcPr>
            <w:tcW w:w="526" w:type="dxa"/>
            <w:tcBorders>
              <w:top w:val="single" w:sz="4" w:space="0" w:color="D2232A"/>
              <w:left w:val="single" w:sz="4" w:space="0" w:color="D2232A"/>
              <w:bottom w:val="single" w:sz="4" w:space="0" w:color="D2232A"/>
              <w:right w:val="single" w:sz="4" w:space="0" w:color="D2232A"/>
            </w:tcBorders>
          </w:tcPr>
          <w:p w14:paraId="4E1C4A2D" w14:textId="77777777" w:rsidR="001D22C3" w:rsidRPr="005424D3" w:rsidRDefault="001D22C3" w:rsidP="0082620E">
            <w:pPr>
              <w:spacing w:after="0" w:line="288" w:lineRule="auto"/>
              <w:jc w:val="center"/>
              <w:rPr>
                <w:sz w:val="14"/>
                <w:szCs w:val="14"/>
                <w:lang w:val="en-GB"/>
              </w:rPr>
            </w:pPr>
            <w:r w:rsidRPr="005424D3">
              <w:rPr>
                <w:sz w:val="14"/>
                <w:szCs w:val="14"/>
                <w:lang w:val="en-GB"/>
              </w:rPr>
              <w:t>1502</w:t>
            </w:r>
          </w:p>
          <w:p w14:paraId="2E568EA5"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49AB11CE" w14:textId="77777777" w:rsidR="001D22C3" w:rsidRPr="005424D3" w:rsidRDefault="001D22C3" w:rsidP="0082620E">
            <w:pPr>
              <w:spacing w:after="0" w:line="288" w:lineRule="auto"/>
              <w:jc w:val="center"/>
              <w:rPr>
                <w:sz w:val="14"/>
                <w:szCs w:val="14"/>
                <w:lang w:val="en-GB"/>
              </w:rPr>
            </w:pPr>
            <w:r w:rsidRPr="005424D3">
              <w:rPr>
                <w:sz w:val="14"/>
                <w:szCs w:val="14"/>
                <w:lang w:val="en-GB"/>
              </w:rPr>
              <w:t>1507</w:t>
            </w:r>
          </w:p>
        </w:tc>
        <w:tc>
          <w:tcPr>
            <w:tcW w:w="526" w:type="dxa"/>
            <w:tcBorders>
              <w:top w:val="single" w:sz="4" w:space="0" w:color="D2232A"/>
              <w:left w:val="single" w:sz="4" w:space="0" w:color="D2232A"/>
              <w:bottom w:val="single" w:sz="4" w:space="0" w:color="D2232A"/>
              <w:right w:val="single" w:sz="4" w:space="0" w:color="D2232A"/>
            </w:tcBorders>
          </w:tcPr>
          <w:p w14:paraId="42D6D8B6" w14:textId="77777777" w:rsidR="001D22C3" w:rsidRPr="005424D3" w:rsidRDefault="001D22C3" w:rsidP="0082620E">
            <w:pPr>
              <w:spacing w:after="0" w:line="288" w:lineRule="auto"/>
              <w:jc w:val="center"/>
              <w:rPr>
                <w:sz w:val="14"/>
                <w:szCs w:val="14"/>
                <w:lang w:val="en-GB"/>
              </w:rPr>
            </w:pPr>
            <w:r w:rsidRPr="005424D3">
              <w:rPr>
                <w:sz w:val="14"/>
                <w:szCs w:val="14"/>
                <w:lang w:val="en-GB"/>
              </w:rPr>
              <w:t>1507</w:t>
            </w:r>
          </w:p>
          <w:p w14:paraId="4744A5E5"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2F9D0B9F" w14:textId="77777777" w:rsidR="001D22C3" w:rsidRPr="005424D3" w:rsidRDefault="001D22C3" w:rsidP="0082620E">
            <w:pPr>
              <w:spacing w:after="0" w:line="288" w:lineRule="auto"/>
              <w:jc w:val="center"/>
              <w:rPr>
                <w:sz w:val="14"/>
                <w:szCs w:val="14"/>
                <w:lang w:val="en-GB"/>
              </w:rPr>
            </w:pPr>
            <w:r w:rsidRPr="005424D3">
              <w:rPr>
                <w:sz w:val="14"/>
                <w:szCs w:val="14"/>
                <w:lang w:val="en-GB"/>
              </w:rPr>
              <w:t>1512</w:t>
            </w:r>
          </w:p>
        </w:tc>
        <w:tc>
          <w:tcPr>
            <w:tcW w:w="526" w:type="dxa"/>
            <w:tcBorders>
              <w:top w:val="single" w:sz="4" w:space="0" w:color="D2232A"/>
              <w:left w:val="single" w:sz="4" w:space="0" w:color="D2232A"/>
              <w:bottom w:val="single" w:sz="4" w:space="0" w:color="D2232A"/>
              <w:right w:val="single" w:sz="4" w:space="0" w:color="D2232A"/>
            </w:tcBorders>
          </w:tcPr>
          <w:p w14:paraId="36D3ACE7" w14:textId="77777777" w:rsidR="001D22C3" w:rsidRPr="005424D3" w:rsidRDefault="001D22C3" w:rsidP="0082620E">
            <w:pPr>
              <w:spacing w:after="0" w:line="288" w:lineRule="auto"/>
              <w:jc w:val="center"/>
              <w:rPr>
                <w:sz w:val="14"/>
                <w:szCs w:val="14"/>
                <w:lang w:val="en-GB"/>
              </w:rPr>
            </w:pPr>
            <w:r w:rsidRPr="005424D3">
              <w:rPr>
                <w:sz w:val="14"/>
                <w:szCs w:val="14"/>
                <w:lang w:val="en-GB"/>
              </w:rPr>
              <w:t>1512</w:t>
            </w:r>
          </w:p>
          <w:p w14:paraId="719CE119"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2A746B5A" w14:textId="77777777" w:rsidR="001D22C3" w:rsidRPr="005424D3" w:rsidRDefault="001D22C3" w:rsidP="0082620E">
            <w:pPr>
              <w:spacing w:after="0" w:line="288" w:lineRule="auto"/>
              <w:jc w:val="center"/>
              <w:rPr>
                <w:sz w:val="14"/>
                <w:szCs w:val="14"/>
                <w:lang w:val="en-GB"/>
              </w:rPr>
            </w:pPr>
            <w:r w:rsidRPr="005424D3">
              <w:rPr>
                <w:sz w:val="14"/>
                <w:szCs w:val="14"/>
                <w:lang w:val="en-GB"/>
              </w:rPr>
              <w:t>1517**</w:t>
            </w:r>
          </w:p>
        </w:tc>
        <w:tc>
          <w:tcPr>
            <w:tcW w:w="601" w:type="dxa"/>
            <w:tcBorders>
              <w:top w:val="single" w:sz="4" w:space="0" w:color="D2232A"/>
              <w:left w:val="single" w:sz="4" w:space="0" w:color="D2232A"/>
              <w:bottom w:val="single" w:sz="4" w:space="0" w:color="D2232A"/>
              <w:right w:val="single" w:sz="4" w:space="0" w:color="D2232A"/>
            </w:tcBorders>
          </w:tcPr>
          <w:p w14:paraId="4F472B7E" w14:textId="77777777" w:rsidR="001D22C3" w:rsidRPr="005424D3" w:rsidRDefault="001D22C3" w:rsidP="0082620E">
            <w:pPr>
              <w:spacing w:after="0" w:line="288" w:lineRule="auto"/>
              <w:jc w:val="center"/>
              <w:rPr>
                <w:sz w:val="14"/>
                <w:szCs w:val="14"/>
                <w:lang w:val="en-GB"/>
              </w:rPr>
            </w:pPr>
            <w:r w:rsidRPr="005424D3">
              <w:rPr>
                <w:sz w:val="14"/>
                <w:szCs w:val="14"/>
                <w:lang w:val="en-GB"/>
              </w:rPr>
              <w:t>1517</w:t>
            </w:r>
          </w:p>
          <w:p w14:paraId="785C6BC5" w14:textId="77777777" w:rsidR="001D22C3" w:rsidRPr="005424D3" w:rsidRDefault="001D22C3" w:rsidP="0082620E">
            <w:pPr>
              <w:spacing w:after="0" w:line="288" w:lineRule="auto"/>
              <w:jc w:val="center"/>
              <w:rPr>
                <w:sz w:val="14"/>
                <w:szCs w:val="14"/>
                <w:lang w:val="en-GB"/>
              </w:rPr>
            </w:pPr>
            <w:r w:rsidRPr="005424D3">
              <w:rPr>
                <w:sz w:val="14"/>
                <w:szCs w:val="14"/>
                <w:lang w:val="en-GB"/>
              </w:rPr>
              <w:t>-</w:t>
            </w:r>
          </w:p>
          <w:p w14:paraId="0C9F4D18" w14:textId="77777777" w:rsidR="001D22C3" w:rsidRPr="005424D3" w:rsidRDefault="001D22C3" w:rsidP="0082620E">
            <w:pPr>
              <w:spacing w:after="0" w:line="288" w:lineRule="auto"/>
              <w:jc w:val="center"/>
              <w:rPr>
                <w:sz w:val="14"/>
                <w:szCs w:val="14"/>
                <w:lang w:val="en-GB"/>
              </w:rPr>
            </w:pPr>
            <w:r w:rsidRPr="005424D3">
              <w:rPr>
                <w:sz w:val="14"/>
                <w:szCs w:val="14"/>
                <w:lang w:val="en-GB"/>
              </w:rPr>
              <w:t>1518</w:t>
            </w:r>
          </w:p>
        </w:tc>
      </w:tr>
      <w:tr w:rsidR="001D22C3" w14:paraId="57E34E21" w14:textId="77777777" w:rsidTr="0082620E">
        <w:trPr>
          <w:tblHeader/>
        </w:trPr>
        <w:tc>
          <w:tcPr>
            <w:tcW w:w="9464" w:type="dxa"/>
            <w:gridSpan w:val="18"/>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557346F8" w14:textId="77777777" w:rsidR="001D22C3" w:rsidRDefault="001D22C3" w:rsidP="0082620E">
            <w:pPr>
              <w:spacing w:after="0" w:line="288" w:lineRule="auto"/>
              <w:jc w:val="center"/>
              <w:rPr>
                <w:b/>
                <w:color w:val="FFFFFF"/>
                <w:lang w:val="en-GB"/>
              </w:rPr>
            </w:pPr>
            <w:proofErr w:type="spellStart"/>
            <w:r>
              <w:rPr>
                <w:b/>
                <w:color w:val="FFFFFF"/>
                <w:lang w:val="en-GB"/>
              </w:rPr>
              <w:t>Silazna</w:t>
            </w:r>
            <w:proofErr w:type="spellEnd"/>
            <w:r>
              <w:rPr>
                <w:b/>
                <w:color w:val="FFFFFF"/>
                <w:lang w:val="en-GB"/>
              </w:rPr>
              <w:t xml:space="preserve"> </w:t>
            </w:r>
            <w:proofErr w:type="spellStart"/>
            <w:r>
              <w:rPr>
                <w:b/>
                <w:color w:val="FFFFFF"/>
                <w:lang w:val="en-GB"/>
              </w:rPr>
              <w:t>veza</w:t>
            </w:r>
            <w:proofErr w:type="spellEnd"/>
            <w:r>
              <w:rPr>
                <w:b/>
                <w:color w:val="FFFFFF"/>
                <w:lang w:val="en-GB"/>
              </w:rPr>
              <w:t xml:space="preserve"> (TX - </w:t>
            </w:r>
            <w:proofErr w:type="spellStart"/>
            <w:r>
              <w:rPr>
                <w:b/>
                <w:color w:val="FFFFFF"/>
                <w:lang w:val="en-GB"/>
              </w:rPr>
              <w:t>bazna</w:t>
            </w:r>
            <w:proofErr w:type="spellEnd"/>
            <w:r>
              <w:rPr>
                <w:b/>
                <w:color w:val="FFFFFF"/>
                <w:lang w:val="en-GB"/>
              </w:rPr>
              <w:t xml:space="preserve"> </w:t>
            </w:r>
            <w:proofErr w:type="spellStart"/>
            <w:r>
              <w:rPr>
                <w:b/>
                <w:color w:val="FFFFFF"/>
                <w:lang w:val="en-GB"/>
              </w:rPr>
              <w:t>postaja</w:t>
            </w:r>
            <w:proofErr w:type="spellEnd"/>
            <w:r>
              <w:rPr>
                <w:b/>
                <w:color w:val="FFFFFF"/>
                <w:lang w:val="en-GB"/>
              </w:rPr>
              <w:t>)</w:t>
            </w:r>
          </w:p>
        </w:tc>
        <w:tc>
          <w:tcPr>
            <w:tcW w:w="601"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42768544" w14:textId="77777777" w:rsidR="001D22C3" w:rsidRDefault="001D22C3" w:rsidP="0082620E">
            <w:pPr>
              <w:spacing w:after="0" w:line="288" w:lineRule="auto"/>
              <w:jc w:val="center"/>
              <w:rPr>
                <w:b/>
                <w:color w:val="FFFFFF"/>
                <w:sz w:val="12"/>
                <w:szCs w:val="12"/>
                <w:lang w:val="en-GB"/>
              </w:rPr>
            </w:pPr>
            <w:proofErr w:type="spellStart"/>
            <w:r>
              <w:rPr>
                <w:b/>
                <w:color w:val="FFFFFF"/>
                <w:sz w:val="12"/>
                <w:szCs w:val="12"/>
                <w:lang w:val="en-GB"/>
              </w:rPr>
              <w:t>Zaštitni</w:t>
            </w:r>
            <w:proofErr w:type="spellEnd"/>
            <w:r>
              <w:rPr>
                <w:b/>
                <w:color w:val="FFFFFF"/>
                <w:sz w:val="12"/>
                <w:szCs w:val="12"/>
                <w:lang w:val="en-GB"/>
              </w:rPr>
              <w:t xml:space="preserve"> </w:t>
            </w:r>
            <w:proofErr w:type="spellStart"/>
            <w:r>
              <w:rPr>
                <w:b/>
                <w:color w:val="FFFFFF"/>
                <w:sz w:val="12"/>
                <w:szCs w:val="12"/>
                <w:lang w:val="en-GB"/>
              </w:rPr>
              <w:t>pojas</w:t>
            </w:r>
            <w:proofErr w:type="spellEnd"/>
          </w:p>
        </w:tc>
      </w:tr>
      <w:tr w:rsidR="001D22C3" w:rsidRPr="002248FB" w14:paraId="56578905" w14:textId="77777777" w:rsidTr="0082620E">
        <w:tc>
          <w:tcPr>
            <w:tcW w:w="9464" w:type="dxa"/>
            <w:gridSpan w:val="18"/>
            <w:tcBorders>
              <w:top w:val="single" w:sz="4" w:space="0" w:color="D2232A"/>
              <w:left w:val="single" w:sz="4" w:space="0" w:color="D2232A"/>
              <w:bottom w:val="single" w:sz="4" w:space="0" w:color="D2232A"/>
              <w:right w:val="single" w:sz="4" w:space="0" w:color="D2232A"/>
            </w:tcBorders>
            <w:vAlign w:val="center"/>
          </w:tcPr>
          <w:p w14:paraId="46392C51" w14:textId="77777777" w:rsidR="001D22C3" w:rsidRPr="002248FB" w:rsidRDefault="001D22C3" w:rsidP="0082620E">
            <w:pPr>
              <w:spacing w:after="0" w:line="288" w:lineRule="auto"/>
              <w:jc w:val="center"/>
              <w:rPr>
                <w:lang w:val="en-GB"/>
              </w:rPr>
            </w:pPr>
            <w:r>
              <w:rPr>
                <w:lang w:val="en-GB"/>
              </w:rPr>
              <w:t xml:space="preserve">90 MHz (18 </w:t>
            </w:r>
            <w:proofErr w:type="spellStart"/>
            <w:r>
              <w:rPr>
                <w:lang w:val="en-GB"/>
              </w:rPr>
              <w:t>blokova</w:t>
            </w:r>
            <w:proofErr w:type="spellEnd"/>
            <w:r>
              <w:rPr>
                <w:lang w:val="en-GB"/>
              </w:rPr>
              <w:t xml:space="preserve"> od</w:t>
            </w:r>
            <w:r w:rsidRPr="002248FB">
              <w:rPr>
                <w:lang w:val="en-GB"/>
              </w:rPr>
              <w:t xml:space="preserve"> 5 MHz)</w:t>
            </w:r>
          </w:p>
        </w:tc>
        <w:tc>
          <w:tcPr>
            <w:tcW w:w="601" w:type="dxa"/>
            <w:tcBorders>
              <w:top w:val="single" w:sz="4" w:space="0" w:color="D2232A"/>
              <w:left w:val="single" w:sz="4" w:space="0" w:color="D2232A"/>
              <w:bottom w:val="single" w:sz="4" w:space="0" w:color="D2232A"/>
              <w:right w:val="single" w:sz="4" w:space="0" w:color="D2232A"/>
            </w:tcBorders>
            <w:vAlign w:val="center"/>
          </w:tcPr>
          <w:p w14:paraId="1A660196" w14:textId="77777777" w:rsidR="001D22C3" w:rsidRPr="002248FB" w:rsidRDefault="001D22C3" w:rsidP="0082620E">
            <w:pPr>
              <w:spacing w:after="0" w:line="288" w:lineRule="auto"/>
              <w:jc w:val="center"/>
              <w:rPr>
                <w:sz w:val="12"/>
                <w:szCs w:val="12"/>
                <w:lang w:val="en-GB"/>
              </w:rPr>
            </w:pPr>
            <w:r w:rsidRPr="002248FB">
              <w:rPr>
                <w:sz w:val="12"/>
                <w:szCs w:val="12"/>
                <w:lang w:val="en-GB"/>
              </w:rPr>
              <w:t>1 MHz</w:t>
            </w:r>
          </w:p>
        </w:tc>
      </w:tr>
    </w:tbl>
    <w:p w14:paraId="77306120" w14:textId="77777777" w:rsidR="001D22C3" w:rsidRDefault="001D22C3" w:rsidP="001D22C3">
      <w:pPr>
        <w:pStyle w:val="ListParagraph"/>
        <w:spacing w:after="0"/>
        <w:ind w:left="0"/>
        <w:jc w:val="center"/>
      </w:pPr>
      <w:r w:rsidRPr="002248FB">
        <w:t>*</w:t>
      </w:r>
      <w:r>
        <w:t>izvanpojasno ograničenje</w:t>
      </w:r>
      <w:r w:rsidRPr="002248FB">
        <w:t xml:space="preserve"> </w:t>
      </w:r>
      <w:r>
        <w:t>i</w:t>
      </w:r>
      <w:r w:rsidRPr="002248FB">
        <w:t xml:space="preserve"> **</w:t>
      </w:r>
      <w:r>
        <w:t>ograničenje snage</w:t>
      </w:r>
    </w:p>
    <w:p w14:paraId="19ABC028" w14:textId="77777777" w:rsidR="009B436C" w:rsidRDefault="009B436C" w:rsidP="009B436C">
      <w:pPr>
        <w:pStyle w:val="ListParagraph"/>
        <w:spacing w:before="160" w:after="120"/>
        <w:ind w:left="0"/>
        <w:jc w:val="both"/>
      </w:pPr>
    </w:p>
    <w:p w14:paraId="3F1C8D3F" w14:textId="331708D0" w:rsidR="001D22C3" w:rsidRDefault="001D22C3" w:rsidP="009B436C">
      <w:pPr>
        <w:pStyle w:val="ListParagraph"/>
        <w:spacing w:before="160" w:after="120"/>
        <w:ind w:left="0"/>
        <w:jc w:val="both"/>
      </w:pPr>
      <w:r>
        <w:t xml:space="preserve">Zbog zaštite radiokomunikacijskih službi u susjednim frekvencijskim pojasevima ispod 1427 MHz i iznad 1518 MHz ECC Odlukom </w:t>
      </w:r>
      <w:r w:rsidRPr="00B0040C">
        <w:t>ECC/DEC/(1</w:t>
      </w:r>
      <w:r w:rsidR="00762987">
        <w:t>7</w:t>
      </w:r>
      <w:r w:rsidRPr="00B0040C">
        <w:t>)0</w:t>
      </w:r>
      <w:r w:rsidR="00762987">
        <w:t>6</w:t>
      </w:r>
      <w:r>
        <w:t xml:space="preserve"> propisani su sljedeći tehnički uvjeti za bazne postaje:</w:t>
      </w:r>
    </w:p>
    <w:p w14:paraId="45638B71" w14:textId="285EA3DC" w:rsidR="001D22C3" w:rsidRDefault="001D22C3" w:rsidP="009B436C">
      <w:pPr>
        <w:pStyle w:val="ListParagraph"/>
        <w:numPr>
          <w:ilvl w:val="0"/>
          <w:numId w:val="6"/>
        </w:numPr>
        <w:spacing w:before="160" w:after="120"/>
        <w:jc w:val="both"/>
      </w:pPr>
      <w:r>
        <w:t>ograničenje maksimalne snage neželjene emisije od -72 dBW/27 MHz</w:t>
      </w:r>
      <w:r w:rsidR="000917E0">
        <w:t xml:space="preserve"> </w:t>
      </w:r>
      <w:r>
        <w:t xml:space="preserve">u frekvencijskom pojasu 1400-1427 MHz što rezultira uporabom </w:t>
      </w:r>
      <w:r w:rsidRPr="00E47F22">
        <w:t>bazn</w:t>
      </w:r>
      <w:r>
        <w:t>ih</w:t>
      </w:r>
      <w:r w:rsidRPr="00E47F22">
        <w:t xml:space="preserve"> </w:t>
      </w:r>
      <w:r>
        <w:t>postaja male snage</w:t>
      </w:r>
      <w:r w:rsidRPr="00E47F22">
        <w:t xml:space="preserve"> u </w:t>
      </w:r>
      <w:r>
        <w:t>frekvencijskom bloku 1427-1432 MHz</w:t>
      </w:r>
    </w:p>
    <w:p w14:paraId="16E95AED" w14:textId="51C0ED7D" w:rsidR="001D22C3" w:rsidRDefault="001D22C3" w:rsidP="001D22C3">
      <w:pPr>
        <w:pStyle w:val="ListParagraph"/>
        <w:numPr>
          <w:ilvl w:val="0"/>
          <w:numId w:val="6"/>
        </w:numPr>
        <w:spacing w:before="120" w:after="120"/>
        <w:jc w:val="both"/>
      </w:pPr>
      <w:r>
        <w:t>ograničenje maksimalne unutarpojasne ekvivalentne izotropne izračene snage (e.i.r.p.) od 58 dBm/5</w:t>
      </w:r>
      <w:r w:rsidR="000917E0">
        <w:t xml:space="preserve"> </w:t>
      </w:r>
      <w:r>
        <w:t>MHz po ćeliji u frekvencijskom bloku 1512-1517 MHz</w:t>
      </w:r>
    </w:p>
    <w:p w14:paraId="1151E6A8" w14:textId="77777777" w:rsidR="001D22C3" w:rsidRDefault="001D22C3" w:rsidP="009B436C">
      <w:pPr>
        <w:pStyle w:val="ListParagraph"/>
        <w:numPr>
          <w:ilvl w:val="0"/>
          <w:numId w:val="6"/>
        </w:numPr>
        <w:spacing w:before="120"/>
        <w:ind w:left="714" w:hanging="357"/>
        <w:jc w:val="both"/>
      </w:pPr>
      <w:r>
        <w:t xml:space="preserve">ograničenje ekvivalentne izotropne izračene snage (e.i.r.p.) izvan bloka od </w:t>
      </w:r>
      <w:r>
        <w:rPr>
          <w:lang w:val="en-GB"/>
        </w:rPr>
        <w:t xml:space="preserve">-0.8 </w:t>
      </w:r>
      <w:proofErr w:type="spellStart"/>
      <w:r>
        <w:rPr>
          <w:lang w:val="en-GB"/>
        </w:rPr>
        <w:t>dBm</w:t>
      </w:r>
      <w:proofErr w:type="spellEnd"/>
      <w:r>
        <w:rPr>
          <w:lang w:val="en-GB"/>
        </w:rPr>
        <w:t xml:space="preserve"> </w:t>
      </w:r>
      <w:r>
        <w:t>u frekvencijskom pojasu 1518-1520 MHz i -30 dBm u frekvencijskom pojasu 1520-1559 MHz</w:t>
      </w:r>
    </w:p>
    <w:p w14:paraId="72861876" w14:textId="6CF77A52" w:rsidR="00D17121" w:rsidRPr="009B436C" w:rsidRDefault="001D22C3" w:rsidP="009B436C">
      <w:pPr>
        <w:jc w:val="both"/>
        <w:rPr>
          <w:bCs/>
        </w:rPr>
      </w:pPr>
      <w:r w:rsidRPr="009B436C">
        <w:rPr>
          <w:bCs/>
        </w:rPr>
        <w:t>ECC Odlukom ECC/DEC/(13)03 je također radi zaštite radiokomunikacijskih službi u susjednim frekv</w:t>
      </w:r>
      <w:r w:rsidR="00CC45EF" w:rsidRPr="009B436C">
        <w:rPr>
          <w:bCs/>
        </w:rPr>
        <w:t>encijskim pojasevima predviđena mogućnost</w:t>
      </w:r>
      <w:r w:rsidR="00F40632" w:rsidRPr="009B436C">
        <w:rPr>
          <w:bCs/>
        </w:rPr>
        <w:t xml:space="preserve"> </w:t>
      </w:r>
      <w:r w:rsidR="000917E0" w:rsidRPr="009B436C">
        <w:rPr>
          <w:bCs/>
        </w:rPr>
        <w:t xml:space="preserve">uvođenja </w:t>
      </w:r>
      <w:r w:rsidRPr="009B436C">
        <w:rPr>
          <w:bCs/>
        </w:rPr>
        <w:t xml:space="preserve">dodatnih tehničkih uvjeta na nacionalnoj razini kao što su ograničenje maksimalne unutarpojasne ekvivalentne izotropne izračene snage (e.i.r.p.) u frekvencijskim pojasevima 1427-1452 MHz i 1492-1518 MHz i koordinacija </w:t>
      </w:r>
      <w:r w:rsidR="00ED75AB" w:rsidRPr="009B436C">
        <w:rPr>
          <w:bCs/>
        </w:rPr>
        <w:t xml:space="preserve">između </w:t>
      </w:r>
      <w:r w:rsidRPr="009B436C">
        <w:rPr>
          <w:bCs/>
        </w:rPr>
        <w:t>radijskih postaja.</w:t>
      </w:r>
    </w:p>
    <w:p w14:paraId="12CA6B91" w14:textId="6FEC7EE9" w:rsidR="001A2A92" w:rsidRDefault="00A57F01" w:rsidP="006D3617">
      <w:pPr>
        <w:pStyle w:val="Heading2"/>
        <w:spacing w:before="0" w:after="240"/>
        <w:ind w:firstLine="709"/>
      </w:pPr>
      <w:bookmarkStart w:id="5" w:name="_Toc19714488"/>
      <w:r>
        <w:t xml:space="preserve">2.3. </w:t>
      </w:r>
      <w:r w:rsidR="001E0185">
        <w:t xml:space="preserve">Frekvencijski pojas </w:t>
      </w:r>
      <w:r w:rsidR="001A2A92">
        <w:t>3,6 GHz</w:t>
      </w:r>
      <w:bookmarkEnd w:id="5"/>
    </w:p>
    <w:p w14:paraId="6948440D" w14:textId="51C92A81" w:rsidR="009D78D2" w:rsidRPr="009B436C" w:rsidRDefault="009D78D2" w:rsidP="009B436C">
      <w:pPr>
        <w:jc w:val="both"/>
        <w:rPr>
          <w:bCs/>
        </w:rPr>
      </w:pPr>
      <w:r w:rsidRPr="009B436C">
        <w:rPr>
          <w:bCs/>
        </w:rPr>
        <w:t>Frekvencijski pojas 3.6 GHz je frekvencijski pojas s nepovoljnijim propagacijski</w:t>
      </w:r>
      <w:r w:rsidR="000B0971">
        <w:rPr>
          <w:bCs/>
        </w:rPr>
        <w:t xml:space="preserve">m karakteristikama u odnosu na </w:t>
      </w:r>
      <w:r w:rsidRPr="009B436C">
        <w:rPr>
          <w:bCs/>
        </w:rPr>
        <w:t xml:space="preserve">frekvencijske pojaseva koji operatori pokretnih komunikacija trenutno koriste u RH (800 MHz do 2.6 GHz). </w:t>
      </w:r>
      <w:r w:rsidR="002275ED">
        <w:rPr>
          <w:bCs/>
        </w:rPr>
        <w:t>S</w:t>
      </w:r>
      <w:r w:rsidRPr="009B436C">
        <w:rPr>
          <w:bCs/>
        </w:rPr>
        <w:t xml:space="preserve"> druge strane</w:t>
      </w:r>
      <w:r w:rsidR="002275ED">
        <w:rPr>
          <w:bCs/>
        </w:rPr>
        <w:t>,</w:t>
      </w:r>
      <w:r w:rsidRPr="009B436C">
        <w:rPr>
          <w:bCs/>
        </w:rPr>
        <w:t xml:space="preserve"> ovaj frekvencijski pojas može osigurati operatorima dovoljnu količinu spektra </w:t>
      </w:r>
      <w:r w:rsidR="00F82761" w:rsidRPr="009B436C">
        <w:rPr>
          <w:bCs/>
        </w:rPr>
        <w:t>koj</w:t>
      </w:r>
      <w:r w:rsidR="00F82761">
        <w:rPr>
          <w:bCs/>
        </w:rPr>
        <w:t>a</w:t>
      </w:r>
      <w:r w:rsidR="00F82761" w:rsidRPr="009B436C">
        <w:rPr>
          <w:bCs/>
        </w:rPr>
        <w:t xml:space="preserve"> </w:t>
      </w:r>
      <w:r w:rsidR="00F82761">
        <w:rPr>
          <w:bCs/>
        </w:rPr>
        <w:t>omogućuje</w:t>
      </w:r>
      <w:r w:rsidRPr="009B436C">
        <w:rPr>
          <w:bCs/>
        </w:rPr>
        <w:t xml:space="preserve"> veliku propusnost i kapacitet potreban za podršku velikog broja povezanih uređaja, a time i osigurati implementaciju 5G tehnologije.</w:t>
      </w:r>
    </w:p>
    <w:p w14:paraId="42DF6279" w14:textId="37D046AA" w:rsidR="00D17121" w:rsidRPr="009B436C" w:rsidRDefault="00D17121" w:rsidP="009B436C">
      <w:pPr>
        <w:jc w:val="both"/>
        <w:rPr>
          <w:bCs/>
        </w:rPr>
      </w:pPr>
      <w:r w:rsidRPr="009B436C">
        <w:rPr>
          <w:bCs/>
        </w:rPr>
        <w:lastRenderedPageBreak/>
        <w:t xml:space="preserve">Usklađeni tehnički uvjeti za </w:t>
      </w:r>
      <w:r w:rsidR="00924A44" w:rsidRPr="009B436C">
        <w:rPr>
          <w:bCs/>
        </w:rPr>
        <w:t>MFCN mreže</w:t>
      </w:r>
      <w:r w:rsidRPr="009B436C">
        <w:rPr>
          <w:bCs/>
        </w:rPr>
        <w:t xml:space="preserve"> u frekvencijskom pojasu 3400-3800 MHz na razini Europske unije propisani su provedbenom odlukom Europske </w:t>
      </w:r>
      <w:r w:rsidR="00F84D7B" w:rsidRPr="009B436C">
        <w:rPr>
          <w:bCs/>
        </w:rPr>
        <w:t xml:space="preserve">komisije </w:t>
      </w:r>
      <w:r w:rsidRPr="009B436C">
        <w:rPr>
          <w:bCs/>
        </w:rPr>
        <w:t>(EU) 2019/235</w:t>
      </w:r>
      <w:r w:rsidR="00843C24">
        <w:rPr>
          <w:rStyle w:val="FootnoteReference"/>
          <w:bCs/>
        </w:rPr>
        <w:footnoteReference w:id="9"/>
      </w:r>
      <w:r w:rsidRPr="009B436C">
        <w:rPr>
          <w:bCs/>
        </w:rPr>
        <w:t xml:space="preserve"> odn</w:t>
      </w:r>
      <w:r w:rsidR="00843C24">
        <w:rPr>
          <w:bCs/>
        </w:rPr>
        <w:t>osno ECC Odlukom ECC/DEC/(11)06</w:t>
      </w:r>
      <w:r w:rsidR="00843C24">
        <w:rPr>
          <w:rStyle w:val="FootnoteReference"/>
          <w:bCs/>
        </w:rPr>
        <w:footnoteReference w:id="10"/>
      </w:r>
      <w:r w:rsidRPr="009B436C">
        <w:rPr>
          <w:bCs/>
        </w:rPr>
        <w:t xml:space="preserve"> za bazne postaje s neaktivnim antenskim sustavima (ne-AAS) i sa aktivnim antenskim sustavima (AAS). </w:t>
      </w:r>
    </w:p>
    <w:p w14:paraId="0ED1992C" w14:textId="393C7C56" w:rsidR="00D17121" w:rsidRPr="009B436C" w:rsidRDefault="00D17121" w:rsidP="009B436C">
      <w:pPr>
        <w:jc w:val="both"/>
        <w:rPr>
          <w:bCs/>
        </w:rPr>
      </w:pPr>
      <w:r w:rsidRPr="009B436C">
        <w:rPr>
          <w:bCs/>
        </w:rPr>
        <w:t>AAS</w:t>
      </w:r>
      <w:r w:rsidR="000B0971">
        <w:rPr>
          <w:bCs/>
        </w:rPr>
        <w:t xml:space="preserve"> sustav</w:t>
      </w:r>
      <w:r w:rsidRPr="009B436C">
        <w:rPr>
          <w:bCs/>
        </w:rPr>
        <w:t xml:space="preserve"> predstavlja baznu postaju i antenski sustav s promjenjivom amplitudom</w:t>
      </w:r>
      <w:r w:rsidR="004224A0" w:rsidRPr="009B436C">
        <w:rPr>
          <w:bCs/>
        </w:rPr>
        <w:t xml:space="preserve"> i/</w:t>
      </w:r>
      <w:r w:rsidRPr="009B436C">
        <w:rPr>
          <w:bCs/>
        </w:rPr>
        <w:t>ili fazom između antenskih elemenata što rezultira promjenjivim antenskim dijagramom koji varira u skladu s kratkotrajnim promjenama u radijskom</w:t>
      </w:r>
      <w:r w:rsidR="00DC1CC4" w:rsidRPr="009B436C">
        <w:rPr>
          <w:bCs/>
        </w:rPr>
        <w:t xml:space="preserve"> okruženju.</w:t>
      </w:r>
      <w:r w:rsidRPr="009B436C">
        <w:rPr>
          <w:bCs/>
        </w:rPr>
        <w:t xml:space="preserve"> </w:t>
      </w:r>
      <w:r w:rsidR="00DC1CC4" w:rsidRPr="009B436C">
        <w:rPr>
          <w:bCs/>
        </w:rPr>
        <w:t>Navedeno</w:t>
      </w:r>
      <w:r w:rsidRPr="009B436C">
        <w:rPr>
          <w:bCs/>
        </w:rPr>
        <w:t xml:space="preserve"> </w:t>
      </w:r>
      <w:r w:rsidR="003D5E46" w:rsidRPr="009B436C">
        <w:rPr>
          <w:bCs/>
        </w:rPr>
        <w:t xml:space="preserve">ne uključuje </w:t>
      </w:r>
      <w:r w:rsidRPr="009B436C">
        <w:rPr>
          <w:bCs/>
        </w:rPr>
        <w:t>dugotrajno oblikovanje snopa poput fiksnog električnog nagiba prema dolje. U baznim postajama AAS je integrirani dio bazne postaje.</w:t>
      </w:r>
    </w:p>
    <w:p w14:paraId="19EDDEF7" w14:textId="1F2D2481" w:rsidR="00D17121" w:rsidRPr="009B436C" w:rsidRDefault="00D17121" w:rsidP="009B436C">
      <w:pPr>
        <w:jc w:val="both"/>
        <w:rPr>
          <w:bCs/>
        </w:rPr>
      </w:pPr>
      <w:r w:rsidRPr="009B436C">
        <w:rPr>
          <w:bCs/>
        </w:rPr>
        <w:t xml:space="preserve">U ovom frekvencijskom pojasu dozvoljena je uporaba vremenskog dupleksa (TDD), a predviđena je dodjela radiofrekvencijskog spektra u višekratnicima bloka frekvencija širine 5 MHz </w:t>
      </w:r>
      <w:r w:rsidR="00F84D7B" w:rsidRPr="009B436C">
        <w:rPr>
          <w:bCs/>
        </w:rPr>
        <w:t xml:space="preserve">poravnatih </w:t>
      </w:r>
      <w:r w:rsidRPr="009B436C">
        <w:rPr>
          <w:bCs/>
        </w:rPr>
        <w:t>na razmaku od 5 MHz od donjeg ruba na 3400 MHz.</w:t>
      </w:r>
    </w:p>
    <w:p w14:paraId="60E3D654" w14:textId="26A7432C" w:rsidR="00C337CA" w:rsidRPr="009B436C" w:rsidRDefault="000E1F09" w:rsidP="009B436C">
      <w:pPr>
        <w:jc w:val="both"/>
        <w:rPr>
          <w:bCs/>
        </w:rPr>
      </w:pPr>
      <w:r w:rsidRPr="009B436C">
        <w:rPr>
          <w:bCs/>
        </w:rPr>
        <w:t xml:space="preserve">U </w:t>
      </w:r>
      <w:r w:rsidR="00D17121" w:rsidRPr="009B436C">
        <w:rPr>
          <w:bCs/>
        </w:rPr>
        <w:t xml:space="preserve">skladu </w:t>
      </w:r>
      <w:r w:rsidRPr="009B436C">
        <w:rPr>
          <w:bCs/>
        </w:rPr>
        <w:t xml:space="preserve">s </w:t>
      </w:r>
      <w:r w:rsidR="00D17121" w:rsidRPr="009B436C">
        <w:rPr>
          <w:bCs/>
        </w:rPr>
        <w:t xml:space="preserve">NJFA sporazumom </w:t>
      </w:r>
      <w:r w:rsidRPr="009B436C">
        <w:rPr>
          <w:bCs/>
        </w:rPr>
        <w:t xml:space="preserve">gornja granična frekvencija za radare </w:t>
      </w:r>
      <w:r w:rsidR="00D17121" w:rsidRPr="009B436C">
        <w:rPr>
          <w:bCs/>
        </w:rPr>
        <w:t xml:space="preserve">u </w:t>
      </w:r>
      <w:r w:rsidR="00F84D7B" w:rsidRPr="009B436C">
        <w:rPr>
          <w:bCs/>
        </w:rPr>
        <w:t xml:space="preserve">zrakoplovnoj službi </w:t>
      </w:r>
      <w:r w:rsidR="00D17121" w:rsidRPr="009B436C">
        <w:rPr>
          <w:bCs/>
        </w:rPr>
        <w:t>je 3410 MHz.</w:t>
      </w:r>
      <w:r w:rsidR="005C214A" w:rsidRPr="009B436C">
        <w:rPr>
          <w:bCs/>
        </w:rPr>
        <w:t xml:space="preserve"> Tablicom namjene vojna </w:t>
      </w:r>
      <w:r w:rsidR="009A6932">
        <w:rPr>
          <w:bCs/>
        </w:rPr>
        <w:t>uporaba</w:t>
      </w:r>
      <w:r w:rsidR="005C214A" w:rsidRPr="009B436C">
        <w:rPr>
          <w:bCs/>
        </w:rPr>
        <w:t xml:space="preserve"> nije predviđena u frekvencijskom pojasu 3400-3800 MHz</w:t>
      </w:r>
      <w:r w:rsidR="000B0971">
        <w:rPr>
          <w:bCs/>
        </w:rPr>
        <w:t xml:space="preserve"> i</w:t>
      </w:r>
      <w:r w:rsidR="00204B0C" w:rsidRPr="009B436C">
        <w:rPr>
          <w:bCs/>
        </w:rPr>
        <w:t xml:space="preserve"> susjednom frekvencijskom pojasu ispod 3400 MHz</w:t>
      </w:r>
      <w:r w:rsidR="000B0971">
        <w:rPr>
          <w:bCs/>
        </w:rPr>
        <w:t>.</w:t>
      </w:r>
    </w:p>
    <w:p w14:paraId="78DAA1B5" w14:textId="77777777" w:rsidR="00D17121" w:rsidRPr="009B436C" w:rsidRDefault="00D17121" w:rsidP="009B436C">
      <w:pPr>
        <w:jc w:val="both"/>
        <w:rPr>
          <w:bCs/>
        </w:rPr>
      </w:pPr>
      <w:r w:rsidRPr="009B436C">
        <w:rPr>
          <w:bCs/>
        </w:rPr>
        <w:t>Frekvencijski raspored za frekvencijski pojas 3400-3800 MHz prikazan je na sljedećoj slici:</w:t>
      </w:r>
    </w:p>
    <w:p w14:paraId="767A89D9" w14:textId="36036516" w:rsidR="00D17121" w:rsidRDefault="00D17121" w:rsidP="00D17121">
      <w:pPr>
        <w:pStyle w:val="ListParagraph"/>
        <w:spacing w:before="120" w:after="120"/>
        <w:ind w:left="0"/>
        <w:jc w:val="both"/>
      </w:pPr>
      <w:r>
        <w:rPr>
          <w:noProof/>
          <w:lang w:eastAsia="hr-HR"/>
        </w:rPr>
        <w:drawing>
          <wp:inline distT="0" distB="0" distL="0" distR="0" wp14:anchorId="5E9A54BC" wp14:editId="61B1869D">
            <wp:extent cx="5831409" cy="6464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2078" cy="706359"/>
                    </a:xfrm>
                    <a:prstGeom prst="rect">
                      <a:avLst/>
                    </a:prstGeom>
                  </pic:spPr>
                </pic:pic>
              </a:graphicData>
            </a:graphic>
          </wp:inline>
        </w:drawing>
      </w:r>
    </w:p>
    <w:p w14:paraId="6DA23031" w14:textId="58A2115F" w:rsidR="00D17121" w:rsidRPr="009B436C" w:rsidRDefault="00F82761" w:rsidP="009B436C">
      <w:pPr>
        <w:jc w:val="both"/>
        <w:rPr>
          <w:bCs/>
        </w:rPr>
      </w:pPr>
      <w:r>
        <w:rPr>
          <w:bCs/>
        </w:rPr>
        <w:t>Implementacija</w:t>
      </w:r>
      <w:r w:rsidR="00D17121" w:rsidRPr="009B436C">
        <w:rPr>
          <w:bCs/>
        </w:rPr>
        <w:t xml:space="preserve"> širokopojasnih baznih </w:t>
      </w:r>
      <w:r w:rsidR="000B0971">
        <w:rPr>
          <w:bCs/>
        </w:rPr>
        <w:t>postaja</w:t>
      </w:r>
      <w:r w:rsidR="00D17121" w:rsidRPr="009B436C">
        <w:rPr>
          <w:bCs/>
        </w:rPr>
        <w:t xml:space="preserve"> na otvorenom u najnižim blokovima od 5 MHz</w:t>
      </w:r>
      <w:r w:rsidR="002275ED">
        <w:rPr>
          <w:bCs/>
        </w:rPr>
        <w:t>,</w:t>
      </w:r>
      <w:r w:rsidR="00D17121" w:rsidRPr="009B436C">
        <w:rPr>
          <w:bCs/>
        </w:rPr>
        <w:t xml:space="preserve"> uzimajući u obzir izvanpojasna ograničenja neželjenih emisija za zaštitu radara, zahtijevat će nadogradnju filtera za AAS.</w:t>
      </w:r>
    </w:p>
    <w:p w14:paraId="083A721D" w14:textId="40B9F48F" w:rsidR="009E214D" w:rsidRPr="009B436C" w:rsidRDefault="009E214D" w:rsidP="009B436C">
      <w:pPr>
        <w:jc w:val="both"/>
        <w:rPr>
          <w:bCs/>
        </w:rPr>
      </w:pPr>
      <w:r w:rsidRPr="009B436C">
        <w:rPr>
          <w:bCs/>
        </w:rPr>
        <w:t>TDD mreže mogu raditi u sljedećim načinima</w:t>
      </w:r>
      <w:r w:rsidR="006449AD" w:rsidRPr="009B436C">
        <w:rPr>
          <w:bCs/>
        </w:rPr>
        <w:t xml:space="preserve"> rada</w:t>
      </w:r>
      <w:r w:rsidRPr="009B436C">
        <w:rPr>
          <w:bCs/>
        </w:rPr>
        <w:t>: sinkroniziranom, nesinkroniziranom i polusinkroniziranom.</w:t>
      </w:r>
    </w:p>
    <w:p w14:paraId="021FB08E" w14:textId="1284E862" w:rsidR="00D17121" w:rsidRPr="009B436C" w:rsidRDefault="00D17121" w:rsidP="009B436C">
      <w:pPr>
        <w:jc w:val="both"/>
        <w:rPr>
          <w:bCs/>
        </w:rPr>
      </w:pPr>
      <w:r w:rsidRPr="009B436C">
        <w:rPr>
          <w:bCs/>
        </w:rPr>
        <w:t xml:space="preserve">Sinkronizirani rad </w:t>
      </w:r>
      <w:r w:rsidR="006449AD" w:rsidRPr="009B436C">
        <w:rPr>
          <w:bCs/>
        </w:rPr>
        <w:t>je</w:t>
      </w:r>
      <w:r w:rsidRPr="009B436C">
        <w:rPr>
          <w:bCs/>
        </w:rPr>
        <w:t xml:space="preserve"> rad dviju ili više različitih </w:t>
      </w:r>
      <w:r w:rsidR="007E55BA" w:rsidRPr="009B436C">
        <w:rPr>
          <w:bCs/>
        </w:rPr>
        <w:t>TDD mreža kod kojeg</w:t>
      </w:r>
      <w:r w:rsidRPr="009B436C">
        <w:rPr>
          <w:bCs/>
        </w:rPr>
        <w:t xml:space="preserve"> nema istovremen</w:t>
      </w:r>
      <w:r w:rsidR="0071651D" w:rsidRPr="009B436C">
        <w:rPr>
          <w:bCs/>
        </w:rPr>
        <w:t>og</w:t>
      </w:r>
      <w:r w:rsidRPr="009B436C">
        <w:rPr>
          <w:bCs/>
        </w:rPr>
        <w:t xml:space="preserve"> </w:t>
      </w:r>
      <w:r w:rsidR="0071651D" w:rsidRPr="009B436C">
        <w:rPr>
          <w:bCs/>
        </w:rPr>
        <w:t>prijenosa</w:t>
      </w:r>
      <w:r w:rsidRPr="009B436C">
        <w:rPr>
          <w:bCs/>
        </w:rPr>
        <w:t xml:space="preserve"> uzlazne veze (UL </w:t>
      </w:r>
      <w:r w:rsidR="008E511B" w:rsidRPr="009B436C">
        <w:rPr>
          <w:bCs/>
        </w:rPr>
        <w:t>prijenos</w:t>
      </w:r>
      <w:r w:rsidRPr="009B436C">
        <w:rPr>
          <w:bCs/>
        </w:rPr>
        <w:t xml:space="preserve">) i silazne veze (DL </w:t>
      </w:r>
      <w:r w:rsidR="008E511B" w:rsidRPr="009B436C">
        <w:rPr>
          <w:bCs/>
        </w:rPr>
        <w:t>prijenos</w:t>
      </w:r>
      <w:r w:rsidR="006449AD" w:rsidRPr="009B436C">
        <w:rPr>
          <w:bCs/>
        </w:rPr>
        <w:t>)</w:t>
      </w:r>
      <w:r w:rsidRPr="009B436C">
        <w:rPr>
          <w:bCs/>
        </w:rPr>
        <w:t xml:space="preserve">. Sinkronizirani rad zahtijeva usklađivanje svih DL i UL </w:t>
      </w:r>
      <w:r w:rsidR="0071651D" w:rsidRPr="009B436C">
        <w:rPr>
          <w:bCs/>
        </w:rPr>
        <w:t>prijenosa</w:t>
      </w:r>
      <w:r w:rsidRPr="009B436C">
        <w:rPr>
          <w:bCs/>
        </w:rPr>
        <w:t xml:space="preserve"> </w:t>
      </w:r>
      <w:r w:rsidRPr="009B436C">
        <w:rPr>
          <w:bCs/>
        </w:rPr>
        <w:lastRenderedPageBreak/>
        <w:t xml:space="preserve">za sve uključene TDD mreže </w:t>
      </w:r>
      <w:r w:rsidR="007E55BA" w:rsidRPr="009B436C">
        <w:rPr>
          <w:bCs/>
        </w:rPr>
        <w:t>te</w:t>
      </w:r>
      <w:r w:rsidRPr="009B436C">
        <w:rPr>
          <w:bCs/>
        </w:rPr>
        <w:t xml:space="preserve"> sinkronizaciju početka </w:t>
      </w:r>
      <w:r w:rsidR="0071651D" w:rsidRPr="009B436C">
        <w:rPr>
          <w:bCs/>
        </w:rPr>
        <w:t>prijenosa</w:t>
      </w:r>
      <w:r w:rsidRPr="009B436C">
        <w:rPr>
          <w:bCs/>
        </w:rPr>
        <w:t xml:space="preserve"> okvira u svim mreža</w:t>
      </w:r>
      <w:r w:rsidR="007E55BA" w:rsidRPr="009B436C">
        <w:rPr>
          <w:bCs/>
        </w:rPr>
        <w:t>ma</w:t>
      </w:r>
      <w:r w:rsidRPr="009B436C">
        <w:rPr>
          <w:bCs/>
        </w:rPr>
        <w:t xml:space="preserve">. </w:t>
      </w:r>
    </w:p>
    <w:p w14:paraId="14C4E8AB" w14:textId="01197F21" w:rsidR="00D17121" w:rsidRPr="009B436C" w:rsidRDefault="00D17121" w:rsidP="009B436C">
      <w:pPr>
        <w:jc w:val="both"/>
        <w:rPr>
          <w:bCs/>
        </w:rPr>
      </w:pPr>
      <w:r w:rsidRPr="009B436C">
        <w:rPr>
          <w:bCs/>
        </w:rPr>
        <w:t xml:space="preserve">Nesinkronizirani rad </w:t>
      </w:r>
      <w:r w:rsidR="006449AD" w:rsidRPr="009B436C">
        <w:rPr>
          <w:bCs/>
        </w:rPr>
        <w:t>je</w:t>
      </w:r>
      <w:r w:rsidRPr="009B436C">
        <w:rPr>
          <w:bCs/>
        </w:rPr>
        <w:t xml:space="preserve"> rad dviju ili više različitih TDD mreža kod kojeg u bilo kojem trenutku najmanje u jednoj mreži imamo DL </w:t>
      </w:r>
      <w:r w:rsidR="0071651D" w:rsidRPr="009B436C">
        <w:rPr>
          <w:bCs/>
        </w:rPr>
        <w:t>prijenos</w:t>
      </w:r>
      <w:r w:rsidRPr="009B436C">
        <w:rPr>
          <w:bCs/>
        </w:rPr>
        <w:t xml:space="preserve">, a </w:t>
      </w:r>
      <w:r w:rsidR="002275ED" w:rsidRPr="009B436C">
        <w:rPr>
          <w:bCs/>
        </w:rPr>
        <w:t xml:space="preserve">u drugoj mreži </w:t>
      </w:r>
      <w:r w:rsidRPr="009B436C">
        <w:rPr>
          <w:bCs/>
        </w:rPr>
        <w:t xml:space="preserve">UL </w:t>
      </w:r>
      <w:r w:rsidR="0071651D" w:rsidRPr="009B436C">
        <w:rPr>
          <w:bCs/>
        </w:rPr>
        <w:t>prijenos</w:t>
      </w:r>
      <w:r w:rsidR="007E55BA" w:rsidRPr="009B436C">
        <w:rPr>
          <w:bCs/>
        </w:rPr>
        <w:t>,</w:t>
      </w:r>
      <w:r w:rsidR="006449AD" w:rsidRPr="009B436C">
        <w:rPr>
          <w:bCs/>
        </w:rPr>
        <w:t xml:space="preserve"> </w:t>
      </w:r>
      <w:r w:rsidR="007E55BA" w:rsidRPr="009B436C">
        <w:rPr>
          <w:bCs/>
        </w:rPr>
        <w:t>a</w:t>
      </w:r>
      <w:r w:rsidR="006449AD" w:rsidRPr="009B436C">
        <w:rPr>
          <w:bCs/>
        </w:rPr>
        <w:t xml:space="preserve"> javlja se </w:t>
      </w:r>
      <w:r w:rsidRPr="009B436C">
        <w:rPr>
          <w:bCs/>
        </w:rPr>
        <w:t xml:space="preserve">u slučajevima </w:t>
      </w:r>
      <w:r w:rsidR="007E55BA" w:rsidRPr="009B436C">
        <w:rPr>
          <w:bCs/>
        </w:rPr>
        <w:t>neusklađenosti</w:t>
      </w:r>
      <w:r w:rsidRPr="009B436C">
        <w:rPr>
          <w:bCs/>
        </w:rPr>
        <w:t xml:space="preserve"> DL i UL </w:t>
      </w:r>
      <w:r w:rsidR="0071651D" w:rsidRPr="009B436C">
        <w:rPr>
          <w:bCs/>
        </w:rPr>
        <w:t>prijenosa</w:t>
      </w:r>
      <w:r w:rsidRPr="009B436C">
        <w:rPr>
          <w:bCs/>
        </w:rPr>
        <w:t xml:space="preserve"> odnosno </w:t>
      </w:r>
      <w:r w:rsidR="000B0971">
        <w:rPr>
          <w:bCs/>
        </w:rPr>
        <w:t>kod</w:t>
      </w:r>
      <w:r w:rsidRPr="009B436C">
        <w:rPr>
          <w:bCs/>
        </w:rPr>
        <w:t xml:space="preserve"> </w:t>
      </w:r>
      <w:r w:rsidR="007E55BA" w:rsidRPr="009B436C">
        <w:rPr>
          <w:bCs/>
        </w:rPr>
        <w:t>nesinkroniziranog</w:t>
      </w:r>
      <w:r w:rsidRPr="009B436C">
        <w:rPr>
          <w:bCs/>
        </w:rPr>
        <w:t xml:space="preserve"> počet</w:t>
      </w:r>
      <w:r w:rsidR="0071651D" w:rsidRPr="009B436C">
        <w:rPr>
          <w:bCs/>
        </w:rPr>
        <w:t>k</w:t>
      </w:r>
      <w:r w:rsidRPr="009B436C">
        <w:rPr>
          <w:bCs/>
        </w:rPr>
        <w:t xml:space="preserve">a </w:t>
      </w:r>
      <w:r w:rsidR="0071651D" w:rsidRPr="009B436C">
        <w:rPr>
          <w:bCs/>
        </w:rPr>
        <w:t>prijenosa</w:t>
      </w:r>
      <w:r w:rsidRPr="009B436C">
        <w:rPr>
          <w:bCs/>
        </w:rPr>
        <w:t xml:space="preserve"> okvira</w:t>
      </w:r>
      <w:r w:rsidR="007E55BA" w:rsidRPr="009B436C">
        <w:rPr>
          <w:bCs/>
        </w:rPr>
        <w:t>.</w:t>
      </w:r>
    </w:p>
    <w:p w14:paraId="611E9AA0" w14:textId="0B8E380F" w:rsidR="00D17121" w:rsidRPr="009B436C" w:rsidRDefault="00D17121" w:rsidP="009B436C">
      <w:pPr>
        <w:jc w:val="both"/>
        <w:rPr>
          <w:bCs/>
        </w:rPr>
      </w:pPr>
      <w:r w:rsidRPr="009B436C">
        <w:rPr>
          <w:bCs/>
        </w:rPr>
        <w:t xml:space="preserve">Polusinkronizirani rad </w:t>
      </w:r>
      <w:r w:rsidR="007E55BA" w:rsidRPr="009B436C">
        <w:rPr>
          <w:bCs/>
        </w:rPr>
        <w:t xml:space="preserve">je </w:t>
      </w:r>
      <w:r w:rsidRPr="009B436C">
        <w:rPr>
          <w:bCs/>
        </w:rPr>
        <w:t>rad dviju ili više različitih TDD mreža kod koj</w:t>
      </w:r>
      <w:r w:rsidR="0071651D" w:rsidRPr="009B436C">
        <w:rPr>
          <w:bCs/>
        </w:rPr>
        <w:t>ih</w:t>
      </w:r>
      <w:r w:rsidRPr="009B436C">
        <w:rPr>
          <w:bCs/>
        </w:rPr>
        <w:t xml:space="preserve"> </w:t>
      </w:r>
      <w:r w:rsidR="007E55BA" w:rsidRPr="009B436C">
        <w:rPr>
          <w:bCs/>
        </w:rPr>
        <w:t>su</w:t>
      </w:r>
      <w:r w:rsidRPr="009B436C">
        <w:rPr>
          <w:bCs/>
        </w:rPr>
        <w:t xml:space="preserve"> </w:t>
      </w:r>
      <w:r w:rsidR="007E55BA" w:rsidRPr="009B436C">
        <w:rPr>
          <w:bCs/>
        </w:rPr>
        <w:t>način</w:t>
      </w:r>
      <w:r w:rsidR="0071651D" w:rsidRPr="009B436C">
        <w:rPr>
          <w:bCs/>
        </w:rPr>
        <w:t>i</w:t>
      </w:r>
      <w:r w:rsidR="007E55BA" w:rsidRPr="009B436C">
        <w:rPr>
          <w:bCs/>
        </w:rPr>
        <w:t xml:space="preserve"> </w:t>
      </w:r>
      <w:r w:rsidR="0071651D" w:rsidRPr="009B436C">
        <w:rPr>
          <w:bCs/>
        </w:rPr>
        <w:t>prijenosa</w:t>
      </w:r>
      <w:r w:rsidR="007E55BA" w:rsidRPr="009B436C">
        <w:rPr>
          <w:bCs/>
        </w:rPr>
        <w:t xml:space="preserve"> odsječaka unutar jednog dijela </w:t>
      </w:r>
      <w:r w:rsidRPr="009B436C">
        <w:rPr>
          <w:bCs/>
        </w:rPr>
        <w:t>okvira u skladu s</w:t>
      </w:r>
      <w:r w:rsidR="00135DC9">
        <w:rPr>
          <w:bCs/>
        </w:rPr>
        <w:t>a</w:t>
      </w:r>
      <w:r w:rsidRPr="009B436C">
        <w:rPr>
          <w:bCs/>
        </w:rPr>
        <w:t xml:space="preserve"> sinkroniziranim načinom radom, a </w:t>
      </w:r>
      <w:r w:rsidR="007E55BA" w:rsidRPr="009B436C">
        <w:rPr>
          <w:bCs/>
        </w:rPr>
        <w:t>unutar drugog dijela</w:t>
      </w:r>
      <w:r w:rsidRPr="009B436C">
        <w:rPr>
          <w:bCs/>
        </w:rPr>
        <w:t xml:space="preserve"> okvira u skladu s nesinkroniziranom načinom rada. Polusinkronizirani način rad</w:t>
      </w:r>
      <w:r w:rsidR="00135DC9">
        <w:rPr>
          <w:bCs/>
        </w:rPr>
        <w:t>a</w:t>
      </w:r>
      <w:r w:rsidRPr="009B436C">
        <w:rPr>
          <w:bCs/>
        </w:rPr>
        <w:t xml:space="preserve"> zahtijeva usvajanje zajedničkog okvira za sve TDD mreže, uključujući odsječke s neodređenim načinom </w:t>
      </w:r>
      <w:r w:rsidR="00F3325E">
        <w:rPr>
          <w:bCs/>
        </w:rPr>
        <w:t>prijenosa</w:t>
      </w:r>
      <w:r w:rsidR="005B3090">
        <w:rPr>
          <w:bCs/>
        </w:rPr>
        <w:t xml:space="preserve"> (UL/</w:t>
      </w:r>
      <w:r w:rsidRPr="009B436C">
        <w:rPr>
          <w:bCs/>
        </w:rPr>
        <w:t xml:space="preserve">DL), kao i sinkronizaciju početka </w:t>
      </w:r>
      <w:r w:rsidR="00F3325E">
        <w:rPr>
          <w:bCs/>
        </w:rPr>
        <w:t>prijenosa</w:t>
      </w:r>
      <w:r w:rsidRPr="009B436C">
        <w:rPr>
          <w:bCs/>
        </w:rPr>
        <w:t xml:space="preserve"> okvira</w:t>
      </w:r>
      <w:r w:rsidR="00864316" w:rsidRPr="009B436C">
        <w:rPr>
          <w:bCs/>
        </w:rPr>
        <w:t>.</w:t>
      </w:r>
    </w:p>
    <w:p w14:paraId="6E1EC6F0" w14:textId="7F65D38E" w:rsidR="00D17121" w:rsidRPr="009B436C" w:rsidRDefault="00D17121" w:rsidP="009B436C">
      <w:pPr>
        <w:jc w:val="both"/>
        <w:rPr>
          <w:bCs/>
        </w:rPr>
      </w:pPr>
      <w:r w:rsidRPr="009B436C">
        <w:rPr>
          <w:bCs/>
        </w:rPr>
        <w:t xml:space="preserve">U sinkroniziranom načinu rada </w:t>
      </w:r>
      <w:r w:rsidR="00403385" w:rsidRPr="009B436C">
        <w:rPr>
          <w:bCs/>
        </w:rPr>
        <w:t>nema</w:t>
      </w:r>
      <w:r w:rsidRPr="009B436C">
        <w:rPr>
          <w:bCs/>
        </w:rPr>
        <w:t xml:space="preserve"> slučajev</w:t>
      </w:r>
      <w:r w:rsidR="00403385" w:rsidRPr="009B436C">
        <w:rPr>
          <w:bCs/>
        </w:rPr>
        <w:t>a</w:t>
      </w:r>
      <w:r w:rsidRPr="009B436C">
        <w:rPr>
          <w:bCs/>
        </w:rPr>
        <w:t xml:space="preserve"> interferencije koji bi nastali istovremenim odašiljanjem jedne bazne postaje</w:t>
      </w:r>
      <w:r w:rsidR="002275ED">
        <w:rPr>
          <w:bCs/>
        </w:rPr>
        <w:t>,</w:t>
      </w:r>
      <w:r w:rsidRPr="009B436C">
        <w:rPr>
          <w:bCs/>
        </w:rPr>
        <w:t xml:space="preserve"> od</w:t>
      </w:r>
      <w:r w:rsidR="005B3090">
        <w:rPr>
          <w:bCs/>
        </w:rPr>
        <w:t>nosno krajnjeg terminala</w:t>
      </w:r>
      <w:r w:rsidR="002275ED">
        <w:rPr>
          <w:bCs/>
        </w:rPr>
        <w:t>,</w:t>
      </w:r>
      <w:r w:rsidR="005B3090">
        <w:rPr>
          <w:bCs/>
        </w:rPr>
        <w:t xml:space="preserve"> i prij</w:t>
      </w:r>
      <w:r w:rsidRPr="009B436C">
        <w:rPr>
          <w:bCs/>
        </w:rPr>
        <w:t>mom druge bazne postaje</w:t>
      </w:r>
      <w:r w:rsidR="002275ED">
        <w:rPr>
          <w:bCs/>
        </w:rPr>
        <w:t>,</w:t>
      </w:r>
      <w:r w:rsidRPr="009B436C">
        <w:rPr>
          <w:bCs/>
        </w:rPr>
        <w:t xml:space="preserve"> odnosno krajnjeg terminala</w:t>
      </w:r>
      <w:r w:rsidR="002275ED">
        <w:rPr>
          <w:bCs/>
        </w:rPr>
        <w:t>.</w:t>
      </w:r>
      <w:r w:rsidRPr="009B436C">
        <w:rPr>
          <w:bCs/>
        </w:rPr>
        <w:t xml:space="preserve"> </w:t>
      </w:r>
      <w:r w:rsidR="002275ED">
        <w:rPr>
          <w:bCs/>
        </w:rPr>
        <w:t>U tom slučaju</w:t>
      </w:r>
      <w:r w:rsidRPr="009B436C">
        <w:rPr>
          <w:bCs/>
        </w:rPr>
        <w:t xml:space="preserve"> nema potrebe za </w:t>
      </w:r>
      <w:r w:rsidR="00403385" w:rsidRPr="009B436C">
        <w:rPr>
          <w:bCs/>
        </w:rPr>
        <w:t>implementacijom dodatni</w:t>
      </w:r>
      <w:r w:rsidR="0071651D" w:rsidRPr="009B436C">
        <w:rPr>
          <w:bCs/>
        </w:rPr>
        <w:t>h</w:t>
      </w:r>
      <w:r w:rsidR="00403385" w:rsidRPr="009B436C">
        <w:rPr>
          <w:bCs/>
        </w:rPr>
        <w:t xml:space="preserve"> tehnika</w:t>
      </w:r>
      <w:r w:rsidRPr="009B436C">
        <w:rPr>
          <w:bCs/>
        </w:rPr>
        <w:t xml:space="preserve"> za izbjegavanje in</w:t>
      </w:r>
      <w:r w:rsidR="00403385" w:rsidRPr="009B436C">
        <w:rPr>
          <w:bCs/>
        </w:rPr>
        <w:t>terferencija kao što su dodatno</w:t>
      </w:r>
      <w:r w:rsidRPr="009B436C">
        <w:rPr>
          <w:bCs/>
        </w:rPr>
        <w:t xml:space="preserve"> filtriranj</w:t>
      </w:r>
      <w:r w:rsidR="00403385" w:rsidRPr="009B436C">
        <w:rPr>
          <w:bCs/>
        </w:rPr>
        <w:t>e</w:t>
      </w:r>
      <w:r w:rsidRPr="009B436C">
        <w:rPr>
          <w:bCs/>
        </w:rPr>
        <w:t xml:space="preserve"> (što može biti izazovno implementirati u AAS baznim postaja i krajnjim postajama), uvođenje zaštitnih pojaseva između operatora, </w:t>
      </w:r>
      <w:r w:rsidR="009A6932">
        <w:rPr>
          <w:bCs/>
        </w:rPr>
        <w:t>zemljopisno</w:t>
      </w:r>
      <w:r w:rsidRPr="009B436C">
        <w:rPr>
          <w:bCs/>
        </w:rPr>
        <w:t xml:space="preserve"> razdvajanje baznih postaja, itd. Sinkronizirani rad stoga predstavlja najbolje rješenje s obzirom na učinkovitu uporabu spektra, a ujedno i pojednostavljuje implementaciju mreže zbog izbjegavanj</w:t>
      </w:r>
      <w:r w:rsidR="00C85ADA">
        <w:rPr>
          <w:bCs/>
        </w:rPr>
        <w:t>a</w:t>
      </w:r>
      <w:r w:rsidRPr="009B436C">
        <w:rPr>
          <w:bCs/>
        </w:rPr>
        <w:t xml:space="preserve"> potrebe za koordinacijom </w:t>
      </w:r>
      <w:r w:rsidR="00403385" w:rsidRPr="009B436C">
        <w:rPr>
          <w:bCs/>
        </w:rPr>
        <w:t>baznih postaja između operat</w:t>
      </w:r>
      <w:r w:rsidR="002275ED">
        <w:rPr>
          <w:bCs/>
        </w:rPr>
        <w:t>o</w:t>
      </w:r>
      <w:r w:rsidR="00403385" w:rsidRPr="009B436C">
        <w:rPr>
          <w:bCs/>
        </w:rPr>
        <w:t>ra.</w:t>
      </w:r>
      <w:r w:rsidRPr="009B436C">
        <w:rPr>
          <w:bCs/>
        </w:rPr>
        <w:t xml:space="preserve"> </w:t>
      </w:r>
    </w:p>
    <w:p w14:paraId="2DC2C4B9" w14:textId="77777777" w:rsidR="00D17121" w:rsidRDefault="00D17121" w:rsidP="00D17121">
      <w:pPr>
        <w:spacing w:after="0"/>
        <w:jc w:val="both"/>
      </w:pPr>
      <w:r>
        <w:t>Glavni uvjeti za sinkronizirani način rada su:</w:t>
      </w:r>
    </w:p>
    <w:p w14:paraId="2401B777" w14:textId="1D0FADDF" w:rsidR="00D17121" w:rsidRDefault="00575198" w:rsidP="00D17121">
      <w:pPr>
        <w:pStyle w:val="ListParagraph"/>
        <w:numPr>
          <w:ilvl w:val="0"/>
          <w:numId w:val="7"/>
        </w:numPr>
        <w:spacing w:after="0"/>
        <w:jc w:val="both"/>
      </w:pPr>
      <w:r>
        <w:t xml:space="preserve">određivanje </w:t>
      </w:r>
      <w:r w:rsidR="00D17121" w:rsidRPr="00FB0B4A">
        <w:t>zajedničk</w:t>
      </w:r>
      <w:r>
        <w:t>og</w:t>
      </w:r>
      <w:r w:rsidR="00D17121" w:rsidRPr="00FB0B4A">
        <w:t xml:space="preserve"> referentn</w:t>
      </w:r>
      <w:r>
        <w:t>og</w:t>
      </w:r>
      <w:r w:rsidR="00D17121" w:rsidRPr="00FB0B4A">
        <w:t xml:space="preserve"> sat</w:t>
      </w:r>
      <w:r>
        <w:t>a</w:t>
      </w:r>
      <w:r w:rsidR="00D17121" w:rsidRPr="00FB0B4A">
        <w:t xml:space="preserve"> i </w:t>
      </w:r>
      <w:r w:rsidR="00D17121">
        <w:t>točnost</w:t>
      </w:r>
      <w:r>
        <w:t>i</w:t>
      </w:r>
      <w:r w:rsidR="00D17121" w:rsidRPr="00FB0B4A">
        <w:t xml:space="preserve"> </w:t>
      </w:r>
    </w:p>
    <w:p w14:paraId="70E803EE" w14:textId="4C2B1343" w:rsidR="00D17121" w:rsidRPr="009B436C" w:rsidRDefault="00D17121" w:rsidP="009B436C">
      <w:pPr>
        <w:pStyle w:val="ListParagraph"/>
        <w:numPr>
          <w:ilvl w:val="0"/>
          <w:numId w:val="7"/>
        </w:numPr>
        <w:ind w:left="714" w:hanging="357"/>
        <w:jc w:val="both"/>
        <w:rPr>
          <w:bCs/>
        </w:rPr>
      </w:pPr>
      <w:r w:rsidRPr="009B436C">
        <w:rPr>
          <w:bCs/>
        </w:rPr>
        <w:t>uporaba kompatibilne struktur</w:t>
      </w:r>
      <w:r w:rsidR="00575198" w:rsidRPr="009B436C">
        <w:rPr>
          <w:bCs/>
        </w:rPr>
        <w:t>e</w:t>
      </w:r>
      <w:r w:rsidRPr="009B436C">
        <w:rPr>
          <w:bCs/>
        </w:rPr>
        <w:t xml:space="preserve"> okvira.</w:t>
      </w:r>
    </w:p>
    <w:p w14:paraId="0FEBA80B" w14:textId="1C0A0F4A" w:rsidR="00D17121" w:rsidRPr="009B436C" w:rsidRDefault="00D17121" w:rsidP="009B436C">
      <w:pPr>
        <w:jc w:val="both"/>
        <w:rPr>
          <w:bCs/>
        </w:rPr>
      </w:pPr>
      <w:r w:rsidRPr="009B436C">
        <w:rPr>
          <w:bCs/>
        </w:rPr>
        <w:t xml:space="preserve">Prednost nesinkroniziranog načina rada je u tome što ne zahtijeva usvajanje kompatibilne strukture okvira među operaterima te operatori mogu samostalno odabrati najprikladniji okvir i prilagoditi njegovu strukturu uslugama i zahtjevima krajnjeg korisnika. S druge strane ovakav način rada dovodi do niza scenarija smetnji koje je potrebno riješiti primjenom različitih tehnika izbjegavanja. Polusinkronizirani način rad predstavlja kompromis između dva navedena obzirom da osigurava operatorima određenu fleksibilnost okvira. </w:t>
      </w:r>
    </w:p>
    <w:p w14:paraId="2BC3ECBA" w14:textId="1E9E6514" w:rsidR="00BC39C4" w:rsidRDefault="00BC6A37" w:rsidP="00161E9E">
      <w:pPr>
        <w:spacing w:after="0"/>
        <w:jc w:val="both"/>
      </w:pPr>
      <w:r>
        <w:lastRenderedPageBreak/>
        <w:t xml:space="preserve">U frekvencijskom pojasu 3400-3800 MHz </w:t>
      </w:r>
      <w:r w:rsidR="00A90193">
        <w:t>definirani</w:t>
      </w:r>
      <w:r>
        <w:t xml:space="preserve"> </w:t>
      </w:r>
      <w:r w:rsidR="00BC39C4">
        <w:t xml:space="preserve">su sljedeći tehnički uvjeti za </w:t>
      </w:r>
      <w:r w:rsidR="00924A44">
        <w:t>MFCN mreže</w:t>
      </w:r>
      <w:r w:rsidR="00846BDB">
        <w:t xml:space="preserve"> za mask</w:t>
      </w:r>
      <w:r w:rsidR="00924A44">
        <w:t>u</w:t>
      </w:r>
      <w:r w:rsidR="00846BDB">
        <w:t xml:space="preserve"> ruba kanala (BEM)</w:t>
      </w:r>
      <w:r w:rsidR="00BC39C4">
        <w:t>:</w:t>
      </w:r>
    </w:p>
    <w:p w14:paraId="23CCF656" w14:textId="37230A87" w:rsidR="00BC6A37" w:rsidRDefault="00BC6A37" w:rsidP="00BC39C4">
      <w:pPr>
        <w:pStyle w:val="ListParagraph"/>
        <w:numPr>
          <w:ilvl w:val="0"/>
          <w:numId w:val="8"/>
        </w:numPr>
        <w:jc w:val="both"/>
      </w:pPr>
      <w:r>
        <w:t>emisij</w:t>
      </w:r>
      <w:r w:rsidR="00846BDB">
        <w:t>a</w:t>
      </w:r>
      <w:r>
        <w:t xml:space="preserve"> unutar bloka, </w:t>
      </w:r>
      <w:r w:rsidR="00BC39C4">
        <w:t>unutarpojasn</w:t>
      </w:r>
      <w:r w:rsidR="00846BDB">
        <w:t>a</w:t>
      </w:r>
      <w:r w:rsidR="00BC39C4">
        <w:t xml:space="preserve"> </w:t>
      </w:r>
      <w:r>
        <w:t>emisij</w:t>
      </w:r>
      <w:r w:rsidR="00846BDB">
        <w:t>a</w:t>
      </w:r>
      <w:r>
        <w:t xml:space="preserve"> </w:t>
      </w:r>
      <w:r w:rsidR="00BC39C4">
        <w:t>izvan bloka i emisij</w:t>
      </w:r>
      <w:r w:rsidR="00846BDB">
        <w:t>a</w:t>
      </w:r>
      <w:r w:rsidR="00BC39C4">
        <w:t xml:space="preserve"> u prijelaznim frekvencijama u slučaju sinkroniziranog rada, restriktivn</w:t>
      </w:r>
      <w:r w:rsidR="00846BDB">
        <w:t>a</w:t>
      </w:r>
      <w:r w:rsidR="00BC39C4">
        <w:t xml:space="preserve"> unutarpojasn</w:t>
      </w:r>
      <w:r w:rsidR="00846BDB">
        <w:t>a</w:t>
      </w:r>
      <w:r w:rsidR="00BC39C4">
        <w:t xml:space="preserve"> emisij</w:t>
      </w:r>
      <w:r w:rsidR="00846BDB">
        <w:t>a</w:t>
      </w:r>
      <w:r w:rsidR="00BC39C4">
        <w:t xml:space="preserve"> izvan bloka za slučaj nesinkroniziranog i polusinkroniziranog rada</w:t>
      </w:r>
    </w:p>
    <w:p w14:paraId="7637D652" w14:textId="6FBFB295" w:rsidR="00C337CA" w:rsidRDefault="00161E9E" w:rsidP="009B436C">
      <w:pPr>
        <w:pStyle w:val="ListParagraph"/>
        <w:numPr>
          <w:ilvl w:val="0"/>
          <w:numId w:val="8"/>
        </w:numPr>
        <w:ind w:left="760" w:hanging="357"/>
        <w:jc w:val="both"/>
      </w:pPr>
      <w:r>
        <w:t>izvanpojasna ograničenja za susjedne frekvencijske pojaseve ispod 3400 MHz i iznad 3800 MHz</w:t>
      </w:r>
      <w:r w:rsidR="00D7379A">
        <w:t xml:space="preserve"> gdje su u slučaju zaštite vojnih radiolokacijskih sustava </w:t>
      </w:r>
      <w:r w:rsidR="000600D6">
        <w:t xml:space="preserve">ispod 3400 MHz </w:t>
      </w:r>
      <w:r w:rsidR="00D7379A">
        <w:t>propisana ograničenja za tri različita slučaja</w:t>
      </w:r>
      <w:r w:rsidR="002C6AF9">
        <w:t xml:space="preserve"> </w:t>
      </w:r>
      <w:r w:rsidR="002C6AF9" w:rsidRPr="007A793C">
        <w:t>u skladu s Tablicom 6. provedbene odlukom Europske komisije (EU) 2019/235</w:t>
      </w:r>
    </w:p>
    <w:p w14:paraId="394C0FF6" w14:textId="0071F4B6" w:rsidR="0083588A" w:rsidRPr="009B436C" w:rsidRDefault="00266E87" w:rsidP="009B436C">
      <w:pPr>
        <w:jc w:val="both"/>
        <w:rPr>
          <w:bCs/>
        </w:rPr>
      </w:pPr>
      <w:r w:rsidRPr="009B436C">
        <w:rPr>
          <w:bCs/>
        </w:rPr>
        <w:t xml:space="preserve">Dijelovi frekvencijskog </w:t>
      </w:r>
      <w:r w:rsidR="0083588A" w:rsidRPr="009B436C">
        <w:rPr>
          <w:bCs/>
        </w:rPr>
        <w:t>pojas</w:t>
      </w:r>
      <w:r w:rsidRPr="009B436C">
        <w:rPr>
          <w:bCs/>
        </w:rPr>
        <w:t>a</w:t>
      </w:r>
      <w:r w:rsidR="0083588A" w:rsidRPr="009B436C">
        <w:rPr>
          <w:bCs/>
        </w:rPr>
        <w:t xml:space="preserve"> 3400-3800 MHz </w:t>
      </w:r>
      <w:r w:rsidRPr="009B436C">
        <w:rPr>
          <w:bCs/>
        </w:rPr>
        <w:t xml:space="preserve">su </w:t>
      </w:r>
      <w:r w:rsidR="0083588A" w:rsidRPr="009B436C">
        <w:rPr>
          <w:bCs/>
        </w:rPr>
        <w:t xml:space="preserve">trenutno u uporabi u RH. </w:t>
      </w:r>
      <w:r w:rsidR="00B47D59" w:rsidRPr="009B436C">
        <w:rPr>
          <w:bCs/>
        </w:rPr>
        <w:t>O TELEKOMUNIKACIJE</w:t>
      </w:r>
      <w:r w:rsidR="00F82761">
        <w:rPr>
          <w:bCs/>
        </w:rPr>
        <w:t xml:space="preserve"> d.o.o.</w:t>
      </w:r>
      <w:r w:rsidR="00B47D59" w:rsidRPr="009B436C">
        <w:rPr>
          <w:bCs/>
        </w:rPr>
        <w:t xml:space="preserve"> koriste upareni frekvencijski pojas 3410-3450/3510-3550 MHz, a Odašiljači i veze</w:t>
      </w:r>
      <w:r w:rsidR="00F82761">
        <w:rPr>
          <w:bCs/>
        </w:rPr>
        <w:t xml:space="preserve"> d.o.o.</w:t>
      </w:r>
      <w:r w:rsidR="00B47D59" w:rsidRPr="009B436C">
        <w:rPr>
          <w:bCs/>
        </w:rPr>
        <w:t xml:space="preserve"> koristi frekvencijski pojas 3700-3800 MHz u skladu sa sljedećom tablicom</w:t>
      </w:r>
      <w:r w:rsidR="006E37B6">
        <w:rPr>
          <w:bCs/>
        </w:rPr>
        <w:t>:</w:t>
      </w:r>
    </w:p>
    <w:tbl>
      <w:tblPr>
        <w:tblStyle w:val="TableGrid"/>
        <w:tblW w:w="0" w:type="auto"/>
        <w:tblInd w:w="-5" w:type="dxa"/>
        <w:tblLook w:val="04A0" w:firstRow="1" w:lastRow="0" w:firstColumn="1" w:lastColumn="0" w:noHBand="0" w:noVBand="1"/>
      </w:tblPr>
      <w:tblGrid>
        <w:gridCol w:w="2694"/>
        <w:gridCol w:w="3474"/>
        <w:gridCol w:w="2774"/>
      </w:tblGrid>
      <w:tr w:rsidR="0083588A" w14:paraId="2BA187CB" w14:textId="77777777" w:rsidTr="006E37B6">
        <w:tc>
          <w:tcPr>
            <w:tcW w:w="2694" w:type="dxa"/>
          </w:tcPr>
          <w:p w14:paraId="52533BE7" w14:textId="77777777" w:rsidR="0083588A" w:rsidRDefault="0083588A" w:rsidP="0083588A">
            <w:pPr>
              <w:jc w:val="both"/>
            </w:pPr>
            <w:r>
              <w:t>Frekvencijski pojas (MHz)</w:t>
            </w:r>
          </w:p>
        </w:tc>
        <w:tc>
          <w:tcPr>
            <w:tcW w:w="3474" w:type="dxa"/>
          </w:tcPr>
          <w:p w14:paraId="5E2DED33" w14:textId="77777777" w:rsidR="0083588A" w:rsidRDefault="0083588A" w:rsidP="0083588A">
            <w:pPr>
              <w:pStyle w:val="ListParagraph"/>
              <w:ind w:left="0"/>
            </w:pPr>
            <w:r>
              <w:t>Područje uporabe</w:t>
            </w:r>
          </w:p>
        </w:tc>
        <w:tc>
          <w:tcPr>
            <w:tcW w:w="2774" w:type="dxa"/>
          </w:tcPr>
          <w:p w14:paraId="22F1A707" w14:textId="0DB99D7C" w:rsidR="0083588A" w:rsidRDefault="00B47D59" w:rsidP="0083588A">
            <w:pPr>
              <w:pStyle w:val="ListParagraph"/>
              <w:ind w:left="0"/>
            </w:pPr>
            <w:r>
              <w:t>Rok valjanosti dozvole</w:t>
            </w:r>
          </w:p>
        </w:tc>
      </w:tr>
      <w:tr w:rsidR="0083588A" w14:paraId="7D919E57" w14:textId="77777777" w:rsidTr="006E37B6">
        <w:tc>
          <w:tcPr>
            <w:tcW w:w="2694" w:type="dxa"/>
          </w:tcPr>
          <w:p w14:paraId="6EE33ED3" w14:textId="0CEA5252" w:rsidR="0083588A" w:rsidRDefault="00B47D59" w:rsidP="00B47D59">
            <w:pPr>
              <w:pStyle w:val="ListParagraph"/>
              <w:ind w:left="0"/>
            </w:pPr>
            <w:r>
              <w:t xml:space="preserve">3410 </w:t>
            </w:r>
            <w:r w:rsidR="0083588A">
              <w:t xml:space="preserve">– 3450 / </w:t>
            </w:r>
            <w:r>
              <w:t xml:space="preserve">3510 </w:t>
            </w:r>
            <w:r w:rsidR="0083588A">
              <w:t>- 3550</w:t>
            </w:r>
          </w:p>
        </w:tc>
        <w:tc>
          <w:tcPr>
            <w:tcW w:w="3474" w:type="dxa"/>
          </w:tcPr>
          <w:p w14:paraId="1EEE1AD1" w14:textId="78D395E4" w:rsidR="0083588A" w:rsidRDefault="00B47D59" w:rsidP="00B47D59">
            <w:pPr>
              <w:pStyle w:val="ListParagraph"/>
              <w:ind w:left="0"/>
            </w:pPr>
            <w:r>
              <w:t xml:space="preserve">Međimurska </w:t>
            </w:r>
            <w:r w:rsidR="0083588A">
              <w:t xml:space="preserve">i </w:t>
            </w:r>
            <w:r>
              <w:t>Varaždinska županija</w:t>
            </w:r>
          </w:p>
        </w:tc>
        <w:tc>
          <w:tcPr>
            <w:tcW w:w="2774" w:type="dxa"/>
          </w:tcPr>
          <w:p w14:paraId="2F8788A3" w14:textId="682A4476" w:rsidR="0083588A" w:rsidRDefault="00B47D59" w:rsidP="0083588A">
            <w:pPr>
              <w:pStyle w:val="ListParagraph"/>
              <w:ind w:left="0"/>
            </w:pPr>
            <w:r>
              <w:t>04.11.2023.</w:t>
            </w:r>
          </w:p>
        </w:tc>
      </w:tr>
      <w:tr w:rsidR="0083588A" w14:paraId="22643F78" w14:textId="77777777" w:rsidTr="006E37B6">
        <w:tc>
          <w:tcPr>
            <w:tcW w:w="2694" w:type="dxa"/>
          </w:tcPr>
          <w:p w14:paraId="15855509" w14:textId="2DF5820D" w:rsidR="0083588A" w:rsidRDefault="00B47D59" w:rsidP="00B47D59">
            <w:pPr>
              <w:pStyle w:val="ListParagraph"/>
              <w:ind w:left="0"/>
            </w:pPr>
            <w:r>
              <w:t xml:space="preserve">3700 </w:t>
            </w:r>
            <w:r w:rsidR="0083588A">
              <w:t xml:space="preserve">– </w:t>
            </w:r>
            <w:r>
              <w:t>3800</w:t>
            </w:r>
          </w:p>
        </w:tc>
        <w:tc>
          <w:tcPr>
            <w:tcW w:w="3474" w:type="dxa"/>
          </w:tcPr>
          <w:p w14:paraId="371BF58A" w14:textId="77777777" w:rsidR="0083588A" w:rsidRDefault="0083588A" w:rsidP="0083588A">
            <w:pPr>
              <w:pStyle w:val="ListParagraph"/>
              <w:ind w:left="0"/>
            </w:pPr>
            <w:r>
              <w:t>Republika Hrvatska</w:t>
            </w:r>
          </w:p>
        </w:tc>
        <w:tc>
          <w:tcPr>
            <w:tcW w:w="2774" w:type="dxa"/>
          </w:tcPr>
          <w:p w14:paraId="46A77C9C" w14:textId="38914DCA" w:rsidR="0083588A" w:rsidRDefault="00B47D59" w:rsidP="00B47D59">
            <w:pPr>
              <w:pStyle w:val="ListParagraph"/>
              <w:ind w:left="0"/>
            </w:pPr>
            <w:r>
              <w:t>31.07.2020.</w:t>
            </w:r>
          </w:p>
        </w:tc>
      </w:tr>
    </w:tbl>
    <w:p w14:paraId="79806B82" w14:textId="77777777" w:rsidR="0083588A" w:rsidRPr="0083588A" w:rsidRDefault="0083588A" w:rsidP="0083588A"/>
    <w:p w14:paraId="1B0EF4BF" w14:textId="5CAE839E" w:rsidR="001A2A92" w:rsidRDefault="00A57F01" w:rsidP="00B03ABC">
      <w:pPr>
        <w:pStyle w:val="Heading2"/>
        <w:spacing w:before="0" w:after="240"/>
        <w:ind w:firstLine="709"/>
      </w:pPr>
      <w:bookmarkStart w:id="6" w:name="_Toc19714489"/>
      <w:r>
        <w:t xml:space="preserve">2.4. </w:t>
      </w:r>
      <w:r w:rsidR="001E0185">
        <w:t xml:space="preserve">Frekvencijski pojas </w:t>
      </w:r>
      <w:r w:rsidR="001A2A92">
        <w:t>26 GHz</w:t>
      </w:r>
      <w:bookmarkEnd w:id="6"/>
    </w:p>
    <w:p w14:paraId="3F531EDA" w14:textId="6F0A9894" w:rsidR="00266E87" w:rsidRDefault="00266E87" w:rsidP="00266E87">
      <w:pPr>
        <w:pStyle w:val="ListParagraph"/>
        <w:spacing w:after="0"/>
        <w:ind w:left="0"/>
        <w:jc w:val="both"/>
      </w:pPr>
      <w:r w:rsidRPr="009B436C">
        <w:rPr>
          <w:bCs/>
        </w:rPr>
        <w:t>Frekvencijski pojas 26 GHz može omogućiti implementaciju višestruko širih kontinuiranih frekvencijskih blokove, a time i pružanje uslug</w:t>
      </w:r>
      <w:r w:rsidR="006C5E63" w:rsidRPr="009B436C">
        <w:rPr>
          <w:bCs/>
        </w:rPr>
        <w:t>e</w:t>
      </w:r>
      <w:r w:rsidRPr="009B436C">
        <w:rPr>
          <w:bCs/>
        </w:rPr>
        <w:t xml:space="preserve"> ultra visokog kapaciteta i vrlo niskog kašnjenja za razliku od frekvencijskih opsega ispod 6 GHz. S druge strane</w:t>
      </w:r>
      <w:r w:rsidR="006C5E63" w:rsidRPr="009B436C">
        <w:rPr>
          <w:bCs/>
        </w:rPr>
        <w:t>,</w:t>
      </w:r>
      <w:r w:rsidRPr="009B436C">
        <w:rPr>
          <w:bCs/>
        </w:rPr>
        <w:t xml:space="preserve"> </w:t>
      </w:r>
      <w:r w:rsidR="006C5E63" w:rsidRPr="009B436C">
        <w:rPr>
          <w:bCs/>
        </w:rPr>
        <w:t xml:space="preserve">s </w:t>
      </w:r>
      <w:r w:rsidRPr="009B436C">
        <w:rPr>
          <w:bCs/>
        </w:rPr>
        <w:t>obzirom na gubitke u propagaciji signala u ovom fr</w:t>
      </w:r>
      <w:r w:rsidR="006C5E63" w:rsidRPr="009B436C">
        <w:rPr>
          <w:bCs/>
        </w:rPr>
        <w:t>ekvencijskom pojasu</w:t>
      </w:r>
      <w:r w:rsidR="006E37B6">
        <w:rPr>
          <w:bCs/>
        </w:rPr>
        <w:t>, izgradnja mreže</w:t>
      </w:r>
      <w:r w:rsidR="006C5E63" w:rsidRPr="009B436C">
        <w:rPr>
          <w:bCs/>
        </w:rPr>
        <w:t xml:space="preserve"> rezultirat </w:t>
      </w:r>
      <w:r w:rsidRPr="009B436C">
        <w:rPr>
          <w:bCs/>
        </w:rPr>
        <w:t xml:space="preserve">će s </w:t>
      </w:r>
      <w:r w:rsidR="006C5E63" w:rsidRPr="009B436C">
        <w:rPr>
          <w:bCs/>
        </w:rPr>
        <w:t xml:space="preserve">implementacijom </w:t>
      </w:r>
      <w:r w:rsidR="00E70C75" w:rsidRPr="009B436C">
        <w:rPr>
          <w:bCs/>
        </w:rPr>
        <w:t>pristupni</w:t>
      </w:r>
      <w:r w:rsidR="0092084B" w:rsidRPr="009B436C">
        <w:rPr>
          <w:bCs/>
        </w:rPr>
        <w:t>h</w:t>
      </w:r>
      <w:r w:rsidR="00E70C75" w:rsidRPr="009B436C">
        <w:rPr>
          <w:bCs/>
        </w:rPr>
        <w:t xml:space="preserve"> toč</w:t>
      </w:r>
      <w:r w:rsidR="0092084B" w:rsidRPr="009B436C">
        <w:rPr>
          <w:bCs/>
        </w:rPr>
        <w:t>aka</w:t>
      </w:r>
      <w:r w:rsidRPr="009B436C">
        <w:rPr>
          <w:bCs/>
        </w:rPr>
        <w:t xml:space="preserve"> kratkog dometa i njihov</w:t>
      </w:r>
      <w:r w:rsidR="0092084B" w:rsidRPr="009B436C">
        <w:rPr>
          <w:bCs/>
        </w:rPr>
        <w:t>i</w:t>
      </w:r>
      <w:r w:rsidRPr="009B436C">
        <w:rPr>
          <w:bCs/>
        </w:rPr>
        <w:t xml:space="preserve">m </w:t>
      </w:r>
      <w:r w:rsidR="006C5E63" w:rsidRPr="009B436C">
        <w:rPr>
          <w:bCs/>
        </w:rPr>
        <w:t>postavljanjem</w:t>
      </w:r>
      <w:r w:rsidRPr="009B436C">
        <w:rPr>
          <w:bCs/>
        </w:rPr>
        <w:t xml:space="preserve"> na uličnu infrastrukturu i bočne zidove zgrada</w:t>
      </w:r>
      <w:r>
        <w:t>.</w:t>
      </w:r>
    </w:p>
    <w:p w14:paraId="72D36410" w14:textId="77777777" w:rsidR="00266E87" w:rsidRPr="001A2A92" w:rsidRDefault="00266E87" w:rsidP="00266E87">
      <w:pPr>
        <w:pStyle w:val="ListParagraph"/>
        <w:spacing w:after="0"/>
        <w:ind w:left="0"/>
        <w:jc w:val="both"/>
      </w:pPr>
    </w:p>
    <w:p w14:paraId="466E5E31" w14:textId="782D8B38" w:rsidR="00520D72" w:rsidRPr="009B436C" w:rsidRDefault="00520D72" w:rsidP="009B436C">
      <w:pPr>
        <w:jc w:val="both"/>
        <w:rPr>
          <w:bCs/>
        </w:rPr>
      </w:pPr>
      <w:r w:rsidRPr="009B436C">
        <w:rPr>
          <w:bCs/>
        </w:rPr>
        <w:t xml:space="preserve">Usklađeni tehnički uvjeti za </w:t>
      </w:r>
      <w:r w:rsidR="00C52F5E" w:rsidRPr="009B436C">
        <w:rPr>
          <w:bCs/>
        </w:rPr>
        <w:t xml:space="preserve">MFCN mreže </w:t>
      </w:r>
      <w:r w:rsidRPr="009B436C">
        <w:rPr>
          <w:bCs/>
        </w:rPr>
        <w:t xml:space="preserve">u frekvencijskom pojasu 24,25-27,5 GHz na razini Europske unije propisani su provedbenom odlukom Europske </w:t>
      </w:r>
      <w:r w:rsidR="00F8698E" w:rsidRPr="009B436C">
        <w:rPr>
          <w:bCs/>
        </w:rPr>
        <w:t xml:space="preserve">komisije </w:t>
      </w:r>
      <w:r w:rsidRPr="009B436C">
        <w:rPr>
          <w:bCs/>
        </w:rPr>
        <w:t>(EU) 2019/</w:t>
      </w:r>
      <w:r w:rsidR="0034375C" w:rsidRPr="009B436C">
        <w:rPr>
          <w:bCs/>
        </w:rPr>
        <w:t>784</w:t>
      </w:r>
      <w:r w:rsidR="005B3090">
        <w:rPr>
          <w:rStyle w:val="FootnoteReference"/>
          <w:bCs/>
        </w:rPr>
        <w:footnoteReference w:id="11"/>
      </w:r>
      <w:r w:rsidRPr="009B436C">
        <w:rPr>
          <w:bCs/>
        </w:rPr>
        <w:t xml:space="preserve"> odnosno ECC Odlukom ECC/DEC/(1</w:t>
      </w:r>
      <w:r w:rsidR="0034375C" w:rsidRPr="009B436C">
        <w:rPr>
          <w:bCs/>
        </w:rPr>
        <w:t>8</w:t>
      </w:r>
      <w:r w:rsidR="005B3090">
        <w:rPr>
          <w:bCs/>
        </w:rPr>
        <w:t>)06</w:t>
      </w:r>
      <w:r w:rsidR="005B3090">
        <w:rPr>
          <w:rStyle w:val="FootnoteReference"/>
          <w:bCs/>
        </w:rPr>
        <w:footnoteReference w:id="12"/>
      </w:r>
      <w:r w:rsidR="00083540" w:rsidRPr="009B436C">
        <w:rPr>
          <w:bCs/>
        </w:rPr>
        <w:t>.</w:t>
      </w:r>
    </w:p>
    <w:p w14:paraId="1AE58538" w14:textId="29C7AE9E" w:rsidR="007B294F" w:rsidRPr="009B436C" w:rsidRDefault="007B294F" w:rsidP="009B436C">
      <w:pPr>
        <w:jc w:val="both"/>
        <w:rPr>
          <w:bCs/>
        </w:rPr>
      </w:pPr>
      <w:r w:rsidRPr="009B436C">
        <w:rPr>
          <w:bCs/>
        </w:rPr>
        <w:lastRenderedPageBreak/>
        <w:t xml:space="preserve">U ovom frekvencijskom pojasu dozvoljena je uporaba vremenskog dupleksa (TDD), a predviđena je dodjela radiofrekvencijskog spektra u višekratnicima bloka frekvencija širine 200 MHz </w:t>
      </w:r>
      <w:r w:rsidR="00F8698E" w:rsidRPr="009B436C">
        <w:rPr>
          <w:bCs/>
        </w:rPr>
        <w:t xml:space="preserve">poravnatih </w:t>
      </w:r>
      <w:r w:rsidRPr="009B436C">
        <w:rPr>
          <w:bCs/>
        </w:rPr>
        <w:t>na razmaku od</w:t>
      </w:r>
      <w:r w:rsidR="0061158F" w:rsidRPr="009B436C">
        <w:rPr>
          <w:bCs/>
        </w:rPr>
        <w:t xml:space="preserve"> 200 MHz od gornjeg ruba pojas</w:t>
      </w:r>
      <w:r w:rsidRPr="009B436C">
        <w:rPr>
          <w:bCs/>
        </w:rPr>
        <w:t xml:space="preserve">a na 27,5 GHz. U slučaju da je potrebno osigurati </w:t>
      </w:r>
      <w:r w:rsidR="00A16456" w:rsidRPr="009B436C">
        <w:rPr>
          <w:bCs/>
        </w:rPr>
        <w:t>učinkovit</w:t>
      </w:r>
      <w:r w:rsidRPr="009B436C">
        <w:rPr>
          <w:bCs/>
        </w:rPr>
        <w:t xml:space="preserve">u uporabu moguće je dodijeliti i blokove manje širine </w:t>
      </w:r>
      <w:r w:rsidR="00A16456" w:rsidRPr="009B436C">
        <w:rPr>
          <w:bCs/>
        </w:rPr>
        <w:t>(</w:t>
      </w:r>
      <w:r w:rsidRPr="009B436C">
        <w:rPr>
          <w:bCs/>
        </w:rPr>
        <w:t xml:space="preserve">50 MHz, </w:t>
      </w:r>
      <w:r w:rsidR="00A16456" w:rsidRPr="009B436C">
        <w:rPr>
          <w:bCs/>
        </w:rPr>
        <w:t>100 MHz ili 150 MHz), a blokovi se u tom slučaju pomiču u koracima od 10 MHz</w:t>
      </w:r>
      <w:r w:rsidRPr="009B436C">
        <w:rPr>
          <w:bCs/>
        </w:rPr>
        <w:t>.</w:t>
      </w:r>
    </w:p>
    <w:p w14:paraId="6204777C" w14:textId="7A6B1E3D" w:rsidR="00236A53" w:rsidRPr="009B436C" w:rsidRDefault="00236A53" w:rsidP="009B436C">
      <w:pPr>
        <w:jc w:val="both"/>
        <w:rPr>
          <w:bCs/>
        </w:rPr>
      </w:pPr>
      <w:r w:rsidRPr="009B436C">
        <w:rPr>
          <w:bCs/>
        </w:rPr>
        <w:t>Frekvencijski poj</w:t>
      </w:r>
      <w:r w:rsidR="009A6932">
        <w:rPr>
          <w:bCs/>
        </w:rPr>
        <w:t>as 25,25-27,5 GHz u skladu s NJFA</w:t>
      </w:r>
      <w:r w:rsidRPr="009B436C">
        <w:rPr>
          <w:bCs/>
        </w:rPr>
        <w:t xml:space="preserve"> sporazumom je također namijenjen i za vojnu </w:t>
      </w:r>
      <w:r w:rsidR="00F8698E" w:rsidRPr="009B436C">
        <w:rPr>
          <w:bCs/>
        </w:rPr>
        <w:t>uporabu,</w:t>
      </w:r>
      <w:r w:rsidR="00A13CF3" w:rsidRPr="009B436C">
        <w:rPr>
          <w:bCs/>
        </w:rPr>
        <w:t xml:space="preserve"> dok je Tablicom namjene vojna </w:t>
      </w:r>
      <w:r w:rsidR="00F8698E" w:rsidRPr="009B436C">
        <w:rPr>
          <w:bCs/>
        </w:rPr>
        <w:t xml:space="preserve">uporaba </w:t>
      </w:r>
      <w:r w:rsidR="00A13CF3" w:rsidRPr="009B436C">
        <w:rPr>
          <w:bCs/>
        </w:rPr>
        <w:t>dozvoljena u frekvencijskom pojasu 26,5-27,5 GHz</w:t>
      </w:r>
      <w:r w:rsidR="009B436C">
        <w:rPr>
          <w:bCs/>
        </w:rPr>
        <w:t>.</w:t>
      </w:r>
    </w:p>
    <w:p w14:paraId="0A4B5BC8" w14:textId="080CCE9E" w:rsidR="00A16456" w:rsidRPr="009B436C" w:rsidRDefault="00A16456" w:rsidP="009B436C">
      <w:pPr>
        <w:jc w:val="both"/>
        <w:rPr>
          <w:bCs/>
        </w:rPr>
      </w:pPr>
      <w:r w:rsidRPr="009B436C">
        <w:rPr>
          <w:bCs/>
        </w:rPr>
        <w:t>Primjer frekvencijskog rasporeda prikazan je na sljedećoj slici:</w:t>
      </w:r>
    </w:p>
    <w:p w14:paraId="3775BB7C" w14:textId="03F291D6" w:rsidR="007B294F" w:rsidRDefault="00A16456" w:rsidP="00520D72">
      <w:pPr>
        <w:pStyle w:val="ListParagraph"/>
        <w:spacing w:after="0"/>
        <w:ind w:left="0"/>
        <w:jc w:val="both"/>
      </w:pPr>
      <w:r w:rsidRPr="00BF392C">
        <w:rPr>
          <w:noProof/>
          <w:lang w:eastAsia="hr-HR"/>
        </w:rPr>
        <w:drawing>
          <wp:inline distT="0" distB="0" distL="0" distR="0" wp14:anchorId="1AF253E8" wp14:editId="7D38E237">
            <wp:extent cx="5760720" cy="598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598245"/>
                    </a:xfrm>
                    <a:prstGeom prst="rect">
                      <a:avLst/>
                    </a:prstGeom>
                  </pic:spPr>
                </pic:pic>
              </a:graphicData>
            </a:graphic>
          </wp:inline>
        </w:drawing>
      </w:r>
    </w:p>
    <w:p w14:paraId="27D001A7" w14:textId="7A43D465" w:rsidR="009912CE" w:rsidRDefault="009912CE" w:rsidP="00846BDB">
      <w:pPr>
        <w:pStyle w:val="ListParagraph"/>
        <w:spacing w:after="0"/>
        <w:ind w:left="0"/>
        <w:jc w:val="both"/>
      </w:pPr>
    </w:p>
    <w:p w14:paraId="7C50EA43" w14:textId="0F3E6D79" w:rsidR="00266E87" w:rsidRDefault="00266E87" w:rsidP="009B436C">
      <w:pPr>
        <w:jc w:val="both"/>
        <w:rPr>
          <w:bCs/>
        </w:rPr>
      </w:pPr>
      <w:r w:rsidRPr="009B436C">
        <w:rPr>
          <w:bCs/>
        </w:rPr>
        <w:t>CEPT je tr</w:t>
      </w:r>
      <w:r w:rsidR="00F8698E" w:rsidRPr="009B436C">
        <w:rPr>
          <w:bCs/>
        </w:rPr>
        <w:t>enutno u postupku donošenja izv</w:t>
      </w:r>
      <w:r w:rsidRPr="009B436C">
        <w:rPr>
          <w:bCs/>
        </w:rPr>
        <w:t>ješća u kojem će biti propisani tehnički uvjeti primjenjivi u slučaju nesinkroniziran</w:t>
      </w:r>
      <w:r w:rsidR="00F8698E" w:rsidRPr="009B436C">
        <w:rPr>
          <w:bCs/>
        </w:rPr>
        <w:t>og</w:t>
      </w:r>
      <w:r w:rsidRPr="009B436C">
        <w:rPr>
          <w:bCs/>
        </w:rPr>
        <w:t xml:space="preserve"> i polusinkroniziran</w:t>
      </w:r>
      <w:r w:rsidR="00F8698E" w:rsidRPr="009B436C">
        <w:rPr>
          <w:bCs/>
        </w:rPr>
        <w:t>og</w:t>
      </w:r>
      <w:r w:rsidRPr="009B436C">
        <w:rPr>
          <w:bCs/>
        </w:rPr>
        <w:t xml:space="preserve"> načina rada TDD mreža. Navedeni uvjeti se temelje na definiranju zemljopisne udaljenosti između TDD mreža na istom kanalu</w:t>
      </w:r>
      <w:r w:rsidR="00F8698E" w:rsidRPr="009B436C">
        <w:rPr>
          <w:bCs/>
        </w:rPr>
        <w:t>,</w:t>
      </w:r>
      <w:r w:rsidRPr="009B436C">
        <w:rPr>
          <w:bCs/>
        </w:rPr>
        <w:t xml:space="preserve"> odnosno na susjednom kanalu</w:t>
      </w:r>
      <w:r w:rsidR="00F8698E" w:rsidRPr="009B436C">
        <w:rPr>
          <w:bCs/>
        </w:rPr>
        <w:t>,</w:t>
      </w:r>
      <w:r w:rsidRPr="009B436C">
        <w:rPr>
          <w:bCs/>
        </w:rPr>
        <w:t xml:space="preserve"> za različite scenarije </w:t>
      </w:r>
      <w:r w:rsidR="00F8698E" w:rsidRPr="009B436C">
        <w:rPr>
          <w:bCs/>
        </w:rPr>
        <w:t>implementacije</w:t>
      </w:r>
      <w:r w:rsidRPr="009B436C">
        <w:rPr>
          <w:bCs/>
        </w:rPr>
        <w:t xml:space="preserve"> u zatvoren</w:t>
      </w:r>
      <w:r w:rsidR="00F8698E" w:rsidRPr="009B436C">
        <w:rPr>
          <w:bCs/>
        </w:rPr>
        <w:t>i</w:t>
      </w:r>
      <w:r w:rsidRPr="009B436C">
        <w:rPr>
          <w:bCs/>
        </w:rPr>
        <w:t>m i</w:t>
      </w:r>
      <w:r w:rsidR="00F8698E" w:rsidRPr="009B436C">
        <w:rPr>
          <w:bCs/>
        </w:rPr>
        <w:t>li</w:t>
      </w:r>
      <w:r w:rsidRPr="009B436C">
        <w:rPr>
          <w:bCs/>
        </w:rPr>
        <w:t xml:space="preserve"> na otvoren</w:t>
      </w:r>
      <w:r w:rsidR="00F8698E" w:rsidRPr="009B436C">
        <w:rPr>
          <w:bCs/>
        </w:rPr>
        <w:t>i</w:t>
      </w:r>
      <w:r w:rsidRPr="009B436C">
        <w:rPr>
          <w:bCs/>
        </w:rPr>
        <w:t>m prostor</w:t>
      </w:r>
      <w:r w:rsidR="00F8698E" w:rsidRPr="009B436C">
        <w:rPr>
          <w:bCs/>
        </w:rPr>
        <w:t>ima</w:t>
      </w:r>
      <w:r w:rsidRPr="009B436C">
        <w:rPr>
          <w:bCs/>
        </w:rPr>
        <w:t xml:space="preserve">. U Izvješću je </w:t>
      </w:r>
      <w:r w:rsidR="00F8698E" w:rsidRPr="009B436C">
        <w:rPr>
          <w:bCs/>
        </w:rPr>
        <w:t>pretpostavljen</w:t>
      </w:r>
      <w:r w:rsidRPr="009B436C">
        <w:rPr>
          <w:bCs/>
        </w:rPr>
        <w:t xml:space="preserve"> model </w:t>
      </w:r>
      <w:r w:rsidR="00F8698E" w:rsidRPr="009B436C">
        <w:rPr>
          <w:bCs/>
        </w:rPr>
        <w:t>načina izdavanje dozvole</w:t>
      </w:r>
      <w:r w:rsidRPr="009B436C">
        <w:rPr>
          <w:bCs/>
        </w:rPr>
        <w:t xml:space="preserve"> </w:t>
      </w:r>
      <w:r w:rsidR="00F8698E" w:rsidRPr="009B436C">
        <w:rPr>
          <w:bCs/>
        </w:rPr>
        <w:t>kod kojeg</w:t>
      </w:r>
      <w:r w:rsidRPr="009B436C">
        <w:rPr>
          <w:bCs/>
        </w:rPr>
        <w:t xml:space="preserve"> su planirane i poznate lokacije baznih </w:t>
      </w:r>
      <w:r w:rsidR="005B3090">
        <w:rPr>
          <w:bCs/>
        </w:rPr>
        <w:t>postaja</w:t>
      </w:r>
      <w:r w:rsidRPr="009B436C">
        <w:rPr>
          <w:bCs/>
        </w:rPr>
        <w:t xml:space="preserve">. </w:t>
      </w:r>
      <w:r w:rsidR="00F8698E" w:rsidRPr="009B436C">
        <w:rPr>
          <w:bCs/>
        </w:rPr>
        <w:t>Navedeno izv</w:t>
      </w:r>
      <w:r w:rsidRPr="009B436C">
        <w:rPr>
          <w:bCs/>
        </w:rPr>
        <w:t>ješće izrađeno je uz pretpostavku</w:t>
      </w:r>
      <w:r w:rsidR="00F8698E" w:rsidRPr="009B436C">
        <w:rPr>
          <w:bCs/>
        </w:rPr>
        <w:t xml:space="preserve"> uporabe</w:t>
      </w:r>
      <w:r w:rsidRPr="009B436C">
        <w:rPr>
          <w:bCs/>
        </w:rPr>
        <w:t xml:space="preserve"> sustava</w:t>
      </w:r>
      <w:r w:rsidR="00F8698E" w:rsidRPr="009B436C">
        <w:rPr>
          <w:bCs/>
        </w:rPr>
        <w:t xml:space="preserve"> u zatvorenom prostoru</w:t>
      </w:r>
      <w:r w:rsidRPr="009B436C">
        <w:rPr>
          <w:bCs/>
        </w:rPr>
        <w:t xml:space="preserve"> s visinom antena od 3m te </w:t>
      </w:r>
      <w:r w:rsidR="00F8698E" w:rsidRPr="009B436C">
        <w:rPr>
          <w:bCs/>
        </w:rPr>
        <w:t>na otvorenom prostoru</w:t>
      </w:r>
      <w:r w:rsidRPr="009B436C">
        <w:rPr>
          <w:bCs/>
        </w:rPr>
        <w:t xml:space="preserve"> s visinama antena 6m i 15m</w:t>
      </w:r>
      <w:r w:rsidR="00F8698E" w:rsidRPr="009B436C">
        <w:rPr>
          <w:bCs/>
        </w:rPr>
        <w:t>.</w:t>
      </w:r>
    </w:p>
    <w:p w14:paraId="048C54DA" w14:textId="77777777" w:rsidR="003D5D50" w:rsidRPr="009B436C" w:rsidRDefault="003D5D50" w:rsidP="009B436C">
      <w:pPr>
        <w:jc w:val="both"/>
        <w:rPr>
          <w:bCs/>
        </w:rPr>
      </w:pPr>
    </w:p>
    <w:p w14:paraId="71DC3B55" w14:textId="4E89B253" w:rsidR="009912CE" w:rsidRDefault="009912CE" w:rsidP="00B03ABC">
      <w:pPr>
        <w:pStyle w:val="Heading1"/>
        <w:numPr>
          <w:ilvl w:val="0"/>
          <w:numId w:val="3"/>
        </w:numPr>
        <w:spacing w:before="0" w:after="240"/>
        <w:ind w:left="714" w:hanging="357"/>
      </w:pPr>
      <w:bookmarkStart w:id="7" w:name="_Toc19714490"/>
      <w:r>
        <w:t>DODJELA SPEKTRA</w:t>
      </w:r>
      <w:bookmarkEnd w:id="7"/>
    </w:p>
    <w:p w14:paraId="1408893E" w14:textId="541B0BE0" w:rsidR="00C337CA" w:rsidRDefault="00A57F01" w:rsidP="00B03ABC">
      <w:pPr>
        <w:pStyle w:val="Heading2"/>
        <w:spacing w:before="0" w:after="240"/>
        <w:ind w:firstLine="357"/>
      </w:pPr>
      <w:bookmarkStart w:id="8" w:name="_Toc19714491"/>
      <w:r>
        <w:t xml:space="preserve">3.1. </w:t>
      </w:r>
      <w:r w:rsidR="005A7752">
        <w:t>Prijedlog dodjele</w:t>
      </w:r>
      <w:bookmarkEnd w:id="8"/>
      <w:r w:rsidR="005A7752">
        <w:t xml:space="preserve"> </w:t>
      </w:r>
    </w:p>
    <w:p w14:paraId="452DD331" w14:textId="1F2C27A5" w:rsidR="005E5501" w:rsidRPr="00ED3BF6" w:rsidRDefault="005E5501" w:rsidP="00441B1F">
      <w:pPr>
        <w:jc w:val="both"/>
        <w:rPr>
          <w:bCs/>
        </w:rPr>
      </w:pPr>
      <w:r w:rsidRPr="00ED3BF6">
        <w:rPr>
          <w:bCs/>
        </w:rPr>
        <w:t xml:space="preserve">Temeljni frekvencijski pojasevi za implementaciju 5G tehnologije su 700 MHz, 3,6 GHz i 26 GHz. Frekvencijski pojas 700 MHz je zbog svojih propagacijskih karakteristika pogodan za pokrivanje većih područja, dok su više frekvencije namijenjene za pokrivanje manjih područja, prvenstveno </w:t>
      </w:r>
      <w:r w:rsidR="00613AEA" w:rsidRPr="00ED3BF6">
        <w:rPr>
          <w:bCs/>
        </w:rPr>
        <w:t xml:space="preserve">u svrhu </w:t>
      </w:r>
      <w:r w:rsidRPr="00ED3BF6">
        <w:rPr>
          <w:bCs/>
        </w:rPr>
        <w:t xml:space="preserve">povećanja kapaciteta. Zajedničkom dodjelom 700 MHz i 3,6 GHz </w:t>
      </w:r>
      <w:r w:rsidR="00C85ADA">
        <w:rPr>
          <w:bCs/>
        </w:rPr>
        <w:t>zadovoljava</w:t>
      </w:r>
      <w:r w:rsidR="00647021" w:rsidRPr="00ED3BF6">
        <w:rPr>
          <w:bCs/>
        </w:rPr>
        <w:t>ju se potrebe za odgovarajućim pokrivanjem područja te potrebnim</w:t>
      </w:r>
      <w:r w:rsidRPr="00ED3BF6">
        <w:rPr>
          <w:bCs/>
        </w:rPr>
        <w:t xml:space="preserve"> kapacitetom.</w:t>
      </w:r>
    </w:p>
    <w:p w14:paraId="0A0BC922" w14:textId="5092D5A7" w:rsidR="005E5501" w:rsidRDefault="005E5501" w:rsidP="00441B1F">
      <w:pPr>
        <w:jc w:val="both"/>
        <w:rPr>
          <w:b/>
        </w:rPr>
      </w:pPr>
      <w:r w:rsidRPr="00753507">
        <w:rPr>
          <w:b/>
        </w:rPr>
        <w:lastRenderedPageBreak/>
        <w:t xml:space="preserve">HAKOM </w:t>
      </w:r>
      <w:r>
        <w:rPr>
          <w:b/>
        </w:rPr>
        <w:t>planira dodjelu</w:t>
      </w:r>
      <w:r w:rsidRPr="00753507">
        <w:rPr>
          <w:b/>
        </w:rPr>
        <w:t xml:space="preserve"> prvo frekvencijsk</w:t>
      </w:r>
      <w:r>
        <w:rPr>
          <w:b/>
        </w:rPr>
        <w:t>ih</w:t>
      </w:r>
      <w:r w:rsidRPr="00753507">
        <w:rPr>
          <w:b/>
        </w:rPr>
        <w:t xml:space="preserve"> pojasev</w:t>
      </w:r>
      <w:r>
        <w:rPr>
          <w:b/>
        </w:rPr>
        <w:t>a</w:t>
      </w:r>
      <w:r w:rsidRPr="00753507">
        <w:rPr>
          <w:b/>
        </w:rPr>
        <w:t xml:space="preserve"> 700 MHz i 3,6 GHz unutar jednog postupka, </w:t>
      </w:r>
      <w:r w:rsidR="00647021">
        <w:rPr>
          <w:b/>
        </w:rPr>
        <w:t xml:space="preserve"> Ostali frekvencijski pojasevi iz poglavlja 2. će se dodijeliti u slučaju iskaza interesa.</w:t>
      </w:r>
    </w:p>
    <w:p w14:paraId="6CA7E47A" w14:textId="08D2E546" w:rsidR="00C337CA" w:rsidRDefault="00A57F01" w:rsidP="00B03ABC">
      <w:pPr>
        <w:pStyle w:val="Heading3"/>
        <w:spacing w:before="0" w:after="240"/>
        <w:ind w:firstLine="357"/>
      </w:pPr>
      <w:bookmarkStart w:id="9" w:name="_Toc19714492"/>
      <w:r>
        <w:t xml:space="preserve">3.1.1. </w:t>
      </w:r>
      <w:r w:rsidR="009912CE">
        <w:t>Postup</w:t>
      </w:r>
      <w:r w:rsidR="005A7752">
        <w:t>ak</w:t>
      </w:r>
      <w:r w:rsidR="009912CE">
        <w:t xml:space="preserve"> dodjele</w:t>
      </w:r>
      <w:bookmarkEnd w:id="9"/>
    </w:p>
    <w:p w14:paraId="7C640CC4" w14:textId="3BC901F3" w:rsidR="00C337CA" w:rsidRPr="00441B1F" w:rsidRDefault="005E5501" w:rsidP="00441B1F">
      <w:pPr>
        <w:jc w:val="both"/>
        <w:rPr>
          <w:bCs/>
        </w:rPr>
      </w:pPr>
      <w:r w:rsidRPr="00441B1F">
        <w:rPr>
          <w:bCs/>
        </w:rPr>
        <w:t xml:space="preserve">Sukladno </w:t>
      </w:r>
      <w:r w:rsidR="00647021" w:rsidRPr="00441B1F">
        <w:rPr>
          <w:bCs/>
        </w:rPr>
        <w:t xml:space="preserve">Tablici namjene </w:t>
      </w:r>
      <w:r w:rsidRPr="00441B1F">
        <w:rPr>
          <w:bCs/>
        </w:rPr>
        <w:t xml:space="preserve">za predmetne frekvencijske pojaseve </w:t>
      </w:r>
      <w:r w:rsidR="001B635D">
        <w:rPr>
          <w:bCs/>
        </w:rPr>
        <w:t>mogući</w:t>
      </w:r>
      <w:r w:rsidR="001B635D" w:rsidRPr="00441B1F">
        <w:rPr>
          <w:bCs/>
        </w:rPr>
        <w:t xml:space="preserve"> </w:t>
      </w:r>
      <w:r w:rsidRPr="00441B1F">
        <w:rPr>
          <w:bCs/>
        </w:rPr>
        <w:t xml:space="preserve">načini dodjele </w:t>
      </w:r>
      <w:r w:rsidR="001B635D" w:rsidRPr="00441B1F">
        <w:rPr>
          <w:bCs/>
        </w:rPr>
        <w:t xml:space="preserve"> </w:t>
      </w:r>
      <w:r w:rsidRPr="00441B1F">
        <w:rPr>
          <w:bCs/>
        </w:rPr>
        <w:t xml:space="preserve">su javni poziv/natječaj/dražba, koji su detaljnije propisani </w:t>
      </w:r>
      <w:r w:rsidR="00C85ADA">
        <w:rPr>
          <w:bCs/>
        </w:rPr>
        <w:t>Zakonom o elektroničkim komunikacijama</w:t>
      </w:r>
      <w:r w:rsidR="00C85ADA">
        <w:rPr>
          <w:rStyle w:val="FootnoteReference"/>
          <w:bCs/>
        </w:rPr>
        <w:footnoteReference w:id="13"/>
      </w:r>
      <w:r w:rsidR="00C85ADA">
        <w:rPr>
          <w:bCs/>
        </w:rPr>
        <w:t xml:space="preserve"> (ZEK)</w:t>
      </w:r>
      <w:r w:rsidRPr="00441B1F">
        <w:rPr>
          <w:bCs/>
        </w:rPr>
        <w:t xml:space="preserve"> i Pravilnikom o uvjetima dodjele i uporabe</w:t>
      </w:r>
      <w:r w:rsidR="00C85ADA">
        <w:rPr>
          <w:bCs/>
        </w:rPr>
        <w:t xml:space="preserve"> radiofrekvencijskog spektra</w:t>
      </w:r>
      <w:r w:rsidR="00C85ADA">
        <w:rPr>
          <w:rStyle w:val="FootnoteReference"/>
          <w:bCs/>
        </w:rPr>
        <w:footnoteReference w:id="14"/>
      </w:r>
      <w:r w:rsidRPr="00441B1F">
        <w:rPr>
          <w:bCs/>
        </w:rPr>
        <w:t>. Odluku o načinu dodjele za konkretni radiofrekvencijski pojas donosi HAKOM. Uvjeti sudjelovanja i dodjele bit će propisani u svakom zasebnom postupku dodjele.</w:t>
      </w:r>
    </w:p>
    <w:p w14:paraId="0C3AEF06" w14:textId="644AEEDB" w:rsidR="00ED3F2E" w:rsidRPr="00C85ADA" w:rsidRDefault="005E5501" w:rsidP="00C85ADA">
      <w:pPr>
        <w:jc w:val="both"/>
        <w:rPr>
          <w:b/>
          <w:bCs/>
        </w:rPr>
      </w:pPr>
      <w:r w:rsidRPr="00441B1F">
        <w:rPr>
          <w:b/>
          <w:bCs/>
        </w:rPr>
        <w:t>Za pojaseve za 5G HAKOM planira primijeniti postupak javne dražbe. O konkretnim parametrima pojedinog postupka planira se p</w:t>
      </w:r>
      <w:r w:rsidR="00C85ADA">
        <w:rPr>
          <w:b/>
          <w:bCs/>
        </w:rPr>
        <w:t>rovesti posebna javna rasprava.</w:t>
      </w:r>
    </w:p>
    <w:p w14:paraId="43FAEBF5" w14:textId="5601069B" w:rsidR="00ED3F2E" w:rsidRDefault="00A57F01" w:rsidP="00B03ABC">
      <w:pPr>
        <w:pStyle w:val="Heading3"/>
        <w:spacing w:before="0" w:after="240"/>
        <w:ind w:firstLine="357"/>
      </w:pPr>
      <w:bookmarkStart w:id="10" w:name="_Toc19714493"/>
      <w:r>
        <w:t xml:space="preserve">3.1.2. </w:t>
      </w:r>
      <w:r w:rsidR="009912CE">
        <w:t>Vrijeme trajanja dozvole</w:t>
      </w:r>
      <w:bookmarkEnd w:id="10"/>
      <w:r w:rsidR="00EC570A">
        <w:t>.</w:t>
      </w:r>
      <w:r w:rsidR="00494095">
        <w:t xml:space="preserve"> </w:t>
      </w:r>
    </w:p>
    <w:p w14:paraId="37ED1750" w14:textId="77777777" w:rsidR="005E5501" w:rsidRPr="00856464" w:rsidRDefault="005E5501" w:rsidP="00C337CA">
      <w:pPr>
        <w:jc w:val="both"/>
        <w:rPr>
          <w:bCs/>
        </w:rPr>
      </w:pPr>
      <w:r w:rsidRPr="00856464">
        <w:rPr>
          <w:bCs/>
        </w:rPr>
        <w:t xml:space="preserve">Trenutno je rok valjanosti dozvole propisan </w:t>
      </w:r>
      <w:hyperlink r:id="rId10" w:history="1">
        <w:r w:rsidRPr="00856464">
          <w:rPr>
            <w:bCs/>
          </w:rPr>
          <w:t>Pravilnikom o uvjetima dodjele i uporabe</w:t>
        </w:r>
      </w:hyperlink>
      <w:r w:rsidRPr="00856464">
        <w:rPr>
          <w:bCs/>
        </w:rPr>
        <w:t xml:space="preserve"> te ne može biti dulji od 20 godina. EECC predviđa da za bežične širokopojasne elektroničke komunikacijske usluge rok valjanosti dozvole ne smije biti kraći od 15 godina. Također, bit će moguće produljenje na razdoblje od najviše 5 godina, o čemu će se provoditi postupak procjene postojanja uvjeta za produljenje.</w:t>
      </w:r>
    </w:p>
    <w:p w14:paraId="4BF06490" w14:textId="302AC282" w:rsidR="00ED3F2E" w:rsidRPr="005E5501" w:rsidRDefault="005E5501" w:rsidP="00856464">
      <w:r>
        <w:rPr>
          <w:b/>
        </w:rPr>
        <w:t>Frekvencijske p</w:t>
      </w:r>
      <w:r w:rsidRPr="002E59D6">
        <w:rPr>
          <w:b/>
        </w:rPr>
        <w:t>ojaseve za 5G HAKOM planira</w:t>
      </w:r>
      <w:r>
        <w:rPr>
          <w:b/>
        </w:rPr>
        <w:t xml:space="preserve"> dodijeliti na 15 godina</w:t>
      </w:r>
      <w:r w:rsidR="000D194B">
        <w:rPr>
          <w:b/>
        </w:rPr>
        <w:t xml:space="preserve"> uz mogućnost produljenja od najviše 5 godina</w:t>
      </w:r>
      <w:r>
        <w:rPr>
          <w:b/>
        </w:rPr>
        <w:t>.</w:t>
      </w:r>
    </w:p>
    <w:p w14:paraId="3C35B4F6" w14:textId="14A42F8B" w:rsidR="009912CE" w:rsidRDefault="00A57F01" w:rsidP="00B03ABC">
      <w:pPr>
        <w:pStyle w:val="Heading3"/>
        <w:spacing w:before="0" w:after="240"/>
        <w:ind w:firstLine="357"/>
      </w:pPr>
      <w:bookmarkStart w:id="11" w:name="_Toc19714494"/>
      <w:r>
        <w:t xml:space="preserve">3.1.3. </w:t>
      </w:r>
      <w:r w:rsidR="009912CE">
        <w:t>Područje uporabe</w:t>
      </w:r>
      <w:bookmarkEnd w:id="11"/>
    </w:p>
    <w:p w14:paraId="736C06BF" w14:textId="29BA3B66" w:rsidR="005E5501" w:rsidRDefault="005E5501" w:rsidP="005E5501">
      <w:pPr>
        <w:jc w:val="both"/>
      </w:pPr>
      <w:r>
        <w:t xml:space="preserve">Područje uporabe za koje se izdaje dozvola je određeno odgovarajućim planom dodjele (trenutno važeći dostupni </w:t>
      </w:r>
      <w:r w:rsidR="00C85ADA">
        <w:t xml:space="preserve">su </w:t>
      </w:r>
      <w:r>
        <w:t xml:space="preserve">na </w:t>
      </w:r>
      <w:hyperlink r:id="rId11" w:history="1">
        <w:r w:rsidRPr="00D922CE">
          <w:rPr>
            <w:rStyle w:val="Hyperlink"/>
          </w:rPr>
          <w:t>https://www.hakom.hr/default.aspx?id=191</w:t>
        </w:r>
      </w:hyperlink>
      <w:r>
        <w:t xml:space="preserve">). </w:t>
      </w:r>
    </w:p>
    <w:p w14:paraId="124BD53C" w14:textId="1A0067C3" w:rsidR="005E5501" w:rsidRDefault="005E5501" w:rsidP="005E5501">
      <w:pPr>
        <w:jc w:val="both"/>
      </w:pPr>
      <w:r>
        <w:t xml:space="preserve">Osim područja na državnoj razini RH, u planu dodjele moguće je odrediti i manje područje, na primjer grad, općina, županija, regija te u slučaju interesa i manje (određeni industrijski pogon i sl.). O prijedlozima </w:t>
      </w:r>
      <w:r>
        <w:lastRenderedPageBreak/>
        <w:t xml:space="preserve">pojedinih planova dodjele HAKOM provodi javnu raspravu u trajanju od minimalno 15 dana. </w:t>
      </w:r>
    </w:p>
    <w:p w14:paraId="54C4A792" w14:textId="295C92A8" w:rsidR="009D352F" w:rsidRDefault="005F5913" w:rsidP="009D352F">
      <w:pPr>
        <w:jc w:val="both"/>
      </w:pPr>
      <w:r>
        <w:t xml:space="preserve">Za komercijalno pružanje usluga putem MFCN mreža radiofrekvencijski spektar </w:t>
      </w:r>
      <w:r w:rsidR="001B635D">
        <w:t xml:space="preserve">će se </w:t>
      </w:r>
      <w:r>
        <w:t xml:space="preserve">dodjeljivati na temelju javnog postupka (poziva/natječaja/dražbe), dok će se za </w:t>
      </w:r>
      <w:r w:rsidR="00E56918">
        <w:t xml:space="preserve">ostale </w:t>
      </w:r>
      <w:r>
        <w:t xml:space="preserve">primjene </w:t>
      </w:r>
      <w:r w:rsidR="00E56918">
        <w:t>(bez komercijalnog pružanja usluga) dodjeljivati na temelju zahtjeva ili opće dozvole.</w:t>
      </w:r>
    </w:p>
    <w:p w14:paraId="02401E6A" w14:textId="2B1C05A5" w:rsidR="005E5501" w:rsidRPr="009C4966" w:rsidRDefault="005E5501" w:rsidP="005E5501">
      <w:pPr>
        <w:jc w:val="both"/>
        <w:rPr>
          <w:b/>
        </w:rPr>
      </w:pPr>
      <w:r w:rsidRPr="009C4966">
        <w:rPr>
          <w:b/>
        </w:rPr>
        <w:t>Za frekvencijsk</w:t>
      </w:r>
      <w:r w:rsidR="00C07128">
        <w:rPr>
          <w:b/>
        </w:rPr>
        <w:t>i</w:t>
      </w:r>
      <w:r w:rsidRPr="009C4966">
        <w:rPr>
          <w:b/>
        </w:rPr>
        <w:t xml:space="preserve"> po</w:t>
      </w:r>
      <w:r w:rsidR="0061158F">
        <w:rPr>
          <w:b/>
        </w:rPr>
        <w:t>jas</w:t>
      </w:r>
      <w:r w:rsidRPr="009C4966">
        <w:rPr>
          <w:b/>
        </w:rPr>
        <w:t xml:space="preserve"> 700 MHz HAKOM </w:t>
      </w:r>
      <w:r>
        <w:rPr>
          <w:b/>
        </w:rPr>
        <w:t>planira</w:t>
      </w:r>
      <w:r w:rsidRPr="009C4966">
        <w:rPr>
          <w:b/>
        </w:rPr>
        <w:t xml:space="preserve"> dodjelu na državnoj razini.</w:t>
      </w:r>
    </w:p>
    <w:p w14:paraId="70DB8426" w14:textId="4DBBF0B1" w:rsidR="005E5501" w:rsidRDefault="0061158F" w:rsidP="00C337CA">
      <w:pPr>
        <w:jc w:val="both"/>
        <w:rPr>
          <w:b/>
        </w:rPr>
      </w:pPr>
      <w:r>
        <w:rPr>
          <w:b/>
        </w:rPr>
        <w:t>Za frekvencijsk</w:t>
      </w:r>
      <w:r w:rsidR="00C07128">
        <w:rPr>
          <w:b/>
        </w:rPr>
        <w:t>i</w:t>
      </w:r>
      <w:r>
        <w:rPr>
          <w:b/>
        </w:rPr>
        <w:t xml:space="preserve"> pojas</w:t>
      </w:r>
      <w:r w:rsidR="005E5501" w:rsidRPr="002E59D6">
        <w:rPr>
          <w:b/>
        </w:rPr>
        <w:t xml:space="preserve"> 3</w:t>
      </w:r>
      <w:r w:rsidR="005E5501">
        <w:rPr>
          <w:b/>
        </w:rPr>
        <w:t>,6</w:t>
      </w:r>
      <w:r w:rsidR="005E5501" w:rsidRPr="002E59D6">
        <w:rPr>
          <w:b/>
        </w:rPr>
        <w:t xml:space="preserve"> GHz HAKOM razmatra dodjel</w:t>
      </w:r>
      <w:r w:rsidR="005E5501">
        <w:rPr>
          <w:b/>
        </w:rPr>
        <w:t>u</w:t>
      </w:r>
      <w:r w:rsidR="005E5501" w:rsidRPr="002E59D6">
        <w:rPr>
          <w:b/>
        </w:rPr>
        <w:t xml:space="preserve"> </w:t>
      </w:r>
      <w:r w:rsidR="00C063C2">
        <w:rPr>
          <w:b/>
        </w:rPr>
        <w:t>najmanje 3</w:t>
      </w:r>
      <w:r w:rsidR="00C063C2" w:rsidRPr="002E59D6">
        <w:rPr>
          <w:b/>
        </w:rPr>
        <w:t xml:space="preserve">00 </w:t>
      </w:r>
      <w:r w:rsidR="005E5501" w:rsidRPr="002E59D6">
        <w:rPr>
          <w:b/>
        </w:rPr>
        <w:t xml:space="preserve">MHz na državnoj razini, a </w:t>
      </w:r>
      <w:r w:rsidR="00C063C2">
        <w:rPr>
          <w:b/>
        </w:rPr>
        <w:t>ostatak za</w:t>
      </w:r>
      <w:r w:rsidR="005E5501" w:rsidRPr="002E59D6">
        <w:rPr>
          <w:b/>
        </w:rPr>
        <w:t xml:space="preserve"> manja područja.</w:t>
      </w:r>
    </w:p>
    <w:p w14:paraId="5DB11ED1" w14:textId="3268A8C0" w:rsidR="00115A2E" w:rsidRDefault="00A57F01" w:rsidP="00B03ABC">
      <w:pPr>
        <w:pStyle w:val="Heading3"/>
        <w:spacing w:before="0" w:after="240"/>
        <w:ind w:firstLine="357"/>
      </w:pPr>
      <w:bookmarkStart w:id="12" w:name="_Toc19714495"/>
      <w:r>
        <w:t xml:space="preserve">3.1.4. </w:t>
      </w:r>
      <w:r w:rsidR="00115A2E">
        <w:t>Koordinacija u pograničnim područjima i na re</w:t>
      </w:r>
      <w:r>
        <w:t>g</w:t>
      </w:r>
      <w:r w:rsidR="00115A2E">
        <w:t>ionalnoj razini</w:t>
      </w:r>
      <w:bookmarkEnd w:id="12"/>
    </w:p>
    <w:p w14:paraId="6EF825EB" w14:textId="645F6EFE" w:rsidR="005E5501" w:rsidRDefault="005E5501" w:rsidP="00C337CA">
      <w:pPr>
        <w:jc w:val="both"/>
      </w:pPr>
      <w:r w:rsidRPr="00AF152E">
        <w:t>Tehničko planiranje mreže, što uključuje lokaciju bazne postaje i njene tehničk</w:t>
      </w:r>
      <w:r>
        <w:t xml:space="preserve">e parametre, rade </w:t>
      </w:r>
      <w:r w:rsidRPr="00AF152E">
        <w:t xml:space="preserve">operatori u svrhu postizanja optimalnog pokrivanja i kapaciteta mreže, pri čemu se moraju pridržavati </w:t>
      </w:r>
      <w:r w:rsidR="00613AEA">
        <w:t>važećih</w:t>
      </w:r>
      <w:r w:rsidR="00613AEA" w:rsidRPr="00AF152E">
        <w:t xml:space="preserve"> </w:t>
      </w:r>
      <w:r w:rsidRPr="00AF152E">
        <w:t>propisa.</w:t>
      </w:r>
      <w:r>
        <w:t xml:space="preserve"> Kako bi se spektar upotrebljavao na naj</w:t>
      </w:r>
      <w:r w:rsidR="009A6932">
        <w:t>učinkovit</w:t>
      </w:r>
      <w:r>
        <w:t xml:space="preserve">iji način te kako bi se minimizirala pojava smetnji, operatori su dužni svoje mreže planirati u skladu s međunarodno propisanim normama i standardima. Smetnje se mogu javljati u odnosu na druge operatore koji upotrebljavaju isti ili susjedni spektar na </w:t>
      </w:r>
      <w:r w:rsidR="009A6932">
        <w:t>zemljopisno</w:t>
      </w:r>
      <w:r>
        <w:t xml:space="preserve"> bliskim područjima.</w:t>
      </w:r>
    </w:p>
    <w:p w14:paraId="40D39B16" w14:textId="08D1B3C5" w:rsidR="005E5501" w:rsidRDefault="005E5501" w:rsidP="00C337CA">
      <w:pPr>
        <w:jc w:val="both"/>
      </w:pPr>
      <w:r>
        <w:t>U pograničnim područjima se također moraju poštivati međunarodni sporazumi koji su obvezujući za RH</w:t>
      </w:r>
      <w:r w:rsidR="00A567C0">
        <w:rPr>
          <w:rStyle w:val="FootnoteReference"/>
        </w:rPr>
        <w:footnoteReference w:id="15"/>
      </w:r>
      <w:r>
        <w:t>.</w:t>
      </w:r>
    </w:p>
    <w:p w14:paraId="24F91BCD" w14:textId="6816FCA9" w:rsidR="00F346F2" w:rsidRDefault="005E5501" w:rsidP="00C337CA">
      <w:pPr>
        <w:jc w:val="both"/>
      </w:pPr>
      <w:r>
        <w:t xml:space="preserve">Između </w:t>
      </w:r>
      <w:r w:rsidRPr="00C21E19">
        <w:t xml:space="preserve">Austrije, Hrvatske, Mađarske, Rumunjske, Slovačke i Slovenije </w:t>
      </w:r>
      <w:r>
        <w:t xml:space="preserve">je potpisan sporazum </w:t>
      </w:r>
      <w:r w:rsidRPr="00C21E19">
        <w:t>o koordinaciji frekvencija u frekvencijskom pojasu 700 MHz</w:t>
      </w:r>
      <w:r w:rsidR="00A567C0">
        <w:rPr>
          <w:rStyle w:val="FootnoteReference"/>
        </w:rPr>
        <w:footnoteReference w:id="16"/>
      </w:r>
      <w:r w:rsidRPr="00C21E19">
        <w:t xml:space="preserve"> </w:t>
      </w:r>
      <w:r>
        <w:t xml:space="preserve">u kojem su navedene televizijske odašiljačke postaje u radu te planirani datumi njihovog gašenja.  </w:t>
      </w:r>
    </w:p>
    <w:p w14:paraId="65A771CB" w14:textId="3E25F859" w:rsidR="00407F5B" w:rsidRDefault="00407F5B" w:rsidP="00407F5B">
      <w:pPr>
        <w:jc w:val="both"/>
      </w:pPr>
      <w:r>
        <w:t xml:space="preserve">U okviru </w:t>
      </w:r>
      <w:r w:rsidRPr="00407F5B">
        <w:t>SEDDIF (</w:t>
      </w:r>
      <w:r w:rsidRPr="00A567C0">
        <w:rPr>
          <w:i/>
        </w:rPr>
        <w:t>South European Digital Dividend Implementation Forum</w:t>
      </w:r>
      <w:r w:rsidRPr="00407F5B">
        <w:t>)</w:t>
      </w:r>
      <w:r w:rsidR="00622250">
        <w:t xml:space="preserve"> i Jadransko-Jonske g</w:t>
      </w:r>
      <w:r>
        <w:t>r</w:t>
      </w:r>
      <w:r w:rsidR="00622250">
        <w:t>u</w:t>
      </w:r>
      <w:r>
        <w:t>pe,</w:t>
      </w:r>
      <w:r w:rsidR="00622250" w:rsidRPr="00622250">
        <w:t xml:space="preserve"> </w:t>
      </w:r>
      <w:r w:rsidR="00622250">
        <w:t>RH</w:t>
      </w:r>
      <w:r w:rsidR="00622250" w:rsidRPr="00622250">
        <w:t xml:space="preserve"> je sa svim susjednim državama dogovorila raspodjele televizijskih kanala i time ostvarila preduvjete za </w:t>
      </w:r>
      <w:r w:rsidR="00622250" w:rsidRPr="00622250">
        <w:lastRenderedPageBreak/>
        <w:t xml:space="preserve">prelazak na DVB-T2 </w:t>
      </w:r>
      <w:r w:rsidR="00622250">
        <w:t xml:space="preserve">tehnologiju </w:t>
      </w:r>
      <w:r w:rsidR="00622250" w:rsidRPr="00622250">
        <w:t>i</w:t>
      </w:r>
      <w:r>
        <w:t xml:space="preserve"> čime </w:t>
      </w:r>
      <w:r w:rsidR="00A567C0">
        <w:t xml:space="preserve">će </w:t>
      </w:r>
      <w:r w:rsidR="003C3405">
        <w:t>se o</w:t>
      </w:r>
      <w:r w:rsidR="00A567C0">
        <w:t>mogućiti</w:t>
      </w:r>
      <w:r>
        <w:t xml:space="preserve"> uporaba </w:t>
      </w:r>
      <w:r w:rsidR="003C3405">
        <w:t>700 MHz</w:t>
      </w:r>
      <w:r>
        <w:t xml:space="preserve"> za usluge u mrežama pokretnih komunikacija.  </w:t>
      </w:r>
    </w:p>
    <w:p w14:paraId="2D57E0A5" w14:textId="3F57DC1F" w:rsidR="00F346F2" w:rsidRDefault="00F346F2" w:rsidP="00AA61F8">
      <w:pPr>
        <w:jc w:val="both"/>
        <w:rPr>
          <w:b/>
        </w:rPr>
      </w:pPr>
      <w:r>
        <w:rPr>
          <w:b/>
        </w:rPr>
        <w:t xml:space="preserve">HAKOM planira prilikom raspisivanja postupka za 700 MHz u popratnoj dokumentaciji navesti tehničke uvjete koordinacije i administrativne postupke na osnovu kojih operatori mogu potpisati međusobne sporazume i na taj način poboljšati </w:t>
      </w:r>
      <w:r w:rsidR="009A6932">
        <w:rPr>
          <w:b/>
        </w:rPr>
        <w:t>učinkovitost</w:t>
      </w:r>
      <w:r>
        <w:rPr>
          <w:b/>
        </w:rPr>
        <w:t xml:space="preserve"> uporabe </w:t>
      </w:r>
      <w:r w:rsidR="00387593">
        <w:rPr>
          <w:b/>
        </w:rPr>
        <w:t>radiofrekvencijskog spektra</w:t>
      </w:r>
      <w:r>
        <w:rPr>
          <w:b/>
        </w:rPr>
        <w:t xml:space="preserve"> u pograničnom području</w:t>
      </w:r>
      <w:r w:rsidR="00387593">
        <w:rPr>
          <w:b/>
        </w:rPr>
        <w:t>. HAKOM će objaviti</w:t>
      </w:r>
      <w:r>
        <w:rPr>
          <w:b/>
        </w:rPr>
        <w:t xml:space="preserve"> i informacije o </w:t>
      </w:r>
      <w:r w:rsidR="008B522E">
        <w:rPr>
          <w:b/>
        </w:rPr>
        <w:t>planskim</w:t>
      </w:r>
      <w:r>
        <w:rPr>
          <w:b/>
        </w:rPr>
        <w:t xml:space="preserve"> </w:t>
      </w:r>
      <w:r w:rsidR="00387593">
        <w:rPr>
          <w:b/>
        </w:rPr>
        <w:t xml:space="preserve">televizijskim </w:t>
      </w:r>
      <w:r>
        <w:rPr>
          <w:b/>
        </w:rPr>
        <w:t>odašiljačima u radu u susjednim zemljama</w:t>
      </w:r>
      <w:r w:rsidR="00387593">
        <w:rPr>
          <w:b/>
        </w:rPr>
        <w:t xml:space="preserve"> s planiranim datumom gašenja</w:t>
      </w:r>
      <w:r>
        <w:rPr>
          <w:b/>
        </w:rPr>
        <w:t>. Isto će biti uzeto u obzir prilikom propisivanja uvjeta dodjele i uporabe radiofrekvencijskog spektra.</w:t>
      </w:r>
    </w:p>
    <w:p w14:paraId="1F51D822" w14:textId="74DB7087" w:rsidR="00F346F2" w:rsidRDefault="00F346F2" w:rsidP="00EA7E7C">
      <w:pPr>
        <w:jc w:val="both"/>
      </w:pPr>
      <w:r>
        <w:t xml:space="preserve">Između </w:t>
      </w:r>
      <w:r w:rsidRPr="00C21E19">
        <w:t xml:space="preserve">Austrije, Hrvatske, Mađarske, </w:t>
      </w:r>
      <w:r>
        <w:t>Srbije</w:t>
      </w:r>
      <w:r w:rsidRPr="00C21E19">
        <w:t xml:space="preserve">, Slovačke i Slovenije </w:t>
      </w:r>
      <w:r>
        <w:t xml:space="preserve">je potpisan sporazum </w:t>
      </w:r>
      <w:r w:rsidRPr="00C21E19">
        <w:t xml:space="preserve">o koordinaciji frekvencija u frekvencijskom pojasu </w:t>
      </w:r>
      <w:r>
        <w:t>3,6 GHz</w:t>
      </w:r>
      <w:r w:rsidR="00A567C0">
        <w:rPr>
          <w:rStyle w:val="FootnoteReference"/>
        </w:rPr>
        <w:footnoteReference w:id="17"/>
      </w:r>
      <w:r w:rsidR="00A567C0">
        <w:t>,</w:t>
      </w:r>
      <w:r>
        <w:t xml:space="preserve"> u kojem su navedeni odgovarajući tehnički uvjeti i administrativna procedura.</w:t>
      </w:r>
    </w:p>
    <w:p w14:paraId="21DD610D" w14:textId="0354B2A8" w:rsidR="00F346F2" w:rsidRPr="00FE5001" w:rsidRDefault="00F346F2" w:rsidP="00AA61F8">
      <w:pPr>
        <w:jc w:val="both"/>
        <w:rPr>
          <w:b/>
        </w:rPr>
      </w:pPr>
      <w:r>
        <w:rPr>
          <w:b/>
        </w:rPr>
        <w:t xml:space="preserve">HAKOM planira prilikom raspisivanja postupka za 3.6 GHz u popratnoj dokumentaciji navesti tehničke uvjete koordinacije i administrativne postupke na osnovu kojih operatori mogu potpisati međusobne sporazume i na taj način poboljšati </w:t>
      </w:r>
      <w:r w:rsidR="009A6932">
        <w:rPr>
          <w:b/>
        </w:rPr>
        <w:t>učinkovitost</w:t>
      </w:r>
      <w:r>
        <w:rPr>
          <w:b/>
        </w:rPr>
        <w:t xml:space="preserve"> uporabe </w:t>
      </w:r>
      <w:r w:rsidR="00AD7F63">
        <w:rPr>
          <w:b/>
        </w:rPr>
        <w:t>frekvencija</w:t>
      </w:r>
      <w:r>
        <w:rPr>
          <w:b/>
        </w:rPr>
        <w:t xml:space="preserve"> u pograničnom području. </w:t>
      </w:r>
      <w:r w:rsidRPr="00FE5001">
        <w:rPr>
          <w:b/>
        </w:rPr>
        <w:t>Na sličnom princip</w:t>
      </w:r>
      <w:r w:rsidR="007A793C">
        <w:rPr>
          <w:b/>
        </w:rPr>
        <w:t>u, u slučaju regionalne dodjele.</w:t>
      </w:r>
      <w:r w:rsidRPr="00FE5001">
        <w:rPr>
          <w:b/>
        </w:rPr>
        <w:t xml:space="preserve"> </w:t>
      </w:r>
      <w:r w:rsidRPr="007A793C">
        <w:rPr>
          <w:b/>
        </w:rPr>
        <w:t xml:space="preserve">HAKOM će </w:t>
      </w:r>
      <w:r w:rsidR="00C776BB">
        <w:rPr>
          <w:b/>
        </w:rPr>
        <w:t xml:space="preserve">po potrebi </w:t>
      </w:r>
      <w:r w:rsidRPr="007A793C">
        <w:rPr>
          <w:b/>
        </w:rPr>
        <w:t>propisati koordinacijski postupak na granici dviju regionalnih područja kao i mogućnosti odstupanja od ist</w:t>
      </w:r>
      <w:r w:rsidR="00AD7F63" w:rsidRPr="007A793C">
        <w:rPr>
          <w:b/>
        </w:rPr>
        <w:t>og</w:t>
      </w:r>
      <w:r w:rsidRPr="007A793C">
        <w:rPr>
          <w:b/>
        </w:rPr>
        <w:t xml:space="preserve"> odnosno postizanja dogovora između relevantnih regionalnih operatora.</w:t>
      </w:r>
    </w:p>
    <w:p w14:paraId="67C963DD" w14:textId="4AA2B06C" w:rsidR="005E5501" w:rsidRPr="005E5501" w:rsidRDefault="00F346F2" w:rsidP="00543795">
      <w:pPr>
        <w:jc w:val="both"/>
      </w:pPr>
      <w:r>
        <w:t>HAKOM će</w:t>
      </w:r>
      <w:r w:rsidR="00917C5B">
        <w:t xml:space="preserve"> u okviru svojih redovite međunarodne suradnje</w:t>
      </w:r>
      <w:r>
        <w:t xml:space="preserve"> nast</w:t>
      </w:r>
      <w:r w:rsidR="00835626">
        <w:t>aviti pregovore</w:t>
      </w:r>
      <w:r>
        <w:t xml:space="preserve"> </w:t>
      </w:r>
      <w:r w:rsidR="00835626">
        <w:t>s</w:t>
      </w:r>
      <w:r w:rsidR="00097598">
        <w:t>a</w:t>
      </w:r>
      <w:r w:rsidR="00835626">
        <w:t xml:space="preserve"> </w:t>
      </w:r>
      <w:r>
        <w:t xml:space="preserve">zemljama s kojima </w:t>
      </w:r>
      <w:r w:rsidR="00917C5B">
        <w:t xml:space="preserve">još </w:t>
      </w:r>
      <w:r>
        <w:t>nije regulirana uporaba frekvencija u pograničnim područja</w:t>
      </w:r>
      <w:r w:rsidR="00097598">
        <w:t>,</w:t>
      </w:r>
      <w:r>
        <w:t xml:space="preserve"> kao i izmijeniti uvjete već potpisanih sporazuma</w:t>
      </w:r>
      <w:r w:rsidR="00097598">
        <w:t>,</w:t>
      </w:r>
      <w:r>
        <w:t xml:space="preserve"> kako bi se uporaba frekvencija uskladila s ažuriranom CEPT regulativom, a sve u vidu </w:t>
      </w:r>
      <w:r w:rsidR="009A6932">
        <w:t>učinkovitije</w:t>
      </w:r>
      <w:r>
        <w:t xml:space="preserve"> uporabe u pograničnom području.</w:t>
      </w:r>
    </w:p>
    <w:p w14:paraId="56BEC54E" w14:textId="29775720" w:rsidR="009912CE" w:rsidRDefault="00DD215C" w:rsidP="00B03ABC">
      <w:pPr>
        <w:pStyle w:val="Heading3"/>
        <w:spacing w:before="0" w:after="240"/>
        <w:ind w:firstLine="357"/>
      </w:pPr>
      <w:bookmarkStart w:id="13" w:name="_Toc19714496"/>
      <w:r>
        <w:t xml:space="preserve">3.1.6. </w:t>
      </w:r>
      <w:r w:rsidR="002063FB">
        <w:t>Uvjeti pokrivanja</w:t>
      </w:r>
      <w:bookmarkEnd w:id="13"/>
      <w:r w:rsidR="002063FB">
        <w:t xml:space="preserve"> </w:t>
      </w:r>
    </w:p>
    <w:p w14:paraId="74C9BCBC" w14:textId="4DBC6CA6" w:rsidR="00E10687" w:rsidRDefault="005E5501" w:rsidP="00B03ABC">
      <w:pPr>
        <w:jc w:val="both"/>
      </w:pPr>
      <w:r>
        <w:t xml:space="preserve">Kako bi se ostvarili određeni strateški ciljevi RH, što posebice obuhvaća pokrivanje određenog postotka </w:t>
      </w:r>
      <w:r w:rsidR="00780CA5">
        <w:t xml:space="preserve">zemljopisnog </w:t>
      </w:r>
      <w:r>
        <w:t xml:space="preserve">područja ili stanovništva </w:t>
      </w:r>
      <w:r>
        <w:lastRenderedPageBreak/>
        <w:t xml:space="preserve">te određenih područja za koje ne postoji komercijalni interes, potrebno je </w:t>
      </w:r>
      <w:r w:rsidR="00780CA5">
        <w:t xml:space="preserve">propisati </w:t>
      </w:r>
      <w:r>
        <w:t xml:space="preserve">obveze pokrivanja tih područja </w:t>
      </w:r>
      <w:r w:rsidR="00780CA5">
        <w:t xml:space="preserve">uslugom </w:t>
      </w:r>
      <w:r>
        <w:t xml:space="preserve">određene kvalitete (QoS). Obveze moraju biti poznate prilikom prijave za dodjelu putem određenog postupka (javni poziv/natječaj/dražba) te se nakon dodjele </w:t>
      </w:r>
      <w:r w:rsidR="00A923EA">
        <w:t>propisuju</w:t>
      </w:r>
      <w:r>
        <w:t xml:space="preserve"> pojedin</w:t>
      </w:r>
      <w:r w:rsidR="00A923EA">
        <w:t>om</w:t>
      </w:r>
      <w:r>
        <w:t xml:space="preserve"> dozvol</w:t>
      </w:r>
      <w:r w:rsidR="00A923EA">
        <w:t>om</w:t>
      </w:r>
      <w:r>
        <w:t xml:space="preserve"> za uporabu radiofrekvencijskog spektra.</w:t>
      </w:r>
      <w:r w:rsidR="00E10687">
        <w:t xml:space="preserve"> Drugi razlog propisivanja određenih uvjeta pokrivanja je osiguravanje </w:t>
      </w:r>
      <w:r w:rsidR="00780CA5">
        <w:t>učinkovite uporabe radiofrekvenci</w:t>
      </w:r>
      <w:r w:rsidR="00E10687">
        <w:t>j</w:t>
      </w:r>
      <w:r w:rsidR="00780CA5">
        <w:t>s</w:t>
      </w:r>
      <w:r w:rsidR="00E10687">
        <w:t>kog spektra</w:t>
      </w:r>
      <w:r w:rsidR="00780CA5">
        <w:t>,</w:t>
      </w:r>
      <w:r w:rsidR="00E10687">
        <w:t xml:space="preserve"> </w:t>
      </w:r>
      <w:r w:rsidR="00780CA5">
        <w:t>odnosno</w:t>
      </w:r>
      <w:r w:rsidR="00E10687">
        <w:t xml:space="preserve"> sprečavanje moguće zlouporabe spektra u smislu </w:t>
      </w:r>
      <w:r w:rsidR="000C53D1">
        <w:t>pretjeranog zauzimanja</w:t>
      </w:r>
      <w:r w:rsidR="00E10687">
        <w:t xml:space="preserve"> spektra od strane jednog operatora bez namjere korištenja istog.</w:t>
      </w:r>
    </w:p>
    <w:p w14:paraId="6FA415B4" w14:textId="5ACE5E87" w:rsidR="005E5501" w:rsidRDefault="00E10687" w:rsidP="00543795">
      <w:pPr>
        <w:jc w:val="both"/>
      </w:pPr>
      <w:r>
        <w:t>Pri</w:t>
      </w:r>
      <w:r w:rsidR="00E24708">
        <w:t>likom propisivanja</w:t>
      </w:r>
      <w:r>
        <w:t xml:space="preserve"> navedenih uvjeta HAKOM će voditi računa </w:t>
      </w:r>
      <w:r w:rsidR="004C02E2">
        <w:t>o</w:t>
      </w:r>
      <w:r>
        <w:t xml:space="preserve"> propisivanj</w:t>
      </w:r>
      <w:r w:rsidR="004C02E2">
        <w:t>u</w:t>
      </w:r>
      <w:r>
        <w:t xml:space="preserve"> obveza pokrivanja u područjima </w:t>
      </w:r>
      <w:r w:rsidRPr="00A22DD8">
        <w:t xml:space="preserve">bez </w:t>
      </w:r>
      <w:r w:rsidR="000C53D1">
        <w:t>komercijalnog interesa</w:t>
      </w:r>
      <w:r w:rsidR="004C02E2">
        <w:t xml:space="preserve"> slijedom čega</w:t>
      </w:r>
      <w:r w:rsidR="00E24708">
        <w:t xml:space="preserve"> za pojedin</w:t>
      </w:r>
      <w:r w:rsidR="00A02958">
        <w:t>e</w:t>
      </w:r>
      <w:r w:rsidR="00E24708">
        <w:t xml:space="preserve"> d</w:t>
      </w:r>
      <w:r w:rsidR="00A02958">
        <w:t>jel</w:t>
      </w:r>
      <w:r w:rsidR="00E24708">
        <w:t>o</w:t>
      </w:r>
      <w:r w:rsidR="00A02958">
        <w:t>ve</w:t>
      </w:r>
      <w:r w:rsidR="00E24708">
        <w:t xml:space="preserve"> spektra mogu biti propisani različiti uvjeti dodjele i uporabe.</w:t>
      </w:r>
    </w:p>
    <w:p w14:paraId="24E2A793" w14:textId="54A36BD8" w:rsidR="00C776BB" w:rsidRDefault="00C776BB" w:rsidP="00543795">
      <w:pPr>
        <w:jc w:val="both"/>
      </w:pPr>
      <w:r w:rsidRPr="00C776BB">
        <w:rPr>
          <w:lang w:eastAsia="pl-PL"/>
        </w:rPr>
        <w:t xml:space="preserve">U postupku dodjele frekvencijskog pojasa 700 MHz bit će utvrđeni kriteriji kvalitete usluge kao i uvjeti pokrivenosti i raspoloživosti mreža pokretnih komunikacija. Ti uvjeti bit će nakon postupka dodjele uključeni u uvjete koje treba ispuniti operator pokretnih komunikacija. Nadalje, operatori će biti uključeni u proces uklanjanja smetnja koje mogu nastati od strane mreža pokretnih komunikacija prema krajnjim korisnicima mreža digitalne zemaljske televizije. </w:t>
      </w:r>
    </w:p>
    <w:p w14:paraId="04E18877" w14:textId="2AC3F6B7" w:rsidR="005E5501" w:rsidRDefault="005E5501" w:rsidP="005E5501">
      <w:pPr>
        <w:jc w:val="both"/>
        <w:rPr>
          <w:b/>
        </w:rPr>
      </w:pPr>
      <w:r w:rsidRPr="007A793C">
        <w:rPr>
          <w:b/>
        </w:rPr>
        <w:t xml:space="preserve">Sukladno ranije provedenom postupku </w:t>
      </w:r>
      <w:r w:rsidR="000C53D1" w:rsidRPr="007A793C">
        <w:rPr>
          <w:b/>
        </w:rPr>
        <w:t xml:space="preserve">dodjele </w:t>
      </w:r>
      <w:r w:rsidRPr="007A793C">
        <w:rPr>
          <w:b/>
        </w:rPr>
        <w:t xml:space="preserve">za </w:t>
      </w:r>
      <w:r w:rsidR="00C07128">
        <w:rPr>
          <w:b/>
        </w:rPr>
        <w:t xml:space="preserve">frekvencijski pojas </w:t>
      </w:r>
      <w:r w:rsidRPr="007A793C">
        <w:rPr>
          <w:b/>
        </w:rPr>
        <w:t>800 MHz,</w:t>
      </w:r>
      <w:r w:rsidRPr="007A793C">
        <w:t xml:space="preserve"> </w:t>
      </w:r>
      <w:r w:rsidRPr="007A793C">
        <w:rPr>
          <w:b/>
        </w:rPr>
        <w:t xml:space="preserve">HAKOM planira </w:t>
      </w:r>
      <w:r w:rsidR="00E24708" w:rsidRPr="007A793C">
        <w:rPr>
          <w:b/>
        </w:rPr>
        <w:t xml:space="preserve">propisati </w:t>
      </w:r>
      <w:r w:rsidRPr="007A793C">
        <w:rPr>
          <w:b/>
        </w:rPr>
        <w:t xml:space="preserve">obvezu pokrivanja u </w:t>
      </w:r>
      <w:r w:rsidR="009F7491" w:rsidRPr="007A793C">
        <w:rPr>
          <w:b/>
        </w:rPr>
        <w:t xml:space="preserve">određenom vremenskom </w:t>
      </w:r>
      <w:r w:rsidRPr="007A793C">
        <w:rPr>
          <w:b/>
        </w:rPr>
        <w:t>roku od trenutka kada utvrdi da je</w:t>
      </w:r>
      <w:r w:rsidR="00C07128">
        <w:rPr>
          <w:b/>
        </w:rPr>
        <w:t xml:space="preserve"> frekvencijski</w:t>
      </w:r>
      <w:r w:rsidRPr="007A793C">
        <w:rPr>
          <w:b/>
        </w:rPr>
        <w:t xml:space="preserve"> pojas 700 MHz upotrebljiv na području RH s prihvatljivim razinama smetnji iz susjednih država.</w:t>
      </w:r>
    </w:p>
    <w:p w14:paraId="1686ADDB" w14:textId="3ADC9795" w:rsidR="00E10687" w:rsidRDefault="00E10687" w:rsidP="00E10687">
      <w:pPr>
        <w:jc w:val="both"/>
        <w:rPr>
          <w:b/>
        </w:rPr>
      </w:pPr>
      <w:r>
        <w:rPr>
          <w:b/>
        </w:rPr>
        <w:t>Pri dodjeli</w:t>
      </w:r>
      <w:r w:rsidR="00C07128">
        <w:rPr>
          <w:b/>
        </w:rPr>
        <w:t xml:space="preserve"> frekvencijskog pojasa</w:t>
      </w:r>
      <w:r>
        <w:rPr>
          <w:b/>
        </w:rPr>
        <w:t xml:space="preserve"> 700 MHz HAKOM planira</w:t>
      </w:r>
      <w:r w:rsidR="00E24708">
        <w:rPr>
          <w:b/>
        </w:rPr>
        <w:t xml:space="preserve"> propisati</w:t>
      </w:r>
      <w:r>
        <w:rPr>
          <w:b/>
        </w:rPr>
        <w:t xml:space="preserve"> sljedeće uvjete uporabe.</w:t>
      </w:r>
    </w:p>
    <w:p w14:paraId="47C86647" w14:textId="77777777" w:rsidR="00E10687" w:rsidRDefault="00E10687" w:rsidP="00E10687">
      <w:pPr>
        <w:pStyle w:val="ListParagraph"/>
        <w:numPr>
          <w:ilvl w:val="0"/>
          <w:numId w:val="10"/>
        </w:numPr>
        <w:jc w:val="both"/>
        <w:rPr>
          <w:b/>
        </w:rPr>
      </w:pPr>
      <w:r>
        <w:rPr>
          <w:b/>
        </w:rPr>
        <w:t>Određeni postotak teritorija RH koji mora biti pokriven razinom signala određene razine da bi se osigurala usluga zadovoljavajuće kvalitete na otvorenom prostoru</w:t>
      </w:r>
    </w:p>
    <w:p w14:paraId="6E0882B7" w14:textId="77777777" w:rsidR="00E10687" w:rsidRDefault="00E10687" w:rsidP="00E10687">
      <w:pPr>
        <w:pStyle w:val="ListParagraph"/>
        <w:numPr>
          <w:ilvl w:val="0"/>
          <w:numId w:val="10"/>
        </w:numPr>
        <w:jc w:val="both"/>
        <w:rPr>
          <w:b/>
        </w:rPr>
      </w:pPr>
      <w:r>
        <w:rPr>
          <w:b/>
        </w:rPr>
        <w:t>Određeni postotak stanovništva RH koji mora biti pokriven razinom signala određene razine da bi se osigurala usluga zadovoljavajuće kvalitete u zatvorenom prostoru</w:t>
      </w:r>
    </w:p>
    <w:p w14:paraId="47952A1E" w14:textId="52E387EA" w:rsidR="00891B82" w:rsidRDefault="00891B82" w:rsidP="00E10687">
      <w:pPr>
        <w:pStyle w:val="ListParagraph"/>
        <w:numPr>
          <w:ilvl w:val="0"/>
          <w:numId w:val="10"/>
        </w:numPr>
        <w:jc w:val="both"/>
        <w:rPr>
          <w:b/>
        </w:rPr>
      </w:pPr>
      <w:r>
        <w:rPr>
          <w:b/>
        </w:rPr>
        <w:t>Određeni postotak teritorija i/ili stanovništva na zemljopisnom području za koje u trenutku dodjele ne postoji pokrivanje odgovarajućom razinom signala</w:t>
      </w:r>
    </w:p>
    <w:p w14:paraId="578B86E9" w14:textId="038D7BBC" w:rsidR="00E10687" w:rsidRPr="00D170C0" w:rsidRDefault="00E10687" w:rsidP="00E10687">
      <w:pPr>
        <w:jc w:val="both"/>
      </w:pPr>
      <w:r w:rsidRPr="00D170C0">
        <w:lastRenderedPageBreak/>
        <w:t xml:space="preserve">Određivanjem odgovarajućih razina signala potrebno je osigurati odgovarajuće brzine prijenosa s visokom vjerojatnosti pristupa. Zadovoljavanje propisanih uvjeta </w:t>
      </w:r>
      <w:r w:rsidR="00E81F8B" w:rsidRPr="00D170C0">
        <w:t>za kvalitetom usluge može</w:t>
      </w:r>
      <w:r w:rsidRPr="00D170C0">
        <w:t xml:space="preserve"> se osigurati i uporabom drugih frekvencijskih pojaseva uz propisivanje uvjeta uporabe koji odgovaraju pojedinom frekvencijskom pojasu</w:t>
      </w:r>
      <w:r w:rsidR="00E81F8B" w:rsidRPr="00D170C0">
        <w:t xml:space="preserve">. </w:t>
      </w:r>
    </w:p>
    <w:p w14:paraId="1EC39028" w14:textId="03296B05" w:rsidR="00E10687" w:rsidRDefault="00E10687" w:rsidP="00E10687">
      <w:pPr>
        <w:jc w:val="both"/>
        <w:rPr>
          <w:b/>
        </w:rPr>
      </w:pPr>
      <w:r>
        <w:rPr>
          <w:b/>
        </w:rPr>
        <w:t>Pr</w:t>
      </w:r>
      <w:r w:rsidR="00E81F8B">
        <w:rPr>
          <w:b/>
        </w:rPr>
        <w:t xml:space="preserve">i dodjeli </w:t>
      </w:r>
      <w:r w:rsidR="005B036D">
        <w:rPr>
          <w:b/>
        </w:rPr>
        <w:t xml:space="preserve">frekvencijskog pojasa </w:t>
      </w:r>
      <w:r w:rsidR="00E81F8B">
        <w:rPr>
          <w:b/>
        </w:rPr>
        <w:t>3,6 G</w:t>
      </w:r>
      <w:r>
        <w:rPr>
          <w:b/>
        </w:rPr>
        <w:t xml:space="preserve">Hz HAKOM planira propisati kao uvjet uporabe broj </w:t>
      </w:r>
      <w:r w:rsidR="005B036D">
        <w:rPr>
          <w:b/>
        </w:rPr>
        <w:t>postavljenih</w:t>
      </w:r>
      <w:r>
        <w:rPr>
          <w:b/>
        </w:rPr>
        <w:t xml:space="preserve"> baznih postaja u uporabi u određenom vremenskom i</w:t>
      </w:r>
      <w:r w:rsidR="005B036D">
        <w:rPr>
          <w:b/>
        </w:rPr>
        <w:t>ntervalu i na određenom zemljopisnom području</w:t>
      </w:r>
      <w:r w:rsidR="00F82761">
        <w:rPr>
          <w:b/>
        </w:rPr>
        <w:t xml:space="preserve"> za pojedinog operatora</w:t>
      </w:r>
      <w:r w:rsidR="005B036D">
        <w:rPr>
          <w:b/>
        </w:rPr>
        <w:t>.</w:t>
      </w:r>
    </w:p>
    <w:p w14:paraId="4F7E1D81" w14:textId="3539C74D" w:rsidR="00E10687" w:rsidRDefault="00E10687" w:rsidP="00E10687">
      <w:pPr>
        <w:jc w:val="both"/>
        <w:rPr>
          <w:b/>
        </w:rPr>
      </w:pPr>
      <w:r>
        <w:rPr>
          <w:b/>
        </w:rPr>
        <w:t xml:space="preserve">U slučaju dodjele </w:t>
      </w:r>
      <w:r w:rsidR="005B036D">
        <w:rPr>
          <w:b/>
        </w:rPr>
        <w:t xml:space="preserve">frekvencijskog pojasa </w:t>
      </w:r>
      <w:r>
        <w:rPr>
          <w:b/>
        </w:rPr>
        <w:t>26 GHz</w:t>
      </w:r>
      <w:r w:rsidR="00F82761">
        <w:rPr>
          <w:b/>
        </w:rPr>
        <w:t xml:space="preserve"> </w:t>
      </w:r>
      <w:r>
        <w:rPr>
          <w:b/>
        </w:rPr>
        <w:t xml:space="preserve">HAKOM planira propisati kao uvjet uporabe broj </w:t>
      </w:r>
      <w:r w:rsidR="005B036D">
        <w:rPr>
          <w:b/>
        </w:rPr>
        <w:t xml:space="preserve">postavljenih </w:t>
      </w:r>
      <w:r>
        <w:rPr>
          <w:b/>
        </w:rPr>
        <w:t>baznih postaja u uporabi u određenom vremenskom intervalu u vlasništvu operatora.</w:t>
      </w:r>
    </w:p>
    <w:p w14:paraId="3EB86543" w14:textId="5F713E1B" w:rsidR="00983266" w:rsidRDefault="00E10687" w:rsidP="00E10687">
      <w:pPr>
        <w:jc w:val="both"/>
        <w:rPr>
          <w:b/>
        </w:rPr>
      </w:pPr>
      <w:r>
        <w:rPr>
          <w:b/>
        </w:rPr>
        <w:t xml:space="preserve">U slučaju dodjele </w:t>
      </w:r>
      <w:r w:rsidR="005B036D">
        <w:rPr>
          <w:b/>
        </w:rPr>
        <w:t xml:space="preserve">frekvencijskog pojasa </w:t>
      </w:r>
      <w:r>
        <w:rPr>
          <w:b/>
        </w:rPr>
        <w:t>1500 MHz HAKOM ne planira propisati poseban uvjet pokrivanja.</w:t>
      </w:r>
    </w:p>
    <w:p w14:paraId="3ED5F1F6" w14:textId="049F9E7B" w:rsidR="005B036D" w:rsidRDefault="005B036D" w:rsidP="00E10687">
      <w:pPr>
        <w:jc w:val="both"/>
        <w:rPr>
          <w:b/>
        </w:rPr>
      </w:pPr>
      <w:r>
        <w:rPr>
          <w:b/>
        </w:rPr>
        <w:t>Neovisno o uporabi pojedinog frekvencijskog pojasa</w:t>
      </w:r>
      <w:r w:rsidR="00F82761">
        <w:rPr>
          <w:b/>
        </w:rPr>
        <w:t>,</w:t>
      </w:r>
      <w:r>
        <w:rPr>
          <w:b/>
        </w:rPr>
        <w:t xml:space="preserve"> HAKOM planira propisati obvezu pokrivanja pojedinih transportnih pravaca određenom razinom 5G signala.</w:t>
      </w:r>
    </w:p>
    <w:p w14:paraId="3F9CFCF7" w14:textId="72617CA6" w:rsidR="00983266" w:rsidRDefault="00983266" w:rsidP="00B03ABC">
      <w:pPr>
        <w:pStyle w:val="Heading3"/>
        <w:spacing w:before="0" w:after="240"/>
        <w:ind w:firstLine="357"/>
      </w:pPr>
      <w:bookmarkStart w:id="14" w:name="_Toc19714497"/>
      <w:r>
        <w:t>3.1.7. Sinkronizacija</w:t>
      </w:r>
      <w:bookmarkEnd w:id="14"/>
      <w:r>
        <w:t xml:space="preserve"> </w:t>
      </w:r>
    </w:p>
    <w:p w14:paraId="53F7F0FF" w14:textId="77777777" w:rsidR="00983266" w:rsidRPr="007A793C" w:rsidRDefault="00983266" w:rsidP="00B03ABC">
      <w:pPr>
        <w:jc w:val="both"/>
      </w:pPr>
      <w:r w:rsidRPr="007A793C">
        <w:t xml:space="preserve">S obzirom na navedene prednosti sinkronizacije HAKOM će za ovaj frekvencijski pojas propisati sljedeća osnovna pravila za sinkronizaciju: </w:t>
      </w:r>
    </w:p>
    <w:p w14:paraId="69E55228" w14:textId="77777777" w:rsidR="00983266" w:rsidRPr="00983266" w:rsidRDefault="00983266" w:rsidP="00983266">
      <w:pPr>
        <w:pStyle w:val="ListParagraph"/>
        <w:numPr>
          <w:ilvl w:val="0"/>
          <w:numId w:val="7"/>
        </w:numPr>
        <w:spacing w:after="0"/>
        <w:jc w:val="both"/>
      </w:pPr>
      <w:r w:rsidRPr="007A793C">
        <w:t>Zadana struktura okvira i određivanje zajedničkog referentnog sata i točnosti</w:t>
      </w:r>
      <w:r w:rsidRPr="00983266">
        <w:t xml:space="preserve"> </w:t>
      </w:r>
    </w:p>
    <w:p w14:paraId="1D8DBB79" w14:textId="77777777" w:rsidR="00983266" w:rsidRPr="007A793C" w:rsidRDefault="00983266" w:rsidP="00983266">
      <w:pPr>
        <w:pStyle w:val="ListParagraph"/>
        <w:numPr>
          <w:ilvl w:val="0"/>
          <w:numId w:val="7"/>
        </w:numPr>
        <w:spacing w:after="0"/>
        <w:jc w:val="both"/>
      </w:pPr>
      <w:r w:rsidRPr="007A793C">
        <w:t xml:space="preserve">U slučaju primjene zadane strukture okvira odnosne ekvivalente strukture okvira u vidu vremena prijenosa i prijema dozvoljena je primjena unutarpojasne emisije izvan bloka i emisije u prijelaznim frekvencijama u slučaju sinkroniziranog rada </w:t>
      </w:r>
    </w:p>
    <w:p w14:paraId="615DDCDC" w14:textId="77777777" w:rsidR="00983266" w:rsidRPr="007A793C" w:rsidRDefault="00983266" w:rsidP="00983266">
      <w:pPr>
        <w:pStyle w:val="ListParagraph"/>
        <w:numPr>
          <w:ilvl w:val="0"/>
          <w:numId w:val="7"/>
        </w:numPr>
        <w:spacing w:after="0"/>
        <w:jc w:val="both"/>
      </w:pPr>
      <w:r w:rsidRPr="007A793C">
        <w:t xml:space="preserve">U slučaju odstupanja od zadane strukture okvira obvezna je primjena restriktivne unutarpojasne emisija izvan bloka za slučaj nesinkroniziranog i polusinkroniziranog rada. </w:t>
      </w:r>
    </w:p>
    <w:p w14:paraId="3C229A4F" w14:textId="703486BB" w:rsidR="00E10687" w:rsidRPr="00A02958" w:rsidRDefault="00983266" w:rsidP="00A02958">
      <w:pPr>
        <w:pStyle w:val="ListParagraph"/>
        <w:numPr>
          <w:ilvl w:val="0"/>
          <w:numId w:val="7"/>
        </w:numPr>
        <w:ind w:left="714" w:hanging="357"/>
        <w:jc w:val="both"/>
        <w:rPr>
          <w:b/>
        </w:rPr>
      </w:pPr>
      <w:r w:rsidRPr="007A793C">
        <w:t>U slučaju odstupanja od zadane strukture okvira, svako moguće ograničenje snage na pojedinom frekvencijskom bloku ili uporaba zaštitnog pojasa primjenjuje se unutar frekvencijskog spektra dodijeljenog operatoru koji odstupa od zadane strukture</w:t>
      </w:r>
      <w:r>
        <w:rPr>
          <w:b/>
        </w:rPr>
        <w:t>.</w:t>
      </w:r>
    </w:p>
    <w:p w14:paraId="5B3CEA43" w14:textId="4004E23C" w:rsidR="002758AB" w:rsidRDefault="00DD215C" w:rsidP="00B03ABC">
      <w:pPr>
        <w:pStyle w:val="Heading2"/>
        <w:spacing w:before="0" w:after="240"/>
        <w:ind w:firstLine="357"/>
      </w:pPr>
      <w:bookmarkStart w:id="15" w:name="_Toc19714498"/>
      <w:r>
        <w:lastRenderedPageBreak/>
        <w:t xml:space="preserve">3.2. </w:t>
      </w:r>
      <w:r w:rsidR="00786BFD">
        <w:t>Vremenski raspored dodjela</w:t>
      </w:r>
      <w:bookmarkEnd w:id="15"/>
    </w:p>
    <w:p w14:paraId="4AF3EC8C" w14:textId="7F6721E6" w:rsidR="005E5501" w:rsidRDefault="005E5501" w:rsidP="005E5501">
      <w:pPr>
        <w:jc w:val="both"/>
      </w:pPr>
      <w:r>
        <w:t xml:space="preserve">Kako je već navedeno, </w:t>
      </w:r>
      <w:r w:rsidRPr="00E33CBF">
        <w:t xml:space="preserve">države članice moraju omogućiti uporabu </w:t>
      </w:r>
      <w:r w:rsidR="0061158F">
        <w:t>frekvencijskih pojaseva</w:t>
      </w:r>
      <w:r w:rsidR="0052632F">
        <w:t xml:space="preserve"> </w:t>
      </w:r>
      <w:r w:rsidR="0061158F">
        <w:t>3,6 GHz i 26 GHz</w:t>
      </w:r>
      <w:r w:rsidRPr="00E33CBF">
        <w:t xml:space="preserve"> za 5G do 31. prosinca 2020., dok je za </w:t>
      </w:r>
      <w:r w:rsidR="00257FEC">
        <w:t xml:space="preserve">frekvencijski pojas </w:t>
      </w:r>
      <w:r w:rsidRPr="00E33CBF">
        <w:t xml:space="preserve">700 MHz </w:t>
      </w:r>
      <w:r>
        <w:t>rok</w:t>
      </w:r>
      <w:r w:rsidR="00D94A8D">
        <w:t xml:space="preserve"> 30. lipnja 2020, uz mogućnost odgode do dvije godine.</w:t>
      </w:r>
    </w:p>
    <w:p w14:paraId="616D5B8D" w14:textId="7CA68439" w:rsidR="00BA1BB0" w:rsidRDefault="00BA1BB0" w:rsidP="005E5501">
      <w:pPr>
        <w:jc w:val="both"/>
      </w:pPr>
      <w:r w:rsidRPr="00883DFD">
        <w:t>U RH se planira oslobađanje i prenamjena</w:t>
      </w:r>
      <w:r w:rsidR="00257FEC">
        <w:t xml:space="preserve"> frekvencijskog pojasa</w:t>
      </w:r>
      <w:r w:rsidRPr="00883DFD">
        <w:t xml:space="preserve"> 700 MHz u kontinentalnom dijelu Hrvatske najkasnije do listopada 2020., a u priobalnom dijelu najkasnije do listopada 2021. Sukladno uvjetima iz dozvole za uporabu RF spektra za mreže digitalne televizije multipleksa M1, M2 i L1, potpuni prelazak nenaplatne zemaljske televizije bi se trebao realizirati do srpnja 2020., uz isključivanje postojećih mreža multipleksa A, B i D.</w:t>
      </w:r>
    </w:p>
    <w:p w14:paraId="0AC69965" w14:textId="707E3205" w:rsidR="005E5501" w:rsidRPr="0057745F" w:rsidRDefault="005E5501" w:rsidP="00C337CA">
      <w:pPr>
        <w:jc w:val="both"/>
        <w:rPr>
          <w:b/>
        </w:rPr>
      </w:pPr>
      <w:r w:rsidRPr="0057745F">
        <w:rPr>
          <w:b/>
        </w:rPr>
        <w:t xml:space="preserve">HAKOM planira dodijeliti </w:t>
      </w:r>
      <w:r w:rsidR="00257FEC">
        <w:rPr>
          <w:b/>
        </w:rPr>
        <w:t xml:space="preserve">frekvencijske pojaseve </w:t>
      </w:r>
      <w:r w:rsidRPr="0057745F">
        <w:rPr>
          <w:b/>
        </w:rPr>
        <w:t>700 MHz i 3,6 GHz u drugoj polovici 2020</w:t>
      </w:r>
      <w:r w:rsidR="00257FEC">
        <w:rPr>
          <w:b/>
        </w:rPr>
        <w:t>.</w:t>
      </w:r>
      <w:r w:rsidR="002F1CE5">
        <w:rPr>
          <w:b/>
        </w:rPr>
        <w:t xml:space="preserve"> unutar istog postupka</w:t>
      </w:r>
      <w:r w:rsidR="00D56571">
        <w:rPr>
          <w:b/>
        </w:rPr>
        <w:t>.</w:t>
      </w:r>
      <w:r w:rsidR="00A6651F">
        <w:rPr>
          <w:b/>
        </w:rPr>
        <w:t xml:space="preserve"> Frekvencijski pojas 700 MHz će se moći upotrebljavati nakon oslobađanja, a frekvencijski pojas 3,6 GHz od trenutka dodjele. </w:t>
      </w:r>
      <w:r w:rsidRPr="0057745F">
        <w:rPr>
          <w:b/>
        </w:rPr>
        <w:t>Frekvencijski pojas</w:t>
      </w:r>
      <w:r w:rsidR="00E0551A">
        <w:rPr>
          <w:b/>
        </w:rPr>
        <w:t>evi 1500 MHz i</w:t>
      </w:r>
      <w:r w:rsidRPr="0057745F">
        <w:rPr>
          <w:b/>
        </w:rPr>
        <w:t xml:space="preserve"> 26 GHz se planira</w:t>
      </w:r>
      <w:r w:rsidR="00E0551A">
        <w:rPr>
          <w:b/>
        </w:rPr>
        <w:t>ju</w:t>
      </w:r>
      <w:r w:rsidRPr="0057745F">
        <w:rPr>
          <w:b/>
        </w:rPr>
        <w:t xml:space="preserve"> dodijeliti </w:t>
      </w:r>
      <w:r w:rsidR="00E0551A">
        <w:rPr>
          <w:b/>
        </w:rPr>
        <w:t>sukladno iskazanom interesu tržišta</w:t>
      </w:r>
      <w:r w:rsidRPr="0057745F">
        <w:rPr>
          <w:b/>
        </w:rPr>
        <w:t>.</w:t>
      </w:r>
    </w:p>
    <w:p w14:paraId="51054BBC" w14:textId="3571E4DB" w:rsidR="002063FB" w:rsidRDefault="00DD215C" w:rsidP="00B03ABC">
      <w:pPr>
        <w:pStyle w:val="Heading2"/>
        <w:spacing w:before="0" w:after="240"/>
        <w:ind w:firstLine="357"/>
      </w:pPr>
      <w:bookmarkStart w:id="16" w:name="_Toc19714499"/>
      <w:r>
        <w:t xml:space="preserve">3.3. </w:t>
      </w:r>
      <w:r w:rsidR="005A7752">
        <w:t>Pitanja</w:t>
      </w:r>
      <w:bookmarkEnd w:id="16"/>
    </w:p>
    <w:p w14:paraId="3CEB9B65" w14:textId="77777777" w:rsidR="00867C63" w:rsidRDefault="00867C63" w:rsidP="00867C63">
      <w:pPr>
        <w:pStyle w:val="ListParagraph"/>
        <w:numPr>
          <w:ilvl w:val="0"/>
          <w:numId w:val="4"/>
        </w:numPr>
        <w:spacing w:after="60"/>
      </w:pPr>
      <w:r w:rsidRPr="00867C63">
        <w:t xml:space="preserve">Slažete li se s predloženim postupkom dodjele? </w:t>
      </w:r>
    </w:p>
    <w:p w14:paraId="096CEC83" w14:textId="35B55978" w:rsidR="005E5501" w:rsidRDefault="005E5501" w:rsidP="00867C63">
      <w:pPr>
        <w:pStyle w:val="ListParagraph"/>
        <w:numPr>
          <w:ilvl w:val="0"/>
          <w:numId w:val="4"/>
        </w:numPr>
        <w:spacing w:after="60"/>
      </w:pPr>
      <w:r>
        <w:t xml:space="preserve">Slažete li </w:t>
      </w:r>
      <w:r w:rsidR="00850FCB">
        <w:t xml:space="preserve">se </w:t>
      </w:r>
      <w:r>
        <w:t xml:space="preserve">s </w:t>
      </w:r>
      <w:r w:rsidR="00850FCB">
        <w:t>predložen</w:t>
      </w:r>
      <w:r w:rsidR="00B0149B">
        <w:t>i</w:t>
      </w:r>
      <w:r w:rsidR="00850FCB">
        <w:t xml:space="preserve">m </w:t>
      </w:r>
      <w:r w:rsidR="00B0149B">
        <w:t xml:space="preserve">vremenskim rasporedom </w:t>
      </w:r>
      <w:r>
        <w:t>dodjel</w:t>
      </w:r>
      <w:r w:rsidR="00B0149B">
        <w:t>a</w:t>
      </w:r>
      <w:r>
        <w:t xml:space="preserve"> frekvencijskih pojaseva 700 MHz i 3,6 GHz u drugoj polovici 2020</w:t>
      </w:r>
      <w:r w:rsidR="00D228B1">
        <w:t>.</w:t>
      </w:r>
      <w:r>
        <w:t>?</w:t>
      </w:r>
    </w:p>
    <w:p w14:paraId="32BA19C2" w14:textId="3346AD0C" w:rsidR="005E5501" w:rsidRDefault="00F81BF1" w:rsidP="00CC33C6">
      <w:pPr>
        <w:pStyle w:val="ListParagraph"/>
        <w:numPr>
          <w:ilvl w:val="0"/>
          <w:numId w:val="4"/>
        </w:numPr>
        <w:spacing w:after="120"/>
        <w:ind w:left="1077" w:hanging="357"/>
      </w:pPr>
      <w:r>
        <w:t>Postoji li potreba za dodjelom drugih pojaseva u sklopu istog postupka dodjele?</w:t>
      </w:r>
      <w:r w:rsidR="00D834A7">
        <w:t xml:space="preserve"> </w:t>
      </w:r>
      <w:r w:rsidR="005E5501">
        <w:t>Kada smatrate da je potrebno dodijeliti 26 GHz?</w:t>
      </w:r>
    </w:p>
    <w:p w14:paraId="1B1CE8EC" w14:textId="77777777" w:rsidR="00D834A7" w:rsidRDefault="00B0149B" w:rsidP="00CC33C6">
      <w:pPr>
        <w:pStyle w:val="ListParagraph"/>
        <w:numPr>
          <w:ilvl w:val="0"/>
          <w:numId w:val="4"/>
        </w:numPr>
        <w:spacing w:after="120"/>
        <w:ind w:left="1077" w:hanging="357"/>
      </w:pPr>
      <w:r>
        <w:t>Kada smatrate da je potrebno dodijeliti 1500 MHz?</w:t>
      </w:r>
      <w:r w:rsidR="00D834A7">
        <w:t xml:space="preserve"> </w:t>
      </w:r>
    </w:p>
    <w:p w14:paraId="287AFBD9" w14:textId="2CFBB950" w:rsidR="005E5501" w:rsidRPr="007A793C" w:rsidRDefault="006C551B" w:rsidP="00CC33C6">
      <w:pPr>
        <w:pStyle w:val="ListParagraph"/>
        <w:numPr>
          <w:ilvl w:val="0"/>
          <w:numId w:val="4"/>
        </w:numPr>
        <w:spacing w:after="120"/>
        <w:ind w:left="1077" w:hanging="357"/>
      </w:pPr>
      <w:r>
        <w:t xml:space="preserve">Postoji li interes za dodjelom spektra </w:t>
      </w:r>
      <w:r w:rsidRPr="007A793C">
        <w:t>u frekvencijskom pojasu 700 MHz za potrebe drugih službi osim za MFCN mreže (PPDR, PMSE i M2M)? Ukoliko postoji</w:t>
      </w:r>
      <w:r w:rsidR="00D228B1">
        <w:t>,</w:t>
      </w:r>
      <w:r w:rsidRPr="007A793C">
        <w:t xml:space="preserve"> molimo opis primjene.</w:t>
      </w:r>
    </w:p>
    <w:p w14:paraId="12387ACB" w14:textId="05D077AF" w:rsidR="005445C9" w:rsidRPr="007A793C" w:rsidRDefault="00B0149B" w:rsidP="00CC33C6">
      <w:pPr>
        <w:pStyle w:val="ListParagraph"/>
        <w:numPr>
          <w:ilvl w:val="0"/>
          <w:numId w:val="4"/>
        </w:numPr>
        <w:spacing w:after="120"/>
        <w:ind w:left="1077" w:hanging="357"/>
        <w:jc w:val="both"/>
      </w:pPr>
      <w:r w:rsidRPr="007A793C">
        <w:t xml:space="preserve">Postoji li interes za dodjelom spektra u frekvencijskom pojasu </w:t>
      </w:r>
      <w:r w:rsidR="005445C9" w:rsidRPr="007A793C">
        <w:t>3,6 G</w:t>
      </w:r>
      <w:r w:rsidRPr="007A793C">
        <w:t xml:space="preserve">Hz </w:t>
      </w:r>
      <w:r w:rsidR="005445C9" w:rsidRPr="007A793C">
        <w:t xml:space="preserve">za pružanje usluge </w:t>
      </w:r>
      <w:r w:rsidRPr="007A793C">
        <w:t xml:space="preserve">na </w:t>
      </w:r>
      <w:r w:rsidR="005445C9" w:rsidRPr="007A793C">
        <w:t>razini manjoj od nacionalne (npr. županija ili više susjednih županija)</w:t>
      </w:r>
      <w:r w:rsidRPr="007A793C">
        <w:t xml:space="preserve">? </w:t>
      </w:r>
    </w:p>
    <w:p w14:paraId="111C7B8B" w14:textId="3A0D5A0E" w:rsidR="005E5501" w:rsidRPr="007A793C" w:rsidRDefault="005445C9" w:rsidP="00CC33C6">
      <w:pPr>
        <w:pStyle w:val="ListParagraph"/>
        <w:numPr>
          <w:ilvl w:val="0"/>
          <w:numId w:val="4"/>
        </w:numPr>
        <w:spacing w:after="120"/>
        <w:ind w:left="1077" w:hanging="357"/>
        <w:jc w:val="both"/>
      </w:pPr>
      <w:r w:rsidRPr="007A793C">
        <w:t>Postoji li interes</w:t>
      </w:r>
      <w:r w:rsidR="005E5501" w:rsidRPr="007A793C">
        <w:t xml:space="preserve"> za dodjelom </w:t>
      </w:r>
      <w:r w:rsidRPr="007A793C">
        <w:t>spektra u frekvencijskom pojasu 3,6 GHz</w:t>
      </w:r>
      <w:r w:rsidR="005E5501" w:rsidRPr="007A793C">
        <w:t xml:space="preserve"> za lokalnu/industrijsku primjenu</w:t>
      </w:r>
      <w:r w:rsidR="00276F04" w:rsidRPr="007A793C">
        <w:t xml:space="preserve"> uz izdavanje pojedinačne dozvole na zahtjev (</w:t>
      </w:r>
      <w:r w:rsidRPr="007A793C">
        <w:t>isključuje pružanje komer</w:t>
      </w:r>
      <w:r w:rsidR="00276F04" w:rsidRPr="007A793C">
        <w:t>c</w:t>
      </w:r>
      <w:r w:rsidRPr="007A793C">
        <w:t xml:space="preserve">ijalne usluge putem javnih mreža pokretnih </w:t>
      </w:r>
      <w:r w:rsidRPr="007A793C">
        <w:lastRenderedPageBreak/>
        <w:t>komunikacija</w:t>
      </w:r>
      <w:r w:rsidR="00276F04" w:rsidRPr="007A793C">
        <w:t>)</w:t>
      </w:r>
      <w:r w:rsidRPr="007A793C">
        <w:t>? Ukoliko postoji molimo navesti opis primjene.</w:t>
      </w:r>
    </w:p>
    <w:p w14:paraId="16BB3972" w14:textId="15CE169B" w:rsidR="000600D6" w:rsidRPr="007A793C" w:rsidRDefault="000600D6" w:rsidP="00CC33C6">
      <w:pPr>
        <w:pStyle w:val="ListParagraph"/>
        <w:numPr>
          <w:ilvl w:val="0"/>
          <w:numId w:val="4"/>
        </w:numPr>
        <w:spacing w:after="120"/>
        <w:ind w:left="1077" w:hanging="357"/>
        <w:jc w:val="both"/>
      </w:pPr>
      <w:r w:rsidRPr="007A793C">
        <w:t>Koji dio spektra u frekvencijskom pojasu 3,6 GHz smatrate pogodnim za dodjelu na razini manjoj od nacionalne?</w:t>
      </w:r>
    </w:p>
    <w:p w14:paraId="4710F220" w14:textId="19FA9FF4" w:rsidR="000600D6" w:rsidRPr="007A793C" w:rsidRDefault="000600D6" w:rsidP="00CC33C6">
      <w:pPr>
        <w:pStyle w:val="ListParagraph"/>
        <w:numPr>
          <w:ilvl w:val="0"/>
          <w:numId w:val="4"/>
        </w:numPr>
        <w:spacing w:after="120"/>
        <w:ind w:left="1077" w:hanging="357"/>
        <w:jc w:val="both"/>
      </w:pPr>
      <w:r w:rsidRPr="007A793C">
        <w:t>Koji dio spektra u frekvencijskom pojasu 3,6 GHz smatrate pogodnim za lokalnu/industrijsku primjenu?</w:t>
      </w:r>
    </w:p>
    <w:p w14:paraId="3ED71235" w14:textId="57D4E8CD" w:rsidR="000600D6" w:rsidRPr="007A793C" w:rsidRDefault="000600D6" w:rsidP="00CC33C6">
      <w:pPr>
        <w:pStyle w:val="ListParagraph"/>
        <w:numPr>
          <w:ilvl w:val="0"/>
          <w:numId w:val="4"/>
        </w:numPr>
        <w:spacing w:after="120"/>
        <w:ind w:left="1077" w:hanging="357"/>
        <w:jc w:val="both"/>
      </w:pPr>
      <w:r w:rsidRPr="007A793C">
        <w:t>Slažete li se sa stavom HAKOM-a da nema potrebe za propisivanjem uvjeta za izvanpojasno ograničenje ispod 3400 MHz u skladu s Tablicom 6. provedbene odluk</w:t>
      </w:r>
      <w:r w:rsidR="00A6651F">
        <w:t>e</w:t>
      </w:r>
      <w:r w:rsidRPr="007A793C">
        <w:t xml:space="preserve"> Europske komisije (EU) 2019/235?</w:t>
      </w:r>
    </w:p>
    <w:p w14:paraId="5AB5C071" w14:textId="22C90B7D" w:rsidR="00171BAC" w:rsidRPr="007A793C" w:rsidRDefault="00171BAC" w:rsidP="00CC33C6">
      <w:pPr>
        <w:pStyle w:val="ListParagraph"/>
        <w:numPr>
          <w:ilvl w:val="0"/>
          <w:numId w:val="4"/>
        </w:numPr>
        <w:spacing w:after="120"/>
        <w:ind w:left="1077" w:hanging="357"/>
        <w:jc w:val="both"/>
      </w:pPr>
      <w:r w:rsidRPr="007A793C">
        <w:t xml:space="preserve">Postoji li interes za dodjelom spektra u frekvencijskom pojasu 26 GHz za pružanje usluge </w:t>
      </w:r>
      <w:r w:rsidR="00A6651F">
        <w:t>na razini manjoj od nacionalne (</w:t>
      </w:r>
      <w:r w:rsidRPr="007A793C">
        <w:t>npr. županija ili više susje</w:t>
      </w:r>
      <w:r w:rsidR="009C02E0">
        <w:t>dnih županija)?</w:t>
      </w:r>
    </w:p>
    <w:p w14:paraId="55E9C2F3" w14:textId="3AAA2935" w:rsidR="00171BAC" w:rsidRPr="007A793C" w:rsidRDefault="00B63F77" w:rsidP="00CC33C6">
      <w:pPr>
        <w:pStyle w:val="ListParagraph"/>
        <w:numPr>
          <w:ilvl w:val="0"/>
          <w:numId w:val="4"/>
        </w:numPr>
        <w:spacing w:after="120"/>
        <w:ind w:left="1077" w:hanging="357"/>
        <w:jc w:val="both"/>
      </w:pPr>
      <w:r>
        <w:t>Postoji li interes</w:t>
      </w:r>
      <w:r w:rsidR="00171BAC" w:rsidRPr="007A793C">
        <w:t xml:space="preserve"> za dodjelom spektra u frekvencijskom pojasu 26 GHz za lokalnu/industrijsku primjenu uz izdavanje pojedinačne dozvole na zahtjev </w:t>
      </w:r>
      <w:r w:rsidR="003E7F42">
        <w:t xml:space="preserve">ili na temelju opće dozvole </w:t>
      </w:r>
      <w:r w:rsidR="00171BAC" w:rsidRPr="007A793C">
        <w:t>(isključuje pružanje komercijalne usluge putem javnih mreža pokretnih komunikacija)? Ukoliko posto</w:t>
      </w:r>
      <w:r w:rsidR="00F76AAD">
        <w:t>ji</w:t>
      </w:r>
      <w:r w:rsidR="00D228B1">
        <w:t>,</w:t>
      </w:r>
      <w:r w:rsidR="00F76AAD">
        <w:t xml:space="preserve"> molimo navesti opis primjene.</w:t>
      </w:r>
    </w:p>
    <w:p w14:paraId="03E8CE3B" w14:textId="01D8E720" w:rsidR="00171BAC" w:rsidRPr="007A793C" w:rsidRDefault="00171BAC" w:rsidP="00CC33C6">
      <w:pPr>
        <w:pStyle w:val="ListParagraph"/>
        <w:numPr>
          <w:ilvl w:val="0"/>
          <w:numId w:val="4"/>
        </w:numPr>
        <w:spacing w:after="120"/>
        <w:ind w:left="1077" w:hanging="357"/>
        <w:jc w:val="both"/>
      </w:pPr>
      <w:r w:rsidRPr="007A793C">
        <w:t>Koji dio spektra u frekvencijskom pojasu 26 GHz smatrate pogodnim za dodjelu na razini manjoj od nacionalne?</w:t>
      </w:r>
    </w:p>
    <w:p w14:paraId="6055F844" w14:textId="77777777" w:rsidR="00171BAC" w:rsidRPr="007A793C" w:rsidRDefault="00171BAC" w:rsidP="00CC33C6">
      <w:pPr>
        <w:pStyle w:val="ListParagraph"/>
        <w:numPr>
          <w:ilvl w:val="0"/>
          <w:numId w:val="4"/>
        </w:numPr>
        <w:spacing w:after="120"/>
        <w:ind w:left="1077" w:hanging="357"/>
        <w:jc w:val="both"/>
      </w:pPr>
      <w:r w:rsidRPr="007A793C">
        <w:t>Koji dio spektra u frekvencijskom pojasu 26 GHz smatrate pogodnim za lokalnu/industrijsku primjenu?</w:t>
      </w:r>
    </w:p>
    <w:p w14:paraId="2A9BAB62" w14:textId="5D22356C" w:rsidR="005E5501" w:rsidRPr="007A793C" w:rsidRDefault="005E5501" w:rsidP="00CC33C6">
      <w:pPr>
        <w:pStyle w:val="ListParagraph"/>
        <w:numPr>
          <w:ilvl w:val="0"/>
          <w:numId w:val="4"/>
        </w:numPr>
        <w:spacing w:after="120"/>
        <w:ind w:left="1077" w:hanging="357"/>
        <w:jc w:val="both"/>
      </w:pPr>
      <w:r w:rsidRPr="007A793C">
        <w:t>Slažete li se sa predloženim rokom valjanosti dozvole?</w:t>
      </w:r>
    </w:p>
    <w:p w14:paraId="7D1894D2" w14:textId="116B32FC" w:rsidR="005E5501" w:rsidRDefault="005E5501" w:rsidP="00462859">
      <w:pPr>
        <w:pStyle w:val="ListParagraph"/>
        <w:numPr>
          <w:ilvl w:val="0"/>
          <w:numId w:val="4"/>
        </w:numPr>
        <w:jc w:val="both"/>
      </w:pPr>
      <w:r w:rsidRPr="007A793C">
        <w:t>Koju</w:t>
      </w:r>
      <w:r>
        <w:t xml:space="preserve"> minimalnu i maksimalnu količinu radiofrekvencijskog spektra smatrate dovoljnom </w:t>
      </w:r>
      <w:r w:rsidR="00F82761">
        <w:t>po</w:t>
      </w:r>
      <w:r w:rsidR="00C574A7">
        <w:t xml:space="preserve"> operator</w:t>
      </w:r>
      <w:r w:rsidR="00F82761">
        <w:t>u</w:t>
      </w:r>
      <w:r w:rsidR="00C574A7">
        <w:t xml:space="preserve"> </w:t>
      </w:r>
      <w:r>
        <w:t>po pojedinom frekvencijskom p</w:t>
      </w:r>
      <w:r w:rsidR="0052632F">
        <w:t>ojas</w:t>
      </w:r>
      <w:r>
        <w:t xml:space="preserve">u? </w:t>
      </w:r>
      <w:r w:rsidR="00C574A7">
        <w:t>Molimo informaciju dostaviti u obliku priložene tablice i po potrebi naznačiti odnose li se podaci za nacionalnu ili regionalnu uporabu u frekvencijskim pojasevima 3,6 GHz i 26 GHz.</w:t>
      </w:r>
    </w:p>
    <w:p w14:paraId="2D448BFA" w14:textId="77777777" w:rsidR="003D5D50" w:rsidRDefault="003D5D50" w:rsidP="003D5D50">
      <w:pPr>
        <w:pStyle w:val="ListParagraph"/>
        <w:ind w:left="1080"/>
        <w:jc w:val="both"/>
      </w:pPr>
    </w:p>
    <w:tbl>
      <w:tblPr>
        <w:tblStyle w:val="TableGrid"/>
        <w:tblW w:w="0" w:type="auto"/>
        <w:tblInd w:w="1080" w:type="dxa"/>
        <w:tblLook w:val="04A0" w:firstRow="1" w:lastRow="0" w:firstColumn="1" w:lastColumn="0" w:noHBand="0" w:noVBand="1"/>
      </w:tblPr>
      <w:tblGrid>
        <w:gridCol w:w="2678"/>
        <w:gridCol w:w="2639"/>
        <w:gridCol w:w="2665"/>
      </w:tblGrid>
      <w:tr w:rsidR="00E83A9F" w14:paraId="3EC5340F" w14:textId="77777777" w:rsidTr="00E83A9F">
        <w:tc>
          <w:tcPr>
            <w:tcW w:w="3020" w:type="dxa"/>
            <w:shd w:val="clear" w:color="auto" w:fill="9CC2E5" w:themeFill="accent1" w:themeFillTint="99"/>
          </w:tcPr>
          <w:p w14:paraId="6C99630B" w14:textId="44539230" w:rsidR="00E83A9F" w:rsidRDefault="00E83A9F" w:rsidP="00E83A9F">
            <w:pPr>
              <w:pStyle w:val="ListParagraph"/>
              <w:ind w:left="0"/>
            </w:pPr>
            <w:r>
              <w:t xml:space="preserve">Frekvencijski pojas </w:t>
            </w:r>
          </w:p>
        </w:tc>
        <w:tc>
          <w:tcPr>
            <w:tcW w:w="3021" w:type="dxa"/>
            <w:shd w:val="clear" w:color="auto" w:fill="9CC2E5" w:themeFill="accent1" w:themeFillTint="99"/>
          </w:tcPr>
          <w:p w14:paraId="537987C5" w14:textId="7BA7860D" w:rsidR="00E83A9F" w:rsidRDefault="00E83A9F" w:rsidP="00E83A9F">
            <w:pPr>
              <w:pStyle w:val="ListParagraph"/>
              <w:ind w:left="0"/>
            </w:pPr>
            <w:r>
              <w:t>Minimalna količina (MHz)</w:t>
            </w:r>
          </w:p>
        </w:tc>
        <w:tc>
          <w:tcPr>
            <w:tcW w:w="3021" w:type="dxa"/>
            <w:shd w:val="clear" w:color="auto" w:fill="9CC2E5" w:themeFill="accent1" w:themeFillTint="99"/>
          </w:tcPr>
          <w:p w14:paraId="785A6442" w14:textId="1E566016" w:rsidR="00E83A9F" w:rsidRDefault="00E83A9F" w:rsidP="00E83A9F">
            <w:pPr>
              <w:pStyle w:val="ListParagraph"/>
              <w:ind w:left="0"/>
            </w:pPr>
            <w:r>
              <w:t>Maksimalna količina (MHz)</w:t>
            </w:r>
          </w:p>
        </w:tc>
      </w:tr>
      <w:tr w:rsidR="00E83A9F" w14:paraId="392368F5" w14:textId="77777777" w:rsidTr="00E83A9F">
        <w:tc>
          <w:tcPr>
            <w:tcW w:w="3020" w:type="dxa"/>
          </w:tcPr>
          <w:p w14:paraId="2E6AF57F" w14:textId="551C137A" w:rsidR="00E83A9F" w:rsidRDefault="00E83A9F" w:rsidP="00E83A9F">
            <w:pPr>
              <w:pStyle w:val="ListParagraph"/>
              <w:ind w:left="0"/>
            </w:pPr>
            <w:r>
              <w:t>700 MHz</w:t>
            </w:r>
          </w:p>
        </w:tc>
        <w:tc>
          <w:tcPr>
            <w:tcW w:w="3021" w:type="dxa"/>
          </w:tcPr>
          <w:p w14:paraId="5858DF01" w14:textId="77777777" w:rsidR="00E83A9F" w:rsidRDefault="00E83A9F" w:rsidP="00E83A9F">
            <w:pPr>
              <w:pStyle w:val="ListParagraph"/>
              <w:ind w:left="0"/>
            </w:pPr>
          </w:p>
        </w:tc>
        <w:tc>
          <w:tcPr>
            <w:tcW w:w="3021" w:type="dxa"/>
          </w:tcPr>
          <w:p w14:paraId="64700958" w14:textId="77777777" w:rsidR="00E83A9F" w:rsidRDefault="00E83A9F" w:rsidP="00E83A9F">
            <w:pPr>
              <w:pStyle w:val="ListParagraph"/>
              <w:ind w:left="0"/>
            </w:pPr>
          </w:p>
        </w:tc>
      </w:tr>
      <w:tr w:rsidR="00E83A9F" w14:paraId="2D828A8D" w14:textId="77777777" w:rsidTr="00E83A9F">
        <w:tc>
          <w:tcPr>
            <w:tcW w:w="3020" w:type="dxa"/>
          </w:tcPr>
          <w:p w14:paraId="1E7E5FBD" w14:textId="31241992" w:rsidR="00E83A9F" w:rsidRDefault="00E83A9F" w:rsidP="00E83A9F">
            <w:pPr>
              <w:pStyle w:val="ListParagraph"/>
              <w:ind w:left="0"/>
            </w:pPr>
            <w:r>
              <w:t>1500 MHz</w:t>
            </w:r>
          </w:p>
        </w:tc>
        <w:tc>
          <w:tcPr>
            <w:tcW w:w="3021" w:type="dxa"/>
          </w:tcPr>
          <w:p w14:paraId="712B9C3D" w14:textId="77777777" w:rsidR="00E83A9F" w:rsidRDefault="00E83A9F" w:rsidP="00E83A9F">
            <w:pPr>
              <w:pStyle w:val="ListParagraph"/>
              <w:ind w:left="0"/>
            </w:pPr>
          </w:p>
        </w:tc>
        <w:tc>
          <w:tcPr>
            <w:tcW w:w="3021" w:type="dxa"/>
          </w:tcPr>
          <w:p w14:paraId="3115D469" w14:textId="77777777" w:rsidR="00E83A9F" w:rsidRDefault="00E83A9F" w:rsidP="00E83A9F">
            <w:pPr>
              <w:pStyle w:val="ListParagraph"/>
              <w:ind w:left="0"/>
            </w:pPr>
          </w:p>
        </w:tc>
      </w:tr>
      <w:tr w:rsidR="00E83A9F" w14:paraId="5BFB1B6B" w14:textId="77777777" w:rsidTr="00E83A9F">
        <w:tc>
          <w:tcPr>
            <w:tcW w:w="3020" w:type="dxa"/>
          </w:tcPr>
          <w:p w14:paraId="040A04DD" w14:textId="7EB6991E" w:rsidR="00E83A9F" w:rsidRDefault="00E83A9F" w:rsidP="00E83A9F">
            <w:pPr>
              <w:pStyle w:val="ListParagraph"/>
              <w:ind w:left="0"/>
            </w:pPr>
            <w:r>
              <w:t>3,6 GHz</w:t>
            </w:r>
          </w:p>
        </w:tc>
        <w:tc>
          <w:tcPr>
            <w:tcW w:w="3021" w:type="dxa"/>
          </w:tcPr>
          <w:p w14:paraId="0F694A43" w14:textId="77777777" w:rsidR="00E83A9F" w:rsidRDefault="00E83A9F" w:rsidP="00E83A9F">
            <w:pPr>
              <w:pStyle w:val="ListParagraph"/>
              <w:ind w:left="0"/>
            </w:pPr>
          </w:p>
        </w:tc>
        <w:tc>
          <w:tcPr>
            <w:tcW w:w="3021" w:type="dxa"/>
          </w:tcPr>
          <w:p w14:paraId="555293C0" w14:textId="77777777" w:rsidR="00E83A9F" w:rsidRDefault="00E83A9F" w:rsidP="00E83A9F">
            <w:pPr>
              <w:pStyle w:val="ListParagraph"/>
              <w:ind w:left="0"/>
            </w:pPr>
          </w:p>
        </w:tc>
      </w:tr>
      <w:tr w:rsidR="00E83A9F" w14:paraId="30F551B5" w14:textId="77777777" w:rsidTr="00E83A9F">
        <w:tc>
          <w:tcPr>
            <w:tcW w:w="3020" w:type="dxa"/>
          </w:tcPr>
          <w:p w14:paraId="4B57BC93" w14:textId="3E1D0DCF" w:rsidR="00E83A9F" w:rsidRDefault="00E83A9F" w:rsidP="00E83A9F">
            <w:pPr>
              <w:pStyle w:val="ListParagraph"/>
              <w:ind w:left="0"/>
            </w:pPr>
            <w:r>
              <w:t>26 GHz</w:t>
            </w:r>
          </w:p>
        </w:tc>
        <w:tc>
          <w:tcPr>
            <w:tcW w:w="3021" w:type="dxa"/>
          </w:tcPr>
          <w:p w14:paraId="7FEA3208" w14:textId="77777777" w:rsidR="00E83A9F" w:rsidRDefault="00E83A9F" w:rsidP="00E83A9F">
            <w:pPr>
              <w:pStyle w:val="ListParagraph"/>
              <w:ind w:left="0"/>
            </w:pPr>
          </w:p>
        </w:tc>
        <w:tc>
          <w:tcPr>
            <w:tcW w:w="3021" w:type="dxa"/>
          </w:tcPr>
          <w:p w14:paraId="568E6CEB" w14:textId="77777777" w:rsidR="00E83A9F" w:rsidRDefault="00E83A9F" w:rsidP="00E83A9F">
            <w:pPr>
              <w:pStyle w:val="ListParagraph"/>
              <w:ind w:left="0"/>
            </w:pPr>
          </w:p>
        </w:tc>
      </w:tr>
    </w:tbl>
    <w:p w14:paraId="1B398EE5" w14:textId="1A7048B6" w:rsidR="003D5D50" w:rsidRDefault="003D5D50" w:rsidP="00DC35EC">
      <w:pPr>
        <w:pStyle w:val="ListParagraph"/>
        <w:ind w:left="1080"/>
        <w:jc w:val="both"/>
      </w:pPr>
    </w:p>
    <w:p w14:paraId="60A2294F" w14:textId="77777777" w:rsidR="003D5D50" w:rsidRDefault="003D5D50">
      <w:r>
        <w:br w:type="page"/>
      </w:r>
    </w:p>
    <w:p w14:paraId="33122DE2" w14:textId="692113A8" w:rsidR="005E5501" w:rsidRDefault="005E5501" w:rsidP="00462859">
      <w:pPr>
        <w:pStyle w:val="ListParagraph"/>
        <w:numPr>
          <w:ilvl w:val="0"/>
          <w:numId w:val="4"/>
        </w:numPr>
        <w:jc w:val="both"/>
      </w:pPr>
      <w:r>
        <w:lastRenderedPageBreak/>
        <w:t>Koju minimalnu i maksimalnu količinu radiofrekvencijskog spektra smatrate dovoljnom za</w:t>
      </w:r>
      <w:r w:rsidR="00C574A7">
        <w:t xml:space="preserve"> pojedinog operatora</w:t>
      </w:r>
      <w:r>
        <w:t xml:space="preserve"> ispod 1 GHz</w:t>
      </w:r>
      <w:r w:rsidR="00E83A9F">
        <w:t xml:space="preserve"> uključujući već dodijeljeni spektar</w:t>
      </w:r>
      <w:r>
        <w:t>?</w:t>
      </w:r>
      <w:r w:rsidR="00462859" w:rsidRPr="00462859">
        <w:t xml:space="preserve"> </w:t>
      </w:r>
      <w:r w:rsidR="00462859">
        <w:t>Molimo informaciju dostaviti u obliku priložene tablice.</w:t>
      </w:r>
    </w:p>
    <w:p w14:paraId="4817A892" w14:textId="77777777" w:rsidR="003D5D50" w:rsidRDefault="003D5D50" w:rsidP="003D5D50">
      <w:pPr>
        <w:pStyle w:val="ListParagraph"/>
        <w:ind w:left="1080"/>
        <w:jc w:val="both"/>
      </w:pPr>
    </w:p>
    <w:tbl>
      <w:tblPr>
        <w:tblStyle w:val="TableGrid"/>
        <w:tblW w:w="0" w:type="auto"/>
        <w:tblInd w:w="1080" w:type="dxa"/>
        <w:tblLook w:val="04A0" w:firstRow="1" w:lastRow="0" w:firstColumn="1" w:lastColumn="0" w:noHBand="0" w:noVBand="1"/>
      </w:tblPr>
      <w:tblGrid>
        <w:gridCol w:w="2682"/>
        <w:gridCol w:w="2637"/>
        <w:gridCol w:w="2663"/>
      </w:tblGrid>
      <w:tr w:rsidR="00E83A9F" w14:paraId="2B75ED12" w14:textId="77777777" w:rsidTr="00CB1300">
        <w:tc>
          <w:tcPr>
            <w:tcW w:w="3020" w:type="dxa"/>
            <w:shd w:val="clear" w:color="auto" w:fill="9CC2E5" w:themeFill="accent1" w:themeFillTint="99"/>
          </w:tcPr>
          <w:p w14:paraId="1EBE4808" w14:textId="4E88B661" w:rsidR="00E83A9F" w:rsidRDefault="00E83A9F" w:rsidP="00CB1300">
            <w:pPr>
              <w:pStyle w:val="ListParagraph"/>
              <w:ind w:left="0"/>
            </w:pPr>
            <w:r>
              <w:t xml:space="preserve">Frekvencijski pojasevi </w:t>
            </w:r>
          </w:p>
        </w:tc>
        <w:tc>
          <w:tcPr>
            <w:tcW w:w="3021" w:type="dxa"/>
            <w:shd w:val="clear" w:color="auto" w:fill="9CC2E5" w:themeFill="accent1" w:themeFillTint="99"/>
          </w:tcPr>
          <w:p w14:paraId="04DE2BAF" w14:textId="77777777" w:rsidR="00E83A9F" w:rsidRDefault="00E83A9F" w:rsidP="00CB1300">
            <w:pPr>
              <w:pStyle w:val="ListParagraph"/>
              <w:ind w:left="0"/>
            </w:pPr>
            <w:r>
              <w:t>Minimalna količina (MHz)</w:t>
            </w:r>
          </w:p>
        </w:tc>
        <w:tc>
          <w:tcPr>
            <w:tcW w:w="3021" w:type="dxa"/>
            <w:shd w:val="clear" w:color="auto" w:fill="9CC2E5" w:themeFill="accent1" w:themeFillTint="99"/>
          </w:tcPr>
          <w:p w14:paraId="5A3E84B5" w14:textId="77777777" w:rsidR="00E83A9F" w:rsidRDefault="00E83A9F" w:rsidP="00CB1300">
            <w:pPr>
              <w:pStyle w:val="ListParagraph"/>
              <w:ind w:left="0"/>
            </w:pPr>
            <w:r>
              <w:t>Maksimalna količina (MHz)</w:t>
            </w:r>
          </w:p>
        </w:tc>
      </w:tr>
      <w:tr w:rsidR="00E83A9F" w14:paraId="1ECD8C36" w14:textId="77777777" w:rsidTr="00CB1300">
        <w:tc>
          <w:tcPr>
            <w:tcW w:w="3020" w:type="dxa"/>
          </w:tcPr>
          <w:p w14:paraId="661492CB" w14:textId="6DC97B01" w:rsidR="00E83A9F" w:rsidRDefault="00E83A9F" w:rsidP="00CB1300">
            <w:pPr>
              <w:pStyle w:val="ListParagraph"/>
              <w:ind w:left="0"/>
            </w:pPr>
            <w:r>
              <w:t>700/800/900 MHz</w:t>
            </w:r>
          </w:p>
        </w:tc>
        <w:tc>
          <w:tcPr>
            <w:tcW w:w="3021" w:type="dxa"/>
          </w:tcPr>
          <w:p w14:paraId="3E506BFC" w14:textId="77777777" w:rsidR="00E83A9F" w:rsidRDefault="00E83A9F" w:rsidP="00CB1300">
            <w:pPr>
              <w:pStyle w:val="ListParagraph"/>
              <w:ind w:left="0"/>
            </w:pPr>
          </w:p>
        </w:tc>
        <w:tc>
          <w:tcPr>
            <w:tcW w:w="3021" w:type="dxa"/>
          </w:tcPr>
          <w:p w14:paraId="2E4B6E27" w14:textId="77777777" w:rsidR="00E83A9F" w:rsidRDefault="00E83A9F" w:rsidP="00CB1300">
            <w:pPr>
              <w:pStyle w:val="ListParagraph"/>
              <w:ind w:left="0"/>
            </w:pPr>
          </w:p>
        </w:tc>
      </w:tr>
    </w:tbl>
    <w:p w14:paraId="0A2BAA7B" w14:textId="77777777" w:rsidR="00DC35EC" w:rsidRDefault="00DC35EC" w:rsidP="00DC35EC">
      <w:pPr>
        <w:pStyle w:val="ListParagraph"/>
        <w:ind w:left="1080"/>
        <w:jc w:val="both"/>
      </w:pPr>
    </w:p>
    <w:p w14:paraId="5B76F8AA" w14:textId="10F2D80F" w:rsidR="005E5501" w:rsidRDefault="005E5501" w:rsidP="00462859">
      <w:pPr>
        <w:pStyle w:val="ListParagraph"/>
        <w:numPr>
          <w:ilvl w:val="0"/>
          <w:numId w:val="4"/>
        </w:numPr>
        <w:jc w:val="both"/>
      </w:pPr>
      <w:r>
        <w:t>Koj</w:t>
      </w:r>
      <w:r w:rsidR="000716ED">
        <w:t xml:space="preserve">e su vaše potrebe za spektrom </w:t>
      </w:r>
      <w:r>
        <w:t>u pojedinom frekvencijskom pojasu?</w:t>
      </w:r>
      <w:r w:rsidR="00462859">
        <w:t xml:space="preserve"> Molimo informaciju dostaviti u obliku priložene tablice i po potrebi naznačiti odnose li se podaci za nacionalnu ili regionalnu uporabu u frekvencijskim pojasevima 3,6 GHz i 26 GHz.</w:t>
      </w:r>
    </w:p>
    <w:p w14:paraId="4EAABFF5" w14:textId="77777777" w:rsidR="003D5D50" w:rsidRDefault="003D5D50" w:rsidP="003D5D50">
      <w:pPr>
        <w:pStyle w:val="ListParagraph"/>
        <w:ind w:left="1080"/>
        <w:jc w:val="both"/>
      </w:pPr>
    </w:p>
    <w:tbl>
      <w:tblPr>
        <w:tblStyle w:val="TableGrid"/>
        <w:tblW w:w="0" w:type="auto"/>
        <w:tblInd w:w="1080" w:type="dxa"/>
        <w:tblLook w:val="04A0" w:firstRow="1" w:lastRow="0" w:firstColumn="1" w:lastColumn="0" w:noHBand="0" w:noVBand="1"/>
      </w:tblPr>
      <w:tblGrid>
        <w:gridCol w:w="2678"/>
        <w:gridCol w:w="3467"/>
      </w:tblGrid>
      <w:tr w:rsidR="00E83A9F" w14:paraId="4DF99655" w14:textId="77777777" w:rsidTr="00E83A9F">
        <w:tc>
          <w:tcPr>
            <w:tcW w:w="2678" w:type="dxa"/>
            <w:shd w:val="clear" w:color="auto" w:fill="9CC2E5" w:themeFill="accent1" w:themeFillTint="99"/>
          </w:tcPr>
          <w:p w14:paraId="360F29D6" w14:textId="77777777" w:rsidR="00E83A9F" w:rsidRDefault="00E83A9F" w:rsidP="00CB1300">
            <w:pPr>
              <w:pStyle w:val="ListParagraph"/>
              <w:ind w:left="0"/>
            </w:pPr>
            <w:r>
              <w:t xml:space="preserve">Frekvencijski pojas </w:t>
            </w:r>
          </w:p>
        </w:tc>
        <w:tc>
          <w:tcPr>
            <w:tcW w:w="3467" w:type="dxa"/>
            <w:shd w:val="clear" w:color="auto" w:fill="9CC2E5" w:themeFill="accent1" w:themeFillTint="99"/>
          </w:tcPr>
          <w:p w14:paraId="7EC4D66C" w14:textId="1799E0FF" w:rsidR="00E83A9F" w:rsidRDefault="00E83A9F" w:rsidP="00CB1300">
            <w:pPr>
              <w:pStyle w:val="ListParagraph"/>
              <w:ind w:left="0"/>
            </w:pPr>
            <w:r>
              <w:t>Potrebna količina spektra (MHz)</w:t>
            </w:r>
          </w:p>
        </w:tc>
      </w:tr>
      <w:tr w:rsidR="00E83A9F" w14:paraId="1042E2B8" w14:textId="77777777" w:rsidTr="00E83A9F">
        <w:tc>
          <w:tcPr>
            <w:tcW w:w="2678" w:type="dxa"/>
          </w:tcPr>
          <w:p w14:paraId="7B092653" w14:textId="77777777" w:rsidR="00E83A9F" w:rsidRDefault="00E83A9F" w:rsidP="00CB1300">
            <w:pPr>
              <w:pStyle w:val="ListParagraph"/>
              <w:ind w:left="0"/>
            </w:pPr>
            <w:r>
              <w:t>700 MHz</w:t>
            </w:r>
          </w:p>
        </w:tc>
        <w:tc>
          <w:tcPr>
            <w:tcW w:w="3467" w:type="dxa"/>
          </w:tcPr>
          <w:p w14:paraId="29102A20" w14:textId="77777777" w:rsidR="00E83A9F" w:rsidRDefault="00E83A9F" w:rsidP="00CB1300">
            <w:pPr>
              <w:pStyle w:val="ListParagraph"/>
              <w:ind w:left="0"/>
            </w:pPr>
          </w:p>
        </w:tc>
      </w:tr>
      <w:tr w:rsidR="00E83A9F" w14:paraId="42E36814" w14:textId="77777777" w:rsidTr="00E83A9F">
        <w:tc>
          <w:tcPr>
            <w:tcW w:w="2678" w:type="dxa"/>
          </w:tcPr>
          <w:p w14:paraId="71005E85" w14:textId="77777777" w:rsidR="00E83A9F" w:rsidRDefault="00E83A9F" w:rsidP="00CB1300">
            <w:pPr>
              <w:pStyle w:val="ListParagraph"/>
              <w:ind w:left="0"/>
            </w:pPr>
            <w:r>
              <w:t>1500 MHz</w:t>
            </w:r>
          </w:p>
        </w:tc>
        <w:tc>
          <w:tcPr>
            <w:tcW w:w="3467" w:type="dxa"/>
          </w:tcPr>
          <w:p w14:paraId="3636FE91" w14:textId="77777777" w:rsidR="00E83A9F" w:rsidRDefault="00E83A9F" w:rsidP="00CB1300">
            <w:pPr>
              <w:pStyle w:val="ListParagraph"/>
              <w:ind w:left="0"/>
            </w:pPr>
          </w:p>
        </w:tc>
      </w:tr>
      <w:tr w:rsidR="00E83A9F" w14:paraId="159E5233" w14:textId="77777777" w:rsidTr="00E83A9F">
        <w:tc>
          <w:tcPr>
            <w:tcW w:w="2678" w:type="dxa"/>
          </w:tcPr>
          <w:p w14:paraId="291C92B8" w14:textId="77777777" w:rsidR="00E83A9F" w:rsidRDefault="00E83A9F" w:rsidP="00CB1300">
            <w:pPr>
              <w:pStyle w:val="ListParagraph"/>
              <w:ind w:left="0"/>
            </w:pPr>
            <w:r>
              <w:t>3,6 GHz</w:t>
            </w:r>
          </w:p>
        </w:tc>
        <w:tc>
          <w:tcPr>
            <w:tcW w:w="3467" w:type="dxa"/>
          </w:tcPr>
          <w:p w14:paraId="48357350" w14:textId="77777777" w:rsidR="00E83A9F" w:rsidRDefault="00E83A9F" w:rsidP="00CB1300">
            <w:pPr>
              <w:pStyle w:val="ListParagraph"/>
              <w:ind w:left="0"/>
            </w:pPr>
          </w:p>
        </w:tc>
      </w:tr>
      <w:tr w:rsidR="00E83A9F" w14:paraId="23C4C821" w14:textId="77777777" w:rsidTr="00E83A9F">
        <w:tc>
          <w:tcPr>
            <w:tcW w:w="2678" w:type="dxa"/>
          </w:tcPr>
          <w:p w14:paraId="75C42BE4" w14:textId="77777777" w:rsidR="00E83A9F" w:rsidRDefault="00E83A9F" w:rsidP="00CB1300">
            <w:pPr>
              <w:pStyle w:val="ListParagraph"/>
              <w:ind w:left="0"/>
            </w:pPr>
            <w:r>
              <w:t>26 GHz</w:t>
            </w:r>
          </w:p>
        </w:tc>
        <w:tc>
          <w:tcPr>
            <w:tcW w:w="3467" w:type="dxa"/>
          </w:tcPr>
          <w:p w14:paraId="01D4C0F8" w14:textId="77777777" w:rsidR="00E83A9F" w:rsidRDefault="00E83A9F" w:rsidP="00CB1300">
            <w:pPr>
              <w:pStyle w:val="ListParagraph"/>
              <w:ind w:left="0"/>
            </w:pPr>
          </w:p>
        </w:tc>
      </w:tr>
    </w:tbl>
    <w:p w14:paraId="4837E881" w14:textId="77777777" w:rsidR="00DC35EC" w:rsidRDefault="00DC35EC" w:rsidP="00DC35EC">
      <w:pPr>
        <w:pStyle w:val="ListParagraph"/>
        <w:ind w:left="1080"/>
      </w:pPr>
    </w:p>
    <w:p w14:paraId="5583C285" w14:textId="0792E875" w:rsidR="005E5501" w:rsidRDefault="005E5501" w:rsidP="00CC33C6">
      <w:pPr>
        <w:pStyle w:val="ListParagraph"/>
        <w:numPr>
          <w:ilvl w:val="0"/>
          <w:numId w:val="4"/>
        </w:numPr>
      </w:pPr>
      <w:r>
        <w:t>Slažete li se s prijedlogom sinkronizacije?</w:t>
      </w:r>
      <w:r w:rsidR="000716ED">
        <w:t xml:space="preserve"> Ukoliko se ne slažete</w:t>
      </w:r>
      <w:r w:rsidR="00DC35EC">
        <w:t>,</w:t>
      </w:r>
      <w:r w:rsidR="000716ED">
        <w:t xml:space="preserve"> molimo obrazložite.</w:t>
      </w:r>
    </w:p>
    <w:p w14:paraId="7E302689" w14:textId="7862B34B" w:rsidR="00F05B80" w:rsidRDefault="00F05B80" w:rsidP="00F05B80">
      <w:pPr>
        <w:pStyle w:val="ListParagraph"/>
        <w:numPr>
          <w:ilvl w:val="0"/>
          <w:numId w:val="4"/>
        </w:numPr>
        <w:jc w:val="both"/>
      </w:pPr>
      <w:r>
        <w:t>Planirate li frekvencijske pojaseve 700 MHz, 3,6 GHz i 26 GHz upotrebljavati isključivo za 5G tehnologiju od početka dodjele? Ukoliko ne, molimo navedite u kojem vremenskom periodu planirate uvesti 5G tehnologiju u pojedini frekvencijski pojas.</w:t>
      </w:r>
    </w:p>
    <w:p w14:paraId="7F6C66C4" w14:textId="2B6487F4" w:rsidR="006955E7" w:rsidRDefault="005E5501" w:rsidP="00462859">
      <w:pPr>
        <w:pStyle w:val="ListParagraph"/>
        <w:numPr>
          <w:ilvl w:val="0"/>
          <w:numId w:val="4"/>
        </w:numPr>
        <w:jc w:val="both"/>
      </w:pPr>
      <w:r>
        <w:t xml:space="preserve">Ukoliko ste postojeći operator, planirate li u bližoj budućnosti upotrebljavati već dodijeljeni radiofrekvencijski spektar za 5G? </w:t>
      </w:r>
      <w:r w:rsidR="005765D1">
        <w:t>Molimo navedite koje dijelove spektra</w:t>
      </w:r>
      <w:r w:rsidR="002F45A7">
        <w:t>.</w:t>
      </w:r>
    </w:p>
    <w:p w14:paraId="7CAF5C52" w14:textId="77777777" w:rsidR="001A2A92" w:rsidRPr="001A2A92" w:rsidRDefault="001A2A92" w:rsidP="001A2A92"/>
    <w:sectPr w:rsidR="001A2A92" w:rsidRPr="001A2A9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0BAB" w14:textId="77777777" w:rsidR="0035296F" w:rsidRDefault="0035296F" w:rsidP="00DD215C">
      <w:pPr>
        <w:spacing w:after="0" w:line="240" w:lineRule="auto"/>
      </w:pPr>
      <w:r>
        <w:separator/>
      </w:r>
    </w:p>
  </w:endnote>
  <w:endnote w:type="continuationSeparator" w:id="0">
    <w:p w14:paraId="7CDBF62B" w14:textId="77777777" w:rsidR="0035296F" w:rsidRDefault="0035296F" w:rsidP="00DD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169885"/>
      <w:docPartObj>
        <w:docPartGallery w:val="Page Numbers (Bottom of Page)"/>
        <w:docPartUnique/>
      </w:docPartObj>
    </w:sdtPr>
    <w:sdtEndPr>
      <w:rPr>
        <w:noProof/>
      </w:rPr>
    </w:sdtEndPr>
    <w:sdtContent>
      <w:p w14:paraId="6CF33498" w14:textId="77777777" w:rsidR="00CB1300" w:rsidRDefault="00CB1300">
        <w:pPr>
          <w:pStyle w:val="Footer"/>
          <w:jc w:val="right"/>
        </w:pPr>
        <w:r>
          <w:fldChar w:fldCharType="begin"/>
        </w:r>
        <w:r>
          <w:instrText xml:space="preserve"> PAGE   \* MERGEFORMAT </w:instrText>
        </w:r>
        <w:r>
          <w:fldChar w:fldCharType="separate"/>
        </w:r>
        <w:r w:rsidR="00183E09">
          <w:rPr>
            <w:noProof/>
          </w:rPr>
          <w:t>2</w:t>
        </w:r>
        <w:r>
          <w:rPr>
            <w:noProof/>
          </w:rPr>
          <w:fldChar w:fldCharType="end"/>
        </w:r>
      </w:p>
    </w:sdtContent>
  </w:sdt>
  <w:p w14:paraId="4935AC78" w14:textId="77777777" w:rsidR="00CB1300" w:rsidRDefault="00CB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F1440" w14:textId="77777777" w:rsidR="0035296F" w:rsidRDefault="0035296F" w:rsidP="00DD215C">
      <w:pPr>
        <w:spacing w:after="0" w:line="240" w:lineRule="auto"/>
      </w:pPr>
      <w:r>
        <w:separator/>
      </w:r>
    </w:p>
  </w:footnote>
  <w:footnote w:type="continuationSeparator" w:id="0">
    <w:p w14:paraId="444A1180" w14:textId="77777777" w:rsidR="0035296F" w:rsidRDefault="0035296F" w:rsidP="00DD215C">
      <w:pPr>
        <w:spacing w:after="0" w:line="240" w:lineRule="auto"/>
      </w:pPr>
      <w:r>
        <w:continuationSeparator/>
      </w:r>
    </w:p>
  </w:footnote>
  <w:footnote w:id="1">
    <w:p w14:paraId="34397710" w14:textId="0D70B240" w:rsidR="00CB1300" w:rsidRDefault="00CB1300">
      <w:pPr>
        <w:pStyle w:val="FootnoteText"/>
      </w:pPr>
      <w:r>
        <w:rPr>
          <w:rStyle w:val="FootnoteReference"/>
        </w:rPr>
        <w:footnoteRef/>
      </w:r>
      <w:r>
        <w:t xml:space="preserve"> </w:t>
      </w:r>
      <w:hyperlink r:id="rId1" w:history="1">
        <w:r w:rsidRPr="00954E08">
          <w:rPr>
            <w:rStyle w:val="Hyperlink"/>
          </w:rPr>
          <w:t>https://ec.europa.eu/newsroom/dae/document.cfm?doc_id=17131</w:t>
        </w:r>
      </w:hyperlink>
      <w:r>
        <w:t xml:space="preserve"> </w:t>
      </w:r>
    </w:p>
  </w:footnote>
  <w:footnote w:id="2">
    <w:p w14:paraId="4E8E077A" w14:textId="001DF844" w:rsidR="00CB1300" w:rsidRDefault="00CB1300">
      <w:pPr>
        <w:pStyle w:val="FootnoteText"/>
      </w:pPr>
      <w:r>
        <w:rPr>
          <w:rStyle w:val="FootnoteReference"/>
        </w:rPr>
        <w:footnoteRef/>
      </w:r>
      <w:r>
        <w:t xml:space="preserve"> </w:t>
      </w:r>
      <w:hyperlink r:id="rId2" w:history="1">
        <w:r w:rsidRPr="00954E08">
          <w:rPr>
            <w:rStyle w:val="Hyperlink"/>
          </w:rPr>
          <w:t>https://ec.europa.eu/newsroom/dae/document.cfm?doc_id=17182</w:t>
        </w:r>
      </w:hyperlink>
      <w:r>
        <w:t xml:space="preserve"> </w:t>
      </w:r>
    </w:p>
  </w:footnote>
  <w:footnote w:id="3">
    <w:p w14:paraId="1EEE4B7E" w14:textId="7DA4DC2B" w:rsidR="00CB1300" w:rsidRDefault="00CB1300">
      <w:pPr>
        <w:pStyle w:val="FootnoteText"/>
      </w:pPr>
      <w:r>
        <w:rPr>
          <w:rStyle w:val="FootnoteReference"/>
        </w:rPr>
        <w:footnoteRef/>
      </w:r>
      <w:r>
        <w:t xml:space="preserve"> </w:t>
      </w:r>
      <w:hyperlink r:id="rId3" w:history="1">
        <w:r w:rsidRPr="00954E08">
          <w:rPr>
            <w:rStyle w:val="Hyperlink"/>
          </w:rPr>
          <w:t>https://eur-lex.europa.eu/legal-content/HR/TXT/PDF/?uri=CELEX:32018L1972&amp;from=EN</w:t>
        </w:r>
      </w:hyperlink>
      <w:r>
        <w:t xml:space="preserve"> </w:t>
      </w:r>
    </w:p>
  </w:footnote>
  <w:footnote w:id="4">
    <w:p w14:paraId="1BA17E25" w14:textId="26F57918" w:rsidR="00CB1300" w:rsidRDefault="00CB1300">
      <w:pPr>
        <w:pStyle w:val="FootnoteText"/>
      </w:pPr>
      <w:r>
        <w:rPr>
          <w:rStyle w:val="FootnoteReference"/>
        </w:rPr>
        <w:footnoteRef/>
      </w:r>
      <w:r>
        <w:t xml:space="preserve"> </w:t>
      </w:r>
      <w:hyperlink r:id="rId4" w:history="1">
        <w:r w:rsidRPr="00954E08">
          <w:rPr>
            <w:rStyle w:val="Hyperlink"/>
          </w:rPr>
          <w:t>https://eur-lex.europa.eu/legal-content/HR/TXT/PDF/?uri=CELEX:32016D0687&amp;from=GA</w:t>
        </w:r>
      </w:hyperlink>
      <w:r>
        <w:t xml:space="preserve"> </w:t>
      </w:r>
    </w:p>
  </w:footnote>
  <w:footnote w:id="5">
    <w:p w14:paraId="76CE4500" w14:textId="1021EA0B" w:rsidR="00CB1300" w:rsidRDefault="00CB1300">
      <w:pPr>
        <w:pStyle w:val="FootnoteText"/>
      </w:pPr>
      <w:r>
        <w:rPr>
          <w:rStyle w:val="FootnoteReference"/>
        </w:rPr>
        <w:footnoteRef/>
      </w:r>
      <w:r>
        <w:t xml:space="preserve"> </w:t>
      </w:r>
      <w:hyperlink r:id="rId5" w:history="1">
        <w:r w:rsidRPr="00954E08">
          <w:rPr>
            <w:rStyle w:val="Hyperlink"/>
          </w:rPr>
          <w:t>https://www.ecodocdb.dk/download/837045c3-e8c4/ECCDEC1501.PDF</w:t>
        </w:r>
      </w:hyperlink>
      <w:r>
        <w:t xml:space="preserve"> </w:t>
      </w:r>
    </w:p>
  </w:footnote>
  <w:footnote w:id="6">
    <w:p w14:paraId="1B4E64D7" w14:textId="46AAE14B" w:rsidR="00CB1300" w:rsidRDefault="00CB1300">
      <w:pPr>
        <w:pStyle w:val="FootnoteText"/>
      </w:pPr>
      <w:r>
        <w:rPr>
          <w:rStyle w:val="FootnoteReference"/>
        </w:rPr>
        <w:footnoteRef/>
      </w:r>
      <w:r>
        <w:t xml:space="preserve"> </w:t>
      </w:r>
      <w:hyperlink r:id="rId6" w:history="1">
        <w:r w:rsidRPr="00954E08">
          <w:rPr>
            <w:rStyle w:val="Hyperlink"/>
          </w:rPr>
          <w:t>https://eur-lex.europa.eu/legal-content/HR/TXT/PDF/?uri=CELEX:32015D0750&amp;from=EN</w:t>
        </w:r>
      </w:hyperlink>
      <w:r>
        <w:t xml:space="preserve"> </w:t>
      </w:r>
    </w:p>
  </w:footnote>
  <w:footnote w:id="7">
    <w:p w14:paraId="3D8B2F08" w14:textId="5CEAC66D" w:rsidR="00CB1300" w:rsidRDefault="00CB1300">
      <w:pPr>
        <w:pStyle w:val="FootnoteText"/>
      </w:pPr>
      <w:r>
        <w:rPr>
          <w:rStyle w:val="FootnoteReference"/>
        </w:rPr>
        <w:footnoteRef/>
      </w:r>
      <w:r>
        <w:t xml:space="preserve"> </w:t>
      </w:r>
      <w:hyperlink r:id="rId7" w:history="1">
        <w:r w:rsidRPr="00954E08">
          <w:rPr>
            <w:rStyle w:val="Hyperlink"/>
          </w:rPr>
          <w:t>https://www.ecodocdb.dk/download/ccf1bd32-f898/ECCDec1303.pdf</w:t>
        </w:r>
      </w:hyperlink>
      <w:r>
        <w:t xml:space="preserve"> </w:t>
      </w:r>
    </w:p>
  </w:footnote>
  <w:footnote w:id="8">
    <w:p w14:paraId="1F8F6EBA" w14:textId="640FDC76" w:rsidR="00CB1300" w:rsidRDefault="00CB1300">
      <w:pPr>
        <w:pStyle w:val="FootnoteText"/>
      </w:pPr>
      <w:r>
        <w:rPr>
          <w:rStyle w:val="FootnoteReference"/>
        </w:rPr>
        <w:footnoteRef/>
      </w:r>
      <w:r>
        <w:t xml:space="preserve"> </w:t>
      </w:r>
      <w:hyperlink r:id="rId8" w:history="1">
        <w:r w:rsidRPr="00954E08">
          <w:rPr>
            <w:rStyle w:val="Hyperlink"/>
          </w:rPr>
          <w:t>https://www.ecodocdb.dk/download/4f052b0b-2c6c/ECCDEC1706.pdf</w:t>
        </w:r>
      </w:hyperlink>
      <w:r>
        <w:t xml:space="preserve"> </w:t>
      </w:r>
    </w:p>
  </w:footnote>
  <w:footnote w:id="9">
    <w:p w14:paraId="65CAAD41" w14:textId="7AB537BA" w:rsidR="00843C24" w:rsidRDefault="00843C24">
      <w:pPr>
        <w:pStyle w:val="FootnoteText"/>
      </w:pPr>
      <w:r>
        <w:rPr>
          <w:rStyle w:val="FootnoteReference"/>
        </w:rPr>
        <w:footnoteRef/>
      </w:r>
      <w:r>
        <w:t xml:space="preserve"> </w:t>
      </w:r>
      <w:hyperlink r:id="rId9" w:history="1">
        <w:r w:rsidRPr="00954E08">
          <w:rPr>
            <w:rStyle w:val="Hyperlink"/>
          </w:rPr>
          <w:t>https://eur-lex.europa.eu/legal-content/HR/TXT/PDF/?uri=CELEX:32019D0235&amp;from=EN</w:t>
        </w:r>
      </w:hyperlink>
      <w:r>
        <w:t xml:space="preserve"> </w:t>
      </w:r>
    </w:p>
  </w:footnote>
  <w:footnote w:id="10">
    <w:p w14:paraId="4C33CA4A" w14:textId="68DD72AB" w:rsidR="00843C24" w:rsidRDefault="00843C24">
      <w:pPr>
        <w:pStyle w:val="FootnoteText"/>
      </w:pPr>
      <w:r>
        <w:rPr>
          <w:rStyle w:val="FootnoteReference"/>
        </w:rPr>
        <w:footnoteRef/>
      </w:r>
      <w:r>
        <w:t xml:space="preserve"> </w:t>
      </w:r>
      <w:hyperlink r:id="rId10" w:history="1">
        <w:r w:rsidRPr="00954E08">
          <w:rPr>
            <w:rStyle w:val="Hyperlink"/>
          </w:rPr>
          <w:t>https://www.ecodocdb.dk/download/34f57e2a-1c04/ECCDEC1106.PDF</w:t>
        </w:r>
      </w:hyperlink>
      <w:r>
        <w:t xml:space="preserve"> </w:t>
      </w:r>
    </w:p>
  </w:footnote>
  <w:footnote w:id="11">
    <w:p w14:paraId="707BA79A" w14:textId="1D858FC3" w:rsidR="005B3090" w:rsidRDefault="005B3090">
      <w:pPr>
        <w:pStyle w:val="FootnoteText"/>
      </w:pPr>
      <w:r>
        <w:rPr>
          <w:rStyle w:val="FootnoteReference"/>
        </w:rPr>
        <w:footnoteRef/>
      </w:r>
      <w:r>
        <w:t xml:space="preserve"> </w:t>
      </w:r>
      <w:hyperlink r:id="rId11" w:history="1">
        <w:r w:rsidRPr="00954E08">
          <w:rPr>
            <w:rStyle w:val="Hyperlink"/>
          </w:rPr>
          <w:t>https://eur-lex.europa.eu/legal-content/HR/TXT/PDF/?uri=CELEX:32019D0784&amp;from=EN</w:t>
        </w:r>
      </w:hyperlink>
      <w:r>
        <w:t xml:space="preserve"> </w:t>
      </w:r>
    </w:p>
  </w:footnote>
  <w:footnote w:id="12">
    <w:p w14:paraId="0642E9EB" w14:textId="0CCDAA01" w:rsidR="005B3090" w:rsidRDefault="005B3090">
      <w:pPr>
        <w:pStyle w:val="FootnoteText"/>
      </w:pPr>
      <w:r>
        <w:rPr>
          <w:rStyle w:val="FootnoteReference"/>
        </w:rPr>
        <w:footnoteRef/>
      </w:r>
      <w:r>
        <w:t xml:space="preserve"> </w:t>
      </w:r>
      <w:hyperlink r:id="rId12" w:history="1">
        <w:r w:rsidRPr="00954E08">
          <w:rPr>
            <w:rStyle w:val="Hyperlink"/>
          </w:rPr>
          <w:t>https://www.ecodocdb.dk/download/5e74d0b8-fbab/ECCDec1806.pdf</w:t>
        </w:r>
      </w:hyperlink>
      <w:r>
        <w:t xml:space="preserve"> </w:t>
      </w:r>
    </w:p>
  </w:footnote>
  <w:footnote w:id="13">
    <w:p w14:paraId="5CAE4DDA" w14:textId="5BFD197D" w:rsidR="00C85ADA" w:rsidRDefault="00C85ADA">
      <w:pPr>
        <w:pStyle w:val="FootnoteText"/>
      </w:pPr>
      <w:r>
        <w:rPr>
          <w:rStyle w:val="FootnoteReference"/>
        </w:rPr>
        <w:footnoteRef/>
      </w:r>
      <w:r>
        <w:t xml:space="preserve"> </w:t>
      </w:r>
      <w:hyperlink r:id="rId13" w:history="1">
        <w:r w:rsidRPr="00954E08">
          <w:rPr>
            <w:rStyle w:val="Hyperlink"/>
          </w:rPr>
          <w:t>https://www.hakom.hr/UserDocsImages/2017/propisi/ZEK-pročišćeni%202017.pdf</w:t>
        </w:r>
      </w:hyperlink>
      <w:r>
        <w:t xml:space="preserve"> </w:t>
      </w:r>
    </w:p>
  </w:footnote>
  <w:footnote w:id="14">
    <w:p w14:paraId="7CB9A6D6" w14:textId="42277B1E" w:rsidR="00C85ADA" w:rsidRDefault="00C85ADA">
      <w:pPr>
        <w:pStyle w:val="FootnoteText"/>
      </w:pPr>
      <w:r>
        <w:rPr>
          <w:rStyle w:val="FootnoteReference"/>
        </w:rPr>
        <w:footnoteRef/>
      </w:r>
      <w:r>
        <w:t xml:space="preserve"> </w:t>
      </w:r>
      <w:hyperlink r:id="rId14" w:history="1">
        <w:r w:rsidRPr="00954E08">
          <w:rPr>
            <w:rStyle w:val="Hyperlink"/>
          </w:rPr>
          <w:t>https://www.hakom.hr/UserDocsImages/2017/propisi/Pročišćeni-Pravilnik%20o%20rf%20spektru-20171110.pdf</w:t>
        </w:r>
      </w:hyperlink>
      <w:r>
        <w:t xml:space="preserve"> </w:t>
      </w:r>
    </w:p>
  </w:footnote>
  <w:footnote w:id="15">
    <w:p w14:paraId="6FEA546C" w14:textId="34A8ACD4" w:rsidR="00A567C0" w:rsidRDefault="00A567C0">
      <w:pPr>
        <w:pStyle w:val="FootnoteText"/>
      </w:pPr>
      <w:r>
        <w:rPr>
          <w:rStyle w:val="FootnoteReference"/>
        </w:rPr>
        <w:footnoteRef/>
      </w:r>
      <w:r>
        <w:t xml:space="preserve"> </w:t>
      </w:r>
      <w:hyperlink r:id="rId15" w:history="1">
        <w:r w:rsidRPr="00D922CE">
          <w:rPr>
            <w:rStyle w:val="Hyperlink"/>
          </w:rPr>
          <w:t>https://www.hakom.hr/default.aspx?id=594</w:t>
        </w:r>
      </w:hyperlink>
      <w:r>
        <w:rPr>
          <w:rStyle w:val="Hyperlink"/>
        </w:rPr>
        <w:t xml:space="preserve"> </w:t>
      </w:r>
    </w:p>
  </w:footnote>
  <w:footnote w:id="16">
    <w:p w14:paraId="54E7BD47" w14:textId="78771A9B" w:rsidR="00A567C0" w:rsidRDefault="00A567C0">
      <w:pPr>
        <w:pStyle w:val="FootnoteText"/>
      </w:pPr>
      <w:r>
        <w:rPr>
          <w:rStyle w:val="FootnoteReference"/>
        </w:rPr>
        <w:footnoteRef/>
      </w:r>
      <w:r>
        <w:t xml:space="preserve"> </w:t>
      </w:r>
      <w:hyperlink r:id="rId16" w:history="1">
        <w:r w:rsidRPr="009069EA">
          <w:rPr>
            <w:rStyle w:val="Hyperlink"/>
          </w:rPr>
          <w:t>https://www.hakom.hr/UserDocsImages/2018/radiokomunikacije/700MHz-20180219.pdf</w:t>
        </w:r>
      </w:hyperlink>
    </w:p>
  </w:footnote>
  <w:footnote w:id="17">
    <w:p w14:paraId="2178EE9F" w14:textId="62AA24F4" w:rsidR="00A567C0" w:rsidRDefault="00A567C0">
      <w:pPr>
        <w:pStyle w:val="FootnoteText"/>
      </w:pPr>
      <w:r>
        <w:rPr>
          <w:rStyle w:val="FootnoteReference"/>
        </w:rPr>
        <w:footnoteRef/>
      </w:r>
      <w:r>
        <w:t xml:space="preserve"> </w:t>
      </w:r>
      <w:hyperlink r:id="rId17" w:history="1">
        <w:r w:rsidRPr="00E355CA">
          <w:rPr>
            <w:rStyle w:val="Hyperlink"/>
          </w:rPr>
          <w:t>https://www.hakom.hr/UserDocsImages/2015/radiokomunikacije/HRV_AUT_HNG_SRB_SVK_SVN_Techical_agreement_Terrestrial_Systems_EC_3400_3800_MHz_2015.pdf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700"/>
    <w:multiLevelType w:val="hybridMultilevel"/>
    <w:tmpl w:val="CB90D0AE"/>
    <w:lvl w:ilvl="0" w:tplc="9BF238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C7E471E"/>
    <w:multiLevelType w:val="hybridMultilevel"/>
    <w:tmpl w:val="E3DCFC22"/>
    <w:lvl w:ilvl="0" w:tplc="1930A11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CB54C7"/>
    <w:multiLevelType w:val="hybridMultilevel"/>
    <w:tmpl w:val="196E03E0"/>
    <w:lvl w:ilvl="0" w:tplc="AA866E3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0A4497"/>
    <w:multiLevelType w:val="hybridMultilevel"/>
    <w:tmpl w:val="0DE2F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472841"/>
    <w:multiLevelType w:val="hybridMultilevel"/>
    <w:tmpl w:val="0E948292"/>
    <w:lvl w:ilvl="0" w:tplc="F746028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F75933"/>
    <w:multiLevelType w:val="hybridMultilevel"/>
    <w:tmpl w:val="7690F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61512AD"/>
    <w:multiLevelType w:val="multilevel"/>
    <w:tmpl w:val="7ECA7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6C280C"/>
    <w:multiLevelType w:val="hybridMultilevel"/>
    <w:tmpl w:val="3A869B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365FCD"/>
    <w:multiLevelType w:val="hybridMultilevel"/>
    <w:tmpl w:val="ED22F53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735D076E"/>
    <w:multiLevelType w:val="hybridMultilevel"/>
    <w:tmpl w:val="83F4AC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0"/>
  </w:num>
  <w:num w:numId="5">
    <w:abstractNumId w:val="7"/>
  </w:num>
  <w:num w:numId="6">
    <w:abstractNumId w:val="2"/>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92"/>
    <w:rsid w:val="00010051"/>
    <w:rsid w:val="00016EC9"/>
    <w:rsid w:val="000274A7"/>
    <w:rsid w:val="00027862"/>
    <w:rsid w:val="000600D6"/>
    <w:rsid w:val="00060339"/>
    <w:rsid w:val="00061213"/>
    <w:rsid w:val="000716ED"/>
    <w:rsid w:val="00077E28"/>
    <w:rsid w:val="00083540"/>
    <w:rsid w:val="000917E0"/>
    <w:rsid w:val="00093283"/>
    <w:rsid w:val="00097598"/>
    <w:rsid w:val="000B0971"/>
    <w:rsid w:val="000C3653"/>
    <w:rsid w:val="000C53D1"/>
    <w:rsid w:val="000C5B05"/>
    <w:rsid w:val="000D194B"/>
    <w:rsid w:val="000E1F09"/>
    <w:rsid w:val="000E64CA"/>
    <w:rsid w:val="001149A4"/>
    <w:rsid w:val="00115A2E"/>
    <w:rsid w:val="00121235"/>
    <w:rsid w:val="00135DC9"/>
    <w:rsid w:val="00153823"/>
    <w:rsid w:val="00161E9E"/>
    <w:rsid w:val="00171BAC"/>
    <w:rsid w:val="00173FA9"/>
    <w:rsid w:val="00183E09"/>
    <w:rsid w:val="001A2A92"/>
    <w:rsid w:val="001A5162"/>
    <w:rsid w:val="001B635D"/>
    <w:rsid w:val="001D0D55"/>
    <w:rsid w:val="001D22C3"/>
    <w:rsid w:val="001D2BB2"/>
    <w:rsid w:val="001E0185"/>
    <w:rsid w:val="001F38FC"/>
    <w:rsid w:val="00204B0C"/>
    <w:rsid w:val="002063FB"/>
    <w:rsid w:val="0022077D"/>
    <w:rsid w:val="002275ED"/>
    <w:rsid w:val="00236A53"/>
    <w:rsid w:val="00257FEC"/>
    <w:rsid w:val="00266E87"/>
    <w:rsid w:val="002758AB"/>
    <w:rsid w:val="00276F04"/>
    <w:rsid w:val="00284DDD"/>
    <w:rsid w:val="002901B5"/>
    <w:rsid w:val="002A3EA7"/>
    <w:rsid w:val="002B3DB1"/>
    <w:rsid w:val="002C697B"/>
    <w:rsid w:val="002C6AF9"/>
    <w:rsid w:val="002D428F"/>
    <w:rsid w:val="002E5A03"/>
    <w:rsid w:val="002F1CE5"/>
    <w:rsid w:val="002F45A7"/>
    <w:rsid w:val="00316A1A"/>
    <w:rsid w:val="003428EB"/>
    <w:rsid w:val="00342E7C"/>
    <w:rsid w:val="0034375C"/>
    <w:rsid w:val="00347ABF"/>
    <w:rsid w:val="00351DDB"/>
    <w:rsid w:val="0035296F"/>
    <w:rsid w:val="00364274"/>
    <w:rsid w:val="003734E9"/>
    <w:rsid w:val="00373B79"/>
    <w:rsid w:val="00375124"/>
    <w:rsid w:val="00387593"/>
    <w:rsid w:val="003A610B"/>
    <w:rsid w:val="003B1BE9"/>
    <w:rsid w:val="003B305B"/>
    <w:rsid w:val="003C3405"/>
    <w:rsid w:val="003D5D50"/>
    <w:rsid w:val="003D5E46"/>
    <w:rsid w:val="003E2DB6"/>
    <w:rsid w:val="003E7F42"/>
    <w:rsid w:val="0040235A"/>
    <w:rsid w:val="00403385"/>
    <w:rsid w:val="00407F5B"/>
    <w:rsid w:val="004224A0"/>
    <w:rsid w:val="00441B1F"/>
    <w:rsid w:val="00443096"/>
    <w:rsid w:val="00462859"/>
    <w:rsid w:val="00480623"/>
    <w:rsid w:val="0048162D"/>
    <w:rsid w:val="00494095"/>
    <w:rsid w:val="004963CB"/>
    <w:rsid w:val="004A1FA3"/>
    <w:rsid w:val="004B3AAE"/>
    <w:rsid w:val="004C02E2"/>
    <w:rsid w:val="004F7761"/>
    <w:rsid w:val="00502A4F"/>
    <w:rsid w:val="00514AF7"/>
    <w:rsid w:val="00520D72"/>
    <w:rsid w:val="0052632F"/>
    <w:rsid w:val="0053637B"/>
    <w:rsid w:val="00543795"/>
    <w:rsid w:val="005445C9"/>
    <w:rsid w:val="00545153"/>
    <w:rsid w:val="00573C81"/>
    <w:rsid w:val="00575198"/>
    <w:rsid w:val="005765D1"/>
    <w:rsid w:val="00576F8D"/>
    <w:rsid w:val="0058010D"/>
    <w:rsid w:val="00585F4B"/>
    <w:rsid w:val="005A6A02"/>
    <w:rsid w:val="005A7752"/>
    <w:rsid w:val="005B036D"/>
    <w:rsid w:val="005B3090"/>
    <w:rsid w:val="005C214A"/>
    <w:rsid w:val="005E5501"/>
    <w:rsid w:val="005F5913"/>
    <w:rsid w:val="005F64DD"/>
    <w:rsid w:val="0061158F"/>
    <w:rsid w:val="00613AEA"/>
    <w:rsid w:val="00622250"/>
    <w:rsid w:val="006449AD"/>
    <w:rsid w:val="00647021"/>
    <w:rsid w:val="00662A4A"/>
    <w:rsid w:val="00694341"/>
    <w:rsid w:val="006955E7"/>
    <w:rsid w:val="006B3557"/>
    <w:rsid w:val="006C551B"/>
    <w:rsid w:val="006C5E63"/>
    <w:rsid w:val="006C5EA4"/>
    <w:rsid w:val="006D3617"/>
    <w:rsid w:val="006E37B6"/>
    <w:rsid w:val="006E6F7E"/>
    <w:rsid w:val="006E78F6"/>
    <w:rsid w:val="006F4D57"/>
    <w:rsid w:val="0071651D"/>
    <w:rsid w:val="00722D14"/>
    <w:rsid w:val="00762987"/>
    <w:rsid w:val="00780CA5"/>
    <w:rsid w:val="00786BFD"/>
    <w:rsid w:val="0079640F"/>
    <w:rsid w:val="007A5B0D"/>
    <w:rsid w:val="007A793C"/>
    <w:rsid w:val="007B294F"/>
    <w:rsid w:val="007B416A"/>
    <w:rsid w:val="007C68BB"/>
    <w:rsid w:val="007E55BA"/>
    <w:rsid w:val="007F7CE8"/>
    <w:rsid w:val="007F7E9C"/>
    <w:rsid w:val="0080402D"/>
    <w:rsid w:val="0080576B"/>
    <w:rsid w:val="00821A2B"/>
    <w:rsid w:val="008224C6"/>
    <w:rsid w:val="0082620E"/>
    <w:rsid w:val="00835626"/>
    <w:rsid w:val="0083588A"/>
    <w:rsid w:val="00843C24"/>
    <w:rsid w:val="00845695"/>
    <w:rsid w:val="00846BDB"/>
    <w:rsid w:val="00850425"/>
    <w:rsid w:val="00850FCB"/>
    <w:rsid w:val="00856464"/>
    <w:rsid w:val="00864316"/>
    <w:rsid w:val="00867C63"/>
    <w:rsid w:val="00870905"/>
    <w:rsid w:val="00883DFD"/>
    <w:rsid w:val="00891B82"/>
    <w:rsid w:val="008B522E"/>
    <w:rsid w:val="008C1289"/>
    <w:rsid w:val="008C1D13"/>
    <w:rsid w:val="008E511B"/>
    <w:rsid w:val="008F66E7"/>
    <w:rsid w:val="00917C5B"/>
    <w:rsid w:val="0092084B"/>
    <w:rsid w:val="00924A44"/>
    <w:rsid w:val="00936A73"/>
    <w:rsid w:val="00946FEA"/>
    <w:rsid w:val="009500B0"/>
    <w:rsid w:val="00960EBA"/>
    <w:rsid w:val="00983266"/>
    <w:rsid w:val="00986B35"/>
    <w:rsid w:val="009912CE"/>
    <w:rsid w:val="009A5AF4"/>
    <w:rsid w:val="009A6932"/>
    <w:rsid w:val="009B0505"/>
    <w:rsid w:val="009B436C"/>
    <w:rsid w:val="009C02E0"/>
    <w:rsid w:val="009D352F"/>
    <w:rsid w:val="009D46CA"/>
    <w:rsid w:val="009D78D2"/>
    <w:rsid w:val="009E0BCD"/>
    <w:rsid w:val="009E214D"/>
    <w:rsid w:val="009F614B"/>
    <w:rsid w:val="009F7491"/>
    <w:rsid w:val="00A02958"/>
    <w:rsid w:val="00A13CF3"/>
    <w:rsid w:val="00A16456"/>
    <w:rsid w:val="00A25642"/>
    <w:rsid w:val="00A31521"/>
    <w:rsid w:val="00A567C0"/>
    <w:rsid w:val="00A57F01"/>
    <w:rsid w:val="00A6651F"/>
    <w:rsid w:val="00A674AE"/>
    <w:rsid w:val="00A90193"/>
    <w:rsid w:val="00A923EA"/>
    <w:rsid w:val="00A9405E"/>
    <w:rsid w:val="00AA61F8"/>
    <w:rsid w:val="00AD7F63"/>
    <w:rsid w:val="00AF5E79"/>
    <w:rsid w:val="00B0149B"/>
    <w:rsid w:val="00B03ABC"/>
    <w:rsid w:val="00B424AC"/>
    <w:rsid w:val="00B47D59"/>
    <w:rsid w:val="00B63F77"/>
    <w:rsid w:val="00B83BC2"/>
    <w:rsid w:val="00B951C2"/>
    <w:rsid w:val="00BA1BB0"/>
    <w:rsid w:val="00BC012D"/>
    <w:rsid w:val="00BC39C4"/>
    <w:rsid w:val="00BC6A37"/>
    <w:rsid w:val="00BD3D3F"/>
    <w:rsid w:val="00BF1B74"/>
    <w:rsid w:val="00C02648"/>
    <w:rsid w:val="00C02CA1"/>
    <w:rsid w:val="00C041A1"/>
    <w:rsid w:val="00C063C2"/>
    <w:rsid w:val="00C07128"/>
    <w:rsid w:val="00C10D7D"/>
    <w:rsid w:val="00C337CA"/>
    <w:rsid w:val="00C41423"/>
    <w:rsid w:val="00C52F5E"/>
    <w:rsid w:val="00C574A7"/>
    <w:rsid w:val="00C731CA"/>
    <w:rsid w:val="00C776BB"/>
    <w:rsid w:val="00C85ADA"/>
    <w:rsid w:val="00C91635"/>
    <w:rsid w:val="00C94E01"/>
    <w:rsid w:val="00C95A55"/>
    <w:rsid w:val="00C96B46"/>
    <w:rsid w:val="00CA7841"/>
    <w:rsid w:val="00CB1300"/>
    <w:rsid w:val="00CC33C6"/>
    <w:rsid w:val="00CC45EF"/>
    <w:rsid w:val="00CD20FE"/>
    <w:rsid w:val="00CE10A4"/>
    <w:rsid w:val="00D170C0"/>
    <w:rsid w:val="00D17121"/>
    <w:rsid w:val="00D20A08"/>
    <w:rsid w:val="00D228B1"/>
    <w:rsid w:val="00D24CBD"/>
    <w:rsid w:val="00D56571"/>
    <w:rsid w:val="00D71BA6"/>
    <w:rsid w:val="00D7379A"/>
    <w:rsid w:val="00D77294"/>
    <w:rsid w:val="00D8136D"/>
    <w:rsid w:val="00D834A7"/>
    <w:rsid w:val="00D94A8D"/>
    <w:rsid w:val="00DB6745"/>
    <w:rsid w:val="00DB7ECB"/>
    <w:rsid w:val="00DC1CC4"/>
    <w:rsid w:val="00DC35EC"/>
    <w:rsid w:val="00DC4C49"/>
    <w:rsid w:val="00DD215C"/>
    <w:rsid w:val="00DE5858"/>
    <w:rsid w:val="00DF2128"/>
    <w:rsid w:val="00E0551A"/>
    <w:rsid w:val="00E10687"/>
    <w:rsid w:val="00E24708"/>
    <w:rsid w:val="00E272A3"/>
    <w:rsid w:val="00E275E0"/>
    <w:rsid w:val="00E310CF"/>
    <w:rsid w:val="00E56918"/>
    <w:rsid w:val="00E65D50"/>
    <w:rsid w:val="00E70C75"/>
    <w:rsid w:val="00E814D9"/>
    <w:rsid w:val="00E81F8B"/>
    <w:rsid w:val="00E83A9F"/>
    <w:rsid w:val="00E9504A"/>
    <w:rsid w:val="00EA7E7C"/>
    <w:rsid w:val="00EC570A"/>
    <w:rsid w:val="00ED3BF6"/>
    <w:rsid w:val="00ED3F2E"/>
    <w:rsid w:val="00ED75AB"/>
    <w:rsid w:val="00EE4792"/>
    <w:rsid w:val="00EF6920"/>
    <w:rsid w:val="00F01210"/>
    <w:rsid w:val="00F05B80"/>
    <w:rsid w:val="00F06C39"/>
    <w:rsid w:val="00F175C6"/>
    <w:rsid w:val="00F2183E"/>
    <w:rsid w:val="00F23B63"/>
    <w:rsid w:val="00F3325E"/>
    <w:rsid w:val="00F346F2"/>
    <w:rsid w:val="00F40632"/>
    <w:rsid w:val="00F422B3"/>
    <w:rsid w:val="00F56F3F"/>
    <w:rsid w:val="00F70F43"/>
    <w:rsid w:val="00F723FE"/>
    <w:rsid w:val="00F76AAD"/>
    <w:rsid w:val="00F81BF1"/>
    <w:rsid w:val="00F82761"/>
    <w:rsid w:val="00F83C7A"/>
    <w:rsid w:val="00F84D7B"/>
    <w:rsid w:val="00F8698E"/>
    <w:rsid w:val="00F87B55"/>
    <w:rsid w:val="00F93503"/>
    <w:rsid w:val="00FB1F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CD51"/>
  <w15:chartTrackingRefBased/>
  <w15:docId w15:val="{5792D366-9920-4DDC-AD0D-50924223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7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7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A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A2A92"/>
    <w:pPr>
      <w:outlineLvl w:val="9"/>
    </w:pPr>
    <w:rPr>
      <w:lang w:val="en-US"/>
    </w:rPr>
  </w:style>
  <w:style w:type="paragraph" w:styleId="ListParagraph">
    <w:name w:val="List Paragraph"/>
    <w:basedOn w:val="Normal"/>
    <w:uiPriority w:val="34"/>
    <w:qFormat/>
    <w:rsid w:val="001A2A92"/>
    <w:pPr>
      <w:ind w:left="720"/>
      <w:contextualSpacing/>
    </w:pPr>
  </w:style>
  <w:style w:type="paragraph" w:styleId="TOC1">
    <w:name w:val="toc 1"/>
    <w:basedOn w:val="Normal"/>
    <w:next w:val="Normal"/>
    <w:autoRedefine/>
    <w:uiPriority w:val="39"/>
    <w:unhideWhenUsed/>
    <w:rsid w:val="000E64CA"/>
    <w:pPr>
      <w:spacing w:after="100"/>
    </w:pPr>
  </w:style>
  <w:style w:type="character" w:styleId="Hyperlink">
    <w:name w:val="Hyperlink"/>
    <w:basedOn w:val="DefaultParagraphFont"/>
    <w:uiPriority w:val="99"/>
    <w:unhideWhenUsed/>
    <w:rsid w:val="000E64CA"/>
    <w:rPr>
      <w:color w:val="0563C1" w:themeColor="hyperlink"/>
      <w:u w:val="single"/>
    </w:rPr>
  </w:style>
  <w:style w:type="character" w:styleId="CommentReference">
    <w:name w:val="annotation reference"/>
    <w:basedOn w:val="DefaultParagraphFont"/>
    <w:uiPriority w:val="99"/>
    <w:semiHidden/>
    <w:unhideWhenUsed/>
    <w:rsid w:val="001D2BB2"/>
    <w:rPr>
      <w:sz w:val="16"/>
      <w:szCs w:val="16"/>
    </w:rPr>
  </w:style>
  <w:style w:type="paragraph" w:styleId="CommentText">
    <w:name w:val="annotation text"/>
    <w:basedOn w:val="Normal"/>
    <w:link w:val="CommentTextChar"/>
    <w:uiPriority w:val="99"/>
    <w:semiHidden/>
    <w:unhideWhenUsed/>
    <w:rsid w:val="001D2BB2"/>
    <w:pPr>
      <w:spacing w:line="240" w:lineRule="auto"/>
    </w:pPr>
    <w:rPr>
      <w:sz w:val="20"/>
      <w:szCs w:val="20"/>
    </w:rPr>
  </w:style>
  <w:style w:type="character" w:customStyle="1" w:styleId="CommentTextChar">
    <w:name w:val="Comment Text Char"/>
    <w:basedOn w:val="DefaultParagraphFont"/>
    <w:link w:val="CommentText"/>
    <w:uiPriority w:val="99"/>
    <w:semiHidden/>
    <w:rsid w:val="001D2BB2"/>
    <w:rPr>
      <w:sz w:val="20"/>
      <w:szCs w:val="20"/>
    </w:rPr>
  </w:style>
  <w:style w:type="paragraph" w:styleId="CommentSubject">
    <w:name w:val="annotation subject"/>
    <w:basedOn w:val="CommentText"/>
    <w:next w:val="CommentText"/>
    <w:link w:val="CommentSubjectChar"/>
    <w:uiPriority w:val="99"/>
    <w:semiHidden/>
    <w:unhideWhenUsed/>
    <w:rsid w:val="001D2BB2"/>
    <w:rPr>
      <w:b/>
      <w:bCs/>
    </w:rPr>
  </w:style>
  <w:style w:type="character" w:customStyle="1" w:styleId="CommentSubjectChar">
    <w:name w:val="Comment Subject Char"/>
    <w:basedOn w:val="CommentTextChar"/>
    <w:link w:val="CommentSubject"/>
    <w:uiPriority w:val="99"/>
    <w:semiHidden/>
    <w:rsid w:val="001D2BB2"/>
    <w:rPr>
      <w:b/>
      <w:bCs/>
      <w:sz w:val="20"/>
      <w:szCs w:val="20"/>
    </w:rPr>
  </w:style>
  <w:style w:type="paragraph" w:styleId="BalloonText">
    <w:name w:val="Balloon Text"/>
    <w:basedOn w:val="Normal"/>
    <w:link w:val="BalloonTextChar"/>
    <w:uiPriority w:val="99"/>
    <w:semiHidden/>
    <w:unhideWhenUsed/>
    <w:rsid w:val="001D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B2"/>
    <w:rPr>
      <w:rFonts w:ascii="Segoe UI" w:hAnsi="Segoe UI" w:cs="Segoe UI"/>
      <w:sz w:val="18"/>
      <w:szCs w:val="18"/>
    </w:rPr>
  </w:style>
  <w:style w:type="character" w:customStyle="1" w:styleId="Heading2Char">
    <w:name w:val="Heading 2 Char"/>
    <w:basedOn w:val="DefaultParagraphFont"/>
    <w:link w:val="Heading2"/>
    <w:uiPriority w:val="9"/>
    <w:rsid w:val="00A57F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7F0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A57F01"/>
    <w:pPr>
      <w:spacing w:after="100"/>
      <w:ind w:left="220"/>
    </w:pPr>
  </w:style>
  <w:style w:type="paragraph" w:styleId="TOC3">
    <w:name w:val="toc 3"/>
    <w:basedOn w:val="Normal"/>
    <w:next w:val="Normal"/>
    <w:autoRedefine/>
    <w:uiPriority w:val="39"/>
    <w:unhideWhenUsed/>
    <w:rsid w:val="00A57F01"/>
    <w:pPr>
      <w:spacing w:after="100"/>
      <w:ind w:left="440"/>
    </w:pPr>
  </w:style>
  <w:style w:type="paragraph" w:styleId="Header">
    <w:name w:val="header"/>
    <w:basedOn w:val="Normal"/>
    <w:link w:val="HeaderChar"/>
    <w:uiPriority w:val="99"/>
    <w:unhideWhenUsed/>
    <w:rsid w:val="00DD2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15C"/>
  </w:style>
  <w:style w:type="paragraph" w:styleId="Footer">
    <w:name w:val="footer"/>
    <w:basedOn w:val="Normal"/>
    <w:link w:val="FooterChar"/>
    <w:uiPriority w:val="99"/>
    <w:unhideWhenUsed/>
    <w:rsid w:val="00DD2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15C"/>
  </w:style>
  <w:style w:type="table" w:styleId="TableGrid">
    <w:name w:val="Table Grid"/>
    <w:basedOn w:val="TableNormal"/>
    <w:uiPriority w:val="39"/>
    <w:rsid w:val="0083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B63"/>
    <w:rPr>
      <w:color w:val="954F72" w:themeColor="followedHyperlink"/>
      <w:u w:val="single"/>
    </w:rPr>
  </w:style>
  <w:style w:type="paragraph" w:styleId="FootnoteText">
    <w:name w:val="footnote text"/>
    <w:basedOn w:val="Normal"/>
    <w:link w:val="FootnoteTextChar"/>
    <w:uiPriority w:val="99"/>
    <w:semiHidden/>
    <w:unhideWhenUsed/>
    <w:rsid w:val="009A5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AF4"/>
    <w:rPr>
      <w:sz w:val="20"/>
      <w:szCs w:val="20"/>
    </w:rPr>
  </w:style>
  <w:style w:type="character" w:styleId="FootnoteReference">
    <w:name w:val="footnote reference"/>
    <w:basedOn w:val="DefaultParagraphFont"/>
    <w:uiPriority w:val="99"/>
    <w:semiHidden/>
    <w:unhideWhenUsed/>
    <w:rsid w:val="009A5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kom.hr/default.aspx?id=191" TargetMode="External"/><Relationship Id="rId5" Type="http://schemas.openxmlformats.org/officeDocument/2006/relationships/webSettings" Target="webSettings.xml"/><Relationship Id="rId10" Type="http://schemas.openxmlformats.org/officeDocument/2006/relationships/hyperlink" Target="https://www.hakom.hr/UserDocsImages/2017/propisi/Pro&#269;i&#353;&#263;eni-Pravilnik%20o%20rf%20spektru-20171110.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odocdb.dk/download/4f052b0b-2c6c/ECCDEC1706.pdf" TargetMode="External"/><Relationship Id="rId13" Type="http://schemas.openxmlformats.org/officeDocument/2006/relationships/hyperlink" Target="https://www.hakom.hr/UserDocsImages/2017/propisi/ZEK-pro&#269;i&#353;&#263;eni%202017.pdf" TargetMode="External"/><Relationship Id="rId3" Type="http://schemas.openxmlformats.org/officeDocument/2006/relationships/hyperlink" Target="https://eur-lex.europa.eu/legal-content/HR/TXT/PDF/?uri=CELEX:32018L1972&amp;from=EN" TargetMode="External"/><Relationship Id="rId7" Type="http://schemas.openxmlformats.org/officeDocument/2006/relationships/hyperlink" Target="https://www.ecodocdb.dk/download/ccf1bd32-f898/ECCDec1303.pdf" TargetMode="External"/><Relationship Id="rId12" Type="http://schemas.openxmlformats.org/officeDocument/2006/relationships/hyperlink" Target="https://www.ecodocdb.dk/download/5e74d0b8-fbab/ECCDec1806.pdf" TargetMode="External"/><Relationship Id="rId17" Type="http://schemas.openxmlformats.org/officeDocument/2006/relationships/hyperlink" Target="https://www.hakom.hr/UserDocsImages/2015/radiokomunikacije/HRV_AUT_HNG_SRB_SVK_SVN_Techical_agreement_Terrestrial_Systems_EC_3400_3800_MHz_2015.pdf" TargetMode="External"/><Relationship Id="rId2" Type="http://schemas.openxmlformats.org/officeDocument/2006/relationships/hyperlink" Target="https://ec.europa.eu/newsroom/dae/document.cfm?doc_id=17182" TargetMode="External"/><Relationship Id="rId16" Type="http://schemas.openxmlformats.org/officeDocument/2006/relationships/hyperlink" Target="https://www.hakom.hr/UserDocsImages/2018/radiokomunikacije/700MHz-20180219.pdf" TargetMode="External"/><Relationship Id="rId1" Type="http://schemas.openxmlformats.org/officeDocument/2006/relationships/hyperlink" Target="https://ec.europa.eu/newsroom/dae/document.cfm?doc_id=17131" TargetMode="External"/><Relationship Id="rId6" Type="http://schemas.openxmlformats.org/officeDocument/2006/relationships/hyperlink" Target="https://eur-lex.europa.eu/legal-content/HR/TXT/PDF/?uri=CELEX:32015D0750&amp;from=EN" TargetMode="External"/><Relationship Id="rId11" Type="http://schemas.openxmlformats.org/officeDocument/2006/relationships/hyperlink" Target="https://eur-lex.europa.eu/legal-content/HR/TXT/PDF/?uri=CELEX:32019D0784&amp;from=EN" TargetMode="External"/><Relationship Id="rId5" Type="http://schemas.openxmlformats.org/officeDocument/2006/relationships/hyperlink" Target="https://www.ecodocdb.dk/download/837045c3-e8c4/ECCDEC1501.PDF" TargetMode="External"/><Relationship Id="rId15" Type="http://schemas.openxmlformats.org/officeDocument/2006/relationships/hyperlink" Target="https://www.hakom.hr/default.aspx?id=594" TargetMode="External"/><Relationship Id="rId10" Type="http://schemas.openxmlformats.org/officeDocument/2006/relationships/hyperlink" Target="https://www.ecodocdb.dk/download/34f57e2a-1c04/ECCDEC1106.PDF" TargetMode="External"/><Relationship Id="rId4" Type="http://schemas.openxmlformats.org/officeDocument/2006/relationships/hyperlink" Target="https://eur-lex.europa.eu/legal-content/HR/TXT/PDF/?uri=CELEX:32016D0687&amp;from=GA" TargetMode="External"/><Relationship Id="rId9" Type="http://schemas.openxmlformats.org/officeDocument/2006/relationships/hyperlink" Target="https://eur-lex.europa.eu/legal-content/HR/TXT/PDF/?uri=CELEX:32019D0235&amp;from=EN" TargetMode="External"/><Relationship Id="rId14" Type="http://schemas.openxmlformats.org/officeDocument/2006/relationships/hyperlink" Target="https://www.hakom.hr/UserDocsImages/2017/propisi/Pro&#269;i&#353;&#263;eni-Pravilnik%20o%20rf%20spektru-20171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2ABD-0535-4EEA-B2EC-4FE5A57F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 Šimac</dc:creator>
  <cp:keywords/>
  <dc:description/>
  <cp:lastModifiedBy>Ivančica Sakal</cp:lastModifiedBy>
  <cp:revision>5</cp:revision>
  <dcterms:created xsi:type="dcterms:W3CDTF">2019-10-18T10:53:00Z</dcterms:created>
  <dcterms:modified xsi:type="dcterms:W3CDTF">2019-10-18T11:17:00Z</dcterms:modified>
</cp:coreProperties>
</file>