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3E7A09"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NACRT PRIJEDLOGA </w:t>
      </w:r>
    </w:p>
    <w:p w:rsidR="005E100A" w:rsidRDefault="005E100A" w:rsidP="006C4637">
      <w:pPr>
        <w:spacing w:after="0" w:line="240" w:lineRule="auto"/>
        <w:jc w:val="center"/>
        <w:rPr>
          <w:rFonts w:ascii="Times New Roman" w:hAnsi="Times New Roman" w:cs="Times New Roman"/>
          <w:b/>
          <w:sz w:val="28"/>
          <w:szCs w:val="28"/>
        </w:rPr>
      </w:pPr>
    </w:p>
    <w:p w:rsidR="00A42EA6" w:rsidRPr="00A42EA6" w:rsidRDefault="00A42EA6" w:rsidP="00A42EA6">
      <w:pPr>
        <w:spacing w:after="0" w:line="240" w:lineRule="auto"/>
        <w:jc w:val="center"/>
        <w:rPr>
          <w:rFonts w:ascii="Times New Roman" w:hAnsi="Times New Roman" w:cs="Times New Roman"/>
          <w:b/>
          <w:sz w:val="28"/>
          <w:szCs w:val="28"/>
        </w:rPr>
      </w:pPr>
      <w:r w:rsidRPr="00A42EA6">
        <w:rPr>
          <w:rFonts w:ascii="Times New Roman" w:hAnsi="Times New Roman" w:cs="Times New Roman"/>
          <w:b/>
          <w:sz w:val="28"/>
          <w:szCs w:val="28"/>
        </w:rPr>
        <w:t>Plan dodjele za frekvencijski pojas</w:t>
      </w:r>
    </w:p>
    <w:p w:rsidR="00244041" w:rsidRDefault="00A42EA6" w:rsidP="00A42EA6">
      <w:pPr>
        <w:spacing w:after="0" w:line="240" w:lineRule="auto"/>
        <w:jc w:val="center"/>
        <w:rPr>
          <w:rFonts w:ascii="Times New Roman" w:hAnsi="Times New Roman" w:cs="Times New Roman"/>
          <w:b/>
          <w:sz w:val="28"/>
          <w:szCs w:val="28"/>
        </w:rPr>
      </w:pPr>
      <w:r w:rsidRPr="00A42EA6">
        <w:rPr>
          <w:rFonts w:ascii="Times New Roman" w:hAnsi="Times New Roman" w:cs="Times New Roman"/>
          <w:b/>
          <w:sz w:val="28"/>
          <w:szCs w:val="28"/>
        </w:rPr>
        <w:t>2500 -2690 MHz</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Pr="00824F3C" w:rsidRDefault="00244041" w:rsidP="006C4637">
      <w:pPr>
        <w:spacing w:after="0" w:line="240" w:lineRule="auto"/>
        <w:jc w:val="center"/>
        <w:rPr>
          <w:rFonts w:ascii="Times New Roman" w:hAnsi="Times New Roman" w:cs="Times New Roman"/>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7A3BD2" w:rsidRDefault="007A3BD2"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Pr="00ED56D3" w:rsidRDefault="00244041" w:rsidP="006C4637">
      <w:pPr>
        <w:spacing w:after="0" w:line="240" w:lineRule="auto"/>
        <w:jc w:val="center"/>
        <w:rPr>
          <w:rFonts w:ascii="Times New Roman" w:hAnsi="Times New Roman" w:cs="Times New Roman"/>
          <w:b/>
          <w:i/>
          <w:sz w:val="24"/>
          <w:szCs w:val="24"/>
        </w:rPr>
      </w:pPr>
      <w:r w:rsidRPr="00166CFF">
        <w:rPr>
          <w:rFonts w:ascii="Times New Roman" w:hAnsi="Times New Roman" w:cs="Times New Roman"/>
          <w:b/>
          <w:sz w:val="24"/>
          <w:szCs w:val="24"/>
        </w:rPr>
        <w:t xml:space="preserve">Zagreb, </w:t>
      </w:r>
      <w:r w:rsidR="00E34F1E">
        <w:rPr>
          <w:rFonts w:ascii="Times New Roman" w:hAnsi="Times New Roman" w:cs="Times New Roman"/>
          <w:b/>
          <w:sz w:val="24"/>
          <w:szCs w:val="24"/>
        </w:rPr>
        <w:t>rujan 2020</w:t>
      </w:r>
      <w:r w:rsidR="005E100A">
        <w:rPr>
          <w:rFonts w:ascii="Times New Roman" w:hAnsi="Times New Roman" w:cs="Times New Roman"/>
          <w:b/>
          <w:sz w:val="24"/>
          <w:szCs w:val="24"/>
        </w:rPr>
        <w:t xml:space="preserve">. </w:t>
      </w:r>
    </w:p>
    <w:p w:rsidR="006C4637" w:rsidRDefault="006C4637" w:rsidP="006C4637">
      <w:pPr>
        <w:spacing w:after="0" w:line="240" w:lineRule="auto"/>
        <w:jc w:val="center"/>
        <w:rPr>
          <w:rFonts w:ascii="Times New Roman" w:hAnsi="Times New Roman" w:cs="Times New Roman"/>
          <w:b/>
          <w:sz w:val="24"/>
          <w:szCs w:val="24"/>
        </w:rPr>
      </w:pPr>
    </w:p>
    <w:p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I. </w:t>
      </w:r>
      <w:r w:rsidR="009E2193" w:rsidRPr="00297C09">
        <w:rPr>
          <w:rFonts w:ascii="Times New Roman" w:hAnsi="Times New Roman" w:cs="Times New Roman"/>
          <w:b/>
          <w:sz w:val="24"/>
          <w:szCs w:val="24"/>
        </w:rPr>
        <w:t xml:space="preserve">OSNOVA ZA DONOŠENJE </w:t>
      </w:r>
      <w:r w:rsidR="00EA25F6">
        <w:rPr>
          <w:rFonts w:ascii="Times New Roman" w:hAnsi="Times New Roman" w:cs="Times New Roman"/>
          <w:b/>
          <w:sz w:val="24"/>
          <w:szCs w:val="24"/>
        </w:rPr>
        <w:t>PLANA DODJELE</w:t>
      </w:r>
    </w:p>
    <w:p w:rsidR="006C4637" w:rsidRDefault="006C4637" w:rsidP="006C4637">
      <w:pPr>
        <w:spacing w:after="0" w:line="240" w:lineRule="auto"/>
        <w:jc w:val="both"/>
        <w:rPr>
          <w:rFonts w:ascii="Times New Roman" w:hAnsi="Times New Roman" w:cs="Times New Roman"/>
          <w:sz w:val="24"/>
          <w:szCs w:val="24"/>
        </w:rPr>
      </w:pPr>
    </w:p>
    <w:p w:rsidR="009E2193" w:rsidRDefault="008B6B95" w:rsidP="00A42E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Člankom 12. stavkom 1. točkom 1. i člankom </w:t>
      </w:r>
      <w:r w:rsidR="005E100A" w:rsidRPr="006B5A01">
        <w:rPr>
          <w:rFonts w:ascii="Times New Roman" w:eastAsia="Times New Roman" w:hAnsi="Times New Roman"/>
          <w:sz w:val="24"/>
          <w:szCs w:val="24"/>
          <w:lang w:eastAsia="hr-HR"/>
        </w:rPr>
        <w:t>82.</w:t>
      </w:r>
      <w:r w:rsidR="005E100A">
        <w:rPr>
          <w:rFonts w:ascii="Times New Roman" w:eastAsia="Times New Roman" w:hAnsi="Times New Roman"/>
          <w:sz w:val="24"/>
          <w:szCs w:val="24"/>
          <w:lang w:eastAsia="hr-HR"/>
        </w:rPr>
        <w:t xml:space="preserve"> </w:t>
      </w:r>
      <w:r w:rsidR="006C4637">
        <w:rPr>
          <w:rFonts w:ascii="Times New Roman" w:hAnsi="Times New Roman" w:cs="Times New Roman"/>
          <w:sz w:val="24"/>
          <w:szCs w:val="24"/>
        </w:rPr>
        <w:t xml:space="preserve">Zakona o elektroničkim komunikacijama (NN br. 73/08, 90/11, 133/12, </w:t>
      </w:r>
      <w:r w:rsidR="00DD2891" w:rsidRPr="00DD2891">
        <w:rPr>
          <w:rFonts w:ascii="Times New Roman" w:hAnsi="Times New Roman" w:cs="Times New Roman"/>
          <w:sz w:val="24"/>
          <w:szCs w:val="24"/>
        </w:rPr>
        <w:t>80/13, 71/14 i 72/17</w:t>
      </w:r>
      <w:r w:rsidR="006C4637">
        <w:rPr>
          <w:rFonts w:ascii="Times New Roman" w:hAnsi="Times New Roman" w:cs="Times New Roman"/>
          <w:sz w:val="24"/>
          <w:szCs w:val="24"/>
        </w:rPr>
        <w:t xml:space="preserve">; dalje: ZEK) </w:t>
      </w:r>
      <w:r w:rsidRPr="008B6B95">
        <w:rPr>
          <w:rFonts w:ascii="Times New Roman" w:hAnsi="Times New Roman" w:cs="Times New Roman"/>
          <w:sz w:val="24"/>
          <w:szCs w:val="24"/>
        </w:rPr>
        <w:t>propisana je ovlast Hrvatske regulatorne agencij</w:t>
      </w:r>
      <w:r w:rsidR="008D643D">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sidR="00A42EA6" w:rsidRPr="00A42EA6">
        <w:rPr>
          <w:rFonts w:ascii="Times New Roman" w:hAnsi="Times New Roman" w:cs="Times New Roman"/>
          <w:sz w:val="24"/>
          <w:szCs w:val="24"/>
        </w:rPr>
        <w:t>Plan</w:t>
      </w:r>
      <w:r w:rsidR="00A42EA6">
        <w:rPr>
          <w:rFonts w:ascii="Times New Roman" w:hAnsi="Times New Roman" w:cs="Times New Roman"/>
          <w:sz w:val="24"/>
          <w:szCs w:val="24"/>
        </w:rPr>
        <w:t xml:space="preserve"> dodjele za frekvencijski pojas </w:t>
      </w:r>
      <w:r w:rsidR="00A42EA6" w:rsidRPr="00A42EA6">
        <w:rPr>
          <w:rFonts w:ascii="Times New Roman" w:hAnsi="Times New Roman" w:cs="Times New Roman"/>
          <w:sz w:val="24"/>
          <w:szCs w:val="24"/>
        </w:rPr>
        <w:t>2500 -</w:t>
      </w:r>
      <w:r w:rsidR="00912CCC">
        <w:rPr>
          <w:rFonts w:ascii="Times New Roman" w:hAnsi="Times New Roman" w:cs="Times New Roman"/>
          <w:sz w:val="24"/>
          <w:szCs w:val="24"/>
        </w:rPr>
        <w:t xml:space="preserve"> </w:t>
      </w:r>
      <w:r w:rsidR="00A42EA6" w:rsidRPr="00A42EA6">
        <w:rPr>
          <w:rFonts w:ascii="Times New Roman" w:hAnsi="Times New Roman" w:cs="Times New Roman"/>
          <w:sz w:val="24"/>
          <w:szCs w:val="24"/>
        </w:rPr>
        <w:t>2690 MHz</w:t>
      </w:r>
      <w:r w:rsidR="008D643D">
        <w:rPr>
          <w:rFonts w:ascii="Times New Roman" w:hAnsi="Times New Roman" w:cs="Times New Roman"/>
          <w:sz w:val="24"/>
          <w:szCs w:val="24"/>
        </w:rPr>
        <w:t>.</w:t>
      </w:r>
    </w:p>
    <w:p w:rsidR="009954F3" w:rsidRDefault="009954F3" w:rsidP="006C4637">
      <w:pPr>
        <w:spacing w:after="0" w:line="240" w:lineRule="auto"/>
        <w:jc w:val="both"/>
        <w:rPr>
          <w:rFonts w:ascii="Times New Roman" w:hAnsi="Times New Roman" w:cs="Times New Roman"/>
          <w:sz w:val="24"/>
          <w:szCs w:val="24"/>
        </w:rPr>
      </w:pPr>
    </w:p>
    <w:p w:rsidR="009954F3" w:rsidRDefault="009954F3" w:rsidP="006C4637">
      <w:pPr>
        <w:spacing w:after="0" w:line="240" w:lineRule="auto"/>
        <w:jc w:val="both"/>
        <w:rPr>
          <w:rFonts w:ascii="Times New Roman" w:hAnsi="Times New Roman" w:cs="Times New Roman"/>
          <w:sz w:val="24"/>
          <w:szCs w:val="24"/>
        </w:rPr>
      </w:pPr>
    </w:p>
    <w:p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w:t>
      </w:r>
    </w:p>
    <w:p w:rsidR="00140221" w:rsidRDefault="00140221" w:rsidP="009954F3">
      <w:pPr>
        <w:spacing w:after="0" w:line="240" w:lineRule="auto"/>
        <w:jc w:val="both"/>
        <w:rPr>
          <w:rFonts w:ascii="Times New Roman" w:hAnsi="Times New Roman" w:cs="Times New Roman"/>
          <w:sz w:val="24"/>
          <w:szCs w:val="24"/>
        </w:rPr>
      </w:pPr>
    </w:p>
    <w:p w:rsidR="00E34F1E" w:rsidRDefault="00E34F1E" w:rsidP="00E34F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EC odlukama </w:t>
      </w:r>
      <w:r w:rsidR="00912CCC" w:rsidRPr="00912CCC">
        <w:rPr>
          <w:rFonts w:ascii="Times New Roman" w:hAnsi="Times New Roman" w:cs="Times New Roman"/>
          <w:sz w:val="24"/>
          <w:szCs w:val="24"/>
        </w:rPr>
        <w:t xml:space="preserve">2008/477/EC </w:t>
      </w:r>
      <w:r w:rsidRPr="006D01FD">
        <w:rPr>
          <w:rFonts w:ascii="Times New Roman" w:hAnsi="Times New Roman" w:cs="Times New Roman"/>
          <w:sz w:val="24"/>
          <w:szCs w:val="24"/>
        </w:rPr>
        <w:t xml:space="preserve">i </w:t>
      </w:r>
      <w:r w:rsidR="00912CCC" w:rsidRPr="00912CCC">
        <w:rPr>
          <w:rFonts w:ascii="Times New Roman" w:hAnsi="Times New Roman" w:cs="Times New Roman"/>
          <w:sz w:val="24"/>
          <w:szCs w:val="24"/>
        </w:rPr>
        <w:t xml:space="preserve">(EU) 2020/636 </w:t>
      </w:r>
      <w:r>
        <w:rPr>
          <w:rFonts w:ascii="Times New Roman" w:hAnsi="Times New Roman" w:cs="Times New Roman"/>
          <w:sz w:val="24"/>
          <w:szCs w:val="24"/>
        </w:rPr>
        <w:t xml:space="preserve">te </w:t>
      </w:r>
      <w:r w:rsidRPr="005466D6">
        <w:rPr>
          <w:rFonts w:ascii="Times New Roman" w:hAnsi="Times New Roman" w:cs="Times New Roman"/>
          <w:sz w:val="24"/>
          <w:szCs w:val="24"/>
        </w:rPr>
        <w:t>ECC odlukom</w:t>
      </w:r>
      <w:r>
        <w:rPr>
          <w:rFonts w:ascii="Times New Roman" w:hAnsi="Times New Roman" w:cs="Times New Roman"/>
          <w:sz w:val="24"/>
          <w:szCs w:val="24"/>
        </w:rPr>
        <w:t xml:space="preserve"> </w:t>
      </w:r>
      <w:r w:rsidR="00912CCC" w:rsidRPr="00912CCC">
        <w:rPr>
          <w:rFonts w:ascii="Times New Roman" w:hAnsi="Times New Roman" w:cs="Times New Roman"/>
          <w:sz w:val="24"/>
          <w:szCs w:val="24"/>
        </w:rPr>
        <w:t>ECC/DEC/(05)05</w:t>
      </w:r>
      <w:r>
        <w:rPr>
          <w:rFonts w:ascii="Times New Roman" w:hAnsi="Times New Roman" w:cs="Times New Roman"/>
          <w:sz w:val="24"/>
          <w:szCs w:val="24"/>
        </w:rPr>
        <w:t xml:space="preserve"> harmoniziran</w:t>
      </w:r>
      <w:r w:rsidRPr="006D01FD">
        <w:rPr>
          <w:rFonts w:ascii="Times New Roman" w:hAnsi="Times New Roman" w:cs="Times New Roman"/>
          <w:sz w:val="24"/>
          <w:szCs w:val="24"/>
        </w:rPr>
        <w:t xml:space="preserve"> </w:t>
      </w:r>
      <w:r>
        <w:rPr>
          <w:rFonts w:ascii="Times New Roman" w:hAnsi="Times New Roman" w:cs="Times New Roman"/>
          <w:sz w:val="24"/>
          <w:szCs w:val="24"/>
        </w:rPr>
        <w:t>je</w:t>
      </w:r>
      <w:r w:rsidRPr="006D01FD">
        <w:rPr>
          <w:rFonts w:ascii="Times New Roman" w:hAnsi="Times New Roman" w:cs="Times New Roman"/>
          <w:sz w:val="24"/>
          <w:szCs w:val="24"/>
        </w:rPr>
        <w:t xml:space="preserve"> </w:t>
      </w:r>
      <w:r>
        <w:rPr>
          <w:rFonts w:ascii="Times New Roman" w:hAnsi="Times New Roman" w:cs="Times New Roman"/>
          <w:sz w:val="24"/>
          <w:szCs w:val="24"/>
        </w:rPr>
        <w:t xml:space="preserve">frekvencijski pojas </w:t>
      </w:r>
      <w:r w:rsidR="00912CCC" w:rsidRPr="00A42EA6">
        <w:rPr>
          <w:rFonts w:ascii="Times New Roman" w:hAnsi="Times New Roman" w:cs="Times New Roman"/>
          <w:sz w:val="24"/>
          <w:szCs w:val="24"/>
        </w:rPr>
        <w:t>2500 -</w:t>
      </w:r>
      <w:r w:rsidR="00912CCC">
        <w:rPr>
          <w:rFonts w:ascii="Times New Roman" w:hAnsi="Times New Roman" w:cs="Times New Roman"/>
          <w:sz w:val="24"/>
          <w:szCs w:val="24"/>
        </w:rPr>
        <w:t xml:space="preserve"> </w:t>
      </w:r>
      <w:r w:rsidR="00912CCC" w:rsidRPr="00A42EA6">
        <w:rPr>
          <w:rFonts w:ascii="Times New Roman" w:hAnsi="Times New Roman" w:cs="Times New Roman"/>
          <w:sz w:val="24"/>
          <w:szCs w:val="24"/>
        </w:rPr>
        <w:t>2690 MHz</w:t>
      </w:r>
      <w:r w:rsidR="00912CCC">
        <w:rPr>
          <w:rFonts w:ascii="Times New Roman" w:hAnsi="Times New Roman" w:cs="Times New Roman"/>
          <w:sz w:val="24"/>
          <w:szCs w:val="24"/>
        </w:rPr>
        <w:t xml:space="preserve"> </w:t>
      </w:r>
      <w:r>
        <w:rPr>
          <w:rFonts w:ascii="Times New Roman" w:hAnsi="Times New Roman" w:cs="Times New Roman"/>
          <w:sz w:val="24"/>
          <w:szCs w:val="24"/>
        </w:rPr>
        <w:t xml:space="preserve">(dalje: </w:t>
      </w:r>
      <w:r w:rsidR="00C014AC">
        <w:rPr>
          <w:rFonts w:ascii="Times New Roman" w:hAnsi="Times New Roman" w:cs="Times New Roman"/>
          <w:sz w:val="24"/>
          <w:szCs w:val="24"/>
        </w:rPr>
        <w:t>2600 MHz</w:t>
      </w:r>
      <w:r>
        <w:rPr>
          <w:rFonts w:ascii="Times New Roman" w:hAnsi="Times New Roman" w:cs="Times New Roman"/>
          <w:sz w:val="24"/>
          <w:szCs w:val="24"/>
        </w:rPr>
        <w:t>) i propisani tehnički uvjeti za</w:t>
      </w:r>
      <w:r w:rsidRPr="005466D6">
        <w:rPr>
          <w:rFonts w:ascii="Times New Roman" w:hAnsi="Times New Roman" w:cs="Times New Roman"/>
          <w:sz w:val="24"/>
          <w:szCs w:val="24"/>
        </w:rPr>
        <w:t xml:space="preserve"> </w:t>
      </w:r>
      <w:r>
        <w:rPr>
          <w:rFonts w:ascii="Times New Roman" w:hAnsi="Times New Roman" w:cs="Times New Roman"/>
          <w:sz w:val="24"/>
          <w:szCs w:val="24"/>
        </w:rPr>
        <w:t xml:space="preserve">elektroničke komunikacijske mreže i usluge, tj. </w:t>
      </w:r>
      <w:r w:rsidRPr="005466D6">
        <w:rPr>
          <w:rFonts w:ascii="Times New Roman" w:hAnsi="Times New Roman" w:cs="Times New Roman"/>
          <w:sz w:val="24"/>
          <w:szCs w:val="24"/>
        </w:rPr>
        <w:t>pokretne i nepokretne komunikacijske mreže (MFCN - Mobile/</w:t>
      </w:r>
      <w:proofErr w:type="spellStart"/>
      <w:r w:rsidRPr="005466D6">
        <w:rPr>
          <w:rFonts w:ascii="Times New Roman" w:hAnsi="Times New Roman" w:cs="Times New Roman"/>
          <w:sz w:val="24"/>
          <w:szCs w:val="24"/>
        </w:rPr>
        <w:t>Fixed</w:t>
      </w:r>
      <w:proofErr w:type="spellEnd"/>
      <w:r w:rsidRPr="005466D6">
        <w:rPr>
          <w:rFonts w:ascii="Times New Roman" w:hAnsi="Times New Roman" w:cs="Times New Roman"/>
          <w:sz w:val="24"/>
          <w:szCs w:val="24"/>
        </w:rPr>
        <w:t xml:space="preserve"> Communications </w:t>
      </w:r>
      <w:proofErr w:type="spellStart"/>
      <w:r w:rsidRPr="005466D6">
        <w:rPr>
          <w:rFonts w:ascii="Times New Roman" w:hAnsi="Times New Roman" w:cs="Times New Roman"/>
          <w:sz w:val="24"/>
          <w:szCs w:val="24"/>
        </w:rPr>
        <w:t>Networks</w:t>
      </w:r>
      <w:proofErr w:type="spellEnd"/>
      <w:r w:rsidRPr="005466D6">
        <w:rPr>
          <w:rFonts w:ascii="Times New Roman" w:hAnsi="Times New Roman" w:cs="Times New Roman"/>
          <w:sz w:val="24"/>
          <w:szCs w:val="24"/>
        </w:rPr>
        <w:t>)</w:t>
      </w:r>
      <w:r w:rsidR="00E34434">
        <w:rPr>
          <w:rFonts w:ascii="Times New Roman" w:hAnsi="Times New Roman" w:cs="Times New Roman"/>
          <w:sz w:val="24"/>
          <w:szCs w:val="24"/>
        </w:rPr>
        <w:t xml:space="preserve"> na tehnički neutralnoj osnovi</w:t>
      </w:r>
      <w:r>
        <w:rPr>
          <w:rFonts w:ascii="Times New Roman" w:hAnsi="Times New Roman" w:cs="Times New Roman"/>
          <w:sz w:val="24"/>
          <w:szCs w:val="24"/>
        </w:rPr>
        <w:t>.</w:t>
      </w:r>
      <w:r w:rsidR="00E66EF0">
        <w:rPr>
          <w:rFonts w:ascii="Times New Roman" w:hAnsi="Times New Roman" w:cs="Times New Roman"/>
          <w:sz w:val="24"/>
          <w:szCs w:val="24"/>
        </w:rPr>
        <w:t xml:space="preserve"> Propisani tehnički uvjeti omogućuju uporabu ovog frekvencijskog pojasa i za 5G NR tehnologiju.</w:t>
      </w:r>
    </w:p>
    <w:p w:rsidR="00EA25F6" w:rsidRDefault="00EA25F6" w:rsidP="00E34F1E">
      <w:pPr>
        <w:spacing w:after="0" w:line="240" w:lineRule="auto"/>
        <w:jc w:val="both"/>
        <w:rPr>
          <w:rFonts w:ascii="Times New Roman" w:hAnsi="Times New Roman" w:cs="Times New Roman"/>
          <w:sz w:val="24"/>
          <w:szCs w:val="24"/>
        </w:rPr>
      </w:pPr>
    </w:p>
    <w:p w:rsidR="00EA25F6" w:rsidRDefault="00EA25F6" w:rsidP="00EA25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HAKOM stoga predlaže izmjene postojećeg Plana dodjele za </w:t>
      </w:r>
      <w:r w:rsidRPr="005720C4">
        <w:rPr>
          <w:rFonts w:ascii="Times New Roman" w:hAnsi="Times New Roman" w:cs="Times New Roman"/>
          <w:sz w:val="24"/>
          <w:szCs w:val="24"/>
        </w:rPr>
        <w:t>frekvencijski pojas 2500 - 2690 MHz</w:t>
      </w:r>
      <w:r>
        <w:rPr>
          <w:rFonts w:ascii="Times New Roman" w:hAnsi="Times New Roman" w:cs="Times New Roman"/>
          <w:sz w:val="24"/>
          <w:szCs w:val="24"/>
        </w:rPr>
        <w:t xml:space="preserve"> na način da se u navedenom frekvencijskom pojasu omogući </w:t>
      </w:r>
      <w:r w:rsidR="007A21C1">
        <w:rPr>
          <w:rFonts w:ascii="Times New Roman" w:hAnsi="Times New Roman" w:cs="Times New Roman"/>
          <w:sz w:val="24"/>
          <w:szCs w:val="24"/>
        </w:rPr>
        <w:t>uporaba aktivnih antenskih sustava.</w:t>
      </w:r>
      <w:r>
        <w:rPr>
          <w:rFonts w:ascii="Times New Roman" w:hAnsi="Times New Roman" w:cs="Times New Roman"/>
          <w:sz w:val="24"/>
          <w:szCs w:val="24"/>
        </w:rPr>
        <w:t xml:space="preserve"> </w:t>
      </w:r>
      <w:r w:rsidR="007A21C1">
        <w:rPr>
          <w:rFonts w:ascii="Times New Roman" w:hAnsi="Times New Roman" w:cs="Times New Roman"/>
          <w:sz w:val="24"/>
          <w:szCs w:val="24"/>
        </w:rPr>
        <w:t>P</w:t>
      </w:r>
      <w:r>
        <w:rPr>
          <w:rFonts w:ascii="Times New Roman" w:hAnsi="Times New Roman" w:cs="Times New Roman"/>
          <w:sz w:val="24"/>
          <w:szCs w:val="24"/>
        </w:rPr>
        <w:t xml:space="preserve">osljedično </w:t>
      </w:r>
      <w:r w:rsidR="007A21C1">
        <w:rPr>
          <w:rFonts w:ascii="Times New Roman" w:hAnsi="Times New Roman" w:cs="Times New Roman"/>
          <w:sz w:val="24"/>
          <w:szCs w:val="24"/>
        </w:rPr>
        <w:t xml:space="preserve">se </w:t>
      </w:r>
      <w:r>
        <w:rPr>
          <w:rFonts w:ascii="Times New Roman" w:hAnsi="Times New Roman" w:cs="Times New Roman"/>
          <w:sz w:val="24"/>
          <w:szCs w:val="24"/>
        </w:rPr>
        <w:t>propisuju potrebni tehnički uvjeti za</w:t>
      </w:r>
      <w:r w:rsidR="00A47B7F">
        <w:rPr>
          <w:rFonts w:ascii="Times New Roman" w:hAnsi="Times New Roman" w:cs="Times New Roman"/>
          <w:sz w:val="24"/>
          <w:szCs w:val="24"/>
        </w:rPr>
        <w:t xml:space="preserve"> </w:t>
      </w:r>
      <w:r>
        <w:rPr>
          <w:rFonts w:ascii="Times New Roman" w:hAnsi="Times New Roman" w:cs="Times New Roman"/>
          <w:sz w:val="24"/>
          <w:szCs w:val="24"/>
        </w:rPr>
        <w:t xml:space="preserve">bazne postaje i krajnje postaje u navedenom frekvencijskom pojasu. </w:t>
      </w:r>
    </w:p>
    <w:p w:rsidR="00E34F1E" w:rsidRDefault="00E34F1E" w:rsidP="00E34F1E">
      <w:pPr>
        <w:spacing w:after="0" w:line="240" w:lineRule="auto"/>
        <w:jc w:val="both"/>
        <w:rPr>
          <w:rFonts w:ascii="Times New Roman" w:hAnsi="Times New Roman" w:cs="Times New Roman"/>
          <w:sz w:val="24"/>
          <w:szCs w:val="24"/>
        </w:rPr>
      </w:pPr>
    </w:p>
    <w:p w:rsidR="00EA25F6" w:rsidRDefault="00EA25F6" w:rsidP="00EA25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Radi preciznosti i jasnoće propisa predmet javne rasprave je novi Plan dodjele </w:t>
      </w:r>
      <w:r w:rsidRPr="008906B3">
        <w:rPr>
          <w:rFonts w:ascii="Times New Roman" w:hAnsi="Times New Roman" w:cs="Times New Roman"/>
          <w:sz w:val="24"/>
          <w:szCs w:val="24"/>
        </w:rPr>
        <w:t>za frekvencijski pojas 2500 - 2690 MHz.</w:t>
      </w:r>
    </w:p>
    <w:p w:rsidR="00B97FC7" w:rsidRDefault="00B97FC7" w:rsidP="00EA25F6">
      <w:pPr>
        <w:spacing w:after="0" w:line="240" w:lineRule="auto"/>
        <w:jc w:val="both"/>
        <w:rPr>
          <w:rFonts w:ascii="Times New Roman" w:hAnsi="Times New Roman" w:cs="Times New Roman"/>
          <w:sz w:val="24"/>
          <w:szCs w:val="24"/>
        </w:rPr>
      </w:pPr>
    </w:p>
    <w:p w:rsidR="00B97FC7" w:rsidRDefault="00B97FC7" w:rsidP="00EA25F6">
      <w:pPr>
        <w:spacing w:after="0" w:line="240" w:lineRule="auto"/>
        <w:jc w:val="both"/>
        <w:rPr>
          <w:rFonts w:ascii="Times New Roman" w:hAnsi="Times New Roman" w:cs="Times New Roman"/>
          <w:sz w:val="24"/>
          <w:szCs w:val="24"/>
        </w:rPr>
      </w:pPr>
      <w:r w:rsidRPr="00B97FC7">
        <w:rPr>
          <w:rFonts w:ascii="Times New Roman" w:hAnsi="Times New Roman" w:cs="Times New Roman"/>
          <w:sz w:val="24"/>
          <w:szCs w:val="24"/>
        </w:rPr>
        <w:t>Imajući u vidu da predložene izmjene Plana ne predstavljaju dodatne obveze za adresate predmetnih Planova te da su iste u interesu kako operatora tako i razvoja tehnologije i novih usluga u okviru dostupnih resursa, predloženo je stupanje na snagu Planova prvog dana nakon objave u Narodnim novinama.</w:t>
      </w:r>
    </w:p>
    <w:p w:rsidR="00EA25F6" w:rsidRDefault="00EA25F6" w:rsidP="00E34F1E">
      <w:pPr>
        <w:spacing w:after="0" w:line="240" w:lineRule="auto"/>
        <w:jc w:val="both"/>
        <w:rPr>
          <w:rFonts w:ascii="Times New Roman" w:hAnsi="Times New Roman" w:cs="Times New Roman"/>
          <w:sz w:val="24"/>
          <w:szCs w:val="24"/>
        </w:rPr>
      </w:pPr>
    </w:p>
    <w:p w:rsidR="0027546A" w:rsidRDefault="00E34F1E" w:rsidP="0027546A">
      <w:pPr>
        <w:spacing w:after="0" w:line="240" w:lineRule="auto"/>
        <w:jc w:val="both"/>
        <w:rPr>
          <w:rFonts w:ascii="Times New Roman" w:hAnsi="Times New Roman" w:cs="Times New Roman"/>
          <w:sz w:val="24"/>
          <w:szCs w:val="24"/>
        </w:rPr>
      </w:pPr>
      <w:r w:rsidRPr="0027546A">
        <w:rPr>
          <w:rFonts w:ascii="Times New Roman" w:hAnsi="Times New Roman" w:cs="Times New Roman"/>
          <w:sz w:val="24"/>
          <w:szCs w:val="24"/>
        </w:rPr>
        <w:t>Sukladno članku 22. stavku 5. ZEK-a, o prijedlogu Pravilnika potrebno je provesti postupak javne rasprave sa zainteresiranom javnošću.</w:t>
      </w:r>
    </w:p>
    <w:p w:rsidR="0027546A" w:rsidRDefault="0027546A" w:rsidP="0027546A">
      <w:pPr>
        <w:spacing w:after="0" w:line="240" w:lineRule="auto"/>
        <w:jc w:val="both"/>
        <w:rPr>
          <w:rFonts w:ascii="Times New Roman" w:hAnsi="Times New Roman" w:cs="Times New Roman"/>
          <w:sz w:val="24"/>
          <w:szCs w:val="24"/>
        </w:rPr>
      </w:pPr>
    </w:p>
    <w:p w:rsidR="00A84D36" w:rsidRPr="00B1537A" w:rsidRDefault="00A84D36" w:rsidP="00B1537A">
      <w:pPr>
        <w:spacing w:after="0" w:line="240" w:lineRule="auto"/>
        <w:jc w:val="both"/>
        <w:rPr>
          <w:rFonts w:ascii="Times New Roman" w:hAnsi="Times New Roman" w:cs="Times New Roman"/>
          <w:sz w:val="24"/>
          <w:szCs w:val="24"/>
          <w:u w:val="single"/>
        </w:rPr>
      </w:pPr>
    </w:p>
    <w:p w:rsidR="00B1537A" w:rsidRPr="00B1537A" w:rsidRDefault="00B1537A" w:rsidP="00B1537A">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NACRTA PRIJEDLOGA </w:t>
      </w:r>
      <w:r w:rsidR="00EA25F6">
        <w:rPr>
          <w:rFonts w:ascii="Times New Roman" w:hAnsi="Times New Roman" w:cs="Times New Roman"/>
          <w:b/>
          <w:sz w:val="24"/>
          <w:szCs w:val="24"/>
        </w:rPr>
        <w:t>PLANA DODJELE</w:t>
      </w:r>
      <w:r w:rsidRPr="00B1537A">
        <w:rPr>
          <w:rFonts w:ascii="Times New Roman" w:hAnsi="Times New Roman" w:cs="Times New Roman"/>
          <w:b/>
          <w:sz w:val="24"/>
          <w:szCs w:val="24"/>
        </w:rPr>
        <w:t xml:space="preserve"> </w:t>
      </w:r>
    </w:p>
    <w:p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rsidR="00B1537A" w:rsidRPr="00B1537A"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Prilaže se tekst Nacrta P</w:t>
      </w:r>
      <w:r w:rsidR="00EA25F6">
        <w:rPr>
          <w:rFonts w:ascii="Times New Roman" w:hAnsi="Times New Roman" w:cs="Times New Roman"/>
          <w:sz w:val="24"/>
          <w:szCs w:val="24"/>
        </w:rPr>
        <w:t>lana dodjele</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rsidR="00B1537A" w:rsidRDefault="00B1537A"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Default="00A0536F" w:rsidP="00B1537A">
      <w:pPr>
        <w:spacing w:after="0" w:line="240" w:lineRule="auto"/>
        <w:jc w:val="both"/>
        <w:rPr>
          <w:rFonts w:ascii="Times New Roman" w:hAnsi="Times New Roman" w:cs="Times New Roman"/>
          <w:sz w:val="24"/>
          <w:szCs w:val="24"/>
          <w:u w:val="single"/>
        </w:rPr>
      </w:pPr>
    </w:p>
    <w:p w:rsidR="00A0536F" w:rsidRPr="000774A9" w:rsidRDefault="00A0536F" w:rsidP="00A0536F">
      <w:pPr>
        <w:pStyle w:val="BodyText21"/>
        <w:overflowPunct/>
        <w:autoSpaceDE/>
        <w:autoSpaceDN/>
        <w:adjustRightInd/>
        <w:jc w:val="center"/>
        <w:textAlignment w:val="auto"/>
        <w:rPr>
          <w:rFonts w:ascii="Times New Roman" w:hAnsi="Times New Roman"/>
          <w:b/>
          <w:sz w:val="40"/>
          <w:szCs w:val="40"/>
          <w:lang w:val="hr-HR"/>
        </w:rPr>
      </w:pPr>
      <w:r w:rsidRPr="000774A9">
        <w:rPr>
          <w:rFonts w:ascii="Times New Roman" w:hAnsi="Times New Roman"/>
          <w:b/>
          <w:sz w:val="40"/>
          <w:szCs w:val="40"/>
          <w:lang w:val="hr-HR"/>
        </w:rPr>
        <w:t xml:space="preserve">HRVATSKA </w:t>
      </w:r>
      <w:r>
        <w:rPr>
          <w:rFonts w:ascii="Times New Roman" w:hAnsi="Times New Roman"/>
          <w:b/>
          <w:sz w:val="40"/>
          <w:szCs w:val="40"/>
          <w:lang w:val="hr-HR"/>
        </w:rPr>
        <w:t xml:space="preserve">REGULATORNA </w:t>
      </w:r>
      <w:r w:rsidRPr="000774A9">
        <w:rPr>
          <w:rFonts w:ascii="Times New Roman" w:hAnsi="Times New Roman"/>
          <w:b/>
          <w:sz w:val="40"/>
          <w:szCs w:val="40"/>
          <w:lang w:val="hr-HR"/>
        </w:rPr>
        <w:t xml:space="preserve">AGENCIJA ZA </w:t>
      </w:r>
      <w:r>
        <w:rPr>
          <w:rFonts w:ascii="Times New Roman" w:hAnsi="Times New Roman"/>
          <w:b/>
          <w:sz w:val="40"/>
          <w:szCs w:val="40"/>
          <w:lang w:val="hr-HR"/>
        </w:rPr>
        <w:t xml:space="preserve">MREŽNE DJELATNOSTI </w:t>
      </w:r>
    </w:p>
    <w:p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rsidR="00A0536F" w:rsidRDefault="00A0536F" w:rsidP="00A0536F">
      <w:pPr>
        <w:pStyle w:val="BodyText21"/>
        <w:overflowPunct/>
        <w:autoSpaceDE/>
        <w:autoSpaceDN/>
        <w:adjustRightInd/>
        <w:textAlignment w:val="auto"/>
        <w:rPr>
          <w:rFonts w:ascii="Times New Roman" w:hAnsi="Times New Roman"/>
          <w:szCs w:val="24"/>
          <w:lang w:val="hr-HR"/>
        </w:rPr>
      </w:pPr>
      <w:r w:rsidRPr="000774A9">
        <w:rPr>
          <w:rFonts w:ascii="Times New Roman" w:hAnsi="Times New Roman"/>
          <w:szCs w:val="24"/>
          <w:lang w:val="hr-HR"/>
        </w:rPr>
        <w:t>Na temelju članka 12. stavka 1. točke 9. i članka 82. Zakona o elektronički</w:t>
      </w:r>
      <w:r>
        <w:rPr>
          <w:rFonts w:ascii="Times New Roman" w:hAnsi="Times New Roman"/>
          <w:szCs w:val="24"/>
          <w:lang w:val="hr-HR"/>
        </w:rPr>
        <w:t xml:space="preserve">m komunikacijama (Narodne novine </w:t>
      </w:r>
      <w:r w:rsidRPr="000774A9">
        <w:rPr>
          <w:rFonts w:ascii="Times New Roman" w:hAnsi="Times New Roman"/>
          <w:szCs w:val="24"/>
          <w:lang w:val="hr-HR"/>
        </w:rPr>
        <w:t>br</w:t>
      </w:r>
      <w:r>
        <w:rPr>
          <w:rFonts w:ascii="Times New Roman" w:hAnsi="Times New Roman"/>
          <w:szCs w:val="24"/>
          <w:lang w:val="hr-HR"/>
        </w:rPr>
        <w:t>.</w:t>
      </w:r>
      <w:r w:rsidRPr="009A2650">
        <w:rPr>
          <w:rFonts w:ascii="Times New Roman" w:hAnsi="Times New Roman"/>
          <w:bCs/>
          <w:iCs/>
          <w:szCs w:val="24"/>
          <w:lang w:val="hr-HR"/>
        </w:rPr>
        <w:t xml:space="preserve"> </w:t>
      </w:r>
      <w:r w:rsidRPr="00B63B73">
        <w:rPr>
          <w:rFonts w:ascii="Times New Roman" w:hAnsi="Times New Roman"/>
          <w:bCs/>
          <w:iCs/>
          <w:szCs w:val="24"/>
          <w:lang w:val="hr-HR"/>
        </w:rPr>
        <w:t>73/08, 90/1</w:t>
      </w:r>
      <w:r>
        <w:rPr>
          <w:rFonts w:ascii="Times New Roman" w:hAnsi="Times New Roman"/>
          <w:bCs/>
          <w:iCs/>
          <w:szCs w:val="24"/>
          <w:lang w:val="hr-HR"/>
        </w:rPr>
        <w:t>1, 133/12, 80/13, 71/14 i 72/17</w:t>
      </w:r>
      <w:r w:rsidRPr="000774A9">
        <w:rPr>
          <w:rFonts w:ascii="Times New Roman" w:hAnsi="Times New Roman"/>
          <w:szCs w:val="24"/>
          <w:lang w:val="hr-HR"/>
        </w:rPr>
        <w:t>)</w:t>
      </w:r>
      <w:r>
        <w:rPr>
          <w:rFonts w:ascii="Times New Roman" w:hAnsi="Times New Roman"/>
          <w:szCs w:val="24"/>
          <w:lang w:val="hr-HR"/>
        </w:rPr>
        <w:t>,</w:t>
      </w:r>
      <w:r w:rsidRPr="000774A9">
        <w:rPr>
          <w:rFonts w:ascii="Times New Roman" w:hAnsi="Times New Roman"/>
          <w:szCs w:val="24"/>
          <w:lang w:val="hr-HR"/>
        </w:rPr>
        <w:t xml:space="preserve"> Vijeće Hrvatske </w:t>
      </w:r>
      <w:r>
        <w:rPr>
          <w:rFonts w:ascii="Times New Roman" w:hAnsi="Times New Roman"/>
          <w:szCs w:val="24"/>
          <w:lang w:val="hr-HR"/>
        </w:rPr>
        <w:t xml:space="preserve">regulatorne </w:t>
      </w:r>
      <w:r w:rsidRPr="000774A9">
        <w:rPr>
          <w:rFonts w:ascii="Times New Roman" w:hAnsi="Times New Roman"/>
          <w:szCs w:val="24"/>
          <w:lang w:val="hr-HR"/>
        </w:rPr>
        <w:t xml:space="preserve">agencije za </w:t>
      </w:r>
      <w:r>
        <w:rPr>
          <w:rFonts w:ascii="Times New Roman" w:hAnsi="Times New Roman"/>
          <w:szCs w:val="24"/>
          <w:lang w:val="hr-HR"/>
        </w:rPr>
        <w:t>mrežne djelatnosti</w:t>
      </w:r>
      <w:r w:rsidRPr="000774A9">
        <w:rPr>
          <w:rFonts w:ascii="Times New Roman" w:hAnsi="Times New Roman"/>
          <w:szCs w:val="24"/>
          <w:lang w:val="hr-HR"/>
        </w:rPr>
        <w:t xml:space="preserve"> </w:t>
      </w:r>
      <w:r>
        <w:rPr>
          <w:rFonts w:ascii="Times New Roman" w:hAnsi="Times New Roman"/>
          <w:szCs w:val="24"/>
          <w:lang w:val="hr-HR"/>
        </w:rPr>
        <w:t>donosi</w:t>
      </w:r>
      <w:r w:rsidRPr="000774A9">
        <w:rPr>
          <w:rFonts w:ascii="Times New Roman" w:hAnsi="Times New Roman"/>
          <w:szCs w:val="24"/>
          <w:lang w:val="hr-HR"/>
        </w:rPr>
        <w:t xml:space="preserve"> </w:t>
      </w:r>
    </w:p>
    <w:p w:rsidR="00A0536F" w:rsidRDefault="00A0536F" w:rsidP="00A0536F">
      <w:pPr>
        <w:pStyle w:val="BodyText21"/>
        <w:overflowPunct/>
        <w:autoSpaceDE/>
        <w:autoSpaceDN/>
        <w:adjustRightInd/>
        <w:textAlignment w:val="auto"/>
        <w:rPr>
          <w:rFonts w:ascii="Times New Roman" w:hAnsi="Times New Roman"/>
          <w:szCs w:val="24"/>
          <w:lang w:val="hr-HR"/>
        </w:rPr>
      </w:pPr>
    </w:p>
    <w:p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rsidR="00A0536F" w:rsidRPr="00F6189A" w:rsidRDefault="00A0536F" w:rsidP="00A0536F">
      <w:pPr>
        <w:spacing w:after="0" w:line="240" w:lineRule="auto"/>
        <w:jc w:val="center"/>
        <w:rPr>
          <w:rFonts w:ascii="Times New Roman" w:hAnsi="Times New Roman"/>
          <w:b/>
          <w:sz w:val="36"/>
          <w:szCs w:val="36"/>
        </w:rPr>
      </w:pPr>
      <w:r w:rsidRPr="00F6189A">
        <w:rPr>
          <w:rFonts w:ascii="Times New Roman" w:hAnsi="Times New Roman"/>
          <w:b/>
          <w:sz w:val="36"/>
          <w:szCs w:val="36"/>
        </w:rPr>
        <w:t>Plan dodjele za frekvencijski pojas</w:t>
      </w:r>
    </w:p>
    <w:p w:rsidR="00A0536F" w:rsidRPr="00104C1F" w:rsidRDefault="00A0536F" w:rsidP="00A0536F">
      <w:pPr>
        <w:spacing w:after="0" w:line="240" w:lineRule="auto"/>
        <w:jc w:val="center"/>
        <w:rPr>
          <w:rFonts w:ascii="Times New Roman" w:hAnsi="Times New Roman"/>
          <w:b/>
          <w:sz w:val="32"/>
          <w:szCs w:val="32"/>
        </w:rPr>
      </w:pPr>
      <w:r w:rsidRPr="00F6189A">
        <w:rPr>
          <w:rFonts w:ascii="Times New Roman" w:hAnsi="Times New Roman"/>
          <w:b/>
          <w:sz w:val="36"/>
          <w:szCs w:val="36"/>
        </w:rPr>
        <w:t>2500 -</w:t>
      </w:r>
      <w:r>
        <w:rPr>
          <w:rFonts w:ascii="Times New Roman" w:hAnsi="Times New Roman"/>
          <w:b/>
          <w:sz w:val="36"/>
          <w:szCs w:val="36"/>
        </w:rPr>
        <w:t xml:space="preserve"> </w:t>
      </w:r>
      <w:r w:rsidRPr="00F6189A">
        <w:rPr>
          <w:rFonts w:ascii="Times New Roman" w:hAnsi="Times New Roman"/>
          <w:b/>
          <w:sz w:val="36"/>
          <w:szCs w:val="36"/>
        </w:rPr>
        <w:t xml:space="preserve">2690 MHz </w:t>
      </w:r>
    </w:p>
    <w:p w:rsidR="00A0536F" w:rsidRDefault="00A0536F" w:rsidP="00A0536F">
      <w:pPr>
        <w:spacing w:after="0" w:line="240" w:lineRule="auto"/>
        <w:jc w:val="center"/>
        <w:rPr>
          <w:rFonts w:ascii="Times New Roman" w:hAnsi="Times New Roman"/>
          <w:sz w:val="24"/>
          <w:szCs w:val="24"/>
        </w:rPr>
      </w:pPr>
    </w:p>
    <w:p w:rsidR="00A0536F" w:rsidRDefault="00A0536F" w:rsidP="00A0536F">
      <w:pPr>
        <w:spacing w:after="0" w:line="240" w:lineRule="auto"/>
        <w:jc w:val="center"/>
        <w:rPr>
          <w:rFonts w:ascii="Times New Roman" w:hAnsi="Times New Roman"/>
          <w:sz w:val="24"/>
          <w:szCs w:val="24"/>
        </w:rPr>
      </w:pPr>
    </w:p>
    <w:p w:rsidR="00A0536F"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Opći uvjeti</w:t>
      </w:r>
    </w:p>
    <w:p w:rsidR="00A0536F" w:rsidRPr="00981C48" w:rsidRDefault="00A0536F" w:rsidP="00A0536F">
      <w:pPr>
        <w:spacing w:after="0" w:line="240" w:lineRule="auto"/>
        <w:jc w:val="center"/>
        <w:rPr>
          <w:rFonts w:ascii="Times New Roman" w:eastAsia="Times New Roman" w:hAnsi="Times New Roman"/>
          <w:i/>
          <w:sz w:val="24"/>
          <w:szCs w:val="24"/>
        </w:rPr>
      </w:pPr>
    </w:p>
    <w:p w:rsidR="00A0536F" w:rsidRPr="004A4345"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Članak 1.</w:t>
      </w:r>
    </w:p>
    <w:p w:rsidR="00A0536F" w:rsidRPr="004A4345" w:rsidRDefault="00A0536F" w:rsidP="00A0536F">
      <w:pPr>
        <w:spacing w:after="0" w:line="240" w:lineRule="auto"/>
        <w:jc w:val="center"/>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w:t>
      </w:r>
      <w:r w:rsidRPr="00981C48">
        <w:rPr>
          <w:rFonts w:ascii="Times New Roman" w:eastAsia="Times New Roman" w:hAnsi="Times New Roman"/>
          <w:sz w:val="24"/>
          <w:szCs w:val="24"/>
        </w:rPr>
        <w:t xml:space="preserve"> Opći uvjeti </w:t>
      </w:r>
      <w:r>
        <w:rPr>
          <w:rFonts w:ascii="Times New Roman" w:eastAsia="Times New Roman" w:hAnsi="Times New Roman"/>
          <w:sz w:val="24"/>
          <w:szCs w:val="24"/>
        </w:rPr>
        <w:t xml:space="preserve">Plana </w:t>
      </w:r>
      <w:r w:rsidRPr="00981C48">
        <w:rPr>
          <w:rFonts w:ascii="Times New Roman" w:eastAsia="Times New Roman" w:hAnsi="Times New Roman"/>
          <w:sz w:val="24"/>
          <w:szCs w:val="24"/>
        </w:rPr>
        <w:t xml:space="preserve">dodjele za frekvencijski pojas </w:t>
      </w:r>
      <w:r>
        <w:rPr>
          <w:rFonts w:ascii="Times New Roman" w:eastAsia="Times New Roman" w:hAnsi="Times New Roman"/>
          <w:sz w:val="24"/>
          <w:szCs w:val="24"/>
        </w:rPr>
        <w:t>2500 – 2690 MHz</w:t>
      </w:r>
      <w:r w:rsidRPr="00981C48">
        <w:rPr>
          <w:rFonts w:ascii="Times New Roman" w:eastAsia="Times New Roman" w:hAnsi="Times New Roman"/>
          <w:sz w:val="24"/>
          <w:szCs w:val="24"/>
        </w:rPr>
        <w:t xml:space="preserve"> određuju se</w:t>
      </w:r>
      <w:r>
        <w:rPr>
          <w:rFonts w:ascii="Times New Roman" w:eastAsia="Times New Roman" w:hAnsi="Times New Roman"/>
          <w:sz w:val="24"/>
          <w:szCs w:val="24"/>
        </w:rPr>
        <w:t xml:space="preserve"> </w:t>
      </w:r>
      <w:r w:rsidRPr="00981C48">
        <w:rPr>
          <w:rFonts w:ascii="Times New Roman" w:eastAsia="Times New Roman" w:hAnsi="Times New Roman"/>
          <w:sz w:val="24"/>
          <w:szCs w:val="24"/>
        </w:rPr>
        <w:t>Tablicom 1.</w:t>
      </w:r>
    </w:p>
    <w:p w:rsidR="00A0536F" w:rsidRDefault="00A0536F" w:rsidP="00A0536F">
      <w:pPr>
        <w:spacing w:after="0" w:line="240" w:lineRule="auto"/>
        <w:jc w:val="both"/>
        <w:rPr>
          <w:rFonts w:ascii="Times New Roman" w:eastAsia="Times New Roman" w:hAnsi="Times New Roman"/>
          <w:sz w:val="24"/>
          <w:szCs w:val="24"/>
        </w:rPr>
      </w:pPr>
    </w:p>
    <w:p w:rsidR="00A0536F" w:rsidRPr="00BB7FB6" w:rsidRDefault="00A0536F" w:rsidP="00A0536F">
      <w:pPr>
        <w:spacing w:after="0" w:line="240" w:lineRule="auto"/>
        <w:jc w:val="both"/>
        <w:rPr>
          <w:rFonts w:ascii="Times New Roman" w:eastAsia="Times New Roman" w:hAnsi="Times New Roman"/>
          <w:i/>
        </w:rPr>
      </w:pPr>
      <w:r w:rsidRPr="00BB7FB6">
        <w:rPr>
          <w:rFonts w:ascii="Times New Roman" w:eastAsia="Times New Roman" w:hAnsi="Times New Roman"/>
          <w:i/>
        </w:rPr>
        <w:t xml:space="preserve">Tablica 1. </w:t>
      </w:r>
      <w:r w:rsidRPr="00BB7FB6">
        <w:rPr>
          <w:rFonts w:ascii="Times New Roman" w:hAnsi="Times New Roman"/>
          <w:b/>
        </w:rPr>
        <w:t>Opći uvjeti</w:t>
      </w:r>
    </w:p>
    <w:tbl>
      <w:tblPr>
        <w:tblStyle w:val="TableGrid"/>
        <w:tblW w:w="9067" w:type="dxa"/>
        <w:tblLayout w:type="fixed"/>
        <w:tblLook w:val="04A0" w:firstRow="1" w:lastRow="0" w:firstColumn="1" w:lastColumn="0" w:noHBand="0" w:noVBand="1"/>
      </w:tblPr>
      <w:tblGrid>
        <w:gridCol w:w="2122"/>
        <w:gridCol w:w="2126"/>
        <w:gridCol w:w="4819"/>
      </w:tblGrid>
      <w:tr w:rsidR="00A0536F" w:rsidRPr="00BB7FB6" w:rsidTr="00C62638">
        <w:tc>
          <w:tcPr>
            <w:tcW w:w="2122" w:type="dxa"/>
            <w:vAlign w:val="center"/>
          </w:tcPr>
          <w:p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Frekvencijski pojas (MHz)</w:t>
            </w:r>
          </w:p>
        </w:tc>
        <w:tc>
          <w:tcPr>
            <w:tcW w:w="2126" w:type="dxa"/>
            <w:vAlign w:val="center"/>
          </w:tcPr>
          <w:p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Područje uporabe</w:t>
            </w:r>
          </w:p>
        </w:tc>
        <w:tc>
          <w:tcPr>
            <w:tcW w:w="4819" w:type="dxa"/>
            <w:vAlign w:val="center"/>
          </w:tcPr>
          <w:p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Primjena</w:t>
            </w:r>
          </w:p>
        </w:tc>
      </w:tr>
      <w:tr w:rsidR="00A0536F" w:rsidRPr="00BB7FB6" w:rsidTr="00C62638">
        <w:trPr>
          <w:trHeight w:val="521"/>
        </w:trPr>
        <w:tc>
          <w:tcPr>
            <w:tcW w:w="2122" w:type="dxa"/>
            <w:vAlign w:val="center"/>
          </w:tcPr>
          <w:p w:rsidR="00A0536F" w:rsidRPr="00BB7FB6" w:rsidRDefault="00A0536F" w:rsidP="00C62638">
            <w:pPr>
              <w:jc w:val="center"/>
              <w:rPr>
                <w:rFonts w:ascii="Times New Roman" w:eastAsia="Times New Roman" w:hAnsi="Times New Roman" w:cs="Times New Roman"/>
              </w:rPr>
            </w:pPr>
            <w:r w:rsidRPr="00BB7FB6">
              <w:rPr>
                <w:rFonts w:ascii="Times New Roman" w:eastAsia="Times New Roman" w:hAnsi="Times New Roman" w:cs="Times New Roman"/>
              </w:rPr>
              <w:t>2500-2690</w:t>
            </w:r>
          </w:p>
        </w:tc>
        <w:tc>
          <w:tcPr>
            <w:tcW w:w="2126" w:type="dxa"/>
            <w:vAlign w:val="center"/>
          </w:tcPr>
          <w:p w:rsidR="00A0536F" w:rsidRPr="00BB7FB6" w:rsidRDefault="00A0536F" w:rsidP="00C62638">
            <w:pPr>
              <w:jc w:val="center"/>
              <w:rPr>
                <w:rFonts w:ascii="Times New Roman" w:eastAsia="Times New Roman" w:hAnsi="Times New Roman" w:cs="Times New Roman"/>
              </w:rPr>
            </w:pPr>
            <w:r w:rsidRPr="00BB7FB6">
              <w:rPr>
                <w:rFonts w:ascii="Times New Roman" w:eastAsia="Times New Roman" w:hAnsi="Times New Roman" w:cs="Times New Roman"/>
              </w:rPr>
              <w:t>Republika Hrvatska</w:t>
            </w:r>
          </w:p>
        </w:tc>
        <w:tc>
          <w:tcPr>
            <w:tcW w:w="4819" w:type="dxa"/>
            <w:vAlign w:val="center"/>
          </w:tcPr>
          <w:p w:rsidR="00A0536F" w:rsidRPr="00BB7FB6" w:rsidRDefault="00A0536F" w:rsidP="00C62638">
            <w:pPr>
              <w:jc w:val="center"/>
              <w:rPr>
                <w:rFonts w:ascii="Times New Roman" w:eastAsia="Times New Roman" w:hAnsi="Times New Roman" w:cs="Times New Roman"/>
              </w:rPr>
            </w:pPr>
            <w:r w:rsidRPr="00BB7FB6">
              <w:rPr>
                <w:rFonts w:ascii="Times New Roman" w:eastAsia="Times New Roman" w:hAnsi="Times New Roman" w:cs="Times New Roman"/>
              </w:rPr>
              <w:t>Pokretne i nepokretne komunikacijske mreže u skladu s EC odlukom</w:t>
            </w:r>
            <w:r w:rsidRPr="00BB7FB6">
              <w:rPr>
                <w:rFonts w:ascii="Times New Roman" w:hAnsi="Times New Roman" w:cs="Times New Roman"/>
              </w:rPr>
              <w:t xml:space="preserve"> 2008/477/EC, </w:t>
            </w:r>
            <w:r w:rsidRPr="00BB7FB6">
              <w:rPr>
                <w:rFonts w:ascii="Times New Roman" w:eastAsia="Times New Roman" w:hAnsi="Times New Roman" w:cs="Times New Roman"/>
              </w:rPr>
              <w:t>EC odlukom</w:t>
            </w:r>
            <w:r w:rsidRPr="00BB7FB6">
              <w:rPr>
                <w:rFonts w:ascii="Times New Roman" w:hAnsi="Times New Roman" w:cs="Times New Roman"/>
              </w:rPr>
              <w:t xml:space="preserve"> (EU) 2020/636 i ECC odlukom </w:t>
            </w:r>
            <w:r w:rsidRPr="00BB7FB6">
              <w:rPr>
                <w:rFonts w:ascii="Times New Roman" w:eastAsia="Times New Roman" w:hAnsi="Times New Roman" w:cs="Times New Roman"/>
              </w:rPr>
              <w:t>ECC/DEC/(05)05</w:t>
            </w:r>
          </w:p>
        </w:tc>
      </w:tr>
    </w:tbl>
    <w:p w:rsidR="00A0536F" w:rsidRDefault="00A0536F" w:rsidP="00A0536F">
      <w:pPr>
        <w:spacing w:after="0" w:line="240" w:lineRule="auto"/>
        <w:jc w:val="both"/>
        <w:rPr>
          <w:rFonts w:ascii="Times New Roman" w:eastAsia="Times New Roman" w:hAnsi="Times New Roman"/>
          <w:i/>
          <w:sz w:val="24"/>
          <w:szCs w:val="24"/>
          <w:lang w:val="en-US"/>
        </w:rPr>
      </w:pPr>
    </w:p>
    <w:p w:rsidR="00A0536F" w:rsidRDefault="00A0536F" w:rsidP="00A0536F">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2) U frekvencijskom pojasu 2500 – 2690 MHz širina dodijeljenog spektra je višekratnik bloka frekvencija širine 5 MHz.</w:t>
      </w:r>
    </w:p>
    <w:p w:rsidR="00A0536F" w:rsidRPr="002C2026" w:rsidRDefault="00A0536F" w:rsidP="00A0536F">
      <w:pPr>
        <w:spacing w:after="0" w:line="240" w:lineRule="auto"/>
        <w:jc w:val="both"/>
        <w:rPr>
          <w:rFonts w:ascii="Times New Roman" w:eastAsia="Times New Roman" w:hAnsi="Times New Roman"/>
          <w:sz w:val="24"/>
          <w:szCs w:val="24"/>
          <w:lang w:val="en-US"/>
        </w:rPr>
      </w:pPr>
    </w:p>
    <w:p w:rsidR="00A0536F" w:rsidRDefault="00A0536F" w:rsidP="00A0536F">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 xml:space="preserve">3) Frekvencijski pojas 2500 – 2570 MHz uparen je s pojasom 2620 – 2690 MHz i koristi se kao frekvencijski </w:t>
      </w:r>
      <w:proofErr w:type="spellStart"/>
      <w:r>
        <w:rPr>
          <w:rFonts w:ascii="Times New Roman" w:eastAsia="Times New Roman" w:hAnsi="Times New Roman"/>
          <w:sz w:val="24"/>
          <w:szCs w:val="24"/>
        </w:rPr>
        <w:t>dupleks</w:t>
      </w:r>
      <w:proofErr w:type="spellEnd"/>
      <w:r>
        <w:rPr>
          <w:rFonts w:ascii="Times New Roman" w:eastAsia="Times New Roman" w:hAnsi="Times New Roman"/>
          <w:sz w:val="24"/>
          <w:szCs w:val="24"/>
        </w:rPr>
        <w:t xml:space="preserve"> (FDD) gdje je</w:t>
      </w:r>
      <w:r w:rsidRPr="00CC54AC">
        <w:rPr>
          <w:rFonts w:ascii="Times New Roman" w:hAnsi="Times New Roman"/>
        </w:rPr>
        <w:t xml:space="preserve"> </w:t>
      </w:r>
      <w:r>
        <w:rPr>
          <w:rFonts w:ascii="Times New Roman" w:eastAsia="Times New Roman" w:hAnsi="Times New Roman"/>
          <w:sz w:val="24"/>
          <w:szCs w:val="24"/>
        </w:rPr>
        <w:t xml:space="preserve">2500 – 2570 MHz </w:t>
      </w:r>
      <w:r w:rsidRPr="00407937">
        <w:rPr>
          <w:rFonts w:ascii="Times New Roman" w:eastAsia="Times New Roman" w:hAnsi="Times New Roman"/>
          <w:sz w:val="24"/>
          <w:szCs w:val="24"/>
        </w:rPr>
        <w:t>frekvencijsk</w:t>
      </w:r>
      <w:r>
        <w:rPr>
          <w:rFonts w:ascii="Times New Roman" w:eastAsia="Times New Roman" w:hAnsi="Times New Roman"/>
          <w:sz w:val="24"/>
          <w:szCs w:val="24"/>
        </w:rPr>
        <w:t>i</w:t>
      </w:r>
      <w:r w:rsidRPr="00407937">
        <w:rPr>
          <w:rFonts w:ascii="Times New Roman" w:eastAsia="Times New Roman" w:hAnsi="Times New Roman"/>
          <w:sz w:val="24"/>
          <w:szCs w:val="24"/>
        </w:rPr>
        <w:t xml:space="preserve"> </w:t>
      </w:r>
      <w:r>
        <w:rPr>
          <w:rFonts w:ascii="Times New Roman" w:eastAsia="Times New Roman" w:hAnsi="Times New Roman"/>
          <w:sz w:val="24"/>
          <w:szCs w:val="24"/>
        </w:rPr>
        <w:t>pojas</w:t>
      </w:r>
      <w:r w:rsidRPr="00407937">
        <w:rPr>
          <w:rFonts w:ascii="Times New Roman" w:eastAsia="Times New Roman" w:hAnsi="Times New Roman"/>
          <w:sz w:val="24"/>
          <w:szCs w:val="24"/>
        </w:rPr>
        <w:t xml:space="preserve"> uzlazne veze, a </w:t>
      </w:r>
      <w:r>
        <w:rPr>
          <w:rFonts w:ascii="Times New Roman" w:eastAsia="Times New Roman" w:hAnsi="Times New Roman"/>
          <w:sz w:val="24"/>
          <w:szCs w:val="24"/>
        </w:rPr>
        <w:t>2620 – 2690 MHz</w:t>
      </w:r>
      <w:r w:rsidRPr="00407937">
        <w:rPr>
          <w:rFonts w:ascii="Times New Roman" w:eastAsia="Times New Roman" w:hAnsi="Times New Roman"/>
          <w:sz w:val="24"/>
          <w:szCs w:val="24"/>
        </w:rPr>
        <w:t xml:space="preserve"> frekvencijsk</w:t>
      </w:r>
      <w:r>
        <w:rPr>
          <w:rFonts w:ascii="Times New Roman" w:eastAsia="Times New Roman" w:hAnsi="Times New Roman"/>
          <w:sz w:val="24"/>
          <w:szCs w:val="24"/>
        </w:rPr>
        <w:t>i</w:t>
      </w:r>
      <w:r w:rsidRPr="00407937">
        <w:rPr>
          <w:rFonts w:ascii="Times New Roman" w:eastAsia="Times New Roman" w:hAnsi="Times New Roman"/>
          <w:sz w:val="24"/>
          <w:szCs w:val="24"/>
        </w:rPr>
        <w:t xml:space="preserve"> </w:t>
      </w:r>
      <w:r>
        <w:rPr>
          <w:rFonts w:ascii="Times New Roman" w:eastAsia="Times New Roman" w:hAnsi="Times New Roman"/>
          <w:sz w:val="24"/>
          <w:szCs w:val="24"/>
        </w:rPr>
        <w:t>pojas</w:t>
      </w:r>
      <w:r w:rsidRPr="00407937">
        <w:rPr>
          <w:rFonts w:ascii="Times New Roman" w:eastAsia="Times New Roman" w:hAnsi="Times New Roman"/>
          <w:sz w:val="24"/>
          <w:szCs w:val="24"/>
        </w:rPr>
        <w:t xml:space="preserve"> silazne veze.</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 xml:space="preserve">4) Frekvencijski pojas 2570 – 2620 MHz može se koristiti kao vremenski </w:t>
      </w:r>
      <w:proofErr w:type="spellStart"/>
      <w:r>
        <w:rPr>
          <w:rFonts w:ascii="Times New Roman" w:eastAsia="Times New Roman" w:hAnsi="Times New Roman"/>
          <w:sz w:val="24"/>
          <w:szCs w:val="24"/>
        </w:rPr>
        <w:t>dupleks</w:t>
      </w:r>
      <w:proofErr w:type="spellEnd"/>
      <w:r>
        <w:rPr>
          <w:rFonts w:ascii="Times New Roman" w:eastAsia="Times New Roman" w:hAnsi="Times New Roman"/>
          <w:sz w:val="24"/>
          <w:szCs w:val="24"/>
        </w:rPr>
        <w:t xml:space="preserve"> (TDD) ili kao dodatna silazna veza SDL (</w:t>
      </w:r>
      <w:proofErr w:type="spellStart"/>
      <w:r w:rsidRPr="00E521EB">
        <w:rPr>
          <w:rFonts w:ascii="Times New Roman" w:eastAsia="Times New Roman" w:hAnsi="Times New Roman"/>
          <w:sz w:val="24"/>
          <w:szCs w:val="24"/>
        </w:rPr>
        <w:t>Supplemental</w:t>
      </w:r>
      <w:proofErr w:type="spellEnd"/>
      <w:r w:rsidRPr="00E521EB">
        <w:rPr>
          <w:rFonts w:ascii="Times New Roman" w:eastAsia="Times New Roman" w:hAnsi="Times New Roman"/>
          <w:sz w:val="24"/>
          <w:szCs w:val="24"/>
        </w:rPr>
        <w:t xml:space="preserve"> </w:t>
      </w:r>
      <w:proofErr w:type="spellStart"/>
      <w:r w:rsidRPr="00E521EB">
        <w:rPr>
          <w:rFonts w:ascii="Times New Roman" w:eastAsia="Times New Roman" w:hAnsi="Times New Roman"/>
          <w:sz w:val="24"/>
          <w:szCs w:val="24"/>
        </w:rPr>
        <w:t>Downlink</w:t>
      </w:r>
      <w:proofErr w:type="spellEnd"/>
      <w:r w:rsidRPr="00E521EB">
        <w:rPr>
          <w:rFonts w:ascii="Times New Roman" w:eastAsia="Times New Roman" w:hAnsi="Times New Roman"/>
          <w:sz w:val="24"/>
          <w:szCs w:val="24"/>
        </w:rPr>
        <w:t>)</w:t>
      </w:r>
      <w:r>
        <w:rPr>
          <w:rFonts w:ascii="Times New Roman" w:eastAsia="Times New Roman" w:hAnsi="Times New Roman"/>
          <w:sz w:val="24"/>
          <w:szCs w:val="24"/>
        </w:rPr>
        <w:t>.</w:t>
      </w:r>
    </w:p>
    <w:p w:rsidR="00A0536F" w:rsidRDefault="00A0536F" w:rsidP="00A0536F">
      <w:pPr>
        <w:spacing w:after="0" w:line="240" w:lineRule="auto"/>
        <w:jc w:val="both"/>
        <w:rPr>
          <w:rFonts w:ascii="Times New Roman" w:eastAsia="Times New Roman" w:hAnsi="Times New Roman"/>
          <w:sz w:val="24"/>
          <w:szCs w:val="24"/>
        </w:rPr>
      </w:pPr>
    </w:p>
    <w:p w:rsidR="00A0536F" w:rsidRPr="002C2026" w:rsidRDefault="00A0536F" w:rsidP="00A0536F">
      <w:pPr>
        <w:spacing w:after="0" w:line="240" w:lineRule="auto"/>
        <w:jc w:val="both"/>
        <w:rPr>
          <w:rFonts w:ascii="Times New Roman" w:eastAsia="Times New Roman" w:hAnsi="Times New Roman"/>
          <w:sz w:val="24"/>
          <w:szCs w:val="24"/>
          <w:lang w:val="en-US"/>
        </w:rPr>
      </w:pPr>
      <w:r>
        <w:rPr>
          <w:rFonts w:ascii="Times New Roman" w:eastAsia="Times New Roman" w:hAnsi="Times New Roman"/>
          <w:sz w:val="24"/>
          <w:szCs w:val="24"/>
        </w:rPr>
        <w:t xml:space="preserve">(5) </w:t>
      </w:r>
      <w:r w:rsidRPr="00511A18">
        <w:rPr>
          <w:rFonts w:ascii="Times New Roman" w:eastAsia="Times New Roman" w:hAnsi="Times New Roman"/>
          <w:sz w:val="24"/>
          <w:szCs w:val="24"/>
        </w:rPr>
        <w:t>Uporaba NB-</w:t>
      </w:r>
      <w:proofErr w:type="spellStart"/>
      <w:r w:rsidRPr="00511A18">
        <w:rPr>
          <w:rFonts w:ascii="Times New Roman" w:eastAsia="Times New Roman" w:hAnsi="Times New Roman"/>
          <w:sz w:val="24"/>
          <w:szCs w:val="24"/>
        </w:rPr>
        <w:t>IoT</w:t>
      </w:r>
      <w:proofErr w:type="spellEnd"/>
      <w:r w:rsidRPr="00511A18">
        <w:rPr>
          <w:rFonts w:ascii="Times New Roman" w:eastAsia="Times New Roman" w:hAnsi="Times New Roman"/>
          <w:sz w:val="24"/>
          <w:szCs w:val="24"/>
        </w:rPr>
        <w:t xml:space="preserve"> tehnologije u zaštitnom pojasu je moguća uz razmak od 200 </w:t>
      </w:r>
      <w:proofErr w:type="spellStart"/>
      <w:r w:rsidRPr="00511A18">
        <w:rPr>
          <w:rFonts w:ascii="Times New Roman" w:eastAsia="Times New Roman" w:hAnsi="Times New Roman"/>
          <w:sz w:val="24"/>
          <w:szCs w:val="24"/>
        </w:rPr>
        <w:t>kHz</w:t>
      </w:r>
      <w:proofErr w:type="spellEnd"/>
      <w:r w:rsidRPr="00511A18">
        <w:rPr>
          <w:rFonts w:ascii="Times New Roman" w:eastAsia="Times New Roman" w:hAnsi="Times New Roman"/>
          <w:sz w:val="24"/>
          <w:szCs w:val="24"/>
        </w:rPr>
        <w:t xml:space="preserve"> između ruba NB-</w:t>
      </w:r>
      <w:proofErr w:type="spellStart"/>
      <w:r w:rsidRPr="00511A18">
        <w:rPr>
          <w:rFonts w:ascii="Times New Roman" w:eastAsia="Times New Roman" w:hAnsi="Times New Roman"/>
          <w:sz w:val="24"/>
          <w:szCs w:val="24"/>
        </w:rPr>
        <w:t>IoT</w:t>
      </w:r>
      <w:proofErr w:type="spellEnd"/>
      <w:r w:rsidRPr="00511A18">
        <w:rPr>
          <w:rFonts w:ascii="Times New Roman" w:eastAsia="Times New Roman" w:hAnsi="Times New Roman"/>
          <w:sz w:val="24"/>
          <w:szCs w:val="24"/>
        </w:rPr>
        <w:t xml:space="preserve"> resursnog bloka i LTE ruba kanala u slučajevima gdje je LTE širina kanala 10 ili više MHz</w:t>
      </w:r>
      <w:r w:rsidRPr="006A4A17">
        <w:rPr>
          <w:rFonts w:ascii="Times New Roman" w:eastAsia="Times New Roman" w:hAnsi="Times New Roman"/>
          <w:sz w:val="24"/>
          <w:szCs w:val="24"/>
          <w:lang w:val="en-US"/>
        </w:rPr>
        <w:t>.</w:t>
      </w:r>
    </w:p>
    <w:p w:rsidR="00A0536F" w:rsidRDefault="00A0536F" w:rsidP="00A0536F">
      <w:pPr>
        <w:spacing w:after="0" w:line="240" w:lineRule="auto"/>
        <w:rPr>
          <w:rFonts w:ascii="Times New Roman" w:eastAsia="Times New Roman" w:hAnsi="Times New Roman"/>
          <w:sz w:val="24"/>
          <w:szCs w:val="24"/>
        </w:rPr>
      </w:pPr>
    </w:p>
    <w:p w:rsidR="00A0536F" w:rsidRDefault="00A0536F" w:rsidP="00A0536F">
      <w:pPr>
        <w:spacing w:after="0" w:line="240" w:lineRule="auto"/>
        <w:rPr>
          <w:rFonts w:ascii="Times New Roman" w:eastAsia="Times New Roman" w:hAnsi="Times New Roman"/>
          <w:sz w:val="24"/>
          <w:szCs w:val="24"/>
        </w:rPr>
      </w:pPr>
    </w:p>
    <w:p w:rsidR="00A0536F" w:rsidRPr="00407937" w:rsidRDefault="00A0536F" w:rsidP="00A0536F">
      <w:pPr>
        <w:spacing w:after="0" w:line="240" w:lineRule="auto"/>
        <w:jc w:val="center"/>
        <w:rPr>
          <w:rFonts w:ascii="Times New Roman" w:hAnsi="Times New Roman"/>
        </w:rPr>
      </w:pPr>
      <w:r>
        <w:rPr>
          <w:rFonts w:ascii="Times New Roman" w:eastAsia="Times New Roman" w:hAnsi="Times New Roman"/>
          <w:i/>
          <w:sz w:val="24"/>
          <w:szCs w:val="24"/>
        </w:rPr>
        <w:t>Tehnički uvjeti za bazne postaje</w:t>
      </w:r>
    </w:p>
    <w:p w:rsidR="00A0536F" w:rsidRPr="00981C48" w:rsidRDefault="00A0536F" w:rsidP="00A0536F">
      <w:pPr>
        <w:spacing w:after="0" w:line="240" w:lineRule="auto"/>
        <w:jc w:val="center"/>
        <w:rPr>
          <w:rFonts w:ascii="Times New Roman" w:eastAsia="Times New Roman" w:hAnsi="Times New Roman"/>
          <w:i/>
          <w:sz w:val="24"/>
          <w:szCs w:val="24"/>
        </w:rPr>
      </w:pPr>
    </w:p>
    <w:p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2.</w:t>
      </w:r>
    </w:p>
    <w:p w:rsidR="00A0536F" w:rsidRDefault="00A0536F" w:rsidP="00A0536F">
      <w:pPr>
        <w:spacing w:after="0" w:line="240" w:lineRule="auto"/>
        <w:jc w:val="center"/>
        <w:rPr>
          <w:rFonts w:ascii="Times New Roman" w:eastAsia="Times New Roman" w:hAnsi="Times New Roman"/>
          <w:sz w:val="24"/>
          <w:szCs w:val="24"/>
        </w:rPr>
      </w:pPr>
    </w:p>
    <w:p w:rsidR="00A0536F" w:rsidRDefault="00A0536F" w:rsidP="00A0536F">
      <w:pPr>
        <w:spacing w:after="0" w:line="240" w:lineRule="auto"/>
        <w:jc w:val="both"/>
        <w:rPr>
          <w:rFonts w:ascii="Times New Roman" w:hAnsi="Times New Roman"/>
          <w:sz w:val="24"/>
          <w:szCs w:val="24"/>
        </w:rPr>
      </w:pPr>
      <w:r>
        <w:rPr>
          <w:rFonts w:ascii="Times New Roman" w:hAnsi="Times New Roman"/>
          <w:sz w:val="24"/>
          <w:szCs w:val="24"/>
        </w:rPr>
        <w:t xml:space="preserve">(1) Tehnički </w:t>
      </w:r>
      <w:r w:rsidRPr="00EC69E6">
        <w:rPr>
          <w:rFonts w:ascii="Times New Roman" w:hAnsi="Times New Roman"/>
          <w:sz w:val="24"/>
          <w:szCs w:val="24"/>
        </w:rPr>
        <w:t>uvjeti za bazne postaje definirani</w:t>
      </w:r>
      <w:r>
        <w:rPr>
          <w:rFonts w:ascii="Times New Roman" w:hAnsi="Times New Roman"/>
          <w:sz w:val="24"/>
          <w:szCs w:val="24"/>
        </w:rPr>
        <w:t xml:space="preserve"> su</w:t>
      </w:r>
      <w:r w:rsidRPr="00EC69E6">
        <w:rPr>
          <w:rFonts w:ascii="Times New Roman" w:hAnsi="Times New Roman"/>
          <w:sz w:val="24"/>
          <w:szCs w:val="24"/>
        </w:rPr>
        <w:t xml:space="preserve"> maskom ruba</w:t>
      </w:r>
      <w:r>
        <w:rPr>
          <w:rFonts w:ascii="Times New Roman" w:hAnsi="Times New Roman"/>
          <w:sz w:val="24"/>
          <w:szCs w:val="24"/>
        </w:rPr>
        <w:t xml:space="preserve"> kanala (BEM). </w:t>
      </w:r>
      <w:r w:rsidRPr="00EC69E6">
        <w:rPr>
          <w:rFonts w:ascii="Times New Roman" w:hAnsi="Times New Roman"/>
          <w:sz w:val="24"/>
          <w:szCs w:val="24"/>
        </w:rPr>
        <w:t xml:space="preserve">BEM se sastoji od nekoliko elemenata navedenih u </w:t>
      </w:r>
      <w:r>
        <w:rPr>
          <w:rFonts w:ascii="Times New Roman" w:hAnsi="Times New Roman"/>
          <w:sz w:val="24"/>
          <w:szCs w:val="24"/>
        </w:rPr>
        <w:t>T</w:t>
      </w:r>
      <w:r w:rsidRPr="00EC69E6">
        <w:rPr>
          <w:rFonts w:ascii="Times New Roman" w:hAnsi="Times New Roman"/>
          <w:sz w:val="24"/>
          <w:szCs w:val="24"/>
        </w:rPr>
        <w:t xml:space="preserve">ablici </w:t>
      </w:r>
      <w:r>
        <w:rPr>
          <w:rFonts w:ascii="Times New Roman" w:hAnsi="Times New Roman"/>
          <w:sz w:val="24"/>
          <w:szCs w:val="24"/>
        </w:rPr>
        <w:t>2</w:t>
      </w:r>
      <w:r w:rsidRPr="00EC69E6">
        <w:rPr>
          <w:rFonts w:ascii="Times New Roman" w:hAnsi="Times New Roman"/>
          <w:sz w:val="24"/>
          <w:szCs w:val="24"/>
        </w:rPr>
        <w:t>. Ograničenje snage unutar bloka primjenjuje se na blok dodijeljen operateru. Elementi izvan bloka su osnovno ograničenje snage izvan bloka</w:t>
      </w:r>
      <w:r>
        <w:rPr>
          <w:rFonts w:ascii="Times New Roman" w:hAnsi="Times New Roman"/>
          <w:sz w:val="24"/>
          <w:szCs w:val="24"/>
        </w:rPr>
        <w:t>, namijenjeno zaštiti spektra drugih operato</w:t>
      </w:r>
      <w:r w:rsidRPr="00EC69E6">
        <w:rPr>
          <w:rFonts w:ascii="Times New Roman" w:hAnsi="Times New Roman"/>
          <w:sz w:val="24"/>
          <w:szCs w:val="24"/>
        </w:rPr>
        <w:t>ra, i ograničenje snage u prijelaznom području, koje omogućava promjenu odziva filtra s ograničenja unutar bloka na osnovno ograničenje snage izvan bloka</w:t>
      </w:r>
    </w:p>
    <w:p w:rsidR="00A0536F" w:rsidRDefault="00A0536F" w:rsidP="00A0536F">
      <w:pPr>
        <w:spacing w:after="0" w:line="240" w:lineRule="auto"/>
        <w:jc w:val="both"/>
        <w:rPr>
          <w:rFonts w:ascii="Times New Roman" w:hAnsi="Times New Roman"/>
          <w:sz w:val="24"/>
          <w:szCs w:val="24"/>
        </w:rPr>
      </w:pPr>
    </w:p>
    <w:p w:rsidR="00A0536F" w:rsidRPr="00A35894" w:rsidRDefault="00A0536F" w:rsidP="00A0536F">
      <w:pPr>
        <w:spacing w:after="0" w:line="240" w:lineRule="auto"/>
        <w:jc w:val="both"/>
        <w:rPr>
          <w:rFonts w:ascii="Times New Roman" w:hAnsi="Times New Roman"/>
          <w:b/>
        </w:rPr>
      </w:pPr>
      <w:r w:rsidRPr="00E06D37">
        <w:rPr>
          <w:rFonts w:ascii="Times New Roman" w:hAnsi="Times New Roman"/>
          <w:i/>
        </w:rPr>
        <w:t xml:space="preserve">Tablica </w:t>
      </w:r>
      <w:r>
        <w:rPr>
          <w:rFonts w:ascii="Times New Roman" w:hAnsi="Times New Roman"/>
          <w:i/>
        </w:rPr>
        <w:t>2.</w:t>
      </w:r>
      <w:r w:rsidRPr="00DE3D1B">
        <w:rPr>
          <w:rFonts w:ascii="Times New Roman" w:hAnsi="Times New Roman"/>
          <w:b/>
        </w:rPr>
        <w:t xml:space="preserve"> </w:t>
      </w:r>
      <w:r>
        <w:rPr>
          <w:rFonts w:ascii="Times New Roman" w:hAnsi="Times New Roman"/>
          <w:b/>
        </w:rPr>
        <w:t>Elementi BEM-a</w:t>
      </w:r>
      <w:r w:rsidRPr="00DE3D1B" w:rsidDel="00B76BEC">
        <w:rPr>
          <w:rFonts w:ascii="Times New Roman" w:hAnsi="Times New Roman"/>
          <w:b/>
        </w:rPr>
        <w:t xml:space="preserve"> </w:t>
      </w:r>
    </w:p>
    <w:tbl>
      <w:tblPr>
        <w:tblStyle w:val="TableGrid"/>
        <w:tblW w:w="0" w:type="auto"/>
        <w:tblLook w:val="04A0" w:firstRow="1" w:lastRow="0" w:firstColumn="1" w:lastColumn="0" w:noHBand="0" w:noVBand="1"/>
      </w:tblPr>
      <w:tblGrid>
        <w:gridCol w:w="2962"/>
        <w:gridCol w:w="6080"/>
      </w:tblGrid>
      <w:tr w:rsidR="00A0536F" w:rsidTr="00C62638">
        <w:tc>
          <w:tcPr>
            <w:tcW w:w="2962" w:type="dxa"/>
          </w:tcPr>
          <w:p w:rsidR="00A0536F" w:rsidRPr="009A6774" w:rsidRDefault="00A0536F" w:rsidP="00C62638">
            <w:pPr>
              <w:jc w:val="center"/>
              <w:rPr>
                <w:rFonts w:ascii="Times New Roman" w:hAnsi="Times New Roman" w:cs="Times New Roman"/>
                <w:b/>
                <w:sz w:val="24"/>
                <w:szCs w:val="24"/>
              </w:rPr>
            </w:pPr>
            <w:r w:rsidRPr="009A6774">
              <w:rPr>
                <w:rFonts w:ascii="Times New Roman" w:hAnsi="Times New Roman" w:cs="Times New Roman"/>
                <w:b/>
              </w:rPr>
              <w:t>Element BEM-a</w:t>
            </w:r>
          </w:p>
        </w:tc>
        <w:tc>
          <w:tcPr>
            <w:tcW w:w="6080" w:type="dxa"/>
          </w:tcPr>
          <w:p w:rsidR="00A0536F" w:rsidRPr="009A6774" w:rsidRDefault="00A0536F" w:rsidP="00C62638">
            <w:pPr>
              <w:jc w:val="center"/>
              <w:rPr>
                <w:rFonts w:ascii="Times New Roman" w:hAnsi="Times New Roman" w:cs="Times New Roman"/>
                <w:b/>
                <w:sz w:val="24"/>
                <w:szCs w:val="24"/>
              </w:rPr>
            </w:pPr>
            <w:r w:rsidRPr="009A6774">
              <w:rPr>
                <w:rFonts w:ascii="Times New Roman" w:hAnsi="Times New Roman" w:cs="Times New Roman"/>
                <w:b/>
              </w:rPr>
              <w:t>Definicija</w:t>
            </w:r>
          </w:p>
        </w:tc>
      </w:tr>
      <w:tr w:rsidR="00A0536F" w:rsidTr="00C62638">
        <w:tc>
          <w:tcPr>
            <w:tcW w:w="2962" w:type="dxa"/>
          </w:tcPr>
          <w:p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Unutar bloka</w:t>
            </w:r>
          </w:p>
        </w:tc>
        <w:tc>
          <w:tcPr>
            <w:tcW w:w="6080" w:type="dxa"/>
          </w:tcPr>
          <w:p w:rsidR="00A0536F" w:rsidRPr="0052512C" w:rsidRDefault="00A0536F" w:rsidP="00C62638">
            <w:pPr>
              <w:jc w:val="both"/>
              <w:rPr>
                <w:rFonts w:ascii="Times New Roman" w:hAnsi="Times New Roman" w:cs="Times New Roman"/>
                <w:sz w:val="24"/>
                <w:szCs w:val="24"/>
              </w:rPr>
            </w:pPr>
            <w:r w:rsidRPr="0052512C">
              <w:rPr>
                <w:rFonts w:ascii="Times New Roman" w:hAnsi="Times New Roman" w:cs="Times New Roman"/>
              </w:rPr>
              <w:t>Odnosi se na blok za koji je izveden BEM.</w:t>
            </w:r>
          </w:p>
        </w:tc>
      </w:tr>
      <w:tr w:rsidR="00A0536F" w:rsidTr="00C62638">
        <w:tc>
          <w:tcPr>
            <w:tcW w:w="2962" w:type="dxa"/>
          </w:tcPr>
          <w:p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Osnova</w:t>
            </w:r>
          </w:p>
        </w:tc>
        <w:tc>
          <w:tcPr>
            <w:tcW w:w="6080" w:type="dxa"/>
          </w:tcPr>
          <w:p w:rsidR="00A0536F" w:rsidRPr="00A35894" w:rsidRDefault="00A0536F" w:rsidP="00C62638">
            <w:pPr>
              <w:jc w:val="both"/>
              <w:rPr>
                <w:rFonts w:ascii="Times New Roman" w:hAnsi="Times New Roman" w:cs="Times New Roman"/>
                <w:sz w:val="24"/>
                <w:szCs w:val="24"/>
              </w:rPr>
            </w:pPr>
            <w:r w:rsidRPr="00A35894">
              <w:rPr>
                <w:rFonts w:ascii="Times New Roman" w:hAnsi="Times New Roman" w:cs="Times New Roman"/>
              </w:rPr>
              <w:t>Spektar</w:t>
            </w:r>
            <w:r>
              <w:rPr>
                <w:rFonts w:ascii="Times New Roman" w:hAnsi="Times New Roman" w:cs="Times New Roman"/>
              </w:rPr>
              <w:t xml:space="preserve"> unutar frekvencijskog pojasa 2500–2</w:t>
            </w:r>
            <w:r w:rsidRPr="00A35894">
              <w:rPr>
                <w:rFonts w:ascii="Times New Roman" w:hAnsi="Times New Roman" w:cs="Times New Roman"/>
              </w:rPr>
              <w:t>690 MHz, osim bloka dodijeljenog operateru i odgovarajućih prijelaznih područja.</w:t>
            </w:r>
          </w:p>
        </w:tc>
      </w:tr>
      <w:tr w:rsidR="00A0536F" w:rsidTr="00C62638">
        <w:tc>
          <w:tcPr>
            <w:tcW w:w="2962" w:type="dxa"/>
          </w:tcPr>
          <w:p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Prijelazno područje</w:t>
            </w:r>
          </w:p>
        </w:tc>
        <w:tc>
          <w:tcPr>
            <w:tcW w:w="6080" w:type="dxa"/>
          </w:tcPr>
          <w:p w:rsidR="00A0536F" w:rsidRPr="00A35894" w:rsidRDefault="00A0536F" w:rsidP="00C62638">
            <w:pPr>
              <w:jc w:val="both"/>
              <w:rPr>
                <w:rFonts w:ascii="Times New Roman" w:hAnsi="Times New Roman" w:cs="Times New Roman"/>
                <w:sz w:val="24"/>
                <w:szCs w:val="24"/>
              </w:rPr>
            </w:pPr>
            <w:r w:rsidRPr="00A35894">
              <w:rPr>
                <w:rFonts w:ascii="Times New Roman" w:hAnsi="Times New Roman" w:cs="Times New Roman"/>
              </w:rPr>
              <w:t>Spektar od 0 do 5 MHz ispod i od 0 do 5 MHz iznad bloka dodijeljenog operateru. Prijelazna područja ne primjenjuju se na blokove TDD-a dodijeljene drugim operaterima ako su mreže sinkronizirane. Prijelazna pod</w:t>
            </w:r>
            <w:r>
              <w:rPr>
                <w:rFonts w:ascii="Times New Roman" w:hAnsi="Times New Roman" w:cs="Times New Roman"/>
              </w:rPr>
              <w:t>ručja ne primjenjuju se ispod 2</w:t>
            </w:r>
            <w:r w:rsidRPr="00A35894">
              <w:rPr>
                <w:rFonts w:ascii="Times New Roman" w:hAnsi="Times New Roman" w:cs="Times New Roman"/>
              </w:rPr>
              <w:t>500 MH</w:t>
            </w:r>
            <w:r>
              <w:rPr>
                <w:rFonts w:ascii="Times New Roman" w:hAnsi="Times New Roman" w:cs="Times New Roman"/>
              </w:rPr>
              <w:t>z ili iznad 2</w:t>
            </w:r>
            <w:r w:rsidRPr="00A35894">
              <w:rPr>
                <w:rFonts w:ascii="Times New Roman" w:hAnsi="Times New Roman" w:cs="Times New Roman"/>
              </w:rPr>
              <w:t>690 MHz.</w:t>
            </w:r>
          </w:p>
        </w:tc>
      </w:tr>
    </w:tbl>
    <w:p w:rsidR="00A0536F" w:rsidRDefault="00A0536F" w:rsidP="00A0536F">
      <w:pPr>
        <w:spacing w:after="0" w:line="240" w:lineRule="auto"/>
        <w:jc w:val="both"/>
        <w:rPr>
          <w:rFonts w:ascii="Times New Roman" w:hAnsi="Times New Roman"/>
          <w:sz w:val="24"/>
          <w:szCs w:val="24"/>
        </w:rPr>
      </w:pPr>
    </w:p>
    <w:p w:rsidR="00A0536F" w:rsidRDefault="00A0536F" w:rsidP="00A0536F">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t>(</w:t>
      </w:r>
      <w:r>
        <w:rPr>
          <w:rFonts w:ascii="Times New Roman" w:hAnsi="Times New Roman"/>
          <w:sz w:val="24"/>
          <w:szCs w:val="24"/>
        </w:rPr>
        <w:t xml:space="preserve">2) </w:t>
      </w:r>
      <w:r w:rsidRPr="00993A4B">
        <w:rPr>
          <w:rFonts w:ascii="Times New Roman" w:hAnsi="Times New Roman"/>
          <w:sz w:val="24"/>
          <w:szCs w:val="24"/>
        </w:rPr>
        <w:t xml:space="preserve">Karakteristike </w:t>
      </w:r>
      <w:r>
        <w:rPr>
          <w:rFonts w:ascii="Times New Roman" w:hAnsi="Times New Roman"/>
          <w:sz w:val="24"/>
          <w:szCs w:val="24"/>
        </w:rPr>
        <w:t>BEM elemenata izvan bloka</w:t>
      </w:r>
      <w:r w:rsidRPr="00993A4B">
        <w:rPr>
          <w:rFonts w:ascii="Times New Roman" w:hAnsi="Times New Roman"/>
          <w:sz w:val="24"/>
          <w:szCs w:val="24"/>
        </w:rPr>
        <w:t xml:space="preserve"> </w:t>
      </w:r>
      <w:r>
        <w:rPr>
          <w:rFonts w:ascii="Times New Roman" w:hAnsi="Times New Roman"/>
          <w:sz w:val="24"/>
          <w:szCs w:val="24"/>
        </w:rPr>
        <w:t xml:space="preserve">za neaktivne antenske sustave (ne-AAS) i aktivne antenske sustave (AAS) </w:t>
      </w:r>
      <w:r w:rsidRPr="00993A4B">
        <w:rPr>
          <w:rFonts w:ascii="Times New Roman" w:hAnsi="Times New Roman"/>
          <w:sz w:val="24"/>
          <w:szCs w:val="24"/>
        </w:rPr>
        <w:t xml:space="preserve">određuju se Tablicom </w:t>
      </w:r>
      <w:r>
        <w:rPr>
          <w:rFonts w:ascii="Times New Roman" w:hAnsi="Times New Roman"/>
          <w:sz w:val="24"/>
          <w:szCs w:val="24"/>
        </w:rPr>
        <w:t>3.</w:t>
      </w:r>
      <w:r w:rsidRPr="00993A4B">
        <w:rPr>
          <w:rFonts w:ascii="Times New Roman" w:hAnsi="Times New Roman"/>
          <w:sz w:val="24"/>
          <w:szCs w:val="24"/>
        </w:rPr>
        <w:t xml:space="preserve"> </w:t>
      </w:r>
      <w:r>
        <w:rPr>
          <w:rFonts w:ascii="Times New Roman" w:hAnsi="Times New Roman"/>
          <w:sz w:val="24"/>
          <w:szCs w:val="24"/>
        </w:rPr>
        <w:t>i Tablicom 4.</w:t>
      </w:r>
    </w:p>
    <w:p w:rsidR="00A0536F" w:rsidRDefault="00A0536F" w:rsidP="00A0536F">
      <w:pPr>
        <w:spacing w:after="0" w:line="240" w:lineRule="auto"/>
        <w:jc w:val="both"/>
        <w:rPr>
          <w:rFonts w:ascii="Times New Roman" w:eastAsia="Times New Roman" w:hAnsi="Times New Roman"/>
          <w:i/>
          <w:sz w:val="24"/>
          <w:szCs w:val="24"/>
        </w:rPr>
      </w:pPr>
    </w:p>
    <w:p w:rsidR="00A0536F" w:rsidRPr="009D6877" w:rsidRDefault="00A0536F" w:rsidP="00A0536F">
      <w:pPr>
        <w:spacing w:after="0" w:line="240" w:lineRule="auto"/>
        <w:jc w:val="both"/>
        <w:rPr>
          <w:rFonts w:ascii="Times New Roman" w:eastAsia="Times New Roman" w:hAnsi="Times New Roman"/>
          <w:i/>
          <w:sz w:val="24"/>
          <w:szCs w:val="24"/>
        </w:rPr>
      </w:pPr>
      <w:r w:rsidRPr="00BB7FB6">
        <w:rPr>
          <w:rFonts w:ascii="Times New Roman" w:eastAsia="Times New Roman" w:hAnsi="Times New Roman"/>
          <w:i/>
        </w:rPr>
        <w:t>Tablica 3.</w:t>
      </w:r>
      <w:r>
        <w:rPr>
          <w:rFonts w:ascii="Times New Roman" w:eastAsia="Times New Roman" w:hAnsi="Times New Roman"/>
          <w:i/>
          <w:sz w:val="24"/>
          <w:szCs w:val="24"/>
        </w:rPr>
        <w:t xml:space="preserve"> </w:t>
      </w:r>
      <w:r w:rsidRPr="00AE1C1F">
        <w:rPr>
          <w:rFonts w:ascii="Times New Roman" w:hAnsi="Times New Roman"/>
          <w:b/>
        </w:rPr>
        <w:t>Osnovna ograničenja snage izvan bloka za ne-AAS i AAS</w:t>
      </w:r>
    </w:p>
    <w:tbl>
      <w:tblPr>
        <w:tblStyle w:val="TableGrid"/>
        <w:tblW w:w="9067" w:type="dxa"/>
        <w:tblLayout w:type="fixed"/>
        <w:tblLook w:val="04A0" w:firstRow="1" w:lastRow="0" w:firstColumn="1" w:lastColumn="0" w:noHBand="0" w:noVBand="1"/>
      </w:tblPr>
      <w:tblGrid>
        <w:gridCol w:w="3539"/>
        <w:gridCol w:w="2835"/>
        <w:gridCol w:w="2693"/>
      </w:tblGrid>
      <w:tr w:rsidR="00A0536F" w:rsidRPr="00A2376F" w:rsidTr="00C62638">
        <w:tc>
          <w:tcPr>
            <w:tcW w:w="3539" w:type="dxa"/>
            <w:vAlign w:val="center"/>
          </w:tcPr>
          <w:p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2835" w:type="dxa"/>
            <w:vAlign w:val="center"/>
          </w:tcPr>
          <w:p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Najveće srednje ograničenje EIRP-a za ne-AAS po anteni</w:t>
            </w:r>
          </w:p>
        </w:tc>
        <w:tc>
          <w:tcPr>
            <w:tcW w:w="2693" w:type="dxa"/>
          </w:tcPr>
          <w:p w:rsidR="00A0536F" w:rsidRPr="00A2376F" w:rsidRDefault="00A0536F" w:rsidP="00C62638">
            <w:pPr>
              <w:jc w:val="center"/>
              <w:rPr>
                <w:rFonts w:ascii="Times New Roman" w:eastAsia="Times New Roman" w:hAnsi="Times New Roman"/>
                <w:b/>
              </w:rPr>
            </w:pPr>
            <w:r w:rsidRPr="00A2376F">
              <w:rPr>
                <w:rFonts w:ascii="Times New Roman" w:eastAsia="Times New Roman" w:hAnsi="Times New Roman" w:cs="Times New Roman"/>
                <w:b/>
              </w:rPr>
              <w:t>Najveće srednje ograničenje TRP-a za AAS po ćeliji (</w:t>
            </w:r>
            <w:r w:rsidRPr="00A2376F">
              <w:rPr>
                <w:rFonts w:ascii="Times New Roman" w:eastAsia="Times New Roman" w:hAnsi="Times New Roman" w:cs="Times New Roman"/>
                <w:b/>
                <w:vertAlign w:val="superscript"/>
              </w:rPr>
              <w:t>1</w:t>
            </w:r>
            <w:r w:rsidRPr="00A2376F">
              <w:rPr>
                <w:rFonts w:ascii="Times New Roman" w:eastAsia="Times New Roman" w:hAnsi="Times New Roman" w:cs="Times New Roman"/>
                <w:b/>
              </w:rPr>
              <w:t>)</w:t>
            </w:r>
          </w:p>
        </w:tc>
      </w:tr>
      <w:tr w:rsidR="00A0536F" w:rsidRPr="00A2376F" w:rsidTr="00C62638">
        <w:trPr>
          <w:trHeight w:val="521"/>
        </w:trPr>
        <w:tc>
          <w:tcPr>
            <w:tcW w:w="3539" w:type="dxa"/>
            <w:vAlign w:val="center"/>
          </w:tcPr>
          <w:p w:rsidR="00A0536F" w:rsidRPr="00A2376F" w:rsidRDefault="00A0536F" w:rsidP="00C62638">
            <w:pPr>
              <w:rPr>
                <w:rFonts w:ascii="Times New Roman" w:eastAsia="Times New Roman" w:hAnsi="Times New Roman" w:cs="Times New Roman"/>
              </w:rPr>
            </w:pPr>
            <w:r w:rsidRPr="00A2376F">
              <w:rPr>
                <w:rFonts w:ascii="Times New Roman" w:eastAsia="Times New Roman" w:hAnsi="Times New Roman" w:cs="Times New Roman"/>
              </w:rPr>
              <w:t xml:space="preserve">Silazna veza FDD-a; </w:t>
            </w:r>
          </w:p>
          <w:p w:rsidR="00A0536F" w:rsidRPr="00A2376F" w:rsidRDefault="00A0536F" w:rsidP="00C62638">
            <w:pPr>
              <w:rPr>
                <w:rFonts w:ascii="Times New Roman" w:eastAsia="Times New Roman" w:hAnsi="Times New Roman" w:cs="Times New Roman"/>
              </w:rPr>
            </w:pPr>
            <w:r w:rsidRPr="00A2376F">
              <w:rPr>
                <w:rFonts w:ascii="Times New Roman" w:eastAsia="Times New Roman" w:hAnsi="Times New Roman" w:cs="Times New Roman"/>
              </w:rPr>
              <w:t xml:space="preserve">TDD blokovi sinkronizirani s predmetnim TDD blokom; </w:t>
            </w:r>
          </w:p>
          <w:p w:rsidR="00A0536F" w:rsidRPr="00A2376F" w:rsidRDefault="00A0536F" w:rsidP="00C62638">
            <w:pPr>
              <w:rPr>
                <w:rFonts w:ascii="Times New Roman" w:eastAsia="Times New Roman" w:hAnsi="Times New Roman" w:cs="Times New Roman"/>
              </w:rPr>
            </w:pPr>
            <w:r w:rsidRPr="00A2376F">
              <w:rPr>
                <w:rFonts w:ascii="Times New Roman" w:eastAsia="Times New Roman" w:hAnsi="Times New Roman" w:cs="Times New Roman"/>
              </w:rPr>
              <w:t>TDD blokovi koji se upotrebljavaju samo za silaznu vezu (</w:t>
            </w:r>
            <w:r w:rsidRPr="00A2376F">
              <w:rPr>
                <w:rFonts w:ascii="Times New Roman" w:eastAsia="Times New Roman" w:hAnsi="Times New Roman" w:cs="Times New Roman"/>
                <w:vertAlign w:val="superscript"/>
              </w:rPr>
              <w:t>2</w:t>
            </w:r>
            <w:r w:rsidRPr="00A2376F">
              <w:rPr>
                <w:rFonts w:ascii="Times New Roman" w:eastAsia="Times New Roman" w:hAnsi="Times New Roman" w:cs="Times New Roman"/>
              </w:rPr>
              <w:t xml:space="preserve">); </w:t>
            </w:r>
          </w:p>
          <w:p w:rsidR="00A0536F" w:rsidRPr="00A2376F" w:rsidRDefault="00A0536F" w:rsidP="00C62638">
            <w:pPr>
              <w:rPr>
                <w:rFonts w:ascii="Times New Roman" w:eastAsia="Times New Roman" w:hAnsi="Times New Roman" w:cs="Times New Roman"/>
              </w:rPr>
            </w:pPr>
            <w:r w:rsidRPr="00A2376F">
              <w:rPr>
                <w:rFonts w:ascii="Times New Roman" w:eastAsia="Times New Roman" w:hAnsi="Times New Roman" w:cs="Times New Roman"/>
              </w:rPr>
              <w:t>Raspon 2615–2620 MHz.</w:t>
            </w:r>
          </w:p>
        </w:tc>
        <w:tc>
          <w:tcPr>
            <w:tcW w:w="2835"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+4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c>
          <w:tcPr>
            <w:tcW w:w="2693"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+ 5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/MHz (</w:t>
            </w:r>
            <w:r w:rsidRPr="00A2376F">
              <w:rPr>
                <w:rFonts w:ascii="Times New Roman" w:eastAsia="Times New Roman" w:hAnsi="Times New Roman" w:cs="Times New Roman"/>
                <w:vertAlign w:val="superscript"/>
                <w:lang w:val="en-US"/>
              </w:rPr>
              <w:t>3</w:t>
            </w:r>
            <w:r w:rsidRPr="00A2376F">
              <w:rPr>
                <w:rFonts w:ascii="Times New Roman" w:eastAsia="Times New Roman" w:hAnsi="Times New Roman" w:cs="Times New Roman"/>
                <w:lang w:val="en-US"/>
              </w:rPr>
              <w:t>)</w:t>
            </w:r>
          </w:p>
        </w:tc>
      </w:tr>
      <w:tr w:rsidR="00A0536F" w:rsidRPr="00A2376F" w:rsidTr="00C62638">
        <w:trPr>
          <w:trHeight w:val="521"/>
        </w:trPr>
        <w:tc>
          <w:tcPr>
            <w:tcW w:w="3539" w:type="dxa"/>
            <w:vAlign w:val="center"/>
          </w:tcPr>
          <w:p w:rsidR="00A0536F" w:rsidRPr="00A2376F" w:rsidRDefault="00A0536F" w:rsidP="00C62638">
            <w:pPr>
              <w:rPr>
                <w:rFonts w:ascii="Times New Roman" w:eastAsia="Times New Roman" w:hAnsi="Times New Roman" w:cs="Times New Roman"/>
              </w:rPr>
            </w:pPr>
            <w:r w:rsidRPr="00A2376F">
              <w:rPr>
                <w:rFonts w:ascii="Times New Roman" w:eastAsia="Times New Roman" w:hAnsi="Times New Roman" w:cs="Times New Roman"/>
              </w:rPr>
              <w:t>Frekvencije u frekvencijskom pojasu 2500– 2690 MHz koje nisu obuhvaćene definicijom iz prethodnog retka.</w:t>
            </w:r>
          </w:p>
        </w:tc>
        <w:tc>
          <w:tcPr>
            <w:tcW w:w="2835"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-45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c>
          <w:tcPr>
            <w:tcW w:w="2693"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 52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/MHz</w:t>
            </w:r>
          </w:p>
        </w:tc>
      </w:tr>
      <w:tr w:rsidR="00A0536F" w:rsidRPr="00A2376F" w:rsidTr="00C62638">
        <w:trPr>
          <w:trHeight w:val="521"/>
        </w:trPr>
        <w:tc>
          <w:tcPr>
            <w:tcW w:w="9067" w:type="dxa"/>
            <w:gridSpan w:val="3"/>
            <w:vAlign w:val="center"/>
          </w:tcPr>
          <w:p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Kod višesektorske bazne postaje ograničenje izračene snage primjenjuje se na svaki pojedini sektor. </w:t>
            </w:r>
          </w:p>
          <w:p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2</w:t>
            </w:r>
            <w:r w:rsidRPr="00A2376F">
              <w:rPr>
                <w:rFonts w:ascii="Times New Roman" w:hAnsi="Times New Roman" w:cs="Times New Roman"/>
              </w:rPr>
              <w:t xml:space="preserve">) Uvođenje FDD AAS ne utječe na uvjet upotrebe samo silazne veze za ne-AAS i AAS. </w:t>
            </w:r>
          </w:p>
          <w:p w:rsidR="00A0536F" w:rsidRPr="00A2376F" w:rsidRDefault="00A0536F" w:rsidP="00C62638">
            <w:r w:rsidRPr="00A2376F">
              <w:rPr>
                <w:rFonts w:ascii="Times New Roman" w:hAnsi="Times New Roman" w:cs="Times New Roman"/>
              </w:rPr>
              <w:t>(</w:t>
            </w:r>
            <w:r w:rsidRPr="00A2376F">
              <w:rPr>
                <w:rFonts w:ascii="Times New Roman" w:hAnsi="Times New Roman" w:cs="Times New Roman"/>
                <w:vertAlign w:val="superscript"/>
              </w:rPr>
              <w:t>3</w:t>
            </w:r>
            <w:r w:rsidRPr="00A2376F">
              <w:rPr>
                <w:rFonts w:ascii="Times New Roman" w:hAnsi="Times New Roman" w:cs="Times New Roman"/>
              </w:rPr>
              <w:t>) Ako se koristi za zaštitu spektra koji je namijenjen za odašiljanje silaznom vezom, to se osnovno ograničenje temelji na pretpostavci da emisije potječu iz makro bazne postaje. Treba napomenuti da bežične pristupne točke malog dometa (male ćelije) mogu biti postavljene niže, što znači bliže krajnjim postajama, a to može dovesti do viših razina smetnji ako se koriste navedena ograničenja snage.</w:t>
            </w:r>
          </w:p>
        </w:tc>
      </w:tr>
    </w:tbl>
    <w:p w:rsidR="00A0536F" w:rsidRDefault="00A0536F" w:rsidP="00A0536F">
      <w:pPr>
        <w:spacing w:after="0" w:line="240" w:lineRule="auto"/>
        <w:jc w:val="both"/>
        <w:rPr>
          <w:rFonts w:ascii="Times New Roman" w:eastAsia="Times New Roman" w:hAnsi="Times New Roman"/>
          <w:i/>
        </w:rPr>
      </w:pPr>
    </w:p>
    <w:p w:rsidR="00A0536F" w:rsidRPr="009D6877" w:rsidRDefault="00A0536F" w:rsidP="00A0536F">
      <w:pPr>
        <w:spacing w:after="0" w:line="240" w:lineRule="auto"/>
        <w:jc w:val="both"/>
        <w:rPr>
          <w:rFonts w:ascii="Times New Roman" w:eastAsia="Times New Roman" w:hAnsi="Times New Roman"/>
          <w:i/>
          <w:sz w:val="24"/>
          <w:szCs w:val="24"/>
        </w:rPr>
      </w:pPr>
      <w:r w:rsidRPr="00BB7FB6">
        <w:rPr>
          <w:rFonts w:ascii="Times New Roman" w:eastAsia="Times New Roman" w:hAnsi="Times New Roman"/>
          <w:i/>
        </w:rPr>
        <w:t>Tablica 4</w:t>
      </w:r>
      <w:r w:rsidRPr="00BB7FB6">
        <w:rPr>
          <w:rFonts w:ascii="Times New Roman" w:hAnsi="Times New Roman"/>
        </w:rPr>
        <w:t>.</w:t>
      </w:r>
      <w:r w:rsidRPr="00511A18">
        <w:rPr>
          <w:rFonts w:ascii="Times New Roman" w:hAnsi="Times New Roman"/>
          <w:b/>
        </w:rPr>
        <w:t xml:space="preserve"> Ograničenja snage izvan bloka za prijelazna područja baznih postaja za ne-AAS i AAS</w:t>
      </w:r>
    </w:p>
    <w:tbl>
      <w:tblPr>
        <w:tblStyle w:val="TableGrid"/>
        <w:tblW w:w="9064" w:type="dxa"/>
        <w:tblLayout w:type="fixed"/>
        <w:tblLook w:val="04A0" w:firstRow="1" w:lastRow="0" w:firstColumn="1" w:lastColumn="0" w:noHBand="0" w:noVBand="1"/>
      </w:tblPr>
      <w:tblGrid>
        <w:gridCol w:w="3114"/>
        <w:gridCol w:w="3118"/>
        <w:gridCol w:w="2832"/>
      </w:tblGrid>
      <w:tr w:rsidR="00A0536F" w:rsidRPr="00A2376F" w:rsidTr="00C62638">
        <w:tc>
          <w:tcPr>
            <w:tcW w:w="3114" w:type="dxa"/>
            <w:vAlign w:val="center"/>
          </w:tcPr>
          <w:p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118" w:type="dxa"/>
            <w:vAlign w:val="center"/>
          </w:tcPr>
          <w:p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 xml:space="preserve">Maksimalna srednja ekvivalentna </w:t>
            </w:r>
            <w:proofErr w:type="spellStart"/>
            <w:r w:rsidRPr="00A2376F">
              <w:rPr>
                <w:rFonts w:ascii="Times New Roman" w:eastAsia="Times New Roman" w:hAnsi="Times New Roman" w:cs="Times New Roman"/>
                <w:b/>
              </w:rPr>
              <w:t>izotropno</w:t>
            </w:r>
            <w:proofErr w:type="spellEnd"/>
            <w:r w:rsidRPr="00A2376F">
              <w:rPr>
                <w:rFonts w:ascii="Times New Roman" w:eastAsia="Times New Roman" w:hAnsi="Times New Roman" w:cs="Times New Roman"/>
                <w:b/>
              </w:rPr>
              <w:t xml:space="preserve"> izračena snaga </w:t>
            </w:r>
            <w:r w:rsidRPr="00A2376F">
              <w:rPr>
                <w:rFonts w:ascii="Times New Roman" w:eastAsia="Times New Roman" w:hAnsi="Times New Roman"/>
                <w:b/>
              </w:rPr>
              <w:t>(EIRP)</w:t>
            </w:r>
          </w:p>
        </w:tc>
        <w:tc>
          <w:tcPr>
            <w:tcW w:w="2832" w:type="dxa"/>
          </w:tcPr>
          <w:p w:rsidR="00A0536F" w:rsidRPr="00A2376F" w:rsidRDefault="00A0536F" w:rsidP="00C62638">
            <w:pPr>
              <w:jc w:val="center"/>
              <w:rPr>
                <w:rFonts w:ascii="Times New Roman" w:eastAsia="Times New Roman" w:hAnsi="Times New Roman"/>
                <w:b/>
              </w:rPr>
            </w:pPr>
            <w:r w:rsidRPr="00A2376F">
              <w:rPr>
                <w:rFonts w:ascii="Times New Roman" w:eastAsia="Times New Roman" w:hAnsi="Times New Roman" w:cs="Times New Roman"/>
                <w:b/>
              </w:rPr>
              <w:t>Najveće srednje ograničenje TRP-a po ćeliji za aktivni antenski sustavi (</w:t>
            </w:r>
            <w:r w:rsidRPr="00A2376F">
              <w:rPr>
                <w:rFonts w:ascii="Times New Roman" w:eastAsia="Times New Roman" w:hAnsi="Times New Roman" w:cs="Times New Roman"/>
                <w:b/>
                <w:vertAlign w:val="superscript"/>
              </w:rPr>
              <w:t>1</w:t>
            </w:r>
            <w:r w:rsidRPr="00A2376F">
              <w:rPr>
                <w:rFonts w:ascii="Times New Roman" w:eastAsia="Times New Roman" w:hAnsi="Times New Roman" w:cs="Times New Roman"/>
                <w:b/>
              </w:rPr>
              <w:t>)</w:t>
            </w:r>
          </w:p>
        </w:tc>
      </w:tr>
      <w:tr w:rsidR="00A0536F" w:rsidRPr="00A2376F" w:rsidTr="00C62638">
        <w:trPr>
          <w:trHeight w:val="521"/>
        </w:trPr>
        <w:tc>
          <w:tcPr>
            <w:tcW w:w="3114" w:type="dxa"/>
            <w:vAlign w:val="center"/>
          </w:tcPr>
          <w:p w:rsidR="00A0536F" w:rsidRPr="00A2376F" w:rsidRDefault="00A0536F" w:rsidP="00C62638">
            <w:pPr>
              <w:jc w:val="center"/>
              <w:rPr>
                <w:rFonts w:ascii="Times New Roman" w:eastAsia="Times New Roman" w:hAnsi="Times New Roman" w:cs="Times New Roman"/>
              </w:rPr>
            </w:pPr>
            <w:r w:rsidRPr="00A2376F">
              <w:rPr>
                <w:rFonts w:ascii="Times New Roman" w:hAnsi="Times New Roman" w:cs="Times New Roman"/>
              </w:rPr>
              <w:t>–5,0 do 0 MHz razmak od donjeg ruba bloka ili 0 do + 5,0 MHz razmak od gornjeg ruba bloka</w:t>
            </w:r>
          </w:p>
        </w:tc>
        <w:tc>
          <w:tcPr>
            <w:tcW w:w="3118"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+16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 (</w:t>
            </w:r>
            <w:r w:rsidRPr="00A2376F">
              <w:rPr>
                <w:rFonts w:ascii="Times New Roman" w:eastAsia="Times New Roman" w:hAnsi="Times New Roman" w:cs="Times New Roman"/>
                <w:vertAlign w:val="superscript"/>
                <w:lang w:val="en-US"/>
              </w:rPr>
              <w:t>2</w:t>
            </w:r>
            <w:r w:rsidRPr="00A2376F">
              <w:rPr>
                <w:rFonts w:ascii="Times New Roman" w:eastAsia="Times New Roman" w:hAnsi="Times New Roman" w:cs="Times New Roman"/>
                <w:lang w:val="en-US"/>
              </w:rPr>
              <w:t>)</w:t>
            </w:r>
          </w:p>
        </w:tc>
        <w:tc>
          <w:tcPr>
            <w:tcW w:w="2832" w:type="dxa"/>
            <w:vAlign w:val="center"/>
          </w:tcPr>
          <w:p w:rsidR="00A0536F" w:rsidRPr="00A2376F" w:rsidRDefault="00A0536F" w:rsidP="00C62638">
            <w:pPr>
              <w:jc w:val="center"/>
              <w:rPr>
                <w:rFonts w:ascii="Times New Roman" w:eastAsia="Times New Roman" w:hAnsi="Times New Roman"/>
                <w:lang w:val="en-US"/>
              </w:rPr>
            </w:pPr>
            <w:r w:rsidRPr="00A2376F">
              <w:rPr>
                <w:rFonts w:ascii="Times New Roman" w:eastAsia="Times New Roman" w:hAnsi="Times New Roman" w:cs="Times New Roman"/>
                <w:lang w:val="en-US"/>
              </w:rPr>
              <w:t xml:space="preserve">+16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 (</w:t>
            </w:r>
            <w:r w:rsidRPr="00A2376F">
              <w:rPr>
                <w:rFonts w:ascii="Times New Roman" w:eastAsia="Times New Roman" w:hAnsi="Times New Roman" w:cs="Times New Roman"/>
                <w:vertAlign w:val="superscript"/>
                <w:lang w:val="en-US"/>
              </w:rPr>
              <w:t>2</w:t>
            </w:r>
            <w:r w:rsidRPr="00A2376F">
              <w:rPr>
                <w:rFonts w:ascii="Times New Roman" w:eastAsia="Times New Roman" w:hAnsi="Times New Roman" w:cs="Times New Roman"/>
                <w:lang w:val="en-US"/>
              </w:rPr>
              <w:t>)</w:t>
            </w:r>
          </w:p>
        </w:tc>
      </w:tr>
      <w:tr w:rsidR="00A0536F" w:rsidRPr="00A2376F" w:rsidTr="00C62638">
        <w:trPr>
          <w:trHeight w:val="521"/>
        </w:trPr>
        <w:tc>
          <w:tcPr>
            <w:tcW w:w="9064" w:type="dxa"/>
            <w:gridSpan w:val="3"/>
            <w:vAlign w:val="center"/>
          </w:tcPr>
          <w:p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Kod višesektorske bazne postaje ograničenje izračene snage primjenjuje se na svaki pojedini sektor. </w:t>
            </w:r>
          </w:p>
          <w:p w:rsidR="00A0536F" w:rsidRPr="00A2376F" w:rsidRDefault="00A0536F" w:rsidP="00C62638">
            <w:pPr>
              <w:rPr>
                <w:rFonts w:ascii="Times New Roman" w:eastAsia="Times New Roman" w:hAnsi="Times New Roman" w:cs="Times New Roman"/>
                <w:lang w:val="en-US"/>
              </w:rPr>
            </w:pPr>
            <w:r w:rsidRPr="00A2376F">
              <w:rPr>
                <w:rFonts w:ascii="Times New Roman" w:hAnsi="Times New Roman" w:cs="Times New Roman"/>
              </w:rPr>
              <w:t>(</w:t>
            </w:r>
            <w:r w:rsidRPr="00A2376F">
              <w:rPr>
                <w:rFonts w:ascii="Times New Roman" w:hAnsi="Times New Roman" w:cs="Times New Roman"/>
                <w:vertAlign w:val="superscript"/>
              </w:rPr>
              <w:t>2</w:t>
            </w:r>
            <w:r w:rsidRPr="00A2376F">
              <w:rPr>
                <w:rFonts w:ascii="Times New Roman" w:hAnsi="Times New Roman" w:cs="Times New Roman"/>
              </w:rPr>
              <w:t>) To se ograničenje temelji na pretpostavci da emisije potječu iz makro bazne postaje. Treba napomenuti da bežične pristupne točke malog dometa (male ćelije) mogu biti postavljene na nižim visinama, a time i bliže terminalnim postajama, što može dovesti do viših razina smetnji ako se koristi to ograničenje snage. U tim slučajevima države članice mogu odrediti niže ograničenje na nacionalnoj razini.</w:t>
            </w:r>
          </w:p>
        </w:tc>
      </w:tr>
    </w:tbl>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t>(</w:t>
      </w:r>
      <w:r>
        <w:rPr>
          <w:rFonts w:ascii="Times New Roman" w:hAnsi="Times New Roman"/>
          <w:sz w:val="24"/>
          <w:szCs w:val="24"/>
        </w:rPr>
        <w:t xml:space="preserve">3) </w:t>
      </w:r>
      <w:r w:rsidRPr="00D22D51">
        <w:rPr>
          <w:rFonts w:ascii="Times New Roman" w:hAnsi="Times New Roman"/>
          <w:sz w:val="24"/>
          <w:szCs w:val="24"/>
        </w:rPr>
        <w:t>BEM za bl</w:t>
      </w:r>
      <w:r>
        <w:rPr>
          <w:rFonts w:ascii="Times New Roman" w:hAnsi="Times New Roman"/>
          <w:sz w:val="24"/>
          <w:szCs w:val="24"/>
        </w:rPr>
        <w:t>ok spektra koji nije ograničeni</w:t>
      </w:r>
      <w:r w:rsidRPr="00D22D51">
        <w:rPr>
          <w:rFonts w:ascii="Times New Roman" w:hAnsi="Times New Roman"/>
          <w:sz w:val="24"/>
          <w:szCs w:val="24"/>
        </w:rPr>
        <w:t xml:space="preserve"> blok tv</w:t>
      </w:r>
      <w:r>
        <w:rPr>
          <w:rFonts w:ascii="Times New Roman" w:hAnsi="Times New Roman"/>
          <w:sz w:val="24"/>
          <w:szCs w:val="24"/>
        </w:rPr>
        <w:t>ori se kombiniranjem tablica</w:t>
      </w:r>
      <w:r w:rsidRPr="00D22D51">
        <w:rPr>
          <w:rFonts w:ascii="Times New Roman" w:hAnsi="Times New Roman"/>
          <w:sz w:val="24"/>
          <w:szCs w:val="24"/>
        </w:rPr>
        <w:t xml:space="preserve"> 3. i 4. tako da se kao ograničenje za svaku frekvenciju uzima viša vrijednost među vrijednostima osnovnog ograničenja snage izvan bloka ili ograničenja snage unutar bloka.</w:t>
      </w:r>
    </w:p>
    <w:p w:rsidR="00A0536F" w:rsidRPr="00B603C3" w:rsidRDefault="00A0536F" w:rsidP="00A0536F">
      <w:pPr>
        <w:spacing w:after="0" w:line="240" w:lineRule="auto"/>
        <w:jc w:val="both"/>
        <w:rPr>
          <w:rFonts w:ascii="Times New Roman" w:hAnsi="Times New Roman"/>
          <w:sz w:val="24"/>
          <w:szCs w:val="24"/>
        </w:rPr>
      </w:pPr>
    </w:p>
    <w:p w:rsidR="00A0536F" w:rsidRDefault="00A0536F" w:rsidP="00A0536F">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t>(</w:t>
      </w:r>
      <w:r>
        <w:rPr>
          <w:rFonts w:ascii="Times New Roman" w:hAnsi="Times New Roman"/>
          <w:sz w:val="24"/>
          <w:szCs w:val="24"/>
        </w:rPr>
        <w:t>4) Sinkronizirani način rada podrazumijeva rad dvije različite TDD mreže kod kojih nema istovremene transmisije uzlazne i silazne veze.</w:t>
      </w:r>
    </w:p>
    <w:p w:rsidR="00A0536F" w:rsidRDefault="00A0536F" w:rsidP="00A0536F">
      <w:pPr>
        <w:spacing w:after="0" w:line="240" w:lineRule="auto"/>
        <w:jc w:val="both"/>
        <w:rPr>
          <w:rFonts w:ascii="Times New Roman" w:hAnsi="Times New Roman"/>
          <w:sz w:val="24"/>
          <w:szCs w:val="24"/>
        </w:rPr>
      </w:pPr>
    </w:p>
    <w:p w:rsidR="00A0536F" w:rsidRPr="00047E9A" w:rsidRDefault="00A0536F" w:rsidP="00A0536F">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t>(</w:t>
      </w:r>
      <w:r>
        <w:rPr>
          <w:rFonts w:ascii="Times New Roman" w:hAnsi="Times New Roman"/>
          <w:sz w:val="24"/>
          <w:szCs w:val="24"/>
        </w:rPr>
        <w:t>5) Ograničeni blok</w:t>
      </w:r>
      <w:r w:rsidRPr="00D22D51">
        <w:rPr>
          <w:rFonts w:ascii="Times New Roman" w:hAnsi="Times New Roman"/>
          <w:sz w:val="24"/>
          <w:szCs w:val="24"/>
        </w:rPr>
        <w:t xml:space="preserve"> za </w:t>
      </w:r>
      <w:r>
        <w:rPr>
          <w:rFonts w:ascii="Times New Roman" w:hAnsi="Times New Roman"/>
          <w:sz w:val="24"/>
          <w:szCs w:val="24"/>
        </w:rPr>
        <w:t xml:space="preserve">ne-AAS i AAS </w:t>
      </w:r>
      <w:r w:rsidRPr="00D22D51">
        <w:rPr>
          <w:rFonts w:ascii="Times New Roman" w:hAnsi="Times New Roman"/>
          <w:sz w:val="24"/>
          <w:szCs w:val="24"/>
        </w:rPr>
        <w:t xml:space="preserve">bazne postaje </w:t>
      </w:r>
      <w:r>
        <w:rPr>
          <w:rFonts w:ascii="Times New Roman" w:hAnsi="Times New Roman"/>
          <w:sz w:val="24"/>
          <w:szCs w:val="24"/>
        </w:rPr>
        <w:t>je</w:t>
      </w:r>
      <w:r w:rsidRPr="00047E9A">
        <w:rPr>
          <w:rFonts w:ascii="Times New Roman" w:hAnsi="Times New Roman"/>
          <w:sz w:val="24"/>
          <w:szCs w:val="24"/>
        </w:rPr>
        <w:t xml:space="preserve"> svaki blok širine 5 MHz u slučaju nesinkroniziranog načina rada između TDD mreža</w:t>
      </w:r>
      <w:r>
        <w:rPr>
          <w:rFonts w:ascii="Times New Roman" w:hAnsi="Times New Roman"/>
          <w:sz w:val="24"/>
          <w:szCs w:val="24"/>
        </w:rPr>
        <w:t>,</w:t>
      </w:r>
      <w:r w:rsidRPr="00047E9A">
        <w:rPr>
          <w:rFonts w:ascii="Times New Roman" w:hAnsi="Times New Roman"/>
          <w:sz w:val="24"/>
          <w:szCs w:val="24"/>
        </w:rPr>
        <w:t xml:space="preserve"> odnosno blok 2570 – 2575 MHz osim kada se taj blok koristi za uzlaznu vezu.</w:t>
      </w:r>
      <w:r>
        <w:rPr>
          <w:rFonts w:ascii="Times New Roman" w:hAnsi="Times New Roman"/>
          <w:sz w:val="24"/>
          <w:szCs w:val="24"/>
        </w:rPr>
        <w:t xml:space="preserve"> Na ograničeni blok primjenjuje se ograničenje snage sukladno Tablici 5.</w:t>
      </w:r>
    </w:p>
    <w:p w:rsidR="00A0536F" w:rsidRDefault="00A0536F" w:rsidP="00A0536F">
      <w:pPr>
        <w:spacing w:after="0" w:line="240" w:lineRule="auto"/>
        <w:jc w:val="both"/>
        <w:rPr>
          <w:rFonts w:ascii="Times New Roman" w:eastAsia="Times New Roman" w:hAnsi="Times New Roman"/>
          <w:i/>
          <w:sz w:val="24"/>
          <w:szCs w:val="24"/>
        </w:rPr>
      </w:pPr>
    </w:p>
    <w:p w:rsidR="00A0536F" w:rsidRPr="003B0DF8" w:rsidRDefault="00A0536F" w:rsidP="00A0536F">
      <w:pPr>
        <w:spacing w:after="0" w:line="240" w:lineRule="auto"/>
        <w:jc w:val="both"/>
        <w:rPr>
          <w:rFonts w:ascii="Times New Roman" w:eastAsia="Times New Roman" w:hAnsi="Times New Roman"/>
          <w:sz w:val="24"/>
          <w:szCs w:val="24"/>
        </w:rPr>
      </w:pPr>
      <w:r w:rsidRPr="00BB7FB6">
        <w:rPr>
          <w:rFonts w:ascii="Times New Roman" w:eastAsia="Times New Roman" w:hAnsi="Times New Roman"/>
          <w:i/>
        </w:rPr>
        <w:t>Tablica 5</w:t>
      </w:r>
      <w:r w:rsidRPr="00511A18">
        <w:rPr>
          <w:rFonts w:ascii="Times New Roman" w:hAnsi="Times New Roman"/>
        </w:rPr>
        <w:t>.</w:t>
      </w:r>
      <w:r w:rsidRPr="00511A18">
        <w:rPr>
          <w:rFonts w:ascii="Times New Roman" w:hAnsi="Times New Roman"/>
          <w:b/>
        </w:rPr>
        <w:t xml:space="preserve"> Ograničenje snage unutar bloka za ne-AAS i AAS bazne postaje za ograničeni blok</w:t>
      </w:r>
    </w:p>
    <w:tbl>
      <w:tblPr>
        <w:tblStyle w:val="TableGrid"/>
        <w:tblW w:w="9352" w:type="dxa"/>
        <w:tblLayout w:type="fixed"/>
        <w:tblLook w:val="04A0" w:firstRow="1" w:lastRow="0" w:firstColumn="1" w:lastColumn="0" w:noHBand="0" w:noVBand="1"/>
      </w:tblPr>
      <w:tblGrid>
        <w:gridCol w:w="2830"/>
        <w:gridCol w:w="3261"/>
        <w:gridCol w:w="3261"/>
      </w:tblGrid>
      <w:tr w:rsidR="00A0536F" w:rsidTr="00C62638">
        <w:tc>
          <w:tcPr>
            <w:tcW w:w="2830" w:type="dxa"/>
            <w:vAlign w:val="center"/>
          </w:tcPr>
          <w:p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261" w:type="dxa"/>
            <w:vAlign w:val="center"/>
          </w:tcPr>
          <w:p w:rsidR="00A0536F" w:rsidRPr="00A2376F" w:rsidRDefault="00A0536F" w:rsidP="00C62638">
            <w:pPr>
              <w:jc w:val="center"/>
              <w:rPr>
                <w:rFonts w:ascii="Times New Roman" w:eastAsia="Times New Roman" w:hAnsi="Times New Roman" w:cs="Times New Roman"/>
                <w:b/>
              </w:rPr>
            </w:pPr>
            <w:r w:rsidRPr="00A2376F">
              <w:rPr>
                <w:rFonts w:ascii="Times New Roman" w:eastAsia="Times New Roman" w:hAnsi="Times New Roman" w:cs="Times New Roman"/>
                <w:b/>
              </w:rPr>
              <w:t>Ograničenje EIRP-a po anteni za ne-AAS</w:t>
            </w:r>
          </w:p>
        </w:tc>
        <w:tc>
          <w:tcPr>
            <w:tcW w:w="3261" w:type="dxa"/>
          </w:tcPr>
          <w:p w:rsidR="00A0536F" w:rsidRPr="00A2376F" w:rsidRDefault="00A0536F" w:rsidP="00C62638">
            <w:pPr>
              <w:jc w:val="center"/>
              <w:rPr>
                <w:rFonts w:ascii="Times New Roman" w:eastAsia="Times New Roman" w:hAnsi="Times New Roman" w:cs="Times New Roman"/>
                <w:b/>
              </w:rPr>
            </w:pPr>
            <w:r w:rsidRPr="00A2376F">
              <w:rPr>
                <w:rFonts w:ascii="Times New Roman" w:eastAsia="Times New Roman" w:hAnsi="Times New Roman" w:cs="Times New Roman"/>
                <w:b/>
              </w:rPr>
              <w:t>Ograničenje TRP-a po ćeliji za aktivni antenski sustavi (</w:t>
            </w:r>
            <w:r w:rsidRPr="00A2376F">
              <w:rPr>
                <w:rFonts w:ascii="Times New Roman" w:eastAsia="Times New Roman" w:hAnsi="Times New Roman" w:cs="Times New Roman"/>
                <w:b/>
                <w:vertAlign w:val="superscript"/>
              </w:rPr>
              <w:t>1</w:t>
            </w:r>
            <w:r w:rsidRPr="00A2376F">
              <w:rPr>
                <w:rFonts w:ascii="Times New Roman" w:eastAsia="Times New Roman" w:hAnsi="Times New Roman" w:cs="Times New Roman"/>
                <w:b/>
              </w:rPr>
              <w:t>)</w:t>
            </w:r>
          </w:p>
        </w:tc>
      </w:tr>
      <w:tr w:rsidR="00A0536F" w:rsidTr="00C62638">
        <w:trPr>
          <w:trHeight w:val="521"/>
        </w:trPr>
        <w:tc>
          <w:tcPr>
            <w:tcW w:w="2830" w:type="dxa"/>
            <w:vAlign w:val="center"/>
          </w:tcPr>
          <w:p w:rsidR="00A0536F" w:rsidRPr="00A2376F" w:rsidRDefault="00A0536F" w:rsidP="00C62638">
            <w:pPr>
              <w:jc w:val="center"/>
              <w:rPr>
                <w:rFonts w:ascii="Times New Roman" w:eastAsia="Times New Roman" w:hAnsi="Times New Roman" w:cs="Times New Roman"/>
              </w:rPr>
            </w:pPr>
            <w:r w:rsidRPr="00A2376F">
              <w:rPr>
                <w:rFonts w:ascii="Times New Roman" w:eastAsia="Times New Roman" w:hAnsi="Times New Roman" w:cs="Times New Roman"/>
              </w:rPr>
              <w:t>Ograničeni blok</w:t>
            </w:r>
          </w:p>
        </w:tc>
        <w:tc>
          <w:tcPr>
            <w:tcW w:w="3261"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+25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c>
          <w:tcPr>
            <w:tcW w:w="3261" w:type="dxa"/>
            <w:vAlign w:val="center"/>
          </w:tcPr>
          <w:p w:rsidR="00A0536F" w:rsidRPr="00A2376F" w:rsidRDefault="00A0536F" w:rsidP="00C62638">
            <w:pPr>
              <w:jc w:val="center"/>
              <w:rPr>
                <w:rFonts w:ascii="Times New Roman" w:eastAsia="Times New Roman" w:hAnsi="Times New Roman"/>
                <w:lang w:val="en-US"/>
              </w:rPr>
            </w:pPr>
            <w:r w:rsidRPr="00A2376F">
              <w:rPr>
                <w:rFonts w:ascii="Times New Roman" w:eastAsia="Times New Roman" w:hAnsi="Times New Roman" w:cs="Times New Roman"/>
                <w:lang w:val="en-US"/>
              </w:rPr>
              <w:t xml:space="preserve">+22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r>
      <w:tr w:rsidR="00A0536F" w:rsidTr="00C62638">
        <w:trPr>
          <w:trHeight w:val="521"/>
        </w:trPr>
        <w:tc>
          <w:tcPr>
            <w:tcW w:w="9352" w:type="dxa"/>
            <w:gridSpan w:val="3"/>
            <w:vAlign w:val="center"/>
          </w:tcPr>
          <w:p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Kod višesektorske bazne postaje ograničenje izračene snage primjenjuje se na svaki pojedini sektor. </w:t>
            </w:r>
          </w:p>
        </w:tc>
      </w:tr>
    </w:tbl>
    <w:p w:rsidR="00A0536F" w:rsidRDefault="00A0536F" w:rsidP="00A0536F">
      <w:pPr>
        <w:spacing w:after="0" w:line="240" w:lineRule="auto"/>
        <w:jc w:val="both"/>
        <w:rPr>
          <w:rFonts w:ascii="Times New Roman" w:eastAsia="Times New Roman" w:hAnsi="Times New Roman"/>
          <w:sz w:val="24"/>
          <w:szCs w:val="24"/>
        </w:rPr>
      </w:pPr>
    </w:p>
    <w:p w:rsidR="00A0536F" w:rsidRPr="00A82005" w:rsidRDefault="00A0536F" w:rsidP="00A0536F">
      <w:pPr>
        <w:spacing w:after="0" w:line="240" w:lineRule="auto"/>
        <w:jc w:val="both"/>
        <w:rPr>
          <w:rFonts w:ascii="Times New Roman" w:hAnsi="Times New Roman"/>
          <w:sz w:val="24"/>
          <w:szCs w:val="24"/>
        </w:rPr>
      </w:pPr>
      <w:r w:rsidRPr="00A82005">
        <w:rPr>
          <w:rFonts w:ascii="Times New Roman" w:hAnsi="Times New Roman"/>
          <w:sz w:val="24"/>
          <w:szCs w:val="24"/>
        </w:rPr>
        <w:t xml:space="preserve">(6) </w:t>
      </w:r>
      <w:r>
        <w:rPr>
          <w:rFonts w:ascii="Times New Roman" w:hAnsi="Times New Roman"/>
          <w:sz w:val="24"/>
          <w:szCs w:val="24"/>
        </w:rPr>
        <w:t>BEM za ograničeni</w:t>
      </w:r>
      <w:r w:rsidRPr="00A82005">
        <w:rPr>
          <w:rFonts w:ascii="Times New Roman" w:hAnsi="Times New Roman"/>
          <w:sz w:val="24"/>
          <w:szCs w:val="24"/>
        </w:rPr>
        <w:t xml:space="preserve"> blok tvori se kombiniranjem tablica 3. i 5. tako da se kao ograničenje za svaku frekvenciju uzima viša vrijednost među vrijednostima osnovnog ograničenja snage izvan bloka ili ograničenja snage unutar bloka.</w:t>
      </w:r>
    </w:p>
    <w:p w:rsidR="00A0536F" w:rsidRDefault="00A0536F" w:rsidP="00A0536F">
      <w:pPr>
        <w:spacing w:after="0" w:line="240" w:lineRule="auto"/>
        <w:jc w:val="both"/>
        <w:rPr>
          <w:rFonts w:ascii="Times New Roman" w:eastAsia="Times New Roman" w:hAnsi="Times New Roman"/>
          <w:sz w:val="24"/>
          <w:szCs w:val="24"/>
        </w:rPr>
      </w:pPr>
    </w:p>
    <w:p w:rsidR="00A0536F" w:rsidRPr="004F31E5" w:rsidRDefault="00A0536F"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(7) Operatori kojima su dodijeljeni susjedni blokovi mogu, uz prethodno odobrenje Hrvatske regulatorne agencije za mrežne djelatnosti , dogovoriti korištenje drugačijih ograničenja snage od onih definiranih stavcima 2. i 4. ovog članka.</w:t>
      </w:r>
    </w:p>
    <w:p w:rsidR="00A0536F" w:rsidRDefault="00A0536F" w:rsidP="00A0536F">
      <w:pPr>
        <w:spacing w:after="0" w:line="240" w:lineRule="auto"/>
        <w:jc w:val="center"/>
        <w:rPr>
          <w:rFonts w:ascii="Times New Roman" w:eastAsia="Times New Roman" w:hAnsi="Times New Roman"/>
          <w:i/>
          <w:sz w:val="24"/>
          <w:szCs w:val="24"/>
        </w:rPr>
      </w:pPr>
    </w:p>
    <w:p w:rsidR="00A0536F" w:rsidRDefault="00A0536F" w:rsidP="00A0536F">
      <w:pPr>
        <w:spacing w:after="0" w:line="240" w:lineRule="auto"/>
        <w:jc w:val="center"/>
        <w:rPr>
          <w:rFonts w:ascii="Times New Roman" w:eastAsia="Times New Roman" w:hAnsi="Times New Roman"/>
          <w:i/>
          <w:sz w:val="24"/>
          <w:szCs w:val="24"/>
        </w:rPr>
      </w:pPr>
    </w:p>
    <w:p w:rsidR="00A0536F"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Tehnički uvjeti za krajnje postaje</w:t>
      </w:r>
    </w:p>
    <w:p w:rsidR="00A0536F" w:rsidRDefault="00A0536F" w:rsidP="00A0536F">
      <w:pPr>
        <w:spacing w:after="0" w:line="240" w:lineRule="auto"/>
        <w:jc w:val="center"/>
        <w:rPr>
          <w:rFonts w:ascii="Times New Roman" w:eastAsia="Times New Roman" w:hAnsi="Times New Roman"/>
          <w:sz w:val="24"/>
          <w:szCs w:val="24"/>
        </w:rPr>
      </w:pPr>
    </w:p>
    <w:p w:rsidR="00A0536F" w:rsidRDefault="00A0536F" w:rsidP="00A0536F">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Članak 3.</w:t>
      </w:r>
    </w:p>
    <w:p w:rsidR="00A0536F" w:rsidRDefault="00A0536F" w:rsidP="00A0536F">
      <w:pPr>
        <w:spacing w:after="0" w:line="240" w:lineRule="auto"/>
        <w:rPr>
          <w:rFonts w:ascii="Times New Roman" w:eastAsia="Times New Roman" w:hAnsi="Times New Roman"/>
          <w:sz w:val="24"/>
          <w:szCs w:val="24"/>
        </w:rPr>
      </w:pPr>
    </w:p>
    <w:p w:rsidR="00A0536F" w:rsidRDefault="00A0536F" w:rsidP="00A0536F">
      <w:pPr>
        <w:spacing w:after="0" w:line="240" w:lineRule="auto"/>
        <w:rPr>
          <w:rFonts w:ascii="Times New Roman" w:eastAsia="Times New Roman" w:hAnsi="Times New Roman"/>
          <w:sz w:val="24"/>
          <w:szCs w:val="24"/>
        </w:rPr>
      </w:pPr>
      <w:r>
        <w:rPr>
          <w:rFonts w:ascii="Times New Roman" w:eastAsia="Times New Roman" w:hAnsi="Times New Roman"/>
          <w:sz w:val="24"/>
          <w:szCs w:val="24"/>
        </w:rPr>
        <w:t>(1) Ograničenja snage unutar bloka</w:t>
      </w:r>
      <w:r w:rsidRPr="00F64685">
        <w:rPr>
          <w:rFonts w:ascii="Times New Roman" w:eastAsia="Times New Roman" w:hAnsi="Times New Roman"/>
          <w:sz w:val="24"/>
          <w:szCs w:val="24"/>
        </w:rPr>
        <w:t xml:space="preserve"> za krajnje postaje određene su </w:t>
      </w:r>
      <w:r>
        <w:rPr>
          <w:rFonts w:ascii="Times New Roman" w:eastAsia="Times New Roman" w:hAnsi="Times New Roman"/>
          <w:sz w:val="24"/>
          <w:szCs w:val="24"/>
        </w:rPr>
        <w:t xml:space="preserve">u </w:t>
      </w:r>
      <w:r w:rsidRPr="00F64685">
        <w:rPr>
          <w:rFonts w:ascii="Times New Roman" w:eastAsia="Times New Roman" w:hAnsi="Times New Roman"/>
          <w:sz w:val="24"/>
          <w:szCs w:val="24"/>
        </w:rPr>
        <w:t>Tablic</w:t>
      </w:r>
      <w:r>
        <w:rPr>
          <w:rFonts w:ascii="Times New Roman" w:eastAsia="Times New Roman" w:hAnsi="Times New Roman"/>
          <w:sz w:val="24"/>
          <w:szCs w:val="24"/>
        </w:rPr>
        <w:t>i</w:t>
      </w:r>
      <w:r w:rsidRPr="00F64685">
        <w:rPr>
          <w:rFonts w:ascii="Times New Roman" w:eastAsia="Times New Roman" w:hAnsi="Times New Roman"/>
          <w:sz w:val="24"/>
          <w:szCs w:val="24"/>
        </w:rPr>
        <w:t xml:space="preserve"> 6.</w:t>
      </w:r>
    </w:p>
    <w:p w:rsidR="00A0536F" w:rsidRPr="00F64685" w:rsidRDefault="00A0536F" w:rsidP="00A0536F">
      <w:pPr>
        <w:spacing w:after="0" w:line="240" w:lineRule="auto"/>
        <w:rPr>
          <w:rFonts w:ascii="Times New Roman" w:eastAsia="Times New Roman" w:hAnsi="Times New Roman"/>
          <w:sz w:val="24"/>
          <w:szCs w:val="24"/>
        </w:rPr>
      </w:pPr>
    </w:p>
    <w:p w:rsidR="00A0536F" w:rsidRPr="009D6877" w:rsidRDefault="00A0536F" w:rsidP="00A0536F">
      <w:pPr>
        <w:spacing w:after="0" w:line="240" w:lineRule="auto"/>
        <w:jc w:val="both"/>
        <w:rPr>
          <w:rFonts w:ascii="Times New Roman" w:eastAsia="Times New Roman" w:hAnsi="Times New Roman"/>
          <w:i/>
          <w:sz w:val="24"/>
          <w:szCs w:val="24"/>
        </w:rPr>
      </w:pPr>
      <w:r w:rsidRPr="00BB7FB6">
        <w:rPr>
          <w:rFonts w:ascii="Times New Roman" w:eastAsia="Times New Roman" w:hAnsi="Times New Roman"/>
          <w:i/>
        </w:rPr>
        <w:t>Tablica 6.</w:t>
      </w:r>
      <w:r>
        <w:rPr>
          <w:rFonts w:ascii="Times New Roman" w:eastAsia="Times New Roman" w:hAnsi="Times New Roman"/>
          <w:i/>
          <w:sz w:val="24"/>
          <w:szCs w:val="24"/>
        </w:rPr>
        <w:t xml:space="preserve"> </w:t>
      </w:r>
      <w:r w:rsidRPr="00497010">
        <w:rPr>
          <w:rFonts w:ascii="Times New Roman" w:hAnsi="Times New Roman"/>
          <w:b/>
        </w:rPr>
        <w:t>Ograničenja snage unutar bloka</w:t>
      </w:r>
    </w:p>
    <w:tbl>
      <w:tblPr>
        <w:tblStyle w:val="TableGrid"/>
        <w:tblW w:w="9209" w:type="dxa"/>
        <w:tblLayout w:type="fixed"/>
        <w:tblLook w:val="04A0" w:firstRow="1" w:lastRow="0" w:firstColumn="1" w:lastColumn="0" w:noHBand="0" w:noVBand="1"/>
      </w:tblPr>
      <w:tblGrid>
        <w:gridCol w:w="4390"/>
        <w:gridCol w:w="4819"/>
      </w:tblGrid>
      <w:tr w:rsidR="00A0536F" w:rsidTr="00C62638">
        <w:trPr>
          <w:trHeight w:val="756"/>
        </w:trPr>
        <w:tc>
          <w:tcPr>
            <w:tcW w:w="4390" w:type="dxa"/>
            <w:vAlign w:val="center"/>
          </w:tcPr>
          <w:p w:rsidR="00A0536F" w:rsidRPr="00A2376F" w:rsidRDefault="00A0536F" w:rsidP="00C62638">
            <w:pPr>
              <w:jc w:val="center"/>
              <w:rPr>
                <w:rFonts w:ascii="Times New Roman" w:eastAsia="Times New Roman" w:hAnsi="Times New Roman" w:cs="Times New Roman"/>
                <w:b/>
              </w:rPr>
            </w:pPr>
            <w:r w:rsidRPr="00A2376F">
              <w:rPr>
                <w:rFonts w:ascii="Times New Roman" w:eastAsia="Times New Roman" w:hAnsi="Times New Roman" w:cs="Times New Roman"/>
                <w:b/>
              </w:rPr>
              <w:t>Najveće srednje ograničenje EIRP-a (uključujući raspon automatske kontrole snage odašiljača)</w:t>
            </w:r>
          </w:p>
        </w:tc>
        <w:tc>
          <w:tcPr>
            <w:tcW w:w="4819" w:type="dxa"/>
            <w:vAlign w:val="center"/>
          </w:tcPr>
          <w:p w:rsidR="00A0536F" w:rsidRPr="00A2376F" w:rsidRDefault="00A0536F" w:rsidP="00C62638">
            <w:pPr>
              <w:jc w:val="center"/>
              <w:rPr>
                <w:rFonts w:ascii="Times New Roman" w:eastAsia="Times New Roman" w:hAnsi="Times New Roman" w:cs="Times New Roman"/>
                <w:b/>
              </w:rPr>
            </w:pPr>
            <w:r w:rsidRPr="00A2376F">
              <w:rPr>
                <w:rFonts w:ascii="Times New Roman" w:eastAsia="Times New Roman" w:hAnsi="Times New Roman" w:cs="Times New Roman"/>
                <w:b/>
              </w:rPr>
              <w:t>Najveće srednje ograničenje TRP-a (uključujući raspon automatske kontrole snage odašiljača)</w:t>
            </w:r>
          </w:p>
        </w:tc>
      </w:tr>
      <w:tr w:rsidR="00A0536F" w:rsidTr="00C62638">
        <w:trPr>
          <w:trHeight w:val="521"/>
        </w:trPr>
        <w:tc>
          <w:tcPr>
            <w:tcW w:w="4390" w:type="dxa"/>
            <w:vAlign w:val="center"/>
          </w:tcPr>
          <w:p w:rsidR="00A0536F" w:rsidRPr="00A2376F" w:rsidRDefault="00A0536F" w:rsidP="00C62638">
            <w:pPr>
              <w:jc w:val="center"/>
              <w:rPr>
                <w:rFonts w:ascii="Times New Roman" w:eastAsia="Times New Roman" w:hAnsi="Times New Roman" w:cs="Times New Roman"/>
              </w:rPr>
            </w:pPr>
            <w:r w:rsidRPr="00A2376F">
              <w:rPr>
                <w:rFonts w:ascii="Times New Roman" w:eastAsia="Times New Roman" w:hAnsi="Times New Roman" w:cs="Times New Roman"/>
                <w:lang w:val="en-US"/>
              </w:rPr>
              <w:t xml:space="preserve">35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c>
          <w:tcPr>
            <w:tcW w:w="4819" w:type="dxa"/>
            <w:vAlign w:val="center"/>
          </w:tcPr>
          <w:p w:rsidR="00A0536F" w:rsidRPr="00A2376F" w:rsidRDefault="00A0536F" w:rsidP="00C62638">
            <w:pPr>
              <w:jc w:val="center"/>
              <w:rPr>
                <w:rFonts w:ascii="Times New Roman" w:eastAsia="Times New Roman" w:hAnsi="Times New Roman" w:cs="Times New Roman"/>
                <w:lang w:val="en-US"/>
              </w:rPr>
            </w:pPr>
            <w:r w:rsidRPr="00A2376F">
              <w:rPr>
                <w:rFonts w:ascii="Times New Roman" w:eastAsia="Times New Roman" w:hAnsi="Times New Roman" w:cs="Times New Roman"/>
                <w:lang w:val="en-US"/>
              </w:rPr>
              <w:t xml:space="preserve">31 </w:t>
            </w:r>
            <w:proofErr w:type="spellStart"/>
            <w:r w:rsidRPr="00A2376F">
              <w:rPr>
                <w:rFonts w:ascii="Times New Roman" w:eastAsia="Times New Roman" w:hAnsi="Times New Roman" w:cs="Times New Roman"/>
                <w:lang w:val="en-US"/>
              </w:rPr>
              <w:t>dBm</w:t>
            </w:r>
            <w:proofErr w:type="spellEnd"/>
            <w:r w:rsidRPr="00A2376F">
              <w:rPr>
                <w:rFonts w:ascii="Times New Roman" w:eastAsia="Times New Roman" w:hAnsi="Times New Roman" w:cs="Times New Roman"/>
                <w:lang w:val="en-US"/>
              </w:rPr>
              <w:t>/5 MHz</w:t>
            </w:r>
          </w:p>
        </w:tc>
      </w:tr>
    </w:tbl>
    <w:p w:rsidR="00A0536F" w:rsidRPr="00F64685" w:rsidRDefault="00A0536F" w:rsidP="00A0536F">
      <w:pPr>
        <w:spacing w:after="0" w:line="240" w:lineRule="auto"/>
        <w:rPr>
          <w:rFonts w:ascii="Times New Roman" w:eastAsia="Times New Roman" w:hAnsi="Times New Roman"/>
          <w:sz w:val="24"/>
          <w:szCs w:val="24"/>
        </w:rPr>
      </w:pPr>
    </w:p>
    <w:p w:rsidR="00A0536F" w:rsidRPr="004F31E5" w:rsidRDefault="00A0536F" w:rsidP="00A0536F">
      <w:pPr>
        <w:spacing w:after="0" w:line="240" w:lineRule="auto"/>
        <w:jc w:val="both"/>
        <w:rPr>
          <w:rFonts w:ascii="Times New Roman" w:eastAsia="Times New Roman" w:hAnsi="Times New Roman"/>
          <w:sz w:val="24"/>
          <w:szCs w:val="24"/>
        </w:rPr>
      </w:pPr>
      <w:r w:rsidRPr="003E4336">
        <w:rPr>
          <w:rFonts w:ascii="Times New Roman" w:eastAsia="Times New Roman" w:hAnsi="Times New Roman"/>
          <w:sz w:val="24"/>
          <w:szCs w:val="24"/>
        </w:rPr>
        <w:t>(</w:t>
      </w:r>
      <w:r>
        <w:rPr>
          <w:rFonts w:ascii="Times New Roman" w:eastAsia="Times New Roman" w:hAnsi="Times New Roman"/>
          <w:sz w:val="24"/>
          <w:szCs w:val="24"/>
        </w:rPr>
        <w:t xml:space="preserve">2) Ograničenje ekvivalentne </w:t>
      </w:r>
      <w:proofErr w:type="spellStart"/>
      <w:r>
        <w:rPr>
          <w:rFonts w:ascii="Times New Roman" w:eastAsia="Times New Roman" w:hAnsi="Times New Roman"/>
          <w:sz w:val="24"/>
          <w:szCs w:val="24"/>
        </w:rPr>
        <w:t>izotropno</w:t>
      </w:r>
      <w:proofErr w:type="spellEnd"/>
      <w:r>
        <w:rPr>
          <w:rFonts w:ascii="Times New Roman" w:eastAsia="Times New Roman" w:hAnsi="Times New Roman"/>
          <w:sz w:val="24"/>
          <w:szCs w:val="24"/>
        </w:rPr>
        <w:t xml:space="preserve"> izračene snage (EIRP) primjenjuje se za nepokretne i postavljene krajnje postaje, a ograničenje ukupne izračene snage (TRP) se primjenjuje za pokretne i prenosive krajnje postaje.</w:t>
      </w:r>
    </w:p>
    <w:p w:rsidR="00A0536F" w:rsidRPr="00015063"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Stupanje na snagu</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4</w:t>
      </w:r>
      <w:r w:rsidRPr="004A4345">
        <w:rPr>
          <w:rFonts w:ascii="Times New Roman" w:eastAsia="Times New Roman" w:hAnsi="Times New Roman"/>
          <w:sz w:val="24"/>
          <w:szCs w:val="24"/>
        </w:rPr>
        <w:t>.</w:t>
      </w:r>
    </w:p>
    <w:p w:rsidR="00A0536F" w:rsidRPr="004A4345" w:rsidRDefault="00A0536F" w:rsidP="00A0536F">
      <w:pPr>
        <w:spacing w:after="0" w:line="240" w:lineRule="auto"/>
        <w:jc w:val="center"/>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r>
        <w:rPr>
          <w:rFonts w:ascii="Times New Roman" w:hAnsi="Times New Roman"/>
          <w:sz w:val="24"/>
          <w:szCs w:val="24"/>
        </w:rPr>
        <w:t>Ovaj Plan dodjele stupa na snagu prvoga dana od dana objave u „Narodnim novinama“.</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5</w:t>
      </w:r>
      <w:r w:rsidRPr="004A4345">
        <w:rPr>
          <w:rFonts w:ascii="Times New Roman" w:eastAsia="Times New Roman" w:hAnsi="Times New Roman"/>
          <w:sz w:val="24"/>
          <w:szCs w:val="24"/>
        </w:rPr>
        <w:t>.</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r w:rsidRPr="00957968">
        <w:rPr>
          <w:rFonts w:ascii="Times New Roman" w:eastAsia="Times New Roman" w:hAnsi="Times New Roman"/>
          <w:sz w:val="24"/>
          <w:szCs w:val="24"/>
        </w:rPr>
        <w:t xml:space="preserve">Stupanjem na snagu Plana dodjele prestaje vrijediti Plan </w:t>
      </w:r>
      <w:r>
        <w:rPr>
          <w:rFonts w:ascii="Times New Roman" w:eastAsia="Times New Roman" w:hAnsi="Times New Roman"/>
          <w:sz w:val="24"/>
          <w:szCs w:val="24"/>
        </w:rPr>
        <w:t xml:space="preserve">dodjele za frekvencijski pojas </w:t>
      </w:r>
      <w:r w:rsidRPr="006217A3">
        <w:rPr>
          <w:rFonts w:ascii="Times New Roman" w:eastAsia="Times New Roman" w:hAnsi="Times New Roman"/>
          <w:sz w:val="24"/>
          <w:szCs w:val="24"/>
        </w:rPr>
        <w:t xml:space="preserve">2500 -2690 MHz </w:t>
      </w:r>
      <w:r>
        <w:rPr>
          <w:rFonts w:ascii="Times New Roman" w:eastAsia="Times New Roman" w:hAnsi="Times New Roman"/>
          <w:sz w:val="24"/>
          <w:szCs w:val="24"/>
        </w:rPr>
        <w:t xml:space="preserve"> </w:t>
      </w:r>
      <w:r w:rsidRPr="00F0196A">
        <w:rPr>
          <w:rFonts w:ascii="&amp;quot" w:eastAsia="Times New Roman" w:hAnsi="&amp;quot"/>
          <w:color w:val="231F20"/>
          <w:sz w:val="24"/>
          <w:szCs w:val="24"/>
          <w:lang w:eastAsia="hr-HR"/>
        </w:rPr>
        <w:t>(»Narodne novine« br. 62/19 i 68</w:t>
      </w:r>
      <w:r>
        <w:rPr>
          <w:rFonts w:ascii="&amp;quot" w:eastAsia="Times New Roman" w:hAnsi="&amp;quot"/>
          <w:color w:val="231F20"/>
          <w:sz w:val="24"/>
          <w:szCs w:val="24"/>
          <w:lang w:eastAsia="hr-HR"/>
        </w:rPr>
        <w:t>/19</w:t>
      </w:r>
      <w:r>
        <w:rPr>
          <w:rFonts w:ascii="Times New Roman" w:eastAsia="Times New Roman" w:hAnsi="Times New Roman"/>
          <w:sz w:val="24"/>
          <w:szCs w:val="24"/>
        </w:rPr>
        <w:t>).</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p>
    <w:p w:rsidR="00A0536F" w:rsidRPr="00804E2B" w:rsidRDefault="00A0536F" w:rsidP="00A0536F">
      <w:pPr>
        <w:spacing w:after="0" w:line="240" w:lineRule="auto"/>
        <w:jc w:val="both"/>
        <w:rPr>
          <w:rFonts w:ascii="Times New Roman" w:eastAsia="Times New Roman" w:hAnsi="Times New Roman"/>
          <w:sz w:val="24"/>
          <w:szCs w:val="24"/>
        </w:rPr>
      </w:pPr>
      <w:r w:rsidRPr="00804E2B">
        <w:rPr>
          <w:rFonts w:ascii="Times New Roman" w:eastAsia="Times New Roman" w:hAnsi="Times New Roman"/>
          <w:sz w:val="24"/>
          <w:szCs w:val="24"/>
        </w:rPr>
        <w:t xml:space="preserve">KLASA: </w:t>
      </w:r>
    </w:p>
    <w:p w:rsidR="00A0536F" w:rsidRPr="00804E2B" w:rsidRDefault="00A0536F" w:rsidP="00A0536F">
      <w:pPr>
        <w:spacing w:after="0" w:line="240" w:lineRule="auto"/>
        <w:jc w:val="both"/>
        <w:rPr>
          <w:rFonts w:ascii="Times New Roman" w:eastAsia="Times New Roman" w:hAnsi="Times New Roman"/>
          <w:sz w:val="24"/>
          <w:szCs w:val="24"/>
        </w:rPr>
      </w:pPr>
      <w:proofErr w:type="spellStart"/>
      <w:r w:rsidRPr="00804E2B">
        <w:rPr>
          <w:rFonts w:ascii="Times New Roman" w:eastAsia="Times New Roman" w:hAnsi="Times New Roman"/>
          <w:sz w:val="24"/>
          <w:szCs w:val="24"/>
        </w:rPr>
        <w:t>Urbroj</w:t>
      </w:r>
      <w:proofErr w:type="spellEnd"/>
      <w:r w:rsidRPr="00804E2B">
        <w:rPr>
          <w:rFonts w:ascii="Times New Roman" w:eastAsia="Times New Roman" w:hAnsi="Times New Roman"/>
          <w:sz w:val="24"/>
          <w:szCs w:val="24"/>
        </w:rPr>
        <w:t xml:space="preserve">: </w:t>
      </w:r>
    </w:p>
    <w:p w:rsidR="00A0536F" w:rsidRDefault="00A0536F" w:rsidP="00A0536F">
      <w:pPr>
        <w:spacing w:after="0" w:line="240" w:lineRule="auto"/>
        <w:jc w:val="both"/>
        <w:rPr>
          <w:rFonts w:ascii="Times New Roman" w:eastAsia="Times New Roman" w:hAnsi="Times New Roman"/>
          <w:sz w:val="24"/>
          <w:szCs w:val="24"/>
        </w:rPr>
      </w:pPr>
      <w:r w:rsidRPr="00804E2B">
        <w:rPr>
          <w:rFonts w:ascii="Times New Roman" w:eastAsia="Times New Roman" w:hAnsi="Times New Roman"/>
          <w:sz w:val="24"/>
          <w:szCs w:val="24"/>
        </w:rPr>
        <w:t xml:space="preserve">Zagreb, </w:t>
      </w:r>
    </w:p>
    <w:p w:rsidR="00A0536F" w:rsidRDefault="00A0536F" w:rsidP="00A0536F">
      <w:pPr>
        <w:spacing w:after="0" w:line="240" w:lineRule="auto"/>
        <w:jc w:val="both"/>
        <w:rPr>
          <w:rFonts w:ascii="Times New Roman" w:eastAsia="Times New Roman" w:hAnsi="Times New Roman"/>
          <w:sz w:val="24"/>
          <w:szCs w:val="24"/>
        </w:rPr>
      </w:pPr>
    </w:p>
    <w:p w:rsidR="00A0536F" w:rsidRDefault="00A0536F" w:rsidP="00A0536F">
      <w:pPr>
        <w:spacing w:after="0" w:line="240" w:lineRule="auto"/>
        <w:jc w:val="both"/>
        <w:rPr>
          <w:rFonts w:ascii="Times New Roman" w:eastAsia="Times New Roman" w:hAnsi="Times New Roman"/>
          <w:sz w:val="24"/>
          <w:szCs w:val="24"/>
        </w:rPr>
      </w:pPr>
    </w:p>
    <w:tbl>
      <w:tblPr>
        <w:tblW w:w="4927" w:type="dxa"/>
        <w:tblInd w:w="4568" w:type="dxa"/>
        <w:tblLook w:val="01E0" w:firstRow="1" w:lastRow="1" w:firstColumn="1" w:lastColumn="1" w:noHBand="0" w:noVBand="0"/>
      </w:tblPr>
      <w:tblGrid>
        <w:gridCol w:w="4927"/>
      </w:tblGrid>
      <w:tr w:rsidR="00A0536F" w:rsidRPr="001C5615" w:rsidTr="00C62638">
        <w:tc>
          <w:tcPr>
            <w:tcW w:w="4927" w:type="dxa"/>
            <w:shd w:val="clear" w:color="auto" w:fill="auto"/>
          </w:tcPr>
          <w:tbl>
            <w:tblPr>
              <w:tblW w:w="0" w:type="auto"/>
              <w:tblLook w:val="01E0" w:firstRow="1" w:lastRow="1" w:firstColumn="1" w:lastColumn="1" w:noHBand="0" w:noVBand="0"/>
            </w:tblPr>
            <w:tblGrid>
              <w:gridCol w:w="4711"/>
            </w:tblGrid>
            <w:tr w:rsidR="00A0536F" w:rsidRPr="001268FF" w:rsidTr="00C62638">
              <w:tc>
                <w:tcPr>
                  <w:tcW w:w="4927" w:type="dxa"/>
                  <w:shd w:val="clear" w:color="auto" w:fill="auto"/>
                </w:tcPr>
                <w:p w:rsidR="00A0536F" w:rsidRPr="001268FF" w:rsidRDefault="00A0536F" w:rsidP="00C62638">
                  <w:pPr>
                    <w:tabs>
                      <w:tab w:val="center" w:pos="7655"/>
                    </w:tabs>
                    <w:spacing w:before="240" w:after="600" w:line="240" w:lineRule="auto"/>
                    <w:jc w:val="center"/>
                    <w:rPr>
                      <w:rFonts w:ascii="Times New Roman" w:eastAsia="Times New Roman" w:hAnsi="Times New Roman"/>
                      <w:b/>
                      <w:i/>
                      <w:caps/>
                      <w:sz w:val="20"/>
                      <w:szCs w:val="24"/>
                      <w:lang w:eastAsia="hr-HR"/>
                    </w:rPr>
                  </w:pPr>
                  <w:r w:rsidRPr="001268FF">
                    <w:rPr>
                      <w:rFonts w:ascii="Times New Roman" w:eastAsia="Times New Roman" w:hAnsi="Times New Roman"/>
                      <w:b/>
                      <w:i/>
                      <w:caps/>
                      <w:sz w:val="20"/>
                      <w:szCs w:val="24"/>
                      <w:lang w:eastAsia="hr-HR"/>
                    </w:rPr>
                    <w:t>Predsjednik Vijeća</w:t>
                  </w:r>
                </w:p>
              </w:tc>
            </w:tr>
            <w:tr w:rsidR="00A0536F" w:rsidRPr="001268FF" w:rsidTr="00C62638">
              <w:tc>
                <w:tcPr>
                  <w:tcW w:w="4927" w:type="dxa"/>
                  <w:shd w:val="clear" w:color="auto" w:fill="auto"/>
                </w:tcPr>
                <w:p w:rsidR="00A0536F" w:rsidRPr="001268FF" w:rsidRDefault="00A0536F" w:rsidP="00C62638">
                  <w:pPr>
                    <w:tabs>
                      <w:tab w:val="center" w:pos="7655"/>
                    </w:tabs>
                    <w:spacing w:after="600" w:line="240" w:lineRule="auto"/>
                    <w:jc w:val="center"/>
                    <w:rPr>
                      <w:rFonts w:ascii="Times New Roman" w:eastAsia="Times New Roman" w:hAnsi="Times New Roman"/>
                      <w:b/>
                      <w:i/>
                      <w:szCs w:val="24"/>
                      <w:lang w:eastAsia="hr-HR"/>
                    </w:rPr>
                  </w:pPr>
                  <w:r>
                    <w:rPr>
                      <w:rFonts w:ascii="Times New Roman" w:eastAsia="Times New Roman" w:hAnsi="Times New Roman"/>
                      <w:b/>
                      <w:i/>
                      <w:szCs w:val="24"/>
                      <w:lang w:eastAsia="hr-HR"/>
                    </w:rPr>
                    <w:t>Tonko Obuljen</w:t>
                  </w:r>
                </w:p>
              </w:tc>
            </w:tr>
          </w:tbl>
          <w:p w:rsidR="00A0536F" w:rsidRPr="001C5615" w:rsidRDefault="00A0536F" w:rsidP="00C62638">
            <w:pPr>
              <w:tabs>
                <w:tab w:val="center" w:pos="7655"/>
              </w:tabs>
              <w:spacing w:before="240" w:after="600" w:line="240" w:lineRule="auto"/>
              <w:jc w:val="center"/>
              <w:rPr>
                <w:rFonts w:ascii="Times New Roman" w:eastAsia="Times New Roman" w:hAnsi="Times New Roman"/>
                <w:b/>
                <w:i/>
                <w:caps/>
                <w:sz w:val="20"/>
                <w:szCs w:val="24"/>
                <w:lang w:eastAsia="hr-HR"/>
              </w:rPr>
            </w:pPr>
          </w:p>
        </w:tc>
      </w:tr>
    </w:tbl>
    <w:p w:rsidR="00A0536F" w:rsidRPr="00B1537A" w:rsidRDefault="00A0536F" w:rsidP="00B1537A">
      <w:pPr>
        <w:spacing w:after="0" w:line="240" w:lineRule="auto"/>
        <w:jc w:val="both"/>
        <w:rPr>
          <w:rFonts w:ascii="Times New Roman" w:hAnsi="Times New Roman" w:cs="Times New Roman"/>
          <w:sz w:val="24"/>
          <w:szCs w:val="24"/>
          <w:u w:val="single"/>
        </w:rPr>
      </w:pPr>
      <w:bookmarkStart w:id="0" w:name="_GoBack"/>
      <w:bookmarkEnd w:id="0"/>
    </w:p>
    <w:sectPr w:rsidR="00A0536F" w:rsidRPr="00B153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HRTimes">
    <w:altName w:val="Times New Roman"/>
    <w:panose1 w:val="00000000000000000000"/>
    <w:charset w:val="00"/>
    <w:family w:val="auto"/>
    <w:notTrueType/>
    <w:pitch w:val="variable"/>
    <w:sig w:usb0="00000003" w:usb1="00000000" w:usb2="00000000" w:usb3="00000000" w:csb0="00000001" w:csb1="00000000"/>
  </w:font>
  <w:font w:name="&amp;quot">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6AA50837"/>
    <w:multiLevelType w:val="hybridMultilevel"/>
    <w:tmpl w:val="9E1C1E18"/>
    <w:lvl w:ilvl="0" w:tplc="32AAFF08">
      <w:start w:val="5"/>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560ED"/>
    <w:rsid w:val="000865E8"/>
    <w:rsid w:val="000912F3"/>
    <w:rsid w:val="00095DD9"/>
    <w:rsid w:val="00107285"/>
    <w:rsid w:val="0013058E"/>
    <w:rsid w:val="00134B52"/>
    <w:rsid w:val="00140221"/>
    <w:rsid w:val="00166CFF"/>
    <w:rsid w:val="001A6BD8"/>
    <w:rsid w:val="00244041"/>
    <w:rsid w:val="0027546A"/>
    <w:rsid w:val="00297C09"/>
    <w:rsid w:val="002B3959"/>
    <w:rsid w:val="00316B99"/>
    <w:rsid w:val="00370097"/>
    <w:rsid w:val="0039748E"/>
    <w:rsid w:val="003B3678"/>
    <w:rsid w:val="003B658F"/>
    <w:rsid w:val="003E7A09"/>
    <w:rsid w:val="003F44AE"/>
    <w:rsid w:val="00462476"/>
    <w:rsid w:val="00466F8A"/>
    <w:rsid w:val="004949BE"/>
    <w:rsid w:val="005370CE"/>
    <w:rsid w:val="005E100A"/>
    <w:rsid w:val="006B4E6F"/>
    <w:rsid w:val="006C4637"/>
    <w:rsid w:val="006D4728"/>
    <w:rsid w:val="006F7214"/>
    <w:rsid w:val="00746C86"/>
    <w:rsid w:val="007A1838"/>
    <w:rsid w:val="007A21C1"/>
    <w:rsid w:val="007A3BD2"/>
    <w:rsid w:val="007B650A"/>
    <w:rsid w:val="007C34AA"/>
    <w:rsid w:val="007C7270"/>
    <w:rsid w:val="00824F3C"/>
    <w:rsid w:val="008855F7"/>
    <w:rsid w:val="00896AA2"/>
    <w:rsid w:val="008B6B95"/>
    <w:rsid w:val="008D643D"/>
    <w:rsid w:val="008E5470"/>
    <w:rsid w:val="008F7F9B"/>
    <w:rsid w:val="00912CCC"/>
    <w:rsid w:val="00970883"/>
    <w:rsid w:val="009954F3"/>
    <w:rsid w:val="009D036D"/>
    <w:rsid w:val="009D59E8"/>
    <w:rsid w:val="009E2193"/>
    <w:rsid w:val="00A00DAB"/>
    <w:rsid w:val="00A0536F"/>
    <w:rsid w:val="00A179CC"/>
    <w:rsid w:val="00A30ED4"/>
    <w:rsid w:val="00A31005"/>
    <w:rsid w:val="00A42EA6"/>
    <w:rsid w:val="00A47B7F"/>
    <w:rsid w:val="00A84D36"/>
    <w:rsid w:val="00B07D46"/>
    <w:rsid w:val="00B1537A"/>
    <w:rsid w:val="00B97FC7"/>
    <w:rsid w:val="00C014AC"/>
    <w:rsid w:val="00CD6B4C"/>
    <w:rsid w:val="00CD7271"/>
    <w:rsid w:val="00CE5AF0"/>
    <w:rsid w:val="00D01118"/>
    <w:rsid w:val="00DC269D"/>
    <w:rsid w:val="00DD2891"/>
    <w:rsid w:val="00DF62CD"/>
    <w:rsid w:val="00E3154B"/>
    <w:rsid w:val="00E34434"/>
    <w:rsid w:val="00E34F1E"/>
    <w:rsid w:val="00E66EF0"/>
    <w:rsid w:val="00EA25F6"/>
    <w:rsid w:val="00EB7966"/>
    <w:rsid w:val="00ED56D3"/>
    <w:rsid w:val="00F05368"/>
    <w:rsid w:val="00F6349F"/>
    <w:rsid w:val="00FB534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0569FE-09B9-436D-B695-1BDF8F1F0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paragraph" w:styleId="Caption">
    <w:name w:val="caption"/>
    <w:aliases w:val="Ca"/>
    <w:link w:val="CaptionChar"/>
    <w:qFormat/>
    <w:rsid w:val="00E34F1E"/>
    <w:pPr>
      <w:keepNext/>
      <w:suppressAutoHyphens/>
      <w:spacing w:after="0" w:line="240" w:lineRule="auto"/>
      <w:jc w:val="center"/>
    </w:pPr>
    <w:rPr>
      <w:rFonts w:ascii="Verdana" w:eastAsia="Arial" w:hAnsi="Verdana" w:cs="Times New Roman"/>
      <w:b/>
      <w:bCs/>
      <w:lang w:val="en-GB" w:eastAsia="ar-SA"/>
    </w:rPr>
  </w:style>
  <w:style w:type="character" w:customStyle="1" w:styleId="CaptionChar">
    <w:name w:val="Caption Char"/>
    <w:aliases w:val="Ca Char"/>
    <w:link w:val="Caption"/>
    <w:rsid w:val="00E34F1E"/>
    <w:rPr>
      <w:rFonts w:ascii="Verdana" w:eastAsia="Arial" w:hAnsi="Verdana" w:cs="Times New Roman"/>
      <w:b/>
      <w:bCs/>
      <w:lang w:val="en-GB" w:eastAsia="ar-SA"/>
    </w:rPr>
  </w:style>
  <w:style w:type="table" w:styleId="TableGrid">
    <w:name w:val="Table Grid"/>
    <w:basedOn w:val="TableNormal"/>
    <w:uiPriority w:val="59"/>
    <w:rsid w:val="007B6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al"/>
    <w:rsid w:val="00A0536F"/>
    <w:pPr>
      <w:overflowPunct w:val="0"/>
      <w:autoSpaceDE w:val="0"/>
      <w:autoSpaceDN w:val="0"/>
      <w:adjustRightInd w:val="0"/>
      <w:spacing w:after="0" w:line="240" w:lineRule="auto"/>
      <w:jc w:val="both"/>
      <w:textAlignment w:val="baseline"/>
    </w:pPr>
    <w:rPr>
      <w:rFonts w:ascii="HRTimes" w:eastAsia="Times New Roman" w:hAnsi="HRTimes" w:cs="Times New Roman"/>
      <w:sz w:val="24"/>
      <w:szCs w:val="20"/>
      <w:lang w:val="en-US"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5379EA2-A70A-4684-98D3-DD403F7D8780}">
  <ds:schemaRefs>
    <ds:schemaRef ds:uri="http://schemas.microsoft.com/sharepoint/v3/contenttype/forms"/>
  </ds:schemaRefs>
</ds:datastoreItem>
</file>

<file path=customXml/itemProps2.xml><?xml version="1.0" encoding="utf-8"?>
<ds:datastoreItem xmlns:ds="http://schemas.openxmlformats.org/officeDocument/2006/customXml" ds:itemID="{095C8902-2E99-4375-ABAF-872F1187E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F6BAFE9-F10F-4490-A21C-A82C1D1AEA6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1344</Words>
  <Characters>7665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Obrazac izmjena propisa</vt:lpstr>
    </vt:vector>
  </TitlesOfParts>
  <Company>HAKOM</Company>
  <LinksUpToDate>false</LinksUpToDate>
  <CharactersWithSpaces>8992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Obrazac izmjena propisa</dc:title>
  <dc:subject/>
  <dc:creator>Natalija Boltužić</dc:creator>
  <cp:keywords/>
  <dc:description/>
  <cp:lastModifiedBy>Julijana Jančula Bauer</cp:lastModifiedBy>
  <cp:revision>3</cp:revision>
  <dcterms:created xsi:type="dcterms:W3CDTF">2020-09-17T10:49:00Z</dcterms:created>
  <dcterms:modified xsi:type="dcterms:W3CDTF">2020-09-17T10:50:00Z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0x010100A4FEC01C8A75F14CB8D15BE56415D5AA</vt:lpwstr>
  </property>
</Properties>
</file>