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:rsidR="005E100A" w:rsidRDefault="005E100A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7B1F" w:rsidRPr="009F7B1F" w:rsidRDefault="00A42EA6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EA6">
        <w:rPr>
          <w:rFonts w:ascii="Times New Roman" w:hAnsi="Times New Roman" w:cs="Times New Roman"/>
          <w:b/>
          <w:sz w:val="28"/>
          <w:szCs w:val="28"/>
        </w:rPr>
        <w:t xml:space="preserve">Plan dodjele za 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 xml:space="preserve">frekvencijske pojaseve </w:t>
      </w:r>
    </w:p>
    <w:p w:rsidR="00244041" w:rsidRDefault="009F7B1F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7B1F">
        <w:rPr>
          <w:rFonts w:ascii="Times New Roman" w:hAnsi="Times New Roman" w:cs="Times New Roman"/>
          <w:b/>
          <w:sz w:val="28"/>
          <w:szCs w:val="28"/>
        </w:rPr>
        <w:t>880-915/925-960 MHz i 1710-1785/1805-1880 MHz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3BD2" w:rsidRDefault="007A3BD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7B1F" w:rsidRDefault="009F7B1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0279E7">
        <w:rPr>
          <w:rFonts w:ascii="Times New Roman" w:hAnsi="Times New Roman" w:cs="Times New Roman"/>
          <w:b/>
          <w:sz w:val="24"/>
          <w:szCs w:val="24"/>
        </w:rPr>
        <w:t>rujan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0279E7">
        <w:rPr>
          <w:rFonts w:ascii="Times New Roman" w:hAnsi="Times New Roman" w:cs="Times New Roman"/>
          <w:b/>
          <w:sz w:val="24"/>
          <w:szCs w:val="24"/>
        </w:rPr>
        <w:t>20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BF3FE9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2193" w:rsidRDefault="008B6B95" w:rsidP="00A42E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1. i člankom </w:t>
      </w:r>
      <w:r w:rsidR="005E100A"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 w:rsidR="005E100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 xml:space="preserve">Zakona o elektroničkim komunikacijama (NN br. 73/08, 90/11, 133/12, </w:t>
      </w:r>
      <w:r w:rsidR="00DD2891" w:rsidRPr="00DD2891">
        <w:rPr>
          <w:rFonts w:ascii="Times New Roman" w:hAnsi="Times New Roman" w:cs="Times New Roman"/>
          <w:sz w:val="24"/>
          <w:szCs w:val="24"/>
        </w:rPr>
        <w:t>80/13, 71/14 i 72/17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A42EA6" w:rsidRPr="00A42EA6">
        <w:rPr>
          <w:rFonts w:ascii="Times New Roman" w:hAnsi="Times New Roman" w:cs="Times New Roman"/>
          <w:sz w:val="24"/>
          <w:szCs w:val="24"/>
        </w:rPr>
        <w:t>Plan</w:t>
      </w:r>
      <w:r w:rsidR="00A42EA6">
        <w:rPr>
          <w:rFonts w:ascii="Times New Roman" w:hAnsi="Times New Roman" w:cs="Times New Roman"/>
          <w:sz w:val="24"/>
          <w:szCs w:val="24"/>
        </w:rPr>
        <w:t xml:space="preserve"> dodjele za </w:t>
      </w:r>
      <w:r w:rsidR="00703080" w:rsidRPr="00703080">
        <w:rPr>
          <w:rFonts w:ascii="Times New Roman" w:hAnsi="Times New Roman" w:cs="Times New Roman"/>
          <w:sz w:val="24"/>
          <w:szCs w:val="24"/>
        </w:rPr>
        <w:t>frekvencijske pojaseve 880-915/925-960 MHz i 1710-1785/1805-1880 MHz</w:t>
      </w:r>
      <w:r w:rsidR="008D643D">
        <w:rPr>
          <w:rFonts w:ascii="Times New Roman" w:hAnsi="Times New Roman" w:cs="Times New Roman"/>
          <w:sz w:val="24"/>
          <w:szCs w:val="24"/>
        </w:rPr>
        <w:t>.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Default="00A91B65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 odlukama </w:t>
      </w:r>
      <w:r w:rsidRPr="006D01FD">
        <w:rPr>
          <w:rFonts w:ascii="Times New Roman" w:hAnsi="Times New Roman" w:cs="Times New Roman"/>
          <w:sz w:val="24"/>
          <w:szCs w:val="24"/>
        </w:rPr>
        <w:t>2009/766/EC i (EU) 2018/637 harmonizirani su frekvencijski pojasevi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3080">
        <w:rPr>
          <w:rFonts w:ascii="Times New Roman" w:hAnsi="Times New Roman" w:cs="Times New Roman"/>
          <w:sz w:val="24"/>
          <w:szCs w:val="24"/>
        </w:rPr>
        <w:t xml:space="preserve">880-915/925-960 MHz </w:t>
      </w:r>
      <w:r w:rsidR="006D01FD">
        <w:rPr>
          <w:rFonts w:ascii="Times New Roman" w:hAnsi="Times New Roman" w:cs="Times New Roman"/>
          <w:sz w:val="24"/>
          <w:szCs w:val="24"/>
        </w:rPr>
        <w:t xml:space="preserve">(dalje: 900 MHz) </w:t>
      </w:r>
      <w:r w:rsidRPr="00703080">
        <w:rPr>
          <w:rFonts w:ascii="Times New Roman" w:hAnsi="Times New Roman" w:cs="Times New Roman"/>
          <w:sz w:val="24"/>
          <w:szCs w:val="24"/>
        </w:rPr>
        <w:t>i 1710-1785/1805-1880 MHz</w:t>
      </w:r>
      <w:r w:rsidRPr="005466D6">
        <w:rPr>
          <w:rFonts w:ascii="Times New Roman" w:hAnsi="Times New Roman" w:cs="Times New Roman"/>
          <w:sz w:val="24"/>
          <w:szCs w:val="24"/>
        </w:rPr>
        <w:t xml:space="preserve"> </w:t>
      </w:r>
      <w:r w:rsidR="006D01FD">
        <w:rPr>
          <w:rFonts w:ascii="Times New Roman" w:hAnsi="Times New Roman" w:cs="Times New Roman"/>
          <w:sz w:val="24"/>
          <w:szCs w:val="24"/>
        </w:rPr>
        <w:t xml:space="preserve">(dalje: 1800 MHz) </w:t>
      </w:r>
      <w:r>
        <w:rPr>
          <w:rFonts w:ascii="Times New Roman" w:hAnsi="Times New Roman" w:cs="Times New Roman"/>
          <w:sz w:val="24"/>
          <w:szCs w:val="24"/>
        </w:rPr>
        <w:t>za</w:t>
      </w:r>
      <w:r w:rsidRPr="005466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elektroničke komunikacijske mreže i usluge. </w:t>
      </w:r>
      <w:r w:rsidR="000279E7" w:rsidRPr="005466D6">
        <w:rPr>
          <w:rFonts w:ascii="Times New Roman" w:hAnsi="Times New Roman" w:cs="Times New Roman"/>
          <w:sz w:val="24"/>
          <w:szCs w:val="24"/>
        </w:rPr>
        <w:t xml:space="preserve">ECC odlukom </w:t>
      </w:r>
      <w:r w:rsidRPr="006D01FD">
        <w:rPr>
          <w:rFonts w:ascii="Times New Roman" w:hAnsi="Times New Roman" w:cs="Times New Roman"/>
          <w:sz w:val="24"/>
          <w:szCs w:val="24"/>
        </w:rPr>
        <w:t xml:space="preserve">ECC/DEC/(06)13 navedeni </w:t>
      </w:r>
      <w:r w:rsidR="006D01FD" w:rsidRPr="006D01FD">
        <w:rPr>
          <w:rFonts w:ascii="Times New Roman" w:hAnsi="Times New Roman" w:cs="Times New Roman"/>
          <w:sz w:val="24"/>
          <w:szCs w:val="24"/>
        </w:rPr>
        <w:t>frekvencijski</w:t>
      </w:r>
      <w:r w:rsidRPr="006D01FD">
        <w:rPr>
          <w:rFonts w:ascii="Times New Roman" w:hAnsi="Times New Roman" w:cs="Times New Roman"/>
          <w:sz w:val="24"/>
          <w:szCs w:val="24"/>
        </w:rPr>
        <w:t xml:space="preserve"> pojasevi namijenjeni su za </w:t>
      </w:r>
      <w:r w:rsidR="006D01FD" w:rsidRPr="006D01FD">
        <w:rPr>
          <w:rFonts w:ascii="Times New Roman" w:hAnsi="Times New Roman" w:cs="Times New Roman"/>
          <w:sz w:val="24"/>
          <w:szCs w:val="24"/>
        </w:rPr>
        <w:t>UMTS, LTE, 5G NR, WiMAX i IoT sustave.</w:t>
      </w:r>
    </w:p>
    <w:p w:rsidR="006D01FD" w:rsidRDefault="006D01FD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Default="006D01FD" w:rsidP="00C55F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ECC Izviješće</w:t>
      </w:r>
      <w:r w:rsidR="00E7645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297 potvrđeno je da se frekvencijski pojasevi 900 i 1800 MHz, osim za </w:t>
      </w:r>
      <w:r w:rsidRPr="006D01FD">
        <w:rPr>
          <w:rFonts w:ascii="Times New Roman" w:hAnsi="Times New Roman" w:cs="Times New Roman"/>
          <w:sz w:val="24"/>
          <w:szCs w:val="24"/>
        </w:rPr>
        <w:t xml:space="preserve">LTE </w:t>
      </w:r>
      <w:r w:rsidR="00E7645C">
        <w:rPr>
          <w:rFonts w:ascii="Times New Roman" w:hAnsi="Times New Roman" w:cs="Times New Roman"/>
          <w:sz w:val="24"/>
          <w:szCs w:val="24"/>
        </w:rPr>
        <w:t>neaktivne antensk</w:t>
      </w:r>
      <w:r w:rsidR="0056206C">
        <w:rPr>
          <w:rFonts w:ascii="Times New Roman" w:hAnsi="Times New Roman" w:cs="Times New Roman"/>
          <w:sz w:val="24"/>
          <w:szCs w:val="24"/>
        </w:rPr>
        <w:t>e</w:t>
      </w:r>
      <w:r w:rsidR="00E7645C">
        <w:rPr>
          <w:rFonts w:ascii="Times New Roman" w:hAnsi="Times New Roman" w:cs="Times New Roman"/>
          <w:sz w:val="24"/>
          <w:szCs w:val="24"/>
        </w:rPr>
        <w:t xml:space="preserve"> sustav</w:t>
      </w:r>
      <w:r w:rsidR="0056206C">
        <w:rPr>
          <w:rFonts w:ascii="Times New Roman" w:hAnsi="Times New Roman" w:cs="Times New Roman"/>
          <w:sz w:val="24"/>
          <w:szCs w:val="24"/>
        </w:rPr>
        <w:t>e</w:t>
      </w:r>
      <w:r w:rsidR="00E7645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mogu upotrebljavati za implementaciju </w:t>
      </w:r>
      <w:r w:rsidRPr="006D01FD">
        <w:rPr>
          <w:rFonts w:ascii="Times New Roman" w:hAnsi="Times New Roman" w:cs="Times New Roman"/>
          <w:sz w:val="24"/>
          <w:szCs w:val="24"/>
        </w:rPr>
        <w:t xml:space="preserve">LTE/5G NR </w:t>
      </w:r>
      <w:r w:rsidR="00980053">
        <w:rPr>
          <w:rFonts w:ascii="Times New Roman" w:hAnsi="Times New Roman" w:cs="Times New Roman"/>
          <w:sz w:val="24"/>
          <w:szCs w:val="24"/>
        </w:rPr>
        <w:t>aktivnih antenskih sustava</w:t>
      </w:r>
      <w:r w:rsidRPr="006D01FD">
        <w:rPr>
          <w:rFonts w:ascii="Times New Roman" w:hAnsi="Times New Roman" w:cs="Times New Roman"/>
          <w:sz w:val="24"/>
          <w:szCs w:val="24"/>
        </w:rPr>
        <w:t xml:space="preserve"> u frekvencijskom pojasu 1800 MHz </w:t>
      </w:r>
      <w:r w:rsidR="00E7645C">
        <w:rPr>
          <w:rFonts w:ascii="Times New Roman" w:hAnsi="Times New Roman" w:cs="Times New Roman"/>
          <w:sz w:val="24"/>
          <w:szCs w:val="24"/>
        </w:rPr>
        <w:t>i</w:t>
      </w:r>
      <w:r w:rsidRPr="006D01FD">
        <w:rPr>
          <w:rFonts w:ascii="Times New Roman" w:hAnsi="Times New Roman" w:cs="Times New Roman"/>
          <w:sz w:val="24"/>
          <w:szCs w:val="24"/>
        </w:rPr>
        <w:t xml:space="preserve"> 5G NR </w:t>
      </w:r>
      <w:r w:rsidR="00E7645C">
        <w:rPr>
          <w:rFonts w:ascii="Times New Roman" w:hAnsi="Times New Roman" w:cs="Times New Roman"/>
          <w:sz w:val="24"/>
          <w:szCs w:val="24"/>
        </w:rPr>
        <w:t>neaktivnih antenskih s</w:t>
      </w:r>
      <w:r w:rsidR="00980053">
        <w:rPr>
          <w:rFonts w:ascii="Times New Roman" w:hAnsi="Times New Roman" w:cs="Times New Roman"/>
          <w:sz w:val="24"/>
          <w:szCs w:val="24"/>
        </w:rPr>
        <w:t xml:space="preserve">ustava </w:t>
      </w:r>
      <w:r w:rsidR="00E7645C">
        <w:rPr>
          <w:rFonts w:ascii="Times New Roman" w:hAnsi="Times New Roman" w:cs="Times New Roman"/>
          <w:sz w:val="24"/>
          <w:szCs w:val="24"/>
        </w:rPr>
        <w:t xml:space="preserve"> u</w:t>
      </w:r>
      <w:r w:rsidRPr="006D01FD">
        <w:rPr>
          <w:rFonts w:ascii="Times New Roman" w:hAnsi="Times New Roman" w:cs="Times New Roman"/>
          <w:sz w:val="24"/>
          <w:szCs w:val="24"/>
        </w:rPr>
        <w:t xml:space="preserve"> frekvencijskim pojasevima 900 </w:t>
      </w:r>
      <w:r w:rsidR="00E7645C">
        <w:rPr>
          <w:rFonts w:ascii="Times New Roman" w:hAnsi="Times New Roman" w:cs="Times New Roman"/>
          <w:sz w:val="24"/>
          <w:szCs w:val="24"/>
        </w:rPr>
        <w:t>i</w:t>
      </w:r>
      <w:r w:rsidRPr="006D01FD">
        <w:rPr>
          <w:rFonts w:ascii="Times New Roman" w:hAnsi="Times New Roman" w:cs="Times New Roman"/>
          <w:sz w:val="24"/>
          <w:szCs w:val="24"/>
        </w:rPr>
        <w:t xml:space="preserve"> 1800 MHz.</w:t>
      </w:r>
    </w:p>
    <w:p w:rsidR="00E7645C" w:rsidRDefault="00E7645C" w:rsidP="00C55F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Default="00E7645C" w:rsidP="00C55F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55F8F">
        <w:rPr>
          <w:rFonts w:ascii="Times New Roman" w:hAnsi="Times New Roman" w:cs="Times New Roman"/>
          <w:sz w:val="24"/>
          <w:szCs w:val="24"/>
        </w:rPr>
        <w:t xml:space="preserve">Tehnički uvjeti definirani </w:t>
      </w:r>
      <w:r w:rsidRPr="005466D6">
        <w:rPr>
          <w:rFonts w:ascii="Times New Roman" w:hAnsi="Times New Roman" w:cs="Times New Roman"/>
          <w:sz w:val="24"/>
          <w:szCs w:val="24"/>
        </w:rPr>
        <w:t xml:space="preserve">ECC odlukom </w:t>
      </w:r>
      <w:r w:rsidRPr="006D01FD">
        <w:rPr>
          <w:rFonts w:ascii="Times New Roman" w:hAnsi="Times New Roman" w:cs="Times New Roman"/>
          <w:sz w:val="24"/>
          <w:szCs w:val="24"/>
        </w:rPr>
        <w:t xml:space="preserve">ECC/DEC/(06)13 </w:t>
      </w:r>
      <w:r w:rsidRPr="00C55F8F">
        <w:rPr>
          <w:rFonts w:ascii="Times New Roman" w:hAnsi="Times New Roman" w:cs="Times New Roman"/>
          <w:sz w:val="24"/>
          <w:szCs w:val="24"/>
        </w:rPr>
        <w:t xml:space="preserve">za LTE sustave mogu se primijeniti i za </w:t>
      </w:r>
      <w:r w:rsidRPr="006D01FD">
        <w:rPr>
          <w:rFonts w:ascii="Times New Roman" w:hAnsi="Times New Roman" w:cs="Times New Roman"/>
          <w:sz w:val="24"/>
          <w:szCs w:val="24"/>
        </w:rPr>
        <w:t xml:space="preserve">5G NR </w:t>
      </w:r>
      <w:r w:rsidR="00980053">
        <w:rPr>
          <w:rFonts w:ascii="Times New Roman" w:hAnsi="Times New Roman" w:cs="Times New Roman"/>
          <w:sz w:val="24"/>
          <w:szCs w:val="24"/>
        </w:rPr>
        <w:t>neaktivne antenske sustava</w:t>
      </w:r>
      <w:r>
        <w:rPr>
          <w:rFonts w:ascii="Times New Roman" w:hAnsi="Times New Roman" w:cs="Times New Roman"/>
          <w:sz w:val="24"/>
          <w:szCs w:val="24"/>
        </w:rPr>
        <w:t xml:space="preserve"> u</w:t>
      </w:r>
      <w:r w:rsidRPr="006D01FD">
        <w:rPr>
          <w:rFonts w:ascii="Times New Roman" w:hAnsi="Times New Roman" w:cs="Times New Roman"/>
          <w:sz w:val="24"/>
          <w:szCs w:val="24"/>
        </w:rPr>
        <w:t xml:space="preserve"> frekvencijskim pojasevima 900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6D01FD">
        <w:rPr>
          <w:rFonts w:ascii="Times New Roman" w:hAnsi="Times New Roman" w:cs="Times New Roman"/>
          <w:sz w:val="24"/>
          <w:szCs w:val="24"/>
        </w:rPr>
        <w:t xml:space="preserve"> 1800 MHz</w:t>
      </w:r>
      <w:r>
        <w:rPr>
          <w:rFonts w:ascii="Times New Roman" w:hAnsi="Times New Roman" w:cs="Times New Roman"/>
          <w:sz w:val="24"/>
          <w:szCs w:val="24"/>
        </w:rPr>
        <w:t>, uključujući i SUL način rada te LTE/5G NR</w:t>
      </w:r>
      <w:r w:rsidRPr="006D01FD">
        <w:rPr>
          <w:rFonts w:ascii="Times New Roman" w:hAnsi="Times New Roman" w:cs="Times New Roman"/>
          <w:sz w:val="24"/>
          <w:szCs w:val="24"/>
        </w:rPr>
        <w:t xml:space="preserve"> </w:t>
      </w:r>
      <w:r w:rsidR="00980053">
        <w:rPr>
          <w:rFonts w:ascii="Times New Roman" w:hAnsi="Times New Roman" w:cs="Times New Roman"/>
          <w:sz w:val="24"/>
          <w:szCs w:val="24"/>
        </w:rPr>
        <w:t>aktivne antenske sustava</w:t>
      </w:r>
      <w:r>
        <w:rPr>
          <w:rFonts w:ascii="Times New Roman" w:hAnsi="Times New Roman" w:cs="Times New Roman"/>
          <w:sz w:val="24"/>
          <w:szCs w:val="24"/>
        </w:rPr>
        <w:t xml:space="preserve"> u frekvencijskom pojasu 1800 MHz.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6206C" w:rsidRDefault="0056206C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ECC Odlukom </w:t>
      </w:r>
      <w:r w:rsidRPr="006D01FD">
        <w:rPr>
          <w:rFonts w:ascii="Times New Roman" w:hAnsi="Times New Roman" w:cs="Times New Roman"/>
          <w:sz w:val="24"/>
          <w:szCs w:val="24"/>
        </w:rPr>
        <w:t>ECC/DEC/(06)13</w:t>
      </w:r>
      <w:r>
        <w:rPr>
          <w:rFonts w:ascii="Times New Roman" w:hAnsi="Times New Roman" w:cs="Times New Roman"/>
          <w:sz w:val="24"/>
          <w:szCs w:val="24"/>
        </w:rPr>
        <w:t xml:space="preserve"> odnosno ECC Izviješćem 297 propisani su sljedeći tehnički zahtjevi:</w:t>
      </w:r>
    </w:p>
    <w:p w:rsidR="0056206C" w:rsidRPr="00DA6CD3" w:rsidRDefault="0056206C" w:rsidP="00DA6CD3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Frekvencijski razmak od</w:t>
      </w:r>
      <w:r w:rsidRPr="0056206C">
        <w:rPr>
          <w:rFonts w:ascii="Times New Roman" w:hAnsi="Times New Roman" w:cs="Times New Roman"/>
          <w:sz w:val="24"/>
          <w:szCs w:val="24"/>
        </w:rPr>
        <w:t xml:space="preserve"> 200 kHz </w:t>
      </w:r>
      <w:r>
        <w:rPr>
          <w:rFonts w:ascii="Times New Roman" w:hAnsi="Times New Roman" w:cs="Times New Roman"/>
          <w:sz w:val="24"/>
          <w:szCs w:val="24"/>
        </w:rPr>
        <w:t>ili više između ruba 5G NR</w:t>
      </w:r>
      <w:r w:rsidRPr="00562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kanala i GSM ruba kanala. </w:t>
      </w:r>
      <w:r w:rsidR="00DA6CD3">
        <w:rPr>
          <w:rFonts w:ascii="Times New Roman" w:hAnsi="Times New Roman" w:cs="Times New Roman"/>
          <w:sz w:val="24"/>
          <w:szCs w:val="24"/>
        </w:rPr>
        <w:t>Ovaj</w:t>
      </w:r>
      <w:r>
        <w:rPr>
          <w:rFonts w:ascii="Times New Roman" w:hAnsi="Times New Roman" w:cs="Times New Roman"/>
          <w:sz w:val="24"/>
          <w:szCs w:val="24"/>
        </w:rPr>
        <w:t xml:space="preserve"> zahtjev je </w:t>
      </w:r>
      <w:r w:rsidR="00DA6CD3">
        <w:rPr>
          <w:rFonts w:ascii="Times New Roman" w:hAnsi="Times New Roman" w:cs="Times New Roman"/>
          <w:sz w:val="24"/>
          <w:szCs w:val="24"/>
        </w:rPr>
        <w:t>ispunjen</w:t>
      </w:r>
      <w:r>
        <w:rPr>
          <w:rFonts w:ascii="Times New Roman" w:hAnsi="Times New Roman" w:cs="Times New Roman"/>
          <w:sz w:val="24"/>
          <w:szCs w:val="24"/>
        </w:rPr>
        <w:t xml:space="preserve"> specifikacijom 5G NR kanala (širina </w:t>
      </w:r>
      <w:r w:rsidR="00DA6CD3">
        <w:rPr>
          <w:rFonts w:ascii="Times New Roman" w:hAnsi="Times New Roman" w:cs="Times New Roman"/>
          <w:sz w:val="24"/>
          <w:szCs w:val="24"/>
        </w:rPr>
        <w:t>kanala</w:t>
      </w:r>
      <w:r>
        <w:rPr>
          <w:rFonts w:ascii="Times New Roman" w:hAnsi="Times New Roman" w:cs="Times New Roman"/>
          <w:sz w:val="24"/>
          <w:szCs w:val="24"/>
        </w:rPr>
        <w:t xml:space="preserve"> 5 MHZ ili više</w:t>
      </w:r>
      <w:r w:rsidR="00DA6CD3">
        <w:rPr>
          <w:rFonts w:ascii="Times New Roman" w:hAnsi="Times New Roman" w:cs="Times New Roman"/>
          <w:sz w:val="24"/>
          <w:szCs w:val="24"/>
        </w:rPr>
        <w:t xml:space="preserve">. Isto vrijedi kod koegzistencije između 5G NR i </w:t>
      </w:r>
      <w:r w:rsidR="00DA6CD3" w:rsidRPr="0056206C">
        <w:rPr>
          <w:rFonts w:ascii="Times New Roman" w:hAnsi="Times New Roman" w:cs="Times New Roman"/>
          <w:sz w:val="24"/>
          <w:szCs w:val="24"/>
        </w:rPr>
        <w:t>EC-GSM-IoT</w:t>
      </w:r>
      <w:r w:rsidR="00DA6CD3">
        <w:rPr>
          <w:rFonts w:ascii="Times New Roman" w:hAnsi="Times New Roman" w:cs="Times New Roman"/>
          <w:sz w:val="24"/>
          <w:szCs w:val="24"/>
        </w:rPr>
        <w:t xml:space="preserve"> sustava;</w:t>
      </w:r>
    </w:p>
    <w:p w:rsidR="0056206C" w:rsidRPr="0056206C" w:rsidRDefault="00DA6CD3" w:rsidP="0056206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Frekvencijski razmak nije potreban između 5G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 NR </w:t>
      </w:r>
      <w:r>
        <w:rPr>
          <w:rFonts w:ascii="Times New Roman" w:hAnsi="Times New Roman" w:cs="Times New Roman"/>
          <w:sz w:val="24"/>
          <w:szCs w:val="24"/>
        </w:rPr>
        <w:t xml:space="preserve">ruba kanala i UMTS  ruba kanala </w:t>
      </w:r>
    </w:p>
    <w:p w:rsidR="0056206C" w:rsidRPr="0056206C" w:rsidRDefault="00DA6CD3" w:rsidP="0056206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Frekvencijski razmak nije potreban između 5G</w:t>
      </w:r>
      <w:r w:rsidRPr="0056206C">
        <w:rPr>
          <w:rFonts w:ascii="Times New Roman" w:hAnsi="Times New Roman" w:cs="Times New Roman"/>
          <w:sz w:val="24"/>
          <w:szCs w:val="24"/>
        </w:rPr>
        <w:t xml:space="preserve"> NR </w:t>
      </w:r>
      <w:r>
        <w:rPr>
          <w:rFonts w:ascii="Times New Roman" w:hAnsi="Times New Roman" w:cs="Times New Roman"/>
          <w:sz w:val="24"/>
          <w:szCs w:val="24"/>
        </w:rPr>
        <w:t>ruba kanala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 LTE </w:t>
      </w:r>
      <w:r>
        <w:rPr>
          <w:rFonts w:ascii="Times New Roman" w:hAnsi="Times New Roman" w:cs="Times New Roman"/>
          <w:sz w:val="24"/>
          <w:szCs w:val="24"/>
        </w:rPr>
        <w:t>ruba kanla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Isto vrijedi kod koegzistencije između 5G NR i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 LTE MTC/eMTC </w:t>
      </w:r>
      <w:r>
        <w:rPr>
          <w:rFonts w:ascii="Times New Roman" w:hAnsi="Times New Roman" w:cs="Times New Roman"/>
          <w:sz w:val="24"/>
          <w:szCs w:val="24"/>
        </w:rPr>
        <w:t>sustava</w:t>
      </w:r>
      <w:r w:rsidR="0056206C" w:rsidRPr="0056206C">
        <w:rPr>
          <w:rFonts w:ascii="Times New Roman" w:hAnsi="Times New Roman" w:cs="Times New Roman"/>
          <w:sz w:val="24"/>
          <w:szCs w:val="24"/>
        </w:rPr>
        <w:t>;</w:t>
      </w:r>
    </w:p>
    <w:p w:rsidR="0056206C" w:rsidRPr="0056206C" w:rsidRDefault="00DA6CD3" w:rsidP="0056206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Frekvencijski razmak nije potreban između 5G</w:t>
      </w:r>
      <w:r w:rsidRPr="0056206C">
        <w:rPr>
          <w:rFonts w:ascii="Times New Roman" w:hAnsi="Times New Roman" w:cs="Times New Roman"/>
          <w:sz w:val="24"/>
          <w:szCs w:val="24"/>
        </w:rPr>
        <w:t xml:space="preserve"> NR </w:t>
      </w:r>
      <w:r>
        <w:rPr>
          <w:rFonts w:ascii="Times New Roman" w:hAnsi="Times New Roman" w:cs="Times New Roman"/>
          <w:sz w:val="24"/>
          <w:szCs w:val="24"/>
        </w:rPr>
        <w:t>rubova kanala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dviju susjednih mreža</w:t>
      </w:r>
      <w:r w:rsidR="0056206C" w:rsidRPr="0056206C">
        <w:rPr>
          <w:rFonts w:ascii="Times New Roman" w:hAnsi="Times New Roman" w:cs="Times New Roman"/>
          <w:sz w:val="24"/>
          <w:szCs w:val="24"/>
        </w:rPr>
        <w:t>;</w:t>
      </w:r>
    </w:p>
    <w:p w:rsidR="0056206C" w:rsidRDefault="00DA6CD3" w:rsidP="0056206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Frekvencijski razmak od</w:t>
      </w:r>
      <w:r w:rsidRPr="0056206C">
        <w:rPr>
          <w:rFonts w:ascii="Times New Roman" w:hAnsi="Times New Roman" w:cs="Times New Roman"/>
          <w:sz w:val="24"/>
          <w:szCs w:val="24"/>
        </w:rPr>
        <w:t xml:space="preserve"> 200 kHz </w:t>
      </w:r>
      <w:r>
        <w:rPr>
          <w:rFonts w:ascii="Times New Roman" w:hAnsi="Times New Roman" w:cs="Times New Roman"/>
          <w:sz w:val="24"/>
          <w:szCs w:val="24"/>
        </w:rPr>
        <w:t>ili više između ruba 5G NR</w:t>
      </w:r>
      <w:r w:rsidRPr="00562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kanala i ruba kanala kod samostalne NB-IoT implementacije susjednih mreža</w:t>
      </w:r>
      <w:r w:rsidR="0056206C" w:rsidRPr="0056206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Ovaj zahtjev je ispunjen specifikacijom 5G NR kanala (širina kanala 5 MHZ ili više)</w:t>
      </w:r>
    </w:p>
    <w:p w:rsidR="0056206C" w:rsidRDefault="0056206C" w:rsidP="0056206C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546A" w:rsidRPr="0027546A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546A">
        <w:rPr>
          <w:rFonts w:ascii="Times New Roman" w:hAnsi="Times New Roman" w:cs="Times New Roman"/>
          <w:sz w:val="24"/>
          <w:szCs w:val="24"/>
        </w:rPr>
        <w:t xml:space="preserve">Uzimajući u obzir navedeno, </w:t>
      </w:r>
      <w:r w:rsidR="00DA6CD3">
        <w:rPr>
          <w:rFonts w:ascii="Times New Roman" w:hAnsi="Times New Roman" w:cs="Times New Roman"/>
          <w:sz w:val="24"/>
          <w:szCs w:val="24"/>
        </w:rPr>
        <w:t xml:space="preserve">te činjenicu da je </w:t>
      </w:r>
      <w:r w:rsidR="00DA6CD3" w:rsidRPr="00DA6CD3">
        <w:rPr>
          <w:rFonts w:ascii="Times New Roman" w:hAnsi="Times New Roman" w:cs="Times New Roman"/>
          <w:sz w:val="24"/>
          <w:szCs w:val="24"/>
        </w:rPr>
        <w:t>postojećim planom dodjele određeno da razmak između rubova GSM, UMTS ili LTE kanala između dva operatora nije obavezan u nekoordiniranom načinu rada</w:t>
      </w:r>
      <w:r w:rsidR="00DA6CD3" w:rsidRPr="0027546A">
        <w:rPr>
          <w:rFonts w:ascii="Times New Roman" w:hAnsi="Times New Roman" w:cs="Times New Roman"/>
          <w:sz w:val="24"/>
          <w:szCs w:val="24"/>
        </w:rPr>
        <w:t xml:space="preserve"> </w:t>
      </w:r>
      <w:r w:rsidRPr="0027546A">
        <w:rPr>
          <w:rFonts w:ascii="Times New Roman" w:hAnsi="Times New Roman" w:cs="Times New Roman"/>
          <w:sz w:val="24"/>
          <w:szCs w:val="24"/>
        </w:rPr>
        <w:t>predlaž</w:t>
      </w:r>
      <w:r w:rsidR="0024721E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se</w:t>
      </w:r>
      <w:r w:rsidRPr="0027546A">
        <w:rPr>
          <w:rFonts w:ascii="Times New Roman" w:hAnsi="Times New Roman" w:cs="Times New Roman"/>
          <w:sz w:val="24"/>
          <w:szCs w:val="24"/>
        </w:rPr>
        <w:t xml:space="preserve"> sljedeć</w:t>
      </w:r>
      <w:r w:rsidR="0024721E">
        <w:rPr>
          <w:rFonts w:ascii="Times New Roman" w:hAnsi="Times New Roman" w:cs="Times New Roman"/>
          <w:sz w:val="24"/>
          <w:szCs w:val="24"/>
        </w:rPr>
        <w:t>e</w:t>
      </w:r>
      <w:r w:rsidRPr="0027546A">
        <w:rPr>
          <w:rFonts w:ascii="Times New Roman" w:hAnsi="Times New Roman" w:cs="Times New Roman"/>
          <w:sz w:val="24"/>
          <w:szCs w:val="24"/>
        </w:rPr>
        <w:t xml:space="preserve"> izmjen</w:t>
      </w:r>
      <w:r w:rsidR="0024721E">
        <w:rPr>
          <w:rFonts w:ascii="Times New Roman" w:hAnsi="Times New Roman" w:cs="Times New Roman"/>
          <w:sz w:val="24"/>
          <w:szCs w:val="24"/>
        </w:rPr>
        <w:t>e</w:t>
      </w:r>
      <w:r w:rsidRPr="0027546A">
        <w:rPr>
          <w:rFonts w:ascii="Times New Roman" w:hAnsi="Times New Roman" w:cs="Times New Roman"/>
          <w:sz w:val="24"/>
          <w:szCs w:val="24"/>
        </w:rPr>
        <w:t xml:space="preserve"> u Planu dodjele radijskih frekvencija </w:t>
      </w:r>
      <w:r w:rsidR="00C55F8F">
        <w:rPr>
          <w:rFonts w:ascii="Times New Roman" w:hAnsi="Times New Roman" w:cs="Times New Roman"/>
          <w:sz w:val="24"/>
          <w:szCs w:val="24"/>
        </w:rPr>
        <w:t xml:space="preserve">za </w:t>
      </w:r>
      <w:r w:rsidR="00C55F8F" w:rsidRPr="00703080">
        <w:rPr>
          <w:rFonts w:ascii="Times New Roman" w:hAnsi="Times New Roman" w:cs="Times New Roman"/>
          <w:sz w:val="24"/>
          <w:szCs w:val="24"/>
        </w:rPr>
        <w:t>frekvencijske pojaseve 880-915/925-960 MHz i 1710-1785/1805-1880 MHz</w:t>
      </w:r>
      <w:r w:rsidRPr="0027546A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7546A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HAKOM stoga predlaže izmjene postojećeg Plana dodjele za </w:t>
      </w:r>
      <w:r w:rsidRPr="005720C4">
        <w:rPr>
          <w:rFonts w:ascii="Times New Roman" w:hAnsi="Times New Roman" w:cs="Times New Roman"/>
          <w:sz w:val="24"/>
          <w:szCs w:val="24"/>
        </w:rPr>
        <w:t>frekvencijsk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5720C4">
        <w:rPr>
          <w:rFonts w:ascii="Times New Roman" w:hAnsi="Times New Roman" w:cs="Times New Roman"/>
          <w:sz w:val="24"/>
          <w:szCs w:val="24"/>
        </w:rPr>
        <w:t xml:space="preserve"> pojas</w:t>
      </w:r>
      <w:r>
        <w:rPr>
          <w:rFonts w:ascii="Times New Roman" w:hAnsi="Times New Roman" w:cs="Times New Roman"/>
          <w:sz w:val="24"/>
          <w:szCs w:val="24"/>
        </w:rPr>
        <w:t>eve</w:t>
      </w:r>
      <w:r w:rsidRPr="005720C4">
        <w:rPr>
          <w:rFonts w:ascii="Times New Roman" w:hAnsi="Times New Roman" w:cs="Times New Roman"/>
          <w:sz w:val="24"/>
          <w:szCs w:val="24"/>
        </w:rPr>
        <w:t xml:space="preserve"> </w:t>
      </w:r>
      <w:r w:rsidRPr="00703080">
        <w:rPr>
          <w:rFonts w:ascii="Times New Roman" w:hAnsi="Times New Roman" w:cs="Times New Roman"/>
          <w:sz w:val="24"/>
          <w:szCs w:val="24"/>
        </w:rPr>
        <w:t>880-915/925-960 MHz i 1710-1785/1805-1880 MHz</w:t>
      </w:r>
      <w:r>
        <w:rPr>
          <w:rFonts w:ascii="Times New Roman" w:hAnsi="Times New Roman" w:cs="Times New Roman"/>
          <w:sz w:val="24"/>
          <w:szCs w:val="24"/>
        </w:rPr>
        <w:t xml:space="preserve"> na način da se u navedenom frekvencijskom pojasu omogući 5G NR</w:t>
      </w:r>
      <w:r w:rsidRPr="005720C4">
        <w:rPr>
          <w:rFonts w:ascii="Times New Roman" w:hAnsi="Times New Roman" w:cs="Times New Roman"/>
          <w:sz w:val="24"/>
          <w:szCs w:val="24"/>
        </w:rPr>
        <w:t xml:space="preserve"> tehnologij</w:t>
      </w:r>
      <w:r>
        <w:rPr>
          <w:rFonts w:ascii="Times New Roman" w:hAnsi="Times New Roman" w:cs="Times New Roman"/>
          <w:sz w:val="24"/>
          <w:szCs w:val="24"/>
        </w:rPr>
        <w:t xml:space="preserve">a te se posljedično propisuju potrebni tehnički uvjeti bazne postaje i krajnje postaje u navedenom frekvencijskom pojasu. </w:t>
      </w: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Radi preciznosti i jasnoće propisa predmet javne rasprave je novi Plan dodjele </w:t>
      </w:r>
      <w:r w:rsidRPr="008906B3">
        <w:rPr>
          <w:rFonts w:ascii="Times New Roman" w:hAnsi="Times New Roman" w:cs="Times New Roman"/>
          <w:sz w:val="24"/>
          <w:szCs w:val="24"/>
        </w:rPr>
        <w:t>za frekvencijsk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906B3">
        <w:rPr>
          <w:rFonts w:ascii="Times New Roman" w:hAnsi="Times New Roman" w:cs="Times New Roman"/>
          <w:sz w:val="24"/>
          <w:szCs w:val="24"/>
        </w:rPr>
        <w:t xml:space="preserve"> pojas</w:t>
      </w:r>
      <w:r>
        <w:rPr>
          <w:rFonts w:ascii="Times New Roman" w:hAnsi="Times New Roman" w:cs="Times New Roman"/>
          <w:sz w:val="24"/>
          <w:szCs w:val="24"/>
        </w:rPr>
        <w:t>eve</w:t>
      </w:r>
      <w:r w:rsidRPr="008906B3">
        <w:rPr>
          <w:rFonts w:ascii="Times New Roman" w:hAnsi="Times New Roman" w:cs="Times New Roman"/>
          <w:sz w:val="24"/>
          <w:szCs w:val="24"/>
        </w:rPr>
        <w:t xml:space="preserve"> </w:t>
      </w:r>
      <w:r w:rsidRPr="00703080">
        <w:rPr>
          <w:rFonts w:ascii="Times New Roman" w:hAnsi="Times New Roman" w:cs="Times New Roman"/>
          <w:sz w:val="24"/>
          <w:szCs w:val="24"/>
        </w:rPr>
        <w:t>880-915/925-960 MHz i 1710-1785/1805-1880 MHz</w:t>
      </w:r>
      <w:r w:rsidRPr="008906B3">
        <w:rPr>
          <w:rFonts w:ascii="Times New Roman" w:hAnsi="Times New Roman" w:cs="Times New Roman"/>
          <w:sz w:val="24"/>
          <w:szCs w:val="24"/>
        </w:rPr>
        <w:t>.</w:t>
      </w:r>
    </w:p>
    <w:p w:rsidR="00A87B33" w:rsidRDefault="00A87B33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7B33" w:rsidRDefault="00A87B33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7FC7">
        <w:rPr>
          <w:rFonts w:ascii="Times New Roman" w:hAnsi="Times New Roman" w:cs="Times New Roman"/>
          <w:sz w:val="24"/>
          <w:szCs w:val="24"/>
        </w:rPr>
        <w:t>Imajući u vidu da predložene izmjene Plana ne predstavljaju dodatne obveze za adresate predmetnih Planova te da su iste u interesu kako operatora tako i razvoja tehnologije i novih usluga u okviru dostupnih resursa, predloženo je stupanje na snagu Planova prvog dana nakon objave u Narodnim novinama.</w:t>
      </w: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546A">
        <w:rPr>
          <w:rFonts w:ascii="Times New Roman" w:hAnsi="Times New Roman" w:cs="Times New Roman"/>
          <w:sz w:val="24"/>
          <w:szCs w:val="24"/>
        </w:rPr>
        <w:t>Sukladno članku 22. stavku 5. ZEK-a, o prijedlogu P</w:t>
      </w:r>
      <w:r w:rsidR="00BA04C0">
        <w:rPr>
          <w:rFonts w:ascii="Times New Roman" w:hAnsi="Times New Roman" w:cs="Times New Roman"/>
          <w:sz w:val="24"/>
          <w:szCs w:val="24"/>
        </w:rPr>
        <w:t>lana dodjele</w:t>
      </w:r>
      <w:r w:rsidRPr="0027546A">
        <w:rPr>
          <w:rFonts w:ascii="Times New Roman" w:hAnsi="Times New Roman" w:cs="Times New Roman"/>
          <w:sz w:val="24"/>
          <w:szCs w:val="24"/>
        </w:rPr>
        <w:t xml:space="preserve"> potrebno je provesti postupak javne rasprave sa zainteresiranom javnošću.</w:t>
      </w:r>
    </w:p>
    <w:p w:rsidR="00A84D36" w:rsidRDefault="00A84D36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 w:rsidR="002B297E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Prilaže se tekst Nacrta P</w:t>
      </w:r>
      <w:r w:rsidR="002B297E">
        <w:rPr>
          <w:rFonts w:ascii="Times New Roman" w:hAnsi="Times New Roman" w:cs="Times New Roman"/>
          <w:sz w:val="24"/>
          <w:szCs w:val="24"/>
        </w:rPr>
        <w:t>lana dodjele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722A" w:rsidRDefault="00C7722A" w:rsidP="00C7722A">
      <w:pPr>
        <w:spacing w:after="225" w:line="560" w:lineRule="atLeast"/>
        <w:jc w:val="center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013EAB"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lastRenderedPageBreak/>
        <w:t xml:space="preserve">HRVATSKA </w:t>
      </w:r>
      <w:r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t xml:space="preserve">REGULATORNA </w:t>
      </w:r>
      <w:r w:rsidRPr="00013EAB"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t xml:space="preserve">AGENCIJA ZA </w:t>
      </w:r>
      <w:r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t>MREŽNE DJELATNOSTI</w:t>
      </w:r>
    </w:p>
    <w:p w:rsidR="00C7722A" w:rsidRDefault="00C7722A" w:rsidP="00C7722A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</w:t>
      </w:r>
      <w:r w:rsidRPr="00B63B73">
        <w:rPr>
          <w:rFonts w:ascii="Times New Roman" w:hAnsi="Times New Roman"/>
          <w:bCs/>
          <w:iCs/>
          <w:szCs w:val="24"/>
          <w:lang w:val="hr-HR"/>
        </w:rPr>
        <w:t>73/08, 90/1</w:t>
      </w:r>
      <w:r>
        <w:rPr>
          <w:rFonts w:ascii="Times New Roman" w:hAnsi="Times New Roman"/>
          <w:bCs/>
          <w:iCs/>
          <w:szCs w:val="24"/>
          <w:lang w:val="hr-HR"/>
        </w:rPr>
        <w:t>1, 133/12, 80/13, 71/14 i 72/17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C7722A" w:rsidRDefault="00C7722A" w:rsidP="00C7722A">
      <w:pPr>
        <w:spacing w:after="225" w:line="504" w:lineRule="atLeast"/>
        <w:jc w:val="center"/>
        <w:textAlignment w:val="baseline"/>
        <w:rPr>
          <w:rFonts w:ascii="&amp;quot" w:eastAsia="Times New Roman" w:hAnsi="&amp;quot" w:cs="Times New Roman"/>
          <w:b/>
          <w:bCs/>
          <w:color w:val="231F20"/>
          <w:sz w:val="36"/>
          <w:szCs w:val="36"/>
          <w:lang w:eastAsia="hr-HR"/>
        </w:rPr>
      </w:pPr>
    </w:p>
    <w:p w:rsidR="00C7722A" w:rsidRPr="00D66FEB" w:rsidRDefault="00C7722A" w:rsidP="00C7722A">
      <w:pPr>
        <w:spacing w:after="225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D66FEB"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  <w:t xml:space="preserve">Plan dodjele za frekvencijske pojaseve </w:t>
      </w:r>
    </w:p>
    <w:p w:rsidR="00C7722A" w:rsidRPr="00D66FEB" w:rsidRDefault="00C7722A" w:rsidP="00C7722A">
      <w:pPr>
        <w:spacing w:after="225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D66FEB"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  <w:t>880-915/925-960 MHz i 1710-1785/1805-1880 MHz</w:t>
      </w:r>
    </w:p>
    <w:p w:rsidR="00C7722A" w:rsidRPr="00D66FEB" w:rsidRDefault="00C7722A" w:rsidP="00C7722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C7722A" w:rsidRPr="00D66FEB" w:rsidRDefault="00C7722A" w:rsidP="00C7722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D66FEB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1.</w:t>
      </w:r>
    </w:p>
    <w:p w:rsidR="00C7722A" w:rsidRPr="00D66FEB" w:rsidRDefault="00C7722A" w:rsidP="00C7722A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D66FEB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Plan dodjele za frekvencijske pojaseve 880-915/925-960 MHz i 1710-1785/1805-1880 MHz  propisan je u Tablici 1.</w:t>
      </w:r>
    </w:p>
    <w:p w:rsidR="00C7722A" w:rsidRPr="00690D83" w:rsidRDefault="00C7722A" w:rsidP="00C7722A">
      <w:pPr>
        <w:spacing w:after="0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lang w:eastAsia="hr-HR"/>
        </w:rPr>
      </w:pPr>
      <w:r w:rsidRPr="00690D83">
        <w:rPr>
          <w:rFonts w:ascii="Times New Roman" w:eastAsia="Times New Roman" w:hAnsi="Times New Roman" w:cs="Times New Roman"/>
          <w:i/>
          <w:iCs/>
          <w:color w:val="231F20"/>
          <w:bdr w:val="none" w:sz="0" w:space="0" w:color="auto" w:frame="1"/>
          <w:lang w:eastAsia="hr-HR"/>
        </w:rPr>
        <w:t>Tablica 1.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1"/>
        <w:gridCol w:w="1098"/>
        <w:gridCol w:w="1096"/>
        <w:gridCol w:w="913"/>
        <w:gridCol w:w="2452"/>
        <w:gridCol w:w="1282"/>
      </w:tblGrid>
      <w:tr w:rsidR="00C7722A" w:rsidTr="0039276F">
        <w:tc>
          <w:tcPr>
            <w:tcW w:w="2091" w:type="dxa"/>
          </w:tcPr>
          <w:p w:rsidR="00C7722A" w:rsidRPr="002862B4" w:rsidRDefault="00C7722A" w:rsidP="0039276F">
            <w:pPr>
              <w:rPr>
                <w:rFonts w:ascii="Times New Roman" w:hAnsi="Times New Roman" w:cs="Times New Roman"/>
                <w:b/>
              </w:rPr>
            </w:pPr>
            <w:r w:rsidRPr="002862B4">
              <w:rPr>
                <w:rFonts w:ascii="Times New Roman" w:hAnsi="Times New Roman" w:cs="Times New Roman"/>
                <w:b/>
              </w:rPr>
              <w:t>Frekvencijski pojas (MHz)</w:t>
            </w:r>
          </w:p>
        </w:tc>
        <w:tc>
          <w:tcPr>
            <w:tcW w:w="1098" w:type="dxa"/>
          </w:tcPr>
          <w:p w:rsidR="00C7722A" w:rsidRPr="002862B4" w:rsidRDefault="00C7722A" w:rsidP="0039276F">
            <w:pPr>
              <w:rPr>
                <w:rFonts w:ascii="Times New Roman" w:hAnsi="Times New Roman" w:cs="Times New Roman"/>
                <w:b/>
              </w:rPr>
            </w:pPr>
            <w:r w:rsidRPr="002862B4">
              <w:rPr>
                <w:rFonts w:ascii="Times New Roman" w:hAnsi="Times New Roman" w:cs="Times New Roman"/>
                <w:b/>
              </w:rPr>
              <w:t>Područje uporabe</w:t>
            </w:r>
          </w:p>
        </w:tc>
        <w:tc>
          <w:tcPr>
            <w:tcW w:w="1096" w:type="dxa"/>
          </w:tcPr>
          <w:p w:rsidR="00C7722A" w:rsidRPr="002862B4" w:rsidRDefault="00C7722A" w:rsidP="0039276F">
            <w:pPr>
              <w:rPr>
                <w:rFonts w:ascii="Times New Roman" w:hAnsi="Times New Roman" w:cs="Times New Roman"/>
                <w:b/>
              </w:rPr>
            </w:pPr>
            <w:r w:rsidRPr="002862B4">
              <w:rPr>
                <w:rFonts w:ascii="Times New Roman" w:hAnsi="Times New Roman" w:cs="Times New Roman"/>
                <w:b/>
              </w:rPr>
              <w:t>Primjena</w:t>
            </w:r>
          </w:p>
        </w:tc>
        <w:tc>
          <w:tcPr>
            <w:tcW w:w="913" w:type="dxa"/>
          </w:tcPr>
          <w:p w:rsidR="00C7722A" w:rsidRPr="002862B4" w:rsidRDefault="00C7722A" w:rsidP="0039276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862B4">
              <w:rPr>
                <w:rFonts w:ascii="Times New Roman" w:hAnsi="Times New Roman" w:cs="Times New Roman"/>
                <w:b/>
              </w:rPr>
              <w:t>Raster</w:t>
            </w:r>
          </w:p>
        </w:tc>
        <w:tc>
          <w:tcPr>
            <w:tcW w:w="2452" w:type="dxa"/>
          </w:tcPr>
          <w:p w:rsidR="00C7722A" w:rsidRPr="002862B4" w:rsidRDefault="00C7722A" w:rsidP="0039276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862B4">
              <w:rPr>
                <w:rFonts w:ascii="Times New Roman" w:hAnsi="Times New Roman" w:cs="Times New Roman"/>
                <w:b/>
              </w:rPr>
              <w:t>Širina kanala</w:t>
            </w:r>
          </w:p>
        </w:tc>
        <w:tc>
          <w:tcPr>
            <w:tcW w:w="1282" w:type="dxa"/>
          </w:tcPr>
          <w:p w:rsidR="00C7722A" w:rsidRPr="002862B4" w:rsidRDefault="00C7722A" w:rsidP="0039276F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2862B4">
              <w:rPr>
                <w:rFonts w:ascii="Times New Roman" w:hAnsi="Times New Roman" w:cs="Times New Roman"/>
                <w:b/>
              </w:rPr>
              <w:t>Napomena</w:t>
            </w:r>
          </w:p>
        </w:tc>
      </w:tr>
      <w:tr w:rsidR="00C7722A" w:rsidTr="0039276F">
        <w:tc>
          <w:tcPr>
            <w:tcW w:w="2091" w:type="dxa"/>
            <w:vMerge w:val="restart"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b/>
                <w:sz w:val="20"/>
                <w:szCs w:val="20"/>
              </w:rPr>
              <w:t>880-915/925-960</w:t>
            </w:r>
          </w:p>
        </w:tc>
        <w:tc>
          <w:tcPr>
            <w:tcW w:w="1098" w:type="dxa"/>
            <w:vMerge w:val="restart"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Republika Hrvatska</w:t>
            </w:r>
          </w:p>
        </w:tc>
        <w:tc>
          <w:tcPr>
            <w:tcW w:w="1096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GSM</w:t>
            </w:r>
          </w:p>
        </w:tc>
        <w:tc>
          <w:tcPr>
            <w:tcW w:w="913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200 kHz</w:t>
            </w:r>
          </w:p>
        </w:tc>
        <w:tc>
          <w:tcPr>
            <w:tcW w:w="2452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200 kHz</w:t>
            </w:r>
          </w:p>
        </w:tc>
        <w:tc>
          <w:tcPr>
            <w:tcW w:w="1282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3</w:t>
            </w:r>
          </w:p>
        </w:tc>
      </w:tr>
      <w:tr w:rsidR="00C7722A" w:rsidTr="0039276F">
        <w:tc>
          <w:tcPr>
            <w:tcW w:w="2091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8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6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UMTS</w:t>
            </w:r>
          </w:p>
        </w:tc>
        <w:tc>
          <w:tcPr>
            <w:tcW w:w="913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200 kHz</w:t>
            </w:r>
          </w:p>
        </w:tc>
        <w:tc>
          <w:tcPr>
            <w:tcW w:w="2452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Nominalno 5 MHz</w:t>
            </w:r>
          </w:p>
        </w:tc>
        <w:tc>
          <w:tcPr>
            <w:tcW w:w="1282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1,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3</w:t>
            </w:r>
          </w:p>
        </w:tc>
      </w:tr>
      <w:tr w:rsidR="00C7722A" w:rsidTr="0039276F">
        <w:tc>
          <w:tcPr>
            <w:tcW w:w="2091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8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6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LTE</w:t>
            </w:r>
          </w:p>
        </w:tc>
        <w:tc>
          <w:tcPr>
            <w:tcW w:w="913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 kHz</w:t>
            </w:r>
          </w:p>
        </w:tc>
        <w:tc>
          <w:tcPr>
            <w:tcW w:w="2452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1,4; 3; 5; 10; 15; 20 MHz</w:t>
            </w:r>
          </w:p>
        </w:tc>
        <w:tc>
          <w:tcPr>
            <w:tcW w:w="1282" w:type="dxa"/>
          </w:tcPr>
          <w:p w:rsidR="00C7722A" w:rsidRPr="00DF7EA1" w:rsidRDefault="00C7722A" w:rsidP="0039276F">
            <w:pPr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2, 3, 4</w:t>
            </w:r>
          </w:p>
        </w:tc>
      </w:tr>
      <w:tr w:rsidR="00C7722A" w:rsidTr="0039276F">
        <w:tc>
          <w:tcPr>
            <w:tcW w:w="2091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8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6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5G NR</w:t>
            </w:r>
          </w:p>
        </w:tc>
        <w:tc>
          <w:tcPr>
            <w:tcW w:w="913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100 kHz</w:t>
            </w:r>
          </w:p>
        </w:tc>
        <w:tc>
          <w:tcPr>
            <w:tcW w:w="245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5; 10; 15; 20 MHz</w:t>
            </w:r>
          </w:p>
        </w:tc>
        <w:tc>
          <w:tcPr>
            <w:tcW w:w="128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3,  5</w:t>
            </w:r>
          </w:p>
        </w:tc>
      </w:tr>
      <w:tr w:rsidR="00C7722A" w:rsidTr="0039276F">
        <w:tc>
          <w:tcPr>
            <w:tcW w:w="2091" w:type="dxa"/>
            <w:vMerge w:val="restart"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b/>
                <w:sz w:val="20"/>
                <w:szCs w:val="20"/>
              </w:rPr>
              <w:t>1710-1785/1805-1880</w:t>
            </w:r>
          </w:p>
        </w:tc>
        <w:tc>
          <w:tcPr>
            <w:tcW w:w="1098" w:type="dxa"/>
            <w:vMerge w:val="restart"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F7EA1">
              <w:rPr>
                <w:rFonts w:ascii="Times New Roman" w:hAnsi="Times New Roman" w:cs="Times New Roman"/>
                <w:sz w:val="20"/>
                <w:szCs w:val="20"/>
              </w:rPr>
              <w:t>Republika Hrvatska</w:t>
            </w:r>
          </w:p>
        </w:tc>
        <w:tc>
          <w:tcPr>
            <w:tcW w:w="1096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GSM</w:t>
            </w:r>
          </w:p>
        </w:tc>
        <w:tc>
          <w:tcPr>
            <w:tcW w:w="913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200 kHz</w:t>
            </w:r>
          </w:p>
        </w:tc>
        <w:tc>
          <w:tcPr>
            <w:tcW w:w="245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200 kHz</w:t>
            </w:r>
          </w:p>
        </w:tc>
        <w:tc>
          <w:tcPr>
            <w:tcW w:w="128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3</w:t>
            </w:r>
          </w:p>
        </w:tc>
      </w:tr>
      <w:tr w:rsidR="00C7722A" w:rsidTr="0039276F">
        <w:tc>
          <w:tcPr>
            <w:tcW w:w="2091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8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6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UMTS</w:t>
            </w:r>
          </w:p>
        </w:tc>
        <w:tc>
          <w:tcPr>
            <w:tcW w:w="913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200 kHz</w:t>
            </w:r>
          </w:p>
        </w:tc>
        <w:tc>
          <w:tcPr>
            <w:tcW w:w="245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Nominalno 5 MHz</w:t>
            </w:r>
          </w:p>
        </w:tc>
        <w:tc>
          <w:tcPr>
            <w:tcW w:w="128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3</w:t>
            </w:r>
          </w:p>
        </w:tc>
      </w:tr>
      <w:tr w:rsidR="00C7722A" w:rsidTr="0039276F">
        <w:tc>
          <w:tcPr>
            <w:tcW w:w="2091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8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6" w:type="dxa"/>
          </w:tcPr>
          <w:p w:rsidR="00C7722A" w:rsidRPr="00A846B4" w:rsidRDefault="00C7722A" w:rsidP="0039276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LTE</w:t>
            </w:r>
          </w:p>
        </w:tc>
        <w:tc>
          <w:tcPr>
            <w:tcW w:w="913" w:type="dxa"/>
          </w:tcPr>
          <w:p w:rsidR="00C7722A" w:rsidRPr="00A846B4" w:rsidRDefault="00C7722A" w:rsidP="0039276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100 kHz</w:t>
            </w:r>
          </w:p>
        </w:tc>
        <w:tc>
          <w:tcPr>
            <w:tcW w:w="2452" w:type="dxa"/>
          </w:tcPr>
          <w:p w:rsidR="00C7722A" w:rsidRPr="00A846B4" w:rsidRDefault="00C7722A" w:rsidP="0039276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1,4; 3; 5; 10; 15; 20 MHz</w:t>
            </w:r>
          </w:p>
        </w:tc>
        <w:tc>
          <w:tcPr>
            <w:tcW w:w="1282" w:type="dxa"/>
          </w:tcPr>
          <w:p w:rsidR="00C7722A" w:rsidRPr="00A846B4" w:rsidRDefault="00C7722A" w:rsidP="0039276F">
            <w:pPr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3, 4</w:t>
            </w:r>
          </w:p>
        </w:tc>
      </w:tr>
      <w:tr w:rsidR="00C7722A" w:rsidTr="0039276F">
        <w:tc>
          <w:tcPr>
            <w:tcW w:w="2091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98" w:type="dxa"/>
            <w:vMerge/>
          </w:tcPr>
          <w:p w:rsidR="00C7722A" w:rsidRPr="00DF7EA1" w:rsidRDefault="00C7722A" w:rsidP="0039276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6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5G NR</w:t>
            </w:r>
          </w:p>
        </w:tc>
        <w:tc>
          <w:tcPr>
            <w:tcW w:w="913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100 kHz</w:t>
            </w:r>
          </w:p>
        </w:tc>
        <w:tc>
          <w:tcPr>
            <w:tcW w:w="2452" w:type="dxa"/>
          </w:tcPr>
          <w:p w:rsidR="00C7722A" w:rsidRPr="00A846B4" w:rsidRDefault="00C7722A" w:rsidP="0039276F">
            <w:pPr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5; 10; 15; 20 MHz</w:t>
            </w:r>
          </w:p>
        </w:tc>
        <w:tc>
          <w:tcPr>
            <w:tcW w:w="1282" w:type="dxa"/>
          </w:tcPr>
          <w:p w:rsidR="00C7722A" w:rsidRPr="00A846B4" w:rsidRDefault="00C7722A" w:rsidP="0039276F">
            <w:pPr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A846B4">
              <w:rPr>
                <w:rFonts w:ascii="Times New Roman" w:hAnsi="Times New Roman" w:cs="Times New Roman"/>
                <w:i/>
                <w:color w:val="000000" w:themeColor="text1"/>
                <w:sz w:val="20"/>
                <w:szCs w:val="20"/>
              </w:rPr>
              <w:t>3</w:t>
            </w:r>
          </w:p>
        </w:tc>
      </w:tr>
    </w:tbl>
    <w:p w:rsidR="00C7722A" w:rsidRDefault="00C7722A" w:rsidP="00C772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7722A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1 -</w:t>
      </w:r>
      <w:r>
        <w:rPr>
          <w:rFonts w:ascii="Times New Roman" w:hAnsi="Times New Roman" w:cs="Times New Roman"/>
          <w:i/>
          <w:sz w:val="20"/>
          <w:szCs w:val="20"/>
        </w:rPr>
        <w:tab/>
      </w:r>
      <w:r w:rsidRPr="00DF7EA1">
        <w:rPr>
          <w:rFonts w:ascii="Times New Roman" w:hAnsi="Times New Roman" w:cs="Times New Roman"/>
          <w:sz w:val="20"/>
          <w:szCs w:val="20"/>
        </w:rPr>
        <w:t>nije dopuštena uporaba nosioca frekvencije 882,4 MHz kod uzlazne veze i 927,4 MHz kod silazne veze;</w:t>
      </w:r>
    </w:p>
    <w:p w:rsidR="00C7722A" w:rsidRPr="00A846B4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1E5430">
        <w:rPr>
          <w:rFonts w:ascii="Times New Roman" w:hAnsi="Times New Roman" w:cs="Times New Roman"/>
          <w:i/>
          <w:sz w:val="20"/>
          <w:szCs w:val="20"/>
        </w:rPr>
        <w:t>2</w:t>
      </w:r>
      <w:r>
        <w:rPr>
          <w:rFonts w:ascii="Times New Roman" w:hAnsi="Times New Roman" w:cs="Times New Roman"/>
          <w:i/>
          <w:sz w:val="20"/>
          <w:szCs w:val="20"/>
        </w:rPr>
        <w:t xml:space="preserve"> -</w:t>
      </w:r>
      <w:r>
        <w:rPr>
          <w:rFonts w:ascii="Times New Roman" w:hAnsi="Times New Roman" w:cs="Times New Roman"/>
          <w:i/>
          <w:sz w:val="20"/>
          <w:szCs w:val="20"/>
        </w:rPr>
        <w:tab/>
      </w:r>
      <w:r w:rsidRPr="00D42D3C">
        <w:rPr>
          <w:rFonts w:ascii="Times New Roman" w:hAnsi="Times New Roman" w:cs="Times New Roman"/>
          <w:sz w:val="20"/>
          <w:szCs w:val="20"/>
        </w:rPr>
        <w:t>minimalni razmak između ruba GSM-R kanala i ruba LTE kanala iznosi 200 kHz, gdje LTE obuhvaća LTE-</w:t>
      </w:r>
      <w:r w:rsidRPr="00A846B4">
        <w:rPr>
          <w:rFonts w:ascii="Times New Roman" w:hAnsi="Times New Roman" w:cs="Times New Roman"/>
          <w:color w:val="000000" w:themeColor="text1"/>
          <w:sz w:val="20"/>
          <w:szCs w:val="20"/>
        </w:rPr>
        <w:t>MTC/eMTC, te samostalnu, unutarpojasnu i implementaciju u zaštitnom pojasu NB-IoT-a;</w:t>
      </w:r>
    </w:p>
    <w:p w:rsidR="00C7722A" w:rsidRPr="00A846B4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A846B4">
        <w:rPr>
          <w:rFonts w:ascii="Times New Roman" w:hAnsi="Times New Roman" w:cs="Times New Roman"/>
          <w:i/>
          <w:color w:val="000000" w:themeColor="text1"/>
          <w:sz w:val="20"/>
          <w:szCs w:val="20"/>
        </w:rPr>
        <w:t xml:space="preserve">3 - </w:t>
      </w:r>
      <w:r w:rsidRPr="00A846B4">
        <w:rPr>
          <w:rFonts w:ascii="Times New Roman" w:hAnsi="Times New Roman" w:cs="Times New Roman"/>
          <w:color w:val="000000" w:themeColor="text1"/>
          <w:sz w:val="20"/>
          <w:szCs w:val="20"/>
        </w:rPr>
        <w:t>razmak između rubova GSM, UMTS, LTE i 5G NR između dva operatora nije obavezan u nekoordiniranom načinu rada, gdje LTE obuhvaća LTE-MTC/eMTC, te samostalnu, unutarpojasnu i implementaciju u zaštitnom pojasu NB-IoT-a, a GSM obuhvaća EC-GSM-IoT;</w:t>
      </w:r>
    </w:p>
    <w:p w:rsidR="00C7722A" w:rsidRPr="00A846B4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A846B4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4</w:t>
      </w:r>
      <w:r w:rsidRPr="00A846B4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- uporaba NB-IoT tehnologije u zaštitnom pojasu je moguća uz razmak od 200 kHz između ruba NB-IoT resursnog bloka i LTE kanala u slučajevima gdje je LTE širina kanala 10 ili više MHz;</w:t>
      </w:r>
    </w:p>
    <w:p w:rsidR="00C7722A" w:rsidRPr="00A846B4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A846B4">
        <w:rPr>
          <w:rFonts w:ascii="Times New Roman" w:hAnsi="Times New Roman" w:cs="Times New Roman"/>
          <w:color w:val="000000" w:themeColor="text1"/>
          <w:sz w:val="20"/>
          <w:szCs w:val="20"/>
        </w:rPr>
        <w:t>5 - minimalni razmak između ruba GSM-R kanala i ruba 5G NR kanala iznosi 200 kHz.</w:t>
      </w:r>
    </w:p>
    <w:p w:rsidR="00C7722A" w:rsidRPr="00DF7EA1" w:rsidRDefault="00C7722A" w:rsidP="00C7722A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7722A" w:rsidRPr="00D66FEB" w:rsidRDefault="00C7722A" w:rsidP="00C7722A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D66FEB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2.</w:t>
      </w:r>
    </w:p>
    <w:p w:rsidR="00C7722A" w:rsidRPr="00D66FEB" w:rsidRDefault="00C7722A" w:rsidP="00C7722A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>Ovaj Plan dodjele stupa na snagu prvoga dana od dana objave u „Narodnim novinama“.</w:t>
      </w:r>
    </w:p>
    <w:p w:rsidR="00C7722A" w:rsidRPr="00013EAB" w:rsidRDefault="00C7722A" w:rsidP="00C7722A">
      <w:pPr>
        <w:spacing w:after="225" w:line="336" w:lineRule="atLeast"/>
        <w:jc w:val="center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Članak 3.</w:t>
      </w:r>
    </w:p>
    <w:p w:rsidR="00C7722A" w:rsidRDefault="00C7722A" w:rsidP="00C7722A">
      <w:pPr>
        <w:spacing w:after="225" w:line="336" w:lineRule="atLeast"/>
        <w:jc w:val="both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lastRenderedPageBreak/>
        <w:t xml:space="preserve">Stupanjem na snagu Plana dodjele prestaje vrijediti Plan dodjele za frekvencijske pojaseve 880-915/925-960 MHz i 1710-1785/1805-1880 MHz </w:t>
      </w:r>
      <w:r w:rsidRPr="00F0196A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(»Narodne novine« br. 62/19 i 68</w:t>
      </w:r>
      <w: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/19</w:t>
      </w: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).</w:t>
      </w:r>
    </w:p>
    <w:p w:rsidR="00C7722A" w:rsidRPr="00013EAB" w:rsidRDefault="00C7722A" w:rsidP="00C7722A">
      <w:pPr>
        <w:spacing w:after="225" w:line="336" w:lineRule="atLeast"/>
        <w:jc w:val="both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</w:p>
    <w:p w:rsidR="00C7722A" w:rsidRPr="006063B4" w:rsidRDefault="00C7722A" w:rsidP="00C772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:rsidR="00C7722A" w:rsidRPr="006063B4" w:rsidRDefault="00C7722A" w:rsidP="00C772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Urbroj: </w:t>
      </w:r>
    </w:p>
    <w:p w:rsidR="00C7722A" w:rsidRDefault="00C7722A" w:rsidP="00C772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p w:rsidR="00C7722A" w:rsidRDefault="00C7722A" w:rsidP="00C7722A">
      <w:pP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</w:p>
    <w:tbl>
      <w:tblPr>
        <w:tblW w:w="9214" w:type="dxa"/>
        <w:tblInd w:w="2552" w:type="dxa"/>
        <w:tblLook w:val="01E0" w:firstRow="1" w:lastRow="1" w:firstColumn="1" w:lastColumn="1" w:noHBand="0" w:noVBand="0"/>
      </w:tblPr>
      <w:tblGrid>
        <w:gridCol w:w="9214"/>
      </w:tblGrid>
      <w:tr w:rsidR="00C7722A" w:rsidRPr="00112BF0" w:rsidTr="0039276F">
        <w:tc>
          <w:tcPr>
            <w:tcW w:w="9214" w:type="dxa"/>
            <w:shd w:val="clear" w:color="auto" w:fill="auto"/>
          </w:tcPr>
          <w:p w:rsidR="00C7722A" w:rsidRPr="00112BF0" w:rsidRDefault="00C7722A" w:rsidP="0039276F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112BF0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C7722A" w:rsidRPr="00112BF0" w:rsidTr="0039276F">
        <w:tc>
          <w:tcPr>
            <w:tcW w:w="9214" w:type="dxa"/>
            <w:shd w:val="clear" w:color="auto" w:fill="auto"/>
          </w:tcPr>
          <w:p w:rsidR="00C7722A" w:rsidRPr="00112BF0" w:rsidRDefault="00C7722A" w:rsidP="0039276F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112BF0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:rsidR="00C7722A" w:rsidRPr="00B1537A" w:rsidRDefault="00C7722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</w:p>
    <w:sectPr w:rsidR="00C7722A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15D8" w:rsidRDefault="008B15D8" w:rsidP="0056206C">
      <w:pPr>
        <w:spacing w:after="0" w:line="240" w:lineRule="auto"/>
      </w:pPr>
      <w:r>
        <w:separator/>
      </w:r>
    </w:p>
  </w:endnote>
  <w:endnote w:type="continuationSeparator" w:id="0">
    <w:p w:rsidR="008B15D8" w:rsidRDefault="008B15D8" w:rsidP="00562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15D8" w:rsidRDefault="008B15D8" w:rsidP="0056206C">
      <w:pPr>
        <w:spacing w:after="0" w:line="240" w:lineRule="auto"/>
      </w:pPr>
      <w:r>
        <w:separator/>
      </w:r>
    </w:p>
  </w:footnote>
  <w:footnote w:type="continuationSeparator" w:id="0">
    <w:p w:rsidR="008B15D8" w:rsidRDefault="008B15D8" w:rsidP="005620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B4A7C"/>
    <w:multiLevelType w:val="hybridMultilevel"/>
    <w:tmpl w:val="B96CE56A"/>
    <w:lvl w:ilvl="0" w:tplc="91C476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D2232A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AB0C7C"/>
    <w:multiLevelType w:val="hybridMultilevel"/>
    <w:tmpl w:val="D2F0D44A"/>
    <w:lvl w:ilvl="0" w:tplc="EA7A081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279E7"/>
    <w:rsid w:val="000560ED"/>
    <w:rsid w:val="000865E8"/>
    <w:rsid w:val="000912F3"/>
    <w:rsid w:val="00095DD9"/>
    <w:rsid w:val="00107285"/>
    <w:rsid w:val="0013058E"/>
    <w:rsid w:val="00134B52"/>
    <w:rsid w:val="00140221"/>
    <w:rsid w:val="00166CFF"/>
    <w:rsid w:val="00171811"/>
    <w:rsid w:val="001B5A6E"/>
    <w:rsid w:val="00244041"/>
    <w:rsid w:val="0024721E"/>
    <w:rsid w:val="0027546A"/>
    <w:rsid w:val="00297C09"/>
    <w:rsid w:val="002B297E"/>
    <w:rsid w:val="002B3959"/>
    <w:rsid w:val="002B5806"/>
    <w:rsid w:val="00316B99"/>
    <w:rsid w:val="00370097"/>
    <w:rsid w:val="0039748E"/>
    <w:rsid w:val="003B3678"/>
    <w:rsid w:val="003B658F"/>
    <w:rsid w:val="003E7A09"/>
    <w:rsid w:val="003F44AE"/>
    <w:rsid w:val="004424BE"/>
    <w:rsid w:val="00466F8A"/>
    <w:rsid w:val="004949BE"/>
    <w:rsid w:val="004A7382"/>
    <w:rsid w:val="005370CE"/>
    <w:rsid w:val="005466D6"/>
    <w:rsid w:val="0056206C"/>
    <w:rsid w:val="005E100A"/>
    <w:rsid w:val="006C4637"/>
    <w:rsid w:val="006D01FD"/>
    <w:rsid w:val="006F7214"/>
    <w:rsid w:val="00703080"/>
    <w:rsid w:val="00780EAD"/>
    <w:rsid w:val="007A1838"/>
    <w:rsid w:val="007A3BD2"/>
    <w:rsid w:val="007C34AA"/>
    <w:rsid w:val="007C7270"/>
    <w:rsid w:val="00824F3C"/>
    <w:rsid w:val="008855F7"/>
    <w:rsid w:val="00896AA2"/>
    <w:rsid w:val="008B15D8"/>
    <w:rsid w:val="008B6B95"/>
    <w:rsid w:val="008D643D"/>
    <w:rsid w:val="008E5470"/>
    <w:rsid w:val="008F7F9B"/>
    <w:rsid w:val="00970883"/>
    <w:rsid w:val="00980053"/>
    <w:rsid w:val="009954F3"/>
    <w:rsid w:val="009D036D"/>
    <w:rsid w:val="009D59E8"/>
    <w:rsid w:val="009E2193"/>
    <w:rsid w:val="009F7B1F"/>
    <w:rsid w:val="00A00DAB"/>
    <w:rsid w:val="00A179CC"/>
    <w:rsid w:val="00A30ED4"/>
    <w:rsid w:val="00A31005"/>
    <w:rsid w:val="00A42EA6"/>
    <w:rsid w:val="00A84D36"/>
    <w:rsid w:val="00A87B33"/>
    <w:rsid w:val="00A91B65"/>
    <w:rsid w:val="00B1537A"/>
    <w:rsid w:val="00BA04C0"/>
    <w:rsid w:val="00BF3FE9"/>
    <w:rsid w:val="00C55F8F"/>
    <w:rsid w:val="00C7722A"/>
    <w:rsid w:val="00CD6B4C"/>
    <w:rsid w:val="00CD7271"/>
    <w:rsid w:val="00CE5AF0"/>
    <w:rsid w:val="00D01118"/>
    <w:rsid w:val="00DA6CD3"/>
    <w:rsid w:val="00DC269D"/>
    <w:rsid w:val="00DD2891"/>
    <w:rsid w:val="00DF62CD"/>
    <w:rsid w:val="00E7645C"/>
    <w:rsid w:val="00EB7966"/>
    <w:rsid w:val="00ED56D3"/>
    <w:rsid w:val="00F05368"/>
    <w:rsid w:val="00F506F3"/>
    <w:rsid w:val="00F6349F"/>
    <w:rsid w:val="00FB5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character" w:customStyle="1" w:styleId="ECCParagraph">
    <w:name w:val="ECC Paragraph"/>
    <w:basedOn w:val="DefaultParagraphFont"/>
    <w:uiPriority w:val="1"/>
    <w:qFormat/>
    <w:rsid w:val="006D01FD"/>
    <w:rPr>
      <w:rFonts w:ascii="Arial" w:hAnsi="Arial"/>
      <w:noProof w:val="0"/>
      <w:sz w:val="20"/>
      <w:bdr w:val="none" w:sz="0" w:space="0" w:color="auto"/>
      <w:lang w:val="en-GB"/>
    </w:rPr>
  </w:style>
  <w:style w:type="paragraph" w:customStyle="1" w:styleId="ECCFootnote">
    <w:name w:val="ECC Footnote"/>
    <w:basedOn w:val="Normal"/>
    <w:autoRedefine/>
    <w:rsid w:val="0056206C"/>
    <w:pPr>
      <w:spacing w:after="0" w:line="240" w:lineRule="auto"/>
      <w:ind w:left="454" w:hanging="454"/>
    </w:pPr>
    <w:rPr>
      <w:rFonts w:ascii="Arial" w:eastAsia="Times New Roman" w:hAnsi="Arial" w:cs="Times New Roman"/>
      <w:sz w:val="16"/>
      <w:szCs w:val="24"/>
      <w:lang w:val="en-US"/>
    </w:rPr>
  </w:style>
  <w:style w:type="character" w:styleId="FootnoteReference">
    <w:name w:val="footnote reference"/>
    <w:aliases w:val="Appel note de bas de p,ECC Footnote number,Nota,Footnote symbol,Footnote"/>
    <w:basedOn w:val="DefaultParagraphFont"/>
    <w:rsid w:val="0056206C"/>
    <w:rPr>
      <w:vertAlign w:val="superscript"/>
    </w:rPr>
  </w:style>
  <w:style w:type="paragraph" w:customStyle="1" w:styleId="ECCBulletsLv1">
    <w:name w:val="ECC Bullets Lv1"/>
    <w:basedOn w:val="Normal"/>
    <w:qFormat/>
    <w:rsid w:val="0056206C"/>
    <w:pPr>
      <w:tabs>
        <w:tab w:val="left" w:pos="340"/>
      </w:tabs>
      <w:spacing w:before="60" w:after="0" w:line="240" w:lineRule="auto"/>
      <w:jc w:val="both"/>
    </w:pPr>
    <w:rPr>
      <w:rFonts w:ascii="Arial" w:eastAsia="Calibri" w:hAnsi="Arial" w:cs="Times New Roman"/>
      <w:sz w:val="20"/>
      <w:lang w:val="en-GB"/>
    </w:rPr>
  </w:style>
  <w:style w:type="paragraph" w:customStyle="1" w:styleId="BodyText21">
    <w:name w:val="Body Text 21"/>
    <w:basedOn w:val="Normal"/>
    <w:rsid w:val="00C7722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C772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877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5865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Julijana Jančula Bauer</cp:lastModifiedBy>
  <cp:revision>3</cp:revision>
  <dcterms:created xsi:type="dcterms:W3CDTF">2020-09-17T10:43:00Z</dcterms:created>
  <dcterms:modified xsi:type="dcterms:W3CDTF">2020-09-17T10:44:00Z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