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4122" w:rsidRPr="002B4122" w:rsidRDefault="002B4122" w:rsidP="002B4122">
      <w:pPr>
        <w:spacing w:after="0" w:line="240" w:lineRule="auto"/>
        <w:rPr>
          <w:rFonts w:ascii="Times New Roman" w:eastAsia="Times New Roman" w:hAnsi="Times New Roman" w:cs="Times New Roman"/>
          <w:sz w:val="24"/>
          <w:szCs w:val="24"/>
          <w:lang w:eastAsia="hr-HR"/>
        </w:rPr>
      </w:pPr>
      <w:bookmarkStart w:id="0" w:name="Odluka"/>
      <w:r w:rsidRPr="002B4122">
        <w:rPr>
          <w:rFonts w:ascii="Times New Roman" w:eastAsia="Times New Roman" w:hAnsi="Times New Roman" w:cs="Times New Roman"/>
          <w:sz w:val="24"/>
          <w:szCs w:val="24"/>
          <w:lang w:eastAsia="hr-HR"/>
        </w:rPr>
        <w:t xml:space="preserve">KLASA: </w:t>
      </w:r>
      <w:r w:rsidR="00370CC3" w:rsidRPr="00370CC3">
        <w:rPr>
          <w:rFonts w:ascii="Times New Roman" w:eastAsia="Times New Roman" w:hAnsi="Times New Roman" w:cs="Times New Roman"/>
          <w:sz w:val="24"/>
          <w:szCs w:val="24"/>
          <w:lang w:eastAsia="hr-HR"/>
        </w:rPr>
        <w:t>UP/I-344-01/20-05/04</w:t>
      </w:r>
      <w:r w:rsidR="00370CC3" w:rsidRPr="00370CC3" w:rsidDel="00370CC3">
        <w:rPr>
          <w:rFonts w:ascii="Times New Roman" w:eastAsia="Times New Roman" w:hAnsi="Times New Roman" w:cs="Times New Roman"/>
          <w:sz w:val="24"/>
          <w:szCs w:val="24"/>
          <w:lang w:eastAsia="hr-HR"/>
        </w:rPr>
        <w:t xml:space="preserve"> </w:t>
      </w:r>
    </w:p>
    <w:p w:rsidR="002B4122" w:rsidRPr="002B4122" w:rsidRDefault="002B4122" w:rsidP="002B4122">
      <w:pPr>
        <w:spacing w:after="0" w:line="240" w:lineRule="auto"/>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URBROJ: </w:t>
      </w:r>
      <w:r w:rsidR="00370CC3" w:rsidRPr="00370CC3">
        <w:rPr>
          <w:rFonts w:ascii="Times New Roman" w:eastAsia="Times New Roman" w:hAnsi="Times New Roman" w:cs="Times New Roman"/>
          <w:sz w:val="24"/>
          <w:szCs w:val="24"/>
          <w:lang w:eastAsia="hr-HR"/>
        </w:rPr>
        <w:t>376-05-1-20-10</w:t>
      </w:r>
      <w:r w:rsidR="00370CC3" w:rsidRPr="00370CC3" w:rsidDel="00370CC3">
        <w:rPr>
          <w:rFonts w:ascii="Times New Roman" w:eastAsia="Times New Roman" w:hAnsi="Times New Roman" w:cs="Times New Roman"/>
          <w:sz w:val="24"/>
          <w:szCs w:val="24"/>
          <w:lang w:eastAsia="hr-HR"/>
        </w:rPr>
        <w:t xml:space="preserve"> </w:t>
      </w:r>
    </w:p>
    <w:p w:rsidR="002B4122" w:rsidRPr="002B4122" w:rsidRDefault="002B4122" w:rsidP="002B4122">
      <w:pPr>
        <w:spacing w:after="240" w:line="240" w:lineRule="auto"/>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Zagreb, 22. listopada 2020.</w:t>
      </w: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Na temelju članka 12. stavka 1. točke 3. i članka 62. stavaka 3. i 4. Zakona o elektroničkim komunikacijama (NN br. 73/08, 90/11, 133/12, 80/13</w:t>
      </w:r>
      <w:r w:rsidR="004E6E92" w:rsidRPr="004E6E92">
        <w:rPr>
          <w:rFonts w:ascii="Times New Roman" w:eastAsia="Times New Roman" w:hAnsi="Times New Roman" w:cs="Times New Roman"/>
          <w:sz w:val="24"/>
          <w:szCs w:val="24"/>
          <w:lang w:eastAsia="hr-HR"/>
        </w:rPr>
        <w:t xml:space="preserve">, </w:t>
      </w:r>
      <w:r w:rsidRPr="002B4122">
        <w:rPr>
          <w:rFonts w:ascii="Times New Roman" w:eastAsia="Times New Roman" w:hAnsi="Times New Roman" w:cs="Times New Roman"/>
          <w:sz w:val="24"/>
          <w:szCs w:val="24"/>
          <w:lang w:eastAsia="hr-HR"/>
        </w:rPr>
        <w:t>71/14</w:t>
      </w:r>
      <w:r w:rsidR="004E6E92" w:rsidRPr="004E6E92">
        <w:rPr>
          <w:rFonts w:ascii="Times New Roman" w:eastAsia="Times New Roman" w:hAnsi="Times New Roman" w:cs="Times New Roman"/>
          <w:sz w:val="24"/>
          <w:szCs w:val="24"/>
          <w:lang w:eastAsia="hr-HR"/>
        </w:rPr>
        <w:t xml:space="preserve"> i 72/17</w:t>
      </w:r>
      <w:r w:rsidRPr="002B4122">
        <w:rPr>
          <w:rFonts w:ascii="Times New Roman" w:eastAsia="Times New Roman" w:hAnsi="Times New Roman" w:cs="Times New Roman"/>
          <w:sz w:val="24"/>
          <w:szCs w:val="24"/>
          <w:lang w:eastAsia="hr-HR"/>
        </w:rPr>
        <w:t>) radi provođenja regulatorne obveze nadzora cijena na tržištu veleprodajnog lokalnog pristupa koji se pruža na fiksnoj lokaciji, Vijeće Hrvatske regulatorne agencije za mrežne djelatnosti je na sjednici održanoj 22. listopada 2020. donijelo</w:t>
      </w:r>
    </w:p>
    <w:p w:rsidR="002B4122" w:rsidRPr="002B4122" w:rsidRDefault="002B4122" w:rsidP="002B4122">
      <w:pPr>
        <w:spacing w:after="0" w:line="240" w:lineRule="auto"/>
        <w:jc w:val="both"/>
        <w:rPr>
          <w:rFonts w:ascii="Times New Roman" w:eastAsia="Times New Roman" w:hAnsi="Times New Roman" w:cs="Times New Roman"/>
          <w:b/>
          <w:color w:val="000000"/>
          <w:sz w:val="24"/>
          <w:szCs w:val="24"/>
          <w:lang w:eastAsia="hr-HR"/>
        </w:rPr>
      </w:pPr>
    </w:p>
    <w:p w:rsidR="002B4122" w:rsidRPr="002B4122" w:rsidRDefault="002B4122" w:rsidP="002B4122">
      <w:pPr>
        <w:spacing w:after="0" w:line="240" w:lineRule="auto"/>
        <w:jc w:val="both"/>
        <w:rPr>
          <w:rFonts w:ascii="Times New Roman" w:eastAsia="Times New Roman" w:hAnsi="Times New Roman" w:cs="Times New Roman"/>
          <w:b/>
          <w:color w:val="000000"/>
          <w:sz w:val="24"/>
          <w:szCs w:val="24"/>
          <w:lang w:eastAsia="hr-HR"/>
        </w:rPr>
      </w:pPr>
    </w:p>
    <w:p w:rsidR="002B4122" w:rsidRPr="002B4122" w:rsidRDefault="002B4122" w:rsidP="002B4122">
      <w:pPr>
        <w:spacing w:after="0" w:line="240" w:lineRule="auto"/>
        <w:jc w:val="center"/>
        <w:rPr>
          <w:rFonts w:ascii="Times New Roman" w:eastAsia="Times New Roman" w:hAnsi="Times New Roman" w:cs="Times New Roman"/>
          <w:b/>
          <w:color w:val="000000"/>
          <w:sz w:val="24"/>
          <w:szCs w:val="24"/>
          <w:lang w:eastAsia="hr-HR"/>
        </w:rPr>
      </w:pPr>
      <w:r w:rsidRPr="002B4122">
        <w:rPr>
          <w:rFonts w:ascii="Times New Roman" w:eastAsia="Times New Roman" w:hAnsi="Times New Roman" w:cs="Times New Roman"/>
          <w:b/>
          <w:color w:val="000000"/>
          <w:sz w:val="24"/>
          <w:szCs w:val="24"/>
          <w:lang w:eastAsia="hr-HR"/>
        </w:rPr>
        <w:t>ODLUKU</w:t>
      </w: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numPr>
          <w:ilvl w:val="0"/>
          <w:numId w:val="48"/>
        </w:numPr>
        <w:spacing w:after="0" w:line="240" w:lineRule="auto"/>
        <w:contextualSpacing/>
        <w:jc w:val="both"/>
        <w:rPr>
          <w:rFonts w:ascii="Times New Roman" w:eastAsia="Times New Roman" w:hAnsi="Times New Roman" w:cs="Times New Roman"/>
          <w:sz w:val="24"/>
          <w:szCs w:val="24"/>
          <w:lang w:eastAsia="hr-HR"/>
        </w:rPr>
      </w:pPr>
      <w:bookmarkStart w:id="1" w:name="_Ref54261603"/>
      <w:r w:rsidRPr="002B4122">
        <w:rPr>
          <w:rFonts w:ascii="Times New Roman" w:eastAsia="Times New Roman" w:hAnsi="Times New Roman" w:cs="Times New Roman"/>
          <w:sz w:val="24"/>
          <w:szCs w:val="24"/>
          <w:lang w:eastAsia="hr-HR"/>
        </w:rPr>
        <w:t>Trgovačkom društvu Hrvatski Telekom d.d., Zagreb, R</w:t>
      </w:r>
      <w:r w:rsidR="00C77E81">
        <w:rPr>
          <w:rFonts w:ascii="Times New Roman" w:eastAsia="Times New Roman" w:hAnsi="Times New Roman" w:cs="Times New Roman"/>
          <w:sz w:val="24"/>
          <w:szCs w:val="24"/>
          <w:lang w:eastAsia="hr-HR"/>
        </w:rPr>
        <w:t>adnička cesta 21</w:t>
      </w:r>
      <w:r w:rsidRPr="002B4122">
        <w:rPr>
          <w:rFonts w:ascii="Times New Roman" w:eastAsia="Times New Roman" w:hAnsi="Times New Roman" w:cs="Times New Roman"/>
          <w:sz w:val="24"/>
          <w:szCs w:val="24"/>
          <w:lang w:eastAsia="hr-HR"/>
        </w:rPr>
        <w:t>, određuju se cijene na tržištu veleprodajnog lokalnog pristupa koji se pruža na fiksnoj lokaciji kako slijedi, pri čemu definirane cijene predstavljaju najvišu razinu cijena:</w:t>
      </w:r>
      <w:bookmarkEnd w:id="1"/>
    </w:p>
    <w:p w:rsidR="002B4122" w:rsidRPr="002B4122" w:rsidRDefault="002B4122" w:rsidP="002B4122">
      <w:pPr>
        <w:spacing w:after="0" w:line="240" w:lineRule="auto"/>
        <w:ind w:left="360"/>
        <w:contextualSpacing/>
        <w:jc w:val="both"/>
        <w:rPr>
          <w:rFonts w:ascii="Times New Roman" w:eastAsia="Times New Roman" w:hAnsi="Times New Roman" w:cs="Times New Roman"/>
          <w:sz w:val="24"/>
          <w:szCs w:val="24"/>
          <w:lang w:eastAsia="hr-HR"/>
        </w:rPr>
      </w:pPr>
    </w:p>
    <w:p w:rsidR="002B4122" w:rsidRPr="002B4122" w:rsidRDefault="002B4122" w:rsidP="002B4122">
      <w:pPr>
        <w:numPr>
          <w:ilvl w:val="1"/>
          <w:numId w:val="48"/>
        </w:numPr>
        <w:spacing w:after="0" w:line="240" w:lineRule="auto"/>
        <w:contextualSpacing/>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Određuje se mjesečna naknada za uslugu izdvojenog pristupa lokalnoj petlji na temelju bakrene parice (LLU) na način da iznosi </w:t>
      </w:r>
      <w:r w:rsidRPr="002B4122">
        <w:rPr>
          <w:rFonts w:ascii="Times New Roman" w:eastAsia="Times New Roman" w:hAnsi="Times New Roman" w:cs="Times New Roman"/>
          <w:b/>
          <w:sz w:val="24"/>
          <w:szCs w:val="24"/>
          <w:lang w:eastAsia="hr-HR"/>
        </w:rPr>
        <w:t xml:space="preserve">41,82 </w:t>
      </w:r>
      <w:r w:rsidRPr="002B4122">
        <w:rPr>
          <w:rFonts w:ascii="Times New Roman" w:eastAsia="Times New Roman" w:hAnsi="Times New Roman" w:cs="Times New Roman"/>
          <w:sz w:val="24"/>
          <w:szCs w:val="24"/>
          <w:lang w:eastAsia="hr-HR"/>
        </w:rPr>
        <w:t>HRK/mjesečno/liniji.</w:t>
      </w:r>
    </w:p>
    <w:p w:rsidR="002B4122" w:rsidRPr="002B4122" w:rsidRDefault="002B4122" w:rsidP="002B4122">
      <w:pPr>
        <w:spacing w:after="0" w:line="240" w:lineRule="auto"/>
        <w:ind w:left="792"/>
        <w:contextualSpacing/>
        <w:jc w:val="both"/>
        <w:rPr>
          <w:rFonts w:ascii="Times New Roman" w:eastAsia="Times New Roman" w:hAnsi="Times New Roman" w:cs="Times New Roman"/>
          <w:sz w:val="24"/>
          <w:szCs w:val="24"/>
          <w:lang w:eastAsia="hr-HR"/>
        </w:rPr>
      </w:pPr>
    </w:p>
    <w:p w:rsidR="002B4122" w:rsidRPr="002B4122" w:rsidRDefault="002B4122" w:rsidP="002B4122">
      <w:pPr>
        <w:numPr>
          <w:ilvl w:val="1"/>
          <w:numId w:val="48"/>
        </w:numPr>
        <w:spacing w:after="0" w:line="240" w:lineRule="auto"/>
        <w:contextualSpacing/>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Određuje se mjesečna naknada za uslugu pristupa pasivnoj pristupnoj svjetlovodnoj mreži na lokaciji distribucijskog čvora (FA PON) sa svjetlovodnom instalacijom u zgradi na način da iznosi </w:t>
      </w:r>
      <w:r w:rsidRPr="002B4122">
        <w:rPr>
          <w:rFonts w:ascii="Times New Roman" w:eastAsia="Times New Roman" w:hAnsi="Times New Roman" w:cs="Times New Roman"/>
          <w:b/>
          <w:sz w:val="24"/>
          <w:szCs w:val="24"/>
          <w:lang w:eastAsia="hr-HR"/>
        </w:rPr>
        <w:t xml:space="preserve">49,18 </w:t>
      </w:r>
      <w:r w:rsidRPr="002B4122">
        <w:rPr>
          <w:rFonts w:ascii="Times New Roman" w:eastAsia="Times New Roman" w:hAnsi="Times New Roman" w:cs="Times New Roman"/>
          <w:sz w:val="24"/>
          <w:szCs w:val="24"/>
          <w:lang w:eastAsia="hr-HR"/>
        </w:rPr>
        <w:t>HRK/mjesečno/</w:t>
      </w:r>
      <w:r w:rsidR="004E6E92" w:rsidRPr="004E6E92">
        <w:rPr>
          <w:rFonts w:ascii="Times New Roman" w:eastAsia="Times New Roman" w:hAnsi="Times New Roman" w:cs="Times New Roman"/>
          <w:sz w:val="24"/>
          <w:szCs w:val="24"/>
          <w:lang w:eastAsia="hr-HR"/>
        </w:rPr>
        <w:t>liniji</w:t>
      </w:r>
    </w:p>
    <w:p w:rsidR="002B4122" w:rsidRPr="002B4122" w:rsidRDefault="002B4122" w:rsidP="002B4122">
      <w:pPr>
        <w:spacing w:after="0" w:line="240" w:lineRule="auto"/>
        <w:ind w:left="720"/>
        <w:contextualSpacing/>
        <w:jc w:val="both"/>
        <w:rPr>
          <w:rFonts w:ascii="Times New Roman" w:eastAsia="Times New Roman" w:hAnsi="Times New Roman" w:cs="Times New Roman"/>
          <w:sz w:val="24"/>
          <w:szCs w:val="24"/>
          <w:lang w:eastAsia="hr-HR"/>
        </w:rPr>
      </w:pPr>
    </w:p>
    <w:p w:rsidR="004E6E92" w:rsidRPr="004E6E92" w:rsidRDefault="004E6E92" w:rsidP="004E6E92">
      <w:pPr>
        <w:numPr>
          <w:ilvl w:val="1"/>
          <w:numId w:val="48"/>
        </w:numPr>
        <w:spacing w:after="0" w:line="240" w:lineRule="auto"/>
        <w:contextualSpacing/>
        <w:jc w:val="both"/>
        <w:rPr>
          <w:rFonts w:ascii="Times New Roman" w:eastAsia="Times New Roman" w:hAnsi="Times New Roman" w:cs="Times New Roman"/>
          <w:sz w:val="24"/>
          <w:szCs w:val="24"/>
          <w:lang w:eastAsia="hr-HR"/>
        </w:rPr>
      </w:pPr>
      <w:r w:rsidRPr="004E6E92">
        <w:rPr>
          <w:rFonts w:ascii="Times New Roman" w:eastAsia="Times New Roman" w:hAnsi="Times New Roman" w:cs="Times New Roman"/>
          <w:sz w:val="24"/>
          <w:szCs w:val="24"/>
          <w:lang w:eastAsia="hr-HR"/>
        </w:rPr>
        <w:t xml:space="preserve">Određuje se mjesečna naknada za uslugu pristupa pasivnoj pristupnoj svjetlovodnoj mreži na lokaciji distribucijskog čvora (FA PON) usluge bez svjetlovodne instalacije u zgradi na način da iznosi </w:t>
      </w:r>
      <w:r w:rsidRPr="004E6E92">
        <w:rPr>
          <w:rFonts w:ascii="Times New Roman" w:eastAsia="Times New Roman" w:hAnsi="Times New Roman" w:cs="Times New Roman"/>
          <w:b/>
          <w:sz w:val="24"/>
          <w:szCs w:val="24"/>
          <w:lang w:eastAsia="hr-HR"/>
        </w:rPr>
        <w:t xml:space="preserve">42,80 </w:t>
      </w:r>
      <w:r w:rsidRPr="004E6E92">
        <w:rPr>
          <w:rFonts w:ascii="Times New Roman" w:eastAsia="Times New Roman" w:hAnsi="Times New Roman" w:cs="Times New Roman"/>
          <w:sz w:val="24"/>
          <w:szCs w:val="24"/>
          <w:lang w:eastAsia="hr-HR"/>
        </w:rPr>
        <w:t>HRK/mjesečno/liniji.</w:t>
      </w:r>
    </w:p>
    <w:p w:rsidR="004E6E92" w:rsidRPr="004E6E92" w:rsidRDefault="004E6E92" w:rsidP="004E6E92">
      <w:pPr>
        <w:spacing w:after="0" w:line="240" w:lineRule="auto"/>
        <w:ind w:left="720"/>
        <w:contextualSpacing/>
        <w:jc w:val="both"/>
        <w:rPr>
          <w:rFonts w:ascii="Times New Roman" w:eastAsia="Times New Roman" w:hAnsi="Times New Roman" w:cs="Times New Roman"/>
          <w:sz w:val="24"/>
          <w:szCs w:val="24"/>
          <w:lang w:eastAsia="hr-HR"/>
        </w:rPr>
      </w:pPr>
    </w:p>
    <w:p w:rsidR="004E6E92" w:rsidRPr="004E6E92" w:rsidRDefault="004E6E92" w:rsidP="004E6E92">
      <w:pPr>
        <w:numPr>
          <w:ilvl w:val="1"/>
          <w:numId w:val="48"/>
        </w:numPr>
        <w:spacing w:after="0" w:line="240" w:lineRule="auto"/>
        <w:contextualSpacing/>
        <w:jc w:val="both"/>
        <w:rPr>
          <w:rFonts w:ascii="Times New Roman" w:eastAsia="Times New Roman" w:hAnsi="Times New Roman" w:cs="Times New Roman"/>
          <w:sz w:val="24"/>
          <w:szCs w:val="24"/>
          <w:lang w:eastAsia="hr-HR"/>
        </w:rPr>
      </w:pPr>
      <w:r w:rsidRPr="004E6E92">
        <w:rPr>
          <w:rFonts w:ascii="Times New Roman" w:eastAsia="Times New Roman" w:hAnsi="Times New Roman" w:cs="Times New Roman"/>
          <w:sz w:val="24"/>
          <w:szCs w:val="24"/>
          <w:lang w:eastAsia="hr-HR"/>
        </w:rPr>
        <w:t>Određuje se mjesečna naknada za najam kućne svjetlovodne instalacije u prostoru krajnjeg korisnika</w:t>
      </w:r>
      <w:r w:rsidRPr="004E6E92">
        <w:rPr>
          <w:rFonts w:ascii="Times New Roman" w:eastAsia="Times New Roman" w:hAnsi="Times New Roman" w:cs="Times New Roman"/>
          <w:b/>
          <w:sz w:val="24"/>
          <w:szCs w:val="24"/>
          <w:lang w:eastAsia="hr-HR"/>
        </w:rPr>
        <w:t xml:space="preserve"> </w:t>
      </w:r>
      <w:r w:rsidRPr="004E6E92">
        <w:rPr>
          <w:rFonts w:ascii="Times New Roman" w:eastAsia="Times New Roman" w:hAnsi="Times New Roman" w:cs="Times New Roman"/>
          <w:sz w:val="24"/>
          <w:szCs w:val="24"/>
          <w:lang w:eastAsia="hr-HR"/>
        </w:rPr>
        <w:t xml:space="preserve">iznosi </w:t>
      </w:r>
      <w:r w:rsidRPr="004E6E92">
        <w:rPr>
          <w:rFonts w:ascii="Times New Roman" w:eastAsia="Times New Roman" w:hAnsi="Times New Roman" w:cs="Times New Roman"/>
          <w:b/>
          <w:sz w:val="24"/>
          <w:szCs w:val="24"/>
          <w:lang w:eastAsia="hr-HR"/>
        </w:rPr>
        <w:t>3,15</w:t>
      </w:r>
      <w:r w:rsidRPr="004E6E92">
        <w:rPr>
          <w:rFonts w:ascii="Times New Roman" w:eastAsia="Times New Roman" w:hAnsi="Times New Roman" w:cs="Times New Roman"/>
          <w:sz w:val="24"/>
          <w:szCs w:val="24"/>
          <w:lang w:eastAsia="hr-HR"/>
        </w:rPr>
        <w:t xml:space="preserve"> HRK/mjesečno/liniji</w:t>
      </w:r>
    </w:p>
    <w:p w:rsidR="004E6E92" w:rsidRPr="004E6E92" w:rsidRDefault="004E6E92" w:rsidP="004E6E92">
      <w:pPr>
        <w:spacing w:after="0" w:line="240" w:lineRule="auto"/>
        <w:ind w:left="720"/>
        <w:contextualSpacing/>
        <w:jc w:val="both"/>
        <w:rPr>
          <w:rFonts w:ascii="Times New Roman" w:eastAsia="Times New Roman" w:hAnsi="Times New Roman" w:cs="Times New Roman"/>
          <w:sz w:val="24"/>
          <w:szCs w:val="24"/>
          <w:lang w:eastAsia="hr-HR"/>
        </w:rPr>
      </w:pPr>
    </w:p>
    <w:p w:rsidR="004E6E92" w:rsidRPr="004E6E92" w:rsidRDefault="004E6E92" w:rsidP="004E6E92">
      <w:pPr>
        <w:numPr>
          <w:ilvl w:val="1"/>
          <w:numId w:val="48"/>
        </w:numPr>
        <w:spacing w:after="0" w:line="240" w:lineRule="auto"/>
        <w:contextualSpacing/>
        <w:jc w:val="both"/>
        <w:rPr>
          <w:rFonts w:ascii="Times New Roman" w:eastAsia="Times New Roman" w:hAnsi="Times New Roman" w:cs="Times New Roman"/>
          <w:sz w:val="24"/>
          <w:szCs w:val="24"/>
          <w:lang w:eastAsia="hr-HR"/>
        </w:rPr>
      </w:pPr>
      <w:r w:rsidRPr="004E6E92">
        <w:rPr>
          <w:rFonts w:ascii="Times New Roman" w:eastAsia="Times New Roman" w:hAnsi="Times New Roman" w:cs="Times New Roman"/>
          <w:sz w:val="24"/>
          <w:szCs w:val="24"/>
          <w:lang w:eastAsia="hr-HR"/>
        </w:rPr>
        <w:t xml:space="preserve">Određuje se mjesečna naknada za veleprodajnu uslugu najma svjetlovodne niti bez prijenosne opreme (eng. dark fibre) u svrhu omogućavanja pristupa operatorima korisnicima do pristupnih točaka, odnosno povezivanja pristupnih točaka i mreže operatora korisnika, na način da iznosi </w:t>
      </w:r>
      <w:r w:rsidRPr="004E6E92">
        <w:rPr>
          <w:rFonts w:ascii="Times New Roman" w:eastAsia="Times New Roman" w:hAnsi="Times New Roman" w:cs="Times New Roman"/>
          <w:b/>
          <w:sz w:val="24"/>
          <w:szCs w:val="24"/>
          <w:lang w:eastAsia="hr-HR"/>
        </w:rPr>
        <w:t xml:space="preserve">0,086 </w:t>
      </w:r>
      <w:r w:rsidRPr="004E6E92">
        <w:rPr>
          <w:rFonts w:ascii="Times New Roman" w:eastAsia="Times New Roman" w:hAnsi="Times New Roman" w:cs="Times New Roman"/>
          <w:sz w:val="24"/>
          <w:szCs w:val="24"/>
          <w:lang w:eastAsia="hr-HR"/>
        </w:rPr>
        <w:t>HRK/nit/m/mjesečno.</w:t>
      </w:r>
    </w:p>
    <w:p w:rsidR="002B4122" w:rsidRPr="002B4122" w:rsidRDefault="002B4122" w:rsidP="002B4122">
      <w:pPr>
        <w:spacing w:after="0" w:line="240" w:lineRule="auto"/>
        <w:ind w:left="720"/>
        <w:contextualSpacing/>
        <w:jc w:val="both"/>
        <w:rPr>
          <w:rFonts w:ascii="Times New Roman" w:eastAsia="Times New Roman" w:hAnsi="Times New Roman" w:cs="Times New Roman"/>
          <w:sz w:val="24"/>
          <w:szCs w:val="24"/>
          <w:lang w:eastAsia="hr-HR"/>
        </w:rPr>
      </w:pPr>
    </w:p>
    <w:p w:rsidR="002B4122" w:rsidRPr="002B4122" w:rsidRDefault="002B4122" w:rsidP="002B4122">
      <w:pPr>
        <w:numPr>
          <w:ilvl w:val="0"/>
          <w:numId w:val="48"/>
        </w:numPr>
        <w:spacing w:after="0" w:line="240" w:lineRule="auto"/>
        <w:contextualSpacing/>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Mjesečne naknade iz točke </w:t>
      </w:r>
      <w:r w:rsidR="00B047B3">
        <w:rPr>
          <w:rFonts w:ascii="Times New Roman" w:eastAsia="Times New Roman" w:hAnsi="Times New Roman" w:cs="Times New Roman"/>
          <w:sz w:val="24"/>
          <w:szCs w:val="24"/>
          <w:lang w:eastAsia="hr-HR"/>
        </w:rPr>
        <w:fldChar w:fldCharType="begin"/>
      </w:r>
      <w:r w:rsidR="00B047B3">
        <w:rPr>
          <w:rFonts w:ascii="Times New Roman" w:eastAsia="Times New Roman" w:hAnsi="Times New Roman" w:cs="Times New Roman"/>
          <w:sz w:val="24"/>
          <w:szCs w:val="24"/>
          <w:lang w:eastAsia="hr-HR"/>
        </w:rPr>
        <w:instrText xml:space="preserve"> REF _Ref54261603 \r \h </w:instrText>
      </w:r>
      <w:r w:rsidR="00B047B3">
        <w:rPr>
          <w:rFonts w:ascii="Times New Roman" w:eastAsia="Times New Roman" w:hAnsi="Times New Roman" w:cs="Times New Roman"/>
          <w:sz w:val="24"/>
          <w:szCs w:val="24"/>
          <w:lang w:eastAsia="hr-HR"/>
        </w:rPr>
      </w:r>
      <w:r w:rsidR="00B047B3">
        <w:rPr>
          <w:rFonts w:ascii="Times New Roman" w:eastAsia="Times New Roman" w:hAnsi="Times New Roman" w:cs="Times New Roman"/>
          <w:sz w:val="24"/>
          <w:szCs w:val="24"/>
          <w:lang w:eastAsia="hr-HR"/>
        </w:rPr>
        <w:fldChar w:fldCharType="separate"/>
      </w:r>
      <w:r w:rsidR="00B047B3">
        <w:rPr>
          <w:rFonts w:ascii="Times New Roman" w:eastAsia="Times New Roman" w:hAnsi="Times New Roman" w:cs="Times New Roman"/>
          <w:sz w:val="24"/>
          <w:szCs w:val="24"/>
          <w:lang w:eastAsia="hr-HR"/>
        </w:rPr>
        <w:t>I</w:t>
      </w:r>
      <w:r w:rsidR="00B047B3">
        <w:rPr>
          <w:rFonts w:ascii="Times New Roman" w:eastAsia="Times New Roman" w:hAnsi="Times New Roman" w:cs="Times New Roman"/>
          <w:sz w:val="24"/>
          <w:szCs w:val="24"/>
          <w:lang w:eastAsia="hr-HR"/>
        </w:rPr>
        <w:fldChar w:fldCharType="end"/>
      </w:r>
      <w:r w:rsidR="00B047B3">
        <w:rPr>
          <w:rFonts w:ascii="Times New Roman" w:eastAsia="Times New Roman" w:hAnsi="Times New Roman" w:cs="Times New Roman"/>
          <w:sz w:val="24"/>
          <w:szCs w:val="24"/>
          <w:lang w:eastAsia="hr-HR"/>
        </w:rPr>
        <w:t xml:space="preserve">. </w:t>
      </w:r>
      <w:r w:rsidRPr="002B4122">
        <w:rPr>
          <w:rFonts w:ascii="Times New Roman" w:eastAsia="Times New Roman" w:hAnsi="Times New Roman" w:cs="Times New Roman"/>
          <w:sz w:val="24"/>
          <w:szCs w:val="24"/>
          <w:lang w:eastAsia="hr-HR"/>
        </w:rPr>
        <w:t>izreke ove odluke vrijede 3 (tri) godine od datuma početka njihove primjene.</w:t>
      </w:r>
    </w:p>
    <w:p w:rsidR="002B4122" w:rsidRPr="002B4122" w:rsidRDefault="002B4122" w:rsidP="002B4122">
      <w:pPr>
        <w:spacing w:after="0" w:line="240" w:lineRule="auto"/>
        <w:ind w:left="360"/>
        <w:jc w:val="both"/>
        <w:rPr>
          <w:rFonts w:ascii="Times New Roman" w:eastAsia="Times New Roman" w:hAnsi="Times New Roman" w:cs="Times New Roman"/>
          <w:sz w:val="24"/>
          <w:szCs w:val="24"/>
          <w:lang w:eastAsia="hr-HR"/>
        </w:rPr>
      </w:pPr>
    </w:p>
    <w:p w:rsidR="002B4122" w:rsidRPr="002B4122" w:rsidRDefault="002B4122" w:rsidP="002B4122">
      <w:pPr>
        <w:numPr>
          <w:ilvl w:val="0"/>
          <w:numId w:val="48"/>
        </w:numPr>
        <w:spacing w:after="0" w:line="240" w:lineRule="auto"/>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Trgovačko društvo Hrvatski Telekom d.d. obvezno je najkasnije 15 dana od donošenja ove odluke objaviti na svojim internetskim stranicama izmijenjenu Standardnu ponudu Hrvatskog Telekoma d.d. za uslugu izdvojenog pristupa lokalnoj petlji i Standardnu ponudu Hrvatskog Telekoma d.d. za uslugu pristupa pasivnoj pristupnoj svjetlovodnoj mreži na lokaciji distribucijskog čvora za svjetlovodne distribucijske mreže usklađene s točkom </w:t>
      </w:r>
      <w:r w:rsidR="00B047B3">
        <w:rPr>
          <w:rFonts w:ascii="Times New Roman" w:eastAsia="Times New Roman" w:hAnsi="Times New Roman" w:cs="Times New Roman"/>
          <w:sz w:val="24"/>
          <w:szCs w:val="24"/>
          <w:lang w:eastAsia="hr-HR"/>
        </w:rPr>
        <w:fldChar w:fldCharType="begin"/>
      </w:r>
      <w:r w:rsidR="00B047B3">
        <w:rPr>
          <w:rFonts w:ascii="Times New Roman" w:eastAsia="Times New Roman" w:hAnsi="Times New Roman" w:cs="Times New Roman"/>
          <w:sz w:val="24"/>
          <w:szCs w:val="24"/>
          <w:lang w:eastAsia="hr-HR"/>
        </w:rPr>
        <w:instrText xml:space="preserve"> REF _Ref54261603 \r \h </w:instrText>
      </w:r>
      <w:r w:rsidR="00B047B3">
        <w:rPr>
          <w:rFonts w:ascii="Times New Roman" w:eastAsia="Times New Roman" w:hAnsi="Times New Roman" w:cs="Times New Roman"/>
          <w:sz w:val="24"/>
          <w:szCs w:val="24"/>
          <w:lang w:eastAsia="hr-HR"/>
        </w:rPr>
      </w:r>
      <w:r w:rsidR="00B047B3">
        <w:rPr>
          <w:rFonts w:ascii="Times New Roman" w:eastAsia="Times New Roman" w:hAnsi="Times New Roman" w:cs="Times New Roman"/>
          <w:sz w:val="24"/>
          <w:szCs w:val="24"/>
          <w:lang w:eastAsia="hr-HR"/>
        </w:rPr>
        <w:fldChar w:fldCharType="separate"/>
      </w:r>
      <w:r w:rsidR="00B047B3">
        <w:rPr>
          <w:rFonts w:ascii="Times New Roman" w:eastAsia="Times New Roman" w:hAnsi="Times New Roman" w:cs="Times New Roman"/>
          <w:sz w:val="24"/>
          <w:szCs w:val="24"/>
          <w:lang w:eastAsia="hr-HR"/>
        </w:rPr>
        <w:t>I</w:t>
      </w:r>
      <w:r w:rsidR="00B047B3">
        <w:rPr>
          <w:rFonts w:ascii="Times New Roman" w:eastAsia="Times New Roman" w:hAnsi="Times New Roman" w:cs="Times New Roman"/>
          <w:sz w:val="24"/>
          <w:szCs w:val="24"/>
          <w:lang w:eastAsia="hr-HR"/>
        </w:rPr>
        <w:fldChar w:fldCharType="end"/>
      </w:r>
      <w:r w:rsidR="00B047B3">
        <w:rPr>
          <w:rFonts w:ascii="Times New Roman" w:eastAsia="Times New Roman" w:hAnsi="Times New Roman" w:cs="Times New Roman"/>
          <w:sz w:val="24"/>
          <w:szCs w:val="24"/>
          <w:lang w:eastAsia="hr-HR"/>
        </w:rPr>
        <w:t xml:space="preserve">. </w:t>
      </w:r>
      <w:r w:rsidRPr="002B4122">
        <w:rPr>
          <w:rFonts w:ascii="Times New Roman" w:eastAsia="Times New Roman" w:hAnsi="Times New Roman" w:cs="Times New Roman"/>
          <w:sz w:val="24"/>
          <w:szCs w:val="24"/>
          <w:lang w:eastAsia="hr-HR"/>
        </w:rPr>
        <w:t>izreke ove odluke, pri čemu se izmjene primjenjuju u roku od 30 dana od donošenja ove odluke.</w:t>
      </w: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spacing w:after="0" w:line="240" w:lineRule="auto"/>
        <w:jc w:val="center"/>
        <w:rPr>
          <w:rFonts w:ascii="Times New Roman" w:eastAsia="Times New Roman" w:hAnsi="Times New Roman" w:cs="Times New Roman"/>
          <w:b/>
          <w:i/>
          <w:sz w:val="24"/>
          <w:szCs w:val="24"/>
          <w:lang w:eastAsia="hr-HR"/>
        </w:rPr>
      </w:pPr>
      <w:r w:rsidRPr="002B4122">
        <w:rPr>
          <w:rFonts w:ascii="Times New Roman" w:eastAsia="Times New Roman" w:hAnsi="Times New Roman" w:cs="Times New Roman"/>
          <w:b/>
          <w:i/>
          <w:sz w:val="24"/>
          <w:szCs w:val="24"/>
          <w:lang w:eastAsia="hr-HR"/>
        </w:rPr>
        <w:t>Obrazloženje</w:t>
      </w: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Hrvatska regulatorna agencija za mrežne djelatnosti (dalje: HAKOM) je odlukom o analizi tržišta veleprodajnog lokalnog pristupa koji se pruža na fiksnoj lokaciji (dalje: tržište M3a) od 19. lipnja 2019. (KLASA: UP/I-344-01/18-03/05, URBROJ: 376-05-1-19-11; dalje: Analiza tržišta) odredila trgovačkom društvu Hrvatski Telekom d.d. (dalje: HT) obvezu nadzora cijena za usluge veleprodajnog lokalnog pristupa. </w:t>
      </w: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Default="002B4122" w:rsidP="002B4122">
      <w:pPr>
        <w:spacing w:after="0" w:line="240" w:lineRule="auto"/>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Samom analizom tržišta nisu određene nove cijene, već su zadržane do tada važeće, iz razloga što je bilo potrebno ažurirati izrađeni BU-LRAIC+ model na način da se uzmu u obzir promjene u mreži u razdoblju od izrade inicijalnog BU-LR</w:t>
      </w:r>
      <w:r w:rsidR="00376D9E">
        <w:rPr>
          <w:rFonts w:ascii="Times New Roman" w:eastAsia="Times New Roman" w:hAnsi="Times New Roman" w:cs="Times New Roman"/>
          <w:sz w:val="24"/>
          <w:szCs w:val="24"/>
          <w:lang w:eastAsia="hr-HR"/>
        </w:rPr>
        <w:t>A</w:t>
      </w:r>
      <w:r w:rsidRPr="002B4122">
        <w:rPr>
          <w:rFonts w:ascii="Times New Roman" w:eastAsia="Times New Roman" w:hAnsi="Times New Roman" w:cs="Times New Roman"/>
          <w:sz w:val="24"/>
          <w:szCs w:val="24"/>
          <w:lang w:eastAsia="hr-HR"/>
        </w:rPr>
        <w:t>IC+ modela, kako bi HAKOM mogao izračunati cijene za buduća razdoblja. Stoga je definirano da HAKOM može izmijeniti cijene za uslugu veleprodajnog lokalnog pristupa temeljem članka 62. stavka 4. ZEK-a, u kojem slučaju će HT biti obvezan izmijenjene cijene ugraditi u Standardnu ponudu.</w:t>
      </w:r>
    </w:p>
    <w:p w:rsidR="00376D9E" w:rsidRPr="002B4122" w:rsidRDefault="00376D9E"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HAKOM je u listopadu 2019. započeo projekt „Izračun troškova i cijena usluga u nepokretnoj mreži“. Svrha projekta je izrada troškovnog modela za nepokretnu mrežu te izračun novih cijena reguliranih veleprodajnih usluga na tržištima:</w:t>
      </w:r>
    </w:p>
    <w:p w:rsidR="002B4122" w:rsidRPr="002B4122" w:rsidRDefault="002B4122" w:rsidP="002B4122">
      <w:pPr>
        <w:numPr>
          <w:ilvl w:val="0"/>
          <w:numId w:val="49"/>
        </w:numPr>
        <w:spacing w:after="0" w:line="240" w:lineRule="auto"/>
        <w:contextualSpacing/>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veleprodajnog lokalnog pristupa koji se pruža na fiksnoj lokaciji (tržište M3a), </w:t>
      </w:r>
    </w:p>
    <w:p w:rsidR="002B4122" w:rsidRPr="002B4122" w:rsidRDefault="002B4122" w:rsidP="002B4122">
      <w:pPr>
        <w:numPr>
          <w:ilvl w:val="0"/>
          <w:numId w:val="49"/>
        </w:numPr>
        <w:spacing w:after="0" w:line="240" w:lineRule="auto"/>
        <w:contextualSpacing/>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veleprodajnog središnjeg pristupa koji se pruža na fiksnoj lokaciji za proizvode za masovno tržište (tržište M3b), </w:t>
      </w:r>
    </w:p>
    <w:p w:rsidR="002B4122" w:rsidRPr="002B4122" w:rsidRDefault="002B4122" w:rsidP="002B4122">
      <w:pPr>
        <w:numPr>
          <w:ilvl w:val="0"/>
          <w:numId w:val="49"/>
        </w:numPr>
        <w:spacing w:after="0" w:line="240" w:lineRule="auto"/>
        <w:contextualSpacing/>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veleprodajnog visokokvalitetnog pristupa koji se pruža na fiksnoj lokaciji (tržište M4) i </w:t>
      </w:r>
    </w:p>
    <w:p w:rsidR="002B4122" w:rsidRPr="002B4122" w:rsidRDefault="002B4122" w:rsidP="002B4122">
      <w:pPr>
        <w:numPr>
          <w:ilvl w:val="0"/>
          <w:numId w:val="49"/>
        </w:numPr>
        <w:spacing w:after="0" w:line="240" w:lineRule="auto"/>
        <w:contextualSpacing/>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veleprodajnih prijenosnih segmenata iznajmljenih vodova (tržište exM14).</w:t>
      </w: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Tijek samog projekta, osnovne značajke i metodološka načela za izradu troškovnog modela, rezultati troškovnog modela i način na koji su određene veleprodajne cijene na tržištu M3a opisani su u dokumentu „</w:t>
      </w:r>
      <w:r w:rsidRPr="002B4122">
        <w:rPr>
          <w:rFonts w:ascii="Times New Roman" w:eastAsia="Times New Roman" w:hAnsi="Times New Roman" w:cs="Times New Roman"/>
          <w:i/>
          <w:sz w:val="24"/>
          <w:szCs w:val="24"/>
          <w:lang w:eastAsia="hr-HR"/>
        </w:rPr>
        <w:t>Određivanje cijena veleprodajnih usluga na tržištu veleprodajnog lokalnog pristupa koji se pruža na fiksnoj lokaciji (M3a)“</w:t>
      </w:r>
      <w:r w:rsidRPr="002B4122">
        <w:rPr>
          <w:rFonts w:ascii="Times New Roman" w:eastAsia="Times New Roman" w:hAnsi="Times New Roman" w:cs="Times New Roman"/>
          <w:sz w:val="24"/>
          <w:szCs w:val="24"/>
          <w:lang w:eastAsia="hr-HR"/>
        </w:rPr>
        <w:t>, koji je sastavni dio ove odluke.</w:t>
      </w: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Slijedom svega navedenog, HAKOM je temeljem članka 12. stavka 1. točke 3. i članka 62. stavaka 3. i 4. ZEK-a odlučio kao u izreci ove odluke.</w:t>
      </w: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B4122">
        <w:rPr>
          <w:rFonts w:ascii="Times New Roman" w:eastAsia="Times New Roman" w:hAnsi="Times New Roman" w:cs="Times New Roman"/>
          <w:sz w:val="24"/>
          <w:szCs w:val="24"/>
          <w:lang w:eastAsia="hr-HR"/>
        </w:rPr>
        <w:t xml:space="preserve">Sukladno članku 22. ZEK-a o ovom prijedlogu provest će se javna rasprava. </w:t>
      </w:r>
    </w:p>
    <w:p w:rsidR="002B4122" w:rsidRPr="002B4122" w:rsidRDefault="002B4122" w:rsidP="002B412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4E6E92">
      <w:pPr>
        <w:spacing w:after="0" w:line="240" w:lineRule="auto"/>
        <w:jc w:val="both"/>
        <w:rPr>
          <w:rFonts w:ascii="Times New Roman" w:eastAsia="Times New Roman" w:hAnsi="Times New Roman" w:cs="Times New Roman"/>
          <w:sz w:val="24"/>
          <w:szCs w:val="24"/>
          <w:lang w:eastAsia="hr-HR"/>
        </w:rPr>
      </w:pPr>
    </w:p>
    <w:p w:rsidR="002B4122" w:rsidRPr="002B4122" w:rsidRDefault="002B4122" w:rsidP="002B4122">
      <w:pPr>
        <w:spacing w:after="0" w:line="240" w:lineRule="auto"/>
        <w:rPr>
          <w:rFonts w:ascii="Times New Roman" w:hAnsi="Times New Roman" w:cs="Times New Roman"/>
          <w:sz w:val="24"/>
          <w:szCs w:val="24"/>
          <w:lang w:eastAsia="hr-HR"/>
        </w:rPr>
      </w:pPr>
      <w:r w:rsidRPr="002B4122">
        <w:rPr>
          <w:rFonts w:ascii="Times New Roman" w:hAnsi="Times New Roman" w:cs="Times New Roman"/>
          <w:bCs/>
          <w:sz w:val="24"/>
          <w:szCs w:val="24"/>
          <w:lang w:eastAsia="hr-HR"/>
        </w:rPr>
        <w:t xml:space="preserve">                                                                                                                           </w:t>
      </w:r>
    </w:p>
    <w:tbl>
      <w:tblPr>
        <w:tblW w:w="0" w:type="auto"/>
        <w:tblLook w:val="01E0" w:firstRow="1" w:lastRow="1" w:firstColumn="1" w:lastColumn="1" w:noHBand="0" w:noVBand="0"/>
      </w:tblPr>
      <w:tblGrid>
        <w:gridCol w:w="4470"/>
        <w:gridCol w:w="4602"/>
      </w:tblGrid>
      <w:tr w:rsidR="002B4122" w:rsidRPr="002B4122" w:rsidTr="000F0A57">
        <w:tc>
          <w:tcPr>
            <w:tcW w:w="4801" w:type="dxa"/>
            <w:shd w:val="clear" w:color="auto" w:fill="auto"/>
          </w:tcPr>
          <w:p w:rsidR="002B4122" w:rsidRPr="002B4122" w:rsidRDefault="002B4122" w:rsidP="002B4122">
            <w:pPr>
              <w:spacing w:after="0" w:line="240" w:lineRule="auto"/>
              <w:rPr>
                <w:rFonts w:ascii="Times New Roman" w:eastAsia="Times New Roman" w:hAnsi="Times New Roman" w:cs="Times New Roman"/>
                <w:sz w:val="24"/>
                <w:szCs w:val="24"/>
                <w:lang w:eastAsia="hr-HR"/>
              </w:rPr>
            </w:pPr>
          </w:p>
        </w:tc>
        <w:tc>
          <w:tcPr>
            <w:tcW w:w="4837" w:type="dxa"/>
            <w:shd w:val="clear" w:color="auto" w:fill="auto"/>
          </w:tcPr>
          <w:p w:rsidR="002B4122" w:rsidRPr="002B4122" w:rsidRDefault="002B4122" w:rsidP="002B4122">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2B4122">
              <w:rPr>
                <w:rFonts w:ascii="Times New Roman" w:eastAsia="Times New Roman" w:hAnsi="Times New Roman" w:cs="Times New Roman"/>
                <w:b/>
                <w:i/>
                <w:caps/>
                <w:sz w:val="20"/>
                <w:szCs w:val="24"/>
                <w:lang w:eastAsia="hr-HR"/>
              </w:rPr>
              <w:t>Predsjednik Vijeća</w:t>
            </w:r>
          </w:p>
        </w:tc>
      </w:tr>
      <w:tr w:rsidR="002B4122" w:rsidRPr="002B4122" w:rsidTr="000F0A57">
        <w:tc>
          <w:tcPr>
            <w:tcW w:w="4801" w:type="dxa"/>
            <w:shd w:val="clear" w:color="auto" w:fill="auto"/>
          </w:tcPr>
          <w:p w:rsidR="002B4122" w:rsidRPr="002B4122" w:rsidRDefault="002B4122" w:rsidP="002B4122">
            <w:pPr>
              <w:spacing w:after="0" w:line="240" w:lineRule="auto"/>
              <w:rPr>
                <w:rFonts w:ascii="Times New Roman" w:eastAsia="Times New Roman" w:hAnsi="Times New Roman" w:cs="Times New Roman"/>
                <w:sz w:val="24"/>
                <w:szCs w:val="24"/>
                <w:lang w:eastAsia="hr-HR"/>
              </w:rPr>
            </w:pPr>
          </w:p>
        </w:tc>
        <w:tc>
          <w:tcPr>
            <w:tcW w:w="4837" w:type="dxa"/>
            <w:shd w:val="clear" w:color="auto" w:fill="auto"/>
          </w:tcPr>
          <w:p w:rsidR="002B4122" w:rsidRPr="002B4122" w:rsidRDefault="002B4122" w:rsidP="002B4122">
            <w:pPr>
              <w:tabs>
                <w:tab w:val="center" w:pos="7655"/>
              </w:tabs>
              <w:spacing w:after="600" w:line="240" w:lineRule="auto"/>
              <w:jc w:val="center"/>
              <w:rPr>
                <w:rFonts w:ascii="Times New Roman" w:eastAsia="Times New Roman" w:hAnsi="Times New Roman" w:cs="Times New Roman"/>
                <w:b/>
                <w:i/>
                <w:szCs w:val="24"/>
                <w:lang w:eastAsia="hr-HR"/>
              </w:rPr>
            </w:pPr>
            <w:r w:rsidRPr="002B4122">
              <w:rPr>
                <w:rFonts w:ascii="Times New Roman" w:eastAsia="Times New Roman" w:hAnsi="Times New Roman" w:cs="Times New Roman"/>
                <w:b/>
                <w:i/>
                <w:szCs w:val="24"/>
                <w:lang w:eastAsia="hr-HR"/>
              </w:rPr>
              <w:t>Tonko Obuljen</w:t>
            </w:r>
          </w:p>
        </w:tc>
      </w:tr>
      <w:bookmarkEnd w:id="0"/>
    </w:tbl>
    <w:p w:rsidR="00E16710" w:rsidRDefault="00E16710" w:rsidP="002B4122">
      <w:pPr>
        <w:spacing w:after="0" w:line="240" w:lineRule="auto"/>
        <w:rPr>
          <w:rFonts w:ascii="Times New Roman" w:eastAsia="Times New Roman" w:hAnsi="Times New Roman" w:cs="Times New Roman"/>
          <w:sz w:val="24"/>
          <w:szCs w:val="24"/>
          <w:lang w:eastAsia="hr-HR"/>
        </w:rPr>
        <w:sectPr w:rsidR="00E16710" w:rsidSect="00D07C23">
          <w:headerReference w:type="first" r:id="rId11"/>
          <w:footerReference w:type="first" r:id="rId12"/>
          <w:type w:val="continuous"/>
          <w:pgSz w:w="11906" w:h="16838"/>
          <w:pgMar w:top="1417" w:right="1417" w:bottom="1417" w:left="1417" w:header="708" w:footer="708" w:gutter="0"/>
          <w:pgNumType w:start="1"/>
          <w:cols w:space="708"/>
          <w:docGrid w:linePitch="360"/>
        </w:sectPr>
      </w:pPr>
    </w:p>
    <w:p w:rsidR="002B4122" w:rsidRPr="002B4122" w:rsidRDefault="002B4122" w:rsidP="002B4122">
      <w:pPr>
        <w:spacing w:after="0" w:line="240" w:lineRule="auto"/>
        <w:rPr>
          <w:rFonts w:ascii="Times New Roman" w:eastAsia="Times New Roman" w:hAnsi="Times New Roman" w:cs="Times New Roman"/>
          <w:sz w:val="24"/>
          <w:szCs w:val="24"/>
          <w:lang w:eastAsia="hr-HR"/>
        </w:r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200"/>
        <w:gridCol w:w="985"/>
        <w:gridCol w:w="1887"/>
      </w:tblGrid>
      <w:tr w:rsidR="006F1C93" w:rsidRPr="00F87C66" w:rsidTr="008E61F2">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rsidR="006F1C93" w:rsidRPr="00C77E81" w:rsidRDefault="006F1C93" w:rsidP="008E61F2">
            <w:pPr>
              <w:ind w:left="1080"/>
              <w:rPr>
                <w:rFonts w:cs="Times New Roman"/>
                <w:sz w:val="44"/>
                <w:szCs w:val="44"/>
              </w:rPr>
            </w:pPr>
            <w:r>
              <w:rPr>
                <w:rFonts w:cs="Times New Roman"/>
                <w:sz w:val="44"/>
                <w:szCs w:val="44"/>
              </w:rPr>
              <w:t xml:space="preserve">Određivanje cijena veleprodajnih usluga na tržištu </w:t>
            </w:r>
            <w:r w:rsidRPr="00C77E81">
              <w:rPr>
                <w:rFonts w:ascii="Calibri" w:hAnsi="Calibri" w:cs="Calibri"/>
              </w:rPr>
              <w:t xml:space="preserve"> </w:t>
            </w:r>
            <w:r w:rsidRPr="00C77E81">
              <w:rPr>
                <w:rFonts w:cs="Times New Roman"/>
                <w:sz w:val="44"/>
                <w:szCs w:val="44"/>
              </w:rPr>
              <w:t xml:space="preserve">veleprodajnog </w:t>
            </w:r>
            <w:r w:rsidRPr="000F0A57">
              <w:rPr>
                <w:rFonts w:cs="Times New Roman"/>
                <w:sz w:val="44"/>
                <w:szCs w:val="44"/>
              </w:rPr>
              <w:t>lokalnog</w:t>
            </w:r>
            <w:r w:rsidRPr="00C77E81">
              <w:rPr>
                <w:rFonts w:cs="Times New Roman"/>
                <w:sz w:val="44"/>
                <w:szCs w:val="44"/>
              </w:rPr>
              <w:t xml:space="preserve"> </w:t>
            </w:r>
            <w:r w:rsidRPr="000F0A57">
              <w:rPr>
                <w:rFonts w:cs="Times New Roman"/>
                <w:sz w:val="44"/>
                <w:szCs w:val="44"/>
              </w:rPr>
              <w:t>pristupa</w:t>
            </w:r>
            <w:r w:rsidRPr="00C77E81">
              <w:rPr>
                <w:rFonts w:cs="Times New Roman"/>
                <w:sz w:val="44"/>
                <w:szCs w:val="44"/>
              </w:rPr>
              <w:t xml:space="preserve"> koji se pruža na fiksnoj lokaciji (M3a) </w:t>
            </w:r>
          </w:p>
          <w:p w:rsidR="006F1C93" w:rsidRDefault="006F1C93" w:rsidP="008E61F2">
            <w:pPr>
              <w:rPr>
                <w:rFonts w:cs="Times New Roman"/>
                <w:sz w:val="44"/>
                <w:szCs w:val="44"/>
              </w:rPr>
            </w:pPr>
          </w:p>
          <w:p w:rsidR="006F1C93" w:rsidRDefault="006F1C93" w:rsidP="008E61F2">
            <w:pPr>
              <w:rPr>
                <w:rStyle w:val="Emphasis"/>
              </w:rPr>
            </w:pPr>
          </w:p>
          <w:p w:rsidR="006F1C93" w:rsidRPr="00630180" w:rsidRDefault="006F1C93" w:rsidP="008E61F2">
            <w:pPr>
              <w:rPr>
                <w:rStyle w:val="Emphasis"/>
              </w:rPr>
            </w:pPr>
            <w:r w:rsidRPr="00630180">
              <w:rPr>
                <w:rStyle w:val="Emphasis"/>
              </w:rPr>
              <w:t xml:space="preserve">Prijedlog za </w:t>
            </w:r>
            <w:r>
              <w:rPr>
                <w:rStyle w:val="Emphasis"/>
              </w:rPr>
              <w:t>javnu raspravu</w:t>
            </w:r>
          </w:p>
          <w:p w:rsidR="006F1C93" w:rsidRPr="00F87C66" w:rsidRDefault="006F1C93" w:rsidP="008E61F2">
            <w:pPr>
              <w:rPr>
                <w:rFonts w:ascii="Times New Roman" w:hAnsi="Times New Roman" w:cs="Times New Roman"/>
                <w:i/>
                <w:sz w:val="26"/>
                <w:szCs w:val="26"/>
              </w:rPr>
            </w:pPr>
          </w:p>
        </w:tc>
        <w:tc>
          <w:tcPr>
            <w:tcW w:w="2967" w:type="dxa"/>
            <w:gridSpan w:val="2"/>
            <w:shd w:val="clear" w:color="auto" w:fill="auto"/>
          </w:tcPr>
          <w:p w:rsidR="006F1C93" w:rsidRPr="00F87C66" w:rsidRDefault="006F1C93" w:rsidP="008E61F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rsidR="006F1C93" w:rsidRPr="00F87C66" w:rsidRDefault="006F1C93" w:rsidP="008E61F2">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B37178">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w:t>
            </w:r>
            <w:r>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w:t>
            </w:r>
          </w:p>
        </w:tc>
      </w:tr>
      <w:tr w:rsidR="006F1C93" w:rsidRPr="00F87C66" w:rsidTr="008E61F2">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rsidR="006F1C93" w:rsidRPr="00B37178" w:rsidRDefault="006F1C93" w:rsidP="008E61F2">
            <w:pPr>
              <w:pStyle w:val="Subtitle"/>
              <w:rPr>
                <w:rFonts w:eastAsiaTheme="minorEastAsia"/>
                <w:sz w:val="28"/>
                <w:szCs w:val="28"/>
                <w:lang w:eastAsia="hr-HR"/>
              </w:rPr>
            </w:pPr>
            <w:r w:rsidRPr="00B37178">
              <w:rPr>
                <w:rFonts w:eastAsiaTheme="minorEastAsia"/>
                <w:sz w:val="28"/>
                <w:szCs w:val="28"/>
                <w:lang w:eastAsia="hr-HR"/>
              </w:rPr>
              <w:t>Hrvatska regulatorna agencija za mrežne djelatnosti</w:t>
            </w:r>
          </w:p>
        </w:tc>
        <w:tc>
          <w:tcPr>
            <w:tcW w:w="1950" w:type="dxa"/>
            <w:vAlign w:val="center"/>
          </w:tcPr>
          <w:p w:rsidR="006F1C93" w:rsidRPr="00F87C66" w:rsidRDefault="006F1C93" w:rsidP="008E61F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r w:rsidRPr="00574F86">
              <w:rPr>
                <w:rFonts w:eastAsia="Times New Roman"/>
                <w:bCs/>
                <w:noProof/>
                <w:sz w:val="20"/>
                <w:lang w:val="en-US"/>
              </w:rPr>
              <w:drawing>
                <wp:anchor distT="0" distB="0" distL="114300" distR="114300" simplePos="0" relativeHeight="251658240" behindDoc="1" locked="0" layoutInCell="1" allowOverlap="1" wp14:anchorId="5897F479" wp14:editId="588A9B99">
                  <wp:simplePos x="0" y="0"/>
                  <wp:positionH relativeFrom="column">
                    <wp:posOffset>316230</wp:posOffset>
                  </wp:positionH>
                  <wp:positionV relativeFrom="paragraph">
                    <wp:posOffset>26035</wp:posOffset>
                  </wp:positionV>
                  <wp:extent cx="446400" cy="338400"/>
                  <wp:effectExtent l="0" t="0" r="0" b="508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446400" cy="338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8E61F2" w:rsidRDefault="008E61F2" w:rsidP="00DD0407">
      <w:pPr>
        <w:pStyle w:val="Heading1"/>
        <w:numPr>
          <w:ilvl w:val="0"/>
          <w:numId w:val="0"/>
        </w:numPr>
        <w:sectPr w:rsidR="008E61F2" w:rsidSect="00E16710">
          <w:pgSz w:w="11906" w:h="16838"/>
          <w:pgMar w:top="1417" w:right="1417" w:bottom="1417" w:left="1417" w:header="708" w:footer="708" w:gutter="0"/>
          <w:pgNumType w:start="1"/>
          <w:cols w:space="708"/>
          <w:docGrid w:linePitch="360"/>
        </w:sectPr>
      </w:pPr>
      <w:bookmarkStart w:id="2" w:name="Dokument"/>
    </w:p>
    <w:p w:rsidR="003A6F28" w:rsidRDefault="003A6F28" w:rsidP="00DD0407">
      <w:pPr>
        <w:pStyle w:val="TOCHeading"/>
      </w:pPr>
      <w:r>
        <w:t>Sadržaj</w:t>
      </w:r>
    </w:p>
    <w:p w:rsidR="00B047B3" w:rsidRDefault="003A6F28">
      <w:pPr>
        <w:pStyle w:val="TOC1"/>
        <w:tabs>
          <w:tab w:val="left" w:pos="442"/>
          <w:tab w:val="right" w:leader="dot" w:pos="9062"/>
        </w:tabs>
        <w:rPr>
          <w:rFonts w:asciiTheme="minorHAnsi" w:eastAsiaTheme="minorEastAsia" w:hAnsiTheme="minorHAnsi"/>
          <w:noProof/>
          <w:sz w:val="22"/>
          <w:lang w:val="en-US"/>
        </w:rPr>
      </w:pPr>
      <w:r w:rsidRPr="003B67CF">
        <w:fldChar w:fldCharType="begin"/>
      </w:r>
      <w:r w:rsidRPr="003B67CF">
        <w:instrText xml:space="preserve"> TOC \o "1-3" \h \z \u </w:instrText>
      </w:r>
      <w:r w:rsidRPr="003B67CF">
        <w:fldChar w:fldCharType="separate"/>
      </w:r>
      <w:hyperlink w:anchor="_Toc54261635" w:history="1">
        <w:r w:rsidR="00B047B3" w:rsidRPr="00ED6932">
          <w:rPr>
            <w:rStyle w:val="Hyperlink"/>
            <w:noProof/>
          </w:rPr>
          <w:t>1</w:t>
        </w:r>
        <w:r w:rsidR="00B047B3">
          <w:rPr>
            <w:rFonts w:asciiTheme="minorHAnsi" w:eastAsiaTheme="minorEastAsia" w:hAnsiTheme="minorHAnsi"/>
            <w:noProof/>
            <w:sz w:val="22"/>
            <w:lang w:val="en-US"/>
          </w:rPr>
          <w:tab/>
        </w:r>
        <w:r w:rsidR="00B047B3" w:rsidRPr="00ED6932">
          <w:rPr>
            <w:rStyle w:val="Hyperlink"/>
            <w:noProof/>
          </w:rPr>
          <w:t>Sažeti pregled dokumenta</w:t>
        </w:r>
        <w:r w:rsidR="00B047B3">
          <w:rPr>
            <w:noProof/>
            <w:webHidden/>
          </w:rPr>
          <w:tab/>
        </w:r>
        <w:r w:rsidR="00B047B3">
          <w:rPr>
            <w:noProof/>
            <w:webHidden/>
          </w:rPr>
          <w:fldChar w:fldCharType="begin"/>
        </w:r>
        <w:r w:rsidR="00B047B3">
          <w:rPr>
            <w:noProof/>
            <w:webHidden/>
          </w:rPr>
          <w:instrText xml:space="preserve"> PAGEREF _Toc54261635 \h </w:instrText>
        </w:r>
        <w:r w:rsidR="00B047B3">
          <w:rPr>
            <w:noProof/>
            <w:webHidden/>
          </w:rPr>
        </w:r>
        <w:r w:rsidR="00B047B3">
          <w:rPr>
            <w:noProof/>
            <w:webHidden/>
          </w:rPr>
          <w:fldChar w:fldCharType="separate"/>
        </w:r>
        <w:r w:rsidR="00B047B3">
          <w:rPr>
            <w:noProof/>
            <w:webHidden/>
          </w:rPr>
          <w:t>1</w:t>
        </w:r>
        <w:r w:rsidR="00B047B3">
          <w:rPr>
            <w:noProof/>
            <w:webHidden/>
          </w:rPr>
          <w:fldChar w:fldCharType="end"/>
        </w:r>
      </w:hyperlink>
    </w:p>
    <w:p w:rsidR="00B047B3" w:rsidRDefault="00864638">
      <w:pPr>
        <w:pStyle w:val="TOC1"/>
        <w:tabs>
          <w:tab w:val="left" w:pos="442"/>
          <w:tab w:val="right" w:leader="dot" w:pos="9062"/>
        </w:tabs>
        <w:rPr>
          <w:rFonts w:asciiTheme="minorHAnsi" w:eastAsiaTheme="minorEastAsia" w:hAnsiTheme="minorHAnsi"/>
          <w:noProof/>
          <w:sz w:val="22"/>
          <w:lang w:val="en-US"/>
        </w:rPr>
      </w:pPr>
      <w:hyperlink w:anchor="_Toc54261636" w:history="1">
        <w:r w:rsidR="00B047B3" w:rsidRPr="00ED6932">
          <w:rPr>
            <w:rStyle w:val="Hyperlink"/>
            <w:noProof/>
          </w:rPr>
          <w:t>2</w:t>
        </w:r>
        <w:r w:rsidR="00B047B3">
          <w:rPr>
            <w:rFonts w:asciiTheme="minorHAnsi" w:eastAsiaTheme="minorEastAsia" w:hAnsiTheme="minorHAnsi"/>
            <w:noProof/>
            <w:sz w:val="22"/>
            <w:lang w:val="en-US"/>
          </w:rPr>
          <w:tab/>
        </w:r>
        <w:r w:rsidR="00B047B3" w:rsidRPr="00ED6932">
          <w:rPr>
            <w:rStyle w:val="Hyperlink"/>
            <w:noProof/>
          </w:rPr>
          <w:t>Uvod</w:t>
        </w:r>
        <w:r w:rsidR="00B047B3">
          <w:rPr>
            <w:noProof/>
            <w:webHidden/>
          </w:rPr>
          <w:tab/>
        </w:r>
        <w:r w:rsidR="00B047B3">
          <w:rPr>
            <w:noProof/>
            <w:webHidden/>
          </w:rPr>
          <w:fldChar w:fldCharType="begin"/>
        </w:r>
        <w:r w:rsidR="00B047B3">
          <w:rPr>
            <w:noProof/>
            <w:webHidden/>
          </w:rPr>
          <w:instrText xml:space="preserve"> PAGEREF _Toc54261636 \h </w:instrText>
        </w:r>
        <w:r w:rsidR="00B047B3">
          <w:rPr>
            <w:noProof/>
            <w:webHidden/>
          </w:rPr>
        </w:r>
        <w:r w:rsidR="00B047B3">
          <w:rPr>
            <w:noProof/>
            <w:webHidden/>
          </w:rPr>
          <w:fldChar w:fldCharType="separate"/>
        </w:r>
        <w:r w:rsidR="00B047B3">
          <w:rPr>
            <w:noProof/>
            <w:webHidden/>
          </w:rPr>
          <w:t>4</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37" w:history="1">
        <w:r w:rsidR="00B047B3" w:rsidRPr="00ED6932">
          <w:rPr>
            <w:rStyle w:val="Hyperlink"/>
          </w:rPr>
          <w:t>2.1</w:t>
        </w:r>
        <w:r w:rsidR="00B047B3">
          <w:rPr>
            <w:rFonts w:eastAsiaTheme="minorEastAsia" w:cstheme="minorBidi"/>
            <w:bCs w:val="0"/>
            <w:sz w:val="22"/>
            <w:lang w:val="en-US"/>
          </w:rPr>
          <w:tab/>
        </w:r>
        <w:r w:rsidR="00B047B3" w:rsidRPr="00ED6932">
          <w:rPr>
            <w:rStyle w:val="Hyperlink"/>
          </w:rPr>
          <w:t>Osvrt na važeće odluke o veleprodajnim cijenama</w:t>
        </w:r>
        <w:r w:rsidR="00B047B3">
          <w:rPr>
            <w:webHidden/>
          </w:rPr>
          <w:tab/>
        </w:r>
        <w:r w:rsidR="00B047B3">
          <w:rPr>
            <w:webHidden/>
          </w:rPr>
          <w:fldChar w:fldCharType="begin"/>
        </w:r>
        <w:r w:rsidR="00B047B3">
          <w:rPr>
            <w:webHidden/>
          </w:rPr>
          <w:instrText xml:space="preserve"> PAGEREF _Toc54261637 \h </w:instrText>
        </w:r>
        <w:r w:rsidR="00B047B3">
          <w:rPr>
            <w:webHidden/>
          </w:rPr>
        </w:r>
        <w:r w:rsidR="00B047B3">
          <w:rPr>
            <w:webHidden/>
          </w:rPr>
          <w:fldChar w:fldCharType="separate"/>
        </w:r>
        <w:r w:rsidR="00B047B3">
          <w:rPr>
            <w:webHidden/>
          </w:rPr>
          <w:t>4</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38" w:history="1">
        <w:r w:rsidR="00B047B3" w:rsidRPr="00ED6932">
          <w:rPr>
            <w:rStyle w:val="Hyperlink"/>
          </w:rPr>
          <w:t>2.2</w:t>
        </w:r>
        <w:r w:rsidR="00B047B3">
          <w:rPr>
            <w:rFonts w:eastAsiaTheme="minorEastAsia" w:cstheme="minorBidi"/>
            <w:bCs w:val="0"/>
            <w:sz w:val="22"/>
            <w:lang w:val="en-US"/>
          </w:rPr>
          <w:tab/>
        </w:r>
        <w:r w:rsidR="00B047B3" w:rsidRPr="00ED6932">
          <w:rPr>
            <w:rStyle w:val="Hyperlink"/>
          </w:rPr>
          <w:t>Kronološki slijed aktivnosti</w:t>
        </w:r>
        <w:r w:rsidR="00B047B3">
          <w:rPr>
            <w:webHidden/>
          </w:rPr>
          <w:tab/>
        </w:r>
        <w:r w:rsidR="00B047B3">
          <w:rPr>
            <w:webHidden/>
          </w:rPr>
          <w:fldChar w:fldCharType="begin"/>
        </w:r>
        <w:r w:rsidR="00B047B3">
          <w:rPr>
            <w:webHidden/>
          </w:rPr>
          <w:instrText xml:space="preserve"> PAGEREF _Toc54261638 \h </w:instrText>
        </w:r>
        <w:r w:rsidR="00B047B3">
          <w:rPr>
            <w:webHidden/>
          </w:rPr>
        </w:r>
        <w:r w:rsidR="00B047B3">
          <w:rPr>
            <w:webHidden/>
          </w:rPr>
          <w:fldChar w:fldCharType="separate"/>
        </w:r>
        <w:r w:rsidR="00B047B3">
          <w:rPr>
            <w:webHidden/>
          </w:rPr>
          <w:t>6</w:t>
        </w:r>
        <w:r w:rsidR="00B047B3">
          <w:rPr>
            <w:webHidden/>
          </w:rPr>
          <w:fldChar w:fldCharType="end"/>
        </w:r>
      </w:hyperlink>
    </w:p>
    <w:p w:rsidR="00B047B3" w:rsidRDefault="00864638">
      <w:pPr>
        <w:pStyle w:val="TOC1"/>
        <w:tabs>
          <w:tab w:val="left" w:pos="442"/>
          <w:tab w:val="right" w:leader="dot" w:pos="9062"/>
        </w:tabs>
        <w:rPr>
          <w:rFonts w:asciiTheme="minorHAnsi" w:eastAsiaTheme="minorEastAsia" w:hAnsiTheme="minorHAnsi"/>
          <w:noProof/>
          <w:sz w:val="22"/>
          <w:lang w:val="en-US"/>
        </w:rPr>
      </w:pPr>
      <w:hyperlink w:anchor="_Toc54261639" w:history="1">
        <w:r w:rsidR="00B047B3" w:rsidRPr="00ED6932">
          <w:rPr>
            <w:rStyle w:val="Hyperlink"/>
            <w:noProof/>
          </w:rPr>
          <w:t>3</w:t>
        </w:r>
        <w:r w:rsidR="00B047B3">
          <w:rPr>
            <w:rFonts w:asciiTheme="minorHAnsi" w:eastAsiaTheme="minorEastAsia" w:hAnsiTheme="minorHAnsi"/>
            <w:noProof/>
            <w:sz w:val="22"/>
            <w:lang w:val="en-US"/>
          </w:rPr>
          <w:tab/>
        </w:r>
        <w:r w:rsidR="00B047B3" w:rsidRPr="00ED6932">
          <w:rPr>
            <w:rStyle w:val="Hyperlink"/>
            <w:noProof/>
          </w:rPr>
          <w:t>Stanje na tržištu</w:t>
        </w:r>
        <w:r w:rsidR="00B047B3">
          <w:rPr>
            <w:noProof/>
            <w:webHidden/>
          </w:rPr>
          <w:tab/>
        </w:r>
        <w:r w:rsidR="00B047B3">
          <w:rPr>
            <w:noProof/>
            <w:webHidden/>
          </w:rPr>
          <w:fldChar w:fldCharType="begin"/>
        </w:r>
        <w:r w:rsidR="00B047B3">
          <w:rPr>
            <w:noProof/>
            <w:webHidden/>
          </w:rPr>
          <w:instrText xml:space="preserve"> PAGEREF _Toc54261639 \h </w:instrText>
        </w:r>
        <w:r w:rsidR="00B047B3">
          <w:rPr>
            <w:noProof/>
            <w:webHidden/>
          </w:rPr>
        </w:r>
        <w:r w:rsidR="00B047B3">
          <w:rPr>
            <w:noProof/>
            <w:webHidden/>
          </w:rPr>
          <w:fldChar w:fldCharType="separate"/>
        </w:r>
        <w:r w:rsidR="00B047B3">
          <w:rPr>
            <w:noProof/>
            <w:webHidden/>
          </w:rPr>
          <w:t>7</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40" w:history="1">
        <w:r w:rsidR="00B047B3" w:rsidRPr="00ED6932">
          <w:rPr>
            <w:rStyle w:val="Hyperlink"/>
          </w:rPr>
          <w:t>3.1</w:t>
        </w:r>
        <w:r w:rsidR="00B047B3">
          <w:rPr>
            <w:rFonts w:eastAsiaTheme="minorEastAsia" w:cstheme="minorBidi"/>
            <w:bCs w:val="0"/>
            <w:sz w:val="22"/>
            <w:lang w:val="en-US"/>
          </w:rPr>
          <w:tab/>
        </w:r>
        <w:r w:rsidR="00B047B3" w:rsidRPr="00ED6932">
          <w:rPr>
            <w:rStyle w:val="Hyperlink"/>
          </w:rPr>
          <w:t>Gustoća širokopojasnog pristupa internetu u nepokretnoj mreži</w:t>
        </w:r>
        <w:r w:rsidR="00B047B3">
          <w:rPr>
            <w:webHidden/>
          </w:rPr>
          <w:tab/>
        </w:r>
        <w:r w:rsidR="00B047B3">
          <w:rPr>
            <w:webHidden/>
          </w:rPr>
          <w:fldChar w:fldCharType="begin"/>
        </w:r>
        <w:r w:rsidR="00B047B3">
          <w:rPr>
            <w:webHidden/>
          </w:rPr>
          <w:instrText xml:space="preserve"> PAGEREF _Toc54261640 \h </w:instrText>
        </w:r>
        <w:r w:rsidR="00B047B3">
          <w:rPr>
            <w:webHidden/>
          </w:rPr>
        </w:r>
        <w:r w:rsidR="00B047B3">
          <w:rPr>
            <w:webHidden/>
          </w:rPr>
          <w:fldChar w:fldCharType="separate"/>
        </w:r>
        <w:r w:rsidR="00B047B3">
          <w:rPr>
            <w:webHidden/>
          </w:rPr>
          <w:t>8</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41" w:history="1">
        <w:r w:rsidR="00B047B3" w:rsidRPr="00ED6932">
          <w:rPr>
            <w:rStyle w:val="Hyperlink"/>
          </w:rPr>
          <w:t>3.2</w:t>
        </w:r>
        <w:r w:rsidR="00B047B3">
          <w:rPr>
            <w:rFonts w:eastAsiaTheme="minorEastAsia" w:cstheme="minorBidi"/>
            <w:bCs w:val="0"/>
            <w:sz w:val="22"/>
            <w:lang w:val="en-US"/>
          </w:rPr>
          <w:tab/>
        </w:r>
        <w:r w:rsidR="00B047B3" w:rsidRPr="00ED6932">
          <w:rPr>
            <w:rStyle w:val="Hyperlink"/>
          </w:rPr>
          <w:t>Načini širokopojasnog pristupa internetu u nepokretnoj mreži</w:t>
        </w:r>
        <w:r w:rsidR="00B047B3">
          <w:rPr>
            <w:webHidden/>
          </w:rPr>
          <w:tab/>
        </w:r>
        <w:r w:rsidR="00B047B3">
          <w:rPr>
            <w:webHidden/>
          </w:rPr>
          <w:fldChar w:fldCharType="begin"/>
        </w:r>
        <w:r w:rsidR="00B047B3">
          <w:rPr>
            <w:webHidden/>
          </w:rPr>
          <w:instrText xml:space="preserve"> PAGEREF _Toc54261641 \h </w:instrText>
        </w:r>
        <w:r w:rsidR="00B047B3">
          <w:rPr>
            <w:webHidden/>
          </w:rPr>
        </w:r>
        <w:r w:rsidR="00B047B3">
          <w:rPr>
            <w:webHidden/>
          </w:rPr>
          <w:fldChar w:fldCharType="separate"/>
        </w:r>
        <w:r w:rsidR="00B047B3">
          <w:rPr>
            <w:webHidden/>
          </w:rPr>
          <w:t>10</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42" w:history="1">
        <w:r w:rsidR="00B047B3" w:rsidRPr="00ED6932">
          <w:rPr>
            <w:rStyle w:val="Hyperlink"/>
          </w:rPr>
          <w:t>3.3</w:t>
        </w:r>
        <w:r w:rsidR="00B047B3">
          <w:rPr>
            <w:rFonts w:eastAsiaTheme="minorEastAsia" w:cstheme="minorBidi"/>
            <w:bCs w:val="0"/>
            <w:sz w:val="22"/>
            <w:lang w:val="en-US"/>
          </w:rPr>
          <w:tab/>
        </w:r>
        <w:r w:rsidR="00B047B3" w:rsidRPr="00ED6932">
          <w:rPr>
            <w:rStyle w:val="Hyperlink"/>
          </w:rPr>
          <w:t>Brzine širokopojasnog pristupa internetu</w:t>
        </w:r>
        <w:r w:rsidR="00B047B3">
          <w:rPr>
            <w:webHidden/>
          </w:rPr>
          <w:tab/>
        </w:r>
        <w:r w:rsidR="00B047B3">
          <w:rPr>
            <w:webHidden/>
          </w:rPr>
          <w:fldChar w:fldCharType="begin"/>
        </w:r>
        <w:r w:rsidR="00B047B3">
          <w:rPr>
            <w:webHidden/>
          </w:rPr>
          <w:instrText xml:space="preserve"> PAGEREF _Toc54261642 \h </w:instrText>
        </w:r>
        <w:r w:rsidR="00B047B3">
          <w:rPr>
            <w:webHidden/>
          </w:rPr>
        </w:r>
        <w:r w:rsidR="00B047B3">
          <w:rPr>
            <w:webHidden/>
          </w:rPr>
          <w:fldChar w:fldCharType="separate"/>
        </w:r>
        <w:r w:rsidR="00B047B3">
          <w:rPr>
            <w:webHidden/>
          </w:rPr>
          <w:t>11</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43" w:history="1">
        <w:r w:rsidR="00B047B3" w:rsidRPr="00ED6932">
          <w:rPr>
            <w:rStyle w:val="Hyperlink"/>
          </w:rPr>
          <w:t>3.4</w:t>
        </w:r>
        <w:r w:rsidR="00B047B3">
          <w:rPr>
            <w:rFonts w:eastAsiaTheme="minorEastAsia" w:cstheme="minorBidi"/>
            <w:bCs w:val="0"/>
            <w:sz w:val="22"/>
            <w:lang w:val="en-US"/>
          </w:rPr>
          <w:tab/>
        </w:r>
        <w:r w:rsidR="00B047B3" w:rsidRPr="00ED6932">
          <w:rPr>
            <w:rStyle w:val="Hyperlink"/>
          </w:rPr>
          <w:t>Širokopojasni pristup internetu putem nepokretne mreže – tržišni udjeli</w:t>
        </w:r>
        <w:r w:rsidR="00B047B3">
          <w:rPr>
            <w:webHidden/>
          </w:rPr>
          <w:tab/>
        </w:r>
        <w:r w:rsidR="00B047B3">
          <w:rPr>
            <w:webHidden/>
          </w:rPr>
          <w:fldChar w:fldCharType="begin"/>
        </w:r>
        <w:r w:rsidR="00B047B3">
          <w:rPr>
            <w:webHidden/>
          </w:rPr>
          <w:instrText xml:space="preserve"> PAGEREF _Toc54261643 \h </w:instrText>
        </w:r>
        <w:r w:rsidR="00B047B3">
          <w:rPr>
            <w:webHidden/>
          </w:rPr>
        </w:r>
        <w:r w:rsidR="00B047B3">
          <w:rPr>
            <w:webHidden/>
          </w:rPr>
          <w:fldChar w:fldCharType="separate"/>
        </w:r>
        <w:r w:rsidR="00B047B3">
          <w:rPr>
            <w:webHidden/>
          </w:rPr>
          <w:t>12</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44" w:history="1">
        <w:r w:rsidR="00B047B3" w:rsidRPr="00ED6932">
          <w:rPr>
            <w:rStyle w:val="Hyperlink"/>
          </w:rPr>
          <w:t>3.5</w:t>
        </w:r>
        <w:r w:rsidR="00B047B3">
          <w:rPr>
            <w:rFonts w:eastAsiaTheme="minorEastAsia" w:cstheme="minorBidi"/>
            <w:bCs w:val="0"/>
            <w:sz w:val="22"/>
            <w:lang w:val="en-US"/>
          </w:rPr>
          <w:tab/>
        </w:r>
        <w:r w:rsidR="00B047B3" w:rsidRPr="00ED6932">
          <w:rPr>
            <w:rStyle w:val="Hyperlink"/>
          </w:rPr>
          <w:t>Veleprodajno tržište širokopojasnog pristupa internetu u nepokretnoj mreži</w:t>
        </w:r>
        <w:r w:rsidR="00B047B3">
          <w:rPr>
            <w:webHidden/>
          </w:rPr>
          <w:tab/>
        </w:r>
        <w:r w:rsidR="00B047B3">
          <w:rPr>
            <w:webHidden/>
          </w:rPr>
          <w:fldChar w:fldCharType="begin"/>
        </w:r>
        <w:r w:rsidR="00B047B3">
          <w:rPr>
            <w:webHidden/>
          </w:rPr>
          <w:instrText xml:space="preserve"> PAGEREF _Toc54261644 \h </w:instrText>
        </w:r>
        <w:r w:rsidR="00B047B3">
          <w:rPr>
            <w:webHidden/>
          </w:rPr>
        </w:r>
        <w:r w:rsidR="00B047B3">
          <w:rPr>
            <w:webHidden/>
          </w:rPr>
          <w:fldChar w:fldCharType="separate"/>
        </w:r>
        <w:r w:rsidR="00B047B3">
          <w:rPr>
            <w:webHidden/>
          </w:rPr>
          <w:t>13</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45" w:history="1">
        <w:r w:rsidR="00B047B3" w:rsidRPr="00ED6932">
          <w:rPr>
            <w:rStyle w:val="Hyperlink"/>
          </w:rPr>
          <w:t>3.6</w:t>
        </w:r>
        <w:r w:rsidR="00B047B3">
          <w:rPr>
            <w:rFonts w:eastAsiaTheme="minorEastAsia" w:cstheme="minorBidi"/>
            <w:bCs w:val="0"/>
            <w:sz w:val="22"/>
            <w:lang w:val="en-US"/>
          </w:rPr>
          <w:tab/>
        </w:r>
        <w:r w:rsidR="00B047B3" w:rsidRPr="00ED6932">
          <w:rPr>
            <w:rStyle w:val="Hyperlink"/>
          </w:rPr>
          <w:t>Tržište naplatne televizije</w:t>
        </w:r>
        <w:r w:rsidR="00B047B3">
          <w:rPr>
            <w:webHidden/>
          </w:rPr>
          <w:tab/>
        </w:r>
        <w:r w:rsidR="00B047B3">
          <w:rPr>
            <w:webHidden/>
          </w:rPr>
          <w:fldChar w:fldCharType="begin"/>
        </w:r>
        <w:r w:rsidR="00B047B3">
          <w:rPr>
            <w:webHidden/>
          </w:rPr>
          <w:instrText xml:space="preserve"> PAGEREF _Toc54261645 \h </w:instrText>
        </w:r>
        <w:r w:rsidR="00B047B3">
          <w:rPr>
            <w:webHidden/>
          </w:rPr>
        </w:r>
        <w:r w:rsidR="00B047B3">
          <w:rPr>
            <w:webHidden/>
          </w:rPr>
          <w:fldChar w:fldCharType="separate"/>
        </w:r>
        <w:r w:rsidR="00B047B3">
          <w:rPr>
            <w:webHidden/>
          </w:rPr>
          <w:t>14</w:t>
        </w:r>
        <w:r w:rsidR="00B047B3">
          <w:rPr>
            <w:webHidden/>
          </w:rPr>
          <w:fldChar w:fldCharType="end"/>
        </w:r>
      </w:hyperlink>
    </w:p>
    <w:p w:rsidR="00B047B3" w:rsidRDefault="00864638">
      <w:pPr>
        <w:pStyle w:val="TOC1"/>
        <w:tabs>
          <w:tab w:val="left" w:pos="442"/>
          <w:tab w:val="right" w:leader="dot" w:pos="9062"/>
        </w:tabs>
        <w:rPr>
          <w:rFonts w:asciiTheme="minorHAnsi" w:eastAsiaTheme="minorEastAsia" w:hAnsiTheme="minorHAnsi"/>
          <w:noProof/>
          <w:sz w:val="22"/>
          <w:lang w:val="en-US"/>
        </w:rPr>
      </w:pPr>
      <w:hyperlink w:anchor="_Toc54261646" w:history="1">
        <w:r w:rsidR="00B047B3" w:rsidRPr="00ED6932">
          <w:rPr>
            <w:rStyle w:val="Hyperlink"/>
            <w:noProof/>
          </w:rPr>
          <w:t>4</w:t>
        </w:r>
        <w:r w:rsidR="00B047B3">
          <w:rPr>
            <w:rFonts w:asciiTheme="minorHAnsi" w:eastAsiaTheme="minorEastAsia" w:hAnsiTheme="minorHAnsi"/>
            <w:noProof/>
            <w:sz w:val="22"/>
            <w:lang w:val="en-US"/>
          </w:rPr>
          <w:tab/>
        </w:r>
        <w:r w:rsidR="00B047B3" w:rsidRPr="00ED6932">
          <w:rPr>
            <w:rStyle w:val="Hyperlink"/>
            <w:noProof/>
          </w:rPr>
          <w:t>Troškovni model</w:t>
        </w:r>
        <w:r w:rsidR="00B047B3">
          <w:rPr>
            <w:noProof/>
            <w:webHidden/>
          </w:rPr>
          <w:tab/>
        </w:r>
        <w:r w:rsidR="00B047B3">
          <w:rPr>
            <w:noProof/>
            <w:webHidden/>
          </w:rPr>
          <w:fldChar w:fldCharType="begin"/>
        </w:r>
        <w:r w:rsidR="00B047B3">
          <w:rPr>
            <w:noProof/>
            <w:webHidden/>
          </w:rPr>
          <w:instrText xml:space="preserve"> PAGEREF _Toc54261646 \h </w:instrText>
        </w:r>
        <w:r w:rsidR="00B047B3">
          <w:rPr>
            <w:noProof/>
            <w:webHidden/>
          </w:rPr>
        </w:r>
        <w:r w:rsidR="00B047B3">
          <w:rPr>
            <w:noProof/>
            <w:webHidden/>
          </w:rPr>
          <w:fldChar w:fldCharType="separate"/>
        </w:r>
        <w:r w:rsidR="00B047B3">
          <w:rPr>
            <w:noProof/>
            <w:webHidden/>
          </w:rPr>
          <w:t>15</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47" w:history="1">
        <w:r w:rsidR="00B047B3" w:rsidRPr="00ED6932">
          <w:rPr>
            <w:rStyle w:val="Hyperlink"/>
          </w:rPr>
          <w:t>4.1</w:t>
        </w:r>
        <w:r w:rsidR="00B047B3">
          <w:rPr>
            <w:rFonts w:eastAsiaTheme="minorEastAsia" w:cstheme="minorBidi"/>
            <w:bCs w:val="0"/>
            <w:sz w:val="22"/>
            <w:lang w:val="en-US"/>
          </w:rPr>
          <w:tab/>
        </w:r>
        <w:r w:rsidR="00B047B3" w:rsidRPr="00ED6932">
          <w:rPr>
            <w:rStyle w:val="Hyperlink"/>
          </w:rPr>
          <w:t>Metodološka načela primijenjena u izradi troškovnog modela</w:t>
        </w:r>
        <w:r w:rsidR="00B047B3">
          <w:rPr>
            <w:webHidden/>
          </w:rPr>
          <w:tab/>
        </w:r>
        <w:r w:rsidR="00B047B3">
          <w:rPr>
            <w:webHidden/>
          </w:rPr>
          <w:fldChar w:fldCharType="begin"/>
        </w:r>
        <w:r w:rsidR="00B047B3">
          <w:rPr>
            <w:webHidden/>
          </w:rPr>
          <w:instrText xml:space="preserve"> PAGEREF _Toc54261647 \h </w:instrText>
        </w:r>
        <w:r w:rsidR="00B047B3">
          <w:rPr>
            <w:webHidden/>
          </w:rPr>
        </w:r>
        <w:r w:rsidR="00B047B3">
          <w:rPr>
            <w:webHidden/>
          </w:rPr>
          <w:fldChar w:fldCharType="separate"/>
        </w:r>
        <w:r w:rsidR="00B047B3">
          <w:rPr>
            <w:webHidden/>
          </w:rPr>
          <w:t>16</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48" w:history="1">
        <w:r w:rsidR="00B047B3" w:rsidRPr="00ED6932">
          <w:rPr>
            <w:rStyle w:val="Hyperlink"/>
          </w:rPr>
          <w:t>4.2</w:t>
        </w:r>
        <w:r w:rsidR="00B047B3">
          <w:rPr>
            <w:rFonts w:eastAsiaTheme="minorEastAsia" w:cstheme="minorBidi"/>
            <w:bCs w:val="0"/>
            <w:sz w:val="22"/>
            <w:lang w:val="en-US"/>
          </w:rPr>
          <w:tab/>
        </w:r>
        <w:r w:rsidR="00B047B3" w:rsidRPr="00ED6932">
          <w:rPr>
            <w:rStyle w:val="Hyperlink"/>
          </w:rPr>
          <w:t>Arhitektura troškovnog modela</w:t>
        </w:r>
        <w:r w:rsidR="00B047B3">
          <w:rPr>
            <w:webHidden/>
          </w:rPr>
          <w:tab/>
        </w:r>
        <w:r w:rsidR="00B047B3">
          <w:rPr>
            <w:webHidden/>
          </w:rPr>
          <w:fldChar w:fldCharType="begin"/>
        </w:r>
        <w:r w:rsidR="00B047B3">
          <w:rPr>
            <w:webHidden/>
          </w:rPr>
          <w:instrText xml:space="preserve"> PAGEREF _Toc54261648 \h </w:instrText>
        </w:r>
        <w:r w:rsidR="00B047B3">
          <w:rPr>
            <w:webHidden/>
          </w:rPr>
        </w:r>
        <w:r w:rsidR="00B047B3">
          <w:rPr>
            <w:webHidden/>
          </w:rPr>
          <w:fldChar w:fldCharType="separate"/>
        </w:r>
        <w:r w:rsidR="00B047B3">
          <w:rPr>
            <w:webHidden/>
          </w:rPr>
          <w:t>18</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49" w:history="1">
        <w:r w:rsidR="00B047B3" w:rsidRPr="00ED6932">
          <w:rPr>
            <w:rStyle w:val="Hyperlink"/>
          </w:rPr>
          <w:t>4.3</w:t>
        </w:r>
        <w:r w:rsidR="00B047B3">
          <w:rPr>
            <w:rFonts w:eastAsiaTheme="minorEastAsia" w:cstheme="minorBidi"/>
            <w:bCs w:val="0"/>
            <w:sz w:val="22"/>
            <w:lang w:val="en-US"/>
          </w:rPr>
          <w:tab/>
        </w:r>
        <w:r w:rsidR="00B047B3" w:rsidRPr="00ED6932">
          <w:rPr>
            <w:rStyle w:val="Hyperlink"/>
          </w:rPr>
          <w:t>Glavni ulazni podaci</w:t>
        </w:r>
        <w:r w:rsidR="00B047B3">
          <w:rPr>
            <w:webHidden/>
          </w:rPr>
          <w:tab/>
        </w:r>
        <w:r w:rsidR="00B047B3">
          <w:rPr>
            <w:webHidden/>
          </w:rPr>
          <w:fldChar w:fldCharType="begin"/>
        </w:r>
        <w:r w:rsidR="00B047B3">
          <w:rPr>
            <w:webHidden/>
          </w:rPr>
          <w:instrText xml:space="preserve"> PAGEREF _Toc54261649 \h </w:instrText>
        </w:r>
        <w:r w:rsidR="00B047B3">
          <w:rPr>
            <w:webHidden/>
          </w:rPr>
        </w:r>
        <w:r w:rsidR="00B047B3">
          <w:rPr>
            <w:webHidden/>
          </w:rPr>
          <w:fldChar w:fldCharType="separate"/>
        </w:r>
        <w:r w:rsidR="00B047B3">
          <w:rPr>
            <w:webHidden/>
          </w:rPr>
          <w:t>19</w:t>
        </w:r>
        <w:r w:rsidR="00B047B3">
          <w:rPr>
            <w:webHidden/>
          </w:rPr>
          <w:fldChar w:fldCharType="end"/>
        </w:r>
      </w:hyperlink>
    </w:p>
    <w:p w:rsidR="00B047B3" w:rsidRDefault="00864638">
      <w:pPr>
        <w:pStyle w:val="TOC3"/>
        <w:rPr>
          <w:rFonts w:asciiTheme="minorHAnsi" w:eastAsiaTheme="minorEastAsia" w:hAnsiTheme="minorHAnsi"/>
          <w:noProof/>
          <w:sz w:val="22"/>
          <w:lang w:val="en-US"/>
        </w:rPr>
      </w:pPr>
      <w:hyperlink w:anchor="_Toc54261650" w:history="1">
        <w:r w:rsidR="00B047B3" w:rsidRPr="00ED6932">
          <w:rPr>
            <w:rStyle w:val="Hyperlink"/>
            <w:noProof/>
          </w:rPr>
          <w:t>4.3.1</w:t>
        </w:r>
        <w:r w:rsidR="00B047B3">
          <w:rPr>
            <w:rFonts w:asciiTheme="minorHAnsi" w:eastAsiaTheme="minorEastAsia" w:hAnsiTheme="minorHAnsi"/>
            <w:noProof/>
            <w:sz w:val="22"/>
            <w:lang w:val="en-US"/>
          </w:rPr>
          <w:tab/>
        </w:r>
        <w:r w:rsidR="00B047B3" w:rsidRPr="00ED6932">
          <w:rPr>
            <w:rStyle w:val="Hyperlink"/>
            <w:noProof/>
          </w:rPr>
          <w:t>Pokrivanje</w:t>
        </w:r>
        <w:r w:rsidR="00B047B3">
          <w:rPr>
            <w:noProof/>
            <w:webHidden/>
          </w:rPr>
          <w:tab/>
        </w:r>
        <w:r w:rsidR="00B047B3">
          <w:rPr>
            <w:noProof/>
            <w:webHidden/>
          </w:rPr>
          <w:fldChar w:fldCharType="begin"/>
        </w:r>
        <w:r w:rsidR="00B047B3">
          <w:rPr>
            <w:noProof/>
            <w:webHidden/>
          </w:rPr>
          <w:instrText xml:space="preserve"> PAGEREF _Toc54261650 \h </w:instrText>
        </w:r>
        <w:r w:rsidR="00B047B3">
          <w:rPr>
            <w:noProof/>
            <w:webHidden/>
          </w:rPr>
        </w:r>
        <w:r w:rsidR="00B047B3">
          <w:rPr>
            <w:noProof/>
            <w:webHidden/>
          </w:rPr>
          <w:fldChar w:fldCharType="separate"/>
        </w:r>
        <w:r w:rsidR="00B047B3">
          <w:rPr>
            <w:noProof/>
            <w:webHidden/>
          </w:rPr>
          <w:t>20</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51" w:history="1">
        <w:r w:rsidR="00B047B3" w:rsidRPr="00ED6932">
          <w:rPr>
            <w:rStyle w:val="Hyperlink"/>
            <w:noProof/>
          </w:rPr>
          <w:t>4.3.2</w:t>
        </w:r>
        <w:r w:rsidR="00B047B3">
          <w:rPr>
            <w:rFonts w:asciiTheme="minorHAnsi" w:eastAsiaTheme="minorEastAsia" w:hAnsiTheme="minorHAnsi"/>
            <w:noProof/>
            <w:sz w:val="22"/>
            <w:lang w:val="en-US"/>
          </w:rPr>
          <w:tab/>
        </w:r>
        <w:r w:rsidR="00B047B3" w:rsidRPr="00ED6932">
          <w:rPr>
            <w:rStyle w:val="Hyperlink"/>
            <w:noProof/>
          </w:rPr>
          <w:t>Potražnja</w:t>
        </w:r>
        <w:r w:rsidR="00B047B3">
          <w:rPr>
            <w:noProof/>
            <w:webHidden/>
          </w:rPr>
          <w:tab/>
        </w:r>
        <w:r w:rsidR="00B047B3">
          <w:rPr>
            <w:noProof/>
            <w:webHidden/>
          </w:rPr>
          <w:fldChar w:fldCharType="begin"/>
        </w:r>
        <w:r w:rsidR="00B047B3">
          <w:rPr>
            <w:noProof/>
            <w:webHidden/>
          </w:rPr>
          <w:instrText xml:space="preserve"> PAGEREF _Toc54261651 \h </w:instrText>
        </w:r>
        <w:r w:rsidR="00B047B3">
          <w:rPr>
            <w:noProof/>
            <w:webHidden/>
          </w:rPr>
        </w:r>
        <w:r w:rsidR="00B047B3">
          <w:rPr>
            <w:noProof/>
            <w:webHidden/>
          </w:rPr>
          <w:fldChar w:fldCharType="separate"/>
        </w:r>
        <w:r w:rsidR="00B047B3">
          <w:rPr>
            <w:noProof/>
            <w:webHidden/>
          </w:rPr>
          <w:t>21</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52" w:history="1">
        <w:r w:rsidR="00B047B3" w:rsidRPr="00ED6932">
          <w:rPr>
            <w:rStyle w:val="Hyperlink"/>
            <w:noProof/>
          </w:rPr>
          <w:t>4.3.3</w:t>
        </w:r>
        <w:r w:rsidR="00B047B3">
          <w:rPr>
            <w:rFonts w:asciiTheme="minorHAnsi" w:eastAsiaTheme="minorEastAsia" w:hAnsiTheme="minorHAnsi"/>
            <w:noProof/>
            <w:sz w:val="22"/>
            <w:lang w:val="en-US"/>
          </w:rPr>
          <w:tab/>
        </w:r>
        <w:r w:rsidR="00B047B3" w:rsidRPr="00ED6932">
          <w:rPr>
            <w:rStyle w:val="Hyperlink"/>
            <w:noProof/>
          </w:rPr>
          <w:t>Širokopojasni promet</w:t>
        </w:r>
        <w:r w:rsidR="00B047B3">
          <w:rPr>
            <w:noProof/>
            <w:webHidden/>
          </w:rPr>
          <w:tab/>
        </w:r>
        <w:r w:rsidR="00B047B3">
          <w:rPr>
            <w:noProof/>
            <w:webHidden/>
          </w:rPr>
          <w:fldChar w:fldCharType="begin"/>
        </w:r>
        <w:r w:rsidR="00B047B3">
          <w:rPr>
            <w:noProof/>
            <w:webHidden/>
          </w:rPr>
          <w:instrText xml:space="preserve"> PAGEREF _Toc54261652 \h </w:instrText>
        </w:r>
        <w:r w:rsidR="00B047B3">
          <w:rPr>
            <w:noProof/>
            <w:webHidden/>
          </w:rPr>
        </w:r>
        <w:r w:rsidR="00B047B3">
          <w:rPr>
            <w:noProof/>
            <w:webHidden/>
          </w:rPr>
          <w:fldChar w:fldCharType="separate"/>
        </w:r>
        <w:r w:rsidR="00B047B3">
          <w:rPr>
            <w:noProof/>
            <w:webHidden/>
          </w:rPr>
          <w:t>26</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53" w:history="1">
        <w:r w:rsidR="00B047B3" w:rsidRPr="00ED6932">
          <w:rPr>
            <w:rStyle w:val="Hyperlink"/>
            <w:noProof/>
          </w:rPr>
          <w:t>4.3.4</w:t>
        </w:r>
        <w:r w:rsidR="00B047B3">
          <w:rPr>
            <w:rFonts w:asciiTheme="minorHAnsi" w:eastAsiaTheme="minorEastAsia" w:hAnsiTheme="minorHAnsi"/>
            <w:noProof/>
            <w:sz w:val="22"/>
            <w:lang w:val="en-US"/>
          </w:rPr>
          <w:tab/>
        </w:r>
        <w:r w:rsidR="00B047B3" w:rsidRPr="00ED6932">
          <w:rPr>
            <w:rStyle w:val="Hyperlink"/>
            <w:noProof/>
          </w:rPr>
          <w:t>Jedinični troškovi mrežnih resursa</w:t>
        </w:r>
        <w:r w:rsidR="00B047B3">
          <w:rPr>
            <w:noProof/>
            <w:webHidden/>
          </w:rPr>
          <w:tab/>
        </w:r>
        <w:r w:rsidR="00B047B3">
          <w:rPr>
            <w:noProof/>
            <w:webHidden/>
          </w:rPr>
          <w:fldChar w:fldCharType="begin"/>
        </w:r>
        <w:r w:rsidR="00B047B3">
          <w:rPr>
            <w:noProof/>
            <w:webHidden/>
          </w:rPr>
          <w:instrText xml:space="preserve"> PAGEREF _Toc54261653 \h </w:instrText>
        </w:r>
        <w:r w:rsidR="00B047B3">
          <w:rPr>
            <w:noProof/>
            <w:webHidden/>
          </w:rPr>
        </w:r>
        <w:r w:rsidR="00B047B3">
          <w:rPr>
            <w:noProof/>
            <w:webHidden/>
          </w:rPr>
          <w:fldChar w:fldCharType="separate"/>
        </w:r>
        <w:r w:rsidR="00B047B3">
          <w:rPr>
            <w:noProof/>
            <w:webHidden/>
          </w:rPr>
          <w:t>27</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54" w:history="1">
        <w:r w:rsidR="00B047B3" w:rsidRPr="00ED6932">
          <w:rPr>
            <w:rStyle w:val="Hyperlink"/>
            <w:noProof/>
          </w:rPr>
          <w:t>4.3.5</w:t>
        </w:r>
        <w:r w:rsidR="00B047B3">
          <w:rPr>
            <w:rFonts w:asciiTheme="minorHAnsi" w:eastAsiaTheme="minorEastAsia" w:hAnsiTheme="minorHAnsi"/>
            <w:noProof/>
            <w:sz w:val="22"/>
            <w:lang w:val="en-US"/>
          </w:rPr>
          <w:tab/>
        </w:r>
        <w:r w:rsidR="00B047B3" w:rsidRPr="00ED6932">
          <w:rPr>
            <w:rStyle w:val="Hyperlink"/>
            <w:noProof/>
          </w:rPr>
          <w:t>Ne-mrežni opći troškovi</w:t>
        </w:r>
        <w:r w:rsidR="00B047B3">
          <w:rPr>
            <w:noProof/>
            <w:webHidden/>
          </w:rPr>
          <w:tab/>
        </w:r>
        <w:r w:rsidR="00B047B3">
          <w:rPr>
            <w:noProof/>
            <w:webHidden/>
          </w:rPr>
          <w:fldChar w:fldCharType="begin"/>
        </w:r>
        <w:r w:rsidR="00B047B3">
          <w:rPr>
            <w:noProof/>
            <w:webHidden/>
          </w:rPr>
          <w:instrText xml:space="preserve"> PAGEREF _Toc54261654 \h </w:instrText>
        </w:r>
        <w:r w:rsidR="00B047B3">
          <w:rPr>
            <w:noProof/>
            <w:webHidden/>
          </w:rPr>
        </w:r>
        <w:r w:rsidR="00B047B3">
          <w:rPr>
            <w:noProof/>
            <w:webHidden/>
          </w:rPr>
          <w:fldChar w:fldCharType="separate"/>
        </w:r>
        <w:r w:rsidR="00B047B3">
          <w:rPr>
            <w:noProof/>
            <w:webHidden/>
          </w:rPr>
          <w:t>28</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55" w:history="1">
        <w:r w:rsidR="00B047B3" w:rsidRPr="00ED6932">
          <w:rPr>
            <w:rStyle w:val="Hyperlink"/>
            <w:noProof/>
          </w:rPr>
          <w:t>4.3.6</w:t>
        </w:r>
        <w:r w:rsidR="00B047B3">
          <w:rPr>
            <w:rFonts w:asciiTheme="minorHAnsi" w:eastAsiaTheme="minorEastAsia" w:hAnsiTheme="minorHAnsi"/>
            <w:noProof/>
            <w:sz w:val="22"/>
            <w:lang w:val="en-US"/>
          </w:rPr>
          <w:tab/>
        </w:r>
        <w:r w:rsidR="00B047B3" w:rsidRPr="00ED6932">
          <w:rPr>
            <w:rStyle w:val="Hyperlink"/>
            <w:noProof/>
          </w:rPr>
          <w:t>Korisni vijek upotrebe</w:t>
        </w:r>
        <w:r w:rsidR="00B047B3">
          <w:rPr>
            <w:noProof/>
            <w:webHidden/>
          </w:rPr>
          <w:tab/>
        </w:r>
        <w:r w:rsidR="00B047B3">
          <w:rPr>
            <w:noProof/>
            <w:webHidden/>
          </w:rPr>
          <w:fldChar w:fldCharType="begin"/>
        </w:r>
        <w:r w:rsidR="00B047B3">
          <w:rPr>
            <w:noProof/>
            <w:webHidden/>
          </w:rPr>
          <w:instrText xml:space="preserve"> PAGEREF _Toc54261655 \h </w:instrText>
        </w:r>
        <w:r w:rsidR="00B047B3">
          <w:rPr>
            <w:noProof/>
            <w:webHidden/>
          </w:rPr>
        </w:r>
        <w:r w:rsidR="00B047B3">
          <w:rPr>
            <w:noProof/>
            <w:webHidden/>
          </w:rPr>
          <w:fldChar w:fldCharType="separate"/>
        </w:r>
        <w:r w:rsidR="00B047B3">
          <w:rPr>
            <w:noProof/>
            <w:webHidden/>
          </w:rPr>
          <w:t>29</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56" w:history="1">
        <w:r w:rsidR="00B047B3" w:rsidRPr="00ED6932">
          <w:rPr>
            <w:rStyle w:val="Hyperlink"/>
            <w:noProof/>
          </w:rPr>
          <w:t>4.3.7</w:t>
        </w:r>
        <w:r w:rsidR="00B047B3">
          <w:rPr>
            <w:rFonts w:asciiTheme="minorHAnsi" w:eastAsiaTheme="minorEastAsia" w:hAnsiTheme="minorHAnsi"/>
            <w:noProof/>
            <w:sz w:val="22"/>
            <w:lang w:val="en-US"/>
          </w:rPr>
          <w:tab/>
        </w:r>
        <w:r w:rsidR="00B047B3" w:rsidRPr="00ED6932">
          <w:rPr>
            <w:rStyle w:val="Hyperlink"/>
            <w:noProof/>
          </w:rPr>
          <w:t>Potpuno amortizirana imovina</w:t>
        </w:r>
        <w:r w:rsidR="00B047B3">
          <w:rPr>
            <w:noProof/>
            <w:webHidden/>
          </w:rPr>
          <w:tab/>
        </w:r>
        <w:r w:rsidR="00B047B3">
          <w:rPr>
            <w:noProof/>
            <w:webHidden/>
          </w:rPr>
          <w:fldChar w:fldCharType="begin"/>
        </w:r>
        <w:r w:rsidR="00B047B3">
          <w:rPr>
            <w:noProof/>
            <w:webHidden/>
          </w:rPr>
          <w:instrText xml:space="preserve"> PAGEREF _Toc54261656 \h </w:instrText>
        </w:r>
        <w:r w:rsidR="00B047B3">
          <w:rPr>
            <w:noProof/>
            <w:webHidden/>
          </w:rPr>
        </w:r>
        <w:r w:rsidR="00B047B3">
          <w:rPr>
            <w:noProof/>
            <w:webHidden/>
          </w:rPr>
          <w:fldChar w:fldCharType="separate"/>
        </w:r>
        <w:r w:rsidR="00B047B3">
          <w:rPr>
            <w:noProof/>
            <w:webHidden/>
          </w:rPr>
          <w:t>30</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57" w:history="1">
        <w:r w:rsidR="00B047B3" w:rsidRPr="00ED6932">
          <w:rPr>
            <w:rStyle w:val="Hyperlink"/>
            <w:noProof/>
          </w:rPr>
          <w:t>4.3.8</w:t>
        </w:r>
        <w:r w:rsidR="00B047B3">
          <w:rPr>
            <w:rFonts w:asciiTheme="minorHAnsi" w:eastAsiaTheme="minorEastAsia" w:hAnsiTheme="minorHAnsi"/>
            <w:noProof/>
            <w:sz w:val="22"/>
            <w:lang w:val="en-US"/>
          </w:rPr>
          <w:tab/>
        </w:r>
        <w:r w:rsidR="00B047B3" w:rsidRPr="00ED6932">
          <w:rPr>
            <w:rStyle w:val="Hyperlink"/>
            <w:noProof/>
          </w:rPr>
          <w:t>Dodatni ulazni podaci</w:t>
        </w:r>
        <w:r w:rsidR="00B047B3">
          <w:rPr>
            <w:noProof/>
            <w:webHidden/>
          </w:rPr>
          <w:tab/>
        </w:r>
        <w:r w:rsidR="00B047B3">
          <w:rPr>
            <w:noProof/>
            <w:webHidden/>
          </w:rPr>
          <w:fldChar w:fldCharType="begin"/>
        </w:r>
        <w:r w:rsidR="00B047B3">
          <w:rPr>
            <w:noProof/>
            <w:webHidden/>
          </w:rPr>
          <w:instrText xml:space="preserve"> PAGEREF _Toc54261657 \h </w:instrText>
        </w:r>
        <w:r w:rsidR="00B047B3">
          <w:rPr>
            <w:noProof/>
            <w:webHidden/>
          </w:rPr>
        </w:r>
        <w:r w:rsidR="00B047B3">
          <w:rPr>
            <w:noProof/>
            <w:webHidden/>
          </w:rPr>
          <w:fldChar w:fldCharType="separate"/>
        </w:r>
        <w:r w:rsidR="00B047B3">
          <w:rPr>
            <w:noProof/>
            <w:webHidden/>
          </w:rPr>
          <w:t>32</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58" w:history="1">
        <w:r w:rsidR="00B047B3" w:rsidRPr="00ED6932">
          <w:rPr>
            <w:rStyle w:val="Hyperlink"/>
          </w:rPr>
          <w:t>4.4</w:t>
        </w:r>
        <w:r w:rsidR="00B047B3">
          <w:rPr>
            <w:rFonts w:eastAsiaTheme="minorEastAsia" w:cstheme="minorBidi"/>
            <w:bCs w:val="0"/>
            <w:sz w:val="22"/>
            <w:lang w:val="en-US"/>
          </w:rPr>
          <w:tab/>
        </w:r>
        <w:r w:rsidR="00B047B3" w:rsidRPr="00ED6932">
          <w:rPr>
            <w:rStyle w:val="Hyperlink"/>
          </w:rPr>
          <w:t>Geografska analiza</w:t>
        </w:r>
        <w:r w:rsidR="00B047B3">
          <w:rPr>
            <w:webHidden/>
          </w:rPr>
          <w:tab/>
        </w:r>
        <w:r w:rsidR="00B047B3">
          <w:rPr>
            <w:webHidden/>
          </w:rPr>
          <w:fldChar w:fldCharType="begin"/>
        </w:r>
        <w:r w:rsidR="00B047B3">
          <w:rPr>
            <w:webHidden/>
          </w:rPr>
          <w:instrText xml:space="preserve"> PAGEREF _Toc54261658 \h </w:instrText>
        </w:r>
        <w:r w:rsidR="00B047B3">
          <w:rPr>
            <w:webHidden/>
          </w:rPr>
        </w:r>
        <w:r w:rsidR="00B047B3">
          <w:rPr>
            <w:webHidden/>
          </w:rPr>
          <w:fldChar w:fldCharType="separate"/>
        </w:r>
        <w:r w:rsidR="00B047B3">
          <w:rPr>
            <w:webHidden/>
          </w:rPr>
          <w:t>33</w:t>
        </w:r>
        <w:r w:rsidR="00B047B3">
          <w:rPr>
            <w:webHidden/>
          </w:rPr>
          <w:fldChar w:fldCharType="end"/>
        </w:r>
      </w:hyperlink>
    </w:p>
    <w:p w:rsidR="00B047B3" w:rsidRDefault="00864638">
      <w:pPr>
        <w:pStyle w:val="TOC3"/>
        <w:rPr>
          <w:rFonts w:asciiTheme="minorHAnsi" w:eastAsiaTheme="minorEastAsia" w:hAnsiTheme="minorHAnsi"/>
          <w:noProof/>
          <w:sz w:val="22"/>
          <w:lang w:val="en-US"/>
        </w:rPr>
      </w:pPr>
      <w:hyperlink w:anchor="_Toc54261659" w:history="1">
        <w:r w:rsidR="00B047B3" w:rsidRPr="00ED6932">
          <w:rPr>
            <w:rStyle w:val="Hyperlink"/>
            <w:noProof/>
          </w:rPr>
          <w:t>4.4.1</w:t>
        </w:r>
        <w:r w:rsidR="00B047B3">
          <w:rPr>
            <w:rFonts w:asciiTheme="minorHAnsi" w:eastAsiaTheme="minorEastAsia" w:hAnsiTheme="minorHAnsi"/>
            <w:noProof/>
            <w:sz w:val="22"/>
            <w:lang w:val="en-US"/>
          </w:rPr>
          <w:tab/>
        </w:r>
        <w:r w:rsidR="00B047B3" w:rsidRPr="00ED6932">
          <w:rPr>
            <w:rStyle w:val="Hyperlink"/>
            <w:noProof/>
          </w:rPr>
          <w:t>Ulazni podaci za geografsku analizu</w:t>
        </w:r>
        <w:r w:rsidR="00B047B3">
          <w:rPr>
            <w:noProof/>
            <w:webHidden/>
          </w:rPr>
          <w:tab/>
        </w:r>
        <w:r w:rsidR="00B047B3">
          <w:rPr>
            <w:noProof/>
            <w:webHidden/>
          </w:rPr>
          <w:fldChar w:fldCharType="begin"/>
        </w:r>
        <w:r w:rsidR="00B047B3">
          <w:rPr>
            <w:noProof/>
            <w:webHidden/>
          </w:rPr>
          <w:instrText xml:space="preserve"> PAGEREF _Toc54261659 \h </w:instrText>
        </w:r>
        <w:r w:rsidR="00B047B3">
          <w:rPr>
            <w:noProof/>
            <w:webHidden/>
          </w:rPr>
        </w:r>
        <w:r w:rsidR="00B047B3">
          <w:rPr>
            <w:noProof/>
            <w:webHidden/>
          </w:rPr>
          <w:fldChar w:fldCharType="separate"/>
        </w:r>
        <w:r w:rsidR="00B047B3">
          <w:rPr>
            <w:noProof/>
            <w:webHidden/>
          </w:rPr>
          <w:t>34</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60" w:history="1">
        <w:r w:rsidR="00B047B3" w:rsidRPr="00ED6932">
          <w:rPr>
            <w:rStyle w:val="Hyperlink"/>
            <w:noProof/>
          </w:rPr>
          <w:t>4.4.2</w:t>
        </w:r>
        <w:r w:rsidR="00B047B3">
          <w:rPr>
            <w:rFonts w:asciiTheme="minorHAnsi" w:eastAsiaTheme="minorEastAsia" w:hAnsiTheme="minorHAnsi"/>
            <w:noProof/>
            <w:sz w:val="22"/>
            <w:lang w:val="en-US"/>
          </w:rPr>
          <w:tab/>
        </w:r>
        <w:r w:rsidR="00B047B3" w:rsidRPr="00ED6932">
          <w:rPr>
            <w:rStyle w:val="Hyperlink"/>
            <w:noProof/>
          </w:rPr>
          <w:t>Geografski izračuni</w:t>
        </w:r>
        <w:r w:rsidR="00B047B3">
          <w:rPr>
            <w:noProof/>
            <w:webHidden/>
          </w:rPr>
          <w:tab/>
        </w:r>
        <w:r w:rsidR="00B047B3">
          <w:rPr>
            <w:noProof/>
            <w:webHidden/>
          </w:rPr>
          <w:fldChar w:fldCharType="begin"/>
        </w:r>
        <w:r w:rsidR="00B047B3">
          <w:rPr>
            <w:noProof/>
            <w:webHidden/>
          </w:rPr>
          <w:instrText xml:space="preserve"> PAGEREF _Toc54261660 \h </w:instrText>
        </w:r>
        <w:r w:rsidR="00B047B3">
          <w:rPr>
            <w:noProof/>
            <w:webHidden/>
          </w:rPr>
        </w:r>
        <w:r w:rsidR="00B047B3">
          <w:rPr>
            <w:noProof/>
            <w:webHidden/>
          </w:rPr>
          <w:fldChar w:fldCharType="separate"/>
        </w:r>
        <w:r w:rsidR="00B047B3">
          <w:rPr>
            <w:noProof/>
            <w:webHidden/>
          </w:rPr>
          <w:t>38</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61" w:history="1">
        <w:r w:rsidR="00B047B3" w:rsidRPr="00ED6932">
          <w:rPr>
            <w:rStyle w:val="Hyperlink"/>
            <w:noProof/>
          </w:rPr>
          <w:t>4.4.3</w:t>
        </w:r>
        <w:r w:rsidR="00B047B3">
          <w:rPr>
            <w:rFonts w:asciiTheme="minorHAnsi" w:eastAsiaTheme="minorEastAsia" w:hAnsiTheme="minorHAnsi"/>
            <w:noProof/>
            <w:sz w:val="22"/>
            <w:lang w:val="en-US"/>
          </w:rPr>
          <w:tab/>
        </w:r>
        <w:r w:rsidR="00B047B3" w:rsidRPr="00ED6932">
          <w:rPr>
            <w:rStyle w:val="Hyperlink"/>
            <w:noProof/>
          </w:rPr>
          <w:t>Postupanje s rezultatima geografske analize</w:t>
        </w:r>
        <w:r w:rsidR="00B047B3">
          <w:rPr>
            <w:noProof/>
            <w:webHidden/>
          </w:rPr>
          <w:tab/>
        </w:r>
        <w:r w:rsidR="00B047B3">
          <w:rPr>
            <w:noProof/>
            <w:webHidden/>
          </w:rPr>
          <w:fldChar w:fldCharType="begin"/>
        </w:r>
        <w:r w:rsidR="00B047B3">
          <w:rPr>
            <w:noProof/>
            <w:webHidden/>
          </w:rPr>
          <w:instrText xml:space="preserve"> PAGEREF _Toc54261661 \h </w:instrText>
        </w:r>
        <w:r w:rsidR="00B047B3">
          <w:rPr>
            <w:noProof/>
            <w:webHidden/>
          </w:rPr>
        </w:r>
        <w:r w:rsidR="00B047B3">
          <w:rPr>
            <w:noProof/>
            <w:webHidden/>
          </w:rPr>
          <w:fldChar w:fldCharType="separate"/>
        </w:r>
        <w:r w:rsidR="00B047B3">
          <w:rPr>
            <w:noProof/>
            <w:webHidden/>
          </w:rPr>
          <w:t>39</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62" w:history="1">
        <w:r w:rsidR="00B047B3" w:rsidRPr="00ED6932">
          <w:rPr>
            <w:rStyle w:val="Hyperlink"/>
          </w:rPr>
          <w:t>4.5</w:t>
        </w:r>
        <w:r w:rsidR="00B047B3">
          <w:rPr>
            <w:rFonts w:eastAsiaTheme="minorEastAsia" w:cstheme="minorBidi"/>
            <w:bCs w:val="0"/>
            <w:sz w:val="22"/>
            <w:lang w:val="en-US"/>
          </w:rPr>
          <w:tab/>
        </w:r>
        <w:r w:rsidR="00B047B3" w:rsidRPr="00ED6932">
          <w:rPr>
            <w:rStyle w:val="Hyperlink"/>
          </w:rPr>
          <w:t>Dimenzioniranje mreže</w:t>
        </w:r>
        <w:r w:rsidR="00B047B3">
          <w:rPr>
            <w:webHidden/>
          </w:rPr>
          <w:tab/>
        </w:r>
        <w:r w:rsidR="00B047B3">
          <w:rPr>
            <w:webHidden/>
          </w:rPr>
          <w:fldChar w:fldCharType="begin"/>
        </w:r>
        <w:r w:rsidR="00B047B3">
          <w:rPr>
            <w:webHidden/>
          </w:rPr>
          <w:instrText xml:space="preserve"> PAGEREF _Toc54261662 \h </w:instrText>
        </w:r>
        <w:r w:rsidR="00B047B3">
          <w:rPr>
            <w:webHidden/>
          </w:rPr>
        </w:r>
        <w:r w:rsidR="00B047B3">
          <w:rPr>
            <w:webHidden/>
          </w:rPr>
          <w:fldChar w:fldCharType="separate"/>
        </w:r>
        <w:r w:rsidR="00B047B3">
          <w:rPr>
            <w:webHidden/>
          </w:rPr>
          <w:t>42</w:t>
        </w:r>
        <w:r w:rsidR="00B047B3">
          <w:rPr>
            <w:webHidden/>
          </w:rPr>
          <w:fldChar w:fldCharType="end"/>
        </w:r>
      </w:hyperlink>
    </w:p>
    <w:p w:rsidR="00B047B3" w:rsidRDefault="00864638">
      <w:pPr>
        <w:pStyle w:val="TOC3"/>
        <w:rPr>
          <w:rFonts w:asciiTheme="minorHAnsi" w:eastAsiaTheme="minorEastAsia" w:hAnsiTheme="minorHAnsi"/>
          <w:noProof/>
          <w:sz w:val="22"/>
          <w:lang w:val="en-US"/>
        </w:rPr>
      </w:pPr>
      <w:hyperlink w:anchor="_Toc54261663" w:history="1">
        <w:r w:rsidR="00B047B3" w:rsidRPr="00ED6932">
          <w:rPr>
            <w:rStyle w:val="Hyperlink"/>
            <w:noProof/>
          </w:rPr>
          <w:t>4.5.1</w:t>
        </w:r>
        <w:r w:rsidR="00B047B3">
          <w:rPr>
            <w:rFonts w:asciiTheme="minorHAnsi" w:eastAsiaTheme="minorEastAsia" w:hAnsiTheme="minorHAnsi"/>
            <w:noProof/>
            <w:sz w:val="22"/>
            <w:lang w:val="en-US"/>
          </w:rPr>
          <w:tab/>
        </w:r>
        <w:r w:rsidR="00B047B3" w:rsidRPr="00ED6932">
          <w:rPr>
            <w:rStyle w:val="Hyperlink"/>
            <w:noProof/>
          </w:rPr>
          <w:t>Dimenzioniranje pristupne mreže (ovisno o geotipu)</w:t>
        </w:r>
        <w:r w:rsidR="00B047B3">
          <w:rPr>
            <w:noProof/>
            <w:webHidden/>
          </w:rPr>
          <w:tab/>
        </w:r>
        <w:r w:rsidR="00B047B3">
          <w:rPr>
            <w:noProof/>
            <w:webHidden/>
          </w:rPr>
          <w:fldChar w:fldCharType="begin"/>
        </w:r>
        <w:r w:rsidR="00B047B3">
          <w:rPr>
            <w:noProof/>
            <w:webHidden/>
          </w:rPr>
          <w:instrText xml:space="preserve"> PAGEREF _Toc54261663 \h </w:instrText>
        </w:r>
        <w:r w:rsidR="00B047B3">
          <w:rPr>
            <w:noProof/>
            <w:webHidden/>
          </w:rPr>
        </w:r>
        <w:r w:rsidR="00B047B3">
          <w:rPr>
            <w:noProof/>
            <w:webHidden/>
          </w:rPr>
          <w:fldChar w:fldCharType="separate"/>
        </w:r>
        <w:r w:rsidR="00B047B3">
          <w:rPr>
            <w:noProof/>
            <w:webHidden/>
          </w:rPr>
          <w:t>42</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64" w:history="1">
        <w:r w:rsidR="00B047B3" w:rsidRPr="00ED6932">
          <w:rPr>
            <w:rStyle w:val="Hyperlink"/>
            <w:noProof/>
          </w:rPr>
          <w:t>4.5.2</w:t>
        </w:r>
        <w:r w:rsidR="00B047B3">
          <w:rPr>
            <w:rFonts w:asciiTheme="minorHAnsi" w:eastAsiaTheme="minorEastAsia" w:hAnsiTheme="minorHAnsi"/>
            <w:noProof/>
            <w:sz w:val="22"/>
            <w:lang w:val="en-US"/>
          </w:rPr>
          <w:tab/>
        </w:r>
        <w:r w:rsidR="00B047B3" w:rsidRPr="00ED6932">
          <w:rPr>
            <w:rStyle w:val="Hyperlink"/>
            <w:noProof/>
          </w:rPr>
          <w:t>Dimenzioniranje prijenosne mreže (nezavisno o geotipu)</w:t>
        </w:r>
        <w:r w:rsidR="00B047B3">
          <w:rPr>
            <w:noProof/>
            <w:webHidden/>
          </w:rPr>
          <w:tab/>
        </w:r>
        <w:r w:rsidR="00B047B3">
          <w:rPr>
            <w:noProof/>
            <w:webHidden/>
          </w:rPr>
          <w:fldChar w:fldCharType="begin"/>
        </w:r>
        <w:r w:rsidR="00B047B3">
          <w:rPr>
            <w:noProof/>
            <w:webHidden/>
          </w:rPr>
          <w:instrText xml:space="preserve"> PAGEREF _Toc54261664 \h </w:instrText>
        </w:r>
        <w:r w:rsidR="00B047B3">
          <w:rPr>
            <w:noProof/>
            <w:webHidden/>
          </w:rPr>
        </w:r>
        <w:r w:rsidR="00B047B3">
          <w:rPr>
            <w:noProof/>
            <w:webHidden/>
          </w:rPr>
          <w:fldChar w:fldCharType="separate"/>
        </w:r>
        <w:r w:rsidR="00B047B3">
          <w:rPr>
            <w:noProof/>
            <w:webHidden/>
          </w:rPr>
          <w:t>44</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65" w:history="1">
        <w:r w:rsidR="00B047B3" w:rsidRPr="00ED6932">
          <w:rPr>
            <w:rStyle w:val="Hyperlink"/>
            <w:noProof/>
          </w:rPr>
          <w:t>4.5.3</w:t>
        </w:r>
        <w:r w:rsidR="00B047B3">
          <w:rPr>
            <w:rFonts w:asciiTheme="minorHAnsi" w:eastAsiaTheme="minorEastAsia" w:hAnsiTheme="minorHAnsi"/>
            <w:noProof/>
            <w:sz w:val="22"/>
            <w:lang w:val="en-US"/>
          </w:rPr>
          <w:tab/>
        </w:r>
        <w:r w:rsidR="00B047B3" w:rsidRPr="00ED6932">
          <w:rPr>
            <w:rStyle w:val="Hyperlink"/>
            <w:noProof/>
          </w:rPr>
          <w:t>Dimenzioniranje jezgrene mreže (nije ovisno o geotipu)</w:t>
        </w:r>
        <w:r w:rsidR="00B047B3">
          <w:rPr>
            <w:noProof/>
            <w:webHidden/>
          </w:rPr>
          <w:tab/>
        </w:r>
        <w:r w:rsidR="00B047B3">
          <w:rPr>
            <w:noProof/>
            <w:webHidden/>
          </w:rPr>
          <w:fldChar w:fldCharType="begin"/>
        </w:r>
        <w:r w:rsidR="00B047B3">
          <w:rPr>
            <w:noProof/>
            <w:webHidden/>
          </w:rPr>
          <w:instrText xml:space="preserve"> PAGEREF _Toc54261665 \h </w:instrText>
        </w:r>
        <w:r w:rsidR="00B047B3">
          <w:rPr>
            <w:noProof/>
            <w:webHidden/>
          </w:rPr>
        </w:r>
        <w:r w:rsidR="00B047B3">
          <w:rPr>
            <w:noProof/>
            <w:webHidden/>
          </w:rPr>
          <w:fldChar w:fldCharType="separate"/>
        </w:r>
        <w:r w:rsidR="00B047B3">
          <w:rPr>
            <w:noProof/>
            <w:webHidden/>
          </w:rPr>
          <w:t>47</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66" w:history="1">
        <w:r w:rsidR="00B047B3" w:rsidRPr="00ED6932">
          <w:rPr>
            <w:rStyle w:val="Hyperlink"/>
          </w:rPr>
          <w:t>4.6</w:t>
        </w:r>
        <w:r w:rsidR="00B047B3">
          <w:rPr>
            <w:rFonts w:eastAsiaTheme="minorEastAsia" w:cstheme="minorBidi"/>
            <w:bCs w:val="0"/>
            <w:sz w:val="22"/>
            <w:lang w:val="en-US"/>
          </w:rPr>
          <w:tab/>
        </w:r>
        <w:r w:rsidR="00B047B3" w:rsidRPr="00ED6932">
          <w:rPr>
            <w:rStyle w:val="Hyperlink"/>
          </w:rPr>
          <w:t>Modul za izračun CapEx i OpEx troškova</w:t>
        </w:r>
        <w:r w:rsidR="00B047B3">
          <w:rPr>
            <w:webHidden/>
          </w:rPr>
          <w:tab/>
        </w:r>
        <w:r w:rsidR="00B047B3">
          <w:rPr>
            <w:webHidden/>
          </w:rPr>
          <w:fldChar w:fldCharType="begin"/>
        </w:r>
        <w:r w:rsidR="00B047B3">
          <w:rPr>
            <w:webHidden/>
          </w:rPr>
          <w:instrText xml:space="preserve"> PAGEREF _Toc54261666 \h </w:instrText>
        </w:r>
        <w:r w:rsidR="00B047B3">
          <w:rPr>
            <w:webHidden/>
          </w:rPr>
        </w:r>
        <w:r w:rsidR="00B047B3">
          <w:rPr>
            <w:webHidden/>
          </w:rPr>
          <w:fldChar w:fldCharType="separate"/>
        </w:r>
        <w:r w:rsidR="00B047B3">
          <w:rPr>
            <w:webHidden/>
          </w:rPr>
          <w:t>48</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67" w:history="1">
        <w:r w:rsidR="00B047B3" w:rsidRPr="00ED6932">
          <w:rPr>
            <w:rStyle w:val="Hyperlink"/>
          </w:rPr>
          <w:t>4.7</w:t>
        </w:r>
        <w:r w:rsidR="00B047B3">
          <w:rPr>
            <w:rFonts w:eastAsiaTheme="minorEastAsia" w:cstheme="minorBidi"/>
            <w:bCs w:val="0"/>
            <w:sz w:val="22"/>
            <w:lang w:val="en-US"/>
          </w:rPr>
          <w:tab/>
        </w:r>
        <w:r w:rsidR="00B047B3" w:rsidRPr="00ED6932">
          <w:rPr>
            <w:rStyle w:val="Hyperlink"/>
          </w:rPr>
          <w:t>Modul za amortizaciju</w:t>
        </w:r>
        <w:r w:rsidR="00B047B3">
          <w:rPr>
            <w:webHidden/>
          </w:rPr>
          <w:tab/>
        </w:r>
        <w:r w:rsidR="00B047B3">
          <w:rPr>
            <w:webHidden/>
          </w:rPr>
          <w:fldChar w:fldCharType="begin"/>
        </w:r>
        <w:r w:rsidR="00B047B3">
          <w:rPr>
            <w:webHidden/>
          </w:rPr>
          <w:instrText xml:space="preserve"> PAGEREF _Toc54261667 \h </w:instrText>
        </w:r>
        <w:r w:rsidR="00B047B3">
          <w:rPr>
            <w:webHidden/>
          </w:rPr>
        </w:r>
        <w:r w:rsidR="00B047B3">
          <w:rPr>
            <w:webHidden/>
          </w:rPr>
          <w:fldChar w:fldCharType="separate"/>
        </w:r>
        <w:r w:rsidR="00B047B3">
          <w:rPr>
            <w:webHidden/>
          </w:rPr>
          <w:t>49</w:t>
        </w:r>
        <w:r w:rsidR="00B047B3">
          <w:rPr>
            <w:webHidden/>
          </w:rPr>
          <w:fldChar w:fldCharType="end"/>
        </w:r>
      </w:hyperlink>
    </w:p>
    <w:p w:rsidR="00B047B3" w:rsidRDefault="00864638">
      <w:pPr>
        <w:pStyle w:val="TOC3"/>
        <w:rPr>
          <w:rFonts w:asciiTheme="minorHAnsi" w:eastAsiaTheme="minorEastAsia" w:hAnsiTheme="minorHAnsi"/>
          <w:noProof/>
          <w:sz w:val="22"/>
          <w:lang w:val="en-US"/>
        </w:rPr>
      </w:pPr>
      <w:hyperlink w:anchor="_Toc54261668" w:history="1">
        <w:r w:rsidR="00B047B3" w:rsidRPr="00ED6932">
          <w:rPr>
            <w:rStyle w:val="Hyperlink"/>
            <w:noProof/>
          </w:rPr>
          <w:t>4.7.1</w:t>
        </w:r>
        <w:r w:rsidR="00B047B3">
          <w:rPr>
            <w:rFonts w:asciiTheme="minorHAnsi" w:eastAsiaTheme="minorEastAsia" w:hAnsiTheme="minorHAnsi"/>
            <w:noProof/>
            <w:sz w:val="22"/>
            <w:lang w:val="en-US"/>
          </w:rPr>
          <w:tab/>
        </w:r>
        <w:r w:rsidR="00B047B3" w:rsidRPr="00ED6932">
          <w:rPr>
            <w:rStyle w:val="Hyperlink"/>
            <w:noProof/>
          </w:rPr>
          <w:t>Odabir metode amortizacije</w:t>
        </w:r>
        <w:r w:rsidR="00B047B3">
          <w:rPr>
            <w:noProof/>
            <w:webHidden/>
          </w:rPr>
          <w:tab/>
        </w:r>
        <w:r w:rsidR="00B047B3">
          <w:rPr>
            <w:noProof/>
            <w:webHidden/>
          </w:rPr>
          <w:fldChar w:fldCharType="begin"/>
        </w:r>
        <w:r w:rsidR="00B047B3">
          <w:rPr>
            <w:noProof/>
            <w:webHidden/>
          </w:rPr>
          <w:instrText xml:space="preserve"> PAGEREF _Toc54261668 \h </w:instrText>
        </w:r>
        <w:r w:rsidR="00B047B3">
          <w:rPr>
            <w:noProof/>
            <w:webHidden/>
          </w:rPr>
        </w:r>
        <w:r w:rsidR="00B047B3">
          <w:rPr>
            <w:noProof/>
            <w:webHidden/>
          </w:rPr>
          <w:fldChar w:fldCharType="separate"/>
        </w:r>
        <w:r w:rsidR="00B047B3">
          <w:rPr>
            <w:noProof/>
            <w:webHidden/>
          </w:rPr>
          <w:t>53</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69" w:history="1">
        <w:r w:rsidR="00B047B3" w:rsidRPr="00ED6932">
          <w:rPr>
            <w:rStyle w:val="Hyperlink"/>
          </w:rPr>
          <w:t>4.8</w:t>
        </w:r>
        <w:r w:rsidR="00B047B3">
          <w:rPr>
            <w:rFonts w:eastAsiaTheme="minorEastAsia" w:cstheme="minorBidi"/>
            <w:bCs w:val="0"/>
            <w:sz w:val="22"/>
            <w:lang w:val="en-US"/>
          </w:rPr>
          <w:tab/>
        </w:r>
        <w:r w:rsidR="00B047B3" w:rsidRPr="00ED6932">
          <w:rPr>
            <w:rStyle w:val="Hyperlink"/>
          </w:rPr>
          <w:t>Alokacija troškova uslugama</w:t>
        </w:r>
        <w:r w:rsidR="00B047B3">
          <w:rPr>
            <w:webHidden/>
          </w:rPr>
          <w:tab/>
        </w:r>
        <w:r w:rsidR="00B047B3">
          <w:rPr>
            <w:webHidden/>
          </w:rPr>
          <w:fldChar w:fldCharType="begin"/>
        </w:r>
        <w:r w:rsidR="00B047B3">
          <w:rPr>
            <w:webHidden/>
          </w:rPr>
          <w:instrText xml:space="preserve"> PAGEREF _Toc54261669 \h </w:instrText>
        </w:r>
        <w:r w:rsidR="00B047B3">
          <w:rPr>
            <w:webHidden/>
          </w:rPr>
        </w:r>
        <w:r w:rsidR="00B047B3">
          <w:rPr>
            <w:webHidden/>
          </w:rPr>
          <w:fldChar w:fldCharType="separate"/>
        </w:r>
        <w:r w:rsidR="00B047B3">
          <w:rPr>
            <w:webHidden/>
          </w:rPr>
          <w:t>55</w:t>
        </w:r>
        <w:r w:rsidR="00B047B3">
          <w:rPr>
            <w:webHidden/>
          </w:rPr>
          <w:fldChar w:fldCharType="end"/>
        </w:r>
      </w:hyperlink>
    </w:p>
    <w:p w:rsidR="00B047B3" w:rsidRDefault="00864638">
      <w:pPr>
        <w:pStyle w:val="TOC3"/>
        <w:rPr>
          <w:rFonts w:asciiTheme="minorHAnsi" w:eastAsiaTheme="minorEastAsia" w:hAnsiTheme="minorHAnsi"/>
          <w:noProof/>
          <w:sz w:val="22"/>
          <w:lang w:val="en-US"/>
        </w:rPr>
      </w:pPr>
      <w:hyperlink w:anchor="_Toc54261670" w:history="1">
        <w:r w:rsidR="00B047B3" w:rsidRPr="00ED6932">
          <w:rPr>
            <w:rStyle w:val="Hyperlink"/>
            <w:noProof/>
          </w:rPr>
          <w:t>4.8.1</w:t>
        </w:r>
        <w:r w:rsidR="00B047B3">
          <w:rPr>
            <w:rFonts w:asciiTheme="minorHAnsi" w:eastAsiaTheme="minorEastAsia" w:hAnsiTheme="minorHAnsi"/>
            <w:noProof/>
            <w:sz w:val="22"/>
            <w:lang w:val="en-US"/>
          </w:rPr>
          <w:tab/>
        </w:r>
        <w:r w:rsidR="00B047B3" w:rsidRPr="00ED6932">
          <w:rPr>
            <w:rStyle w:val="Hyperlink"/>
            <w:noProof/>
          </w:rPr>
          <w:t>Izračun inkrementalnih i zajedničkih troškova</w:t>
        </w:r>
        <w:r w:rsidR="00B047B3">
          <w:rPr>
            <w:noProof/>
            <w:webHidden/>
          </w:rPr>
          <w:tab/>
        </w:r>
        <w:r w:rsidR="00B047B3">
          <w:rPr>
            <w:noProof/>
            <w:webHidden/>
          </w:rPr>
          <w:fldChar w:fldCharType="begin"/>
        </w:r>
        <w:r w:rsidR="00B047B3">
          <w:rPr>
            <w:noProof/>
            <w:webHidden/>
          </w:rPr>
          <w:instrText xml:space="preserve"> PAGEREF _Toc54261670 \h </w:instrText>
        </w:r>
        <w:r w:rsidR="00B047B3">
          <w:rPr>
            <w:noProof/>
            <w:webHidden/>
          </w:rPr>
        </w:r>
        <w:r w:rsidR="00B047B3">
          <w:rPr>
            <w:noProof/>
            <w:webHidden/>
          </w:rPr>
          <w:fldChar w:fldCharType="separate"/>
        </w:r>
        <w:r w:rsidR="00B047B3">
          <w:rPr>
            <w:noProof/>
            <w:webHidden/>
          </w:rPr>
          <w:t>55</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71" w:history="1">
        <w:r w:rsidR="00B047B3" w:rsidRPr="00ED6932">
          <w:rPr>
            <w:rStyle w:val="Hyperlink"/>
            <w:noProof/>
          </w:rPr>
          <w:t>4.8.2</w:t>
        </w:r>
        <w:r w:rsidR="00B047B3">
          <w:rPr>
            <w:rFonts w:asciiTheme="minorHAnsi" w:eastAsiaTheme="minorEastAsia" w:hAnsiTheme="minorHAnsi"/>
            <w:noProof/>
            <w:sz w:val="22"/>
            <w:lang w:val="en-US"/>
          </w:rPr>
          <w:tab/>
        </w:r>
        <w:r w:rsidR="00B047B3" w:rsidRPr="00ED6932">
          <w:rPr>
            <w:rStyle w:val="Hyperlink"/>
            <w:noProof/>
          </w:rPr>
          <w:t>Dodjela troškova resursa uslugama</w:t>
        </w:r>
        <w:r w:rsidR="00B047B3">
          <w:rPr>
            <w:noProof/>
            <w:webHidden/>
          </w:rPr>
          <w:tab/>
        </w:r>
        <w:r w:rsidR="00B047B3">
          <w:rPr>
            <w:noProof/>
            <w:webHidden/>
          </w:rPr>
          <w:fldChar w:fldCharType="begin"/>
        </w:r>
        <w:r w:rsidR="00B047B3">
          <w:rPr>
            <w:noProof/>
            <w:webHidden/>
          </w:rPr>
          <w:instrText xml:space="preserve"> PAGEREF _Toc54261671 \h </w:instrText>
        </w:r>
        <w:r w:rsidR="00B047B3">
          <w:rPr>
            <w:noProof/>
            <w:webHidden/>
          </w:rPr>
        </w:r>
        <w:r w:rsidR="00B047B3">
          <w:rPr>
            <w:noProof/>
            <w:webHidden/>
          </w:rPr>
          <w:fldChar w:fldCharType="separate"/>
        </w:r>
        <w:r w:rsidR="00B047B3">
          <w:rPr>
            <w:noProof/>
            <w:webHidden/>
          </w:rPr>
          <w:t>55</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72" w:history="1">
        <w:r w:rsidR="00B047B3" w:rsidRPr="00ED6932">
          <w:rPr>
            <w:rStyle w:val="Hyperlink"/>
          </w:rPr>
          <w:t>4.9</w:t>
        </w:r>
        <w:r w:rsidR="00B047B3">
          <w:rPr>
            <w:rFonts w:eastAsiaTheme="minorEastAsia" w:cstheme="minorBidi"/>
            <w:bCs w:val="0"/>
            <w:sz w:val="22"/>
            <w:lang w:val="en-US"/>
          </w:rPr>
          <w:tab/>
        </w:r>
        <w:r w:rsidR="00B047B3" w:rsidRPr="00ED6932">
          <w:rPr>
            <w:rStyle w:val="Hyperlink"/>
          </w:rPr>
          <w:t>Rezultati troškovnog modela</w:t>
        </w:r>
        <w:r w:rsidR="00B047B3">
          <w:rPr>
            <w:webHidden/>
          </w:rPr>
          <w:tab/>
        </w:r>
        <w:r w:rsidR="00B047B3">
          <w:rPr>
            <w:webHidden/>
          </w:rPr>
          <w:fldChar w:fldCharType="begin"/>
        </w:r>
        <w:r w:rsidR="00B047B3">
          <w:rPr>
            <w:webHidden/>
          </w:rPr>
          <w:instrText xml:space="preserve"> PAGEREF _Toc54261672 \h </w:instrText>
        </w:r>
        <w:r w:rsidR="00B047B3">
          <w:rPr>
            <w:webHidden/>
          </w:rPr>
        </w:r>
        <w:r w:rsidR="00B047B3">
          <w:rPr>
            <w:webHidden/>
          </w:rPr>
          <w:fldChar w:fldCharType="separate"/>
        </w:r>
        <w:r w:rsidR="00B047B3">
          <w:rPr>
            <w:webHidden/>
          </w:rPr>
          <w:t>56</w:t>
        </w:r>
        <w:r w:rsidR="00B047B3">
          <w:rPr>
            <w:webHidden/>
          </w:rPr>
          <w:fldChar w:fldCharType="end"/>
        </w:r>
      </w:hyperlink>
    </w:p>
    <w:p w:rsidR="00B047B3" w:rsidRDefault="00864638">
      <w:pPr>
        <w:pStyle w:val="TOC3"/>
        <w:rPr>
          <w:rFonts w:asciiTheme="minorHAnsi" w:eastAsiaTheme="minorEastAsia" w:hAnsiTheme="minorHAnsi"/>
          <w:noProof/>
          <w:sz w:val="22"/>
          <w:lang w:val="en-US"/>
        </w:rPr>
      </w:pPr>
      <w:hyperlink w:anchor="_Toc54261673" w:history="1">
        <w:r w:rsidR="00B047B3" w:rsidRPr="00ED6932">
          <w:rPr>
            <w:rStyle w:val="Hyperlink"/>
            <w:noProof/>
          </w:rPr>
          <w:t>4.9.1</w:t>
        </w:r>
        <w:r w:rsidR="00B047B3">
          <w:rPr>
            <w:rFonts w:asciiTheme="minorHAnsi" w:eastAsiaTheme="minorEastAsia" w:hAnsiTheme="minorHAnsi"/>
            <w:noProof/>
            <w:sz w:val="22"/>
            <w:lang w:val="en-US"/>
          </w:rPr>
          <w:tab/>
        </w:r>
        <w:r w:rsidR="00B047B3" w:rsidRPr="00ED6932">
          <w:rPr>
            <w:rStyle w:val="Hyperlink"/>
            <w:noProof/>
          </w:rPr>
          <w:t>Rezultirajući mrežni elementi</w:t>
        </w:r>
        <w:r w:rsidR="00B047B3">
          <w:rPr>
            <w:noProof/>
            <w:webHidden/>
          </w:rPr>
          <w:tab/>
        </w:r>
        <w:r w:rsidR="00B047B3">
          <w:rPr>
            <w:noProof/>
            <w:webHidden/>
          </w:rPr>
          <w:fldChar w:fldCharType="begin"/>
        </w:r>
        <w:r w:rsidR="00B047B3">
          <w:rPr>
            <w:noProof/>
            <w:webHidden/>
          </w:rPr>
          <w:instrText xml:space="preserve"> PAGEREF _Toc54261673 \h </w:instrText>
        </w:r>
        <w:r w:rsidR="00B047B3">
          <w:rPr>
            <w:noProof/>
            <w:webHidden/>
          </w:rPr>
        </w:r>
        <w:r w:rsidR="00B047B3">
          <w:rPr>
            <w:noProof/>
            <w:webHidden/>
          </w:rPr>
          <w:fldChar w:fldCharType="separate"/>
        </w:r>
        <w:r w:rsidR="00B047B3">
          <w:rPr>
            <w:noProof/>
            <w:webHidden/>
          </w:rPr>
          <w:t>56</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74" w:history="1">
        <w:r w:rsidR="00B047B3" w:rsidRPr="00ED6932">
          <w:rPr>
            <w:rStyle w:val="Hyperlink"/>
            <w:noProof/>
          </w:rPr>
          <w:t>4.9.2</w:t>
        </w:r>
        <w:r w:rsidR="00B047B3">
          <w:rPr>
            <w:rFonts w:asciiTheme="minorHAnsi" w:eastAsiaTheme="minorEastAsia" w:hAnsiTheme="minorHAnsi"/>
            <w:noProof/>
            <w:sz w:val="22"/>
            <w:lang w:val="en-US"/>
          </w:rPr>
          <w:tab/>
        </w:r>
        <w:r w:rsidR="00B047B3" w:rsidRPr="00ED6932">
          <w:rPr>
            <w:rStyle w:val="Hyperlink"/>
            <w:noProof/>
          </w:rPr>
          <w:t>Troškovna osnovica referentnog operatora</w:t>
        </w:r>
        <w:r w:rsidR="00B047B3">
          <w:rPr>
            <w:noProof/>
            <w:webHidden/>
          </w:rPr>
          <w:tab/>
        </w:r>
        <w:r w:rsidR="00B047B3">
          <w:rPr>
            <w:noProof/>
            <w:webHidden/>
          </w:rPr>
          <w:fldChar w:fldCharType="begin"/>
        </w:r>
        <w:r w:rsidR="00B047B3">
          <w:rPr>
            <w:noProof/>
            <w:webHidden/>
          </w:rPr>
          <w:instrText xml:space="preserve"> PAGEREF _Toc54261674 \h </w:instrText>
        </w:r>
        <w:r w:rsidR="00B047B3">
          <w:rPr>
            <w:noProof/>
            <w:webHidden/>
          </w:rPr>
        </w:r>
        <w:r w:rsidR="00B047B3">
          <w:rPr>
            <w:noProof/>
            <w:webHidden/>
          </w:rPr>
          <w:fldChar w:fldCharType="separate"/>
        </w:r>
        <w:r w:rsidR="00B047B3">
          <w:rPr>
            <w:noProof/>
            <w:webHidden/>
          </w:rPr>
          <w:t>56</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75" w:history="1">
        <w:r w:rsidR="00B047B3" w:rsidRPr="00ED6932">
          <w:rPr>
            <w:rStyle w:val="Hyperlink"/>
            <w:noProof/>
          </w:rPr>
          <w:t>4.9.3</w:t>
        </w:r>
        <w:r w:rsidR="00B047B3">
          <w:rPr>
            <w:rFonts w:asciiTheme="minorHAnsi" w:eastAsiaTheme="minorEastAsia" w:hAnsiTheme="minorHAnsi"/>
            <w:noProof/>
            <w:sz w:val="22"/>
            <w:lang w:val="en-US"/>
          </w:rPr>
          <w:tab/>
        </w:r>
        <w:r w:rsidR="00B047B3" w:rsidRPr="00ED6932">
          <w:rPr>
            <w:rStyle w:val="Hyperlink"/>
            <w:noProof/>
          </w:rPr>
          <w:t>Rezultirajući troškovi veleprodajnih usluga</w:t>
        </w:r>
        <w:r w:rsidR="00B047B3">
          <w:rPr>
            <w:noProof/>
            <w:webHidden/>
          </w:rPr>
          <w:tab/>
        </w:r>
        <w:r w:rsidR="00B047B3">
          <w:rPr>
            <w:noProof/>
            <w:webHidden/>
          </w:rPr>
          <w:fldChar w:fldCharType="begin"/>
        </w:r>
        <w:r w:rsidR="00B047B3">
          <w:rPr>
            <w:noProof/>
            <w:webHidden/>
          </w:rPr>
          <w:instrText xml:space="preserve"> PAGEREF _Toc54261675 \h </w:instrText>
        </w:r>
        <w:r w:rsidR="00B047B3">
          <w:rPr>
            <w:noProof/>
            <w:webHidden/>
          </w:rPr>
        </w:r>
        <w:r w:rsidR="00B047B3">
          <w:rPr>
            <w:noProof/>
            <w:webHidden/>
          </w:rPr>
          <w:fldChar w:fldCharType="separate"/>
        </w:r>
        <w:r w:rsidR="00B047B3">
          <w:rPr>
            <w:noProof/>
            <w:webHidden/>
          </w:rPr>
          <w:t>57</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76" w:history="1">
        <w:r w:rsidR="00B047B3" w:rsidRPr="00ED6932">
          <w:rPr>
            <w:rStyle w:val="Hyperlink"/>
            <w:noProof/>
          </w:rPr>
          <w:t>4.9.4</w:t>
        </w:r>
        <w:r w:rsidR="00B047B3">
          <w:rPr>
            <w:rFonts w:asciiTheme="minorHAnsi" w:eastAsiaTheme="minorEastAsia" w:hAnsiTheme="minorHAnsi"/>
            <w:noProof/>
            <w:sz w:val="22"/>
            <w:lang w:val="en-US"/>
          </w:rPr>
          <w:tab/>
        </w:r>
        <w:r w:rsidR="00B047B3" w:rsidRPr="00ED6932">
          <w:rPr>
            <w:rStyle w:val="Hyperlink"/>
            <w:noProof/>
          </w:rPr>
          <w:t>Dodatne usluge na tržištu M3a</w:t>
        </w:r>
        <w:r w:rsidR="00B047B3">
          <w:rPr>
            <w:noProof/>
            <w:webHidden/>
          </w:rPr>
          <w:tab/>
        </w:r>
        <w:r w:rsidR="00B047B3">
          <w:rPr>
            <w:noProof/>
            <w:webHidden/>
          </w:rPr>
          <w:fldChar w:fldCharType="begin"/>
        </w:r>
        <w:r w:rsidR="00B047B3">
          <w:rPr>
            <w:noProof/>
            <w:webHidden/>
          </w:rPr>
          <w:instrText xml:space="preserve"> PAGEREF _Toc54261676 \h </w:instrText>
        </w:r>
        <w:r w:rsidR="00B047B3">
          <w:rPr>
            <w:noProof/>
            <w:webHidden/>
          </w:rPr>
        </w:r>
        <w:r w:rsidR="00B047B3">
          <w:rPr>
            <w:noProof/>
            <w:webHidden/>
          </w:rPr>
          <w:fldChar w:fldCharType="separate"/>
        </w:r>
        <w:r w:rsidR="00B047B3">
          <w:rPr>
            <w:noProof/>
            <w:webHidden/>
          </w:rPr>
          <w:t>58</w:t>
        </w:r>
        <w:r w:rsidR="00B047B3">
          <w:rPr>
            <w:noProof/>
            <w:webHidden/>
          </w:rPr>
          <w:fldChar w:fldCharType="end"/>
        </w:r>
      </w:hyperlink>
    </w:p>
    <w:p w:rsidR="00B047B3" w:rsidRDefault="00864638">
      <w:pPr>
        <w:pStyle w:val="TOC1"/>
        <w:tabs>
          <w:tab w:val="left" w:pos="442"/>
          <w:tab w:val="right" w:leader="dot" w:pos="9062"/>
        </w:tabs>
        <w:rPr>
          <w:rFonts w:asciiTheme="minorHAnsi" w:eastAsiaTheme="minorEastAsia" w:hAnsiTheme="minorHAnsi"/>
          <w:noProof/>
          <w:sz w:val="22"/>
          <w:lang w:val="en-US"/>
        </w:rPr>
      </w:pPr>
      <w:hyperlink w:anchor="_Toc54261677" w:history="1">
        <w:r w:rsidR="00B047B3" w:rsidRPr="00ED6932">
          <w:rPr>
            <w:rStyle w:val="Hyperlink"/>
            <w:noProof/>
          </w:rPr>
          <w:t>5</w:t>
        </w:r>
        <w:r w:rsidR="00B047B3">
          <w:rPr>
            <w:rFonts w:asciiTheme="minorHAnsi" w:eastAsiaTheme="minorEastAsia" w:hAnsiTheme="minorHAnsi"/>
            <w:noProof/>
            <w:sz w:val="22"/>
            <w:lang w:val="en-US"/>
          </w:rPr>
          <w:tab/>
        </w:r>
        <w:r w:rsidR="00B047B3" w:rsidRPr="00ED6932">
          <w:rPr>
            <w:rStyle w:val="Hyperlink"/>
            <w:noProof/>
          </w:rPr>
          <w:t>Određivanje veleprodajnih cijena na tržištu M3a</w:t>
        </w:r>
        <w:r w:rsidR="00B047B3">
          <w:rPr>
            <w:noProof/>
            <w:webHidden/>
          </w:rPr>
          <w:tab/>
        </w:r>
        <w:r w:rsidR="00B047B3">
          <w:rPr>
            <w:noProof/>
            <w:webHidden/>
          </w:rPr>
          <w:fldChar w:fldCharType="begin"/>
        </w:r>
        <w:r w:rsidR="00B047B3">
          <w:rPr>
            <w:noProof/>
            <w:webHidden/>
          </w:rPr>
          <w:instrText xml:space="preserve"> PAGEREF _Toc54261677 \h </w:instrText>
        </w:r>
        <w:r w:rsidR="00B047B3">
          <w:rPr>
            <w:noProof/>
            <w:webHidden/>
          </w:rPr>
        </w:r>
        <w:r w:rsidR="00B047B3">
          <w:rPr>
            <w:noProof/>
            <w:webHidden/>
          </w:rPr>
          <w:fldChar w:fldCharType="separate"/>
        </w:r>
        <w:r w:rsidR="00B047B3">
          <w:rPr>
            <w:noProof/>
            <w:webHidden/>
          </w:rPr>
          <w:t>59</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78" w:history="1">
        <w:r w:rsidR="00B047B3" w:rsidRPr="00ED6932">
          <w:rPr>
            <w:rStyle w:val="Hyperlink"/>
          </w:rPr>
          <w:t>5.1</w:t>
        </w:r>
        <w:r w:rsidR="00B047B3">
          <w:rPr>
            <w:rFonts w:eastAsiaTheme="minorEastAsia" w:cstheme="minorBidi"/>
            <w:bCs w:val="0"/>
            <w:sz w:val="22"/>
            <w:lang w:val="en-US"/>
          </w:rPr>
          <w:tab/>
        </w:r>
        <w:r w:rsidR="00B047B3" w:rsidRPr="00ED6932">
          <w:rPr>
            <w:rStyle w:val="Hyperlink"/>
          </w:rPr>
          <w:t>Struktura cijena na tržištu M3a</w:t>
        </w:r>
        <w:r w:rsidR="00B047B3">
          <w:rPr>
            <w:webHidden/>
          </w:rPr>
          <w:tab/>
        </w:r>
        <w:r w:rsidR="00B047B3">
          <w:rPr>
            <w:webHidden/>
          </w:rPr>
          <w:fldChar w:fldCharType="begin"/>
        </w:r>
        <w:r w:rsidR="00B047B3">
          <w:rPr>
            <w:webHidden/>
          </w:rPr>
          <w:instrText xml:space="preserve"> PAGEREF _Toc54261678 \h </w:instrText>
        </w:r>
        <w:r w:rsidR="00B047B3">
          <w:rPr>
            <w:webHidden/>
          </w:rPr>
        </w:r>
        <w:r w:rsidR="00B047B3">
          <w:rPr>
            <w:webHidden/>
          </w:rPr>
          <w:fldChar w:fldCharType="separate"/>
        </w:r>
        <w:r w:rsidR="00B047B3">
          <w:rPr>
            <w:webHidden/>
          </w:rPr>
          <w:t>60</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79" w:history="1">
        <w:r w:rsidR="00B047B3" w:rsidRPr="00ED6932">
          <w:rPr>
            <w:rStyle w:val="Hyperlink"/>
          </w:rPr>
          <w:t>5.2</w:t>
        </w:r>
        <w:r w:rsidR="00B047B3">
          <w:rPr>
            <w:rFonts w:eastAsiaTheme="minorEastAsia" w:cstheme="minorBidi"/>
            <w:bCs w:val="0"/>
            <w:sz w:val="22"/>
            <w:lang w:val="en-US"/>
          </w:rPr>
          <w:tab/>
        </w:r>
        <w:r w:rsidR="00B047B3" w:rsidRPr="00ED6932">
          <w:rPr>
            <w:rStyle w:val="Hyperlink"/>
          </w:rPr>
          <w:t>Razdoblje kontrole cijena</w:t>
        </w:r>
        <w:r w:rsidR="00B047B3">
          <w:rPr>
            <w:webHidden/>
          </w:rPr>
          <w:tab/>
        </w:r>
        <w:r w:rsidR="00B047B3">
          <w:rPr>
            <w:webHidden/>
          </w:rPr>
          <w:fldChar w:fldCharType="begin"/>
        </w:r>
        <w:r w:rsidR="00B047B3">
          <w:rPr>
            <w:webHidden/>
          </w:rPr>
          <w:instrText xml:space="preserve"> PAGEREF _Toc54261679 \h </w:instrText>
        </w:r>
        <w:r w:rsidR="00B047B3">
          <w:rPr>
            <w:webHidden/>
          </w:rPr>
        </w:r>
        <w:r w:rsidR="00B047B3">
          <w:rPr>
            <w:webHidden/>
          </w:rPr>
          <w:fldChar w:fldCharType="separate"/>
        </w:r>
        <w:r w:rsidR="00B047B3">
          <w:rPr>
            <w:webHidden/>
          </w:rPr>
          <w:t>60</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80" w:history="1">
        <w:r w:rsidR="00B047B3" w:rsidRPr="00ED6932">
          <w:rPr>
            <w:rStyle w:val="Hyperlink"/>
          </w:rPr>
          <w:t>5.3</w:t>
        </w:r>
        <w:r w:rsidR="00B047B3">
          <w:rPr>
            <w:rFonts w:eastAsiaTheme="minorEastAsia" w:cstheme="minorBidi"/>
            <w:bCs w:val="0"/>
            <w:sz w:val="22"/>
            <w:lang w:val="en-US"/>
          </w:rPr>
          <w:tab/>
        </w:r>
        <w:r w:rsidR="00B047B3" w:rsidRPr="00ED6932">
          <w:rPr>
            <w:rStyle w:val="Hyperlink"/>
          </w:rPr>
          <w:t>Određivanje cijene usluge izdvojenog pristupa lokalnoj petlji na temelju bakrene parice (LLU)</w:t>
        </w:r>
        <w:r w:rsidR="00B047B3">
          <w:rPr>
            <w:webHidden/>
          </w:rPr>
          <w:tab/>
        </w:r>
        <w:r w:rsidR="00B047B3">
          <w:rPr>
            <w:webHidden/>
          </w:rPr>
          <w:fldChar w:fldCharType="begin"/>
        </w:r>
        <w:r w:rsidR="00B047B3">
          <w:rPr>
            <w:webHidden/>
          </w:rPr>
          <w:instrText xml:space="preserve"> PAGEREF _Toc54261680 \h </w:instrText>
        </w:r>
        <w:r w:rsidR="00B047B3">
          <w:rPr>
            <w:webHidden/>
          </w:rPr>
        </w:r>
        <w:r w:rsidR="00B047B3">
          <w:rPr>
            <w:webHidden/>
          </w:rPr>
          <w:fldChar w:fldCharType="separate"/>
        </w:r>
        <w:r w:rsidR="00B047B3">
          <w:rPr>
            <w:webHidden/>
          </w:rPr>
          <w:t>61</w:t>
        </w:r>
        <w:r w:rsidR="00B047B3">
          <w:rPr>
            <w:webHidden/>
          </w:rPr>
          <w:fldChar w:fldCharType="end"/>
        </w:r>
      </w:hyperlink>
    </w:p>
    <w:p w:rsidR="00B047B3" w:rsidRDefault="00864638">
      <w:pPr>
        <w:pStyle w:val="TOC3"/>
        <w:rPr>
          <w:rFonts w:asciiTheme="minorHAnsi" w:eastAsiaTheme="minorEastAsia" w:hAnsiTheme="minorHAnsi"/>
          <w:noProof/>
          <w:sz w:val="22"/>
          <w:lang w:val="en-US"/>
        </w:rPr>
      </w:pPr>
      <w:hyperlink w:anchor="_Toc54261681" w:history="1">
        <w:r w:rsidR="00B047B3" w:rsidRPr="00ED6932">
          <w:rPr>
            <w:rStyle w:val="Hyperlink"/>
            <w:noProof/>
          </w:rPr>
          <w:t>5.3.1</w:t>
        </w:r>
        <w:r w:rsidR="00B047B3">
          <w:rPr>
            <w:rFonts w:asciiTheme="minorHAnsi" w:eastAsiaTheme="minorEastAsia" w:hAnsiTheme="minorHAnsi"/>
            <w:noProof/>
            <w:sz w:val="22"/>
            <w:lang w:val="en-US"/>
          </w:rPr>
          <w:tab/>
        </w:r>
        <w:r w:rsidR="00B047B3" w:rsidRPr="00ED6932">
          <w:rPr>
            <w:rStyle w:val="Hyperlink"/>
            <w:noProof/>
          </w:rPr>
          <w:t>Razmatrane opcije kod određivanja cijene LLU usluge</w:t>
        </w:r>
        <w:r w:rsidR="00B047B3">
          <w:rPr>
            <w:noProof/>
            <w:webHidden/>
          </w:rPr>
          <w:tab/>
        </w:r>
        <w:r w:rsidR="00B047B3">
          <w:rPr>
            <w:noProof/>
            <w:webHidden/>
          </w:rPr>
          <w:fldChar w:fldCharType="begin"/>
        </w:r>
        <w:r w:rsidR="00B047B3">
          <w:rPr>
            <w:noProof/>
            <w:webHidden/>
          </w:rPr>
          <w:instrText xml:space="preserve"> PAGEREF _Toc54261681 \h </w:instrText>
        </w:r>
        <w:r w:rsidR="00B047B3">
          <w:rPr>
            <w:noProof/>
            <w:webHidden/>
          </w:rPr>
        </w:r>
        <w:r w:rsidR="00B047B3">
          <w:rPr>
            <w:noProof/>
            <w:webHidden/>
          </w:rPr>
          <w:fldChar w:fldCharType="separate"/>
        </w:r>
        <w:r w:rsidR="00B047B3">
          <w:rPr>
            <w:noProof/>
            <w:webHidden/>
          </w:rPr>
          <w:t>61</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82" w:history="1">
        <w:r w:rsidR="00B047B3" w:rsidRPr="00ED6932">
          <w:rPr>
            <w:rStyle w:val="Hyperlink"/>
            <w:noProof/>
          </w:rPr>
          <w:t>5.3.2</w:t>
        </w:r>
        <w:r w:rsidR="00B047B3">
          <w:rPr>
            <w:rFonts w:asciiTheme="minorHAnsi" w:eastAsiaTheme="minorEastAsia" w:hAnsiTheme="minorHAnsi"/>
            <w:noProof/>
            <w:sz w:val="22"/>
            <w:lang w:val="en-US"/>
          </w:rPr>
          <w:tab/>
        </w:r>
        <w:r w:rsidR="00B047B3" w:rsidRPr="00ED6932">
          <w:rPr>
            <w:rStyle w:val="Hyperlink"/>
            <w:noProof/>
          </w:rPr>
          <w:t>Cijena LLU usluge</w:t>
        </w:r>
        <w:r w:rsidR="00B047B3">
          <w:rPr>
            <w:noProof/>
            <w:webHidden/>
          </w:rPr>
          <w:tab/>
        </w:r>
        <w:r w:rsidR="00B047B3">
          <w:rPr>
            <w:noProof/>
            <w:webHidden/>
          </w:rPr>
          <w:fldChar w:fldCharType="begin"/>
        </w:r>
        <w:r w:rsidR="00B047B3">
          <w:rPr>
            <w:noProof/>
            <w:webHidden/>
          </w:rPr>
          <w:instrText xml:space="preserve"> PAGEREF _Toc54261682 \h </w:instrText>
        </w:r>
        <w:r w:rsidR="00B047B3">
          <w:rPr>
            <w:noProof/>
            <w:webHidden/>
          </w:rPr>
        </w:r>
        <w:r w:rsidR="00B047B3">
          <w:rPr>
            <w:noProof/>
            <w:webHidden/>
          </w:rPr>
          <w:fldChar w:fldCharType="separate"/>
        </w:r>
        <w:r w:rsidR="00B047B3">
          <w:rPr>
            <w:noProof/>
            <w:webHidden/>
          </w:rPr>
          <w:t>65</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83" w:history="1">
        <w:r w:rsidR="00B047B3" w:rsidRPr="00ED6932">
          <w:rPr>
            <w:rStyle w:val="Hyperlink"/>
          </w:rPr>
          <w:t>5.4</w:t>
        </w:r>
        <w:r w:rsidR="00B047B3">
          <w:rPr>
            <w:rFonts w:eastAsiaTheme="minorEastAsia" w:cstheme="minorBidi"/>
            <w:bCs w:val="0"/>
            <w:sz w:val="22"/>
            <w:lang w:val="en-US"/>
          </w:rPr>
          <w:tab/>
        </w:r>
        <w:r w:rsidR="00B047B3" w:rsidRPr="00ED6932">
          <w:rPr>
            <w:rStyle w:val="Hyperlink"/>
          </w:rPr>
          <w:t>Određivanje cijene usluge pristupa pasivnoj pristupnoj svjetlovodnoj mreži na lokaciji distribucijskog čvora (FA PON)</w:t>
        </w:r>
        <w:r w:rsidR="00B047B3">
          <w:rPr>
            <w:webHidden/>
          </w:rPr>
          <w:tab/>
        </w:r>
        <w:r w:rsidR="00B047B3">
          <w:rPr>
            <w:webHidden/>
          </w:rPr>
          <w:fldChar w:fldCharType="begin"/>
        </w:r>
        <w:r w:rsidR="00B047B3">
          <w:rPr>
            <w:webHidden/>
          </w:rPr>
          <w:instrText xml:space="preserve"> PAGEREF _Toc54261683 \h </w:instrText>
        </w:r>
        <w:r w:rsidR="00B047B3">
          <w:rPr>
            <w:webHidden/>
          </w:rPr>
        </w:r>
        <w:r w:rsidR="00B047B3">
          <w:rPr>
            <w:webHidden/>
          </w:rPr>
          <w:fldChar w:fldCharType="separate"/>
        </w:r>
        <w:r w:rsidR="00B047B3">
          <w:rPr>
            <w:webHidden/>
          </w:rPr>
          <w:t>66</w:t>
        </w:r>
        <w:r w:rsidR="00B047B3">
          <w:rPr>
            <w:webHidden/>
          </w:rPr>
          <w:fldChar w:fldCharType="end"/>
        </w:r>
      </w:hyperlink>
    </w:p>
    <w:p w:rsidR="00B047B3" w:rsidRDefault="00864638">
      <w:pPr>
        <w:pStyle w:val="TOC3"/>
        <w:rPr>
          <w:rFonts w:asciiTheme="minorHAnsi" w:eastAsiaTheme="minorEastAsia" w:hAnsiTheme="minorHAnsi"/>
          <w:noProof/>
          <w:sz w:val="22"/>
          <w:lang w:val="en-US"/>
        </w:rPr>
      </w:pPr>
      <w:hyperlink w:anchor="_Toc54261684" w:history="1">
        <w:r w:rsidR="00B047B3" w:rsidRPr="00ED6932">
          <w:rPr>
            <w:rStyle w:val="Hyperlink"/>
            <w:noProof/>
          </w:rPr>
          <w:t>5.4.1</w:t>
        </w:r>
        <w:r w:rsidR="00B047B3">
          <w:rPr>
            <w:rFonts w:asciiTheme="minorHAnsi" w:eastAsiaTheme="minorEastAsia" w:hAnsiTheme="minorHAnsi"/>
            <w:noProof/>
            <w:sz w:val="22"/>
            <w:lang w:val="en-US"/>
          </w:rPr>
          <w:tab/>
        </w:r>
        <w:r w:rsidR="00B047B3" w:rsidRPr="00ED6932">
          <w:rPr>
            <w:rStyle w:val="Hyperlink"/>
            <w:noProof/>
          </w:rPr>
          <w:t>Razmatrane opcije kod određivanja cijene usluge pristupa pasivnoj pristupnoj svjetlovodnoj mreži na lokaciji distribucijskog čvora (FA PON)</w:t>
        </w:r>
        <w:r w:rsidR="00B047B3">
          <w:rPr>
            <w:noProof/>
            <w:webHidden/>
          </w:rPr>
          <w:tab/>
        </w:r>
        <w:r w:rsidR="00B047B3">
          <w:rPr>
            <w:noProof/>
            <w:webHidden/>
          </w:rPr>
          <w:fldChar w:fldCharType="begin"/>
        </w:r>
        <w:r w:rsidR="00B047B3">
          <w:rPr>
            <w:noProof/>
            <w:webHidden/>
          </w:rPr>
          <w:instrText xml:space="preserve"> PAGEREF _Toc54261684 \h </w:instrText>
        </w:r>
        <w:r w:rsidR="00B047B3">
          <w:rPr>
            <w:noProof/>
            <w:webHidden/>
          </w:rPr>
        </w:r>
        <w:r w:rsidR="00B047B3">
          <w:rPr>
            <w:noProof/>
            <w:webHidden/>
          </w:rPr>
          <w:fldChar w:fldCharType="separate"/>
        </w:r>
        <w:r w:rsidR="00B047B3">
          <w:rPr>
            <w:noProof/>
            <w:webHidden/>
          </w:rPr>
          <w:t>66</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85" w:history="1">
        <w:r w:rsidR="00B047B3" w:rsidRPr="00ED6932">
          <w:rPr>
            <w:rStyle w:val="Hyperlink"/>
            <w:noProof/>
          </w:rPr>
          <w:t>5.4.2</w:t>
        </w:r>
        <w:r w:rsidR="00B047B3">
          <w:rPr>
            <w:rFonts w:asciiTheme="minorHAnsi" w:eastAsiaTheme="minorEastAsia" w:hAnsiTheme="minorHAnsi"/>
            <w:noProof/>
            <w:sz w:val="22"/>
            <w:lang w:val="en-US"/>
          </w:rPr>
          <w:tab/>
        </w:r>
        <w:r w:rsidR="00B047B3" w:rsidRPr="00ED6932">
          <w:rPr>
            <w:rStyle w:val="Hyperlink"/>
            <w:noProof/>
          </w:rPr>
          <w:t>Cijene FA PON usluge</w:t>
        </w:r>
        <w:r w:rsidR="00B047B3">
          <w:rPr>
            <w:noProof/>
            <w:webHidden/>
          </w:rPr>
          <w:tab/>
        </w:r>
        <w:r w:rsidR="00B047B3">
          <w:rPr>
            <w:noProof/>
            <w:webHidden/>
          </w:rPr>
          <w:fldChar w:fldCharType="begin"/>
        </w:r>
        <w:r w:rsidR="00B047B3">
          <w:rPr>
            <w:noProof/>
            <w:webHidden/>
          </w:rPr>
          <w:instrText xml:space="preserve"> PAGEREF _Toc54261685 \h </w:instrText>
        </w:r>
        <w:r w:rsidR="00B047B3">
          <w:rPr>
            <w:noProof/>
            <w:webHidden/>
          </w:rPr>
        </w:r>
        <w:r w:rsidR="00B047B3">
          <w:rPr>
            <w:noProof/>
            <w:webHidden/>
          </w:rPr>
          <w:fldChar w:fldCharType="separate"/>
        </w:r>
        <w:r w:rsidR="00B047B3">
          <w:rPr>
            <w:noProof/>
            <w:webHidden/>
          </w:rPr>
          <w:t>69</w:t>
        </w:r>
        <w:r w:rsidR="00B047B3">
          <w:rPr>
            <w:noProof/>
            <w:webHidden/>
          </w:rPr>
          <w:fldChar w:fldCharType="end"/>
        </w:r>
      </w:hyperlink>
    </w:p>
    <w:p w:rsidR="00B047B3" w:rsidRDefault="00864638">
      <w:pPr>
        <w:pStyle w:val="TOC3"/>
        <w:rPr>
          <w:rFonts w:asciiTheme="minorHAnsi" w:eastAsiaTheme="minorEastAsia" w:hAnsiTheme="minorHAnsi"/>
          <w:noProof/>
          <w:sz w:val="22"/>
          <w:lang w:val="en-US"/>
        </w:rPr>
      </w:pPr>
      <w:hyperlink w:anchor="_Toc54261686" w:history="1">
        <w:r w:rsidR="00B047B3" w:rsidRPr="00ED6932">
          <w:rPr>
            <w:rStyle w:val="Hyperlink"/>
            <w:noProof/>
          </w:rPr>
          <w:t>5.4.3</w:t>
        </w:r>
        <w:r w:rsidR="00B047B3">
          <w:rPr>
            <w:rFonts w:asciiTheme="minorHAnsi" w:eastAsiaTheme="minorEastAsia" w:hAnsiTheme="minorHAnsi"/>
            <w:noProof/>
            <w:sz w:val="22"/>
            <w:lang w:val="en-US"/>
          </w:rPr>
          <w:tab/>
        </w:r>
        <w:r w:rsidR="00B047B3" w:rsidRPr="00ED6932">
          <w:rPr>
            <w:rStyle w:val="Hyperlink"/>
            <w:noProof/>
          </w:rPr>
          <w:t>Određivanje cijene usluge najma svjetlovodne niti bez prijenosne opreme (</w:t>
        </w:r>
        <w:r w:rsidR="00B047B3" w:rsidRPr="00ED6932">
          <w:rPr>
            <w:rStyle w:val="Hyperlink"/>
            <w:i/>
            <w:noProof/>
          </w:rPr>
          <w:t>dark fibre</w:t>
        </w:r>
        <w:r w:rsidR="00B047B3" w:rsidRPr="00ED6932">
          <w:rPr>
            <w:rStyle w:val="Hyperlink"/>
            <w:noProof/>
          </w:rPr>
          <w:t>)</w:t>
        </w:r>
        <w:r w:rsidR="00B047B3">
          <w:rPr>
            <w:noProof/>
            <w:webHidden/>
          </w:rPr>
          <w:tab/>
        </w:r>
        <w:r w:rsidR="00B047B3">
          <w:rPr>
            <w:noProof/>
            <w:webHidden/>
          </w:rPr>
          <w:fldChar w:fldCharType="begin"/>
        </w:r>
        <w:r w:rsidR="00B047B3">
          <w:rPr>
            <w:noProof/>
            <w:webHidden/>
          </w:rPr>
          <w:instrText xml:space="preserve"> PAGEREF _Toc54261686 \h </w:instrText>
        </w:r>
        <w:r w:rsidR="00B047B3">
          <w:rPr>
            <w:noProof/>
            <w:webHidden/>
          </w:rPr>
        </w:r>
        <w:r w:rsidR="00B047B3">
          <w:rPr>
            <w:noProof/>
            <w:webHidden/>
          </w:rPr>
          <w:fldChar w:fldCharType="separate"/>
        </w:r>
        <w:r w:rsidR="00B047B3">
          <w:rPr>
            <w:noProof/>
            <w:webHidden/>
          </w:rPr>
          <w:t>69</w:t>
        </w:r>
        <w:r w:rsidR="00B047B3">
          <w:rPr>
            <w:noProof/>
            <w:webHidden/>
          </w:rPr>
          <w:fldChar w:fldCharType="end"/>
        </w:r>
      </w:hyperlink>
    </w:p>
    <w:p w:rsidR="00B047B3" w:rsidRDefault="00864638">
      <w:pPr>
        <w:pStyle w:val="TOC1"/>
        <w:tabs>
          <w:tab w:val="left" w:pos="442"/>
          <w:tab w:val="right" w:leader="dot" w:pos="9062"/>
        </w:tabs>
        <w:rPr>
          <w:rFonts w:asciiTheme="minorHAnsi" w:eastAsiaTheme="minorEastAsia" w:hAnsiTheme="minorHAnsi"/>
          <w:noProof/>
          <w:sz w:val="22"/>
          <w:lang w:val="en-US"/>
        </w:rPr>
      </w:pPr>
      <w:hyperlink w:anchor="_Toc54261687" w:history="1">
        <w:r w:rsidR="00B047B3" w:rsidRPr="00ED6932">
          <w:rPr>
            <w:rStyle w:val="Hyperlink"/>
            <w:noProof/>
          </w:rPr>
          <w:t>6</w:t>
        </w:r>
        <w:r w:rsidR="00B047B3">
          <w:rPr>
            <w:rFonts w:asciiTheme="minorHAnsi" w:eastAsiaTheme="minorEastAsia" w:hAnsiTheme="minorHAnsi"/>
            <w:noProof/>
            <w:sz w:val="22"/>
            <w:lang w:val="en-US"/>
          </w:rPr>
          <w:tab/>
        </w:r>
        <w:r w:rsidR="00B047B3" w:rsidRPr="00ED6932">
          <w:rPr>
            <w:rStyle w:val="Hyperlink"/>
            <w:noProof/>
          </w:rPr>
          <w:t>Popis slika</w:t>
        </w:r>
        <w:r w:rsidR="00B047B3">
          <w:rPr>
            <w:noProof/>
            <w:webHidden/>
          </w:rPr>
          <w:tab/>
        </w:r>
        <w:r w:rsidR="00B047B3">
          <w:rPr>
            <w:noProof/>
            <w:webHidden/>
          </w:rPr>
          <w:fldChar w:fldCharType="begin"/>
        </w:r>
        <w:r w:rsidR="00B047B3">
          <w:rPr>
            <w:noProof/>
            <w:webHidden/>
          </w:rPr>
          <w:instrText xml:space="preserve"> PAGEREF _Toc54261687 \h </w:instrText>
        </w:r>
        <w:r w:rsidR="00B047B3">
          <w:rPr>
            <w:noProof/>
            <w:webHidden/>
          </w:rPr>
        </w:r>
        <w:r w:rsidR="00B047B3">
          <w:rPr>
            <w:noProof/>
            <w:webHidden/>
          </w:rPr>
          <w:fldChar w:fldCharType="separate"/>
        </w:r>
        <w:r w:rsidR="00B047B3">
          <w:rPr>
            <w:noProof/>
            <w:webHidden/>
          </w:rPr>
          <w:t>71</w:t>
        </w:r>
        <w:r w:rsidR="00B047B3">
          <w:rPr>
            <w:noProof/>
            <w:webHidden/>
          </w:rPr>
          <w:fldChar w:fldCharType="end"/>
        </w:r>
      </w:hyperlink>
    </w:p>
    <w:p w:rsidR="00B047B3" w:rsidRDefault="00864638">
      <w:pPr>
        <w:pStyle w:val="TOC1"/>
        <w:tabs>
          <w:tab w:val="left" w:pos="442"/>
          <w:tab w:val="right" w:leader="dot" w:pos="9062"/>
        </w:tabs>
        <w:rPr>
          <w:rFonts w:asciiTheme="minorHAnsi" w:eastAsiaTheme="minorEastAsia" w:hAnsiTheme="minorHAnsi"/>
          <w:noProof/>
          <w:sz w:val="22"/>
          <w:lang w:val="en-US"/>
        </w:rPr>
      </w:pPr>
      <w:hyperlink w:anchor="_Toc54261688" w:history="1">
        <w:r w:rsidR="00B047B3" w:rsidRPr="00ED6932">
          <w:rPr>
            <w:rStyle w:val="Hyperlink"/>
            <w:noProof/>
          </w:rPr>
          <w:t>7</w:t>
        </w:r>
        <w:r w:rsidR="00B047B3">
          <w:rPr>
            <w:rFonts w:asciiTheme="minorHAnsi" w:eastAsiaTheme="minorEastAsia" w:hAnsiTheme="minorHAnsi"/>
            <w:noProof/>
            <w:sz w:val="22"/>
            <w:lang w:val="en-US"/>
          </w:rPr>
          <w:tab/>
        </w:r>
        <w:r w:rsidR="00B047B3" w:rsidRPr="00ED6932">
          <w:rPr>
            <w:rStyle w:val="Hyperlink"/>
            <w:noProof/>
          </w:rPr>
          <w:t>Popis tablica</w:t>
        </w:r>
        <w:r w:rsidR="00B047B3">
          <w:rPr>
            <w:noProof/>
            <w:webHidden/>
          </w:rPr>
          <w:tab/>
        </w:r>
        <w:r w:rsidR="00B047B3">
          <w:rPr>
            <w:noProof/>
            <w:webHidden/>
          </w:rPr>
          <w:fldChar w:fldCharType="begin"/>
        </w:r>
        <w:r w:rsidR="00B047B3">
          <w:rPr>
            <w:noProof/>
            <w:webHidden/>
          </w:rPr>
          <w:instrText xml:space="preserve"> PAGEREF _Toc54261688 \h </w:instrText>
        </w:r>
        <w:r w:rsidR="00B047B3">
          <w:rPr>
            <w:noProof/>
            <w:webHidden/>
          </w:rPr>
        </w:r>
        <w:r w:rsidR="00B047B3">
          <w:rPr>
            <w:noProof/>
            <w:webHidden/>
          </w:rPr>
          <w:fldChar w:fldCharType="separate"/>
        </w:r>
        <w:r w:rsidR="00B047B3">
          <w:rPr>
            <w:noProof/>
            <w:webHidden/>
          </w:rPr>
          <w:t>72</w:t>
        </w:r>
        <w:r w:rsidR="00B047B3">
          <w:rPr>
            <w:noProof/>
            <w:webHidden/>
          </w:rPr>
          <w:fldChar w:fldCharType="end"/>
        </w:r>
      </w:hyperlink>
    </w:p>
    <w:p w:rsidR="00B047B3" w:rsidRDefault="00864638">
      <w:pPr>
        <w:pStyle w:val="TOC1"/>
        <w:tabs>
          <w:tab w:val="left" w:pos="442"/>
          <w:tab w:val="right" w:leader="dot" w:pos="9062"/>
        </w:tabs>
        <w:rPr>
          <w:rFonts w:asciiTheme="minorHAnsi" w:eastAsiaTheme="minorEastAsia" w:hAnsiTheme="minorHAnsi"/>
          <w:noProof/>
          <w:sz w:val="22"/>
          <w:lang w:val="en-US"/>
        </w:rPr>
      </w:pPr>
      <w:hyperlink w:anchor="_Toc54261689" w:history="1">
        <w:r w:rsidR="00B047B3" w:rsidRPr="00ED6932">
          <w:rPr>
            <w:rStyle w:val="Hyperlink"/>
            <w:noProof/>
          </w:rPr>
          <w:t>8</w:t>
        </w:r>
        <w:r w:rsidR="00B047B3">
          <w:rPr>
            <w:rFonts w:asciiTheme="minorHAnsi" w:eastAsiaTheme="minorEastAsia" w:hAnsiTheme="minorHAnsi"/>
            <w:noProof/>
            <w:sz w:val="22"/>
            <w:lang w:val="en-US"/>
          </w:rPr>
          <w:tab/>
        </w:r>
        <w:r w:rsidR="00B047B3" w:rsidRPr="00ED6932">
          <w:rPr>
            <w:rStyle w:val="Hyperlink"/>
            <w:noProof/>
          </w:rPr>
          <w:t>Privitci</w:t>
        </w:r>
        <w:r w:rsidR="00B047B3">
          <w:rPr>
            <w:noProof/>
            <w:webHidden/>
          </w:rPr>
          <w:tab/>
        </w:r>
        <w:r w:rsidR="00B047B3">
          <w:rPr>
            <w:noProof/>
            <w:webHidden/>
          </w:rPr>
          <w:fldChar w:fldCharType="begin"/>
        </w:r>
        <w:r w:rsidR="00B047B3">
          <w:rPr>
            <w:noProof/>
            <w:webHidden/>
          </w:rPr>
          <w:instrText xml:space="preserve"> PAGEREF _Toc54261689 \h </w:instrText>
        </w:r>
        <w:r w:rsidR="00B047B3">
          <w:rPr>
            <w:noProof/>
            <w:webHidden/>
          </w:rPr>
        </w:r>
        <w:r w:rsidR="00B047B3">
          <w:rPr>
            <w:noProof/>
            <w:webHidden/>
          </w:rPr>
          <w:fldChar w:fldCharType="separate"/>
        </w:r>
        <w:r w:rsidR="00B047B3">
          <w:rPr>
            <w:noProof/>
            <w:webHidden/>
          </w:rPr>
          <w:t>73</w:t>
        </w:r>
        <w:r w:rsidR="00B047B3">
          <w:rPr>
            <w:noProof/>
            <w:webHidden/>
          </w:rPr>
          <w:fldChar w:fldCharType="end"/>
        </w:r>
      </w:hyperlink>
    </w:p>
    <w:p w:rsidR="00B047B3" w:rsidRDefault="00864638">
      <w:pPr>
        <w:pStyle w:val="TOC2"/>
        <w:rPr>
          <w:rFonts w:eastAsiaTheme="minorEastAsia" w:cstheme="minorBidi"/>
          <w:bCs w:val="0"/>
          <w:sz w:val="22"/>
          <w:lang w:val="en-US"/>
        </w:rPr>
      </w:pPr>
      <w:hyperlink w:anchor="_Toc54261690" w:history="1">
        <w:r w:rsidR="00B047B3" w:rsidRPr="00ED6932">
          <w:rPr>
            <w:rStyle w:val="Hyperlink"/>
          </w:rPr>
          <w:t>8.1</w:t>
        </w:r>
        <w:r w:rsidR="00B047B3">
          <w:rPr>
            <w:rFonts w:eastAsiaTheme="minorEastAsia" w:cstheme="minorBidi"/>
            <w:bCs w:val="0"/>
            <w:sz w:val="22"/>
            <w:lang w:val="en-US"/>
          </w:rPr>
          <w:tab/>
        </w:r>
        <w:r w:rsidR="00B047B3" w:rsidRPr="00ED6932">
          <w:rPr>
            <w:rStyle w:val="Hyperlink"/>
          </w:rPr>
          <w:t>Izvještaj o metodološkim načelima</w:t>
        </w:r>
        <w:r w:rsidR="00B047B3">
          <w:rPr>
            <w:webHidden/>
          </w:rPr>
          <w:tab/>
        </w:r>
        <w:r w:rsidR="00B047B3">
          <w:rPr>
            <w:webHidden/>
          </w:rPr>
          <w:fldChar w:fldCharType="begin"/>
        </w:r>
        <w:r w:rsidR="00B047B3">
          <w:rPr>
            <w:webHidden/>
          </w:rPr>
          <w:instrText xml:space="preserve"> PAGEREF _Toc54261690 \h </w:instrText>
        </w:r>
        <w:r w:rsidR="00B047B3">
          <w:rPr>
            <w:webHidden/>
          </w:rPr>
        </w:r>
        <w:r w:rsidR="00B047B3">
          <w:rPr>
            <w:webHidden/>
          </w:rPr>
          <w:fldChar w:fldCharType="separate"/>
        </w:r>
        <w:r w:rsidR="00B047B3">
          <w:rPr>
            <w:webHidden/>
          </w:rPr>
          <w:t>73</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91" w:history="1">
        <w:r w:rsidR="00B047B3" w:rsidRPr="00ED6932">
          <w:rPr>
            <w:rStyle w:val="Hyperlink"/>
          </w:rPr>
          <w:t>8.2</w:t>
        </w:r>
        <w:r w:rsidR="00B047B3">
          <w:rPr>
            <w:rFonts w:eastAsiaTheme="minorEastAsia" w:cstheme="minorBidi"/>
            <w:bCs w:val="0"/>
            <w:sz w:val="22"/>
            <w:lang w:val="en-US"/>
          </w:rPr>
          <w:tab/>
        </w:r>
        <w:r w:rsidR="00B047B3" w:rsidRPr="00ED6932">
          <w:rPr>
            <w:rStyle w:val="Hyperlink"/>
          </w:rPr>
          <w:t xml:space="preserve">Opisni priručnik Troškovnog modela (eng. </w:t>
        </w:r>
        <w:r w:rsidR="00B047B3" w:rsidRPr="00ED6932">
          <w:rPr>
            <w:rStyle w:val="Hyperlink"/>
            <w:i/>
          </w:rPr>
          <w:t>Descriptive Manual</w:t>
        </w:r>
        <w:r w:rsidR="00B047B3" w:rsidRPr="00ED6932">
          <w:rPr>
            <w:rStyle w:val="Hyperlink"/>
          </w:rPr>
          <w:t>)</w:t>
        </w:r>
        <w:r w:rsidR="00B047B3">
          <w:rPr>
            <w:webHidden/>
          </w:rPr>
          <w:tab/>
        </w:r>
        <w:r w:rsidR="00B047B3">
          <w:rPr>
            <w:webHidden/>
          </w:rPr>
          <w:fldChar w:fldCharType="begin"/>
        </w:r>
        <w:r w:rsidR="00B047B3">
          <w:rPr>
            <w:webHidden/>
          </w:rPr>
          <w:instrText xml:space="preserve"> PAGEREF _Toc54261691 \h </w:instrText>
        </w:r>
        <w:r w:rsidR="00B047B3">
          <w:rPr>
            <w:webHidden/>
          </w:rPr>
        </w:r>
        <w:r w:rsidR="00B047B3">
          <w:rPr>
            <w:webHidden/>
          </w:rPr>
          <w:fldChar w:fldCharType="separate"/>
        </w:r>
        <w:r w:rsidR="00B047B3">
          <w:rPr>
            <w:webHidden/>
          </w:rPr>
          <w:t>74</w:t>
        </w:r>
        <w:r w:rsidR="00B047B3">
          <w:rPr>
            <w:webHidden/>
          </w:rPr>
          <w:fldChar w:fldCharType="end"/>
        </w:r>
      </w:hyperlink>
    </w:p>
    <w:p w:rsidR="00B047B3" w:rsidRDefault="00864638">
      <w:pPr>
        <w:pStyle w:val="TOC2"/>
        <w:rPr>
          <w:rFonts w:eastAsiaTheme="minorEastAsia" w:cstheme="minorBidi"/>
          <w:bCs w:val="0"/>
          <w:sz w:val="22"/>
          <w:lang w:val="en-US"/>
        </w:rPr>
      </w:pPr>
      <w:hyperlink w:anchor="_Toc54261692" w:history="1">
        <w:r w:rsidR="00B047B3" w:rsidRPr="00ED6932">
          <w:rPr>
            <w:rStyle w:val="Hyperlink"/>
          </w:rPr>
          <w:t>8.3</w:t>
        </w:r>
        <w:r w:rsidR="00B047B3">
          <w:rPr>
            <w:rFonts w:eastAsiaTheme="minorEastAsia" w:cstheme="minorBidi"/>
            <w:bCs w:val="0"/>
            <w:sz w:val="22"/>
            <w:lang w:val="en-US"/>
          </w:rPr>
          <w:tab/>
        </w:r>
        <w:r w:rsidR="00B047B3" w:rsidRPr="00ED6932">
          <w:rPr>
            <w:rStyle w:val="Hyperlink"/>
          </w:rPr>
          <w:t>Popis korištenih kratica i izraza</w:t>
        </w:r>
        <w:r w:rsidR="00B047B3">
          <w:rPr>
            <w:webHidden/>
          </w:rPr>
          <w:tab/>
        </w:r>
        <w:r w:rsidR="00B047B3">
          <w:rPr>
            <w:webHidden/>
          </w:rPr>
          <w:fldChar w:fldCharType="begin"/>
        </w:r>
        <w:r w:rsidR="00B047B3">
          <w:rPr>
            <w:webHidden/>
          </w:rPr>
          <w:instrText xml:space="preserve"> PAGEREF _Toc54261692 \h </w:instrText>
        </w:r>
        <w:r w:rsidR="00B047B3">
          <w:rPr>
            <w:webHidden/>
          </w:rPr>
        </w:r>
        <w:r w:rsidR="00B047B3">
          <w:rPr>
            <w:webHidden/>
          </w:rPr>
          <w:fldChar w:fldCharType="separate"/>
        </w:r>
        <w:r w:rsidR="00B047B3">
          <w:rPr>
            <w:webHidden/>
          </w:rPr>
          <w:t>75</w:t>
        </w:r>
        <w:r w:rsidR="00B047B3">
          <w:rPr>
            <w:webHidden/>
          </w:rPr>
          <w:fldChar w:fldCharType="end"/>
        </w:r>
      </w:hyperlink>
    </w:p>
    <w:p w:rsidR="00850982" w:rsidRPr="00850982" w:rsidRDefault="003A6F28" w:rsidP="00850982">
      <w:pPr>
        <w:rPr>
          <w:lang w:eastAsia="hr-HR"/>
        </w:rPr>
      </w:pPr>
      <w:r w:rsidRPr="003B67CF">
        <w:rPr>
          <w:bCs/>
        </w:rPr>
        <w:fldChar w:fldCharType="end"/>
      </w:r>
    </w:p>
    <w:p w:rsidR="00414E4A" w:rsidRDefault="00414E4A" w:rsidP="00850982">
      <w:pPr>
        <w:sectPr w:rsidR="00414E4A" w:rsidSect="002554C1">
          <w:headerReference w:type="default" r:id="rId14"/>
          <w:footerReference w:type="default" r:id="rId15"/>
          <w:pgSz w:w="11906" w:h="16838"/>
          <w:pgMar w:top="1417" w:right="1417" w:bottom="1417" w:left="1417" w:header="708" w:footer="708" w:gutter="0"/>
          <w:pgNumType w:start="1"/>
          <w:cols w:space="708"/>
          <w:docGrid w:linePitch="360"/>
        </w:sectPr>
      </w:pPr>
    </w:p>
    <w:p w:rsidR="000E4ECF" w:rsidRPr="00DD0407" w:rsidRDefault="000E4ECF" w:rsidP="00DD0407">
      <w:pPr>
        <w:pStyle w:val="Heading1"/>
      </w:pPr>
      <w:bookmarkStart w:id="3" w:name="_Toc51676818"/>
      <w:bookmarkStart w:id="4" w:name="_Toc53941950"/>
      <w:bookmarkStart w:id="5" w:name="_Toc54250925"/>
      <w:bookmarkStart w:id="6" w:name="_Toc54252823"/>
      <w:bookmarkStart w:id="7" w:name="_Toc54261635"/>
      <w:r w:rsidRPr="00DD0407">
        <w:t>Sažeti pregled dokumenta</w:t>
      </w:r>
      <w:bookmarkEnd w:id="3"/>
      <w:bookmarkEnd w:id="4"/>
      <w:bookmarkEnd w:id="5"/>
      <w:bookmarkEnd w:id="6"/>
      <w:bookmarkEnd w:id="7"/>
      <w:r w:rsidR="00332A9D" w:rsidRPr="00DD0407">
        <w:t xml:space="preserve"> </w:t>
      </w:r>
    </w:p>
    <w:p w:rsidR="00620B1D" w:rsidRDefault="00620B1D" w:rsidP="00620B1D">
      <w:pPr>
        <w:jc w:val="both"/>
        <w:rPr>
          <w:sz w:val="24"/>
          <w:szCs w:val="24"/>
        </w:rPr>
      </w:pPr>
      <w:r>
        <w:rPr>
          <w:sz w:val="24"/>
          <w:szCs w:val="24"/>
        </w:rPr>
        <w:t>HAKOM je Odlukom o analizi tržišta M3a odredio HT-u obvezu nadzora cijena veleprodajnih usluga, u okviru je određena i troškovna usmjerenost cijena. Troškovno usmjerene cijene se ne određuju samom Analizom tržišta, nego u zasebnom postupku. Veleprodajne usluge za koje se u okviru ovoga postupka određuju cijene su:</w:t>
      </w:r>
    </w:p>
    <w:p w:rsidR="00620B1D" w:rsidRDefault="001504C0" w:rsidP="00620B1D">
      <w:pPr>
        <w:pStyle w:val="ListParagraph"/>
        <w:numPr>
          <w:ilvl w:val="0"/>
          <w:numId w:val="45"/>
        </w:numPr>
        <w:jc w:val="both"/>
        <w:rPr>
          <w:sz w:val="24"/>
          <w:szCs w:val="24"/>
        </w:rPr>
      </w:pPr>
      <w:r>
        <w:rPr>
          <w:sz w:val="24"/>
          <w:szCs w:val="24"/>
        </w:rPr>
        <w:t xml:space="preserve">usluga </w:t>
      </w:r>
      <w:r w:rsidR="00620B1D">
        <w:rPr>
          <w:sz w:val="24"/>
          <w:szCs w:val="24"/>
        </w:rPr>
        <w:t>koja se pruža putem bakrene pristupne mreže - usluga izdvojenog pristupa lokalnoj petlji (</w:t>
      </w:r>
      <w:r w:rsidR="007E3C26">
        <w:rPr>
          <w:sz w:val="24"/>
          <w:szCs w:val="24"/>
        </w:rPr>
        <w:t>LLU</w:t>
      </w:r>
      <w:r w:rsidR="00620B1D">
        <w:rPr>
          <w:sz w:val="24"/>
          <w:szCs w:val="24"/>
        </w:rPr>
        <w:t>)</w:t>
      </w:r>
      <w:r>
        <w:rPr>
          <w:sz w:val="24"/>
          <w:szCs w:val="24"/>
        </w:rPr>
        <w:t>;</w:t>
      </w:r>
      <w:r w:rsidR="00620B1D">
        <w:rPr>
          <w:sz w:val="24"/>
          <w:szCs w:val="24"/>
        </w:rPr>
        <w:t xml:space="preserve"> </w:t>
      </w:r>
    </w:p>
    <w:p w:rsidR="00620B1D" w:rsidRDefault="001504C0" w:rsidP="00620B1D">
      <w:pPr>
        <w:pStyle w:val="ListParagraph"/>
        <w:numPr>
          <w:ilvl w:val="0"/>
          <w:numId w:val="45"/>
        </w:numPr>
        <w:jc w:val="both"/>
        <w:rPr>
          <w:sz w:val="24"/>
          <w:szCs w:val="24"/>
        </w:rPr>
      </w:pPr>
      <w:r>
        <w:rPr>
          <w:sz w:val="24"/>
          <w:szCs w:val="24"/>
        </w:rPr>
        <w:t xml:space="preserve">usluga </w:t>
      </w:r>
      <w:r w:rsidR="00620B1D" w:rsidRPr="00BA161F">
        <w:rPr>
          <w:sz w:val="24"/>
          <w:szCs w:val="24"/>
        </w:rPr>
        <w:t>koj</w:t>
      </w:r>
      <w:r w:rsidR="00620B1D">
        <w:rPr>
          <w:sz w:val="24"/>
          <w:szCs w:val="24"/>
        </w:rPr>
        <w:t>a se pruža</w:t>
      </w:r>
      <w:r w:rsidR="00620B1D" w:rsidRPr="00BA161F">
        <w:rPr>
          <w:sz w:val="24"/>
          <w:szCs w:val="24"/>
        </w:rPr>
        <w:t xml:space="preserve"> putem </w:t>
      </w:r>
      <w:r w:rsidR="00620B1D">
        <w:rPr>
          <w:sz w:val="24"/>
          <w:szCs w:val="24"/>
        </w:rPr>
        <w:t>svjetlovodne</w:t>
      </w:r>
      <w:r w:rsidR="00620B1D" w:rsidRPr="00BA161F">
        <w:rPr>
          <w:sz w:val="24"/>
          <w:szCs w:val="24"/>
        </w:rPr>
        <w:t xml:space="preserve"> pristupne mreže</w:t>
      </w:r>
      <w:r w:rsidR="00620B1D">
        <w:rPr>
          <w:sz w:val="24"/>
          <w:szCs w:val="24"/>
        </w:rPr>
        <w:t xml:space="preserve"> – usluga</w:t>
      </w:r>
      <w:r w:rsidR="00620B1D" w:rsidRPr="00620B1D">
        <w:rPr>
          <w:sz w:val="24"/>
          <w:szCs w:val="24"/>
        </w:rPr>
        <w:t xml:space="preserve"> pristupa pasivnoj pristupnoj svjetlovodnoj mreži na lokaciji distribucijskog čvora za svjetlovodne distribucijske mreže (FA-PON)</w:t>
      </w:r>
      <w:r>
        <w:rPr>
          <w:sz w:val="24"/>
          <w:szCs w:val="24"/>
        </w:rPr>
        <w:t>;</w:t>
      </w:r>
    </w:p>
    <w:p w:rsidR="00620B1D" w:rsidRPr="00BA161F" w:rsidRDefault="00620B1D" w:rsidP="00620B1D">
      <w:pPr>
        <w:pStyle w:val="ListParagraph"/>
        <w:numPr>
          <w:ilvl w:val="0"/>
          <w:numId w:val="45"/>
        </w:numPr>
        <w:jc w:val="both"/>
        <w:rPr>
          <w:sz w:val="24"/>
          <w:szCs w:val="24"/>
        </w:rPr>
      </w:pPr>
      <w:r>
        <w:rPr>
          <w:sz w:val="24"/>
          <w:szCs w:val="24"/>
        </w:rPr>
        <w:t xml:space="preserve">usluga najma svjetlovodne niti bez prijenosne opreme (dark fiber) kojom se </w:t>
      </w:r>
      <w:r w:rsidRPr="00BA161F">
        <w:rPr>
          <w:sz w:val="24"/>
          <w:szCs w:val="24"/>
        </w:rPr>
        <w:t xml:space="preserve">operatorima korisnicima </w:t>
      </w:r>
      <w:r>
        <w:rPr>
          <w:sz w:val="24"/>
          <w:szCs w:val="24"/>
        </w:rPr>
        <w:t xml:space="preserve">omogućuje </w:t>
      </w:r>
      <w:r w:rsidRPr="00BA161F">
        <w:rPr>
          <w:sz w:val="24"/>
          <w:szCs w:val="24"/>
        </w:rPr>
        <w:t>pristup</w:t>
      </w:r>
      <w:r>
        <w:rPr>
          <w:sz w:val="24"/>
          <w:szCs w:val="24"/>
        </w:rPr>
        <w:t xml:space="preserve"> do pristupnih točaka</w:t>
      </w:r>
      <w:r w:rsidR="001504C0">
        <w:rPr>
          <w:sz w:val="24"/>
          <w:szCs w:val="24"/>
        </w:rPr>
        <w:t>.</w:t>
      </w:r>
      <w:r>
        <w:rPr>
          <w:sz w:val="24"/>
          <w:szCs w:val="24"/>
        </w:rPr>
        <w:t xml:space="preserve"> </w:t>
      </w:r>
    </w:p>
    <w:p w:rsidR="00620B1D" w:rsidRDefault="00620B1D" w:rsidP="00620B1D">
      <w:pPr>
        <w:jc w:val="both"/>
        <w:rPr>
          <w:sz w:val="24"/>
          <w:szCs w:val="24"/>
        </w:rPr>
      </w:pPr>
      <w:r>
        <w:rPr>
          <w:sz w:val="24"/>
          <w:szCs w:val="24"/>
        </w:rPr>
        <w:t>Trenutno važeće troškovno usmjerene veleprodajne cijene</w:t>
      </w:r>
      <w:r w:rsidDel="000F0A57">
        <w:rPr>
          <w:sz w:val="24"/>
          <w:szCs w:val="24"/>
        </w:rPr>
        <w:t xml:space="preserve"> </w:t>
      </w:r>
      <w:r>
        <w:rPr>
          <w:sz w:val="24"/>
          <w:szCs w:val="24"/>
        </w:rPr>
        <w:t>određene su odlukom iz rujna 2016. na temelju rezultata BU-LRAIC+ troškovnog modela i usklađene s novim vrijednostima WACC-a odlukom iz listopada 2019., međutim s obzirom na promjene u HT-ovoj mreži, Analizom tržišta je određeno da će HAKOM izraditi novi BU-LRIC+ troškovni model na temelju kojeg će odrediti nove veleprodajne cijene za buduće razdoblje.</w:t>
      </w:r>
    </w:p>
    <w:p w:rsidR="00620B1D" w:rsidRDefault="00620B1D" w:rsidP="00620B1D">
      <w:pPr>
        <w:jc w:val="both"/>
        <w:rPr>
          <w:sz w:val="24"/>
          <w:szCs w:val="24"/>
        </w:rPr>
      </w:pPr>
      <w:r w:rsidRPr="00F55EE9">
        <w:rPr>
          <w:sz w:val="24"/>
          <w:szCs w:val="24"/>
        </w:rPr>
        <w:t>HAKOM je u listopadu 2019. započeo projekt „Izračun troškova i cijena usluga u nepokretnoj mreži‟. U tu svrhu, HAKOM je angažirao savjetodavnu kuću Axon Partners Group Consulting (dalje: Axon). Glavni cilj projekta je omogućiti HAKOM-u alate za razumijevanje ekonomije mreža hrvatskih operatora što je potrebno za određivanje veleprodajnih cijena, odnosno izrada troškovnog modela „odozdo prema gore” (eng. „bottom-up”) za nepokretne mreže da bi se odredili troškovi i cijene reguliranih veleprodajnih usluga.</w:t>
      </w:r>
    </w:p>
    <w:p w:rsidR="00620B1D" w:rsidRDefault="00620B1D" w:rsidP="00620B1D">
      <w:pPr>
        <w:jc w:val="both"/>
        <w:rPr>
          <w:sz w:val="24"/>
          <w:szCs w:val="24"/>
        </w:rPr>
      </w:pPr>
      <w:r>
        <w:rPr>
          <w:sz w:val="24"/>
          <w:szCs w:val="24"/>
        </w:rPr>
        <w:t>Troškovni model je izrađen prema metodološkim načelima</w:t>
      </w:r>
      <w:r w:rsidR="00A05159">
        <w:rPr>
          <w:sz w:val="24"/>
          <w:szCs w:val="24"/>
        </w:rPr>
        <w:t xml:space="preserve"> iz</w:t>
      </w:r>
      <w:r>
        <w:rPr>
          <w:sz w:val="24"/>
          <w:szCs w:val="24"/>
        </w:rPr>
        <w:t xml:space="preserve"> </w:t>
      </w:r>
      <w:r w:rsidR="00A05159">
        <w:rPr>
          <w:sz w:val="24"/>
          <w:szCs w:val="24"/>
        </w:rPr>
        <w:t xml:space="preserve">Privitka </w:t>
      </w:r>
      <w:r w:rsidR="00A05159">
        <w:rPr>
          <w:sz w:val="24"/>
          <w:szCs w:val="24"/>
          <w:highlight w:val="yellow"/>
        </w:rPr>
        <w:fldChar w:fldCharType="begin"/>
      </w:r>
      <w:r w:rsidR="00A05159">
        <w:rPr>
          <w:sz w:val="24"/>
          <w:szCs w:val="24"/>
        </w:rPr>
        <w:instrText xml:space="preserve"> REF _Ref53664787 \r \h </w:instrText>
      </w:r>
      <w:r w:rsidR="00A05159">
        <w:rPr>
          <w:sz w:val="24"/>
          <w:szCs w:val="24"/>
          <w:highlight w:val="yellow"/>
        </w:rPr>
      </w:r>
      <w:r w:rsidR="00A05159">
        <w:rPr>
          <w:sz w:val="24"/>
          <w:szCs w:val="24"/>
          <w:highlight w:val="yellow"/>
        </w:rPr>
        <w:fldChar w:fldCharType="separate"/>
      </w:r>
      <w:r w:rsidR="00B047B3">
        <w:rPr>
          <w:sz w:val="24"/>
          <w:szCs w:val="24"/>
        </w:rPr>
        <w:t>8.1</w:t>
      </w:r>
      <w:r w:rsidR="00A05159">
        <w:rPr>
          <w:sz w:val="24"/>
          <w:szCs w:val="24"/>
          <w:highlight w:val="yellow"/>
        </w:rPr>
        <w:fldChar w:fldCharType="end"/>
      </w:r>
      <w:r w:rsidRPr="007F6D58">
        <w:rPr>
          <w:sz w:val="24"/>
          <w:szCs w:val="24"/>
        </w:rPr>
        <w:t xml:space="preserve"> </w:t>
      </w:r>
      <w:r>
        <w:rPr>
          <w:sz w:val="24"/>
          <w:szCs w:val="24"/>
        </w:rPr>
        <w:t xml:space="preserve">koja slijede </w:t>
      </w:r>
      <w:r w:rsidRPr="007F6D58">
        <w:rPr>
          <w:bCs/>
          <w:sz w:val="24"/>
          <w:szCs w:val="24"/>
        </w:rPr>
        <w:t>Preporuku Europske komisije 2013/466 /EU</w:t>
      </w:r>
      <w:r>
        <w:rPr>
          <w:sz w:val="24"/>
          <w:szCs w:val="24"/>
        </w:rPr>
        <w:t>, a od kojih je bitno istaknuti:</w:t>
      </w:r>
    </w:p>
    <w:p w:rsidR="00620B1D" w:rsidRPr="007F6D58" w:rsidRDefault="00620B1D" w:rsidP="00620B1D">
      <w:pPr>
        <w:pStyle w:val="ListParagraph"/>
        <w:numPr>
          <w:ilvl w:val="0"/>
          <w:numId w:val="46"/>
        </w:numPr>
        <w:jc w:val="both"/>
        <w:rPr>
          <w:sz w:val="24"/>
          <w:szCs w:val="24"/>
        </w:rPr>
      </w:pPr>
      <w:r w:rsidRPr="007F6D58">
        <w:rPr>
          <w:b/>
          <w:bCs/>
          <w:sz w:val="24"/>
          <w:szCs w:val="24"/>
        </w:rPr>
        <w:t>Troškovni standard</w:t>
      </w:r>
      <w:r>
        <w:rPr>
          <w:b/>
          <w:bCs/>
          <w:sz w:val="24"/>
          <w:szCs w:val="24"/>
        </w:rPr>
        <w:t>-</w:t>
      </w:r>
      <w:r w:rsidRPr="007F6D58">
        <w:rPr>
          <w:bCs/>
          <w:sz w:val="24"/>
          <w:szCs w:val="24"/>
        </w:rPr>
        <w:t xml:space="preserve">  LRIC+ (Dugoročni inkrementalni troškovi plus z</w:t>
      </w:r>
      <w:r>
        <w:rPr>
          <w:bCs/>
          <w:sz w:val="24"/>
          <w:szCs w:val="24"/>
        </w:rPr>
        <w:t>ajednički troškovi)</w:t>
      </w:r>
      <w:r w:rsidR="00DD0407">
        <w:rPr>
          <w:bCs/>
          <w:sz w:val="24"/>
          <w:szCs w:val="24"/>
        </w:rPr>
        <w:t>.</w:t>
      </w:r>
    </w:p>
    <w:p w:rsidR="00620B1D" w:rsidRDefault="00620B1D" w:rsidP="00620B1D">
      <w:pPr>
        <w:pStyle w:val="ListParagraph"/>
        <w:numPr>
          <w:ilvl w:val="0"/>
          <w:numId w:val="46"/>
        </w:numPr>
        <w:jc w:val="both"/>
        <w:rPr>
          <w:bCs/>
          <w:sz w:val="24"/>
          <w:szCs w:val="24"/>
        </w:rPr>
      </w:pPr>
      <w:r w:rsidRPr="007F6D58">
        <w:rPr>
          <w:b/>
          <w:bCs/>
          <w:sz w:val="24"/>
          <w:szCs w:val="24"/>
        </w:rPr>
        <w:t>Vrednovanje imovine</w:t>
      </w:r>
      <w:r>
        <w:rPr>
          <w:b/>
          <w:bCs/>
          <w:sz w:val="24"/>
          <w:szCs w:val="24"/>
        </w:rPr>
        <w:t xml:space="preserve"> - </w:t>
      </w:r>
      <w:r w:rsidRPr="007F6D58">
        <w:rPr>
          <w:bCs/>
          <w:sz w:val="24"/>
          <w:szCs w:val="24"/>
        </w:rPr>
        <w:t>Met</w:t>
      </w:r>
      <w:r>
        <w:rPr>
          <w:bCs/>
          <w:sz w:val="24"/>
          <w:szCs w:val="24"/>
        </w:rPr>
        <w:t xml:space="preserve">oda procjene imovine </w:t>
      </w:r>
      <w:r w:rsidRPr="007F6D58">
        <w:rPr>
          <w:bCs/>
          <w:sz w:val="24"/>
          <w:szCs w:val="24"/>
        </w:rPr>
        <w:t>je tekuć</w:t>
      </w:r>
      <w:r>
        <w:rPr>
          <w:bCs/>
          <w:sz w:val="24"/>
          <w:szCs w:val="24"/>
        </w:rPr>
        <w:t xml:space="preserve">e troškovno računovodstvo (CCA), uz određene prilagodbe kod građevinske infrastrukture. </w:t>
      </w:r>
      <w:r w:rsidRPr="007F6D58">
        <w:rPr>
          <w:bCs/>
          <w:sz w:val="24"/>
          <w:szCs w:val="24"/>
        </w:rPr>
        <w:t xml:space="preserve">Vrijednost naslijeđene građevinske infrastrukture koja se može ponovo upotrijebiti prilagođena je tako da odražava udio potpuno amortizirane imovine u skladu s Preporukom EK 2013/466 /EU. </w:t>
      </w:r>
    </w:p>
    <w:p w:rsidR="00620B1D" w:rsidRDefault="00620B1D" w:rsidP="00620B1D">
      <w:pPr>
        <w:pStyle w:val="ListParagraph"/>
        <w:numPr>
          <w:ilvl w:val="0"/>
          <w:numId w:val="46"/>
        </w:numPr>
        <w:jc w:val="both"/>
        <w:rPr>
          <w:bCs/>
          <w:sz w:val="24"/>
          <w:szCs w:val="24"/>
        </w:rPr>
      </w:pPr>
      <w:r w:rsidRPr="007F6D58">
        <w:rPr>
          <w:b/>
          <w:bCs/>
          <w:sz w:val="24"/>
          <w:szCs w:val="24"/>
        </w:rPr>
        <w:t>Vrste troškova koje treba uzeti u obzir</w:t>
      </w:r>
      <w:r>
        <w:rPr>
          <w:b/>
          <w:bCs/>
          <w:sz w:val="24"/>
          <w:szCs w:val="24"/>
        </w:rPr>
        <w:t xml:space="preserve"> - </w:t>
      </w:r>
      <w:r w:rsidRPr="007F6D58">
        <w:rPr>
          <w:bCs/>
          <w:sz w:val="24"/>
          <w:szCs w:val="24"/>
        </w:rPr>
        <w:t>mrežni CapEx (amortizacija i trošak kapitala), mrežni OpEx, opći i administrativni troškovi i veleprodajni specifični troškovi. Dodatno, u model je također uključen radni kapital</w:t>
      </w:r>
      <w:r>
        <w:rPr>
          <w:bCs/>
          <w:sz w:val="24"/>
          <w:szCs w:val="24"/>
        </w:rPr>
        <w:t>.</w:t>
      </w:r>
    </w:p>
    <w:p w:rsidR="00620B1D" w:rsidRDefault="00620B1D" w:rsidP="00620B1D">
      <w:pPr>
        <w:pStyle w:val="ListParagraph"/>
        <w:numPr>
          <w:ilvl w:val="0"/>
          <w:numId w:val="46"/>
        </w:numPr>
        <w:jc w:val="both"/>
        <w:rPr>
          <w:bCs/>
          <w:sz w:val="24"/>
          <w:szCs w:val="24"/>
        </w:rPr>
      </w:pPr>
      <w:r w:rsidRPr="007F6D58">
        <w:rPr>
          <w:b/>
          <w:bCs/>
          <w:sz w:val="24"/>
          <w:szCs w:val="24"/>
        </w:rPr>
        <w:t xml:space="preserve">Metoda amortizacije </w:t>
      </w:r>
      <w:r>
        <w:rPr>
          <w:b/>
          <w:bCs/>
          <w:sz w:val="24"/>
          <w:szCs w:val="24"/>
        </w:rPr>
        <w:t>–</w:t>
      </w:r>
      <w:r>
        <w:rPr>
          <w:bCs/>
          <w:sz w:val="24"/>
          <w:szCs w:val="24"/>
        </w:rPr>
        <w:t xml:space="preserve"> Troškovni model podržava izračun troškova uz primjene metode</w:t>
      </w:r>
      <w:r w:rsidRPr="007F6D58">
        <w:rPr>
          <w:bCs/>
          <w:sz w:val="24"/>
          <w:szCs w:val="24"/>
        </w:rPr>
        <w:t xml:space="preserve"> kosih anuiteta i </w:t>
      </w:r>
      <w:r>
        <w:rPr>
          <w:bCs/>
          <w:sz w:val="24"/>
          <w:szCs w:val="24"/>
        </w:rPr>
        <w:t>metode ekonomske</w:t>
      </w:r>
      <w:r w:rsidRPr="007F6D58">
        <w:rPr>
          <w:bCs/>
          <w:sz w:val="24"/>
          <w:szCs w:val="24"/>
        </w:rPr>
        <w:t xml:space="preserve"> </w:t>
      </w:r>
      <w:r w:rsidR="000C4133" w:rsidRPr="007F6D58">
        <w:rPr>
          <w:bCs/>
          <w:sz w:val="24"/>
          <w:szCs w:val="24"/>
        </w:rPr>
        <w:t>amortizacij</w:t>
      </w:r>
      <w:r w:rsidR="000C4133">
        <w:rPr>
          <w:bCs/>
          <w:sz w:val="24"/>
          <w:szCs w:val="24"/>
        </w:rPr>
        <w:t>e</w:t>
      </w:r>
      <w:r>
        <w:rPr>
          <w:bCs/>
          <w:sz w:val="24"/>
          <w:szCs w:val="24"/>
        </w:rPr>
        <w:t xml:space="preserve">. Za izračun jediničnih troškova veleprodajnih usluga na </w:t>
      </w:r>
      <w:r w:rsidR="000F0A57">
        <w:rPr>
          <w:bCs/>
          <w:sz w:val="24"/>
          <w:szCs w:val="24"/>
        </w:rPr>
        <w:t>temelju</w:t>
      </w:r>
      <w:r>
        <w:rPr>
          <w:bCs/>
          <w:sz w:val="24"/>
          <w:szCs w:val="24"/>
        </w:rPr>
        <w:t xml:space="preserve"> kojih su određene cijene prim</w:t>
      </w:r>
      <w:r w:rsidR="00DD0407">
        <w:rPr>
          <w:bCs/>
          <w:sz w:val="24"/>
          <w:szCs w:val="24"/>
        </w:rPr>
        <w:t>i</w:t>
      </w:r>
      <w:r>
        <w:rPr>
          <w:bCs/>
          <w:sz w:val="24"/>
          <w:szCs w:val="24"/>
        </w:rPr>
        <w:t>jenjena je metoda ekonomske amortizacije.</w:t>
      </w:r>
    </w:p>
    <w:p w:rsidR="00620B1D" w:rsidRDefault="00620B1D" w:rsidP="00620B1D">
      <w:pPr>
        <w:pStyle w:val="ListParagraph"/>
        <w:numPr>
          <w:ilvl w:val="0"/>
          <w:numId w:val="46"/>
        </w:numPr>
        <w:jc w:val="both"/>
        <w:rPr>
          <w:bCs/>
          <w:sz w:val="24"/>
          <w:szCs w:val="24"/>
        </w:rPr>
      </w:pPr>
      <w:r w:rsidRPr="007F6D58">
        <w:rPr>
          <w:b/>
          <w:bCs/>
          <w:sz w:val="24"/>
          <w:szCs w:val="24"/>
        </w:rPr>
        <w:t>Tretman operativnih mrežnih troškova (OpEx)</w:t>
      </w:r>
      <w:r>
        <w:rPr>
          <w:b/>
          <w:bCs/>
          <w:sz w:val="24"/>
          <w:szCs w:val="24"/>
        </w:rPr>
        <w:t xml:space="preserve"> - </w:t>
      </w:r>
      <w:r w:rsidRPr="007F6D58">
        <w:rPr>
          <w:bCs/>
          <w:sz w:val="24"/>
          <w:szCs w:val="24"/>
        </w:rPr>
        <w:t>U slučaju dostupnosti odgovarajućih podataka OpEx je procijenjen temeljem izračuna odozdo prema gore. Kao alternativni pristup, u slučaju podataka koji nisu bili potkrijepljeni na odgovarajući način, koristio se postotak od CapEx-a.</w:t>
      </w:r>
    </w:p>
    <w:p w:rsidR="00620B1D" w:rsidRDefault="00620B1D" w:rsidP="00620B1D">
      <w:pPr>
        <w:pStyle w:val="ListParagraph"/>
        <w:numPr>
          <w:ilvl w:val="0"/>
          <w:numId w:val="46"/>
        </w:numPr>
        <w:jc w:val="both"/>
        <w:rPr>
          <w:bCs/>
          <w:sz w:val="24"/>
          <w:szCs w:val="24"/>
        </w:rPr>
      </w:pPr>
      <w:r w:rsidRPr="007F6D58">
        <w:rPr>
          <w:b/>
          <w:bCs/>
          <w:sz w:val="24"/>
          <w:szCs w:val="24"/>
        </w:rPr>
        <w:t>Raspodjela zajedničkih troškova</w:t>
      </w:r>
      <w:r>
        <w:rPr>
          <w:b/>
          <w:bCs/>
          <w:sz w:val="24"/>
          <w:szCs w:val="24"/>
        </w:rPr>
        <w:t xml:space="preserve"> - </w:t>
      </w:r>
      <w:r w:rsidRPr="007F6D58">
        <w:rPr>
          <w:bCs/>
          <w:sz w:val="24"/>
          <w:szCs w:val="24"/>
        </w:rPr>
        <w:t>Za raspodjelu zajedničkih troškova vezanih uz mrežu koristi se pristup učinkovitog kapaciteta dok se za raspodjelu osnovnih i administrativnih troškova (G&amp;A) kao i specifičnih veleprodajnih troškova koristiti metoda jednako proporcionalno</w:t>
      </w:r>
      <w:r w:rsidR="00DD0407">
        <w:rPr>
          <w:bCs/>
          <w:sz w:val="24"/>
          <w:szCs w:val="24"/>
        </w:rPr>
        <w:t>g</w:t>
      </w:r>
      <w:r w:rsidRPr="007F6D58">
        <w:rPr>
          <w:bCs/>
          <w:sz w:val="24"/>
          <w:szCs w:val="24"/>
        </w:rPr>
        <w:t xml:space="preserve"> dodatka (EPMU pristup).</w:t>
      </w:r>
    </w:p>
    <w:p w:rsidR="00620B1D" w:rsidRDefault="00620B1D" w:rsidP="00620B1D">
      <w:pPr>
        <w:pStyle w:val="ListParagraph"/>
        <w:numPr>
          <w:ilvl w:val="0"/>
          <w:numId w:val="46"/>
        </w:numPr>
        <w:jc w:val="both"/>
        <w:rPr>
          <w:bCs/>
          <w:sz w:val="24"/>
          <w:szCs w:val="24"/>
        </w:rPr>
      </w:pPr>
      <w:r w:rsidRPr="007F6D58">
        <w:rPr>
          <w:b/>
          <w:bCs/>
          <w:sz w:val="24"/>
          <w:szCs w:val="24"/>
        </w:rPr>
        <w:t>Topologija mreže</w:t>
      </w:r>
      <w:r>
        <w:rPr>
          <w:b/>
          <w:bCs/>
          <w:sz w:val="24"/>
          <w:szCs w:val="24"/>
        </w:rPr>
        <w:t xml:space="preserve"> – </w:t>
      </w:r>
      <w:r w:rsidRPr="00271466">
        <w:rPr>
          <w:bCs/>
          <w:sz w:val="24"/>
          <w:szCs w:val="24"/>
        </w:rPr>
        <w:t>za projektiranje mreže korišten je „Scorched Node‟ pristup. Međutim, u slučaju određenih neučinkovitosti ili nedostatnih informacija od strane operatora implementirane su određene prilagodbe. Dodatno, u područjima u kojima nije izgrađena svjetlovodna pristupna mreža, mreža se projektirala na temelju informacija prikupljenih od operatora tijekom postupka prikupljanja podatka.</w:t>
      </w:r>
    </w:p>
    <w:p w:rsidR="00620B1D" w:rsidRDefault="00620B1D" w:rsidP="00620B1D">
      <w:pPr>
        <w:pStyle w:val="ListParagraph"/>
        <w:numPr>
          <w:ilvl w:val="0"/>
          <w:numId w:val="46"/>
        </w:numPr>
        <w:jc w:val="both"/>
        <w:rPr>
          <w:bCs/>
          <w:sz w:val="24"/>
          <w:szCs w:val="24"/>
        </w:rPr>
      </w:pPr>
      <w:r>
        <w:rPr>
          <w:b/>
          <w:bCs/>
          <w:sz w:val="24"/>
          <w:szCs w:val="24"/>
        </w:rPr>
        <w:t>Modelirano razdoblje -</w:t>
      </w:r>
      <w:r>
        <w:rPr>
          <w:bCs/>
          <w:sz w:val="24"/>
          <w:szCs w:val="24"/>
        </w:rPr>
        <w:t xml:space="preserve"> </w:t>
      </w:r>
      <w:r w:rsidRPr="00271466">
        <w:rPr>
          <w:bCs/>
          <w:sz w:val="24"/>
          <w:szCs w:val="24"/>
        </w:rPr>
        <w:t>Ukupno razdoblje koje se modelira obuhvaća razdoblje od 11 godina. Početna godina modeliranja je 2017</w:t>
      </w:r>
      <w:r>
        <w:rPr>
          <w:bCs/>
          <w:sz w:val="24"/>
          <w:szCs w:val="24"/>
        </w:rPr>
        <w:t>.</w:t>
      </w:r>
    </w:p>
    <w:p w:rsidR="00620B1D" w:rsidRDefault="00620B1D" w:rsidP="00620B1D">
      <w:pPr>
        <w:pStyle w:val="ListParagraph"/>
        <w:numPr>
          <w:ilvl w:val="0"/>
          <w:numId w:val="46"/>
        </w:numPr>
        <w:jc w:val="both"/>
        <w:rPr>
          <w:bCs/>
          <w:sz w:val="24"/>
          <w:szCs w:val="24"/>
        </w:rPr>
      </w:pPr>
      <w:r w:rsidRPr="00271466">
        <w:rPr>
          <w:b/>
          <w:bCs/>
          <w:sz w:val="24"/>
          <w:szCs w:val="24"/>
        </w:rPr>
        <w:t>Vrsta operatora</w:t>
      </w:r>
      <w:r>
        <w:rPr>
          <w:b/>
          <w:bCs/>
          <w:sz w:val="24"/>
          <w:szCs w:val="24"/>
        </w:rPr>
        <w:t xml:space="preserve"> </w:t>
      </w:r>
      <w:r w:rsidRPr="00271466">
        <w:rPr>
          <w:bCs/>
          <w:sz w:val="24"/>
          <w:szCs w:val="24"/>
        </w:rPr>
        <w:t>- Vrsta modeliranog operatora je hipotetski učinkoviti operator koji gradi modernu učinkovitu mrežu</w:t>
      </w:r>
    </w:p>
    <w:p w:rsidR="00620B1D" w:rsidRDefault="00620B1D" w:rsidP="00620B1D">
      <w:pPr>
        <w:pStyle w:val="ListParagraph"/>
        <w:numPr>
          <w:ilvl w:val="0"/>
          <w:numId w:val="46"/>
        </w:numPr>
        <w:jc w:val="both"/>
        <w:rPr>
          <w:bCs/>
          <w:sz w:val="24"/>
          <w:szCs w:val="24"/>
        </w:rPr>
      </w:pPr>
      <w:r w:rsidRPr="00271466">
        <w:rPr>
          <w:b/>
          <w:bCs/>
          <w:sz w:val="24"/>
          <w:szCs w:val="24"/>
        </w:rPr>
        <w:t>Referentni operator</w:t>
      </w:r>
      <w:r>
        <w:rPr>
          <w:b/>
          <w:bCs/>
          <w:sz w:val="24"/>
          <w:szCs w:val="24"/>
        </w:rPr>
        <w:t xml:space="preserve"> - </w:t>
      </w:r>
      <w:r w:rsidRPr="00271466">
        <w:rPr>
          <w:bCs/>
          <w:sz w:val="24"/>
          <w:szCs w:val="24"/>
        </w:rPr>
        <w:t>Hipotetski učinkoviti operator u modelu ima slične karakteristike kao HT, ukoliko su one u skladu s načelom učinkovitosti.</w:t>
      </w:r>
    </w:p>
    <w:p w:rsidR="00620B1D" w:rsidRDefault="00620B1D" w:rsidP="00620B1D">
      <w:pPr>
        <w:jc w:val="both"/>
        <w:rPr>
          <w:bCs/>
          <w:sz w:val="24"/>
          <w:szCs w:val="24"/>
        </w:rPr>
      </w:pPr>
      <w:r w:rsidRPr="00271466">
        <w:rPr>
          <w:bCs/>
          <w:sz w:val="24"/>
          <w:szCs w:val="24"/>
        </w:rPr>
        <w:t xml:space="preserve">Karakterizacija kabelskih ruta za potrebe povezivanja različitih elemenata mreže operatora izvršena je pomoću geografskog modeliranja koje sadrži sljedeće informacije: podatke o zgradama (lokacije zgrada i broj korisnika po zgradi), lokacije čvorova operatora i podatke o ulicama/cestama. </w:t>
      </w:r>
      <w:r w:rsidR="001F5CD3" w:rsidRPr="001F5CD3">
        <w:rPr>
          <w:bCs/>
          <w:sz w:val="24"/>
          <w:szCs w:val="24"/>
        </w:rPr>
        <w:t>Dodatno, definirani su geotipovi, s ciljem agregiranja područja/jedinica lokalne samouprave sa sličnim karakteristikama, čije definicije se temelje na gustoći zgrada i prosječnom broju korisnika po zgradi. Osim s obzirom na gustoću zgrada i naseljenosti, odnosno stupnju urbanosti (urban, suburban i rural) u području pokrivanja pojedinog MDF-a, geotipovi su dodatno definirani prema statusu „raspetljanosti“ lokalnih petlji bakrene mreže: „unbundled“ i „non-unbundled“. Tako, s obzirom da imamo 21 županiju u Republici Hrvatskoj i ukupno pet različitih vrsta geotipova, ukupno je definirano 21*5=105 geotipova.</w:t>
      </w:r>
    </w:p>
    <w:p w:rsidR="00620B1D" w:rsidRDefault="00620B1D" w:rsidP="00620B1D">
      <w:pPr>
        <w:jc w:val="both"/>
        <w:rPr>
          <w:bCs/>
          <w:sz w:val="24"/>
          <w:szCs w:val="24"/>
        </w:rPr>
      </w:pPr>
      <w:r>
        <w:rPr>
          <w:bCs/>
          <w:sz w:val="24"/>
          <w:szCs w:val="24"/>
        </w:rPr>
        <w:t>Kao primarni izvor za izradu Troškovnog modela koristili su se p</w:t>
      </w:r>
      <w:r w:rsidRPr="00271466">
        <w:rPr>
          <w:bCs/>
          <w:sz w:val="24"/>
          <w:szCs w:val="24"/>
        </w:rPr>
        <w:t>odaci koje su dostavili operatori. Svi prikupljeni podaci detaljno su analizirani u svrhu osiguranja kvalitete i točnosti podataka korištenih u modelu.</w:t>
      </w:r>
    </w:p>
    <w:p w:rsidR="00620B1D" w:rsidRDefault="00620B1D" w:rsidP="00620B1D">
      <w:pPr>
        <w:jc w:val="both"/>
        <w:rPr>
          <w:bCs/>
          <w:sz w:val="24"/>
          <w:szCs w:val="24"/>
        </w:rPr>
      </w:pPr>
      <w:r w:rsidRPr="00271466">
        <w:rPr>
          <w:bCs/>
          <w:sz w:val="24"/>
          <w:szCs w:val="24"/>
        </w:rPr>
        <w:t xml:space="preserve">U modelu su </w:t>
      </w:r>
      <w:r>
        <w:rPr>
          <w:bCs/>
          <w:sz w:val="24"/>
          <w:szCs w:val="24"/>
        </w:rPr>
        <w:t>razmatrane:</w:t>
      </w:r>
    </w:p>
    <w:p w:rsidR="00620B1D" w:rsidRDefault="00620B1D" w:rsidP="00620B1D">
      <w:pPr>
        <w:pStyle w:val="ListParagraph"/>
        <w:numPr>
          <w:ilvl w:val="0"/>
          <w:numId w:val="47"/>
        </w:numPr>
        <w:jc w:val="both"/>
        <w:rPr>
          <w:bCs/>
          <w:sz w:val="24"/>
          <w:szCs w:val="24"/>
        </w:rPr>
      </w:pPr>
      <w:r w:rsidRPr="00271466">
        <w:rPr>
          <w:b/>
          <w:bCs/>
          <w:sz w:val="24"/>
          <w:szCs w:val="24"/>
        </w:rPr>
        <w:t>pristupna mreža</w:t>
      </w:r>
      <w:r w:rsidRPr="00271466">
        <w:rPr>
          <w:bCs/>
          <w:sz w:val="24"/>
          <w:szCs w:val="24"/>
        </w:rPr>
        <w:t xml:space="preserve"> (bakrene i svjetlovodne mreže), </w:t>
      </w:r>
    </w:p>
    <w:p w:rsidR="00620B1D" w:rsidRDefault="00620B1D" w:rsidP="00620B1D">
      <w:pPr>
        <w:pStyle w:val="ListParagraph"/>
        <w:numPr>
          <w:ilvl w:val="0"/>
          <w:numId w:val="47"/>
        </w:numPr>
        <w:jc w:val="both"/>
        <w:rPr>
          <w:bCs/>
          <w:sz w:val="24"/>
          <w:szCs w:val="24"/>
        </w:rPr>
      </w:pPr>
      <w:r w:rsidRPr="00271466">
        <w:rPr>
          <w:b/>
          <w:bCs/>
          <w:sz w:val="24"/>
          <w:szCs w:val="24"/>
        </w:rPr>
        <w:t>transmisijska (prijenosna)</w:t>
      </w:r>
      <w:r w:rsidRPr="00271466">
        <w:rPr>
          <w:bCs/>
          <w:sz w:val="24"/>
          <w:szCs w:val="24"/>
        </w:rPr>
        <w:t xml:space="preserve"> mreža (mikrovalne veze (Ethernet), svjetlovodne veze (Ethernet sa/bez WDM) ili satelitske veze), </w:t>
      </w:r>
    </w:p>
    <w:p w:rsidR="00620B1D" w:rsidRPr="00271466" w:rsidRDefault="00620B1D" w:rsidP="00620B1D">
      <w:pPr>
        <w:pStyle w:val="ListParagraph"/>
        <w:numPr>
          <w:ilvl w:val="0"/>
          <w:numId w:val="47"/>
        </w:numPr>
        <w:jc w:val="both"/>
        <w:rPr>
          <w:bCs/>
          <w:sz w:val="24"/>
          <w:szCs w:val="24"/>
        </w:rPr>
      </w:pPr>
      <w:r w:rsidRPr="00271466">
        <w:rPr>
          <w:b/>
          <w:bCs/>
          <w:sz w:val="24"/>
          <w:szCs w:val="24"/>
        </w:rPr>
        <w:t>jezgrena mreža</w:t>
      </w:r>
      <w:r w:rsidRPr="00271466">
        <w:rPr>
          <w:bCs/>
          <w:sz w:val="24"/>
          <w:szCs w:val="24"/>
        </w:rPr>
        <w:t xml:space="preserve"> (NGN jezgrena mreža temeljena je u cijelosti na IP mreži</w:t>
      </w:r>
      <w:r w:rsidR="000C4133">
        <w:rPr>
          <w:bCs/>
          <w:sz w:val="24"/>
          <w:szCs w:val="24"/>
        </w:rPr>
        <w:t>)</w:t>
      </w:r>
      <w:r w:rsidRPr="00271466">
        <w:rPr>
          <w:bCs/>
          <w:sz w:val="24"/>
          <w:szCs w:val="24"/>
        </w:rPr>
        <w:t>.</w:t>
      </w:r>
    </w:p>
    <w:p w:rsidR="00620B1D" w:rsidRDefault="00620B1D" w:rsidP="00620B1D">
      <w:pPr>
        <w:spacing w:after="0" w:line="240" w:lineRule="auto"/>
        <w:jc w:val="both"/>
        <w:rPr>
          <w:rFonts w:eastAsia="Calibri" w:cstheme="minorHAnsi"/>
          <w:sz w:val="24"/>
          <w:szCs w:val="24"/>
        </w:rPr>
      </w:pPr>
      <w:r>
        <w:rPr>
          <w:rFonts w:eastAsia="Calibri" w:cstheme="minorHAnsi"/>
          <w:sz w:val="24"/>
          <w:szCs w:val="24"/>
        </w:rPr>
        <w:t>Glavni ulazni podaci za Troškovni model su:</w:t>
      </w:r>
    </w:p>
    <w:p w:rsidR="00620B1D" w:rsidRPr="000C4133" w:rsidRDefault="00620B1D" w:rsidP="00DD0407">
      <w:pPr>
        <w:pStyle w:val="ListParagraph"/>
        <w:numPr>
          <w:ilvl w:val="0"/>
          <w:numId w:val="47"/>
        </w:numPr>
        <w:jc w:val="both"/>
        <w:rPr>
          <w:bCs/>
          <w:sz w:val="24"/>
          <w:szCs w:val="24"/>
        </w:rPr>
      </w:pPr>
      <w:r w:rsidRPr="000C4133">
        <w:rPr>
          <w:bCs/>
          <w:sz w:val="24"/>
          <w:szCs w:val="24"/>
        </w:rPr>
        <w:t>Pokrivanje</w:t>
      </w:r>
    </w:p>
    <w:p w:rsidR="00620B1D" w:rsidRPr="000C4133" w:rsidRDefault="00620B1D" w:rsidP="00DD0407">
      <w:pPr>
        <w:pStyle w:val="ListParagraph"/>
        <w:numPr>
          <w:ilvl w:val="0"/>
          <w:numId w:val="47"/>
        </w:numPr>
        <w:jc w:val="both"/>
        <w:rPr>
          <w:bCs/>
          <w:sz w:val="24"/>
          <w:szCs w:val="24"/>
        </w:rPr>
      </w:pPr>
      <w:r w:rsidRPr="000C4133">
        <w:rPr>
          <w:bCs/>
          <w:sz w:val="24"/>
          <w:szCs w:val="24"/>
        </w:rPr>
        <w:t>Potražnja</w:t>
      </w:r>
    </w:p>
    <w:p w:rsidR="00620B1D" w:rsidRPr="000C4133" w:rsidRDefault="00620B1D" w:rsidP="00DD0407">
      <w:pPr>
        <w:pStyle w:val="ListParagraph"/>
        <w:numPr>
          <w:ilvl w:val="0"/>
          <w:numId w:val="47"/>
        </w:numPr>
        <w:jc w:val="both"/>
        <w:rPr>
          <w:bCs/>
          <w:sz w:val="24"/>
          <w:szCs w:val="24"/>
        </w:rPr>
      </w:pPr>
      <w:r w:rsidRPr="000C4133">
        <w:rPr>
          <w:bCs/>
          <w:sz w:val="24"/>
          <w:szCs w:val="24"/>
        </w:rPr>
        <w:t>Širokopojasni promet</w:t>
      </w:r>
    </w:p>
    <w:p w:rsidR="00620B1D" w:rsidRPr="000C4133" w:rsidRDefault="00620B1D" w:rsidP="00DD0407">
      <w:pPr>
        <w:pStyle w:val="ListParagraph"/>
        <w:numPr>
          <w:ilvl w:val="0"/>
          <w:numId w:val="47"/>
        </w:numPr>
        <w:jc w:val="both"/>
        <w:rPr>
          <w:bCs/>
          <w:sz w:val="24"/>
          <w:szCs w:val="24"/>
        </w:rPr>
      </w:pPr>
      <w:r w:rsidRPr="000C4133">
        <w:rPr>
          <w:bCs/>
          <w:sz w:val="24"/>
          <w:szCs w:val="24"/>
        </w:rPr>
        <w:t>Jedinični troškovi mrežnih resursa</w:t>
      </w:r>
    </w:p>
    <w:p w:rsidR="00620B1D" w:rsidRPr="000C4133" w:rsidRDefault="00620B1D" w:rsidP="00DD0407">
      <w:pPr>
        <w:pStyle w:val="ListParagraph"/>
        <w:numPr>
          <w:ilvl w:val="0"/>
          <w:numId w:val="47"/>
        </w:numPr>
        <w:jc w:val="both"/>
        <w:rPr>
          <w:bCs/>
          <w:sz w:val="24"/>
          <w:szCs w:val="24"/>
        </w:rPr>
      </w:pPr>
      <w:r w:rsidRPr="000C4133">
        <w:rPr>
          <w:bCs/>
          <w:sz w:val="24"/>
          <w:szCs w:val="24"/>
        </w:rPr>
        <w:t xml:space="preserve">Ne-mrežni dodaci (eng. </w:t>
      </w:r>
      <w:r w:rsidR="00350E99">
        <w:rPr>
          <w:bCs/>
          <w:i/>
          <w:sz w:val="24"/>
          <w:szCs w:val="24"/>
        </w:rPr>
        <w:t>n</w:t>
      </w:r>
      <w:r w:rsidRPr="00350E99">
        <w:rPr>
          <w:bCs/>
          <w:i/>
          <w:sz w:val="24"/>
          <w:szCs w:val="24"/>
        </w:rPr>
        <w:t>on</w:t>
      </w:r>
      <w:r w:rsidRPr="00350E99">
        <w:rPr>
          <w:i/>
          <w:sz w:val="24"/>
          <w:szCs w:val="24"/>
        </w:rPr>
        <w:t>-network overheads</w:t>
      </w:r>
      <w:r w:rsidRPr="000C4133">
        <w:rPr>
          <w:bCs/>
          <w:sz w:val="24"/>
          <w:szCs w:val="24"/>
        </w:rPr>
        <w:t>)</w:t>
      </w:r>
    </w:p>
    <w:p w:rsidR="00620B1D" w:rsidRPr="000C4133" w:rsidRDefault="00620B1D" w:rsidP="00DD0407">
      <w:pPr>
        <w:pStyle w:val="ListParagraph"/>
        <w:numPr>
          <w:ilvl w:val="0"/>
          <w:numId w:val="47"/>
        </w:numPr>
        <w:jc w:val="both"/>
        <w:rPr>
          <w:bCs/>
          <w:sz w:val="24"/>
          <w:szCs w:val="24"/>
        </w:rPr>
      </w:pPr>
      <w:r w:rsidRPr="000C4133">
        <w:rPr>
          <w:bCs/>
          <w:sz w:val="24"/>
          <w:szCs w:val="24"/>
        </w:rPr>
        <w:t xml:space="preserve">Korisni vijek upotrebe (eng. </w:t>
      </w:r>
      <w:r w:rsidR="00350E99" w:rsidRPr="00350E99">
        <w:rPr>
          <w:bCs/>
          <w:i/>
          <w:sz w:val="24"/>
          <w:szCs w:val="24"/>
        </w:rPr>
        <w:t xml:space="preserve">useful </w:t>
      </w:r>
      <w:r w:rsidRPr="00350E99">
        <w:rPr>
          <w:i/>
          <w:sz w:val="24"/>
          <w:szCs w:val="24"/>
        </w:rPr>
        <w:t>lives</w:t>
      </w:r>
      <w:r w:rsidRPr="000C4133">
        <w:rPr>
          <w:bCs/>
          <w:sz w:val="24"/>
          <w:szCs w:val="24"/>
        </w:rPr>
        <w:t>)</w:t>
      </w:r>
    </w:p>
    <w:p w:rsidR="00620B1D" w:rsidRPr="000C4133" w:rsidRDefault="00620B1D" w:rsidP="00DD0407">
      <w:pPr>
        <w:pStyle w:val="ListParagraph"/>
        <w:numPr>
          <w:ilvl w:val="0"/>
          <w:numId w:val="47"/>
        </w:numPr>
        <w:jc w:val="both"/>
        <w:rPr>
          <w:bCs/>
          <w:sz w:val="24"/>
          <w:szCs w:val="24"/>
        </w:rPr>
      </w:pPr>
      <w:r w:rsidRPr="000C4133">
        <w:rPr>
          <w:bCs/>
          <w:sz w:val="24"/>
          <w:szCs w:val="24"/>
        </w:rPr>
        <w:t>Potpuno amortizirana imovina</w:t>
      </w:r>
    </w:p>
    <w:p w:rsidR="00620B1D" w:rsidRPr="000C4133" w:rsidRDefault="00620B1D" w:rsidP="00DD0407">
      <w:pPr>
        <w:pStyle w:val="ListParagraph"/>
        <w:numPr>
          <w:ilvl w:val="0"/>
          <w:numId w:val="47"/>
        </w:numPr>
        <w:jc w:val="both"/>
        <w:rPr>
          <w:bCs/>
          <w:sz w:val="24"/>
          <w:szCs w:val="24"/>
        </w:rPr>
      </w:pPr>
      <w:r w:rsidRPr="000C4133">
        <w:rPr>
          <w:bCs/>
          <w:sz w:val="24"/>
          <w:szCs w:val="24"/>
        </w:rPr>
        <w:t>Dodatni ulazni podaci</w:t>
      </w:r>
    </w:p>
    <w:p w:rsidR="00620B1D" w:rsidRDefault="00620B1D" w:rsidP="00620B1D">
      <w:pPr>
        <w:jc w:val="both"/>
        <w:rPr>
          <w:sz w:val="24"/>
          <w:szCs w:val="24"/>
        </w:rPr>
      </w:pPr>
      <w:r>
        <w:rPr>
          <w:sz w:val="24"/>
          <w:szCs w:val="24"/>
        </w:rPr>
        <w:t xml:space="preserve">Osim gore navedenih ulaznih podataka, jedan od jako bitnih ulaznih podataka su rezultati geografske analize koja se zbog kompleksnosti i velike količine podataka koji se obrađuju provela odvojeno u zasebnom sustavu (R). Ulazni podaci za geografsku analizu su podaci o broju stanova u Republici Hrvatskoj (izvor: Državni zavod za statistiku), podaci o adresama svih zgrada u Republici Hrvatskoj (izvor: Državna geodetska uprava), te HT-ovi podaci o rutama HT-ove mreže, podaci o lokacijama čvorova HT-ove mreže te podaci o područjima pokrivanja tih čvorova. </w:t>
      </w:r>
    </w:p>
    <w:p w:rsidR="00620B1D" w:rsidRPr="00C962DD" w:rsidRDefault="00620B1D" w:rsidP="00620B1D">
      <w:pPr>
        <w:jc w:val="both"/>
        <w:rPr>
          <w:sz w:val="24"/>
          <w:szCs w:val="24"/>
        </w:rPr>
      </w:pPr>
      <w:r>
        <w:rPr>
          <w:sz w:val="24"/>
          <w:szCs w:val="24"/>
        </w:rPr>
        <w:t xml:space="preserve">Potrebno je napomenuti da je većina ulaznih podataka koje je dostavio HT prihvaćeno, međutim </w:t>
      </w:r>
      <w:r w:rsidR="000C4133">
        <w:rPr>
          <w:sz w:val="24"/>
          <w:szCs w:val="24"/>
        </w:rPr>
        <w:t>za neke podatke</w:t>
      </w:r>
      <w:r>
        <w:rPr>
          <w:sz w:val="24"/>
          <w:szCs w:val="24"/>
        </w:rPr>
        <w:t xml:space="preserve"> su korišteni alternativni podaci. Tu je najbitnije istaknuti da su korišteni alternativni podaci o potražnji usluga na svjetlovodnim mrežama, što ima značajan utjecaj na konačne rezultate Troškovnog modela. Naime, umjesto potražnje koje je dostavio HT i koja ako bi se uzela u obzir bi značila da je </w:t>
      </w:r>
      <w:r w:rsidRPr="00C962DD">
        <w:rPr>
          <w:i/>
          <w:sz w:val="24"/>
          <w:szCs w:val="24"/>
        </w:rPr>
        <w:t>take up</w:t>
      </w:r>
      <w:r>
        <w:rPr>
          <w:sz w:val="24"/>
          <w:szCs w:val="24"/>
        </w:rPr>
        <w:t xml:space="preserve"> na HT-ovoj svjetl</w:t>
      </w:r>
      <w:r w:rsidR="00C91D9C">
        <w:rPr>
          <w:sz w:val="24"/>
          <w:szCs w:val="24"/>
        </w:rPr>
        <w:t>ovodnoj pristupnoj mreži samo</w:t>
      </w:r>
      <w:r w:rsidR="008D2898">
        <w:rPr>
          <w:sz w:val="24"/>
          <w:szCs w:val="24"/>
        </w:rPr>
        <w:t xml:space="preserve"> </w:t>
      </w:r>
      <w:r w:rsidR="008D2898" w:rsidRPr="008D2898">
        <w:rPr>
          <w:sz w:val="24"/>
          <w:szCs w:val="24"/>
          <w:lang w:val="en-GB"/>
        </w:rPr>
        <w:sym w:font="Wingdings 2" w:char="F026"/>
      </w:r>
      <w:r>
        <w:rPr>
          <w:sz w:val="24"/>
          <w:szCs w:val="24"/>
        </w:rPr>
        <w:t xml:space="preserve">%, HAKOM je koristio alternativne podatke o potražnji koji su dobiveni na način da se pretpostavilo da bi 2027. </w:t>
      </w:r>
      <w:r>
        <w:rPr>
          <w:i/>
          <w:sz w:val="24"/>
          <w:szCs w:val="24"/>
        </w:rPr>
        <w:t xml:space="preserve">take up </w:t>
      </w:r>
      <w:r>
        <w:rPr>
          <w:sz w:val="24"/>
          <w:szCs w:val="24"/>
        </w:rPr>
        <w:t>na HT-ovim mrežama u komercijalnim područjima bio 45%, a na područjima gdje će se mreža graditi kroz projekte iz ONP-a 60%.</w:t>
      </w:r>
    </w:p>
    <w:p w:rsidR="00620B1D" w:rsidRDefault="00620B1D" w:rsidP="00620B1D">
      <w:pPr>
        <w:jc w:val="both"/>
        <w:rPr>
          <w:sz w:val="24"/>
          <w:szCs w:val="24"/>
        </w:rPr>
      </w:pPr>
      <w:r>
        <w:rPr>
          <w:sz w:val="24"/>
          <w:szCs w:val="24"/>
        </w:rPr>
        <w:t xml:space="preserve">Na osnovu ulaznih podataka Troškovni model provodi dimenzioniranje HT-ove mreže uz primjenu definiranih metodoloških načela. Nakon dimenzioniranja, koje se sastoji u definiranju količina mrežnih resursa, model izračunava CapEx i OpEx, nakon čega se, primjenom odabrane metode ekonomske amortizacije ti troškovi raspodjeljuju po godinama. </w:t>
      </w:r>
      <w:r w:rsidR="000C4133">
        <w:rPr>
          <w:sz w:val="24"/>
          <w:szCs w:val="24"/>
        </w:rPr>
        <w:t xml:space="preserve">Zatim </w:t>
      </w:r>
      <w:r>
        <w:rPr>
          <w:sz w:val="24"/>
          <w:szCs w:val="24"/>
        </w:rPr>
        <w:t xml:space="preserve">se troškovi alociraju na pojedine usluge korištenjem tzv. </w:t>
      </w:r>
      <w:r w:rsidRPr="00C962DD">
        <w:rPr>
          <w:i/>
          <w:sz w:val="24"/>
          <w:szCs w:val="24"/>
        </w:rPr>
        <w:t>ruting faktora</w:t>
      </w:r>
      <w:r>
        <w:rPr>
          <w:sz w:val="24"/>
          <w:szCs w:val="24"/>
        </w:rPr>
        <w:t>, iz čega se dobivaju jedinični troškovi veleprodajnih usluga.</w:t>
      </w:r>
    </w:p>
    <w:p w:rsidR="00620B1D" w:rsidRPr="00B0522B" w:rsidRDefault="00620B1D" w:rsidP="00620B1D">
      <w:pPr>
        <w:jc w:val="both"/>
        <w:rPr>
          <w:sz w:val="24"/>
          <w:szCs w:val="24"/>
        </w:rPr>
      </w:pPr>
      <w:r>
        <w:rPr>
          <w:sz w:val="24"/>
          <w:szCs w:val="24"/>
        </w:rPr>
        <w:t xml:space="preserve">HAKOM je na osnovu rezultata Troškovnog modela, odnosno rezultirajućih jediničnih troškova veleprodajnih usluga, pri tom analizirajući različite opcije, odredio cijene veleprodajnih usluga na tržištu M3a. Potrebno je naglasiti da je HAKOM od raspoloživih analiziranih opcija uvijek odabrao opciju koja po mišljenju HAKOM-a najbolje doprinosi ciljevima određivanja troškovno usmjerenih cijena, </w:t>
      </w:r>
      <w:r w:rsidDel="000F0A57">
        <w:rPr>
          <w:sz w:val="24"/>
          <w:szCs w:val="24"/>
        </w:rPr>
        <w:t>tj</w:t>
      </w:r>
      <w:r w:rsidR="000F0A57">
        <w:rPr>
          <w:sz w:val="24"/>
          <w:szCs w:val="24"/>
        </w:rPr>
        <w:t>.</w:t>
      </w:r>
      <w:r>
        <w:rPr>
          <w:sz w:val="24"/>
          <w:szCs w:val="24"/>
        </w:rPr>
        <w:t xml:space="preserve"> </w:t>
      </w:r>
      <w:r w:rsidRPr="00B0522B">
        <w:rPr>
          <w:sz w:val="24"/>
          <w:szCs w:val="24"/>
        </w:rPr>
        <w:t>promicanje učinkovitosti</w:t>
      </w:r>
      <w:r>
        <w:rPr>
          <w:sz w:val="24"/>
          <w:szCs w:val="24"/>
        </w:rPr>
        <w:t xml:space="preserve"> i</w:t>
      </w:r>
      <w:r w:rsidRPr="00B0522B">
        <w:rPr>
          <w:sz w:val="24"/>
          <w:szCs w:val="24"/>
        </w:rPr>
        <w:t xml:space="preserve"> održivog tržišnog natjecanja</w:t>
      </w:r>
      <w:r>
        <w:rPr>
          <w:sz w:val="24"/>
          <w:szCs w:val="24"/>
        </w:rPr>
        <w:t xml:space="preserve"> te </w:t>
      </w:r>
      <w:r w:rsidRPr="00B0522B">
        <w:rPr>
          <w:sz w:val="24"/>
          <w:szCs w:val="24"/>
        </w:rPr>
        <w:t>osiguravanje najvećih koristi za korisnike.</w:t>
      </w:r>
    </w:p>
    <w:p w:rsidR="00620B1D" w:rsidRPr="00620B1D" w:rsidRDefault="00620B1D" w:rsidP="00620B1D"/>
    <w:p w:rsidR="000E4ECF" w:rsidRDefault="000E4ECF" w:rsidP="00DD0407">
      <w:pPr>
        <w:pStyle w:val="Heading1"/>
      </w:pPr>
      <w:bookmarkStart w:id="8" w:name="_Toc51676819"/>
      <w:bookmarkStart w:id="9" w:name="_Toc53941951"/>
      <w:bookmarkStart w:id="10" w:name="_Toc54250926"/>
      <w:bookmarkStart w:id="11" w:name="_Toc54252824"/>
      <w:bookmarkStart w:id="12" w:name="_Toc54261636"/>
      <w:r w:rsidRPr="000E4ECF">
        <w:t>Uvod</w:t>
      </w:r>
      <w:bookmarkEnd w:id="8"/>
      <w:bookmarkEnd w:id="9"/>
      <w:bookmarkEnd w:id="10"/>
      <w:bookmarkEnd w:id="11"/>
      <w:bookmarkEnd w:id="12"/>
    </w:p>
    <w:p w:rsidR="00F2612C" w:rsidRPr="00A574C8" w:rsidRDefault="00F2612C" w:rsidP="00F2612C">
      <w:pPr>
        <w:jc w:val="both"/>
        <w:rPr>
          <w:rFonts w:ascii="Calibri" w:hAnsi="Calibri" w:cs="Calibri"/>
          <w:sz w:val="24"/>
          <w:szCs w:val="24"/>
        </w:rPr>
      </w:pPr>
      <w:r w:rsidRPr="00A574C8">
        <w:rPr>
          <w:rFonts w:ascii="Calibri" w:hAnsi="Calibri" w:cs="Calibri"/>
          <w:sz w:val="24"/>
          <w:szCs w:val="24"/>
        </w:rPr>
        <w:t xml:space="preserve">Hrvatska regulatorna agencija za mrežne djelatnosti (dalje: HAKOM) je odlukom o analizi tržišta </w:t>
      </w:r>
      <w:r w:rsidR="00DD0407" w:rsidRPr="00DD0407">
        <w:rPr>
          <w:rFonts w:ascii="Calibri" w:hAnsi="Calibri" w:cs="Calibri"/>
          <w:sz w:val="24"/>
          <w:szCs w:val="24"/>
        </w:rPr>
        <w:t>veleprodajnog lokalnog pristupa koji se pruža na fiksnoj lokaciji</w:t>
      </w:r>
      <w:r w:rsidRPr="00A574C8">
        <w:rPr>
          <w:rFonts w:ascii="Calibri" w:hAnsi="Calibri" w:cs="Calibri"/>
          <w:sz w:val="24"/>
          <w:szCs w:val="24"/>
        </w:rPr>
        <w:t xml:space="preserve"> </w:t>
      </w:r>
      <w:r>
        <w:rPr>
          <w:rFonts w:ascii="Calibri" w:hAnsi="Calibri" w:cs="Calibri"/>
          <w:sz w:val="24"/>
          <w:szCs w:val="24"/>
        </w:rPr>
        <w:t xml:space="preserve">(dalje: tržište </w:t>
      </w:r>
      <w:r w:rsidR="00DD0407">
        <w:rPr>
          <w:rFonts w:ascii="Calibri" w:hAnsi="Calibri" w:cs="Calibri"/>
          <w:sz w:val="24"/>
          <w:szCs w:val="24"/>
        </w:rPr>
        <w:t>M3a</w:t>
      </w:r>
      <w:r>
        <w:rPr>
          <w:rFonts w:ascii="Calibri" w:hAnsi="Calibri" w:cs="Calibri"/>
          <w:sz w:val="24"/>
          <w:szCs w:val="24"/>
        </w:rPr>
        <w:t>)</w:t>
      </w:r>
      <w:r w:rsidRPr="00A574C8">
        <w:rPr>
          <w:rFonts w:ascii="Calibri" w:hAnsi="Calibri" w:cs="Calibri"/>
          <w:sz w:val="24"/>
          <w:szCs w:val="24"/>
        </w:rPr>
        <w:t xml:space="preserve"> od </w:t>
      </w:r>
      <w:r>
        <w:rPr>
          <w:rFonts w:ascii="Calibri" w:hAnsi="Calibri" w:cs="Calibri"/>
          <w:sz w:val="24"/>
          <w:szCs w:val="24"/>
        </w:rPr>
        <w:t>19</w:t>
      </w:r>
      <w:r w:rsidRPr="00A574C8">
        <w:rPr>
          <w:rFonts w:ascii="Calibri" w:hAnsi="Calibri" w:cs="Calibri"/>
          <w:sz w:val="24"/>
          <w:szCs w:val="24"/>
        </w:rPr>
        <w:t xml:space="preserve">. </w:t>
      </w:r>
      <w:r>
        <w:rPr>
          <w:rFonts w:ascii="Calibri" w:hAnsi="Calibri" w:cs="Calibri"/>
          <w:sz w:val="24"/>
          <w:szCs w:val="24"/>
        </w:rPr>
        <w:t>lipnja</w:t>
      </w:r>
      <w:r w:rsidRPr="00A574C8">
        <w:rPr>
          <w:rFonts w:ascii="Calibri" w:hAnsi="Calibri" w:cs="Calibri"/>
          <w:sz w:val="24"/>
          <w:szCs w:val="24"/>
        </w:rPr>
        <w:t xml:space="preserve"> 201</w:t>
      </w:r>
      <w:r>
        <w:rPr>
          <w:rFonts w:ascii="Calibri" w:hAnsi="Calibri" w:cs="Calibri"/>
          <w:sz w:val="24"/>
          <w:szCs w:val="24"/>
        </w:rPr>
        <w:t>9</w:t>
      </w:r>
      <w:r w:rsidRPr="00A574C8">
        <w:rPr>
          <w:rFonts w:ascii="Calibri" w:hAnsi="Calibri" w:cs="Calibri"/>
          <w:sz w:val="24"/>
          <w:szCs w:val="24"/>
        </w:rPr>
        <w:t xml:space="preserve">. (KLASA: </w:t>
      </w:r>
      <w:r w:rsidR="00DD0407" w:rsidRPr="00DD0407">
        <w:rPr>
          <w:rFonts w:ascii="Calibri" w:hAnsi="Calibri" w:cs="Calibri"/>
          <w:sz w:val="24"/>
          <w:szCs w:val="24"/>
        </w:rPr>
        <w:t>UP/I-344-01/18-03/05</w:t>
      </w:r>
      <w:r>
        <w:rPr>
          <w:rFonts w:ascii="Calibri" w:hAnsi="Calibri" w:cs="Calibri"/>
          <w:sz w:val="24"/>
          <w:szCs w:val="24"/>
        </w:rPr>
        <w:t xml:space="preserve">, </w:t>
      </w:r>
      <w:r w:rsidRPr="00A574C8">
        <w:rPr>
          <w:rFonts w:ascii="Calibri" w:hAnsi="Calibri" w:cs="Calibri"/>
          <w:sz w:val="24"/>
          <w:szCs w:val="24"/>
        </w:rPr>
        <w:t>URBROJ: 376-05-1-19-</w:t>
      </w:r>
      <w:r w:rsidR="00DD0407" w:rsidRPr="00A574C8">
        <w:rPr>
          <w:rFonts w:ascii="Calibri" w:hAnsi="Calibri" w:cs="Calibri"/>
          <w:sz w:val="24"/>
          <w:szCs w:val="24"/>
        </w:rPr>
        <w:t>1</w:t>
      </w:r>
      <w:r w:rsidR="00DD0407">
        <w:rPr>
          <w:rFonts w:ascii="Calibri" w:hAnsi="Calibri" w:cs="Calibri"/>
          <w:sz w:val="24"/>
          <w:szCs w:val="24"/>
        </w:rPr>
        <w:t>1</w:t>
      </w:r>
      <w:r w:rsidRPr="00A574C8">
        <w:rPr>
          <w:rFonts w:ascii="Calibri" w:hAnsi="Calibri" w:cs="Calibri"/>
          <w:sz w:val="24"/>
          <w:szCs w:val="24"/>
        </w:rPr>
        <w:t xml:space="preserve">; dalje: Analiza tržišta) odredila trgovačkom društvu Hrvatski Telekom d.d. (dalje: HT) obvezu nadzora cijena za </w:t>
      </w:r>
      <w:r w:rsidR="00DD0407" w:rsidRPr="00A574C8">
        <w:rPr>
          <w:rFonts w:ascii="Calibri" w:hAnsi="Calibri" w:cs="Calibri"/>
          <w:sz w:val="24"/>
          <w:szCs w:val="24"/>
        </w:rPr>
        <w:t>uslug</w:t>
      </w:r>
      <w:r w:rsidR="00DD0407">
        <w:rPr>
          <w:rFonts w:ascii="Calibri" w:hAnsi="Calibri" w:cs="Calibri"/>
          <w:sz w:val="24"/>
          <w:szCs w:val="24"/>
        </w:rPr>
        <w:t>e</w:t>
      </w:r>
      <w:r w:rsidR="00DD0407" w:rsidRPr="00A574C8">
        <w:rPr>
          <w:rFonts w:ascii="Calibri" w:hAnsi="Calibri" w:cs="Calibri"/>
          <w:sz w:val="24"/>
          <w:szCs w:val="24"/>
        </w:rPr>
        <w:t xml:space="preserve"> </w:t>
      </w:r>
      <w:r w:rsidRPr="00A574C8">
        <w:rPr>
          <w:rFonts w:ascii="Calibri" w:hAnsi="Calibri" w:cs="Calibri"/>
          <w:sz w:val="24"/>
          <w:szCs w:val="24"/>
        </w:rPr>
        <w:t xml:space="preserve">veleprodajnog </w:t>
      </w:r>
      <w:r w:rsidR="00DD0407">
        <w:rPr>
          <w:rFonts w:ascii="Calibri" w:hAnsi="Calibri" w:cs="Calibri"/>
          <w:sz w:val="24"/>
          <w:szCs w:val="24"/>
        </w:rPr>
        <w:t>lokalnog</w:t>
      </w:r>
      <w:r w:rsidRPr="00A574C8">
        <w:rPr>
          <w:rFonts w:ascii="Calibri" w:hAnsi="Calibri" w:cs="Calibri"/>
          <w:sz w:val="24"/>
          <w:szCs w:val="24"/>
        </w:rPr>
        <w:t xml:space="preserve"> pristupa. </w:t>
      </w:r>
    </w:p>
    <w:p w:rsidR="00F2612C" w:rsidRDefault="00F2612C" w:rsidP="00F2612C">
      <w:pPr>
        <w:jc w:val="both"/>
        <w:rPr>
          <w:rFonts w:ascii="Calibri" w:hAnsi="Calibri" w:cs="Calibri"/>
          <w:sz w:val="24"/>
          <w:szCs w:val="24"/>
        </w:rPr>
      </w:pPr>
      <w:r>
        <w:rPr>
          <w:rFonts w:ascii="Calibri" w:hAnsi="Calibri" w:cs="Calibri"/>
          <w:sz w:val="24"/>
          <w:szCs w:val="24"/>
        </w:rPr>
        <w:t>Samom a</w:t>
      </w:r>
      <w:r w:rsidRPr="00A574C8">
        <w:rPr>
          <w:rFonts w:ascii="Calibri" w:hAnsi="Calibri" w:cs="Calibri"/>
          <w:sz w:val="24"/>
          <w:szCs w:val="24"/>
        </w:rPr>
        <w:t xml:space="preserve">nalizom tržišta </w:t>
      </w:r>
      <w:r>
        <w:rPr>
          <w:rFonts w:ascii="Calibri" w:hAnsi="Calibri" w:cs="Calibri"/>
          <w:sz w:val="24"/>
          <w:szCs w:val="24"/>
        </w:rPr>
        <w:t xml:space="preserve">nisu određene nove cijene, već su zadržane do tada važeće, iz razloga što je bilo </w:t>
      </w:r>
      <w:r w:rsidRPr="00A574C8">
        <w:rPr>
          <w:rFonts w:ascii="Calibri" w:hAnsi="Calibri" w:cs="Calibri"/>
          <w:sz w:val="24"/>
          <w:szCs w:val="24"/>
        </w:rPr>
        <w:t>potrebno ažurirati izrađeni BU-LRAIC+ model na način da se uzmu u obzir promjene u mreži u razdoblju od izrade inicijalnog BU-LRIC+ modela</w:t>
      </w:r>
      <w:r>
        <w:rPr>
          <w:rFonts w:ascii="Calibri" w:hAnsi="Calibri" w:cs="Calibri"/>
          <w:sz w:val="24"/>
          <w:szCs w:val="24"/>
        </w:rPr>
        <w:t>, kako bi</w:t>
      </w:r>
      <w:r w:rsidRPr="00A574C8">
        <w:rPr>
          <w:rFonts w:ascii="Calibri" w:hAnsi="Calibri" w:cs="Calibri"/>
          <w:sz w:val="24"/>
          <w:szCs w:val="24"/>
        </w:rPr>
        <w:t xml:space="preserve"> HAKOM mogao izračunati cijene za buduća razdoblja.</w:t>
      </w:r>
      <w:r w:rsidRPr="00C83848">
        <w:rPr>
          <w:rFonts w:ascii="Calibri" w:hAnsi="Calibri" w:cs="Calibri"/>
          <w:sz w:val="24"/>
          <w:szCs w:val="24"/>
        </w:rPr>
        <w:t xml:space="preserve"> </w:t>
      </w:r>
      <w:r>
        <w:rPr>
          <w:rFonts w:ascii="Calibri" w:hAnsi="Calibri" w:cs="Calibri"/>
          <w:sz w:val="24"/>
          <w:szCs w:val="24"/>
        </w:rPr>
        <w:t xml:space="preserve">Stoga </w:t>
      </w:r>
      <w:r w:rsidRPr="00A574C8">
        <w:rPr>
          <w:rFonts w:ascii="Calibri" w:hAnsi="Calibri" w:cs="Calibri"/>
          <w:sz w:val="24"/>
          <w:szCs w:val="24"/>
        </w:rPr>
        <w:t xml:space="preserve">je definirano </w:t>
      </w:r>
      <w:r>
        <w:rPr>
          <w:rFonts w:ascii="Calibri" w:hAnsi="Calibri" w:cs="Calibri"/>
          <w:sz w:val="24"/>
          <w:szCs w:val="24"/>
        </w:rPr>
        <w:t xml:space="preserve">da </w:t>
      </w:r>
      <w:r w:rsidRPr="00A574C8">
        <w:rPr>
          <w:rFonts w:ascii="Calibri" w:hAnsi="Calibri" w:cs="Calibri"/>
          <w:sz w:val="24"/>
          <w:szCs w:val="24"/>
        </w:rPr>
        <w:t xml:space="preserve">HAKOM može izmijeniti cijene za uslugu veleprodajnog </w:t>
      </w:r>
      <w:r w:rsidR="00DD0407">
        <w:rPr>
          <w:rFonts w:ascii="Calibri" w:hAnsi="Calibri" w:cs="Calibri"/>
          <w:sz w:val="24"/>
          <w:szCs w:val="24"/>
        </w:rPr>
        <w:t>lokalnog</w:t>
      </w:r>
      <w:r w:rsidR="00DD0407" w:rsidRPr="00A574C8">
        <w:rPr>
          <w:rFonts w:ascii="Calibri" w:hAnsi="Calibri" w:cs="Calibri"/>
          <w:sz w:val="24"/>
          <w:szCs w:val="24"/>
        </w:rPr>
        <w:t xml:space="preserve"> </w:t>
      </w:r>
      <w:r w:rsidRPr="00A574C8">
        <w:rPr>
          <w:rFonts w:ascii="Calibri" w:hAnsi="Calibri" w:cs="Calibri"/>
          <w:sz w:val="24"/>
          <w:szCs w:val="24"/>
        </w:rPr>
        <w:t>pristupa temeljem članka 62. stavka 4. ZEK-a, u kojem slučaju će HT biti obvezan izmijenjene cijene ugraditi u Standardnu ponudu</w:t>
      </w:r>
      <w:r>
        <w:rPr>
          <w:rFonts w:ascii="Calibri" w:hAnsi="Calibri" w:cs="Calibri"/>
          <w:sz w:val="24"/>
          <w:szCs w:val="24"/>
        </w:rPr>
        <w:t>.</w:t>
      </w:r>
    </w:p>
    <w:p w:rsidR="000E4ECF" w:rsidRPr="00E66063" w:rsidRDefault="000E4ECF" w:rsidP="00DD0407">
      <w:pPr>
        <w:pStyle w:val="Heading2"/>
        <w:spacing w:before="360" w:line="240" w:lineRule="auto"/>
        <w:ind w:left="578" w:hanging="578"/>
      </w:pPr>
      <w:bookmarkStart w:id="13" w:name="_Toc418687479"/>
      <w:bookmarkStart w:id="14" w:name="_Toc418687551"/>
      <w:bookmarkStart w:id="15" w:name="_Toc53941351"/>
      <w:bookmarkStart w:id="16" w:name="_Toc53941712"/>
      <w:bookmarkStart w:id="17" w:name="_Toc53941952"/>
      <w:bookmarkStart w:id="18" w:name="_Toc53946486"/>
      <w:bookmarkStart w:id="19" w:name="_Toc52204933"/>
      <w:bookmarkStart w:id="20" w:name="_Toc52465561"/>
      <w:bookmarkStart w:id="21" w:name="_Toc52545110"/>
      <w:bookmarkStart w:id="22" w:name="_Toc53063821"/>
      <w:bookmarkStart w:id="23" w:name="_Toc51676822"/>
      <w:bookmarkStart w:id="24" w:name="_Ref52282345"/>
      <w:bookmarkStart w:id="25" w:name="_Ref52282354"/>
      <w:bookmarkStart w:id="26" w:name="_Toc53941953"/>
      <w:bookmarkStart w:id="27" w:name="_Toc54250927"/>
      <w:bookmarkStart w:id="28" w:name="_Toc54252825"/>
      <w:bookmarkStart w:id="29" w:name="_Toc54261637"/>
      <w:bookmarkEnd w:id="13"/>
      <w:bookmarkEnd w:id="14"/>
      <w:bookmarkEnd w:id="15"/>
      <w:bookmarkEnd w:id="16"/>
      <w:bookmarkEnd w:id="17"/>
      <w:bookmarkEnd w:id="18"/>
      <w:bookmarkEnd w:id="19"/>
      <w:bookmarkEnd w:id="20"/>
      <w:bookmarkEnd w:id="21"/>
      <w:bookmarkEnd w:id="22"/>
      <w:r w:rsidRPr="000E4ECF">
        <w:t xml:space="preserve">Osvrt na </w:t>
      </w:r>
      <w:r w:rsidR="00094B05">
        <w:t>važeće</w:t>
      </w:r>
      <w:r w:rsidRPr="000E4ECF">
        <w:t xml:space="preserve"> odluk</w:t>
      </w:r>
      <w:r w:rsidR="00094B05">
        <w:t>e</w:t>
      </w:r>
      <w:r w:rsidRPr="000E4ECF">
        <w:t xml:space="preserve"> o </w:t>
      </w:r>
      <w:r w:rsidR="00094B05">
        <w:t xml:space="preserve">veleprodajnim </w:t>
      </w:r>
      <w:r w:rsidR="00247DB1">
        <w:t>cijenama</w:t>
      </w:r>
      <w:bookmarkEnd w:id="23"/>
      <w:bookmarkEnd w:id="24"/>
      <w:bookmarkEnd w:id="25"/>
      <w:bookmarkEnd w:id="26"/>
      <w:bookmarkEnd w:id="27"/>
      <w:bookmarkEnd w:id="28"/>
      <w:bookmarkEnd w:id="29"/>
    </w:p>
    <w:p w:rsidR="001E5C2E" w:rsidRDefault="001E5C2E" w:rsidP="001E5C2E">
      <w:pPr>
        <w:jc w:val="both"/>
        <w:rPr>
          <w:rFonts w:ascii="Calibri" w:hAnsi="Calibri" w:cs="Calibri"/>
          <w:sz w:val="24"/>
          <w:szCs w:val="24"/>
        </w:rPr>
      </w:pPr>
      <w:r>
        <w:rPr>
          <w:rFonts w:ascii="Calibri" w:hAnsi="Calibri" w:cs="Calibri"/>
          <w:sz w:val="24"/>
          <w:szCs w:val="24"/>
        </w:rPr>
        <w:t>O</w:t>
      </w:r>
      <w:r w:rsidRPr="009C5973">
        <w:rPr>
          <w:rFonts w:ascii="Calibri" w:hAnsi="Calibri" w:cs="Calibri"/>
          <w:sz w:val="24"/>
          <w:szCs w:val="24"/>
        </w:rPr>
        <w:t xml:space="preserve">dlukom iz </w:t>
      </w:r>
      <w:r>
        <w:rPr>
          <w:rFonts w:ascii="Calibri" w:hAnsi="Calibri" w:cs="Calibri"/>
          <w:sz w:val="24"/>
          <w:szCs w:val="24"/>
        </w:rPr>
        <w:t>svibnja</w:t>
      </w:r>
      <w:r w:rsidRPr="009C5973">
        <w:rPr>
          <w:rFonts w:ascii="Calibri" w:hAnsi="Calibri" w:cs="Calibri"/>
          <w:sz w:val="24"/>
          <w:szCs w:val="24"/>
        </w:rPr>
        <w:t xml:space="preserve"> 2016.</w:t>
      </w:r>
      <w:r w:rsidRPr="009C5973">
        <w:rPr>
          <w:rStyle w:val="FootnoteReference"/>
          <w:rFonts w:ascii="Calibri" w:hAnsi="Calibri" w:cs="Calibri"/>
          <w:sz w:val="24"/>
          <w:szCs w:val="24"/>
        </w:rPr>
        <w:footnoteReference w:id="2"/>
      </w:r>
      <w:r w:rsidRPr="009C5973">
        <w:rPr>
          <w:rStyle w:val="FootnoteReference"/>
          <w:rFonts w:ascii="Calibri" w:hAnsi="Calibri" w:cs="Calibri"/>
          <w:sz w:val="24"/>
          <w:szCs w:val="24"/>
        </w:rPr>
        <w:t xml:space="preserve"> </w:t>
      </w:r>
      <w:r w:rsidRPr="00CD72D2">
        <w:rPr>
          <w:rFonts w:ascii="Calibri" w:hAnsi="Calibri" w:cs="Calibri"/>
          <w:sz w:val="24"/>
          <w:szCs w:val="24"/>
        </w:rPr>
        <w:t>definiran</w:t>
      </w:r>
      <w:r>
        <w:rPr>
          <w:rFonts w:ascii="Calibri" w:hAnsi="Calibri" w:cs="Calibri"/>
          <w:sz w:val="24"/>
          <w:szCs w:val="24"/>
        </w:rPr>
        <w:t>a je n</w:t>
      </w:r>
      <w:r w:rsidRPr="001E5C2E">
        <w:rPr>
          <w:rFonts w:ascii="Calibri" w:hAnsi="Calibri" w:cs="Calibri"/>
          <w:sz w:val="24"/>
          <w:szCs w:val="24"/>
        </w:rPr>
        <w:t>ajviša razina mjesečne naknade za uslugu potpuno izdvojenog pristupa lokalnoj petlji na temelju bakrene parice</w:t>
      </w:r>
      <w:r>
        <w:rPr>
          <w:rFonts w:ascii="Calibri" w:hAnsi="Calibri" w:cs="Calibri"/>
          <w:sz w:val="24"/>
          <w:szCs w:val="24"/>
        </w:rPr>
        <w:t xml:space="preserve">, koja je </w:t>
      </w:r>
      <w:r w:rsidRPr="001E5C2E">
        <w:rPr>
          <w:rFonts w:ascii="Calibri" w:hAnsi="Calibri" w:cs="Calibri"/>
          <w:sz w:val="24"/>
          <w:szCs w:val="24"/>
        </w:rPr>
        <w:t xml:space="preserve">određena </w:t>
      </w:r>
      <w:r>
        <w:rPr>
          <w:rFonts w:ascii="Calibri" w:hAnsi="Calibri" w:cs="Calibri"/>
          <w:sz w:val="24"/>
          <w:szCs w:val="24"/>
        </w:rPr>
        <w:t>t</w:t>
      </w:r>
      <w:r w:rsidRPr="009C5973">
        <w:rPr>
          <w:rFonts w:ascii="Calibri" w:hAnsi="Calibri" w:cs="Calibri"/>
          <w:sz w:val="24"/>
          <w:szCs w:val="24"/>
        </w:rPr>
        <w:t>emeljem rezultata BU-LRAIC+ troškovnog modela</w:t>
      </w:r>
      <w:r>
        <w:rPr>
          <w:rFonts w:ascii="Calibri" w:hAnsi="Calibri" w:cs="Calibri"/>
          <w:sz w:val="24"/>
          <w:szCs w:val="24"/>
        </w:rPr>
        <w:t xml:space="preserve"> koji je izrađen 2012. i ažuriran 2016. </w:t>
      </w:r>
    </w:p>
    <w:p w:rsidR="000063BB" w:rsidRDefault="000063BB" w:rsidP="001E5C2E">
      <w:pPr>
        <w:jc w:val="both"/>
        <w:rPr>
          <w:rFonts w:ascii="Calibri" w:hAnsi="Calibri" w:cs="Calibri"/>
          <w:sz w:val="24"/>
          <w:szCs w:val="24"/>
        </w:rPr>
      </w:pPr>
      <w:r w:rsidRPr="000063BB">
        <w:rPr>
          <w:rFonts w:ascii="Calibri" w:hAnsi="Calibri" w:cs="Calibri"/>
          <w:sz w:val="24"/>
          <w:szCs w:val="24"/>
        </w:rPr>
        <w:t>S obzirom da se određeni dijelovi postojeće bakrene pristupne mreže (kabelska kanalizacija) mogu iskoristiti i za novu pristupnu mrežu temeljenu na svjetlovodnoj niti, HAKOM je pri izračunu troškova posebno tretirao područja na kojima već postoji kabelska kanalizacija i područja na kojima istu tek treba izgraditi. Za područja na kojima postoji kabelska kanalizacija, HAKOM je za troškove rovova, cijevi i zdenaca koristio podatke iz HT-ovih računovodstvenih podataka temeljenih na tekućem troškovnom računovodstvu (CCA) vodeći računa o akumuliranoj amortizaciji navedene imovine odnosno nadoknađujući samo onaj dio ulaganja koji još nije amortiziran, dok je za područja na kojima je potrebno graditi kabelsku kanalizaciju koristio podatke o troškovima iz troškovnog modela nadoknađujući cjelokupan trošak izgradnje nove kabelske kanalizacije.</w:t>
      </w:r>
      <w:r>
        <w:rPr>
          <w:rFonts w:ascii="Calibri" w:hAnsi="Calibri" w:cs="Calibri"/>
          <w:sz w:val="24"/>
          <w:szCs w:val="24"/>
        </w:rPr>
        <w:t xml:space="preserve"> </w:t>
      </w:r>
    </w:p>
    <w:p w:rsidR="000063BB" w:rsidRDefault="000063BB" w:rsidP="001E5C2E">
      <w:pPr>
        <w:jc w:val="both"/>
        <w:rPr>
          <w:rFonts w:ascii="Calibri" w:hAnsi="Calibri" w:cs="Calibri"/>
          <w:sz w:val="24"/>
          <w:szCs w:val="24"/>
        </w:rPr>
      </w:pPr>
      <w:r w:rsidRPr="000063BB">
        <w:rPr>
          <w:rFonts w:ascii="Calibri" w:hAnsi="Calibri" w:cs="Calibri"/>
          <w:sz w:val="24"/>
          <w:szCs w:val="24"/>
        </w:rPr>
        <w:t>S obzirom da postoji veliki broj lokacija na kojima nije moguće ili nije ekonomski opravdano izdvajati lokalnu petlju, HAKOM</w:t>
      </w:r>
      <w:r>
        <w:rPr>
          <w:rFonts w:ascii="Calibri" w:hAnsi="Calibri" w:cs="Calibri"/>
          <w:sz w:val="24"/>
          <w:szCs w:val="24"/>
        </w:rPr>
        <w:t xml:space="preserve"> je</w:t>
      </w:r>
      <w:r w:rsidRPr="000063BB">
        <w:rPr>
          <w:rFonts w:ascii="Calibri" w:hAnsi="Calibri" w:cs="Calibri"/>
          <w:sz w:val="24"/>
          <w:szCs w:val="24"/>
        </w:rPr>
        <w:t xml:space="preserve"> smatra</w:t>
      </w:r>
      <w:r>
        <w:rPr>
          <w:rFonts w:ascii="Calibri" w:hAnsi="Calibri" w:cs="Calibri"/>
          <w:sz w:val="24"/>
          <w:szCs w:val="24"/>
        </w:rPr>
        <w:t>o</w:t>
      </w:r>
      <w:r w:rsidRPr="000063BB">
        <w:rPr>
          <w:rFonts w:ascii="Calibri" w:hAnsi="Calibri" w:cs="Calibri"/>
          <w:sz w:val="24"/>
          <w:szCs w:val="24"/>
        </w:rPr>
        <w:t xml:space="preserve"> opravdanim pri određivanju mjesečne naknade za LLU uslugu uključiti samo one troškove koji se odnose na područja na kojima se navedena usluga danas koristi ili će se u narednim godinama koristiti.</w:t>
      </w:r>
      <w:r>
        <w:rPr>
          <w:rFonts w:ascii="Calibri" w:hAnsi="Calibri" w:cs="Calibri"/>
          <w:sz w:val="24"/>
          <w:szCs w:val="24"/>
        </w:rPr>
        <w:t xml:space="preserve"> Stoga je </w:t>
      </w:r>
      <w:r w:rsidRPr="000063BB">
        <w:rPr>
          <w:rFonts w:ascii="Calibri" w:hAnsi="Calibri" w:cs="Calibri"/>
          <w:sz w:val="24"/>
          <w:szCs w:val="24"/>
        </w:rPr>
        <w:t>HAKOM posebno izračunao troškove za sva područja na kojima su danas izdvojene lokalne petlje te za područja na kojima do sada niti jedan operat</w:t>
      </w:r>
      <w:r w:rsidR="006A46ED">
        <w:rPr>
          <w:rFonts w:ascii="Calibri" w:hAnsi="Calibri" w:cs="Calibri"/>
          <w:sz w:val="24"/>
          <w:szCs w:val="24"/>
        </w:rPr>
        <w:t xml:space="preserve">or nije izdvojio lokalnu petlju, pri čemu je pri izračunu prosječnog troška primijenjen omjer </w:t>
      </w:r>
      <w:r w:rsidR="006A46ED" w:rsidRPr="006A46ED">
        <w:rPr>
          <w:rFonts w:ascii="Calibri" w:hAnsi="Calibri" w:cs="Calibri"/>
          <w:sz w:val="24"/>
          <w:szCs w:val="24"/>
        </w:rPr>
        <w:t>97,5%:2,5% u korist MDF područja na kojima se LLU usluga danas koristi.</w:t>
      </w:r>
    </w:p>
    <w:p w:rsidR="000063BB" w:rsidRDefault="006A46ED" w:rsidP="001E5C2E">
      <w:pPr>
        <w:jc w:val="both"/>
        <w:rPr>
          <w:rFonts w:ascii="Calibri" w:hAnsi="Calibri" w:cs="Calibri"/>
          <w:sz w:val="24"/>
          <w:szCs w:val="24"/>
        </w:rPr>
      </w:pPr>
      <w:r w:rsidRPr="006A46ED">
        <w:rPr>
          <w:rFonts w:ascii="Calibri" w:hAnsi="Calibri" w:cs="Calibri"/>
          <w:sz w:val="24"/>
          <w:szCs w:val="24"/>
        </w:rPr>
        <w:t>Mjesečna naknada za uslugu pristupa pasivnoj pristupnoj svjetlovodnoj mreži na lokaciji distribucijskog čvora (FA PON)</w:t>
      </w:r>
      <w:r w:rsidR="00727EB1">
        <w:rPr>
          <w:rStyle w:val="FootnoteReference"/>
          <w:rFonts w:ascii="Calibri" w:hAnsi="Calibri" w:cs="Calibri"/>
          <w:sz w:val="24"/>
          <w:szCs w:val="24"/>
        </w:rPr>
        <w:footnoteReference w:id="3"/>
      </w:r>
      <w:r w:rsidRPr="006A46ED">
        <w:rPr>
          <w:rFonts w:ascii="Calibri" w:hAnsi="Calibri" w:cs="Calibri"/>
          <w:sz w:val="24"/>
          <w:szCs w:val="24"/>
        </w:rPr>
        <w:t xml:space="preserve"> određena je temeljem rezultata ažuriranog BU-LRAIC+ troškovnog mod</w:t>
      </w:r>
      <w:r>
        <w:rPr>
          <w:rFonts w:ascii="Calibri" w:hAnsi="Calibri" w:cs="Calibri"/>
          <w:sz w:val="24"/>
          <w:szCs w:val="24"/>
        </w:rPr>
        <w:t xml:space="preserve">ela, te se razlikuje ovisno o tome </w:t>
      </w:r>
      <w:r w:rsidRPr="006A46ED">
        <w:rPr>
          <w:rFonts w:ascii="Calibri" w:hAnsi="Calibri" w:cs="Calibri"/>
          <w:sz w:val="24"/>
          <w:szCs w:val="24"/>
        </w:rPr>
        <w:t xml:space="preserve">koristi </w:t>
      </w:r>
      <w:r>
        <w:rPr>
          <w:rFonts w:ascii="Calibri" w:hAnsi="Calibri" w:cs="Calibri"/>
          <w:sz w:val="24"/>
          <w:szCs w:val="24"/>
        </w:rPr>
        <w:t xml:space="preserve">li se </w:t>
      </w:r>
      <w:r w:rsidRPr="006A46ED">
        <w:rPr>
          <w:rFonts w:ascii="Calibri" w:hAnsi="Calibri" w:cs="Calibri"/>
          <w:sz w:val="24"/>
          <w:szCs w:val="24"/>
        </w:rPr>
        <w:t>HT-ova svjetlovodna okosnica</w:t>
      </w:r>
      <w:r>
        <w:rPr>
          <w:rFonts w:ascii="Calibri" w:hAnsi="Calibri" w:cs="Calibri"/>
          <w:sz w:val="24"/>
          <w:szCs w:val="24"/>
        </w:rPr>
        <w:t xml:space="preserve"> zgrade ili ne</w:t>
      </w:r>
      <w:r w:rsidRPr="006A46ED">
        <w:rPr>
          <w:rFonts w:ascii="Calibri" w:hAnsi="Calibri" w:cs="Calibri"/>
          <w:sz w:val="24"/>
          <w:szCs w:val="24"/>
        </w:rPr>
        <w:t>.</w:t>
      </w:r>
      <w:r w:rsidR="00727EB1">
        <w:rPr>
          <w:rFonts w:ascii="Calibri" w:hAnsi="Calibri" w:cs="Calibri"/>
          <w:sz w:val="24"/>
          <w:szCs w:val="24"/>
        </w:rPr>
        <w:t xml:space="preserve"> </w:t>
      </w:r>
    </w:p>
    <w:p w:rsidR="001E5C2E" w:rsidRDefault="006A46ED" w:rsidP="001E5C2E">
      <w:pPr>
        <w:jc w:val="both"/>
        <w:rPr>
          <w:rFonts w:ascii="Calibri" w:hAnsi="Calibri" w:cs="Calibri"/>
          <w:sz w:val="24"/>
          <w:szCs w:val="24"/>
        </w:rPr>
      </w:pPr>
      <w:r>
        <w:rPr>
          <w:rFonts w:ascii="Calibri" w:hAnsi="Calibri" w:cs="Calibri"/>
          <w:sz w:val="24"/>
          <w:szCs w:val="24"/>
        </w:rPr>
        <w:t>Prethodno navedene</w:t>
      </w:r>
      <w:r w:rsidR="001E5C2E">
        <w:rPr>
          <w:rFonts w:ascii="Calibri" w:hAnsi="Calibri" w:cs="Calibri"/>
          <w:sz w:val="24"/>
          <w:szCs w:val="24"/>
        </w:rPr>
        <w:t xml:space="preserve"> mjesečne naknade su od 1. siječnja 2020.</w:t>
      </w:r>
      <w:r w:rsidR="001E5C2E" w:rsidRPr="00CD72D2">
        <w:rPr>
          <w:rFonts w:ascii="Calibri" w:hAnsi="Calibri" w:cs="Calibri"/>
          <w:sz w:val="24"/>
          <w:szCs w:val="24"/>
        </w:rPr>
        <w:t xml:space="preserve"> uskla</w:t>
      </w:r>
      <w:r w:rsidR="001E5C2E">
        <w:rPr>
          <w:rFonts w:ascii="Calibri" w:hAnsi="Calibri" w:cs="Calibri"/>
          <w:sz w:val="24"/>
          <w:szCs w:val="24"/>
        </w:rPr>
        <w:t>đene s novim vrijednostima WACC-a u skladu s odlukom iz listopada 2019.</w:t>
      </w:r>
      <w:r w:rsidR="001E5C2E">
        <w:rPr>
          <w:rStyle w:val="FootnoteReference"/>
          <w:rFonts w:ascii="Calibri" w:hAnsi="Calibri" w:cs="Calibri"/>
          <w:sz w:val="24"/>
          <w:szCs w:val="24"/>
        </w:rPr>
        <w:footnoteReference w:id="4"/>
      </w:r>
      <w:r w:rsidR="001E5C2E">
        <w:rPr>
          <w:rFonts w:ascii="Calibri" w:hAnsi="Calibri" w:cs="Calibri"/>
          <w:sz w:val="24"/>
          <w:szCs w:val="24"/>
        </w:rPr>
        <w:t xml:space="preserve"> </w:t>
      </w:r>
      <w:r>
        <w:rPr>
          <w:rFonts w:ascii="Calibri" w:hAnsi="Calibri" w:cs="Calibri"/>
          <w:sz w:val="24"/>
          <w:szCs w:val="24"/>
        </w:rPr>
        <w:t>te su do donošenja ove odluke u primjeni sljedeći iznosi:</w:t>
      </w:r>
    </w:p>
    <w:p w:rsidR="006A46ED" w:rsidRDefault="006A46ED" w:rsidP="00C433F8">
      <w:pPr>
        <w:pStyle w:val="ListParagraph"/>
        <w:numPr>
          <w:ilvl w:val="0"/>
          <w:numId w:val="4"/>
        </w:numPr>
        <w:jc w:val="both"/>
        <w:rPr>
          <w:rFonts w:ascii="Calibri" w:hAnsi="Calibri" w:cs="Calibri"/>
          <w:sz w:val="24"/>
          <w:szCs w:val="24"/>
        </w:rPr>
      </w:pPr>
      <w:r>
        <w:rPr>
          <w:rFonts w:ascii="Calibri" w:hAnsi="Calibri" w:cs="Calibri"/>
          <w:sz w:val="24"/>
          <w:szCs w:val="24"/>
        </w:rPr>
        <w:t>LLU:</w:t>
      </w:r>
      <w:r w:rsidR="00C22A08">
        <w:rPr>
          <w:rFonts w:ascii="Calibri" w:hAnsi="Calibri" w:cs="Calibri"/>
          <w:sz w:val="24"/>
          <w:szCs w:val="24"/>
        </w:rPr>
        <w:t xml:space="preserve"> </w:t>
      </w:r>
      <w:r w:rsidR="00C22A08" w:rsidRPr="00C22A08">
        <w:rPr>
          <w:rFonts w:ascii="Calibri" w:hAnsi="Calibri" w:cs="Calibri"/>
          <w:sz w:val="24"/>
          <w:szCs w:val="24"/>
        </w:rPr>
        <w:t>42,16</w:t>
      </w:r>
      <w:r w:rsidR="00C22A08">
        <w:rPr>
          <w:rFonts w:ascii="Calibri" w:hAnsi="Calibri" w:cs="Calibri"/>
          <w:sz w:val="24"/>
          <w:szCs w:val="24"/>
        </w:rPr>
        <w:t xml:space="preserve"> HRK</w:t>
      </w:r>
    </w:p>
    <w:p w:rsidR="006A46ED" w:rsidRPr="006A46ED" w:rsidRDefault="006A46ED" w:rsidP="00C433F8">
      <w:pPr>
        <w:pStyle w:val="ListParagraph"/>
        <w:numPr>
          <w:ilvl w:val="0"/>
          <w:numId w:val="4"/>
        </w:numPr>
        <w:jc w:val="both"/>
        <w:rPr>
          <w:rFonts w:ascii="Calibri" w:hAnsi="Calibri" w:cs="Calibri"/>
          <w:sz w:val="24"/>
          <w:szCs w:val="24"/>
        </w:rPr>
      </w:pPr>
      <w:r w:rsidRPr="006A46ED">
        <w:rPr>
          <w:rFonts w:ascii="Calibri" w:hAnsi="Calibri" w:cs="Calibri"/>
          <w:sz w:val="24"/>
          <w:szCs w:val="24"/>
        </w:rPr>
        <w:t>FA PON: 46,87 HRK uključena svjetlovodna okosnica zgrade; 43,03</w:t>
      </w:r>
      <w:r w:rsidR="00C22A08">
        <w:rPr>
          <w:rFonts w:ascii="Calibri" w:hAnsi="Calibri" w:cs="Calibri"/>
          <w:sz w:val="24"/>
          <w:szCs w:val="24"/>
        </w:rPr>
        <w:t xml:space="preserve"> HRK bez svjetlovodne okosnice zgrade.</w:t>
      </w:r>
    </w:p>
    <w:p w:rsidR="00E66063" w:rsidRDefault="00E66063" w:rsidP="00EB348C">
      <w:pPr>
        <w:spacing w:after="0" w:line="240" w:lineRule="auto"/>
        <w:jc w:val="both"/>
      </w:pPr>
    </w:p>
    <w:p w:rsidR="00E66063" w:rsidRDefault="00E66063" w:rsidP="001E5C2E">
      <w:pPr>
        <w:spacing w:after="0" w:line="240" w:lineRule="auto"/>
        <w:jc w:val="both"/>
      </w:pPr>
    </w:p>
    <w:p w:rsidR="003B7B84" w:rsidRDefault="00EB348C" w:rsidP="00EB348C">
      <w:pPr>
        <w:spacing w:after="0" w:line="240" w:lineRule="auto"/>
        <w:jc w:val="both"/>
        <w:rPr>
          <w:sz w:val="24"/>
          <w:szCs w:val="24"/>
        </w:rPr>
      </w:pPr>
      <w:r>
        <w:br w:type="page"/>
      </w:r>
    </w:p>
    <w:p w:rsidR="000E4ECF" w:rsidRPr="000E4ECF" w:rsidRDefault="000E4ECF" w:rsidP="00DD0407">
      <w:pPr>
        <w:pStyle w:val="Heading2"/>
        <w:spacing w:before="360" w:line="240" w:lineRule="auto"/>
        <w:ind w:left="578" w:hanging="578"/>
      </w:pPr>
      <w:bookmarkStart w:id="30" w:name="_Toc53941353"/>
      <w:bookmarkStart w:id="31" w:name="_Toc53941714"/>
      <w:bookmarkStart w:id="32" w:name="_Toc53941954"/>
      <w:bookmarkStart w:id="33" w:name="_Toc53946488"/>
      <w:bookmarkStart w:id="34" w:name="_Toc53941955"/>
      <w:bookmarkStart w:id="35" w:name="_Toc54250928"/>
      <w:bookmarkStart w:id="36" w:name="_Toc54252826"/>
      <w:bookmarkStart w:id="37" w:name="_Toc54261638"/>
      <w:bookmarkStart w:id="38" w:name="_Toc51676823"/>
      <w:bookmarkEnd w:id="30"/>
      <w:bookmarkEnd w:id="31"/>
      <w:bookmarkEnd w:id="32"/>
      <w:bookmarkEnd w:id="33"/>
      <w:r w:rsidRPr="000E4ECF">
        <w:t>Kronološki slijed aktivnosti</w:t>
      </w:r>
      <w:bookmarkEnd w:id="34"/>
      <w:bookmarkEnd w:id="35"/>
      <w:bookmarkEnd w:id="36"/>
      <w:bookmarkEnd w:id="37"/>
      <w:r w:rsidRPr="000E4ECF">
        <w:t xml:space="preserve"> </w:t>
      </w:r>
      <w:bookmarkEnd w:id="38"/>
    </w:p>
    <w:p w:rsidR="0049620F" w:rsidRPr="0049620F" w:rsidRDefault="00E03868" w:rsidP="0049620F">
      <w:pPr>
        <w:jc w:val="both"/>
        <w:rPr>
          <w:rFonts w:cstheme="minorHAnsi"/>
          <w:sz w:val="24"/>
          <w:szCs w:val="24"/>
        </w:rPr>
      </w:pPr>
      <w:r w:rsidRPr="0049620F">
        <w:rPr>
          <w:rFonts w:cstheme="minorHAnsi"/>
          <w:sz w:val="24"/>
          <w:szCs w:val="24"/>
        </w:rPr>
        <w:t>HAKOM je u listopadu 2019. započe</w:t>
      </w:r>
      <w:r w:rsidR="00F2612C" w:rsidRPr="0049620F">
        <w:rPr>
          <w:rFonts w:cstheme="minorHAnsi"/>
          <w:sz w:val="24"/>
          <w:szCs w:val="24"/>
        </w:rPr>
        <w:t>o</w:t>
      </w:r>
      <w:r w:rsidRPr="0049620F">
        <w:rPr>
          <w:rFonts w:cstheme="minorHAnsi"/>
          <w:sz w:val="24"/>
          <w:szCs w:val="24"/>
        </w:rPr>
        <w:t xml:space="preserve"> projekt „</w:t>
      </w:r>
      <w:r w:rsidRPr="0049620F">
        <w:rPr>
          <w:rFonts w:cstheme="minorHAnsi"/>
          <w:i/>
          <w:sz w:val="24"/>
          <w:szCs w:val="24"/>
        </w:rPr>
        <w:t>Izračun troškova i cijena usluga u nepokretnoj mreži“</w:t>
      </w:r>
      <w:r w:rsidRPr="0049620F">
        <w:rPr>
          <w:rFonts w:cstheme="minorHAnsi"/>
          <w:sz w:val="24"/>
          <w:szCs w:val="24"/>
        </w:rPr>
        <w:t>. Svrha projekta je izrada troškovnog modela za nepokretnu mrežu te izračun novih cijena reguliranih veleprodajnih usluga na tržištima:</w:t>
      </w:r>
      <w:r w:rsidR="0049620F" w:rsidRPr="0049620F">
        <w:rPr>
          <w:rFonts w:cstheme="minorHAnsi"/>
          <w:sz w:val="24"/>
          <w:szCs w:val="24"/>
        </w:rPr>
        <w:t xml:space="preserve"> </w:t>
      </w:r>
    </w:p>
    <w:p w:rsidR="0049620F" w:rsidRPr="0049620F" w:rsidRDefault="0049620F" w:rsidP="0049620F">
      <w:pPr>
        <w:numPr>
          <w:ilvl w:val="0"/>
          <w:numId w:val="39"/>
        </w:numPr>
        <w:spacing w:after="160" w:line="259" w:lineRule="auto"/>
        <w:contextualSpacing/>
        <w:jc w:val="both"/>
        <w:rPr>
          <w:rFonts w:cstheme="minorHAnsi"/>
          <w:sz w:val="24"/>
          <w:szCs w:val="24"/>
        </w:rPr>
      </w:pPr>
      <w:r w:rsidRPr="0049620F">
        <w:rPr>
          <w:rFonts w:cstheme="minorHAnsi"/>
          <w:sz w:val="24"/>
          <w:szCs w:val="24"/>
        </w:rPr>
        <w:t>Veleprodajnog lokalnog pristupa koji se pruža na fiksnoj lokaciji (M3a</w:t>
      </w:r>
      <w:bookmarkStart w:id="39" w:name="_Ref53755209"/>
      <w:r w:rsidRPr="0049620F">
        <w:rPr>
          <w:rFonts w:cstheme="minorHAnsi"/>
          <w:sz w:val="24"/>
          <w:szCs w:val="24"/>
          <w:vertAlign w:val="superscript"/>
        </w:rPr>
        <w:footnoteReference w:id="5"/>
      </w:r>
      <w:bookmarkEnd w:id="39"/>
      <w:r w:rsidRPr="0049620F">
        <w:rPr>
          <w:rFonts w:cstheme="minorHAnsi"/>
          <w:sz w:val="24"/>
          <w:szCs w:val="24"/>
        </w:rPr>
        <w:t xml:space="preserve">:), </w:t>
      </w:r>
    </w:p>
    <w:p w:rsidR="0049620F" w:rsidRPr="0049620F" w:rsidRDefault="0049620F" w:rsidP="0049620F">
      <w:pPr>
        <w:numPr>
          <w:ilvl w:val="0"/>
          <w:numId w:val="39"/>
        </w:numPr>
        <w:spacing w:after="160" w:line="259" w:lineRule="auto"/>
        <w:contextualSpacing/>
        <w:jc w:val="both"/>
        <w:rPr>
          <w:rFonts w:cstheme="minorHAnsi"/>
          <w:sz w:val="24"/>
          <w:szCs w:val="24"/>
        </w:rPr>
      </w:pPr>
      <w:r w:rsidRPr="0049620F">
        <w:rPr>
          <w:rFonts w:cstheme="minorHAnsi"/>
          <w:sz w:val="24"/>
          <w:szCs w:val="24"/>
        </w:rPr>
        <w:t>Veleprodajnog središnjeg pristupa koji se pruža na fiksnoj lokaciji za proizvode za masovno tržište (M3b</w:t>
      </w:r>
      <w:r>
        <w:rPr>
          <w:rFonts w:cstheme="minorHAnsi"/>
          <w:sz w:val="24"/>
          <w:szCs w:val="24"/>
        </w:rPr>
        <w:fldChar w:fldCharType="begin"/>
      </w:r>
      <w:r>
        <w:rPr>
          <w:rFonts w:cstheme="minorHAnsi"/>
          <w:sz w:val="24"/>
          <w:szCs w:val="24"/>
        </w:rPr>
        <w:instrText xml:space="preserve"> NOTEREF _Ref53755209 \f \h </w:instrText>
      </w:r>
      <w:r>
        <w:rPr>
          <w:rFonts w:cstheme="minorHAnsi"/>
          <w:sz w:val="24"/>
          <w:szCs w:val="24"/>
        </w:rPr>
      </w:r>
      <w:r>
        <w:rPr>
          <w:rFonts w:cstheme="minorHAnsi"/>
          <w:sz w:val="24"/>
          <w:szCs w:val="24"/>
        </w:rPr>
        <w:fldChar w:fldCharType="separate"/>
      </w:r>
      <w:r w:rsidR="00B047B3" w:rsidRPr="00B047B3">
        <w:rPr>
          <w:rStyle w:val="FootnoteReference"/>
        </w:rPr>
        <w:t>4</w:t>
      </w:r>
      <w:r>
        <w:rPr>
          <w:rFonts w:cstheme="minorHAnsi"/>
          <w:sz w:val="24"/>
          <w:szCs w:val="24"/>
        </w:rPr>
        <w:fldChar w:fldCharType="end"/>
      </w:r>
      <w:r w:rsidRPr="0049620F">
        <w:rPr>
          <w:rFonts w:cstheme="minorHAnsi"/>
          <w:sz w:val="24"/>
          <w:szCs w:val="24"/>
        </w:rPr>
        <w:t xml:space="preserve">), </w:t>
      </w:r>
    </w:p>
    <w:p w:rsidR="0049620F" w:rsidRPr="0049620F" w:rsidRDefault="0049620F" w:rsidP="0049620F">
      <w:pPr>
        <w:numPr>
          <w:ilvl w:val="0"/>
          <w:numId w:val="39"/>
        </w:numPr>
        <w:spacing w:after="160" w:line="259" w:lineRule="auto"/>
        <w:contextualSpacing/>
        <w:jc w:val="both"/>
        <w:rPr>
          <w:rFonts w:cstheme="minorHAnsi"/>
          <w:sz w:val="24"/>
          <w:szCs w:val="24"/>
        </w:rPr>
      </w:pPr>
      <w:r w:rsidRPr="0049620F">
        <w:rPr>
          <w:rFonts w:cstheme="minorHAnsi"/>
          <w:sz w:val="24"/>
          <w:szCs w:val="24"/>
        </w:rPr>
        <w:t>Veleprodajnog visokokvalitetnog pristupa koji se pruža na fiksnoj lokaciji (M4</w:t>
      </w:r>
      <w:r>
        <w:rPr>
          <w:rFonts w:cstheme="minorHAnsi"/>
          <w:sz w:val="24"/>
          <w:szCs w:val="24"/>
        </w:rPr>
        <w:fldChar w:fldCharType="begin"/>
      </w:r>
      <w:r>
        <w:rPr>
          <w:rFonts w:cstheme="minorHAnsi"/>
          <w:sz w:val="24"/>
          <w:szCs w:val="24"/>
        </w:rPr>
        <w:instrText xml:space="preserve"> NOTEREF _Ref53755209 \f \h </w:instrText>
      </w:r>
      <w:r>
        <w:rPr>
          <w:rFonts w:cstheme="minorHAnsi"/>
          <w:sz w:val="24"/>
          <w:szCs w:val="24"/>
        </w:rPr>
      </w:r>
      <w:r>
        <w:rPr>
          <w:rFonts w:cstheme="minorHAnsi"/>
          <w:sz w:val="24"/>
          <w:szCs w:val="24"/>
        </w:rPr>
        <w:fldChar w:fldCharType="separate"/>
      </w:r>
      <w:r w:rsidR="00B047B3" w:rsidRPr="00B047B3">
        <w:rPr>
          <w:rStyle w:val="FootnoteReference"/>
        </w:rPr>
        <w:t>4</w:t>
      </w:r>
      <w:r>
        <w:rPr>
          <w:rFonts w:cstheme="minorHAnsi"/>
          <w:sz w:val="24"/>
          <w:szCs w:val="24"/>
        </w:rPr>
        <w:fldChar w:fldCharType="end"/>
      </w:r>
      <w:r w:rsidRPr="0049620F">
        <w:rPr>
          <w:rFonts w:cstheme="minorHAnsi"/>
          <w:sz w:val="24"/>
          <w:szCs w:val="24"/>
        </w:rPr>
        <w:t xml:space="preserve">) i </w:t>
      </w:r>
    </w:p>
    <w:p w:rsidR="0049620F" w:rsidRPr="0049620F" w:rsidRDefault="0049620F" w:rsidP="0049620F">
      <w:pPr>
        <w:numPr>
          <w:ilvl w:val="0"/>
          <w:numId w:val="39"/>
        </w:numPr>
        <w:spacing w:after="160" w:line="259" w:lineRule="auto"/>
        <w:contextualSpacing/>
        <w:jc w:val="both"/>
        <w:rPr>
          <w:rFonts w:cstheme="minorHAnsi"/>
          <w:sz w:val="24"/>
          <w:szCs w:val="24"/>
        </w:rPr>
      </w:pPr>
      <w:r w:rsidRPr="0049620F">
        <w:rPr>
          <w:rFonts w:cstheme="minorHAnsi"/>
          <w:sz w:val="24"/>
          <w:szCs w:val="24"/>
        </w:rPr>
        <w:t>Veleprodajnih prijenosnih segmenata iznajmljenih vodova (exM14</w:t>
      </w:r>
      <w:r w:rsidRPr="0049620F">
        <w:rPr>
          <w:rFonts w:cstheme="minorHAnsi"/>
          <w:sz w:val="24"/>
          <w:szCs w:val="24"/>
          <w:vertAlign w:val="superscript"/>
        </w:rPr>
        <w:footnoteReference w:id="6"/>
      </w:r>
      <w:r w:rsidRPr="0049620F">
        <w:rPr>
          <w:rFonts w:cstheme="minorHAnsi"/>
          <w:sz w:val="24"/>
          <w:szCs w:val="24"/>
        </w:rPr>
        <w:t xml:space="preserve">). </w:t>
      </w:r>
    </w:p>
    <w:p w:rsidR="0049620F" w:rsidRPr="0049620F" w:rsidRDefault="0049620F" w:rsidP="0049620F">
      <w:pPr>
        <w:spacing w:after="160" w:line="259" w:lineRule="auto"/>
        <w:ind w:left="780"/>
        <w:contextualSpacing/>
        <w:jc w:val="both"/>
        <w:rPr>
          <w:rFonts w:cstheme="minorHAnsi"/>
          <w:sz w:val="24"/>
          <w:szCs w:val="24"/>
        </w:rPr>
      </w:pPr>
    </w:p>
    <w:p w:rsidR="00E03868" w:rsidRPr="00E9434D" w:rsidRDefault="00E03868" w:rsidP="0049620F">
      <w:pPr>
        <w:jc w:val="both"/>
        <w:rPr>
          <w:rFonts w:cstheme="minorHAnsi"/>
          <w:sz w:val="24"/>
          <w:szCs w:val="24"/>
        </w:rPr>
      </w:pPr>
      <w:r w:rsidRPr="0049620F">
        <w:rPr>
          <w:rFonts w:cstheme="minorHAnsi"/>
          <w:sz w:val="24"/>
          <w:szCs w:val="24"/>
        </w:rPr>
        <w:t>Kako bi u navedeni projekt uključio sve zainteresirane strane, HAKOM je 30. listopada 2019. organizirao uvodni sastanak s operatorima na kojem je predstavio rokove i faze projekta izrade troškovnog modela, kao i način na koji će određeni operatori sudjelovati u cijelom procesu. Na sastanak su se odazvali predstavnici sljedećih operatora: A1 Hrvatska d.o.o. (dalje: A1), H</w:t>
      </w:r>
      <w:r w:rsidR="00F2612C" w:rsidRPr="0049620F">
        <w:rPr>
          <w:rFonts w:cstheme="minorHAnsi"/>
          <w:sz w:val="24"/>
          <w:szCs w:val="24"/>
        </w:rPr>
        <w:t>T-a</w:t>
      </w:r>
      <w:r w:rsidRPr="0049620F">
        <w:rPr>
          <w:rFonts w:cstheme="minorHAnsi"/>
          <w:sz w:val="24"/>
          <w:szCs w:val="24"/>
        </w:rPr>
        <w:t>, Intersat telekomunikacije d.o.o. (dalje: Intersat), Iskon Internet d.d. (dalje: Iskon), Magic NET d.o.o. (dalje: Magic), Optika kabel TV d.o.o. (dalje</w:t>
      </w:r>
      <w:r w:rsidR="00D2750C">
        <w:rPr>
          <w:rFonts w:cstheme="minorHAnsi"/>
          <w:sz w:val="24"/>
          <w:szCs w:val="24"/>
        </w:rPr>
        <w:t>:</w:t>
      </w:r>
      <w:r w:rsidRPr="0049620F">
        <w:rPr>
          <w:rFonts w:cstheme="minorHAnsi"/>
          <w:sz w:val="24"/>
          <w:szCs w:val="24"/>
        </w:rPr>
        <w:t xml:space="preserve"> OKTV), OT–Optima Telekom d.d. (dalje: Optima), PRO–PING d.o.o. </w:t>
      </w:r>
      <w:r w:rsidR="00D2750C">
        <w:rPr>
          <w:rFonts w:cstheme="minorHAnsi"/>
          <w:sz w:val="24"/>
          <w:szCs w:val="24"/>
        </w:rPr>
        <w:t>(</w:t>
      </w:r>
      <w:r w:rsidRPr="0049620F">
        <w:rPr>
          <w:rFonts w:cstheme="minorHAnsi"/>
          <w:sz w:val="24"/>
          <w:szCs w:val="24"/>
        </w:rPr>
        <w:t>dalje</w:t>
      </w:r>
      <w:r w:rsidR="00D2750C">
        <w:rPr>
          <w:rFonts w:cstheme="minorHAnsi"/>
          <w:sz w:val="24"/>
          <w:szCs w:val="24"/>
        </w:rPr>
        <w:t>:</w:t>
      </w:r>
      <w:r w:rsidRPr="0049620F">
        <w:rPr>
          <w:rFonts w:cstheme="minorHAnsi"/>
          <w:sz w:val="24"/>
          <w:szCs w:val="24"/>
        </w:rPr>
        <w:t xml:space="preserve"> Pro Ping), Tele2 d.o.o. (dalje: Tele2), Terrakom d.o.o. (dalje: Terrakom) i Totalna televizija d.o.o. (dalje: Total TV).</w:t>
      </w:r>
    </w:p>
    <w:p w:rsidR="00E03868" w:rsidRPr="0049620F" w:rsidRDefault="00E03868" w:rsidP="00E03868">
      <w:pPr>
        <w:jc w:val="both"/>
        <w:rPr>
          <w:rFonts w:cstheme="minorHAnsi"/>
          <w:sz w:val="24"/>
          <w:szCs w:val="24"/>
        </w:rPr>
      </w:pPr>
      <w:r w:rsidRPr="0049620F">
        <w:rPr>
          <w:rFonts w:cstheme="minorHAnsi"/>
          <w:sz w:val="24"/>
          <w:szCs w:val="24"/>
        </w:rPr>
        <w:t xml:space="preserve">HAKOM je u studenom 2019. izradio nacrt Izvještaja o metodološkim </w:t>
      </w:r>
      <w:r w:rsidR="00921751" w:rsidRPr="0049620F">
        <w:rPr>
          <w:rFonts w:cstheme="minorHAnsi"/>
          <w:sz w:val="24"/>
          <w:szCs w:val="24"/>
        </w:rPr>
        <w:t>načelima</w:t>
      </w:r>
      <w:r w:rsidRPr="0049620F">
        <w:rPr>
          <w:rFonts w:cstheme="minorHAnsi"/>
          <w:sz w:val="24"/>
          <w:szCs w:val="24"/>
        </w:rPr>
        <w:t xml:space="preserve"> u projektu „</w:t>
      </w:r>
      <w:r w:rsidRPr="0049620F">
        <w:rPr>
          <w:rFonts w:cstheme="minorHAnsi"/>
          <w:i/>
          <w:sz w:val="24"/>
          <w:szCs w:val="24"/>
        </w:rPr>
        <w:t>Izrada modela za izračun troškova i cijena usluga u nepokretnoj mreži“</w:t>
      </w:r>
      <w:r w:rsidRPr="0049620F">
        <w:rPr>
          <w:rFonts w:cstheme="minorHAnsi"/>
          <w:sz w:val="24"/>
          <w:szCs w:val="24"/>
        </w:rPr>
        <w:t xml:space="preserve"> (dalje: M</w:t>
      </w:r>
      <w:r w:rsidR="00921751" w:rsidRPr="0049620F">
        <w:rPr>
          <w:rFonts w:cstheme="minorHAnsi"/>
          <w:sz w:val="24"/>
          <w:szCs w:val="24"/>
        </w:rPr>
        <w:t>etodološka načela</w:t>
      </w:r>
      <w:r w:rsidRPr="0049620F">
        <w:rPr>
          <w:rFonts w:cstheme="minorHAnsi"/>
          <w:sz w:val="24"/>
          <w:szCs w:val="24"/>
        </w:rPr>
        <w:t xml:space="preserve">) kako bi utvrdio osnovna pravila, načela i troškovne metode koje će se primjenjivati u izradi modela. </w:t>
      </w:r>
    </w:p>
    <w:p w:rsidR="00E03868" w:rsidRPr="0049620F" w:rsidRDefault="00E03868" w:rsidP="00E03868">
      <w:pPr>
        <w:jc w:val="both"/>
        <w:rPr>
          <w:rFonts w:cstheme="minorHAnsi"/>
          <w:sz w:val="24"/>
          <w:szCs w:val="24"/>
        </w:rPr>
      </w:pPr>
      <w:r w:rsidRPr="0049620F">
        <w:rPr>
          <w:rFonts w:cstheme="minorHAnsi"/>
          <w:sz w:val="24"/>
          <w:szCs w:val="24"/>
        </w:rPr>
        <w:t>Metodo</w:t>
      </w:r>
      <w:r w:rsidR="00921751" w:rsidRPr="0049620F">
        <w:rPr>
          <w:rFonts w:cstheme="minorHAnsi"/>
          <w:sz w:val="24"/>
          <w:szCs w:val="24"/>
        </w:rPr>
        <w:t>loška načela su</w:t>
      </w:r>
      <w:r w:rsidRPr="0049620F">
        <w:rPr>
          <w:rFonts w:cstheme="minorHAnsi"/>
          <w:sz w:val="24"/>
          <w:szCs w:val="24"/>
        </w:rPr>
        <w:t xml:space="preserve"> predstavljena operatorima na radionicama 28. i 29. studenog 2019. zajedno s upitnikom za prikupljanje podataka i obrascem za dostavu komentara na konzultacijski dokument i upitnik za prikupljanje podataka. Na radionice su se odazvali predstavnici sljedećih operatora: A1, HT, Iskon, OKTV, Optima, Pro Ping, Terrakom i Total TV. Nacrt </w:t>
      </w:r>
      <w:r w:rsidR="00921751" w:rsidRPr="0049620F">
        <w:rPr>
          <w:rFonts w:cstheme="minorHAnsi"/>
          <w:sz w:val="24"/>
          <w:szCs w:val="24"/>
        </w:rPr>
        <w:t>Metodoloških načela</w:t>
      </w:r>
      <w:r w:rsidRPr="0049620F">
        <w:rPr>
          <w:rFonts w:cstheme="minorHAnsi"/>
          <w:sz w:val="24"/>
          <w:szCs w:val="24"/>
        </w:rPr>
        <w:t xml:space="preserve"> i nacrt upitnika su dostavljeni operatorima na komentiranje te im je ostavljen rok za dostavu komentara na navedene dokumente do 11. prosinca 2019.</w:t>
      </w:r>
    </w:p>
    <w:p w:rsidR="00E03868" w:rsidRPr="0049620F" w:rsidRDefault="00E03868" w:rsidP="00E03868">
      <w:pPr>
        <w:jc w:val="both"/>
        <w:rPr>
          <w:rFonts w:cstheme="minorHAnsi"/>
          <w:sz w:val="24"/>
          <w:szCs w:val="24"/>
        </w:rPr>
      </w:pPr>
      <w:r w:rsidRPr="0049620F">
        <w:rPr>
          <w:rFonts w:cstheme="minorHAnsi"/>
          <w:sz w:val="24"/>
          <w:szCs w:val="24"/>
        </w:rPr>
        <w:t>HAKOM je do 11. prosinca 2019. zaprimio komentare na nacrt Metodo</w:t>
      </w:r>
      <w:r w:rsidR="00921751" w:rsidRPr="0049620F">
        <w:rPr>
          <w:rFonts w:cstheme="minorHAnsi"/>
          <w:sz w:val="24"/>
          <w:szCs w:val="24"/>
        </w:rPr>
        <w:t>loških načela</w:t>
      </w:r>
      <w:r w:rsidRPr="0049620F">
        <w:rPr>
          <w:rFonts w:cstheme="minorHAnsi"/>
          <w:sz w:val="24"/>
          <w:szCs w:val="24"/>
        </w:rPr>
        <w:t xml:space="preserve"> i upitnik za prikupljanje podataka od sljedećih operatora: A1, HT, Iskon, Optima i Terrakom.</w:t>
      </w:r>
    </w:p>
    <w:p w:rsidR="00E03868" w:rsidRPr="0049620F" w:rsidRDefault="00E03868" w:rsidP="00E03868">
      <w:pPr>
        <w:jc w:val="both"/>
        <w:rPr>
          <w:rFonts w:cstheme="minorHAnsi"/>
          <w:sz w:val="24"/>
          <w:szCs w:val="24"/>
        </w:rPr>
      </w:pPr>
      <w:r w:rsidRPr="0049620F">
        <w:rPr>
          <w:rFonts w:cstheme="minorHAnsi"/>
          <w:sz w:val="24"/>
          <w:szCs w:val="24"/>
        </w:rPr>
        <w:t>Na temelju zaprimljenih komentara, Metodolo</w:t>
      </w:r>
      <w:r w:rsidR="00921751" w:rsidRPr="0049620F">
        <w:rPr>
          <w:rFonts w:cstheme="minorHAnsi"/>
          <w:sz w:val="24"/>
          <w:szCs w:val="24"/>
        </w:rPr>
        <w:t>ška načela su</w:t>
      </w:r>
      <w:r w:rsidRPr="0049620F">
        <w:rPr>
          <w:rFonts w:cstheme="minorHAnsi"/>
          <w:sz w:val="24"/>
          <w:szCs w:val="24"/>
        </w:rPr>
        <w:t xml:space="preserve"> u određenim dijelovima izmijenjena te je na temelju njih HAKOM odredio konačnu metodologiju izrade i primjene troškovnog modela za nepokretnu mrežu. Konačna verzija Metodolo</w:t>
      </w:r>
      <w:r w:rsidR="00EB454E" w:rsidRPr="0049620F">
        <w:rPr>
          <w:rFonts w:cstheme="minorHAnsi"/>
          <w:sz w:val="24"/>
          <w:szCs w:val="24"/>
        </w:rPr>
        <w:t>ških načela</w:t>
      </w:r>
      <w:r w:rsidRPr="0049620F">
        <w:rPr>
          <w:rFonts w:cstheme="minorHAnsi"/>
          <w:sz w:val="24"/>
          <w:szCs w:val="24"/>
        </w:rPr>
        <w:t xml:space="preserve"> je poslana operatorima 20. prosinca 2019. </w:t>
      </w:r>
    </w:p>
    <w:p w:rsidR="00E03868" w:rsidRPr="0049620F" w:rsidRDefault="00E03868" w:rsidP="00E03868">
      <w:pPr>
        <w:jc w:val="both"/>
        <w:rPr>
          <w:rFonts w:cstheme="minorHAnsi"/>
          <w:sz w:val="24"/>
          <w:szCs w:val="24"/>
        </w:rPr>
      </w:pPr>
      <w:r w:rsidRPr="0049620F">
        <w:rPr>
          <w:rFonts w:cstheme="minorHAnsi"/>
          <w:sz w:val="24"/>
          <w:szCs w:val="24"/>
        </w:rPr>
        <w:t xml:space="preserve">Konačna verzija upitnika poslana je operatorima 3. siječnja 2020. zajedno s priručnikom koji sadrži upute za ispunjavanje upitnika. </w:t>
      </w:r>
    </w:p>
    <w:p w:rsidR="00E03868" w:rsidRPr="0049620F" w:rsidRDefault="00E03868" w:rsidP="00E03868">
      <w:pPr>
        <w:jc w:val="both"/>
        <w:rPr>
          <w:rFonts w:cstheme="minorHAnsi"/>
          <w:sz w:val="24"/>
          <w:szCs w:val="24"/>
        </w:rPr>
      </w:pPr>
      <w:r w:rsidRPr="0049620F">
        <w:rPr>
          <w:rFonts w:cstheme="minorHAnsi"/>
          <w:sz w:val="24"/>
          <w:szCs w:val="24"/>
        </w:rPr>
        <w:t>Rok za dostavu ispunjenog upitnika s podatcima bio je 24. siječnja 2020., ali je na zahtjev operatora bio produljen do 6. veljače 2020.</w:t>
      </w:r>
    </w:p>
    <w:p w:rsidR="00E03868" w:rsidRPr="0049620F" w:rsidRDefault="00E03868" w:rsidP="00E03868">
      <w:pPr>
        <w:jc w:val="both"/>
        <w:rPr>
          <w:rFonts w:cstheme="minorHAnsi"/>
          <w:sz w:val="24"/>
          <w:szCs w:val="24"/>
        </w:rPr>
      </w:pPr>
      <w:r w:rsidRPr="0049620F">
        <w:rPr>
          <w:rFonts w:cstheme="minorHAnsi"/>
          <w:sz w:val="24"/>
          <w:szCs w:val="24"/>
        </w:rPr>
        <w:t xml:space="preserve">HAKOM je do 6. veljače 2020. zaprimio upitnike s traženim podacima od sljedećih operatora: A1, HT, Optima i Terrakom. </w:t>
      </w:r>
    </w:p>
    <w:p w:rsidR="00E03868" w:rsidRPr="0049620F" w:rsidRDefault="00E03868" w:rsidP="00E03868">
      <w:pPr>
        <w:jc w:val="both"/>
        <w:rPr>
          <w:rFonts w:cstheme="minorHAnsi"/>
          <w:sz w:val="24"/>
          <w:szCs w:val="24"/>
        </w:rPr>
      </w:pPr>
      <w:r w:rsidRPr="0049620F">
        <w:rPr>
          <w:rFonts w:cstheme="minorHAnsi"/>
          <w:sz w:val="24"/>
          <w:szCs w:val="24"/>
        </w:rPr>
        <w:t xml:space="preserve">Na temelju zaprimljenih i obrađenih podataka izrađen je troškovni model za izračun troškova i cijena usluga u nepokretnoj mreži (dalje: Troškovni model). Izrađena je i popratna dokumentacija koja uključuje: priručnik za upotrebu troškovnog modela, pojmovnik te konzultacijski dokument. </w:t>
      </w:r>
    </w:p>
    <w:p w:rsidR="00E03868" w:rsidRPr="0049620F" w:rsidRDefault="00E03868" w:rsidP="00E03868">
      <w:pPr>
        <w:jc w:val="both"/>
        <w:rPr>
          <w:rFonts w:cstheme="minorHAnsi"/>
          <w:sz w:val="24"/>
          <w:szCs w:val="24"/>
        </w:rPr>
      </w:pPr>
      <w:r w:rsidRPr="0049620F">
        <w:rPr>
          <w:rFonts w:cstheme="minorHAnsi"/>
          <w:sz w:val="24"/>
          <w:szCs w:val="24"/>
        </w:rPr>
        <w:t>HAKOM je 8. lipnja 2020. poslao operatorima Troškovni model i popratnu dokumentaciju kako bi proveo javno savjetovanje. Rok za dostavu komentara na Troškovni model i popratnu dokumentaciju je bio 7. srpnja 2020.</w:t>
      </w:r>
    </w:p>
    <w:p w:rsidR="00E03868" w:rsidRPr="0049620F" w:rsidRDefault="00E03868" w:rsidP="00E03868">
      <w:pPr>
        <w:jc w:val="both"/>
        <w:rPr>
          <w:rFonts w:cstheme="minorHAnsi"/>
          <w:sz w:val="24"/>
          <w:szCs w:val="24"/>
        </w:rPr>
      </w:pPr>
      <w:r w:rsidRPr="0049620F">
        <w:rPr>
          <w:rFonts w:cstheme="minorHAnsi"/>
          <w:sz w:val="24"/>
          <w:szCs w:val="24"/>
        </w:rPr>
        <w:t>Troškovni model i popratna dokumentacija su detaljnije predstavljeni i objašnjeni operatorima na radionici 17. lipnja 2020., a na radionicu su se odazvali predstavnici sljedećih operatora: A1, HT, Intersat, Iskon, Magic, OKTV, OT, Softnet d.o.o. (dalje: Softnet), Tele2, Terrakom i Total TV.</w:t>
      </w:r>
    </w:p>
    <w:p w:rsidR="00E03868" w:rsidRPr="0049620F" w:rsidRDefault="00E03868" w:rsidP="00E03868">
      <w:pPr>
        <w:jc w:val="both"/>
        <w:rPr>
          <w:rFonts w:cstheme="minorHAnsi"/>
          <w:sz w:val="24"/>
          <w:szCs w:val="24"/>
        </w:rPr>
      </w:pPr>
      <w:r w:rsidRPr="0049620F">
        <w:rPr>
          <w:rFonts w:cstheme="minorHAnsi"/>
          <w:sz w:val="24"/>
          <w:szCs w:val="24"/>
        </w:rPr>
        <w:t>HAKOM je do 7. srpnja 2020. zaprimio komentare sljedećih operatora: A1, HT, Optima, Terrakom i Total TV-a. Obradom i analizom zaprimljenih komentara, HAKOM je izvršio izmjene u Troškovnom modelu i popratnoj dokumentaciji.</w:t>
      </w:r>
    </w:p>
    <w:p w:rsidR="00CC5CF9" w:rsidRDefault="00094B05" w:rsidP="00DD0407">
      <w:pPr>
        <w:pStyle w:val="Heading1"/>
      </w:pPr>
      <w:bookmarkStart w:id="40" w:name="_Toc53664639"/>
      <w:bookmarkStart w:id="41" w:name="_Toc53694266"/>
      <w:bookmarkStart w:id="42" w:name="_Toc53696804"/>
      <w:bookmarkStart w:id="43" w:name="_Toc53761264"/>
      <w:bookmarkStart w:id="44" w:name="_Toc53941956"/>
      <w:bookmarkStart w:id="45" w:name="_Toc54250929"/>
      <w:bookmarkStart w:id="46" w:name="_Toc54252827"/>
      <w:bookmarkStart w:id="47" w:name="_Toc54261639"/>
      <w:bookmarkStart w:id="48" w:name="_Toc51676824"/>
      <w:bookmarkStart w:id="49" w:name="_Ref52435179"/>
      <w:bookmarkEnd w:id="40"/>
      <w:bookmarkEnd w:id="41"/>
      <w:bookmarkEnd w:id="42"/>
      <w:bookmarkEnd w:id="43"/>
      <w:r w:rsidRPr="00E50726">
        <w:t>Stanje na tržištu</w:t>
      </w:r>
      <w:bookmarkEnd w:id="44"/>
      <w:bookmarkEnd w:id="45"/>
      <w:bookmarkEnd w:id="46"/>
      <w:bookmarkEnd w:id="47"/>
    </w:p>
    <w:bookmarkEnd w:id="48"/>
    <w:bookmarkEnd w:id="49"/>
    <w:p w:rsidR="00CC5CF9" w:rsidRPr="00CC5CF9" w:rsidRDefault="00CC5CF9" w:rsidP="00CC5CF9">
      <w:pPr>
        <w:jc w:val="both"/>
        <w:rPr>
          <w:rFonts w:ascii="Calibri" w:eastAsia="Calibri" w:hAnsi="Calibri" w:cs="Times New Roman"/>
          <w:sz w:val="24"/>
        </w:rPr>
      </w:pPr>
      <w:r w:rsidRPr="00CC5CF9">
        <w:rPr>
          <w:rFonts w:ascii="Calibri" w:eastAsia="Calibri" w:hAnsi="Calibri" w:cs="Times New Roman"/>
          <w:sz w:val="24"/>
        </w:rPr>
        <w:t xml:space="preserve">U postupcima analiza tržišta jedan od ključnih izazova kod određivanja regulatornih obveza operatoru sa značajnom tržišnom snagom predstavlja pronalaženje ravnoteže između, s jedne strane, zaštite tržišnog natjecanja te s druge strane, osiguravanja regulatornih uvjeta u kojima operatori imaju dovoljno poticaja za daljnja ulaganja, prvenstveno u mreže vrlo velikog kapaciteta (VHCN). Promatrajući tržišne pokazatelje, koji su navedeni u nastavku ovoga poglavlja, vidljivo je kako je HAKOM analizama tržišta odnosno određivanjem regulatornih obveza (obveza pristupa, transparentnosti, nediskriminacije, nadzora cijena) uspio stvoriti regulatorno okruženje u kojem su vidljivi pozitivni koraci u smislu povećanja ulaganja i veće kvalitete usluga koje operatori nude krajnjim korisnicima. Naime, vidljivi su trendovi povećanja broja korisnika putem FTTH/B infrastrukture odnosno putem svjetlovodnih </w:t>
      </w:r>
      <w:r w:rsidR="00B540C8">
        <w:rPr>
          <w:rFonts w:ascii="Calibri" w:eastAsia="Calibri" w:hAnsi="Calibri" w:cs="Times New Roman"/>
          <w:sz w:val="24"/>
        </w:rPr>
        <w:t xml:space="preserve">mreža </w:t>
      </w:r>
      <w:r w:rsidRPr="00CC5CF9">
        <w:rPr>
          <w:rFonts w:ascii="Calibri" w:eastAsia="Calibri" w:hAnsi="Calibri" w:cs="Times New Roman"/>
          <w:sz w:val="24"/>
        </w:rPr>
        <w:t xml:space="preserve">te općenito trend povećanja broja korisnika koji koriste brzine širokopojasnog pristupa internetu veće od 30 Mbit/s odnosno od 100 Mbit/s. </w:t>
      </w:r>
    </w:p>
    <w:p w:rsidR="00CC5CF9" w:rsidRPr="00CC5CF9" w:rsidRDefault="00CC5CF9" w:rsidP="00CC5CF9">
      <w:pPr>
        <w:jc w:val="both"/>
        <w:rPr>
          <w:rFonts w:ascii="Calibri" w:eastAsia="Calibri" w:hAnsi="Calibri" w:cs="Times New Roman"/>
          <w:sz w:val="24"/>
        </w:rPr>
      </w:pPr>
      <w:r w:rsidRPr="00CC5CF9">
        <w:rPr>
          <w:rFonts w:ascii="Calibri" w:eastAsia="Calibri" w:hAnsi="Calibri" w:cs="Times New Roman"/>
          <w:sz w:val="24"/>
        </w:rPr>
        <w:t>Dodatno, HAKOM je analizama tržišta odnosno obvezom nadzora cijena definirao kako će se nove veleprodajne cijene pristupa HT-ovoj mreži</w:t>
      </w:r>
      <w:r w:rsidRPr="00CC5CF9">
        <w:rPr>
          <w:rFonts w:ascii="Calibri" w:eastAsia="Calibri" w:hAnsi="Calibri" w:cs="Calibri"/>
          <w:sz w:val="24"/>
          <w:szCs w:val="24"/>
          <w:vertAlign w:val="superscript"/>
        </w:rPr>
        <w:footnoteReference w:id="7"/>
      </w:r>
      <w:r w:rsidRPr="00CC5CF9">
        <w:rPr>
          <w:rFonts w:ascii="Calibri" w:eastAsia="Calibri" w:hAnsi="Calibri" w:cs="Times New Roman"/>
          <w:sz w:val="24"/>
        </w:rPr>
        <w:t xml:space="preserve"> odrediti na temelju novog troškovnog modela koji će biti usklađen sa svim promjenama i modernizacijama u HT-ovoj mreži. Jedan od ciljeva ovog projekta, odnosno postupka, je odrediti cijene veleprodajnih usluga u skladu s potrebama i trendovima na tržištu, a u isto vrijeme omogućiti HT-u, kao operatoru sa značajnom tržišnom snagom, povrat svih stvarnih troškova. Pri tom je također vrlo bitno da se pri određivanju veleprodajnih cijena vodi računa o zaštiti tržišnog natjecanja, poticanju učinkovitih ulaganja, osobito u VHCN mreže te posljedično najvećoj dobrobiti krajnjih korisnika.</w:t>
      </w:r>
    </w:p>
    <w:p w:rsidR="00CC5CF9" w:rsidRPr="00CC5CF9" w:rsidRDefault="00CC5CF9" w:rsidP="00CC5CF9">
      <w:pPr>
        <w:jc w:val="both"/>
        <w:rPr>
          <w:rFonts w:ascii="Calibri" w:eastAsia="Calibri" w:hAnsi="Calibri" w:cs="Times New Roman"/>
          <w:sz w:val="24"/>
        </w:rPr>
      </w:pPr>
      <w:r w:rsidRPr="00CC5CF9">
        <w:rPr>
          <w:rFonts w:ascii="Calibri" w:eastAsia="Calibri" w:hAnsi="Calibri" w:cs="Times New Roman"/>
          <w:sz w:val="24"/>
        </w:rPr>
        <w:t xml:space="preserve">Isto tako, jedna od ključnih kategorija u DESI indeksu je kategorija povezivosti (eng. </w:t>
      </w:r>
      <w:r w:rsidRPr="00CC5CF9">
        <w:rPr>
          <w:rFonts w:ascii="Calibri" w:eastAsia="Calibri" w:hAnsi="Calibri" w:cs="Times New Roman"/>
          <w:i/>
          <w:sz w:val="24"/>
        </w:rPr>
        <w:t>connectivity</w:t>
      </w:r>
      <w:r w:rsidRPr="00CC5CF9">
        <w:rPr>
          <w:rFonts w:ascii="Calibri" w:eastAsia="Calibri" w:hAnsi="Calibri" w:cs="Times New Roman"/>
          <w:sz w:val="24"/>
        </w:rPr>
        <w:t>), odnosno kategorija koja pokazuje koliko je raširen, brz, dostupan i cjenovno pristupačan širokopojasni pristup internetu. Prilikom izrade novoga troškovnog modela, odnosno određivanja veleprodajnih cijena na temelju njegovih rezultata, HAKOM je, između ostalog, pretpostavio veću potražnju za širokopojasnim pristupom vrlo velikih brzina koji se pruža putem svjetlovodnih mreža, što svakako doprinosi poboljšanju kategorije povezivosti DESI indeksa.</w:t>
      </w:r>
    </w:p>
    <w:p w:rsidR="00DD73FA" w:rsidRPr="00E50726" w:rsidRDefault="00DD73FA" w:rsidP="00E50726">
      <w:pPr>
        <w:pStyle w:val="Heading2"/>
      </w:pPr>
      <w:bookmarkStart w:id="50" w:name="_Toc53662111"/>
      <w:bookmarkStart w:id="51" w:name="_Toc53662185"/>
      <w:bookmarkStart w:id="52" w:name="_Toc53664565"/>
      <w:bookmarkStart w:id="53" w:name="_Toc53664641"/>
      <w:bookmarkStart w:id="54" w:name="_Toc53694268"/>
      <w:bookmarkStart w:id="55" w:name="_Toc53696806"/>
      <w:bookmarkStart w:id="56" w:name="_Toc53761266"/>
      <w:bookmarkStart w:id="57" w:name="_Toc51666100"/>
      <w:bookmarkStart w:id="58" w:name="_Toc52203449"/>
      <w:bookmarkStart w:id="59" w:name="_Toc53941957"/>
      <w:bookmarkStart w:id="60" w:name="_Toc54250930"/>
      <w:bookmarkStart w:id="61" w:name="_Toc54252828"/>
      <w:bookmarkStart w:id="62" w:name="_Toc54261640"/>
      <w:bookmarkEnd w:id="50"/>
      <w:bookmarkEnd w:id="51"/>
      <w:bookmarkEnd w:id="52"/>
      <w:bookmarkEnd w:id="53"/>
      <w:bookmarkEnd w:id="54"/>
      <w:bookmarkEnd w:id="55"/>
      <w:bookmarkEnd w:id="56"/>
      <w:r w:rsidRPr="00E50726">
        <w:t>Gustoća širokopojasnog pristupa internetu u nepokretnoj mreži</w:t>
      </w:r>
      <w:bookmarkEnd w:id="57"/>
      <w:bookmarkEnd w:id="58"/>
      <w:bookmarkEnd w:id="59"/>
      <w:bookmarkEnd w:id="60"/>
      <w:bookmarkEnd w:id="61"/>
      <w:bookmarkEnd w:id="62"/>
    </w:p>
    <w:p w:rsidR="006D1E1F" w:rsidRDefault="006D1E1F" w:rsidP="006D1E1F">
      <w:pPr>
        <w:keepNext/>
        <w:jc w:val="both"/>
        <w:rPr>
          <w:sz w:val="24"/>
        </w:rPr>
      </w:pPr>
      <w:r w:rsidRPr="006D1E1F">
        <w:rPr>
          <w:sz w:val="24"/>
        </w:rPr>
        <w:t>Gospodarstvo, ali i suvremeno društvo općenito, danas se sve više oslanja na poslovanje putem elektroničkih komunikacija i usluga informacijskog društva, za koje su potrebne velike brzine prijenosa podataka, odnosno razvijen širokopojasni pristup internetu i izgrađena širokopojasna infrastruktura.</w:t>
      </w:r>
      <w:r>
        <w:rPr>
          <w:sz w:val="24"/>
        </w:rPr>
        <w:t xml:space="preserve"> </w:t>
      </w:r>
      <w:r w:rsidR="00DD73FA" w:rsidRPr="00DD73FA">
        <w:rPr>
          <w:sz w:val="24"/>
        </w:rPr>
        <w:t>R</w:t>
      </w:r>
      <w:r>
        <w:rPr>
          <w:sz w:val="24"/>
        </w:rPr>
        <w:t xml:space="preserve">epublika </w:t>
      </w:r>
      <w:r w:rsidR="00DD73FA" w:rsidRPr="00DD73FA">
        <w:rPr>
          <w:sz w:val="24"/>
        </w:rPr>
        <w:t>H</w:t>
      </w:r>
      <w:r>
        <w:rPr>
          <w:sz w:val="24"/>
        </w:rPr>
        <w:t>rvatska</w:t>
      </w:r>
      <w:r w:rsidR="00DD73FA" w:rsidRPr="00DD73FA">
        <w:rPr>
          <w:sz w:val="24"/>
        </w:rPr>
        <w:t xml:space="preserve"> je prema pokazateljima dostupnosti širokopojasnog pristupa internetu putem nepokretne mreže iznad razine EU. Širokopojasni pristup internetu je prema DESI indeksu za 2019. dostupan 99% kućanstava, a 76% kućanstava već ima pristup internetu (</w:t>
      </w:r>
      <w:r w:rsidR="00D35ED3">
        <w:rPr>
          <w:sz w:val="24"/>
        </w:rPr>
        <w:fldChar w:fldCharType="begin"/>
      </w:r>
      <w:r w:rsidR="00D35ED3">
        <w:rPr>
          <w:sz w:val="24"/>
        </w:rPr>
        <w:instrText xml:space="preserve"> REF _Ref53864161 \h  \* MERGEFORMAT </w:instrText>
      </w:r>
      <w:r w:rsidR="00D35ED3">
        <w:rPr>
          <w:sz w:val="24"/>
        </w:rPr>
      </w:r>
      <w:r w:rsidR="00D35ED3">
        <w:rPr>
          <w:sz w:val="24"/>
        </w:rPr>
        <w:fldChar w:fldCharType="separate"/>
      </w:r>
      <w:r w:rsidR="00B047B3" w:rsidRPr="00B047B3">
        <w:rPr>
          <w:sz w:val="24"/>
        </w:rPr>
        <w:t>Slika 1</w:t>
      </w:r>
      <w:r w:rsidR="00D35ED3">
        <w:rPr>
          <w:sz w:val="24"/>
        </w:rPr>
        <w:fldChar w:fldCharType="end"/>
      </w:r>
      <w:r>
        <w:rPr>
          <w:sz w:val="24"/>
        </w:rPr>
        <w:t>).</w:t>
      </w:r>
    </w:p>
    <w:p w:rsidR="006D1E1F" w:rsidRDefault="00E87A45" w:rsidP="00ED21E5">
      <w:pPr>
        <w:keepNext/>
        <w:jc w:val="center"/>
      </w:pPr>
      <w:r>
        <w:rPr>
          <w:noProof/>
          <w:lang w:val="en-US"/>
        </w:rPr>
        <w:drawing>
          <wp:inline distT="0" distB="0" distL="0" distR="0" wp14:anchorId="6B596C1E" wp14:editId="5AAFF4E0">
            <wp:extent cx="4578350" cy="22955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8350" cy="2295525"/>
                    </a:xfrm>
                    <a:prstGeom prst="rect">
                      <a:avLst/>
                    </a:prstGeom>
                    <a:noFill/>
                  </pic:spPr>
                </pic:pic>
              </a:graphicData>
            </a:graphic>
          </wp:inline>
        </w:drawing>
      </w:r>
    </w:p>
    <w:p w:rsidR="006D1E1F" w:rsidRDefault="006D1E1F" w:rsidP="00ED21E5">
      <w:pPr>
        <w:pStyle w:val="Caption"/>
        <w:jc w:val="center"/>
      </w:pPr>
      <w:bookmarkStart w:id="63" w:name="_Ref53864161"/>
      <w:bookmarkStart w:id="64" w:name="_Toc53941919"/>
      <w:bookmarkStart w:id="65" w:name="_Toc54175829"/>
      <w:bookmarkStart w:id="66" w:name="_Toc54261693"/>
      <w:r>
        <w:t xml:space="preserve">Slika </w:t>
      </w:r>
      <w:r w:rsidR="00DD0407">
        <w:rPr>
          <w:noProof/>
        </w:rPr>
        <w:fldChar w:fldCharType="begin"/>
      </w:r>
      <w:r w:rsidR="00DD0407">
        <w:rPr>
          <w:noProof/>
        </w:rPr>
        <w:instrText xml:space="preserve"> SEQ Slika \* ARABIC </w:instrText>
      </w:r>
      <w:r w:rsidR="00DD0407">
        <w:rPr>
          <w:noProof/>
        </w:rPr>
        <w:fldChar w:fldCharType="separate"/>
      </w:r>
      <w:r w:rsidR="00B047B3">
        <w:rPr>
          <w:noProof/>
        </w:rPr>
        <w:t>1</w:t>
      </w:r>
      <w:r w:rsidR="00DD0407">
        <w:rPr>
          <w:noProof/>
        </w:rPr>
        <w:fldChar w:fldCharType="end"/>
      </w:r>
      <w:bookmarkEnd w:id="63"/>
      <w:r>
        <w:t xml:space="preserve"> - </w:t>
      </w:r>
      <w:r w:rsidRPr="00977416">
        <w:t>Dostupnost širokopojasnog pristupa u Republici Hrvatskoj u odnosu na prosjek EU-a</w:t>
      </w:r>
      <w:bookmarkEnd w:id="64"/>
      <w:bookmarkEnd w:id="65"/>
      <w:bookmarkEnd w:id="66"/>
    </w:p>
    <w:p w:rsidR="006D1E1F" w:rsidRDefault="00DD73FA" w:rsidP="006D1E1F">
      <w:pPr>
        <w:keepNext/>
        <w:tabs>
          <w:tab w:val="right" w:pos="9072"/>
        </w:tabs>
        <w:jc w:val="both"/>
        <w:rPr>
          <w:sz w:val="24"/>
        </w:rPr>
      </w:pPr>
      <w:r w:rsidRPr="00DD73FA">
        <w:rPr>
          <w:sz w:val="24"/>
        </w:rPr>
        <w:tab/>
        <w:t xml:space="preserve">Uspoređujući uslugu širokopojasnog pristupa internetu u nepokretnoj mreži između 2017. i 2019., vidljiv je rast ukupnog broja korisnika. Rast je očekivan uzimajući u obzir da je usluga širokopojasnog pristupa internetu glavna usluga razvoja digitalnog društva. Konkretno, broj priključaka širokopojasnog pristupa internetu putem nepokretne mreže na kraju 2019. iznosio je 1.095.881 priključaka, što daje prosječnu gustoću priključaka putem nepokretne mreže od 76% </w:t>
      </w:r>
      <w:r w:rsidR="006D1E1F">
        <w:rPr>
          <w:sz w:val="24"/>
        </w:rPr>
        <w:t>(</w:t>
      </w:r>
      <w:r w:rsidR="006D1E1F">
        <w:rPr>
          <w:sz w:val="24"/>
        </w:rPr>
        <w:fldChar w:fldCharType="begin"/>
      </w:r>
      <w:r w:rsidR="006D1E1F">
        <w:rPr>
          <w:sz w:val="24"/>
        </w:rPr>
        <w:instrText xml:space="preserve"> REF _Ref53697313 \h </w:instrText>
      </w:r>
      <w:r w:rsidR="001B28D5">
        <w:rPr>
          <w:sz w:val="24"/>
        </w:rPr>
        <w:instrText xml:space="preserve"> \* MERGEFORMAT </w:instrText>
      </w:r>
      <w:r w:rsidR="006D1E1F">
        <w:rPr>
          <w:sz w:val="24"/>
        </w:rPr>
      </w:r>
      <w:r w:rsidR="006D1E1F">
        <w:rPr>
          <w:sz w:val="24"/>
        </w:rPr>
        <w:fldChar w:fldCharType="separate"/>
      </w:r>
      <w:r w:rsidR="00B047B3" w:rsidRPr="00B047B3">
        <w:rPr>
          <w:sz w:val="24"/>
        </w:rPr>
        <w:t>Slika 2</w:t>
      </w:r>
      <w:r w:rsidR="006D1E1F">
        <w:rPr>
          <w:sz w:val="24"/>
        </w:rPr>
        <w:fldChar w:fldCharType="end"/>
      </w:r>
      <w:r w:rsidRPr="00DD73FA">
        <w:rPr>
          <w:sz w:val="24"/>
        </w:rPr>
        <w:t>)</w:t>
      </w:r>
      <w:r w:rsidRPr="00DD73FA">
        <w:rPr>
          <w:sz w:val="24"/>
          <w:vertAlign w:val="superscript"/>
        </w:rPr>
        <w:footnoteReference w:id="8"/>
      </w:r>
      <w:r w:rsidRPr="00DD73FA">
        <w:rPr>
          <w:sz w:val="24"/>
        </w:rPr>
        <w:t xml:space="preserve"> </w:t>
      </w:r>
    </w:p>
    <w:p w:rsidR="006D1E1F" w:rsidRDefault="00DD73FA" w:rsidP="00ED21E5">
      <w:pPr>
        <w:keepNext/>
        <w:tabs>
          <w:tab w:val="right" w:pos="9072"/>
        </w:tabs>
        <w:jc w:val="center"/>
      </w:pPr>
      <w:r w:rsidRPr="00DD73FA">
        <w:rPr>
          <w:sz w:val="24"/>
        </w:rPr>
        <w:t>.</w:t>
      </w:r>
      <w:r w:rsidR="00E87A45">
        <w:rPr>
          <w:noProof/>
          <w:sz w:val="24"/>
          <w:lang w:val="en-US"/>
        </w:rPr>
        <w:drawing>
          <wp:inline distT="0" distB="0" distL="0" distR="0" wp14:anchorId="69DA9564" wp14:editId="33E217BB">
            <wp:extent cx="5076825" cy="2965068"/>
            <wp:effectExtent l="0" t="0" r="0" b="698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96586" cy="2976609"/>
                    </a:xfrm>
                    <a:prstGeom prst="rect">
                      <a:avLst/>
                    </a:prstGeom>
                    <a:noFill/>
                  </pic:spPr>
                </pic:pic>
              </a:graphicData>
            </a:graphic>
          </wp:inline>
        </w:drawing>
      </w:r>
    </w:p>
    <w:p w:rsidR="006D1E1F" w:rsidRDefault="006D1E1F" w:rsidP="00ED21E5">
      <w:pPr>
        <w:pStyle w:val="Caption"/>
        <w:jc w:val="center"/>
      </w:pPr>
      <w:bookmarkStart w:id="67" w:name="_Ref53697313"/>
      <w:bookmarkStart w:id="68" w:name="_Toc53941920"/>
      <w:bookmarkStart w:id="69" w:name="_Toc54175830"/>
      <w:bookmarkStart w:id="70" w:name="_Toc54261694"/>
      <w:r>
        <w:t xml:space="preserve">Slika </w:t>
      </w:r>
      <w:r w:rsidR="00DD0407">
        <w:rPr>
          <w:noProof/>
        </w:rPr>
        <w:fldChar w:fldCharType="begin"/>
      </w:r>
      <w:r w:rsidR="00DD0407">
        <w:rPr>
          <w:noProof/>
        </w:rPr>
        <w:instrText xml:space="preserve"> SEQ Slika \* ARABIC </w:instrText>
      </w:r>
      <w:r w:rsidR="00DD0407">
        <w:rPr>
          <w:noProof/>
        </w:rPr>
        <w:fldChar w:fldCharType="separate"/>
      </w:r>
      <w:r w:rsidR="00B047B3">
        <w:rPr>
          <w:noProof/>
        </w:rPr>
        <w:t>2</w:t>
      </w:r>
      <w:r w:rsidR="00DD0407">
        <w:rPr>
          <w:noProof/>
        </w:rPr>
        <w:fldChar w:fldCharType="end"/>
      </w:r>
      <w:bookmarkEnd w:id="67"/>
      <w:r>
        <w:t xml:space="preserve"> - </w:t>
      </w:r>
      <w:r w:rsidRPr="00747DDD">
        <w:t>Prosječna gustoća priključaka putem nepokretne mreže (Izvor: HAKOM)</w:t>
      </w:r>
      <w:bookmarkEnd w:id="68"/>
      <w:bookmarkEnd w:id="69"/>
      <w:bookmarkEnd w:id="70"/>
    </w:p>
    <w:p w:rsidR="00DD73FA" w:rsidRPr="00DD73FA" w:rsidRDefault="00DD73FA" w:rsidP="00DD73FA">
      <w:pPr>
        <w:jc w:val="both"/>
        <w:rPr>
          <w:sz w:val="24"/>
          <w:szCs w:val="24"/>
        </w:rPr>
      </w:pPr>
      <w:r w:rsidRPr="00DD73FA">
        <w:rPr>
          <w:sz w:val="24"/>
          <w:szCs w:val="24"/>
        </w:rPr>
        <w:t>Analizirajući gustoću priključaka širokopojasnog pristupa internetu u nepokretnoj komunikacijskoj mreži u R</w:t>
      </w:r>
      <w:r w:rsidR="00F2612C">
        <w:rPr>
          <w:sz w:val="24"/>
          <w:szCs w:val="24"/>
        </w:rPr>
        <w:t xml:space="preserve">epublici </w:t>
      </w:r>
      <w:r w:rsidRPr="00DD73FA">
        <w:rPr>
          <w:sz w:val="24"/>
          <w:szCs w:val="24"/>
        </w:rPr>
        <w:t>H</w:t>
      </w:r>
      <w:r w:rsidR="00F2612C">
        <w:rPr>
          <w:sz w:val="24"/>
          <w:szCs w:val="24"/>
        </w:rPr>
        <w:t>rvatskoj</w:t>
      </w:r>
      <w:r w:rsidRPr="00DD73FA">
        <w:rPr>
          <w:sz w:val="24"/>
          <w:szCs w:val="24"/>
        </w:rPr>
        <w:t xml:space="preserve"> (</w:t>
      </w:r>
      <w:r w:rsidR="001B28D5">
        <w:rPr>
          <w:sz w:val="24"/>
          <w:szCs w:val="24"/>
        </w:rPr>
        <w:fldChar w:fldCharType="begin"/>
      </w:r>
      <w:r w:rsidR="001B28D5">
        <w:rPr>
          <w:sz w:val="24"/>
          <w:szCs w:val="24"/>
        </w:rPr>
        <w:instrText xml:space="preserve"> REF _Ref53697388 \h  \* MERGEFORMAT </w:instrText>
      </w:r>
      <w:r w:rsidR="001B28D5">
        <w:rPr>
          <w:sz w:val="24"/>
          <w:szCs w:val="24"/>
        </w:rPr>
      </w:r>
      <w:r w:rsidR="001B28D5">
        <w:rPr>
          <w:sz w:val="24"/>
          <w:szCs w:val="24"/>
        </w:rPr>
        <w:fldChar w:fldCharType="separate"/>
      </w:r>
      <w:r w:rsidR="00B047B3" w:rsidRPr="00B047B3">
        <w:rPr>
          <w:sz w:val="24"/>
          <w:szCs w:val="24"/>
        </w:rPr>
        <w:t>Slika 3</w:t>
      </w:r>
      <w:r w:rsidR="001B28D5">
        <w:rPr>
          <w:sz w:val="24"/>
          <w:szCs w:val="24"/>
        </w:rPr>
        <w:fldChar w:fldCharType="end"/>
      </w:r>
      <w:r w:rsidRPr="00DD73FA">
        <w:rPr>
          <w:sz w:val="24"/>
          <w:szCs w:val="24"/>
        </w:rPr>
        <w:t>) uočava se značajna regionalna neravnomjernost u broju i gustoći priključaka širokopojasnog pristupa internetu, pri čemu je najveća gustoća zabilježena u Gradu Zagrebu (97,8%), a najmanja u Sisačko–moslavačkoj županiji (52,8%). Na kraju 2019. samo šest županija u R</w:t>
      </w:r>
      <w:r w:rsidR="00F2612C">
        <w:rPr>
          <w:sz w:val="24"/>
          <w:szCs w:val="24"/>
        </w:rPr>
        <w:t xml:space="preserve">epublici </w:t>
      </w:r>
      <w:r w:rsidRPr="00DD73FA">
        <w:rPr>
          <w:sz w:val="24"/>
          <w:szCs w:val="24"/>
        </w:rPr>
        <w:t>H</w:t>
      </w:r>
      <w:r w:rsidR="00F2612C">
        <w:rPr>
          <w:sz w:val="24"/>
          <w:szCs w:val="24"/>
        </w:rPr>
        <w:t>rvatskoj</w:t>
      </w:r>
      <w:r w:rsidRPr="00DD73FA">
        <w:rPr>
          <w:sz w:val="24"/>
          <w:szCs w:val="24"/>
        </w:rPr>
        <w:t xml:space="preserve"> bilježi gustoću širokopojasnih priključaka putem nepokretne mreže iznad prosjeka R</w:t>
      </w:r>
      <w:r w:rsidR="00F2612C">
        <w:rPr>
          <w:sz w:val="24"/>
          <w:szCs w:val="24"/>
        </w:rPr>
        <w:t xml:space="preserve">epublike </w:t>
      </w:r>
      <w:r w:rsidRPr="00DD73FA">
        <w:rPr>
          <w:sz w:val="24"/>
          <w:szCs w:val="24"/>
        </w:rPr>
        <w:t>H</w:t>
      </w:r>
      <w:r w:rsidR="00F2612C">
        <w:rPr>
          <w:sz w:val="24"/>
          <w:szCs w:val="24"/>
        </w:rPr>
        <w:t>rvatske</w:t>
      </w:r>
      <w:r w:rsidRPr="00DD73FA">
        <w:rPr>
          <w:sz w:val="24"/>
          <w:szCs w:val="24"/>
        </w:rPr>
        <w:t>.</w:t>
      </w:r>
    </w:p>
    <w:p w:rsidR="006D1E1F" w:rsidRDefault="006D1E1F" w:rsidP="006D1E1F">
      <w:pPr>
        <w:keepNext/>
        <w:jc w:val="center"/>
      </w:pPr>
      <w:r>
        <w:rPr>
          <w:noProof/>
          <w:lang w:val="en-US"/>
        </w:rPr>
        <w:drawing>
          <wp:inline distT="0" distB="0" distL="0" distR="0" wp14:anchorId="7EEF29A2" wp14:editId="31454260">
            <wp:extent cx="5529580" cy="318833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29580" cy="3188335"/>
                    </a:xfrm>
                    <a:prstGeom prst="rect">
                      <a:avLst/>
                    </a:prstGeom>
                    <a:noFill/>
                  </pic:spPr>
                </pic:pic>
              </a:graphicData>
            </a:graphic>
          </wp:inline>
        </w:drawing>
      </w:r>
    </w:p>
    <w:p w:rsidR="006D1E1F" w:rsidRDefault="006D1E1F" w:rsidP="006D1E1F">
      <w:pPr>
        <w:pStyle w:val="Caption"/>
        <w:jc w:val="center"/>
      </w:pPr>
      <w:bookmarkStart w:id="71" w:name="_Ref53697388"/>
      <w:bookmarkStart w:id="72" w:name="_Toc53941921"/>
      <w:bookmarkStart w:id="73" w:name="_Toc54175831"/>
      <w:bookmarkStart w:id="74" w:name="_Toc54261695"/>
      <w:r>
        <w:t xml:space="preserve">Slika </w:t>
      </w:r>
      <w:r w:rsidR="00DD0407">
        <w:rPr>
          <w:noProof/>
        </w:rPr>
        <w:fldChar w:fldCharType="begin"/>
      </w:r>
      <w:r w:rsidR="00DD0407">
        <w:rPr>
          <w:noProof/>
        </w:rPr>
        <w:instrText xml:space="preserve"> SEQ Slika \* ARABIC </w:instrText>
      </w:r>
      <w:r w:rsidR="00DD0407">
        <w:rPr>
          <w:noProof/>
        </w:rPr>
        <w:fldChar w:fldCharType="separate"/>
      </w:r>
      <w:r w:rsidR="00B047B3">
        <w:rPr>
          <w:noProof/>
        </w:rPr>
        <w:t>3</w:t>
      </w:r>
      <w:r w:rsidR="00DD0407">
        <w:rPr>
          <w:noProof/>
        </w:rPr>
        <w:fldChar w:fldCharType="end"/>
      </w:r>
      <w:bookmarkEnd w:id="71"/>
      <w:r>
        <w:t xml:space="preserve"> - Gustoća priključaka širokopojasnog pristupa po županijama (Izvor: HAKOM)</w:t>
      </w:r>
      <w:bookmarkEnd w:id="72"/>
      <w:bookmarkEnd w:id="73"/>
      <w:bookmarkEnd w:id="74"/>
    </w:p>
    <w:p w:rsidR="00DD73FA" w:rsidRPr="00DD73FA" w:rsidRDefault="00DD73FA" w:rsidP="00ED21E5"/>
    <w:p w:rsidR="00DD73FA" w:rsidRPr="00DD73FA" w:rsidRDefault="00DD73FA" w:rsidP="00E50726">
      <w:pPr>
        <w:pStyle w:val="Heading2"/>
      </w:pPr>
      <w:bookmarkStart w:id="75" w:name="_Toc51666101"/>
      <w:bookmarkStart w:id="76" w:name="_Toc52203450"/>
      <w:bookmarkStart w:id="77" w:name="_Toc53941958"/>
      <w:bookmarkStart w:id="78" w:name="_Toc54250931"/>
      <w:bookmarkStart w:id="79" w:name="_Toc54252829"/>
      <w:bookmarkStart w:id="80" w:name="_Toc54261641"/>
      <w:r w:rsidRPr="00DD73FA">
        <w:t>Načini širokopojasnog pristupa internetu u nepokretnoj mreži</w:t>
      </w:r>
      <w:bookmarkStart w:id="81" w:name="_Toc51666102"/>
      <w:bookmarkStart w:id="82" w:name="_Toc52203451"/>
      <w:bookmarkEnd w:id="75"/>
      <w:bookmarkEnd w:id="76"/>
      <w:bookmarkEnd w:id="77"/>
      <w:bookmarkEnd w:id="78"/>
      <w:bookmarkEnd w:id="79"/>
      <w:bookmarkEnd w:id="80"/>
      <w:bookmarkEnd w:id="81"/>
      <w:bookmarkEnd w:id="82"/>
    </w:p>
    <w:p w:rsidR="00DD73FA" w:rsidRPr="001B28D5" w:rsidRDefault="00DD73FA" w:rsidP="00DD73FA">
      <w:pPr>
        <w:rPr>
          <w:sz w:val="24"/>
          <w:szCs w:val="24"/>
        </w:rPr>
      </w:pPr>
      <w:r w:rsidRPr="001B28D5">
        <w:rPr>
          <w:sz w:val="24"/>
          <w:szCs w:val="24"/>
        </w:rPr>
        <w:t>Krajnji korisnici u R</w:t>
      </w:r>
      <w:r w:rsidR="002A2A44">
        <w:rPr>
          <w:sz w:val="24"/>
          <w:szCs w:val="24"/>
        </w:rPr>
        <w:t xml:space="preserve">epublici </w:t>
      </w:r>
      <w:r w:rsidRPr="001B28D5">
        <w:rPr>
          <w:sz w:val="24"/>
          <w:szCs w:val="24"/>
        </w:rPr>
        <w:t>H</w:t>
      </w:r>
      <w:r w:rsidR="002A2A44">
        <w:rPr>
          <w:sz w:val="24"/>
          <w:szCs w:val="24"/>
        </w:rPr>
        <w:t>rvatskoj</w:t>
      </w:r>
      <w:r w:rsidRPr="001B28D5">
        <w:rPr>
          <w:sz w:val="24"/>
          <w:szCs w:val="24"/>
        </w:rPr>
        <w:t xml:space="preserve"> uslugu širokopojasnog pristupa internetu ostvaruju na sljedeće načine</w:t>
      </w:r>
      <w:r w:rsidR="009B44A4">
        <w:rPr>
          <w:sz w:val="24"/>
          <w:szCs w:val="24"/>
        </w:rPr>
        <w:t>:</w:t>
      </w:r>
    </w:p>
    <w:p w:rsidR="00DD73FA" w:rsidRPr="001B28D5" w:rsidRDefault="00DD73FA" w:rsidP="00CE6F90">
      <w:pPr>
        <w:numPr>
          <w:ilvl w:val="0"/>
          <w:numId w:val="38"/>
        </w:numPr>
        <w:contextualSpacing/>
        <w:rPr>
          <w:sz w:val="24"/>
          <w:szCs w:val="24"/>
        </w:rPr>
      </w:pPr>
      <w:r w:rsidRPr="001B28D5">
        <w:rPr>
          <w:sz w:val="24"/>
          <w:szCs w:val="24"/>
        </w:rPr>
        <w:t>xDSL putem bakrene parice (ADSL i VDSL)</w:t>
      </w:r>
    </w:p>
    <w:p w:rsidR="00DD73FA" w:rsidRPr="001B28D5" w:rsidRDefault="00DD73FA" w:rsidP="00CE6F90">
      <w:pPr>
        <w:numPr>
          <w:ilvl w:val="0"/>
          <w:numId w:val="38"/>
        </w:numPr>
        <w:contextualSpacing/>
        <w:rPr>
          <w:sz w:val="24"/>
          <w:szCs w:val="24"/>
        </w:rPr>
      </w:pPr>
      <w:r w:rsidRPr="001B28D5">
        <w:rPr>
          <w:sz w:val="24"/>
          <w:szCs w:val="24"/>
        </w:rPr>
        <w:t>pristup putem svjetlovodnih niti (FTTH i FTTB)</w:t>
      </w:r>
    </w:p>
    <w:p w:rsidR="00DD73FA" w:rsidRPr="001B28D5" w:rsidRDefault="00DD73FA" w:rsidP="00CE6F90">
      <w:pPr>
        <w:numPr>
          <w:ilvl w:val="0"/>
          <w:numId w:val="38"/>
        </w:numPr>
        <w:contextualSpacing/>
        <w:rPr>
          <w:sz w:val="24"/>
          <w:szCs w:val="24"/>
        </w:rPr>
      </w:pPr>
      <w:r w:rsidRPr="001B28D5">
        <w:rPr>
          <w:sz w:val="24"/>
          <w:szCs w:val="24"/>
        </w:rPr>
        <w:t>pristup putem kabelskih mreža</w:t>
      </w:r>
    </w:p>
    <w:p w:rsidR="00DD73FA" w:rsidRPr="001B28D5" w:rsidRDefault="00DD73FA" w:rsidP="00CE6F90">
      <w:pPr>
        <w:numPr>
          <w:ilvl w:val="0"/>
          <w:numId w:val="38"/>
        </w:numPr>
        <w:contextualSpacing/>
        <w:rPr>
          <w:sz w:val="24"/>
          <w:szCs w:val="24"/>
        </w:rPr>
      </w:pPr>
      <w:r w:rsidRPr="001B28D5">
        <w:rPr>
          <w:sz w:val="24"/>
          <w:szCs w:val="24"/>
        </w:rPr>
        <w:t>fiksni bežični pristup</w:t>
      </w:r>
    </w:p>
    <w:p w:rsidR="00DD73FA" w:rsidRPr="001B28D5" w:rsidRDefault="00DD73FA" w:rsidP="00CE6F90">
      <w:pPr>
        <w:numPr>
          <w:ilvl w:val="0"/>
          <w:numId w:val="38"/>
        </w:numPr>
        <w:contextualSpacing/>
        <w:rPr>
          <w:sz w:val="24"/>
          <w:szCs w:val="24"/>
        </w:rPr>
      </w:pPr>
      <w:r w:rsidRPr="001B28D5">
        <w:rPr>
          <w:sz w:val="24"/>
          <w:szCs w:val="24"/>
        </w:rPr>
        <w:t>pristup putem iznajmljenih vodova</w:t>
      </w:r>
    </w:p>
    <w:p w:rsidR="00DD73FA" w:rsidRPr="001B28D5" w:rsidRDefault="00DD73FA" w:rsidP="00CE6F90">
      <w:pPr>
        <w:numPr>
          <w:ilvl w:val="0"/>
          <w:numId w:val="38"/>
        </w:numPr>
        <w:contextualSpacing/>
        <w:rPr>
          <w:sz w:val="24"/>
          <w:szCs w:val="24"/>
        </w:rPr>
      </w:pPr>
      <w:r w:rsidRPr="001B28D5">
        <w:rPr>
          <w:sz w:val="24"/>
          <w:szCs w:val="24"/>
        </w:rPr>
        <w:t>pristup putem satelitskih veza</w:t>
      </w:r>
    </w:p>
    <w:p w:rsidR="009B44A4" w:rsidRPr="001B28D5" w:rsidRDefault="009B44A4" w:rsidP="009B44A4">
      <w:pPr>
        <w:ind w:left="720"/>
        <w:contextualSpacing/>
        <w:rPr>
          <w:sz w:val="24"/>
          <w:szCs w:val="24"/>
        </w:rPr>
      </w:pPr>
    </w:p>
    <w:p w:rsidR="00DD73FA" w:rsidRPr="001B28D5" w:rsidRDefault="00DD73FA" w:rsidP="009B44A4">
      <w:pPr>
        <w:jc w:val="both"/>
        <w:rPr>
          <w:sz w:val="24"/>
          <w:szCs w:val="24"/>
        </w:rPr>
      </w:pPr>
      <w:r w:rsidRPr="001B28D5">
        <w:rPr>
          <w:sz w:val="24"/>
          <w:szCs w:val="24"/>
        </w:rPr>
        <w:t>Raspodjel</w:t>
      </w:r>
      <w:r w:rsidR="009B44A4">
        <w:rPr>
          <w:sz w:val="24"/>
          <w:szCs w:val="24"/>
        </w:rPr>
        <w:t>u</w:t>
      </w:r>
      <w:r w:rsidRPr="001B28D5">
        <w:rPr>
          <w:sz w:val="24"/>
          <w:szCs w:val="24"/>
        </w:rPr>
        <w:t xml:space="preserve"> korištenja pojedinih načina širokopojasnog pristupa internetu </w:t>
      </w:r>
      <w:r w:rsidR="009B44A4" w:rsidRPr="001B28D5">
        <w:rPr>
          <w:sz w:val="24"/>
          <w:szCs w:val="24"/>
        </w:rPr>
        <w:t>prikaz</w:t>
      </w:r>
      <w:r w:rsidR="009B44A4">
        <w:rPr>
          <w:sz w:val="24"/>
          <w:szCs w:val="24"/>
        </w:rPr>
        <w:t>uje</w:t>
      </w:r>
      <w:r w:rsidR="009B44A4" w:rsidRPr="001B28D5">
        <w:rPr>
          <w:sz w:val="24"/>
          <w:szCs w:val="24"/>
        </w:rPr>
        <w:t xml:space="preserve"> </w:t>
      </w:r>
      <w:r w:rsidR="001B28D5" w:rsidRPr="001B28D5">
        <w:rPr>
          <w:sz w:val="24"/>
          <w:szCs w:val="24"/>
        </w:rPr>
        <w:t>dijagram na donjoj slici (</w:t>
      </w:r>
      <w:r w:rsidR="001B28D5" w:rsidRPr="001B28D5">
        <w:rPr>
          <w:sz w:val="24"/>
          <w:szCs w:val="24"/>
        </w:rPr>
        <w:fldChar w:fldCharType="begin"/>
      </w:r>
      <w:r w:rsidR="001B28D5" w:rsidRPr="001B28D5">
        <w:rPr>
          <w:sz w:val="24"/>
          <w:szCs w:val="24"/>
        </w:rPr>
        <w:instrText xml:space="preserve"> REF _Ref53697641 \h </w:instrText>
      </w:r>
      <w:r w:rsidR="001B28D5">
        <w:rPr>
          <w:sz w:val="24"/>
          <w:szCs w:val="24"/>
        </w:rPr>
        <w:instrText xml:space="preserve"> \* MERGEFORMAT </w:instrText>
      </w:r>
      <w:r w:rsidR="001B28D5" w:rsidRPr="001B28D5">
        <w:rPr>
          <w:sz w:val="24"/>
          <w:szCs w:val="24"/>
        </w:rPr>
      </w:r>
      <w:r w:rsidR="001B28D5" w:rsidRPr="001B28D5">
        <w:rPr>
          <w:sz w:val="24"/>
          <w:szCs w:val="24"/>
        </w:rPr>
        <w:fldChar w:fldCharType="separate"/>
      </w:r>
      <w:r w:rsidR="00B047B3" w:rsidRPr="00B047B3">
        <w:rPr>
          <w:sz w:val="24"/>
          <w:szCs w:val="24"/>
        </w:rPr>
        <w:t xml:space="preserve">Slika </w:t>
      </w:r>
      <w:r w:rsidR="00B047B3" w:rsidRPr="00B047B3">
        <w:rPr>
          <w:noProof/>
          <w:sz w:val="24"/>
          <w:szCs w:val="24"/>
        </w:rPr>
        <w:t>4</w:t>
      </w:r>
      <w:r w:rsidR="001B28D5" w:rsidRPr="001B28D5">
        <w:rPr>
          <w:sz w:val="24"/>
          <w:szCs w:val="24"/>
        </w:rPr>
        <w:fldChar w:fldCharType="end"/>
      </w:r>
      <w:r w:rsidR="001B28D5" w:rsidRPr="001B28D5">
        <w:rPr>
          <w:sz w:val="24"/>
          <w:szCs w:val="24"/>
        </w:rPr>
        <w:t>)</w:t>
      </w:r>
      <w:r w:rsidRPr="001B28D5">
        <w:rPr>
          <w:sz w:val="24"/>
          <w:szCs w:val="24"/>
        </w:rPr>
        <w:t>.</w:t>
      </w:r>
    </w:p>
    <w:p w:rsidR="00DD73FA" w:rsidRPr="001B28D5" w:rsidRDefault="00DD73FA" w:rsidP="00DD73FA">
      <w:pPr>
        <w:jc w:val="both"/>
        <w:rPr>
          <w:sz w:val="24"/>
          <w:szCs w:val="24"/>
        </w:rPr>
      </w:pPr>
      <w:r w:rsidRPr="001B28D5">
        <w:rPr>
          <w:sz w:val="24"/>
          <w:szCs w:val="24"/>
        </w:rPr>
        <w:t xml:space="preserve">Uspoređujući kraj 2017. i 2019. pristup putem xDSL tehnologije i dalje je najzastupljeniji način širokopojasnog pristupa internetu. Međutim, primjećuje se ukupan pad korisnika putem navedene tehnologije ponajviše zbog pada </w:t>
      </w:r>
      <w:r w:rsidR="004516E2" w:rsidRPr="001B28D5">
        <w:rPr>
          <w:sz w:val="24"/>
          <w:szCs w:val="24"/>
        </w:rPr>
        <w:t xml:space="preserve">pristupa putem </w:t>
      </w:r>
      <w:r w:rsidRPr="001B28D5">
        <w:rPr>
          <w:sz w:val="24"/>
          <w:szCs w:val="24"/>
        </w:rPr>
        <w:t xml:space="preserve">ADSL tehnologije, ukupno 17,6% u tri godine. Uzimajući u obzir da ADSL tehnologija ne omogućava dovoljno veliku pristupnu brzinu, pad broja ADSL priključaka očekuje se i u godinama koje slijede. Suprotno tome, broj </w:t>
      </w:r>
      <w:r w:rsidR="004516E2" w:rsidRPr="001B28D5">
        <w:rPr>
          <w:sz w:val="24"/>
          <w:szCs w:val="24"/>
        </w:rPr>
        <w:t xml:space="preserve">pristupa putem </w:t>
      </w:r>
      <w:r w:rsidRPr="001B28D5">
        <w:rPr>
          <w:sz w:val="24"/>
          <w:szCs w:val="24"/>
        </w:rPr>
        <w:t>VDSL tehnologije raste zbog prednosti te tehnologije koja omogućava veće brzine prijenosa na kraćim udaljenostima.</w:t>
      </w:r>
    </w:p>
    <w:p w:rsidR="00DD73FA" w:rsidRPr="001B28D5" w:rsidRDefault="00DD73FA" w:rsidP="00DD73FA">
      <w:pPr>
        <w:jc w:val="both"/>
        <w:rPr>
          <w:sz w:val="24"/>
          <w:szCs w:val="24"/>
        </w:rPr>
      </w:pPr>
      <w:r w:rsidRPr="001B28D5">
        <w:rPr>
          <w:sz w:val="24"/>
          <w:szCs w:val="24"/>
        </w:rPr>
        <w:t xml:space="preserve">Smanjenje broja korisnika putem xDSL tehnologije očituje se u povećanju broja korisnika širokopojasnog pristupa internetu putem kabelskih mreža, putem nepokretnog bežičnog pristupa i putem FTTH/B pristupne infrastrukture. </w:t>
      </w:r>
      <w:r w:rsidR="004516E2" w:rsidRPr="001B28D5">
        <w:rPr>
          <w:sz w:val="24"/>
          <w:szCs w:val="24"/>
        </w:rPr>
        <w:t>Udio</w:t>
      </w:r>
      <w:r w:rsidRPr="001B28D5">
        <w:rPr>
          <w:sz w:val="24"/>
          <w:szCs w:val="24"/>
        </w:rPr>
        <w:t xml:space="preserve"> priključaka putem iznajmljenih vodova, kao i putem satelitskih veza je zanemariv.</w:t>
      </w:r>
    </w:p>
    <w:p w:rsidR="001B28D5" w:rsidRDefault="005557CF" w:rsidP="00E87A45">
      <w:pPr>
        <w:keepNext/>
        <w:jc w:val="center"/>
      </w:pPr>
      <w:r>
        <w:rPr>
          <w:noProof/>
          <w:lang w:val="en-US"/>
        </w:rPr>
        <w:drawing>
          <wp:inline distT="0" distB="0" distL="0" distR="0" wp14:anchorId="410A9D4D" wp14:editId="7FF7CF39">
            <wp:extent cx="5523230" cy="2780030"/>
            <wp:effectExtent l="0" t="0" r="1270" b="127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23230" cy="2780030"/>
                    </a:xfrm>
                    <a:prstGeom prst="rect">
                      <a:avLst/>
                    </a:prstGeom>
                    <a:noFill/>
                  </pic:spPr>
                </pic:pic>
              </a:graphicData>
            </a:graphic>
          </wp:inline>
        </w:drawing>
      </w:r>
    </w:p>
    <w:p w:rsidR="001B28D5" w:rsidRDefault="001B28D5" w:rsidP="00E87A45">
      <w:pPr>
        <w:pStyle w:val="Caption"/>
        <w:jc w:val="center"/>
      </w:pPr>
      <w:bookmarkStart w:id="83" w:name="_Ref53697641"/>
      <w:bookmarkStart w:id="84" w:name="_Toc53941922"/>
      <w:bookmarkStart w:id="85" w:name="_Toc54175832"/>
      <w:bookmarkStart w:id="86" w:name="_Toc54261696"/>
      <w:r>
        <w:t xml:space="preserve">Slika </w:t>
      </w:r>
      <w:r w:rsidR="00DD0407">
        <w:rPr>
          <w:noProof/>
        </w:rPr>
        <w:fldChar w:fldCharType="begin"/>
      </w:r>
      <w:r w:rsidR="00DD0407">
        <w:rPr>
          <w:noProof/>
        </w:rPr>
        <w:instrText xml:space="preserve"> SEQ Slika \* ARABIC </w:instrText>
      </w:r>
      <w:r w:rsidR="00DD0407">
        <w:rPr>
          <w:noProof/>
        </w:rPr>
        <w:fldChar w:fldCharType="separate"/>
      </w:r>
      <w:r w:rsidR="00B047B3">
        <w:rPr>
          <w:noProof/>
        </w:rPr>
        <w:t>4</w:t>
      </w:r>
      <w:r w:rsidR="00DD0407">
        <w:rPr>
          <w:noProof/>
        </w:rPr>
        <w:fldChar w:fldCharType="end"/>
      </w:r>
      <w:bookmarkEnd w:id="83"/>
      <w:r>
        <w:t xml:space="preserve"> - </w:t>
      </w:r>
      <w:r w:rsidRPr="00B60EC7">
        <w:t>Raspodjela korištenja pojedinih načina širokopojasnog pristupa internetu (Izvor: HAKOM</w:t>
      </w:r>
      <w:r>
        <w:t>)</w:t>
      </w:r>
      <w:bookmarkEnd w:id="84"/>
      <w:bookmarkEnd w:id="85"/>
      <w:bookmarkEnd w:id="86"/>
    </w:p>
    <w:p w:rsidR="00DD73FA" w:rsidRPr="00DD73FA" w:rsidRDefault="00DD73FA" w:rsidP="00DD73FA"/>
    <w:p w:rsidR="00DD73FA" w:rsidRPr="00DD73FA" w:rsidRDefault="00DD73FA" w:rsidP="00E50726">
      <w:pPr>
        <w:pStyle w:val="Heading2"/>
      </w:pPr>
      <w:bookmarkStart w:id="87" w:name="_Toc51666103"/>
      <w:bookmarkStart w:id="88" w:name="_Toc52203452"/>
      <w:bookmarkStart w:id="89" w:name="_Toc53941959"/>
      <w:bookmarkStart w:id="90" w:name="_Toc54250932"/>
      <w:bookmarkStart w:id="91" w:name="_Toc54252830"/>
      <w:bookmarkStart w:id="92" w:name="_Toc54261642"/>
      <w:r w:rsidRPr="00DD73FA">
        <w:t>Brzine širokopojasnog pristupa internetu</w:t>
      </w:r>
      <w:bookmarkEnd w:id="87"/>
      <w:bookmarkEnd w:id="88"/>
      <w:bookmarkEnd w:id="89"/>
      <w:bookmarkEnd w:id="90"/>
      <w:bookmarkEnd w:id="91"/>
      <w:bookmarkEnd w:id="92"/>
    </w:p>
    <w:p w:rsidR="00DD73FA" w:rsidRPr="001B28D5" w:rsidRDefault="00DD73FA" w:rsidP="00DD73FA">
      <w:pPr>
        <w:jc w:val="both"/>
        <w:rPr>
          <w:sz w:val="24"/>
          <w:szCs w:val="24"/>
        </w:rPr>
      </w:pPr>
      <w:r w:rsidRPr="001B28D5">
        <w:rPr>
          <w:sz w:val="24"/>
          <w:szCs w:val="24"/>
        </w:rPr>
        <w:t xml:space="preserve">Analizirajući brzine pristupa i unatoč pomaku u posljednje tri godine, </w:t>
      </w:r>
      <w:r w:rsidR="001B28D5">
        <w:rPr>
          <w:sz w:val="24"/>
          <w:szCs w:val="24"/>
        </w:rPr>
        <w:t xml:space="preserve">u </w:t>
      </w:r>
      <w:r w:rsidRPr="001B28D5">
        <w:rPr>
          <w:sz w:val="24"/>
          <w:szCs w:val="24"/>
        </w:rPr>
        <w:t>R</w:t>
      </w:r>
      <w:r w:rsidR="001B28D5">
        <w:rPr>
          <w:sz w:val="24"/>
          <w:szCs w:val="24"/>
        </w:rPr>
        <w:t xml:space="preserve">epublici </w:t>
      </w:r>
      <w:r w:rsidRPr="001B28D5">
        <w:rPr>
          <w:sz w:val="24"/>
          <w:szCs w:val="24"/>
        </w:rPr>
        <w:t>H</w:t>
      </w:r>
      <w:r w:rsidR="001B28D5">
        <w:rPr>
          <w:sz w:val="24"/>
          <w:szCs w:val="24"/>
        </w:rPr>
        <w:t>rvatskoj</w:t>
      </w:r>
      <w:r w:rsidRPr="001B28D5">
        <w:rPr>
          <w:sz w:val="24"/>
          <w:szCs w:val="24"/>
        </w:rPr>
        <w:t xml:space="preserve"> </w:t>
      </w:r>
      <w:r w:rsidR="001B28D5">
        <w:rPr>
          <w:sz w:val="24"/>
          <w:szCs w:val="24"/>
        </w:rPr>
        <w:t>je i</w:t>
      </w:r>
      <w:r w:rsidRPr="001B28D5">
        <w:rPr>
          <w:sz w:val="24"/>
          <w:szCs w:val="24"/>
        </w:rPr>
        <w:t xml:space="preserve"> dalje veliki udio priključaka </w:t>
      </w:r>
      <w:r w:rsidR="001B28D5">
        <w:rPr>
          <w:sz w:val="24"/>
          <w:szCs w:val="24"/>
        </w:rPr>
        <w:t xml:space="preserve">s </w:t>
      </w:r>
      <w:r w:rsidRPr="001B28D5">
        <w:rPr>
          <w:sz w:val="24"/>
          <w:szCs w:val="24"/>
        </w:rPr>
        <w:t>brzinama ispod 30 Mbit/s. Ukoliko uspoređujemo brzine širokopojasnog pristupa internetu s pristupnim tehnologijama, jasno se uočava kako zastupljenost xDSL tehnologije opada s porastom brzine širokopojasnog pristupa internetu. Naime, trogodišnji pad brzina brzina ispod 10 Mbit/s je u skladu s padom xDSL pristupne tehnologije. S druge strane, brzine veće od 100 Mbit/s prate rast pristupnih tehnologija nove generacije, uglavnom FTTH/B.</w:t>
      </w:r>
    </w:p>
    <w:p w:rsidR="001B28D5" w:rsidRDefault="005557CF" w:rsidP="00E87A45">
      <w:pPr>
        <w:keepNext/>
        <w:jc w:val="center"/>
      </w:pPr>
      <w:r>
        <w:rPr>
          <w:noProof/>
          <w:lang w:val="en-US"/>
        </w:rPr>
        <w:drawing>
          <wp:inline distT="0" distB="0" distL="0" distR="0" wp14:anchorId="3BCCE29B" wp14:editId="6BB6375D">
            <wp:extent cx="5517515" cy="2755900"/>
            <wp:effectExtent l="0" t="0" r="6985" b="63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17515" cy="2755900"/>
                    </a:xfrm>
                    <a:prstGeom prst="rect">
                      <a:avLst/>
                    </a:prstGeom>
                    <a:noFill/>
                  </pic:spPr>
                </pic:pic>
              </a:graphicData>
            </a:graphic>
          </wp:inline>
        </w:drawing>
      </w:r>
    </w:p>
    <w:p w:rsidR="001B28D5" w:rsidRDefault="001B28D5" w:rsidP="00E87A45">
      <w:pPr>
        <w:pStyle w:val="Caption"/>
        <w:jc w:val="center"/>
      </w:pPr>
      <w:bookmarkStart w:id="93" w:name="_Toc53941923"/>
      <w:bookmarkStart w:id="94" w:name="_Toc54175833"/>
      <w:bookmarkStart w:id="95" w:name="_Toc54261697"/>
      <w:r>
        <w:t xml:space="preserve">Slika </w:t>
      </w:r>
      <w:r w:rsidR="00DD0407">
        <w:rPr>
          <w:noProof/>
        </w:rPr>
        <w:fldChar w:fldCharType="begin"/>
      </w:r>
      <w:r w:rsidR="00DD0407">
        <w:rPr>
          <w:noProof/>
        </w:rPr>
        <w:instrText xml:space="preserve"> SEQ Slika \* ARABIC </w:instrText>
      </w:r>
      <w:r w:rsidR="00DD0407">
        <w:rPr>
          <w:noProof/>
        </w:rPr>
        <w:fldChar w:fldCharType="separate"/>
      </w:r>
      <w:r w:rsidR="00B047B3">
        <w:rPr>
          <w:noProof/>
        </w:rPr>
        <w:t>5</w:t>
      </w:r>
      <w:r w:rsidR="00DD0407">
        <w:rPr>
          <w:noProof/>
        </w:rPr>
        <w:fldChar w:fldCharType="end"/>
      </w:r>
      <w:r>
        <w:t xml:space="preserve"> - </w:t>
      </w:r>
      <w:r w:rsidRPr="00631ACF">
        <w:t>Raspodjela širokopojasnih priključaka prema brzinama pristupa (Izvor: HAKOM)</w:t>
      </w:r>
      <w:bookmarkEnd w:id="93"/>
      <w:bookmarkEnd w:id="94"/>
      <w:bookmarkEnd w:id="95"/>
    </w:p>
    <w:p w:rsidR="00A9474E" w:rsidRDefault="00A9474E" w:rsidP="00A9474E"/>
    <w:p w:rsidR="00A9474E" w:rsidRDefault="00A9474E" w:rsidP="00A9474E">
      <w:pPr>
        <w:pStyle w:val="Heading2"/>
        <w:spacing w:before="240"/>
        <w:ind w:left="578" w:hanging="578"/>
      </w:pPr>
      <w:bookmarkStart w:id="96" w:name="_Toc52890367"/>
      <w:bookmarkStart w:id="97" w:name="_Toc52891305"/>
      <w:bookmarkStart w:id="98" w:name="_Toc53662259"/>
      <w:bookmarkStart w:id="99" w:name="_Toc53670760"/>
      <w:bookmarkStart w:id="100" w:name="_Toc53994489"/>
      <w:bookmarkStart w:id="101" w:name="_Toc54250933"/>
      <w:bookmarkStart w:id="102" w:name="_Toc54252831"/>
      <w:bookmarkStart w:id="103" w:name="_Toc54261643"/>
      <w:r>
        <w:t>Širokopojasni pristup internetu putem nepokretne mreže – tržišni udjeli</w:t>
      </w:r>
      <w:bookmarkEnd w:id="96"/>
      <w:bookmarkEnd w:id="97"/>
      <w:bookmarkEnd w:id="98"/>
      <w:bookmarkEnd w:id="99"/>
      <w:bookmarkEnd w:id="100"/>
      <w:bookmarkEnd w:id="101"/>
      <w:bookmarkEnd w:id="102"/>
      <w:bookmarkEnd w:id="103"/>
    </w:p>
    <w:p w:rsidR="00A9474E" w:rsidRPr="004B7A68" w:rsidRDefault="00A9474E" w:rsidP="00A9474E">
      <w:pPr>
        <w:jc w:val="both"/>
        <w:rPr>
          <w:sz w:val="24"/>
          <w:szCs w:val="24"/>
        </w:rPr>
      </w:pPr>
      <w:r w:rsidRPr="004B7A68">
        <w:rPr>
          <w:sz w:val="24"/>
          <w:szCs w:val="24"/>
        </w:rPr>
        <w:t xml:space="preserve">Tržište širokopojasnog pristupa internetu putem nepokretne mreže ukupno broji 37 aktivnih operatora na kraju 2019. </w:t>
      </w:r>
      <w:r>
        <w:rPr>
          <w:sz w:val="24"/>
          <w:szCs w:val="24"/>
        </w:rPr>
        <w:t>Udio HT grupe se u posljednje 3 godine smanjio za 6 posto ali i dalje drži visoki udio tržišta sa 70 posto dok ostali sudionici drže 30 posto tržišnog udjela.</w:t>
      </w:r>
    </w:p>
    <w:p w:rsidR="00A9474E" w:rsidRDefault="005557CF" w:rsidP="00A9474E">
      <w:pPr>
        <w:keepNext/>
        <w:jc w:val="center"/>
      </w:pPr>
      <w:r>
        <w:rPr>
          <w:noProof/>
          <w:lang w:val="en-US"/>
        </w:rPr>
        <w:drawing>
          <wp:inline distT="0" distB="0" distL="0" distR="0" wp14:anchorId="26C8F2DA" wp14:editId="5F9B5580">
            <wp:extent cx="5219700" cy="2755900"/>
            <wp:effectExtent l="0" t="0" r="0" b="635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19700" cy="2755900"/>
                    </a:xfrm>
                    <a:prstGeom prst="rect">
                      <a:avLst/>
                    </a:prstGeom>
                    <a:noFill/>
                  </pic:spPr>
                </pic:pic>
              </a:graphicData>
            </a:graphic>
          </wp:inline>
        </w:drawing>
      </w:r>
    </w:p>
    <w:p w:rsidR="00A9474E" w:rsidRPr="00237477" w:rsidRDefault="00A9474E" w:rsidP="00A9474E">
      <w:pPr>
        <w:pStyle w:val="Caption"/>
        <w:jc w:val="center"/>
      </w:pPr>
      <w:bookmarkStart w:id="104" w:name="_Toc53670723"/>
      <w:bookmarkStart w:id="105" w:name="_Toc53994547"/>
      <w:bookmarkStart w:id="106" w:name="_Toc54175834"/>
      <w:bookmarkStart w:id="107" w:name="_Toc54261698"/>
      <w:r>
        <w:t xml:space="preserve">Slika </w:t>
      </w:r>
      <w:r>
        <w:rPr>
          <w:noProof/>
        </w:rPr>
        <w:fldChar w:fldCharType="begin"/>
      </w:r>
      <w:r>
        <w:rPr>
          <w:noProof/>
        </w:rPr>
        <w:instrText xml:space="preserve"> SEQ Slika \* ARABIC </w:instrText>
      </w:r>
      <w:r>
        <w:rPr>
          <w:noProof/>
        </w:rPr>
        <w:fldChar w:fldCharType="separate"/>
      </w:r>
      <w:r w:rsidR="00B047B3">
        <w:rPr>
          <w:noProof/>
        </w:rPr>
        <w:t>6</w:t>
      </w:r>
      <w:r>
        <w:rPr>
          <w:noProof/>
        </w:rPr>
        <w:fldChar w:fldCharType="end"/>
      </w:r>
      <w:r>
        <w:t xml:space="preserve"> - Tržišni udjeli na maloprodajnom </w:t>
      </w:r>
      <w:r w:rsidR="000F0A57">
        <w:t>tržištu</w:t>
      </w:r>
      <w:r>
        <w:t xml:space="preserve"> širokopojasnog pristupa (Izvor: HAKOM)</w:t>
      </w:r>
      <w:bookmarkEnd w:id="104"/>
      <w:bookmarkEnd w:id="105"/>
      <w:bookmarkEnd w:id="106"/>
      <w:bookmarkEnd w:id="107"/>
    </w:p>
    <w:p w:rsidR="00DD73FA" w:rsidRDefault="00DD73FA" w:rsidP="00E50726">
      <w:pPr>
        <w:pStyle w:val="Heading2"/>
      </w:pPr>
      <w:bookmarkStart w:id="108" w:name="_Toc51666105"/>
      <w:bookmarkStart w:id="109" w:name="_Toc52203454"/>
      <w:bookmarkStart w:id="110" w:name="_Ref52286058"/>
      <w:bookmarkStart w:id="111" w:name="_Ref52286065"/>
      <w:bookmarkStart w:id="112" w:name="_Ref52287078"/>
      <w:bookmarkStart w:id="113" w:name="_Toc53941961"/>
      <w:bookmarkStart w:id="114" w:name="_Toc54250934"/>
      <w:bookmarkStart w:id="115" w:name="_Toc54252832"/>
      <w:bookmarkStart w:id="116" w:name="_Toc54261644"/>
      <w:r w:rsidRPr="00DD73FA">
        <w:t>Veleprodajno tržište širokopojasnog pristupa internetu u nepokretnoj mreži</w:t>
      </w:r>
      <w:bookmarkEnd w:id="108"/>
      <w:bookmarkEnd w:id="109"/>
      <w:bookmarkEnd w:id="110"/>
      <w:bookmarkEnd w:id="111"/>
      <w:bookmarkEnd w:id="112"/>
      <w:bookmarkEnd w:id="113"/>
      <w:bookmarkEnd w:id="114"/>
      <w:bookmarkEnd w:id="115"/>
      <w:bookmarkEnd w:id="116"/>
    </w:p>
    <w:p w:rsidR="001B28D5" w:rsidRPr="004B7A68" w:rsidRDefault="001B28D5" w:rsidP="001B28D5">
      <w:pPr>
        <w:jc w:val="both"/>
        <w:rPr>
          <w:rFonts w:ascii="Calibri" w:hAnsi="Calibri"/>
          <w:sz w:val="24"/>
          <w:szCs w:val="24"/>
        </w:rPr>
      </w:pPr>
      <w:r w:rsidRPr="004B7A68">
        <w:rPr>
          <w:rFonts w:ascii="Calibri" w:hAnsi="Calibri"/>
          <w:sz w:val="24"/>
          <w:szCs w:val="24"/>
        </w:rPr>
        <w:t>Operator</w:t>
      </w:r>
      <w:r w:rsidRPr="004B7A68">
        <w:rPr>
          <w:rFonts w:ascii="Calibri" w:hAnsi="Calibri" w:cs="Times-Roman"/>
          <w:sz w:val="24"/>
          <w:szCs w:val="24"/>
        </w:rPr>
        <w:t xml:space="preserve"> koji želi krajnjem korisniku pružati uslugu </w:t>
      </w:r>
      <w:r w:rsidRPr="004B7A68">
        <w:rPr>
          <w:rFonts w:ascii="Calibri" w:hAnsi="Calibri"/>
          <w:sz w:val="24"/>
          <w:szCs w:val="24"/>
        </w:rPr>
        <w:t>širokopojasnog pristupa internetu</w:t>
      </w:r>
      <w:r w:rsidRPr="004B7A68">
        <w:rPr>
          <w:rFonts w:ascii="Calibri" w:hAnsi="Calibri" w:cs="Times-Roman"/>
          <w:sz w:val="24"/>
          <w:szCs w:val="24"/>
        </w:rPr>
        <w:t>, a nema izgrađenu vlastitu pristupnu infrastrukturu na cijelom području R</w:t>
      </w:r>
      <w:r>
        <w:rPr>
          <w:rFonts w:ascii="Calibri" w:hAnsi="Calibri" w:cs="Times-Roman"/>
          <w:sz w:val="24"/>
          <w:szCs w:val="24"/>
        </w:rPr>
        <w:t>epublike Hrvatske</w:t>
      </w:r>
      <w:r w:rsidRPr="004B7A68">
        <w:rPr>
          <w:rFonts w:ascii="Calibri" w:hAnsi="Calibri" w:cs="Times-Roman"/>
          <w:sz w:val="24"/>
          <w:szCs w:val="24"/>
        </w:rPr>
        <w:t>, može koristiti veleprodajne usluge lokalnog pristupa koje su trenutno dostupne na tržištu R</w:t>
      </w:r>
      <w:r>
        <w:rPr>
          <w:rFonts w:ascii="Calibri" w:hAnsi="Calibri" w:cs="Times-Roman"/>
          <w:sz w:val="24"/>
          <w:szCs w:val="24"/>
        </w:rPr>
        <w:t xml:space="preserve">epublike </w:t>
      </w:r>
      <w:r w:rsidRPr="004B7A68">
        <w:rPr>
          <w:rFonts w:ascii="Calibri" w:hAnsi="Calibri" w:cs="Times-Roman"/>
          <w:sz w:val="24"/>
          <w:szCs w:val="24"/>
        </w:rPr>
        <w:t>H</w:t>
      </w:r>
      <w:r>
        <w:rPr>
          <w:rFonts w:ascii="Calibri" w:hAnsi="Calibri" w:cs="Times-Roman"/>
          <w:sz w:val="24"/>
          <w:szCs w:val="24"/>
        </w:rPr>
        <w:t>rvatske</w:t>
      </w:r>
      <w:r w:rsidRPr="004B7A68">
        <w:rPr>
          <w:rFonts w:ascii="Calibri" w:hAnsi="Calibri" w:cs="Times-Roman"/>
          <w:sz w:val="24"/>
          <w:szCs w:val="24"/>
        </w:rPr>
        <w:t xml:space="preserve">. S jedne strane, operator može koristiti postojeću veleprodajnu uslugu izdvojenog pristupa lokalnoj petlji </w:t>
      </w:r>
      <w:r w:rsidRPr="004B7A68">
        <w:rPr>
          <w:rFonts w:ascii="Calibri" w:hAnsi="Calibri"/>
          <w:sz w:val="24"/>
          <w:szCs w:val="24"/>
        </w:rPr>
        <w:t xml:space="preserve">(dalje: </w:t>
      </w:r>
      <w:r w:rsidR="007E3C26">
        <w:rPr>
          <w:rFonts w:ascii="Calibri" w:hAnsi="Calibri"/>
          <w:sz w:val="24"/>
          <w:szCs w:val="24"/>
        </w:rPr>
        <w:t>LLU</w:t>
      </w:r>
      <w:r w:rsidRPr="004B7A68">
        <w:rPr>
          <w:rFonts w:ascii="Calibri" w:hAnsi="Calibri"/>
          <w:sz w:val="24"/>
          <w:szCs w:val="24"/>
        </w:rPr>
        <w:t>)</w:t>
      </w:r>
      <w:r w:rsidRPr="004B7A68">
        <w:rPr>
          <w:rFonts w:ascii="Calibri" w:hAnsi="Calibri" w:cs="Times-Roman"/>
          <w:sz w:val="24"/>
          <w:szCs w:val="24"/>
        </w:rPr>
        <w:t xml:space="preserve"> prema uvjetima iz Standardne ponude HT-a za uslugu izdvojenog pristupa lokalnoj petlji. </w:t>
      </w:r>
      <w:r w:rsidRPr="004B7A68">
        <w:rPr>
          <w:rFonts w:ascii="Calibri" w:hAnsi="Calibri"/>
          <w:sz w:val="24"/>
          <w:szCs w:val="24"/>
        </w:rPr>
        <w:t>Usluga izdvojenog pristupa lokalnoj petlji</w:t>
      </w:r>
      <w:r w:rsidRPr="004B7A68">
        <w:rPr>
          <w:rFonts w:ascii="Calibri" w:hAnsi="Calibri" w:cs="Times-Roman"/>
          <w:sz w:val="24"/>
          <w:szCs w:val="24"/>
        </w:rPr>
        <w:t xml:space="preserve"> </w:t>
      </w:r>
      <w:r w:rsidRPr="004B7A68">
        <w:rPr>
          <w:rFonts w:ascii="Calibri" w:hAnsi="Calibri"/>
          <w:sz w:val="24"/>
          <w:szCs w:val="24"/>
        </w:rPr>
        <w:t xml:space="preserve">koju HT pruža </w:t>
      </w:r>
      <w:r w:rsidRPr="004B7A68">
        <w:rPr>
          <w:rFonts w:ascii="Calibri" w:hAnsi="Calibri" w:cs="Times-Roman"/>
          <w:sz w:val="24"/>
          <w:szCs w:val="24"/>
        </w:rPr>
        <w:t>temelji se na bakrenoj parici, a</w:t>
      </w:r>
      <w:r w:rsidRPr="004B7A68">
        <w:rPr>
          <w:rFonts w:ascii="Calibri" w:hAnsi="Calibri"/>
          <w:sz w:val="24"/>
          <w:szCs w:val="24"/>
        </w:rPr>
        <w:t xml:space="preserve"> obuhvaća uslugu potpunog izdvojenog pristupa lokalnoj petlji i potpetlji te uslugu dijeljenog izdvojenog pristupa lokalnoj petlji.</w:t>
      </w:r>
    </w:p>
    <w:p w:rsidR="001B28D5" w:rsidRPr="004B7A68" w:rsidRDefault="001B28D5" w:rsidP="001B28D5">
      <w:pPr>
        <w:jc w:val="both"/>
        <w:rPr>
          <w:rFonts w:ascii="Calibri" w:hAnsi="Calibri" w:cs="Calibri"/>
          <w:sz w:val="24"/>
          <w:szCs w:val="24"/>
        </w:rPr>
      </w:pPr>
      <w:r w:rsidRPr="004B7A68">
        <w:rPr>
          <w:rFonts w:ascii="Calibri" w:hAnsi="Calibri"/>
          <w:sz w:val="24"/>
          <w:szCs w:val="24"/>
        </w:rPr>
        <w:t>S druge strane, operator može koristiti postojeću uslugu bits</w:t>
      </w:r>
      <w:r>
        <w:rPr>
          <w:rFonts w:ascii="Calibri" w:hAnsi="Calibri"/>
          <w:sz w:val="24"/>
          <w:szCs w:val="24"/>
        </w:rPr>
        <w:t>t</w:t>
      </w:r>
      <w:r w:rsidRPr="004B7A68">
        <w:rPr>
          <w:rFonts w:ascii="Calibri" w:hAnsi="Calibri"/>
          <w:sz w:val="24"/>
          <w:szCs w:val="24"/>
        </w:rPr>
        <w:t xml:space="preserve">ream pristupa internetu. </w:t>
      </w:r>
      <w:r w:rsidRPr="004B7A68">
        <w:rPr>
          <w:rFonts w:ascii="Calibri" w:hAnsi="Calibri" w:cs="Calibri"/>
          <w:sz w:val="24"/>
          <w:szCs w:val="24"/>
        </w:rPr>
        <w:t>Trenutno važeća bitstream usluga regulirana je prema uvjetima iz Standardne ponude za uslugu veleprodajnog širokopojasnog pristupa HT-a. Standardna ponuda definira realizaciju bitstream usluge na IP, Ethernet i DSLAM razini na temelju xDSL tehnologije, te pristup na IP, Ethernet i OLT razini na temelju FTTH tehnologije.</w:t>
      </w:r>
    </w:p>
    <w:p w:rsidR="001B28D5" w:rsidRPr="001B28D5" w:rsidRDefault="009B44A4" w:rsidP="00E87A45">
      <w:pPr>
        <w:jc w:val="both"/>
      </w:pPr>
      <w:r>
        <w:rPr>
          <w:rFonts w:ascii="Calibri" w:hAnsi="Calibri" w:cs="Calibri"/>
          <w:sz w:val="24"/>
          <w:szCs w:val="24"/>
        </w:rPr>
        <w:t xml:space="preserve">Ukupan broj </w:t>
      </w:r>
      <w:r w:rsidRPr="004B7A68">
        <w:rPr>
          <w:rFonts w:ascii="Calibri" w:hAnsi="Calibri" w:cs="Calibri"/>
          <w:sz w:val="24"/>
          <w:szCs w:val="24"/>
        </w:rPr>
        <w:t>priključ</w:t>
      </w:r>
      <w:r>
        <w:rPr>
          <w:rFonts w:ascii="Calibri" w:hAnsi="Calibri" w:cs="Calibri"/>
          <w:sz w:val="24"/>
          <w:szCs w:val="24"/>
        </w:rPr>
        <w:t xml:space="preserve">aka putem </w:t>
      </w:r>
      <w:r w:rsidR="007E3C26">
        <w:rPr>
          <w:rFonts w:ascii="Calibri" w:hAnsi="Calibri" w:cs="Calibri"/>
          <w:sz w:val="24"/>
          <w:szCs w:val="24"/>
        </w:rPr>
        <w:t>LLU</w:t>
      </w:r>
      <w:r w:rsidR="001B28D5" w:rsidRPr="004B7A68">
        <w:rPr>
          <w:rFonts w:ascii="Calibri" w:hAnsi="Calibri" w:cs="Calibri"/>
          <w:sz w:val="24"/>
          <w:szCs w:val="24"/>
        </w:rPr>
        <w:t xml:space="preserve"> </w:t>
      </w:r>
      <w:r>
        <w:rPr>
          <w:rFonts w:ascii="Calibri" w:hAnsi="Calibri" w:cs="Calibri"/>
          <w:sz w:val="24"/>
          <w:szCs w:val="24"/>
        </w:rPr>
        <w:t>usluge</w:t>
      </w:r>
      <w:r w:rsidR="001B28D5" w:rsidRPr="004B7A68">
        <w:rPr>
          <w:rFonts w:ascii="Calibri" w:hAnsi="Calibri" w:cs="Calibri"/>
          <w:sz w:val="24"/>
          <w:szCs w:val="24"/>
        </w:rPr>
        <w:t xml:space="preserve"> i bitstream usluge </w:t>
      </w:r>
      <w:r>
        <w:rPr>
          <w:rFonts w:ascii="Calibri" w:hAnsi="Calibri" w:cs="Calibri"/>
          <w:sz w:val="24"/>
          <w:szCs w:val="24"/>
        </w:rPr>
        <w:t xml:space="preserve">vidljiv je </w:t>
      </w:r>
      <w:r w:rsidR="001B28D5" w:rsidRPr="004B7A68">
        <w:rPr>
          <w:rFonts w:ascii="Calibri" w:hAnsi="Calibri" w:cs="Calibri"/>
          <w:sz w:val="24"/>
          <w:szCs w:val="24"/>
        </w:rPr>
        <w:t xml:space="preserve">na </w:t>
      </w:r>
      <w:r w:rsidR="001B28D5">
        <w:rPr>
          <w:rFonts w:ascii="Calibri" w:hAnsi="Calibri" w:cs="Calibri"/>
          <w:sz w:val="24"/>
          <w:szCs w:val="24"/>
        </w:rPr>
        <w:t>dijagramu na donjoj slici (</w:t>
      </w:r>
      <w:r w:rsidR="000472AF">
        <w:rPr>
          <w:rFonts w:ascii="Calibri" w:hAnsi="Calibri" w:cs="Calibri"/>
          <w:sz w:val="24"/>
          <w:szCs w:val="24"/>
        </w:rPr>
        <w:fldChar w:fldCharType="begin"/>
      </w:r>
      <w:r w:rsidR="000472AF">
        <w:rPr>
          <w:rFonts w:ascii="Calibri" w:hAnsi="Calibri" w:cs="Calibri"/>
          <w:sz w:val="24"/>
          <w:szCs w:val="24"/>
        </w:rPr>
        <w:instrText xml:space="preserve"> REF _Ref53697972 \h  \* MERGEFORMAT </w:instrText>
      </w:r>
      <w:r w:rsidR="000472AF">
        <w:rPr>
          <w:rFonts w:ascii="Calibri" w:hAnsi="Calibri" w:cs="Calibri"/>
          <w:sz w:val="24"/>
          <w:szCs w:val="24"/>
        </w:rPr>
      </w:r>
      <w:r w:rsidR="000472AF">
        <w:rPr>
          <w:rFonts w:ascii="Calibri" w:hAnsi="Calibri" w:cs="Calibri"/>
          <w:sz w:val="24"/>
          <w:szCs w:val="24"/>
        </w:rPr>
        <w:fldChar w:fldCharType="separate"/>
      </w:r>
      <w:r w:rsidR="00B047B3" w:rsidRPr="00B047B3">
        <w:rPr>
          <w:rFonts w:ascii="Calibri" w:hAnsi="Calibri" w:cs="Calibri"/>
          <w:sz w:val="24"/>
          <w:szCs w:val="24"/>
        </w:rPr>
        <w:t>Slika 7</w:t>
      </w:r>
      <w:r w:rsidR="000472AF">
        <w:rPr>
          <w:rFonts w:ascii="Calibri" w:hAnsi="Calibri" w:cs="Calibri"/>
          <w:sz w:val="24"/>
          <w:szCs w:val="24"/>
        </w:rPr>
        <w:fldChar w:fldCharType="end"/>
      </w:r>
      <w:r w:rsidR="001B28D5">
        <w:rPr>
          <w:rFonts w:ascii="Calibri" w:hAnsi="Calibri" w:cs="Calibri"/>
          <w:sz w:val="24"/>
          <w:szCs w:val="24"/>
        </w:rPr>
        <w:t>)</w:t>
      </w:r>
      <w:r w:rsidR="001B28D5" w:rsidRPr="004B7A68">
        <w:rPr>
          <w:rFonts w:ascii="Calibri" w:hAnsi="Calibri" w:cs="Calibri"/>
          <w:sz w:val="24"/>
          <w:szCs w:val="24"/>
        </w:rPr>
        <w:t xml:space="preserve">. Broj </w:t>
      </w:r>
      <w:r w:rsidR="007E3C26">
        <w:rPr>
          <w:rFonts w:ascii="Calibri" w:hAnsi="Calibri" w:cs="Calibri"/>
          <w:sz w:val="24"/>
          <w:szCs w:val="24"/>
        </w:rPr>
        <w:t>LLU</w:t>
      </w:r>
      <w:r w:rsidR="001B28D5" w:rsidRPr="004B7A68">
        <w:rPr>
          <w:rFonts w:ascii="Calibri" w:hAnsi="Calibri" w:cs="Calibri"/>
          <w:sz w:val="24"/>
          <w:szCs w:val="24"/>
        </w:rPr>
        <w:t xml:space="preserve"> priključaka kontinuirano pada posljednjih godina</w:t>
      </w:r>
      <w:r>
        <w:rPr>
          <w:rFonts w:ascii="Calibri" w:hAnsi="Calibri" w:cs="Calibri"/>
          <w:sz w:val="24"/>
          <w:szCs w:val="24"/>
        </w:rPr>
        <w:t>,</w:t>
      </w:r>
      <w:r w:rsidR="001B28D5" w:rsidRPr="004B7A68">
        <w:rPr>
          <w:rFonts w:ascii="Calibri" w:hAnsi="Calibri" w:cs="Calibri"/>
          <w:sz w:val="24"/>
          <w:szCs w:val="24"/>
        </w:rPr>
        <w:t xml:space="preserve"> ali i broj bistream priključaka između 2018. i 2019. </w:t>
      </w:r>
      <w:r w:rsidR="001B28D5">
        <w:rPr>
          <w:rFonts w:ascii="Calibri" w:hAnsi="Calibri" w:cs="Calibri"/>
          <w:sz w:val="24"/>
          <w:szCs w:val="24"/>
        </w:rPr>
        <w:t xml:space="preserve">Taj trend se dijelom može objasniti i time </w:t>
      </w:r>
      <w:r w:rsidR="001B28D5" w:rsidRPr="004B7A68">
        <w:rPr>
          <w:rFonts w:ascii="Calibri" w:hAnsi="Calibri" w:cs="Calibri"/>
          <w:sz w:val="24"/>
          <w:szCs w:val="24"/>
        </w:rPr>
        <w:t xml:space="preserve">što se sve više operatora okreće izgradnji vlastite infrastrukture. </w:t>
      </w:r>
    </w:p>
    <w:p w:rsidR="001B28D5" w:rsidRDefault="005557CF" w:rsidP="001B28D5">
      <w:pPr>
        <w:keepNext/>
        <w:jc w:val="center"/>
      </w:pPr>
      <w:r>
        <w:rPr>
          <w:noProof/>
          <w:lang w:val="en-US"/>
        </w:rPr>
        <w:drawing>
          <wp:inline distT="0" distB="0" distL="0" distR="0" wp14:anchorId="296F279C" wp14:editId="53682959">
            <wp:extent cx="5410200" cy="2755900"/>
            <wp:effectExtent l="0" t="0" r="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10200" cy="2755900"/>
                    </a:xfrm>
                    <a:prstGeom prst="rect">
                      <a:avLst/>
                    </a:prstGeom>
                    <a:noFill/>
                  </pic:spPr>
                </pic:pic>
              </a:graphicData>
            </a:graphic>
          </wp:inline>
        </w:drawing>
      </w:r>
    </w:p>
    <w:p w:rsidR="001B28D5" w:rsidRDefault="001B28D5" w:rsidP="001B28D5">
      <w:pPr>
        <w:pStyle w:val="Caption"/>
        <w:jc w:val="center"/>
      </w:pPr>
      <w:bookmarkStart w:id="117" w:name="_Ref53697972"/>
      <w:bookmarkStart w:id="118" w:name="_Toc53941925"/>
      <w:bookmarkStart w:id="119" w:name="_Toc54175835"/>
      <w:bookmarkStart w:id="120" w:name="_Toc54261699"/>
      <w:r>
        <w:t xml:space="preserve">Slika </w:t>
      </w:r>
      <w:r w:rsidR="00DD0407">
        <w:rPr>
          <w:noProof/>
        </w:rPr>
        <w:fldChar w:fldCharType="begin"/>
      </w:r>
      <w:r w:rsidR="00DD0407">
        <w:rPr>
          <w:noProof/>
        </w:rPr>
        <w:instrText xml:space="preserve"> SEQ Slika \* ARABIC </w:instrText>
      </w:r>
      <w:r w:rsidR="00DD0407">
        <w:rPr>
          <w:noProof/>
        </w:rPr>
        <w:fldChar w:fldCharType="separate"/>
      </w:r>
      <w:r w:rsidR="00B047B3">
        <w:rPr>
          <w:noProof/>
        </w:rPr>
        <w:t>7</w:t>
      </w:r>
      <w:r w:rsidR="00DD0407">
        <w:rPr>
          <w:noProof/>
        </w:rPr>
        <w:fldChar w:fldCharType="end"/>
      </w:r>
      <w:bookmarkEnd w:id="117"/>
      <w:r>
        <w:t xml:space="preserve"> - </w:t>
      </w:r>
      <w:r w:rsidRPr="001B6153">
        <w:t>Broj veleprodajnih priključaka prema vrsti veleprodajne usluge (Izvor: HAKOM)</w:t>
      </w:r>
      <w:bookmarkEnd w:id="118"/>
      <w:bookmarkEnd w:id="119"/>
      <w:bookmarkEnd w:id="120"/>
    </w:p>
    <w:p w:rsidR="000472AF" w:rsidRPr="000472AF" w:rsidRDefault="000472AF" w:rsidP="009B44A4">
      <w:pPr>
        <w:jc w:val="both"/>
        <w:rPr>
          <w:sz w:val="24"/>
          <w:szCs w:val="24"/>
        </w:rPr>
      </w:pPr>
      <w:r w:rsidRPr="000472AF">
        <w:rPr>
          <w:sz w:val="24"/>
          <w:szCs w:val="24"/>
        </w:rPr>
        <w:t>Uspoređujući samo bitstream usluge putem xDSL i FTTH tehnologije, odnosno bakrene i svjetlovodne pristupne mreže, primjećuje se kako xDSL usluga kroz godine opada dok usporedno s tim bitstream usluga putem FTTH pristupa raste.</w:t>
      </w:r>
    </w:p>
    <w:p w:rsidR="00DD73FA" w:rsidRPr="00DD73FA" w:rsidRDefault="00DD73FA" w:rsidP="00DD73FA">
      <w:pPr>
        <w:jc w:val="center"/>
      </w:pPr>
    </w:p>
    <w:p w:rsidR="000472AF" w:rsidRDefault="005557CF" w:rsidP="000472AF">
      <w:pPr>
        <w:keepNext/>
        <w:jc w:val="center"/>
      </w:pPr>
      <w:r>
        <w:rPr>
          <w:noProof/>
          <w:lang w:val="en-US"/>
        </w:rPr>
        <w:drawing>
          <wp:inline distT="0" distB="0" distL="0" distR="0" wp14:anchorId="3106B729" wp14:editId="43858F72">
            <wp:extent cx="5133975" cy="2755900"/>
            <wp:effectExtent l="0" t="0" r="9525"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33975" cy="2755900"/>
                    </a:xfrm>
                    <a:prstGeom prst="rect">
                      <a:avLst/>
                    </a:prstGeom>
                    <a:noFill/>
                  </pic:spPr>
                </pic:pic>
              </a:graphicData>
            </a:graphic>
          </wp:inline>
        </w:drawing>
      </w:r>
    </w:p>
    <w:p w:rsidR="000472AF" w:rsidRDefault="000472AF" w:rsidP="000472AF">
      <w:pPr>
        <w:pStyle w:val="Caption"/>
        <w:jc w:val="center"/>
      </w:pPr>
      <w:bookmarkStart w:id="121" w:name="_Toc53941926"/>
      <w:bookmarkStart w:id="122" w:name="_Toc54175836"/>
      <w:bookmarkStart w:id="123" w:name="_Toc54261700"/>
      <w:r>
        <w:t xml:space="preserve">Slika </w:t>
      </w:r>
      <w:r w:rsidR="00DD0407">
        <w:rPr>
          <w:noProof/>
        </w:rPr>
        <w:fldChar w:fldCharType="begin"/>
      </w:r>
      <w:r w:rsidR="00DD0407">
        <w:rPr>
          <w:noProof/>
        </w:rPr>
        <w:instrText xml:space="preserve"> SEQ Slika \* ARABIC </w:instrText>
      </w:r>
      <w:r w:rsidR="00DD0407">
        <w:rPr>
          <w:noProof/>
        </w:rPr>
        <w:fldChar w:fldCharType="separate"/>
      </w:r>
      <w:r w:rsidR="00B047B3">
        <w:rPr>
          <w:noProof/>
        </w:rPr>
        <w:t>8</w:t>
      </w:r>
      <w:r w:rsidR="00DD0407">
        <w:rPr>
          <w:noProof/>
        </w:rPr>
        <w:fldChar w:fldCharType="end"/>
      </w:r>
      <w:r>
        <w:t xml:space="preserve"> - </w:t>
      </w:r>
      <w:r w:rsidRPr="00F63D5F">
        <w:t>Bitstream usluge ovisno o pristupnoj mreži (Izvor: HAKOM)</w:t>
      </w:r>
      <w:bookmarkEnd w:id="121"/>
      <w:bookmarkEnd w:id="122"/>
      <w:bookmarkEnd w:id="123"/>
    </w:p>
    <w:p w:rsidR="00A9474E" w:rsidRPr="00A9474E" w:rsidRDefault="00A9474E" w:rsidP="00A9474E">
      <w:pPr>
        <w:jc w:val="center"/>
      </w:pPr>
      <w:bookmarkStart w:id="124" w:name="_Toc51666106"/>
      <w:bookmarkStart w:id="125" w:name="_Toc52203455"/>
      <w:bookmarkStart w:id="126" w:name="_Toc53941962"/>
    </w:p>
    <w:p w:rsidR="00A9474E" w:rsidRPr="00A9474E" w:rsidRDefault="00A9474E" w:rsidP="00E42C4E">
      <w:pPr>
        <w:pStyle w:val="Heading2"/>
        <w:rPr>
          <w:b w:val="0"/>
          <w:bCs w:val="0"/>
        </w:rPr>
      </w:pPr>
      <w:bookmarkStart w:id="127" w:name="_Toc52890369"/>
      <w:bookmarkStart w:id="128" w:name="_Toc52891307"/>
      <w:bookmarkStart w:id="129" w:name="_Toc53662261"/>
      <w:bookmarkStart w:id="130" w:name="_Toc53670762"/>
      <w:bookmarkStart w:id="131" w:name="_Toc53994491"/>
      <w:bookmarkStart w:id="132" w:name="_Toc54250935"/>
      <w:bookmarkStart w:id="133" w:name="_Toc54252833"/>
      <w:bookmarkStart w:id="134" w:name="_Toc54261645"/>
      <w:r w:rsidRPr="00E42C4E">
        <w:t>Tržište naplatne televizije</w:t>
      </w:r>
      <w:bookmarkEnd w:id="127"/>
      <w:bookmarkEnd w:id="128"/>
      <w:bookmarkEnd w:id="129"/>
      <w:bookmarkEnd w:id="130"/>
      <w:bookmarkEnd w:id="131"/>
      <w:bookmarkEnd w:id="132"/>
      <w:bookmarkEnd w:id="133"/>
      <w:bookmarkEnd w:id="134"/>
    </w:p>
    <w:p w:rsidR="00A9474E" w:rsidRPr="00A9474E" w:rsidRDefault="00A9474E" w:rsidP="00A9474E">
      <w:pPr>
        <w:jc w:val="both"/>
        <w:rPr>
          <w:sz w:val="24"/>
          <w:szCs w:val="24"/>
        </w:rPr>
      </w:pPr>
      <w:r w:rsidRPr="00A9474E">
        <w:rPr>
          <w:sz w:val="24"/>
          <w:szCs w:val="24"/>
        </w:rPr>
        <w:t xml:space="preserve">Iako je usluga širokopojasnog pristupa internetu ključna elektronička komunikacijska usluga, neprekidnim </w:t>
      </w:r>
      <w:r w:rsidR="000F0A57" w:rsidRPr="00A9474E">
        <w:rPr>
          <w:sz w:val="24"/>
          <w:szCs w:val="24"/>
        </w:rPr>
        <w:t>povećanjem</w:t>
      </w:r>
      <w:r w:rsidRPr="00A9474E">
        <w:rPr>
          <w:sz w:val="24"/>
          <w:szCs w:val="24"/>
        </w:rPr>
        <w:t xml:space="preserve"> broja korisnika koji se koriste uslugom naplatne televizije, korisnici paketa usluga sve češće biraju operatora koji će im pružati uslugu širokopojasnog pristupa internetu na temelju cijene i kvalitete/ponude usluge naplatne televizije. Najveći broj kućanstava uslugu naplatne televizije prati preko televizije putem internetskog protokola (IPTV). </w:t>
      </w:r>
    </w:p>
    <w:p w:rsidR="00A9474E" w:rsidRPr="00A9474E" w:rsidRDefault="005557CF" w:rsidP="00A9474E">
      <w:pPr>
        <w:jc w:val="both"/>
        <w:rPr>
          <w:sz w:val="24"/>
          <w:szCs w:val="24"/>
        </w:rPr>
      </w:pPr>
      <w:r>
        <w:rPr>
          <w:noProof/>
          <w:sz w:val="24"/>
          <w:szCs w:val="24"/>
          <w:lang w:val="en-US"/>
        </w:rPr>
        <w:drawing>
          <wp:inline distT="0" distB="0" distL="0" distR="0" wp14:anchorId="1BE50DEB" wp14:editId="476ADF0E">
            <wp:extent cx="5543550" cy="2788231"/>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57753" cy="2795374"/>
                    </a:xfrm>
                    <a:prstGeom prst="rect">
                      <a:avLst/>
                    </a:prstGeom>
                    <a:noFill/>
                  </pic:spPr>
                </pic:pic>
              </a:graphicData>
            </a:graphic>
          </wp:inline>
        </w:drawing>
      </w:r>
    </w:p>
    <w:p w:rsidR="00A9474E" w:rsidRPr="00A9474E" w:rsidRDefault="00A9474E" w:rsidP="00C00568">
      <w:pPr>
        <w:pStyle w:val="Caption"/>
        <w:jc w:val="center"/>
      </w:pPr>
      <w:bookmarkStart w:id="135" w:name="_Toc53670726"/>
      <w:bookmarkStart w:id="136" w:name="_Toc53994550"/>
      <w:bookmarkStart w:id="137" w:name="_Toc54175837"/>
      <w:bookmarkStart w:id="138" w:name="_Toc54261701"/>
      <w:r w:rsidRPr="00A9474E">
        <w:t xml:space="preserve">Slika </w:t>
      </w:r>
      <w:r w:rsidRPr="00A9474E">
        <w:rPr>
          <w:noProof/>
        </w:rPr>
        <w:fldChar w:fldCharType="begin"/>
      </w:r>
      <w:r w:rsidRPr="00A9474E">
        <w:rPr>
          <w:noProof/>
        </w:rPr>
        <w:instrText xml:space="preserve"> SEQ Slika \* ARABIC </w:instrText>
      </w:r>
      <w:r w:rsidRPr="00A9474E">
        <w:rPr>
          <w:noProof/>
        </w:rPr>
        <w:fldChar w:fldCharType="separate"/>
      </w:r>
      <w:r w:rsidR="00B047B3">
        <w:rPr>
          <w:noProof/>
        </w:rPr>
        <w:t>9</w:t>
      </w:r>
      <w:r w:rsidRPr="00A9474E">
        <w:rPr>
          <w:noProof/>
        </w:rPr>
        <w:fldChar w:fldCharType="end"/>
      </w:r>
      <w:r w:rsidRPr="00A9474E">
        <w:t xml:space="preserve"> - Broj korisnika usluga naplatne televizije u RH po tehnologijama (Izvor: HAKOM)</w:t>
      </w:r>
      <w:bookmarkEnd w:id="135"/>
      <w:bookmarkEnd w:id="136"/>
      <w:bookmarkEnd w:id="137"/>
      <w:bookmarkEnd w:id="138"/>
    </w:p>
    <w:p w:rsidR="00A9474E" w:rsidRPr="00A9474E" w:rsidRDefault="00A9474E" w:rsidP="00A9474E">
      <w:pPr>
        <w:jc w:val="both"/>
        <w:rPr>
          <w:sz w:val="24"/>
          <w:szCs w:val="24"/>
        </w:rPr>
      </w:pPr>
    </w:p>
    <w:p w:rsidR="00A9474E" w:rsidRPr="00A9474E" w:rsidRDefault="00A9474E" w:rsidP="00A9474E">
      <w:pPr>
        <w:jc w:val="both"/>
        <w:rPr>
          <w:sz w:val="24"/>
          <w:szCs w:val="24"/>
        </w:rPr>
      </w:pPr>
      <w:r w:rsidRPr="00A9474E">
        <w:rPr>
          <w:sz w:val="24"/>
          <w:szCs w:val="24"/>
        </w:rPr>
        <w:t>Kako operatori svoje poslovne planove manje temelje na ulaganjima u kabelske mreže, a puno više u svjetlovodne mreže, u budućem razdoblju očekuje se da IPTV ostane uvjerljivo najzastupljenija tehnologija za pružanje naplatne televizije.</w:t>
      </w:r>
    </w:p>
    <w:p w:rsidR="00A9474E" w:rsidRPr="00A9474E" w:rsidRDefault="00A9474E" w:rsidP="00A9474E">
      <w:pPr>
        <w:jc w:val="both"/>
      </w:pPr>
      <w:r w:rsidRPr="00A9474E">
        <w:rPr>
          <w:sz w:val="24"/>
          <w:szCs w:val="24"/>
        </w:rPr>
        <w:t xml:space="preserve">Stanje na tržištu IPTV usluge posljednjih godina je gotovo nepromjenjivo. HT grupa s oko 92 posto predvodi tržište, a tek 7,8 posto tržišnog udjela imaju ostali operatori. </w:t>
      </w:r>
    </w:p>
    <w:p w:rsidR="00A9474E" w:rsidRPr="00A9474E" w:rsidRDefault="00E01FAA" w:rsidP="00A9474E">
      <w:pPr>
        <w:keepNext/>
        <w:jc w:val="center"/>
      </w:pPr>
      <w:r>
        <w:rPr>
          <w:noProof/>
          <w:lang w:val="en-US"/>
        </w:rPr>
        <w:drawing>
          <wp:inline distT="0" distB="0" distL="0" distR="0" wp14:anchorId="3866536D" wp14:editId="3FD9CD5B">
            <wp:extent cx="5105400" cy="2755900"/>
            <wp:effectExtent l="0" t="0" r="0" b="635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05400" cy="2755900"/>
                    </a:xfrm>
                    <a:prstGeom prst="rect">
                      <a:avLst/>
                    </a:prstGeom>
                    <a:noFill/>
                  </pic:spPr>
                </pic:pic>
              </a:graphicData>
            </a:graphic>
          </wp:inline>
        </w:drawing>
      </w:r>
    </w:p>
    <w:p w:rsidR="00A9474E" w:rsidRPr="00A9474E" w:rsidRDefault="00A9474E" w:rsidP="00C00568">
      <w:pPr>
        <w:pStyle w:val="Caption"/>
        <w:jc w:val="center"/>
      </w:pPr>
      <w:bookmarkStart w:id="139" w:name="_Toc53670727"/>
      <w:bookmarkStart w:id="140" w:name="_Toc53994551"/>
      <w:bookmarkStart w:id="141" w:name="_Toc54175838"/>
      <w:bookmarkStart w:id="142" w:name="_Toc54261702"/>
      <w:r w:rsidRPr="00A9474E">
        <w:t xml:space="preserve">Slika </w:t>
      </w:r>
      <w:r w:rsidRPr="00A9474E">
        <w:rPr>
          <w:noProof/>
        </w:rPr>
        <w:fldChar w:fldCharType="begin"/>
      </w:r>
      <w:r w:rsidRPr="00A9474E">
        <w:rPr>
          <w:noProof/>
        </w:rPr>
        <w:instrText xml:space="preserve"> SEQ Slika \* ARABIC </w:instrText>
      </w:r>
      <w:r w:rsidRPr="00A9474E">
        <w:rPr>
          <w:noProof/>
        </w:rPr>
        <w:fldChar w:fldCharType="separate"/>
      </w:r>
      <w:r w:rsidR="00B047B3">
        <w:rPr>
          <w:noProof/>
        </w:rPr>
        <w:t>10</w:t>
      </w:r>
      <w:r w:rsidRPr="00A9474E">
        <w:rPr>
          <w:noProof/>
        </w:rPr>
        <w:fldChar w:fldCharType="end"/>
      </w:r>
      <w:r w:rsidRPr="00A9474E">
        <w:t xml:space="preserve"> - Tržišni udjeli na tržištu IPTV usluge (Izvor: HAKOM)</w:t>
      </w:r>
      <w:bookmarkEnd w:id="139"/>
      <w:bookmarkEnd w:id="140"/>
      <w:bookmarkEnd w:id="141"/>
      <w:bookmarkEnd w:id="142"/>
    </w:p>
    <w:bookmarkEnd w:id="124"/>
    <w:bookmarkEnd w:id="125"/>
    <w:bookmarkEnd w:id="126"/>
    <w:p w:rsidR="00DD73FA" w:rsidRPr="00DD73FA" w:rsidRDefault="00DD73FA" w:rsidP="00DD73FA"/>
    <w:p w:rsidR="003D3219" w:rsidRPr="003D3219" w:rsidRDefault="003D3219" w:rsidP="00DD0407">
      <w:pPr>
        <w:pStyle w:val="Heading1"/>
      </w:pPr>
      <w:bookmarkStart w:id="143" w:name="_Toc53761273"/>
      <w:bookmarkStart w:id="144" w:name="_Toc51676192"/>
      <w:bookmarkStart w:id="145" w:name="_Toc51676702"/>
      <w:bookmarkStart w:id="146" w:name="_Toc51676825"/>
      <w:bookmarkStart w:id="147" w:name="_Toc51676193"/>
      <w:bookmarkStart w:id="148" w:name="_Toc51676703"/>
      <w:bookmarkStart w:id="149" w:name="_Toc51676826"/>
      <w:bookmarkStart w:id="150" w:name="_Toc51677361"/>
      <w:bookmarkStart w:id="151" w:name="_Toc51677863"/>
      <w:bookmarkStart w:id="152" w:name="_Toc52204937"/>
      <w:bookmarkStart w:id="153" w:name="_Toc52465571"/>
      <w:bookmarkStart w:id="154" w:name="_Toc52545120"/>
      <w:bookmarkStart w:id="155" w:name="_Toc53063831"/>
      <w:bookmarkStart w:id="156" w:name="_Toc51676194"/>
      <w:bookmarkStart w:id="157" w:name="_Toc51676704"/>
      <w:bookmarkStart w:id="158" w:name="_Toc51676827"/>
      <w:bookmarkStart w:id="159" w:name="_Toc51677362"/>
      <w:bookmarkStart w:id="160" w:name="_Toc51677864"/>
      <w:bookmarkStart w:id="161" w:name="_Toc52204938"/>
      <w:bookmarkStart w:id="162" w:name="_Toc52465572"/>
      <w:bookmarkStart w:id="163" w:name="_Toc52545121"/>
      <w:bookmarkStart w:id="164" w:name="_Toc53063832"/>
      <w:bookmarkStart w:id="165" w:name="_Toc51676195"/>
      <w:bookmarkStart w:id="166" w:name="_Toc51676705"/>
      <w:bookmarkStart w:id="167" w:name="_Toc51676828"/>
      <w:bookmarkStart w:id="168" w:name="_Toc51677363"/>
      <w:bookmarkStart w:id="169" w:name="_Toc51677865"/>
      <w:bookmarkStart w:id="170" w:name="_Toc52204939"/>
      <w:bookmarkStart w:id="171" w:name="_Toc52465573"/>
      <w:bookmarkStart w:id="172" w:name="_Toc52545122"/>
      <w:bookmarkStart w:id="173" w:name="_Toc53063833"/>
      <w:bookmarkStart w:id="174" w:name="_Toc51676196"/>
      <w:bookmarkStart w:id="175" w:name="_Toc51676706"/>
      <w:bookmarkStart w:id="176" w:name="_Toc51676829"/>
      <w:bookmarkStart w:id="177" w:name="_Toc51677364"/>
      <w:bookmarkStart w:id="178" w:name="_Toc51677866"/>
      <w:bookmarkStart w:id="179" w:name="_Toc52204940"/>
      <w:bookmarkStart w:id="180" w:name="_Toc52465574"/>
      <w:bookmarkStart w:id="181" w:name="_Toc52545123"/>
      <w:bookmarkStart w:id="182" w:name="_Toc53063834"/>
      <w:bookmarkStart w:id="183" w:name="_Toc51676197"/>
      <w:bookmarkStart w:id="184" w:name="_Toc51676707"/>
      <w:bookmarkStart w:id="185" w:name="_Toc51676830"/>
      <w:bookmarkStart w:id="186" w:name="_Toc51677365"/>
      <w:bookmarkStart w:id="187" w:name="_Toc51677867"/>
      <w:bookmarkStart w:id="188" w:name="_Toc52204941"/>
      <w:bookmarkStart w:id="189" w:name="_Toc52465575"/>
      <w:bookmarkStart w:id="190" w:name="_Toc52545124"/>
      <w:bookmarkStart w:id="191" w:name="_Toc53063835"/>
      <w:bookmarkStart w:id="192" w:name="_Toc51676202"/>
      <w:bookmarkStart w:id="193" w:name="_Toc51676712"/>
      <w:bookmarkStart w:id="194" w:name="_Toc51676835"/>
      <w:bookmarkStart w:id="195" w:name="_Toc51677370"/>
      <w:bookmarkStart w:id="196" w:name="_Toc51677872"/>
      <w:bookmarkStart w:id="197" w:name="_Toc52204946"/>
      <w:bookmarkStart w:id="198" w:name="_Toc52465580"/>
      <w:bookmarkStart w:id="199" w:name="_Toc52545129"/>
      <w:bookmarkStart w:id="200" w:name="_Toc53063840"/>
      <w:bookmarkStart w:id="201" w:name="_Toc51676208"/>
      <w:bookmarkStart w:id="202" w:name="_Toc51676718"/>
      <w:bookmarkStart w:id="203" w:name="_Toc51676841"/>
      <w:bookmarkStart w:id="204" w:name="_Toc51677376"/>
      <w:bookmarkStart w:id="205" w:name="_Toc51677878"/>
      <w:bookmarkStart w:id="206" w:name="_Toc52204952"/>
      <w:bookmarkStart w:id="207" w:name="_Toc52465586"/>
      <w:bookmarkStart w:id="208" w:name="_Toc52545135"/>
      <w:bookmarkStart w:id="209" w:name="_Toc53063846"/>
      <w:bookmarkStart w:id="210" w:name="_Toc51676213"/>
      <w:bookmarkStart w:id="211" w:name="_Toc51676723"/>
      <w:bookmarkStart w:id="212" w:name="_Toc51676846"/>
      <w:bookmarkStart w:id="213" w:name="_Toc51677381"/>
      <w:bookmarkStart w:id="214" w:name="_Toc51677883"/>
      <w:bookmarkStart w:id="215" w:name="_Toc52204957"/>
      <w:bookmarkStart w:id="216" w:name="_Toc52465591"/>
      <w:bookmarkStart w:id="217" w:name="_Toc52545140"/>
      <w:bookmarkStart w:id="218" w:name="_Toc53063851"/>
      <w:bookmarkStart w:id="219" w:name="_Toc51676218"/>
      <w:bookmarkStart w:id="220" w:name="_Toc51676728"/>
      <w:bookmarkStart w:id="221" w:name="_Toc51676851"/>
      <w:bookmarkStart w:id="222" w:name="_Toc51677386"/>
      <w:bookmarkStart w:id="223" w:name="_Toc51677888"/>
      <w:bookmarkStart w:id="224" w:name="_Toc52204962"/>
      <w:bookmarkStart w:id="225" w:name="_Toc52465596"/>
      <w:bookmarkStart w:id="226" w:name="_Toc52545145"/>
      <w:bookmarkStart w:id="227" w:name="_Toc53063856"/>
      <w:bookmarkStart w:id="228" w:name="_Toc51676223"/>
      <w:bookmarkStart w:id="229" w:name="_Toc51676733"/>
      <w:bookmarkStart w:id="230" w:name="_Toc51676856"/>
      <w:bookmarkStart w:id="231" w:name="_Toc51677391"/>
      <w:bookmarkStart w:id="232" w:name="_Toc51677893"/>
      <w:bookmarkStart w:id="233" w:name="_Toc52204967"/>
      <w:bookmarkStart w:id="234" w:name="_Toc52465601"/>
      <w:bookmarkStart w:id="235" w:name="_Toc52545150"/>
      <w:bookmarkStart w:id="236" w:name="_Toc53063861"/>
      <w:bookmarkStart w:id="237" w:name="_Toc51676228"/>
      <w:bookmarkStart w:id="238" w:name="_Toc51676738"/>
      <w:bookmarkStart w:id="239" w:name="_Toc51676861"/>
      <w:bookmarkStart w:id="240" w:name="_Toc51677396"/>
      <w:bookmarkStart w:id="241" w:name="_Toc51677898"/>
      <w:bookmarkStart w:id="242" w:name="_Toc52204972"/>
      <w:bookmarkStart w:id="243" w:name="_Toc52465606"/>
      <w:bookmarkStart w:id="244" w:name="_Toc52545155"/>
      <w:bookmarkStart w:id="245" w:name="_Toc53063866"/>
      <w:bookmarkStart w:id="246" w:name="_Toc51676233"/>
      <w:bookmarkStart w:id="247" w:name="_Toc51676743"/>
      <w:bookmarkStart w:id="248" w:name="_Toc51676866"/>
      <w:bookmarkStart w:id="249" w:name="_Toc51677401"/>
      <w:bookmarkStart w:id="250" w:name="_Toc51677903"/>
      <w:bookmarkStart w:id="251" w:name="_Toc52204977"/>
      <w:bookmarkStart w:id="252" w:name="_Toc52465611"/>
      <w:bookmarkStart w:id="253" w:name="_Toc52545160"/>
      <w:bookmarkStart w:id="254" w:name="_Toc53063871"/>
      <w:bookmarkStart w:id="255" w:name="_Toc51676238"/>
      <w:bookmarkStart w:id="256" w:name="_Toc51676748"/>
      <w:bookmarkStart w:id="257" w:name="_Toc51676871"/>
      <w:bookmarkStart w:id="258" w:name="_Toc51677406"/>
      <w:bookmarkStart w:id="259" w:name="_Toc51677908"/>
      <w:bookmarkStart w:id="260" w:name="_Toc52204982"/>
      <w:bookmarkStart w:id="261" w:name="_Toc52465616"/>
      <w:bookmarkStart w:id="262" w:name="_Toc52545165"/>
      <w:bookmarkStart w:id="263" w:name="_Toc53063876"/>
      <w:bookmarkStart w:id="264" w:name="_Toc51676243"/>
      <w:bookmarkStart w:id="265" w:name="_Toc51676753"/>
      <w:bookmarkStart w:id="266" w:name="_Toc51676876"/>
      <w:bookmarkStart w:id="267" w:name="_Toc51677411"/>
      <w:bookmarkStart w:id="268" w:name="_Toc51677913"/>
      <w:bookmarkStart w:id="269" w:name="_Toc52204987"/>
      <w:bookmarkStart w:id="270" w:name="_Toc52465621"/>
      <w:bookmarkStart w:id="271" w:name="_Toc52545170"/>
      <w:bookmarkStart w:id="272" w:name="_Toc53063881"/>
      <w:bookmarkStart w:id="273" w:name="_Toc51676248"/>
      <w:bookmarkStart w:id="274" w:name="_Toc51676758"/>
      <w:bookmarkStart w:id="275" w:name="_Toc51676881"/>
      <w:bookmarkStart w:id="276" w:name="_Toc51677416"/>
      <w:bookmarkStart w:id="277" w:name="_Toc51677918"/>
      <w:bookmarkStart w:id="278" w:name="_Toc52204992"/>
      <w:bookmarkStart w:id="279" w:name="_Toc52465626"/>
      <w:bookmarkStart w:id="280" w:name="_Toc52545175"/>
      <w:bookmarkStart w:id="281" w:name="_Toc53063886"/>
      <w:bookmarkStart w:id="282" w:name="_Toc51676253"/>
      <w:bookmarkStart w:id="283" w:name="_Toc51676763"/>
      <w:bookmarkStart w:id="284" w:name="_Toc51676886"/>
      <w:bookmarkStart w:id="285" w:name="_Toc51677421"/>
      <w:bookmarkStart w:id="286" w:name="_Toc51677923"/>
      <w:bookmarkStart w:id="287" w:name="_Toc52204997"/>
      <w:bookmarkStart w:id="288" w:name="_Toc52465631"/>
      <w:bookmarkStart w:id="289" w:name="_Toc52545180"/>
      <w:bookmarkStart w:id="290" w:name="_Toc53063891"/>
      <w:bookmarkStart w:id="291" w:name="_Toc51676258"/>
      <w:bookmarkStart w:id="292" w:name="_Toc51676768"/>
      <w:bookmarkStart w:id="293" w:name="_Toc51676891"/>
      <w:bookmarkStart w:id="294" w:name="_Toc51677426"/>
      <w:bookmarkStart w:id="295" w:name="_Toc51677928"/>
      <w:bookmarkStart w:id="296" w:name="_Toc52205002"/>
      <w:bookmarkStart w:id="297" w:name="_Toc52465636"/>
      <w:bookmarkStart w:id="298" w:name="_Toc52545185"/>
      <w:bookmarkStart w:id="299" w:name="_Toc53063896"/>
      <w:bookmarkStart w:id="300" w:name="_Toc51252355"/>
      <w:bookmarkStart w:id="301" w:name="_Toc51676899"/>
      <w:bookmarkStart w:id="302" w:name="_Ref52265939"/>
      <w:bookmarkStart w:id="303" w:name="_Toc53941963"/>
      <w:bookmarkStart w:id="304" w:name="_Toc54250936"/>
      <w:bookmarkStart w:id="305" w:name="_Toc54252834"/>
      <w:bookmarkStart w:id="306" w:name="_Toc54261646"/>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Pr="003D3219">
        <w:t>Troškovni model</w:t>
      </w:r>
      <w:bookmarkEnd w:id="300"/>
      <w:bookmarkEnd w:id="301"/>
      <w:bookmarkEnd w:id="302"/>
      <w:bookmarkEnd w:id="303"/>
      <w:bookmarkEnd w:id="304"/>
      <w:bookmarkEnd w:id="305"/>
      <w:bookmarkEnd w:id="306"/>
    </w:p>
    <w:p w:rsidR="00740C20" w:rsidRDefault="003D3219" w:rsidP="003D3219">
      <w:pPr>
        <w:jc w:val="both"/>
        <w:rPr>
          <w:sz w:val="24"/>
          <w:szCs w:val="24"/>
        </w:rPr>
      </w:pPr>
      <w:r w:rsidRPr="003D3219">
        <w:rPr>
          <w:sz w:val="24"/>
          <w:szCs w:val="24"/>
        </w:rPr>
        <w:t>Kako bi ostvarila regulatorna načela i ciljeve, nacionalna regulatorna tijela koriste „odozdo prema gore‟ troškovne modele za određivanje veleprodajnih</w:t>
      </w:r>
      <w:r w:rsidR="00763949" w:rsidRPr="00763949">
        <w:rPr>
          <w:sz w:val="24"/>
          <w:szCs w:val="24"/>
        </w:rPr>
        <w:t xml:space="preserve"> </w:t>
      </w:r>
      <w:r w:rsidR="00763949" w:rsidRPr="003D3219">
        <w:rPr>
          <w:sz w:val="24"/>
          <w:szCs w:val="24"/>
        </w:rPr>
        <w:t>cijena</w:t>
      </w:r>
      <w:r w:rsidRPr="003D3219">
        <w:rPr>
          <w:sz w:val="24"/>
          <w:szCs w:val="24"/>
        </w:rPr>
        <w:t>. Trenutno važeće cijene reguliranih veleprodajnih proizvoda HAKOM je odredio na temelju troškovnih modela kojeg je 2013. izradila savjetnička kuća TERA Consultants (dalje: TERA). Navedeni model izrađen je u skladu s dokumentom „Metodologija izrade i pr</w:t>
      </w:r>
      <w:r w:rsidR="006366E8">
        <w:rPr>
          <w:sz w:val="24"/>
          <w:szCs w:val="24"/>
        </w:rPr>
        <w:t>i</w:t>
      </w:r>
      <w:r w:rsidRPr="003D3219">
        <w:rPr>
          <w:sz w:val="24"/>
          <w:szCs w:val="24"/>
        </w:rPr>
        <w:t>mjene troškovnih modela za nepokretnu i pokretnu mrežu i univerzalnu uslugu“</w:t>
      </w:r>
      <w:r w:rsidRPr="003D3219">
        <w:rPr>
          <w:sz w:val="24"/>
          <w:szCs w:val="24"/>
          <w:vertAlign w:val="superscript"/>
          <w:lang w:val="en-US"/>
        </w:rPr>
        <w:footnoteReference w:id="9"/>
      </w:r>
      <w:r w:rsidRPr="003D3219">
        <w:rPr>
          <w:sz w:val="24"/>
          <w:szCs w:val="24"/>
        </w:rPr>
        <w:t>. S obzirom na značajne promjene u nepokretnoj mreži HT-a (potpuni prelazak na tzv. „all-IP mrežu“ i ukidanje TDM tehnologije,  gradnja svjetlovodne pristupne mreže itd.), postojeći troškovni model za nepokretnu mrežu nije više omogućavao izračun stvarnih troškova u nepokretnoj mreži HT-a i određivanje troškovno usmjerenih cijena veleprodajnih usluga pristupa nepokretnoj mreži.</w:t>
      </w:r>
      <w:r w:rsidR="00740C20">
        <w:rPr>
          <w:sz w:val="24"/>
          <w:szCs w:val="24"/>
        </w:rPr>
        <w:t xml:space="preserve"> </w:t>
      </w:r>
    </w:p>
    <w:p w:rsidR="003D3219" w:rsidRPr="003D3219" w:rsidRDefault="00740C20" w:rsidP="003D3219">
      <w:pPr>
        <w:jc w:val="both"/>
        <w:rPr>
          <w:sz w:val="24"/>
          <w:szCs w:val="24"/>
        </w:rPr>
      </w:pPr>
      <w:r>
        <w:rPr>
          <w:sz w:val="24"/>
          <w:szCs w:val="24"/>
        </w:rPr>
        <w:t>Stoga je HAKOM izradio Troškovni model, čije su osnovne značajke opisane u ovom poglavlju.</w:t>
      </w:r>
    </w:p>
    <w:p w:rsidR="003D3219" w:rsidRDefault="003D3219" w:rsidP="00631C1D">
      <w:pPr>
        <w:pStyle w:val="Heading2"/>
      </w:pPr>
      <w:bookmarkStart w:id="307" w:name="_Toc53761275"/>
      <w:bookmarkStart w:id="308" w:name="_Toc53761281"/>
      <w:bookmarkStart w:id="309" w:name="_Ref51666008"/>
      <w:bookmarkStart w:id="310" w:name="_Toc51676900"/>
      <w:bookmarkStart w:id="311" w:name="_Toc53941964"/>
      <w:bookmarkStart w:id="312" w:name="_Toc54250937"/>
      <w:bookmarkStart w:id="313" w:name="_Toc54252835"/>
      <w:bookmarkStart w:id="314" w:name="_Toc54261647"/>
      <w:bookmarkEnd w:id="307"/>
      <w:bookmarkEnd w:id="308"/>
      <w:r w:rsidRPr="003D3219">
        <w:t xml:space="preserve">Metodološka načela </w:t>
      </w:r>
      <w:r w:rsidR="000F0A57" w:rsidRPr="003D3219">
        <w:t>primijenjena</w:t>
      </w:r>
      <w:r w:rsidRPr="003D3219">
        <w:t xml:space="preserve"> u izradi troškovnog modela</w:t>
      </w:r>
      <w:bookmarkEnd w:id="309"/>
      <w:bookmarkEnd w:id="310"/>
      <w:bookmarkEnd w:id="311"/>
      <w:bookmarkEnd w:id="312"/>
      <w:bookmarkEnd w:id="313"/>
      <w:bookmarkEnd w:id="314"/>
    </w:p>
    <w:p w:rsidR="003D3219" w:rsidRPr="003D3219" w:rsidRDefault="003D3219" w:rsidP="003D3219">
      <w:pPr>
        <w:jc w:val="both"/>
        <w:rPr>
          <w:sz w:val="24"/>
          <w:szCs w:val="24"/>
        </w:rPr>
      </w:pPr>
      <w:r w:rsidRPr="003D3219">
        <w:rPr>
          <w:sz w:val="24"/>
          <w:szCs w:val="24"/>
        </w:rPr>
        <w:t xml:space="preserve">Izradi Troškovnog modela, prethodilo je definiranje metodoloških načela za izradu Troškovnog modela. Pri izradi navedenih metodoloških načela </w:t>
      </w:r>
      <w:r w:rsidR="00A410B6">
        <w:rPr>
          <w:sz w:val="24"/>
          <w:szCs w:val="24"/>
        </w:rPr>
        <w:t>HAKOM</w:t>
      </w:r>
      <w:r w:rsidRPr="003D3219">
        <w:rPr>
          <w:sz w:val="24"/>
          <w:szCs w:val="24"/>
        </w:rPr>
        <w:t xml:space="preserve"> </w:t>
      </w:r>
      <w:r w:rsidR="00A410B6">
        <w:rPr>
          <w:sz w:val="24"/>
          <w:szCs w:val="24"/>
        </w:rPr>
        <w:t>je</w:t>
      </w:r>
      <w:r w:rsidRPr="003D3219">
        <w:rPr>
          <w:sz w:val="24"/>
          <w:szCs w:val="24"/>
        </w:rPr>
        <w:t xml:space="preserve"> vodi</w:t>
      </w:r>
      <w:r w:rsidR="00A410B6">
        <w:rPr>
          <w:sz w:val="24"/>
          <w:szCs w:val="24"/>
        </w:rPr>
        <w:t>o</w:t>
      </w:r>
      <w:r w:rsidRPr="003D3219">
        <w:rPr>
          <w:sz w:val="24"/>
          <w:szCs w:val="24"/>
        </w:rPr>
        <w:t xml:space="preserve"> računa o mjerodavnim preporukama Europske komisije.</w:t>
      </w:r>
    </w:p>
    <w:p w:rsidR="003D3219" w:rsidRPr="003D3219" w:rsidRDefault="003D3219" w:rsidP="003D3219">
      <w:pPr>
        <w:jc w:val="both"/>
        <w:rPr>
          <w:bCs/>
          <w:sz w:val="24"/>
          <w:szCs w:val="24"/>
        </w:rPr>
      </w:pPr>
      <w:r w:rsidRPr="003D3219">
        <w:rPr>
          <w:bCs/>
          <w:sz w:val="24"/>
          <w:szCs w:val="24"/>
        </w:rPr>
        <w:t xml:space="preserve">Metodološka načela </w:t>
      </w:r>
      <w:r w:rsidR="000F0A57" w:rsidRPr="003D3219">
        <w:rPr>
          <w:bCs/>
          <w:sz w:val="24"/>
          <w:szCs w:val="24"/>
        </w:rPr>
        <w:t>primijenjena</w:t>
      </w:r>
      <w:r w:rsidRPr="003D3219">
        <w:rPr>
          <w:bCs/>
          <w:sz w:val="24"/>
          <w:szCs w:val="24"/>
        </w:rPr>
        <w:t xml:space="preserve"> u izradi troškovnog modela detaljno su opisana u dokumentu </w:t>
      </w:r>
      <w:r w:rsidRPr="003D3219">
        <w:rPr>
          <w:bCs/>
          <w:i/>
          <w:sz w:val="24"/>
          <w:szCs w:val="24"/>
        </w:rPr>
        <w:t>Izvještaj o metodološkim načelima</w:t>
      </w:r>
      <w:r w:rsidRPr="003D3219">
        <w:rPr>
          <w:bCs/>
          <w:i/>
          <w:sz w:val="24"/>
          <w:szCs w:val="24"/>
          <w:vertAlign w:val="superscript"/>
        </w:rPr>
        <w:footnoteReference w:id="10"/>
      </w:r>
      <w:r w:rsidRPr="003D3219">
        <w:rPr>
          <w:bCs/>
          <w:sz w:val="24"/>
          <w:szCs w:val="24"/>
        </w:rPr>
        <w:t xml:space="preserve">, koji se nalazi u </w:t>
      </w:r>
      <w:r w:rsidR="00A05159">
        <w:rPr>
          <w:bCs/>
          <w:sz w:val="24"/>
          <w:szCs w:val="24"/>
        </w:rPr>
        <w:t xml:space="preserve">Privitku </w:t>
      </w:r>
      <w:r w:rsidR="00A05159">
        <w:rPr>
          <w:bCs/>
          <w:sz w:val="24"/>
          <w:szCs w:val="24"/>
        </w:rPr>
        <w:fldChar w:fldCharType="begin"/>
      </w:r>
      <w:r w:rsidR="00A05159">
        <w:rPr>
          <w:bCs/>
          <w:sz w:val="24"/>
          <w:szCs w:val="24"/>
        </w:rPr>
        <w:instrText xml:space="preserve"> REF _Ref53664916 \r \h </w:instrText>
      </w:r>
      <w:r w:rsidR="00A05159">
        <w:rPr>
          <w:bCs/>
          <w:sz w:val="24"/>
          <w:szCs w:val="24"/>
        </w:rPr>
      </w:r>
      <w:r w:rsidR="00A05159">
        <w:rPr>
          <w:bCs/>
          <w:sz w:val="24"/>
          <w:szCs w:val="24"/>
        </w:rPr>
        <w:fldChar w:fldCharType="separate"/>
      </w:r>
      <w:r w:rsidR="00B047B3">
        <w:rPr>
          <w:bCs/>
          <w:sz w:val="24"/>
          <w:szCs w:val="24"/>
        </w:rPr>
        <w:t>8.1</w:t>
      </w:r>
      <w:r w:rsidR="00A05159">
        <w:rPr>
          <w:bCs/>
          <w:sz w:val="24"/>
          <w:szCs w:val="24"/>
        </w:rPr>
        <w:fldChar w:fldCharType="end"/>
      </w:r>
      <w:r w:rsidR="00A05159">
        <w:rPr>
          <w:bCs/>
          <w:sz w:val="24"/>
          <w:szCs w:val="24"/>
        </w:rPr>
        <w:t xml:space="preserve">. </w:t>
      </w:r>
      <w:r w:rsidRPr="003D3219">
        <w:rPr>
          <w:bCs/>
          <w:sz w:val="24"/>
          <w:szCs w:val="24"/>
        </w:rPr>
        <w:t xml:space="preserve">Na temelju tih metodoloških načela izrađen je Troškovni model, a prethodno </w:t>
      </w:r>
      <w:r w:rsidR="002D644D">
        <w:rPr>
          <w:bCs/>
          <w:sz w:val="24"/>
          <w:szCs w:val="24"/>
        </w:rPr>
        <w:t xml:space="preserve">je o </w:t>
      </w:r>
      <w:r w:rsidR="000F0A57" w:rsidRPr="003D3219">
        <w:rPr>
          <w:bCs/>
          <w:sz w:val="24"/>
          <w:szCs w:val="24"/>
        </w:rPr>
        <w:t>primijenjenim</w:t>
      </w:r>
      <w:r w:rsidRPr="003D3219">
        <w:rPr>
          <w:bCs/>
          <w:sz w:val="24"/>
          <w:szCs w:val="24"/>
        </w:rPr>
        <w:t xml:space="preserve"> načelima provedeno  savjetovanje s operatorima koji nisu imali značajnih primjedbi na predložena metodološka načela. </w:t>
      </w:r>
    </w:p>
    <w:p w:rsidR="003D3219" w:rsidRPr="003D3219" w:rsidRDefault="003D3219" w:rsidP="003D3219">
      <w:pPr>
        <w:jc w:val="both"/>
        <w:rPr>
          <w:bCs/>
          <w:sz w:val="24"/>
          <w:szCs w:val="24"/>
        </w:rPr>
      </w:pPr>
      <w:r w:rsidRPr="003D3219">
        <w:rPr>
          <w:bCs/>
          <w:sz w:val="24"/>
          <w:szCs w:val="24"/>
        </w:rPr>
        <w:t xml:space="preserve">U nastavku je sažetak </w:t>
      </w:r>
      <w:r w:rsidR="000F0A57" w:rsidRPr="003D3219">
        <w:rPr>
          <w:bCs/>
          <w:sz w:val="24"/>
          <w:szCs w:val="24"/>
        </w:rPr>
        <w:t>primijenjenih</w:t>
      </w:r>
      <w:r w:rsidRPr="003D3219">
        <w:rPr>
          <w:bCs/>
          <w:sz w:val="24"/>
          <w:szCs w:val="24"/>
        </w:rPr>
        <w:t xml:space="preserve"> metodoloških načela.</w:t>
      </w:r>
    </w:p>
    <w:tbl>
      <w:tblPr>
        <w:tblW w:w="5000" w:type="pct"/>
        <w:jc w:val="center"/>
        <w:tblLayout w:type="fixed"/>
        <w:tblLook w:val="04A0" w:firstRow="1" w:lastRow="0" w:firstColumn="1" w:lastColumn="0" w:noHBand="0" w:noVBand="1"/>
      </w:tblPr>
      <w:tblGrid>
        <w:gridCol w:w="2343"/>
        <w:gridCol w:w="6719"/>
      </w:tblGrid>
      <w:tr w:rsidR="003D3219" w:rsidRPr="003D3219" w:rsidTr="003D3219">
        <w:trPr>
          <w:cantSplit/>
          <w:trHeight w:val="454"/>
          <w:tblHeader/>
          <w:jc w:val="center"/>
        </w:trPr>
        <w:tc>
          <w:tcPr>
            <w:tcW w:w="1291" w:type="pct"/>
            <w:tcBorders>
              <w:top w:val="single" w:sz="4" w:space="0" w:color="4F629B"/>
              <w:left w:val="single" w:sz="4" w:space="0" w:color="4F629B"/>
              <w:bottom w:val="single" w:sz="4" w:space="0" w:color="4F629B"/>
              <w:right w:val="single" w:sz="4" w:space="0" w:color="4F629B"/>
            </w:tcBorders>
            <w:shd w:val="clear" w:color="auto" w:fill="4F629B"/>
            <w:vAlign w:val="center"/>
            <w:hideMark/>
          </w:tcPr>
          <w:p w:rsidR="003D3219" w:rsidRPr="003D3219" w:rsidRDefault="003D3219" w:rsidP="003D3219">
            <w:pPr>
              <w:widowControl w:val="0"/>
              <w:spacing w:after="0" w:line="240" w:lineRule="auto"/>
              <w:jc w:val="center"/>
              <w:rPr>
                <w:b/>
                <w:color w:val="FFFFFF"/>
                <w:lang w:eastAsia="en-GB"/>
              </w:rPr>
            </w:pPr>
            <w:r w:rsidRPr="003D3219">
              <w:rPr>
                <w:b/>
                <w:bCs/>
                <w:color w:val="FFFFFF"/>
                <w:lang w:eastAsia="en-GB"/>
              </w:rPr>
              <w:t>Načelo</w:t>
            </w:r>
          </w:p>
        </w:tc>
        <w:tc>
          <w:tcPr>
            <w:tcW w:w="3709" w:type="pct"/>
            <w:tcBorders>
              <w:top w:val="single" w:sz="4" w:space="0" w:color="4F629B"/>
              <w:left w:val="single" w:sz="4" w:space="0" w:color="4F629B"/>
              <w:bottom w:val="single" w:sz="4" w:space="0" w:color="4F629B"/>
              <w:right w:val="single" w:sz="4" w:space="0" w:color="FFFFFF" w:themeColor="background1"/>
            </w:tcBorders>
            <w:shd w:val="clear" w:color="auto" w:fill="4F629B"/>
            <w:vAlign w:val="center"/>
          </w:tcPr>
          <w:p w:rsidR="003D3219" w:rsidRPr="003D3219" w:rsidRDefault="003D3219" w:rsidP="003D3219">
            <w:pPr>
              <w:widowControl w:val="0"/>
              <w:spacing w:after="0" w:line="240" w:lineRule="auto"/>
              <w:jc w:val="center"/>
              <w:rPr>
                <w:b/>
                <w:color w:val="FFFFFF"/>
                <w:lang w:eastAsia="en-GB"/>
              </w:rPr>
            </w:pPr>
            <w:r w:rsidRPr="003D3219">
              <w:rPr>
                <w:b/>
                <w:bCs/>
                <w:color w:val="FFFFFF"/>
                <w:lang w:eastAsia="en-GB"/>
              </w:rPr>
              <w:t>Opis</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Troškovni standard</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Troškovni standard primijenjen u modelu je LRIC+ (Dugoročni inkrementalni troškovi plus zajednički troškovi), što slijedi Preporuku Europske komisije 2013/466 /EU.</w:t>
            </w:r>
            <w:r w:rsidRPr="003D3219">
              <w:rPr>
                <w:bCs/>
                <w:sz w:val="24"/>
                <w:szCs w:val="24"/>
                <w:vertAlign w:val="superscript"/>
              </w:rPr>
              <w:footnoteReference w:id="11"/>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Cs/>
                <w:sz w:val="24"/>
                <w:szCs w:val="24"/>
              </w:rPr>
            </w:pPr>
            <w:r w:rsidRPr="003D3219">
              <w:rPr>
                <w:b/>
                <w:bCs/>
                <w:sz w:val="24"/>
                <w:szCs w:val="24"/>
              </w:rPr>
              <w:t>Vrednovanje imovine</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Metoda procjene imovine u modelima je tekuće troškovno računovodstvo (CCA).</w:t>
            </w:r>
          </w:p>
          <w:p w:rsidR="003D3219" w:rsidRPr="003D3219" w:rsidRDefault="003D3219" w:rsidP="003D3219">
            <w:pPr>
              <w:jc w:val="both"/>
              <w:rPr>
                <w:bCs/>
                <w:sz w:val="24"/>
                <w:szCs w:val="24"/>
              </w:rPr>
            </w:pPr>
            <w:r w:rsidRPr="003D3219">
              <w:rPr>
                <w:bCs/>
                <w:sz w:val="24"/>
                <w:szCs w:val="24"/>
              </w:rPr>
              <w:t xml:space="preserve">Vrijednost naslijeđene građevinske infrastrukture koja se može ponovo upotrijebiti prilagođena je tako da odražava udio potpuno amortizirane imovine u skladu s Preporukom EK 2013/466 /EU. Bakreni kabel je imovinska stavka čija je vrijednost također prilagođena tako da odražava udio potpuno amortizirane imovine. </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Vrste troškova koje treba uzeti u obzir</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Vrste troškova koje treba uzeti u obzir u  modelu „odozdo prema gore‟ su mrežni CapEx (amortizacija i trošak kapitala</w:t>
            </w:r>
            <w:r w:rsidR="00325A7B">
              <w:rPr>
                <w:rStyle w:val="FootnoteReference"/>
                <w:bCs/>
                <w:sz w:val="24"/>
                <w:szCs w:val="24"/>
              </w:rPr>
              <w:footnoteReference w:id="12"/>
            </w:r>
            <w:r w:rsidRPr="003D3219">
              <w:rPr>
                <w:bCs/>
                <w:sz w:val="24"/>
                <w:szCs w:val="24"/>
              </w:rPr>
              <w:t>), mrežni OpEx, opći i administrativni troškovi i veleprodajni specifični troškovi. Dodatno, u model je također uključen radni kapital.</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Metoda amortizacije</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 xml:space="preserve">Metode amortizacije </w:t>
            </w:r>
            <w:r w:rsidR="000F0A57" w:rsidRPr="003D3219">
              <w:rPr>
                <w:bCs/>
                <w:sz w:val="24"/>
                <w:szCs w:val="24"/>
              </w:rPr>
              <w:t>primijenjene</w:t>
            </w:r>
            <w:r w:rsidRPr="003D3219">
              <w:rPr>
                <w:bCs/>
                <w:sz w:val="24"/>
                <w:szCs w:val="24"/>
              </w:rPr>
              <w:t xml:space="preserve"> u modelu su metoda kosih anuiteta i ekonomska amortizacija.</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0C271C" w:rsidP="003D3219">
            <w:pPr>
              <w:jc w:val="both"/>
              <w:rPr>
                <w:b/>
                <w:bCs/>
                <w:sz w:val="24"/>
                <w:szCs w:val="24"/>
              </w:rPr>
            </w:pPr>
            <w:r w:rsidRPr="000C271C">
              <w:rPr>
                <w:b/>
                <w:bCs/>
                <w:sz w:val="24"/>
                <w:szCs w:val="24"/>
              </w:rPr>
              <w:t>Tretman operativnih mrežnih troškova (OpEx)</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U slučaju dostupnosti odgovarajućih podataka OpEx je procijenjen temeljem izračuna odozdo prema gore. Kao alternativni pristup, u slučaju podataka koji nisu bili potkrijepljeni na odgovarajući način, koristio se postotak od CapEx-a.</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Raspodjela zajedničkih troškova</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Za raspodjelu zajedničkih troškova vezanih uz mrežu koristi se pristup učinkovitog kapaciteta dok se za raspodjelu osnovnih i administrativnih troškova (G&amp;A) kao i specifičnih veleprodajnih troškova koristiti metoda jednako proporcionalno</w:t>
            </w:r>
            <w:r w:rsidR="002D644D">
              <w:rPr>
                <w:bCs/>
                <w:sz w:val="24"/>
                <w:szCs w:val="24"/>
              </w:rPr>
              <w:t>g</w:t>
            </w:r>
            <w:r w:rsidRPr="003D3219">
              <w:rPr>
                <w:bCs/>
                <w:sz w:val="24"/>
                <w:szCs w:val="24"/>
              </w:rPr>
              <w:t xml:space="preserve"> dodatka (EPMU pristup). </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Topologija mreže</w:t>
            </w:r>
          </w:p>
        </w:tc>
        <w:tc>
          <w:tcPr>
            <w:tcW w:w="3707" w:type="pct"/>
            <w:tcBorders>
              <w:left w:val="single" w:sz="4" w:space="0" w:color="4F629B"/>
            </w:tcBorders>
            <w:vAlign w:val="center"/>
          </w:tcPr>
          <w:p w:rsidR="003D3219" w:rsidRPr="003D3219" w:rsidRDefault="003D3219" w:rsidP="00790687">
            <w:pPr>
              <w:jc w:val="both"/>
              <w:rPr>
                <w:bCs/>
                <w:sz w:val="24"/>
                <w:szCs w:val="24"/>
              </w:rPr>
            </w:pPr>
            <w:r w:rsidRPr="003D3219">
              <w:rPr>
                <w:bCs/>
                <w:sz w:val="24"/>
                <w:szCs w:val="24"/>
              </w:rPr>
              <w:t>„Scorched Node‟ pristup koristit se za projektiranje topologije mreže. Međutim, u slučaju određenih neučinkovitosti ili nedostatnih informacij</w:t>
            </w:r>
            <w:r w:rsidR="00790687">
              <w:rPr>
                <w:bCs/>
                <w:sz w:val="24"/>
                <w:szCs w:val="24"/>
              </w:rPr>
              <w:t>a</w:t>
            </w:r>
            <w:r w:rsidRPr="003D3219">
              <w:rPr>
                <w:bCs/>
                <w:sz w:val="24"/>
                <w:szCs w:val="24"/>
              </w:rPr>
              <w:t xml:space="preserve"> od strane operatora implementirane su određene prilagodbe. Dodatno, u područjima u kojima nije izgrađena svjetlovodna pristupna mreža, mreža se projektirala na temelju informacija prikupljenih od operatora tijekom postupka prikupljanja podatka.</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Modelirano razdoblje</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Ukupno razdoblje koje se modelira obuhvaća razdoblje od 11 godina. Početna godina modeliranja je 2017.</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Vrsta operatora</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Vrsta modeliranog operatora je hipotetski učinkoviti operator koji gradi modernu učinkovitu mrežu.</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Referentni operator</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 xml:space="preserve">Hipotetski učinkoviti operator u modelu ima slične karakteristike kao HT, ukoliko su one u skladu s načelom učinkovitosti. </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Geografsko modeliranje</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 xml:space="preserve">Karakterizacija kabelskih ruta za potrebe povezivanja različitih elemenata mreže operatora izvršena je pomoću geografskog modeliranja koje sadrži sljedeće informacije: podatke o zgradama (lokacije zgrada i broj korisnika po zgradi), lokacije čvorova operatora i podatke o ulicama/cestama. </w:t>
            </w:r>
            <w:r w:rsidR="0019487A" w:rsidRPr="0019487A">
              <w:rPr>
                <w:bCs/>
                <w:sz w:val="24"/>
                <w:szCs w:val="24"/>
              </w:rPr>
              <w:t>Dodatno, definirani su geotipovi, s ciljem agregiranja područja/jedinica lokalne samouprave sa sličnim karakteristikama, a njihove definicije se temelje na gustoći zgrada i prosječnom broju korisnika po zgradi.</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Prikupljanje i obrada podataka</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Podaci koje su dostavili operatori koristili su se kao primarni izvor. Svi prikupljeni podaci detaljno su analizirani u svrhu osiguranja kvalitete i točnosti podataka korištenih u modelu.</w:t>
            </w:r>
          </w:p>
        </w:tc>
      </w:tr>
      <w:tr w:rsidR="003D3219" w:rsidRPr="003D3219" w:rsidTr="003D321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jc w:val="center"/>
        </w:trPr>
        <w:tc>
          <w:tcPr>
            <w:tcW w:w="1293" w:type="pct"/>
            <w:tcBorders>
              <w:left w:val="single" w:sz="4" w:space="0" w:color="4F629B"/>
              <w:right w:val="single" w:sz="4" w:space="0" w:color="4F629B"/>
            </w:tcBorders>
            <w:shd w:val="clear" w:color="auto" w:fill="auto"/>
            <w:noWrap/>
            <w:vAlign w:val="center"/>
          </w:tcPr>
          <w:p w:rsidR="003D3219" w:rsidRPr="003D3219" w:rsidRDefault="003D3219" w:rsidP="003D3219">
            <w:pPr>
              <w:jc w:val="both"/>
              <w:rPr>
                <w:b/>
                <w:bCs/>
                <w:sz w:val="24"/>
                <w:szCs w:val="24"/>
              </w:rPr>
            </w:pPr>
            <w:r w:rsidRPr="003D3219">
              <w:rPr>
                <w:b/>
                <w:bCs/>
                <w:sz w:val="24"/>
                <w:szCs w:val="24"/>
              </w:rPr>
              <w:t>Razmatranje mreža i tehnologija</w:t>
            </w:r>
          </w:p>
        </w:tc>
        <w:tc>
          <w:tcPr>
            <w:tcW w:w="3707" w:type="pct"/>
            <w:tcBorders>
              <w:left w:val="single" w:sz="4" w:space="0" w:color="4F629B"/>
            </w:tcBorders>
            <w:vAlign w:val="center"/>
          </w:tcPr>
          <w:p w:rsidR="003D3219" w:rsidRPr="003D3219" w:rsidRDefault="003D3219" w:rsidP="003D3219">
            <w:pPr>
              <w:jc w:val="both"/>
              <w:rPr>
                <w:bCs/>
                <w:sz w:val="24"/>
                <w:szCs w:val="24"/>
              </w:rPr>
            </w:pPr>
            <w:r w:rsidRPr="003D3219">
              <w:rPr>
                <w:bCs/>
                <w:sz w:val="24"/>
                <w:szCs w:val="24"/>
              </w:rPr>
              <w:t>U modelu su razmatrane sljedeće tehnologije:</w:t>
            </w:r>
          </w:p>
          <w:p w:rsidR="003D3219" w:rsidRPr="003D3219" w:rsidRDefault="003D3219" w:rsidP="003D3219">
            <w:pPr>
              <w:jc w:val="both"/>
              <w:rPr>
                <w:bCs/>
                <w:sz w:val="24"/>
                <w:szCs w:val="24"/>
              </w:rPr>
            </w:pPr>
            <w:r w:rsidRPr="003D3219">
              <w:rPr>
                <w:bCs/>
                <w:sz w:val="24"/>
                <w:szCs w:val="24"/>
              </w:rPr>
              <w:t>Pristupna mreža: bakrene i svjetlovodne mreže</w:t>
            </w:r>
          </w:p>
          <w:p w:rsidR="003D3219" w:rsidRPr="003D3219" w:rsidRDefault="003D3219" w:rsidP="003D3219">
            <w:pPr>
              <w:jc w:val="both"/>
              <w:rPr>
                <w:bCs/>
                <w:sz w:val="24"/>
                <w:szCs w:val="24"/>
              </w:rPr>
            </w:pPr>
            <w:r w:rsidRPr="003D3219">
              <w:rPr>
                <w:bCs/>
                <w:sz w:val="24"/>
                <w:szCs w:val="24"/>
              </w:rPr>
              <w:t>Transmisijska (prijenosna) mreža: Mikrovalne veze (Ethernet), Svjetlovodne veze (Ethernet sa/bez WDM) ili Satelitske veze. Konačni odabir modeliranih tehnologija zasniva</w:t>
            </w:r>
            <w:r w:rsidR="0019487A">
              <w:rPr>
                <w:bCs/>
                <w:sz w:val="24"/>
                <w:szCs w:val="24"/>
              </w:rPr>
              <w:t xml:space="preserve"> </w:t>
            </w:r>
            <w:r w:rsidRPr="003D3219">
              <w:rPr>
                <w:bCs/>
                <w:sz w:val="24"/>
                <w:szCs w:val="24"/>
              </w:rPr>
              <w:t>se na podacima operatora.</w:t>
            </w:r>
          </w:p>
          <w:p w:rsidR="003D3219" w:rsidRPr="003D3219" w:rsidRDefault="003D3219" w:rsidP="003D3219">
            <w:pPr>
              <w:keepNext/>
              <w:jc w:val="both"/>
              <w:rPr>
                <w:bCs/>
                <w:sz w:val="24"/>
                <w:szCs w:val="24"/>
              </w:rPr>
            </w:pPr>
            <w:r w:rsidRPr="003D3219">
              <w:rPr>
                <w:bCs/>
                <w:sz w:val="24"/>
                <w:szCs w:val="24"/>
              </w:rPr>
              <w:t>Jezgrena mreža: NGN jezgrena mreža temeljena je u cijelosti na IP mreži.</w:t>
            </w:r>
          </w:p>
        </w:tc>
      </w:tr>
    </w:tbl>
    <w:p w:rsidR="003D3219" w:rsidRPr="003D3219" w:rsidRDefault="003D3219" w:rsidP="00C00568">
      <w:pPr>
        <w:pStyle w:val="Caption"/>
      </w:pPr>
      <w:bookmarkStart w:id="315" w:name="_Ref52274435"/>
      <w:bookmarkStart w:id="316" w:name="_Toc54079565"/>
      <w:bookmarkStart w:id="317" w:name="_Toc54159161"/>
      <w:bookmarkStart w:id="318" w:name="_Toc54159295"/>
      <w:bookmarkStart w:id="319" w:name="_Toc54159991"/>
      <w:bookmarkStart w:id="320" w:name="_Toc54175816"/>
      <w:bookmarkStart w:id="321" w:name="_Toc54179444"/>
      <w:bookmarkStart w:id="322" w:name="_Toc54261724"/>
      <w:r w:rsidRPr="003D3219">
        <w:t xml:space="preserve">Tablica </w:t>
      </w:r>
      <w:r w:rsidR="00E6032F">
        <w:rPr>
          <w:noProof/>
        </w:rPr>
        <w:fldChar w:fldCharType="begin"/>
      </w:r>
      <w:r w:rsidR="00E6032F">
        <w:rPr>
          <w:noProof/>
        </w:rPr>
        <w:instrText xml:space="preserve"> SEQ Tablica \* ARABIC </w:instrText>
      </w:r>
      <w:r w:rsidR="00E6032F">
        <w:rPr>
          <w:noProof/>
        </w:rPr>
        <w:fldChar w:fldCharType="separate"/>
      </w:r>
      <w:r w:rsidR="00B047B3">
        <w:rPr>
          <w:noProof/>
        </w:rPr>
        <w:t>1</w:t>
      </w:r>
      <w:r w:rsidR="00E6032F">
        <w:rPr>
          <w:noProof/>
        </w:rPr>
        <w:fldChar w:fldCharType="end"/>
      </w:r>
      <w:bookmarkEnd w:id="315"/>
      <w:r w:rsidRPr="003D3219">
        <w:t>- Sažetak metodoloških načela</w:t>
      </w:r>
      <w:bookmarkEnd w:id="316"/>
      <w:bookmarkEnd w:id="317"/>
      <w:bookmarkEnd w:id="318"/>
      <w:bookmarkEnd w:id="319"/>
      <w:bookmarkEnd w:id="320"/>
      <w:bookmarkEnd w:id="321"/>
      <w:bookmarkEnd w:id="322"/>
    </w:p>
    <w:p w:rsidR="003D3219" w:rsidRPr="003D3219" w:rsidRDefault="003D3219" w:rsidP="003D3219">
      <w:pPr>
        <w:jc w:val="both"/>
        <w:rPr>
          <w:sz w:val="24"/>
          <w:szCs w:val="24"/>
        </w:rPr>
      </w:pPr>
    </w:p>
    <w:p w:rsidR="003D3219" w:rsidRPr="003D3219" w:rsidRDefault="003D3219" w:rsidP="003A6F28">
      <w:pPr>
        <w:pStyle w:val="Heading2"/>
      </w:pPr>
      <w:bookmarkStart w:id="323" w:name="_Toc51252356"/>
      <w:bookmarkStart w:id="324" w:name="_Toc51676901"/>
      <w:bookmarkStart w:id="325" w:name="_Toc53941965"/>
      <w:bookmarkStart w:id="326" w:name="_Toc54250938"/>
      <w:bookmarkStart w:id="327" w:name="_Toc54252836"/>
      <w:bookmarkStart w:id="328" w:name="_Toc54261648"/>
      <w:r w:rsidRPr="003D3219">
        <w:t>Arhitektura troškovnog modela</w:t>
      </w:r>
      <w:bookmarkEnd w:id="323"/>
      <w:bookmarkEnd w:id="324"/>
      <w:bookmarkEnd w:id="325"/>
      <w:bookmarkEnd w:id="326"/>
      <w:bookmarkEnd w:id="327"/>
      <w:bookmarkEnd w:id="328"/>
    </w:p>
    <w:p w:rsidR="003D3219" w:rsidRPr="003D3219" w:rsidRDefault="003D3219" w:rsidP="003D3219">
      <w:pPr>
        <w:spacing w:after="0" w:line="240" w:lineRule="auto"/>
        <w:jc w:val="both"/>
        <w:rPr>
          <w:sz w:val="24"/>
          <w:szCs w:val="24"/>
        </w:rPr>
      </w:pPr>
      <w:r w:rsidRPr="003D3219">
        <w:rPr>
          <w:sz w:val="24"/>
          <w:szCs w:val="24"/>
        </w:rPr>
        <w:t>Struktura Troškovnog modela prikazana je na</w:t>
      </w:r>
      <w:r w:rsidR="0011331D">
        <w:rPr>
          <w:sz w:val="24"/>
          <w:szCs w:val="24"/>
        </w:rPr>
        <w:t xml:space="preserve"> donjoj slici (</w:t>
      </w:r>
      <w:r w:rsidRPr="003D3219">
        <w:rPr>
          <w:sz w:val="24"/>
          <w:szCs w:val="24"/>
        </w:rPr>
        <w:fldChar w:fldCharType="begin"/>
      </w:r>
      <w:r w:rsidRPr="003D3219">
        <w:rPr>
          <w:sz w:val="24"/>
          <w:szCs w:val="24"/>
        </w:rPr>
        <w:instrText xml:space="preserve"> REF _Ref50707821 \h </w:instrText>
      </w:r>
      <w:r w:rsidR="0011331D">
        <w:rPr>
          <w:sz w:val="24"/>
          <w:szCs w:val="24"/>
        </w:rPr>
        <w:instrText xml:space="preserve"> \* MERGEFORMAT </w:instrText>
      </w:r>
      <w:r w:rsidRPr="003D3219">
        <w:rPr>
          <w:sz w:val="24"/>
          <w:szCs w:val="24"/>
        </w:rPr>
      </w:r>
      <w:r w:rsidRPr="003D3219">
        <w:rPr>
          <w:sz w:val="24"/>
          <w:szCs w:val="24"/>
        </w:rPr>
        <w:fldChar w:fldCharType="separate"/>
      </w:r>
      <w:r w:rsidR="00B047B3" w:rsidRPr="00B047B3">
        <w:rPr>
          <w:sz w:val="24"/>
          <w:szCs w:val="24"/>
        </w:rPr>
        <w:t>Slika 11</w:t>
      </w:r>
      <w:r w:rsidRPr="003D3219">
        <w:rPr>
          <w:sz w:val="24"/>
          <w:szCs w:val="24"/>
        </w:rPr>
        <w:fldChar w:fldCharType="end"/>
      </w:r>
      <w:r w:rsidR="0011331D">
        <w:rPr>
          <w:sz w:val="24"/>
          <w:szCs w:val="24"/>
        </w:rPr>
        <w:t xml:space="preserve">). </w:t>
      </w:r>
      <w:r w:rsidRPr="003D3219">
        <w:rPr>
          <w:sz w:val="24"/>
          <w:szCs w:val="24"/>
        </w:rPr>
        <w:t>Kao što se vidi, postoji nekoliko funkcijskih blokova koji su opisani dolje:</w:t>
      </w:r>
    </w:p>
    <w:p w:rsidR="003D3219" w:rsidRPr="003D3219" w:rsidRDefault="003D3219" w:rsidP="003D3219">
      <w:pPr>
        <w:spacing w:after="0" w:line="240" w:lineRule="auto"/>
        <w:jc w:val="both"/>
        <w:rPr>
          <w:sz w:val="24"/>
          <w:szCs w:val="24"/>
        </w:rPr>
      </w:pPr>
    </w:p>
    <w:p w:rsidR="003D3219" w:rsidRPr="003D3219" w:rsidRDefault="003D3219" w:rsidP="003D3219">
      <w:pPr>
        <w:spacing w:after="0" w:line="240" w:lineRule="auto"/>
        <w:jc w:val="both"/>
        <w:rPr>
          <w:sz w:val="24"/>
          <w:szCs w:val="24"/>
          <w:lang w:val="de-DE"/>
        </w:rPr>
      </w:pPr>
      <w:r w:rsidRPr="003D3219">
        <w:rPr>
          <w:b/>
          <w:sz w:val="24"/>
          <w:szCs w:val="24"/>
          <w:lang w:val="de-DE"/>
        </w:rPr>
        <w:t xml:space="preserve">Faktori za dimenzioniranje </w:t>
      </w:r>
      <w:r w:rsidRPr="003D3219">
        <w:rPr>
          <w:sz w:val="24"/>
          <w:szCs w:val="24"/>
          <w:lang w:val="de-DE"/>
        </w:rPr>
        <w:t>(</w:t>
      </w:r>
      <w:r w:rsidRPr="003D3219">
        <w:rPr>
          <w:i/>
          <w:sz w:val="24"/>
          <w:szCs w:val="24"/>
          <w:lang w:val="de-DE"/>
        </w:rPr>
        <w:t>eng. Dimensioning drivers</w:t>
      </w:r>
      <w:r w:rsidRPr="003D3219">
        <w:rPr>
          <w:sz w:val="24"/>
          <w:szCs w:val="24"/>
          <w:lang w:val="de-DE"/>
        </w:rPr>
        <w:t>):</w:t>
      </w:r>
      <w:r w:rsidRPr="003D3219">
        <w:rPr>
          <w:b/>
          <w:sz w:val="24"/>
          <w:szCs w:val="24"/>
          <w:lang w:val="de-DE"/>
        </w:rPr>
        <w:t xml:space="preserve"> </w:t>
      </w:r>
      <w:r w:rsidRPr="003D3219">
        <w:rPr>
          <w:sz w:val="24"/>
          <w:szCs w:val="24"/>
          <w:lang w:val="de-DE"/>
        </w:rPr>
        <w:t>Pretvaranje potražnje i prometa u faktore za dimenzioniranje (</w:t>
      </w:r>
      <w:r w:rsidRPr="003D3219">
        <w:rPr>
          <w:i/>
          <w:sz w:val="24"/>
          <w:szCs w:val="24"/>
          <w:lang w:val="de-DE"/>
        </w:rPr>
        <w:t>eng. Dimensioning drivers</w:t>
      </w:r>
      <w:r w:rsidRPr="003D3219">
        <w:rPr>
          <w:sz w:val="24"/>
          <w:szCs w:val="24"/>
          <w:lang w:val="de-DE"/>
        </w:rPr>
        <w:t>), koji kasnije služe za dimenzioniranje mrežnih resursa.</w:t>
      </w:r>
    </w:p>
    <w:p w:rsidR="003D3219" w:rsidRPr="0011331D" w:rsidRDefault="003D3219" w:rsidP="003D3219">
      <w:pPr>
        <w:spacing w:after="0" w:line="240" w:lineRule="auto"/>
        <w:jc w:val="both"/>
        <w:rPr>
          <w:sz w:val="24"/>
          <w:szCs w:val="24"/>
        </w:rPr>
      </w:pPr>
    </w:p>
    <w:p w:rsidR="003D3219" w:rsidRPr="003D3219" w:rsidRDefault="003D3219" w:rsidP="003D3219">
      <w:pPr>
        <w:spacing w:after="0" w:line="240" w:lineRule="auto"/>
        <w:jc w:val="both"/>
        <w:rPr>
          <w:sz w:val="24"/>
          <w:szCs w:val="24"/>
          <w:lang w:val="en-GB"/>
        </w:rPr>
      </w:pPr>
      <w:r w:rsidRPr="003D3219">
        <w:rPr>
          <w:b/>
          <w:sz w:val="24"/>
          <w:szCs w:val="24"/>
          <w:lang w:val="de-DE"/>
        </w:rPr>
        <w:t xml:space="preserve">Modul za dimenzioniranje </w:t>
      </w:r>
      <w:r w:rsidRPr="003D3219">
        <w:rPr>
          <w:sz w:val="24"/>
          <w:szCs w:val="24"/>
          <w:lang w:val="de-DE"/>
        </w:rPr>
        <w:t>(</w:t>
      </w:r>
      <w:r w:rsidRPr="003D3219">
        <w:rPr>
          <w:i/>
          <w:sz w:val="24"/>
          <w:szCs w:val="24"/>
          <w:lang w:val="de-DE"/>
        </w:rPr>
        <w:t>eng. Dimensioning module</w:t>
      </w:r>
      <w:r w:rsidRPr="003D3219">
        <w:rPr>
          <w:sz w:val="24"/>
          <w:szCs w:val="24"/>
          <w:lang w:val="de-DE"/>
        </w:rPr>
        <w:t xml:space="preserve">): vrši izračun broja resursa i izgrađuje mrežu </w:t>
      </w:r>
      <w:r w:rsidR="002D644D">
        <w:rPr>
          <w:sz w:val="24"/>
          <w:szCs w:val="24"/>
          <w:lang w:val="de-DE"/>
        </w:rPr>
        <w:t>putem</w:t>
      </w:r>
      <w:r w:rsidRPr="003D3219">
        <w:rPr>
          <w:sz w:val="24"/>
          <w:szCs w:val="24"/>
          <w:lang w:val="de-DE"/>
        </w:rPr>
        <w:t xml:space="preserve"> koje se mogu pružati usluge koje pruža referentni operator. Modul za dimenzioniranje pri tom koristi procjenjenu potražnju za sve modelirane usluge. Dodatno, u modul za dimenzioniranje se unose geografski podaci kako bi se uzeli u obzir relevantni geografski aspekti zemlje. Model prepoznaje da dijelovi mreže referentnog operatora mogu biti ovisni ili neovisni o geotipu. Na primjer process dimenzioniranja pristupne mreže i pristupne infrastrukture je karakterističan i neovisan za svaki pojedin</w:t>
      </w:r>
      <w:r w:rsidR="002D644D">
        <w:rPr>
          <w:sz w:val="24"/>
          <w:szCs w:val="24"/>
          <w:lang w:val="de-DE"/>
        </w:rPr>
        <w:t>i</w:t>
      </w:r>
      <w:r w:rsidRPr="003D3219">
        <w:rPr>
          <w:sz w:val="24"/>
          <w:szCs w:val="24"/>
          <w:lang w:val="de-DE"/>
        </w:rPr>
        <w:t xml:space="preserve"> geotip. </w:t>
      </w:r>
      <w:r w:rsidRPr="003D3219">
        <w:rPr>
          <w:sz w:val="24"/>
          <w:szCs w:val="24"/>
          <w:lang w:val="en-GB"/>
        </w:rPr>
        <w:t xml:space="preserve">S </w:t>
      </w:r>
      <w:r w:rsidRPr="000F0A57">
        <w:rPr>
          <w:sz w:val="24"/>
          <w:szCs w:val="24"/>
        </w:rPr>
        <w:t>druge</w:t>
      </w:r>
      <w:r w:rsidRPr="003D3219">
        <w:rPr>
          <w:sz w:val="24"/>
          <w:szCs w:val="24"/>
          <w:lang w:val="en-GB"/>
        </w:rPr>
        <w:t xml:space="preserve"> strane, </w:t>
      </w:r>
      <w:r w:rsidRPr="00A640F0">
        <w:rPr>
          <w:sz w:val="24"/>
          <w:szCs w:val="24"/>
        </w:rPr>
        <w:t>dimenzioniranje</w:t>
      </w:r>
      <w:r w:rsidRPr="003D3219">
        <w:rPr>
          <w:sz w:val="24"/>
          <w:szCs w:val="24"/>
          <w:lang w:val="en-GB"/>
        </w:rPr>
        <w:t xml:space="preserve"> prijenosne i jezgrene mreže ne ovisi o geotipu.</w:t>
      </w:r>
    </w:p>
    <w:p w:rsidR="003D3219" w:rsidRPr="003D3219" w:rsidRDefault="003D3219" w:rsidP="003D3219">
      <w:pPr>
        <w:spacing w:after="0" w:line="240" w:lineRule="auto"/>
        <w:jc w:val="both"/>
        <w:rPr>
          <w:sz w:val="24"/>
          <w:szCs w:val="24"/>
          <w:lang w:val="en-GB"/>
        </w:rPr>
      </w:pPr>
    </w:p>
    <w:p w:rsidR="003D3219" w:rsidRPr="003D3219" w:rsidRDefault="003D3219" w:rsidP="003D3219">
      <w:pPr>
        <w:keepNext/>
        <w:spacing w:after="0" w:line="240" w:lineRule="auto"/>
        <w:jc w:val="center"/>
      </w:pPr>
      <w:r w:rsidRPr="003D3219">
        <w:rPr>
          <w:noProof/>
          <w:sz w:val="24"/>
          <w:szCs w:val="24"/>
          <w:lang w:val="en-US"/>
        </w:rPr>
        <w:drawing>
          <wp:inline distT="0" distB="0" distL="0" distR="0" wp14:anchorId="0A306800" wp14:editId="7E126C56">
            <wp:extent cx="4060190" cy="3657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60190" cy="3657600"/>
                    </a:xfrm>
                    <a:prstGeom prst="rect">
                      <a:avLst/>
                    </a:prstGeom>
                    <a:noFill/>
                  </pic:spPr>
                </pic:pic>
              </a:graphicData>
            </a:graphic>
          </wp:inline>
        </w:drawing>
      </w:r>
    </w:p>
    <w:p w:rsidR="003D3219" w:rsidRPr="003D3219" w:rsidRDefault="003D3219" w:rsidP="00C00568">
      <w:pPr>
        <w:pStyle w:val="Caption"/>
        <w:jc w:val="center"/>
        <w:rPr>
          <w:sz w:val="24"/>
          <w:szCs w:val="24"/>
        </w:rPr>
      </w:pPr>
      <w:bookmarkStart w:id="329" w:name="_Ref50707821"/>
      <w:bookmarkStart w:id="330" w:name="_Ref52459807"/>
      <w:bookmarkStart w:id="331" w:name="_Toc53941929"/>
      <w:bookmarkStart w:id="332" w:name="_Toc54175839"/>
      <w:bookmarkStart w:id="333" w:name="_Toc54261703"/>
      <w:r w:rsidRPr="003D3219">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11</w:t>
      </w:r>
      <w:r w:rsidR="00E6032F">
        <w:rPr>
          <w:noProof/>
        </w:rPr>
        <w:fldChar w:fldCharType="end"/>
      </w:r>
      <w:bookmarkEnd w:id="329"/>
      <w:r w:rsidRPr="003D3219">
        <w:t>- Struktura Troškovnog modela (izvor: Axon)</w:t>
      </w:r>
      <w:bookmarkEnd w:id="330"/>
      <w:bookmarkEnd w:id="331"/>
      <w:bookmarkEnd w:id="332"/>
      <w:bookmarkEnd w:id="333"/>
    </w:p>
    <w:p w:rsidR="003D3219" w:rsidRPr="00DD0407" w:rsidRDefault="003D3219" w:rsidP="003D3219">
      <w:pPr>
        <w:spacing w:after="0" w:line="240" w:lineRule="auto"/>
        <w:jc w:val="both"/>
        <w:rPr>
          <w:b/>
          <w:sz w:val="24"/>
          <w:szCs w:val="24"/>
          <w:lang w:val="de-DE"/>
        </w:rPr>
      </w:pPr>
    </w:p>
    <w:p w:rsidR="003D3219" w:rsidRPr="00DD0407" w:rsidRDefault="003D3219" w:rsidP="003D3219">
      <w:pPr>
        <w:spacing w:after="0" w:line="240" w:lineRule="auto"/>
        <w:jc w:val="both"/>
        <w:rPr>
          <w:sz w:val="24"/>
          <w:szCs w:val="24"/>
          <w:lang w:val="de-DE"/>
        </w:rPr>
      </w:pPr>
      <w:r w:rsidRPr="00DD0407">
        <w:rPr>
          <w:b/>
          <w:sz w:val="24"/>
          <w:szCs w:val="24"/>
          <w:lang w:val="de-DE"/>
        </w:rPr>
        <w:t xml:space="preserve">Izračun troškova resursa </w:t>
      </w:r>
      <w:r w:rsidRPr="00DD0407">
        <w:rPr>
          <w:sz w:val="24"/>
          <w:szCs w:val="24"/>
          <w:lang w:val="de-DE"/>
        </w:rPr>
        <w:t>(</w:t>
      </w:r>
      <w:r w:rsidRPr="00DD0407">
        <w:rPr>
          <w:i/>
          <w:sz w:val="24"/>
          <w:szCs w:val="24"/>
          <w:lang w:val="de-DE"/>
        </w:rPr>
        <w:t>eng. Resources Costing</w:t>
      </w:r>
      <w:r w:rsidRPr="00DD0407">
        <w:rPr>
          <w:sz w:val="24"/>
          <w:szCs w:val="24"/>
          <w:lang w:val="de-DE"/>
        </w:rPr>
        <w:t>)</w:t>
      </w:r>
      <w:r w:rsidRPr="00DD0407">
        <w:rPr>
          <w:b/>
          <w:sz w:val="24"/>
          <w:szCs w:val="24"/>
          <w:lang w:val="de-DE"/>
        </w:rPr>
        <w:t xml:space="preserve"> (CapEx and OpEx):</w:t>
      </w:r>
      <w:r w:rsidRPr="00DD0407">
        <w:rPr>
          <w:sz w:val="24"/>
          <w:szCs w:val="24"/>
          <w:lang w:val="de-DE"/>
        </w:rPr>
        <w:t xml:space="preserve"> izračunava troškove resursa (kapitalne izdatke (CapEx) i operativne troškove (OpEx)) dobiven</w:t>
      </w:r>
      <w:r w:rsidR="002D644D" w:rsidRPr="00DD0407">
        <w:rPr>
          <w:sz w:val="24"/>
          <w:szCs w:val="24"/>
          <w:lang w:val="de-DE"/>
        </w:rPr>
        <w:t>e</w:t>
      </w:r>
      <w:r w:rsidRPr="00DD0407">
        <w:rPr>
          <w:sz w:val="24"/>
          <w:szCs w:val="24"/>
          <w:lang w:val="de-DE"/>
        </w:rPr>
        <w:t xml:space="preserve"> nakon dimenzioniranja mreže. </w:t>
      </w:r>
    </w:p>
    <w:p w:rsidR="003D3219" w:rsidRPr="00DD0407" w:rsidRDefault="003D3219" w:rsidP="003D3219">
      <w:pPr>
        <w:spacing w:after="0" w:line="240" w:lineRule="auto"/>
        <w:jc w:val="both"/>
        <w:rPr>
          <w:sz w:val="24"/>
          <w:szCs w:val="24"/>
          <w:lang w:val="de-DE"/>
        </w:rPr>
      </w:pPr>
    </w:p>
    <w:p w:rsidR="003D3219" w:rsidRPr="009B44A4" w:rsidRDefault="003D3219" w:rsidP="003D3219">
      <w:pPr>
        <w:spacing w:after="0" w:line="240" w:lineRule="auto"/>
        <w:jc w:val="both"/>
        <w:rPr>
          <w:sz w:val="24"/>
          <w:szCs w:val="24"/>
          <w:lang w:val="de-DE"/>
        </w:rPr>
      </w:pPr>
      <w:r w:rsidRPr="00DD0407">
        <w:rPr>
          <w:b/>
          <w:sz w:val="24"/>
          <w:szCs w:val="24"/>
          <w:lang w:val="de-DE"/>
        </w:rPr>
        <w:t xml:space="preserve">Modul za amortizaciju </w:t>
      </w:r>
      <w:r w:rsidRPr="00DD0407">
        <w:rPr>
          <w:sz w:val="24"/>
          <w:szCs w:val="24"/>
          <w:lang w:val="de-DE"/>
        </w:rPr>
        <w:t>(</w:t>
      </w:r>
      <w:r w:rsidRPr="00DD0407">
        <w:rPr>
          <w:i/>
          <w:sz w:val="24"/>
          <w:szCs w:val="24"/>
          <w:lang w:val="de-DE"/>
        </w:rPr>
        <w:t>eng. Annualisation module</w:t>
      </w:r>
      <w:r w:rsidRPr="00DD0407">
        <w:rPr>
          <w:sz w:val="24"/>
          <w:szCs w:val="24"/>
          <w:lang w:val="de-DE"/>
        </w:rPr>
        <w:t xml:space="preserve">): alocira CapEx troškove resursa kroz vrijeme primjenjujući definiranu metodologiju. </w:t>
      </w:r>
      <w:r w:rsidRPr="009B44A4">
        <w:rPr>
          <w:sz w:val="24"/>
          <w:szCs w:val="24"/>
          <w:lang w:val="de-DE"/>
        </w:rPr>
        <w:t>Modul podržava primjenu metode ekonomske amortizacije i metod</w:t>
      </w:r>
      <w:r w:rsidR="002D644D" w:rsidRPr="009B44A4">
        <w:rPr>
          <w:sz w:val="24"/>
          <w:szCs w:val="24"/>
          <w:lang w:val="de-DE"/>
        </w:rPr>
        <w:t>e</w:t>
      </w:r>
      <w:r w:rsidRPr="009B44A4">
        <w:rPr>
          <w:sz w:val="24"/>
          <w:szCs w:val="24"/>
          <w:lang w:val="de-DE"/>
        </w:rPr>
        <w:t xml:space="preserve"> kosih anuiteta. </w:t>
      </w:r>
    </w:p>
    <w:p w:rsidR="003D3219" w:rsidRPr="009B44A4" w:rsidRDefault="003D3219" w:rsidP="003D3219">
      <w:pPr>
        <w:spacing w:after="0" w:line="240" w:lineRule="auto"/>
        <w:jc w:val="both"/>
        <w:rPr>
          <w:sz w:val="24"/>
          <w:szCs w:val="24"/>
          <w:lang w:val="de-DE"/>
        </w:rPr>
      </w:pPr>
    </w:p>
    <w:p w:rsidR="003D3219" w:rsidRPr="009B44A4" w:rsidRDefault="003D3219" w:rsidP="003D3219">
      <w:pPr>
        <w:spacing w:after="0" w:line="240" w:lineRule="auto"/>
        <w:jc w:val="both"/>
        <w:rPr>
          <w:sz w:val="24"/>
          <w:szCs w:val="24"/>
          <w:lang w:val="de-DE"/>
        </w:rPr>
      </w:pPr>
      <w:r w:rsidRPr="009B44A4">
        <w:rPr>
          <w:b/>
          <w:sz w:val="24"/>
          <w:szCs w:val="24"/>
          <w:lang w:val="de-DE"/>
        </w:rPr>
        <w:t xml:space="preserve">Modul za izračun LRIC troškova </w:t>
      </w:r>
      <w:r w:rsidRPr="009B44A4">
        <w:rPr>
          <w:sz w:val="24"/>
          <w:szCs w:val="24"/>
          <w:lang w:val="de-DE"/>
        </w:rPr>
        <w:t>(</w:t>
      </w:r>
      <w:r w:rsidRPr="009B44A4">
        <w:rPr>
          <w:i/>
          <w:sz w:val="24"/>
          <w:szCs w:val="24"/>
          <w:lang w:val="de-DE"/>
        </w:rPr>
        <w:t>eng. LRIC costs calculation module</w:t>
      </w:r>
      <w:r w:rsidRPr="009B44A4">
        <w:rPr>
          <w:sz w:val="24"/>
          <w:szCs w:val="24"/>
          <w:lang w:val="de-DE"/>
        </w:rPr>
        <w:t>): dobivanje čistih inkrementalnih troškova povezanih s različitim inkrementima (svaki inkrement je definiran kao grupa usluga) i zajedničkim troškovima.</w:t>
      </w:r>
    </w:p>
    <w:p w:rsidR="003D3219" w:rsidRPr="003D3219" w:rsidRDefault="003D3219" w:rsidP="003D3219">
      <w:pPr>
        <w:spacing w:after="0" w:line="240" w:lineRule="auto"/>
        <w:jc w:val="both"/>
        <w:rPr>
          <w:sz w:val="24"/>
          <w:szCs w:val="24"/>
        </w:rPr>
      </w:pPr>
    </w:p>
    <w:p w:rsidR="003D3219" w:rsidRDefault="003D3219" w:rsidP="003D3219">
      <w:pPr>
        <w:spacing w:after="0" w:line="240" w:lineRule="auto"/>
        <w:jc w:val="both"/>
        <w:rPr>
          <w:sz w:val="24"/>
          <w:szCs w:val="24"/>
        </w:rPr>
      </w:pPr>
      <w:r w:rsidRPr="003D3219">
        <w:rPr>
          <w:sz w:val="24"/>
          <w:szCs w:val="24"/>
        </w:rPr>
        <w:t>Sljedeća potpoglavlja detaljnije razmatraju svaki od pojedinih funkcionalnih modula.</w:t>
      </w:r>
    </w:p>
    <w:p w:rsidR="00C00568" w:rsidRPr="003D3219" w:rsidRDefault="00C00568" w:rsidP="003D3219">
      <w:pPr>
        <w:spacing w:after="0" w:line="240" w:lineRule="auto"/>
        <w:jc w:val="both"/>
        <w:rPr>
          <w:sz w:val="24"/>
          <w:szCs w:val="24"/>
        </w:rPr>
      </w:pPr>
    </w:p>
    <w:p w:rsidR="003D3219" w:rsidRPr="003D3219" w:rsidRDefault="003D3219" w:rsidP="003A6F28">
      <w:pPr>
        <w:pStyle w:val="Heading2"/>
      </w:pPr>
      <w:bookmarkStart w:id="334" w:name="_Toc51252357"/>
      <w:bookmarkStart w:id="335" w:name="_Toc51676902"/>
      <w:bookmarkStart w:id="336" w:name="_Toc53941966"/>
      <w:bookmarkStart w:id="337" w:name="_Toc54250939"/>
      <w:bookmarkStart w:id="338" w:name="_Toc54252837"/>
      <w:bookmarkStart w:id="339" w:name="_Toc54261649"/>
      <w:r w:rsidRPr="003D3219">
        <w:t>Glavni ulazni podaci</w:t>
      </w:r>
      <w:bookmarkEnd w:id="334"/>
      <w:bookmarkEnd w:id="335"/>
      <w:bookmarkEnd w:id="336"/>
      <w:bookmarkEnd w:id="337"/>
      <w:bookmarkEnd w:id="338"/>
      <w:bookmarkEnd w:id="339"/>
    </w:p>
    <w:p w:rsidR="003D3219" w:rsidRPr="003D3219" w:rsidRDefault="003D3219" w:rsidP="003D3219">
      <w:pPr>
        <w:spacing w:after="0" w:line="240" w:lineRule="auto"/>
        <w:jc w:val="both"/>
        <w:rPr>
          <w:rFonts w:eastAsia="Calibri" w:cstheme="minorHAnsi"/>
          <w:sz w:val="24"/>
          <w:szCs w:val="24"/>
        </w:rPr>
      </w:pPr>
      <w:r w:rsidRPr="003D3219">
        <w:rPr>
          <w:rFonts w:eastAsia="Calibri" w:cstheme="minorHAnsi"/>
          <w:sz w:val="24"/>
          <w:szCs w:val="24"/>
        </w:rPr>
        <w:t>Po definiciji, glavni ulazni podatak Troškovnog modela je potražnja koja mora biti zadovoljena od mreže koja se dimenzionira, odnosno modelira. Međutim, uz potražnju potrebni su i dodatni podaci.</w:t>
      </w:r>
    </w:p>
    <w:p w:rsidR="003D3219" w:rsidRPr="003D3219" w:rsidRDefault="003D3219" w:rsidP="003D3219">
      <w:pPr>
        <w:spacing w:after="0" w:line="240" w:lineRule="auto"/>
        <w:jc w:val="both"/>
        <w:rPr>
          <w:rFonts w:eastAsia="Calibri" w:cstheme="minorHAnsi"/>
          <w:sz w:val="24"/>
          <w:szCs w:val="24"/>
        </w:rPr>
      </w:pPr>
    </w:p>
    <w:p w:rsidR="003D3219" w:rsidRPr="003D3219" w:rsidRDefault="003D3219" w:rsidP="003D3219">
      <w:pPr>
        <w:spacing w:after="0" w:line="240" w:lineRule="auto"/>
        <w:jc w:val="both"/>
        <w:rPr>
          <w:rFonts w:eastAsia="Calibri" w:cstheme="minorHAnsi"/>
          <w:sz w:val="24"/>
          <w:szCs w:val="24"/>
        </w:rPr>
      </w:pPr>
      <w:r w:rsidRPr="003D3219">
        <w:rPr>
          <w:rFonts w:eastAsia="Calibri" w:cstheme="minorHAnsi"/>
          <w:sz w:val="24"/>
          <w:szCs w:val="24"/>
        </w:rPr>
        <w:t>U nastavku se razmatraju glavni ulazni podaci za Troškovni model:</w:t>
      </w:r>
    </w:p>
    <w:p w:rsidR="003D3219" w:rsidRPr="003D3219" w:rsidRDefault="003D3219" w:rsidP="003D3219">
      <w:pPr>
        <w:spacing w:after="0" w:line="240" w:lineRule="auto"/>
        <w:jc w:val="both"/>
        <w:rPr>
          <w:rFonts w:eastAsia="Calibri" w:cstheme="minorHAnsi"/>
          <w:sz w:val="24"/>
          <w:szCs w:val="24"/>
        </w:rPr>
      </w:pPr>
    </w:p>
    <w:p w:rsidR="003D3219" w:rsidRPr="003D3219" w:rsidRDefault="003D3219" w:rsidP="00C433F8">
      <w:pPr>
        <w:numPr>
          <w:ilvl w:val="0"/>
          <w:numId w:val="5"/>
        </w:numPr>
        <w:spacing w:after="0" w:line="240" w:lineRule="auto"/>
        <w:contextualSpacing/>
        <w:jc w:val="both"/>
        <w:rPr>
          <w:rFonts w:eastAsia="Calibri" w:cstheme="minorHAnsi"/>
          <w:sz w:val="24"/>
          <w:szCs w:val="24"/>
        </w:rPr>
      </w:pPr>
      <w:r w:rsidRPr="003D3219">
        <w:rPr>
          <w:rFonts w:eastAsia="Calibri" w:cstheme="minorHAnsi"/>
          <w:sz w:val="24"/>
          <w:szCs w:val="24"/>
        </w:rPr>
        <w:t>Pokrivanje</w:t>
      </w:r>
    </w:p>
    <w:p w:rsidR="003D3219" w:rsidRPr="003D3219" w:rsidRDefault="003D3219" w:rsidP="00C433F8">
      <w:pPr>
        <w:numPr>
          <w:ilvl w:val="0"/>
          <w:numId w:val="5"/>
        </w:numPr>
        <w:spacing w:after="0" w:line="240" w:lineRule="auto"/>
        <w:contextualSpacing/>
        <w:jc w:val="both"/>
        <w:rPr>
          <w:rFonts w:eastAsia="Calibri" w:cstheme="minorHAnsi"/>
          <w:sz w:val="24"/>
          <w:szCs w:val="24"/>
        </w:rPr>
      </w:pPr>
      <w:r w:rsidRPr="003D3219">
        <w:rPr>
          <w:rFonts w:eastAsia="Calibri" w:cstheme="minorHAnsi"/>
          <w:sz w:val="24"/>
          <w:szCs w:val="24"/>
        </w:rPr>
        <w:t>Potražnja</w:t>
      </w:r>
    </w:p>
    <w:p w:rsidR="003D3219" w:rsidRPr="003D3219" w:rsidRDefault="003D3219" w:rsidP="00C433F8">
      <w:pPr>
        <w:numPr>
          <w:ilvl w:val="0"/>
          <w:numId w:val="5"/>
        </w:numPr>
        <w:spacing w:after="0" w:line="240" w:lineRule="auto"/>
        <w:contextualSpacing/>
        <w:jc w:val="both"/>
        <w:rPr>
          <w:rFonts w:eastAsia="Calibri" w:cstheme="minorHAnsi"/>
          <w:sz w:val="24"/>
          <w:szCs w:val="24"/>
        </w:rPr>
      </w:pPr>
      <w:r w:rsidRPr="003D3219">
        <w:rPr>
          <w:rFonts w:eastAsia="Calibri" w:cstheme="minorHAnsi"/>
          <w:sz w:val="24"/>
          <w:szCs w:val="24"/>
        </w:rPr>
        <w:t>Širokopojasni promet</w:t>
      </w:r>
    </w:p>
    <w:p w:rsidR="003D3219" w:rsidRPr="003D3219" w:rsidRDefault="003D3219" w:rsidP="00C433F8">
      <w:pPr>
        <w:numPr>
          <w:ilvl w:val="0"/>
          <w:numId w:val="5"/>
        </w:numPr>
        <w:spacing w:after="0" w:line="240" w:lineRule="auto"/>
        <w:contextualSpacing/>
        <w:jc w:val="both"/>
        <w:rPr>
          <w:rFonts w:eastAsia="Calibri" w:cstheme="minorHAnsi"/>
          <w:sz w:val="24"/>
          <w:szCs w:val="24"/>
        </w:rPr>
      </w:pPr>
      <w:r w:rsidRPr="003D3219">
        <w:rPr>
          <w:rFonts w:eastAsia="Calibri" w:cstheme="minorHAnsi"/>
          <w:sz w:val="24"/>
          <w:szCs w:val="24"/>
        </w:rPr>
        <w:t>Jedinični troškovi mrežnih resursa</w:t>
      </w:r>
    </w:p>
    <w:p w:rsidR="003D3219" w:rsidRPr="003D3219" w:rsidRDefault="003D3219" w:rsidP="00C433F8">
      <w:pPr>
        <w:numPr>
          <w:ilvl w:val="0"/>
          <w:numId w:val="5"/>
        </w:numPr>
        <w:spacing w:after="0" w:line="240" w:lineRule="auto"/>
        <w:contextualSpacing/>
        <w:jc w:val="both"/>
        <w:rPr>
          <w:rFonts w:eastAsia="Calibri" w:cstheme="minorHAnsi"/>
          <w:sz w:val="24"/>
          <w:szCs w:val="24"/>
        </w:rPr>
      </w:pPr>
      <w:r w:rsidRPr="003D3219">
        <w:rPr>
          <w:rFonts w:eastAsia="Calibri" w:cstheme="minorHAnsi"/>
          <w:sz w:val="24"/>
          <w:szCs w:val="24"/>
        </w:rPr>
        <w:t xml:space="preserve">Ne-mrežni </w:t>
      </w:r>
      <w:r w:rsidR="00F0599F">
        <w:rPr>
          <w:rFonts w:eastAsia="Calibri" w:cstheme="minorHAnsi"/>
          <w:sz w:val="24"/>
          <w:szCs w:val="24"/>
        </w:rPr>
        <w:t>troškovi</w:t>
      </w:r>
      <w:r w:rsidRPr="003D3219">
        <w:rPr>
          <w:rFonts w:eastAsia="Calibri" w:cstheme="minorHAnsi"/>
          <w:sz w:val="24"/>
          <w:szCs w:val="24"/>
        </w:rPr>
        <w:t xml:space="preserve"> (eng. </w:t>
      </w:r>
      <w:r w:rsidRPr="00A06647">
        <w:rPr>
          <w:rFonts w:eastAsia="Calibri" w:cstheme="minorHAnsi"/>
          <w:i/>
          <w:sz w:val="24"/>
          <w:szCs w:val="24"/>
        </w:rPr>
        <w:t>Non-network overheads</w:t>
      </w:r>
      <w:r w:rsidRPr="003D3219">
        <w:rPr>
          <w:rFonts w:eastAsia="Calibri" w:cstheme="minorHAnsi"/>
          <w:sz w:val="24"/>
          <w:szCs w:val="24"/>
        </w:rPr>
        <w:t>)</w:t>
      </w:r>
    </w:p>
    <w:p w:rsidR="003D3219" w:rsidRPr="003D3219" w:rsidRDefault="003D3219" w:rsidP="00C433F8">
      <w:pPr>
        <w:numPr>
          <w:ilvl w:val="0"/>
          <w:numId w:val="5"/>
        </w:numPr>
        <w:spacing w:after="0" w:line="240" w:lineRule="auto"/>
        <w:contextualSpacing/>
        <w:jc w:val="both"/>
        <w:rPr>
          <w:rFonts w:eastAsia="Calibri" w:cstheme="minorHAnsi"/>
          <w:sz w:val="24"/>
          <w:szCs w:val="24"/>
        </w:rPr>
      </w:pPr>
      <w:r w:rsidRPr="003D3219">
        <w:rPr>
          <w:rFonts w:eastAsia="Calibri" w:cstheme="minorHAnsi"/>
          <w:sz w:val="24"/>
          <w:szCs w:val="24"/>
        </w:rPr>
        <w:t>Korisni vijek upotrebe (</w:t>
      </w:r>
      <w:r w:rsidRPr="003D3219">
        <w:rPr>
          <w:rFonts w:eastAsia="Calibri" w:cstheme="minorHAnsi"/>
          <w:i/>
          <w:sz w:val="24"/>
          <w:szCs w:val="24"/>
        </w:rPr>
        <w:t>eng. Useful lives</w:t>
      </w:r>
      <w:r w:rsidRPr="003D3219">
        <w:rPr>
          <w:rFonts w:eastAsia="Calibri" w:cstheme="minorHAnsi"/>
          <w:sz w:val="24"/>
          <w:szCs w:val="24"/>
        </w:rPr>
        <w:t>)</w:t>
      </w:r>
    </w:p>
    <w:p w:rsidR="003D3219" w:rsidRPr="003D3219" w:rsidRDefault="003D3219" w:rsidP="00C433F8">
      <w:pPr>
        <w:numPr>
          <w:ilvl w:val="0"/>
          <w:numId w:val="5"/>
        </w:numPr>
        <w:spacing w:after="0" w:line="240" w:lineRule="auto"/>
        <w:contextualSpacing/>
        <w:jc w:val="both"/>
        <w:rPr>
          <w:rFonts w:eastAsia="Calibri" w:cstheme="minorHAnsi"/>
          <w:sz w:val="24"/>
          <w:szCs w:val="24"/>
        </w:rPr>
      </w:pPr>
      <w:r w:rsidRPr="003D3219">
        <w:rPr>
          <w:rFonts w:eastAsia="Calibri" w:cstheme="minorHAnsi"/>
          <w:sz w:val="24"/>
          <w:szCs w:val="24"/>
        </w:rPr>
        <w:t>Potpuno amortizirana imovina</w:t>
      </w:r>
    </w:p>
    <w:p w:rsidR="003D3219" w:rsidRPr="003D3219" w:rsidRDefault="003D3219" w:rsidP="00C433F8">
      <w:pPr>
        <w:numPr>
          <w:ilvl w:val="0"/>
          <w:numId w:val="5"/>
        </w:numPr>
        <w:spacing w:after="0" w:line="240" w:lineRule="auto"/>
        <w:contextualSpacing/>
        <w:jc w:val="both"/>
        <w:rPr>
          <w:rFonts w:eastAsia="Calibri" w:cstheme="minorHAnsi"/>
          <w:sz w:val="24"/>
          <w:szCs w:val="24"/>
        </w:rPr>
      </w:pPr>
      <w:r w:rsidRPr="003D3219">
        <w:rPr>
          <w:rFonts w:eastAsia="Calibri" w:cstheme="minorHAnsi"/>
          <w:sz w:val="24"/>
          <w:szCs w:val="24"/>
        </w:rPr>
        <w:t>Dodatni ulazni podaci</w:t>
      </w:r>
    </w:p>
    <w:p w:rsidR="003D3219" w:rsidRPr="003D3219" w:rsidRDefault="003D3219" w:rsidP="003A6F28">
      <w:pPr>
        <w:pStyle w:val="Heading3"/>
      </w:pPr>
      <w:bookmarkStart w:id="340" w:name="_Toc51156688"/>
      <w:bookmarkStart w:id="341" w:name="_Toc51246436"/>
      <w:bookmarkStart w:id="342" w:name="_Toc51252358"/>
      <w:bookmarkStart w:id="343" w:name="_Toc51253482"/>
      <w:bookmarkStart w:id="344" w:name="_Toc51666112"/>
      <w:bookmarkStart w:id="345" w:name="_Toc51156689"/>
      <w:bookmarkStart w:id="346" w:name="_Toc51246437"/>
      <w:bookmarkStart w:id="347" w:name="_Toc51252359"/>
      <w:bookmarkStart w:id="348" w:name="_Toc51253483"/>
      <w:bookmarkStart w:id="349" w:name="_Toc51666113"/>
      <w:bookmarkStart w:id="350" w:name="_Toc53941967"/>
      <w:bookmarkStart w:id="351" w:name="_Toc54250940"/>
      <w:bookmarkStart w:id="352" w:name="_Toc54252838"/>
      <w:bookmarkStart w:id="353" w:name="_Toc54261650"/>
      <w:bookmarkStart w:id="354" w:name="_Ref50991042"/>
      <w:bookmarkStart w:id="355" w:name="_Toc51252360"/>
      <w:bookmarkStart w:id="356" w:name="_Toc51676903"/>
      <w:bookmarkEnd w:id="340"/>
      <w:bookmarkEnd w:id="341"/>
      <w:bookmarkEnd w:id="342"/>
      <w:bookmarkEnd w:id="343"/>
      <w:bookmarkEnd w:id="344"/>
      <w:bookmarkEnd w:id="345"/>
      <w:bookmarkEnd w:id="346"/>
      <w:bookmarkEnd w:id="347"/>
      <w:bookmarkEnd w:id="348"/>
      <w:bookmarkEnd w:id="349"/>
      <w:r w:rsidRPr="003D3219">
        <w:t>Pokrivanje</w:t>
      </w:r>
      <w:bookmarkEnd w:id="350"/>
      <w:bookmarkEnd w:id="351"/>
      <w:bookmarkEnd w:id="352"/>
      <w:bookmarkEnd w:id="353"/>
      <w:r w:rsidRPr="003D3219">
        <w:t xml:space="preserve"> </w:t>
      </w:r>
      <w:bookmarkEnd w:id="354"/>
      <w:bookmarkEnd w:id="355"/>
      <w:bookmarkEnd w:id="356"/>
    </w:p>
    <w:p w:rsidR="003D3219" w:rsidRPr="003D3219" w:rsidRDefault="003D3219" w:rsidP="003D3219">
      <w:pPr>
        <w:jc w:val="both"/>
        <w:rPr>
          <w:sz w:val="24"/>
          <w:szCs w:val="24"/>
        </w:rPr>
      </w:pPr>
      <w:r w:rsidRPr="003D3219">
        <w:rPr>
          <w:sz w:val="24"/>
          <w:szCs w:val="24"/>
        </w:rPr>
        <w:t>Ulazni podaci o pokrivanju odnose se na broj pokrivenih korisničkih jedinica (stanova, poslovnih prostora itd.) pristupnom mrežom (mrežom bakrenih parica, dalje: bakrena mreža i mrežom svjetlovodnih niti, dalje: svjetlovodna mreža). Ulazni podaci o pokrivanju definirani su na razini geotipa i godine, a zasnovani su na podacima koje je dostavio HT u postupku prikupljanja podataka.</w:t>
      </w:r>
    </w:p>
    <w:p w:rsidR="003D3219" w:rsidRPr="003D3219" w:rsidRDefault="003D3219" w:rsidP="003D3219">
      <w:pPr>
        <w:jc w:val="both"/>
        <w:rPr>
          <w:sz w:val="24"/>
          <w:szCs w:val="24"/>
        </w:rPr>
      </w:pPr>
      <w:r w:rsidRPr="003D3219">
        <w:rPr>
          <w:sz w:val="24"/>
          <w:szCs w:val="24"/>
        </w:rPr>
        <w:t xml:space="preserve">U tom smislu, važno je napomenuti da se razmatra </w:t>
      </w:r>
      <w:r w:rsidR="00B974EE">
        <w:rPr>
          <w:sz w:val="24"/>
          <w:szCs w:val="24"/>
        </w:rPr>
        <w:t>razdoblje</w:t>
      </w:r>
      <w:r w:rsidRPr="003D3219">
        <w:rPr>
          <w:sz w:val="24"/>
          <w:szCs w:val="24"/>
        </w:rPr>
        <w:t xml:space="preserve"> do 2027., iako metoda ekonomske amortizacije treba izračunati amortizaciju za cijeli korisni vijek </w:t>
      </w:r>
      <w:r w:rsidR="00467F15">
        <w:rPr>
          <w:sz w:val="24"/>
          <w:szCs w:val="24"/>
        </w:rPr>
        <w:t>upotreb</w:t>
      </w:r>
      <w:r w:rsidRPr="003D3219">
        <w:rPr>
          <w:sz w:val="24"/>
          <w:szCs w:val="24"/>
        </w:rPr>
        <w:t>e imovine koji se produžuje iza te godine. Stoga model, u svrhu izračuna, smatra da je ulazni podatak o pokrivanju nakon 2027. konstantan da bi se zadržala konzistentnost s infrastrukturom koja se izgradila tijekom razmatranog perioda.</w:t>
      </w:r>
    </w:p>
    <w:p w:rsidR="003D3219" w:rsidRDefault="003D3219" w:rsidP="003D3219">
      <w:pPr>
        <w:jc w:val="both"/>
        <w:rPr>
          <w:sz w:val="24"/>
          <w:szCs w:val="24"/>
        </w:rPr>
      </w:pPr>
      <w:r w:rsidRPr="003D3219">
        <w:rPr>
          <w:sz w:val="24"/>
          <w:szCs w:val="24"/>
        </w:rPr>
        <w:t>Također je važno istaknuti da je HT tijekom prikupljanja podataka dostavio brojke o ukupnom broju korisničkih jedinica u Republici Hrvatskoj koji se razlikuju od ukupnog broja korisničkih jedinica koji je službeno dostupan u Državnom zavodu za statistiku (dalje: DZS). HT je razliku u svojim podacima u odnosu na službene podatke DZS-a obja</w:t>
      </w:r>
      <w:r w:rsidR="00F0599F">
        <w:rPr>
          <w:sz w:val="24"/>
          <w:szCs w:val="24"/>
        </w:rPr>
        <w:t>snio</w:t>
      </w:r>
      <w:r w:rsidRPr="003D3219">
        <w:rPr>
          <w:sz w:val="24"/>
          <w:szCs w:val="24"/>
        </w:rPr>
        <w:t xml:space="preserve"> činjenicom da HT u svojim bazama podataka sve samostojeće kuće vodi kao jedan stan, dok DZS ima podatak da takve samostojeće kuće često sadrže više stanova. Također, razlika nastaje i zbog toga jer HT u svojim bazama, za razliku od DZS-a, nema prazne i ne</w:t>
      </w:r>
      <w:r w:rsidR="00F0599F">
        <w:rPr>
          <w:sz w:val="24"/>
          <w:szCs w:val="24"/>
        </w:rPr>
        <w:t>u</w:t>
      </w:r>
      <w:r w:rsidRPr="003D3219">
        <w:rPr>
          <w:sz w:val="24"/>
          <w:szCs w:val="24"/>
        </w:rPr>
        <w:t xml:space="preserve">seljene stanove. </w:t>
      </w:r>
      <w:r w:rsidR="00F0599F">
        <w:rPr>
          <w:sz w:val="24"/>
          <w:szCs w:val="24"/>
        </w:rPr>
        <w:t xml:space="preserve">HAKOM je odlučio koristiti </w:t>
      </w:r>
      <w:r w:rsidRPr="003D3219">
        <w:rPr>
          <w:sz w:val="24"/>
          <w:szCs w:val="24"/>
        </w:rPr>
        <w:t xml:space="preserve">podatak o ukupnom broju korisničkih jedinica koji je dostupan u DZS-u, budući da je riječ o službenom izvoru te je tako definirano i </w:t>
      </w:r>
      <w:r w:rsidR="00F0599F">
        <w:rPr>
          <w:sz w:val="24"/>
          <w:szCs w:val="24"/>
        </w:rPr>
        <w:t xml:space="preserve">u </w:t>
      </w:r>
      <w:r w:rsidRPr="003D3219">
        <w:rPr>
          <w:sz w:val="24"/>
          <w:szCs w:val="24"/>
        </w:rPr>
        <w:t xml:space="preserve">prethodno utvrđenim metodološkim načelima iz poglavlja </w:t>
      </w:r>
      <w:r w:rsidRPr="003D3219">
        <w:rPr>
          <w:sz w:val="24"/>
          <w:szCs w:val="24"/>
        </w:rPr>
        <w:fldChar w:fldCharType="begin"/>
      </w:r>
      <w:r w:rsidRPr="003D3219">
        <w:rPr>
          <w:sz w:val="24"/>
          <w:szCs w:val="24"/>
        </w:rPr>
        <w:instrText xml:space="preserve"> REF _Ref51666008 \r \h </w:instrText>
      </w:r>
      <w:r w:rsidRPr="003D3219">
        <w:rPr>
          <w:sz w:val="24"/>
          <w:szCs w:val="24"/>
        </w:rPr>
      </w:r>
      <w:r w:rsidRPr="003D3219">
        <w:rPr>
          <w:sz w:val="24"/>
          <w:szCs w:val="24"/>
        </w:rPr>
        <w:fldChar w:fldCharType="separate"/>
      </w:r>
      <w:r w:rsidR="00B047B3">
        <w:rPr>
          <w:sz w:val="24"/>
          <w:szCs w:val="24"/>
        </w:rPr>
        <w:t>4.1</w:t>
      </w:r>
      <w:r w:rsidRPr="003D3219">
        <w:rPr>
          <w:sz w:val="24"/>
          <w:szCs w:val="24"/>
        </w:rPr>
        <w:fldChar w:fldCharType="end"/>
      </w:r>
      <w:r w:rsidRPr="003D3219">
        <w:rPr>
          <w:sz w:val="24"/>
          <w:szCs w:val="24"/>
        </w:rPr>
        <w:t>. Podaci o pokrivanju koje je dostavio HT su prilagođeni tako da odgovaraju većem ukupnom broju korisničkih jedinica iz DZS-a.</w:t>
      </w:r>
    </w:p>
    <w:p w:rsidR="00052EDD" w:rsidRPr="00052EDD" w:rsidRDefault="00052EDD" w:rsidP="00052EDD">
      <w:pPr>
        <w:jc w:val="both"/>
        <w:rPr>
          <w:sz w:val="24"/>
          <w:szCs w:val="24"/>
        </w:rPr>
      </w:pPr>
      <w:r w:rsidRPr="00052EDD">
        <w:rPr>
          <w:sz w:val="24"/>
          <w:szCs w:val="24"/>
        </w:rPr>
        <w:fldChar w:fldCharType="begin"/>
      </w:r>
      <w:r w:rsidRPr="00052EDD">
        <w:rPr>
          <w:sz w:val="24"/>
          <w:szCs w:val="24"/>
        </w:rPr>
        <w:instrText xml:space="preserve"> REF _Ref52285623 \h  \* MERGEFORMAT </w:instrText>
      </w:r>
      <w:r w:rsidRPr="00052EDD">
        <w:rPr>
          <w:sz w:val="24"/>
          <w:szCs w:val="24"/>
        </w:rPr>
      </w:r>
      <w:r w:rsidRPr="00052EDD">
        <w:rPr>
          <w:sz w:val="24"/>
          <w:szCs w:val="24"/>
        </w:rPr>
        <w:fldChar w:fldCharType="separate"/>
      </w:r>
      <w:r w:rsidR="00B047B3" w:rsidRPr="00B047B3">
        <w:rPr>
          <w:sz w:val="24"/>
          <w:szCs w:val="24"/>
        </w:rPr>
        <w:t>Slika 12</w:t>
      </w:r>
      <w:r w:rsidRPr="00052EDD">
        <w:rPr>
          <w:sz w:val="24"/>
          <w:szCs w:val="24"/>
        </w:rPr>
        <w:fldChar w:fldCharType="end"/>
      </w:r>
      <w:r w:rsidRPr="00052EDD">
        <w:rPr>
          <w:sz w:val="24"/>
          <w:szCs w:val="24"/>
        </w:rPr>
        <w:t xml:space="preserve"> prikazuje ulazne podatke o pokrivanju koji se koriste u Troškovnom modelu za svaku od pristupnih mreža.</w:t>
      </w:r>
    </w:p>
    <w:p w:rsidR="00052EDD" w:rsidRPr="00052EDD" w:rsidRDefault="00052EDD" w:rsidP="00052EDD">
      <w:pPr>
        <w:jc w:val="both"/>
        <w:rPr>
          <w:sz w:val="24"/>
          <w:szCs w:val="24"/>
        </w:rPr>
      </w:pPr>
      <w:r w:rsidRPr="00052EDD">
        <w:rPr>
          <w:sz w:val="24"/>
          <w:szCs w:val="24"/>
        </w:rPr>
        <w:t>Također je potrebno naglasiti da podaci o pokrivanju koji se koriste u Troškovnom modelu uključuju i područja pokrivanja za koja se očekuje da će biti pokrivena kroz projekte razvoja širokopojasnog pristupa iz Okvirnog nacionalnog programa za razvoj infrastrukture širokopojasnog pristupa u područjima u kojima ne postoji dostatan komercijalni interes za ulaganja (dalje: ONP). Sukladno tome, za iznos sredstava koje HT planira dobiti kao državnu potporu za te projekte su se u Troškovnom modelu smanjila potrebna ulaganja za gradnju novih mreža.</w:t>
      </w:r>
    </w:p>
    <w:p w:rsidR="00052EDD" w:rsidRPr="003D3219" w:rsidRDefault="00052EDD" w:rsidP="003D3219">
      <w:pPr>
        <w:jc w:val="both"/>
        <w:rPr>
          <w:sz w:val="24"/>
          <w:szCs w:val="24"/>
        </w:rPr>
      </w:pPr>
    </w:p>
    <w:p w:rsidR="003D3219" w:rsidRPr="003D3219" w:rsidRDefault="008D2898" w:rsidP="00C00568">
      <w:pPr>
        <w:pStyle w:val="Caption"/>
        <w:jc w:val="center"/>
      </w:pPr>
      <w:bookmarkStart w:id="357" w:name="_Toc54175840"/>
      <w:bookmarkStart w:id="358" w:name="_Toc54261704"/>
      <w:r w:rsidRPr="008D2898">
        <w:sym w:font="Wingdings 2" w:char="F026"/>
      </w:r>
      <w:bookmarkStart w:id="359" w:name="_Ref52285623"/>
      <w:bookmarkStart w:id="360" w:name="_Toc53941930"/>
      <w:r w:rsidR="003D3219" w:rsidRPr="003D3219">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12</w:t>
      </w:r>
      <w:r w:rsidR="00E6032F">
        <w:rPr>
          <w:noProof/>
        </w:rPr>
        <w:fldChar w:fldCharType="end"/>
      </w:r>
      <w:bookmarkEnd w:id="359"/>
      <w:r w:rsidR="003D3219" w:rsidRPr="003D3219">
        <w:t xml:space="preserve"> - Broj pokrivenih korisničkih jedinica po pristupnoj mreži (izvor: HAKOM na temelju podataka operatora)</w:t>
      </w:r>
      <w:bookmarkEnd w:id="357"/>
      <w:bookmarkEnd w:id="358"/>
      <w:bookmarkEnd w:id="360"/>
    </w:p>
    <w:p w:rsidR="003D3219" w:rsidRPr="003D3219" w:rsidRDefault="003D3219" w:rsidP="003D3219">
      <w:pPr>
        <w:jc w:val="both"/>
        <w:rPr>
          <w:sz w:val="24"/>
          <w:szCs w:val="24"/>
        </w:rPr>
      </w:pPr>
      <w:r w:rsidRPr="003D3219">
        <w:rPr>
          <w:sz w:val="24"/>
          <w:szCs w:val="24"/>
        </w:rPr>
        <w:t>Prilikom savjetovanja s operatorima u vezi Troškovnog modela HT je izrazio neslaganje s podacima o pokrivanju koji se koriste u Troškovnom modelu, dok su se A1 i Optima izjasnili da se slažu s podacima o pokrivanju. Ostali operatori se nisu očitovali.</w:t>
      </w:r>
    </w:p>
    <w:p w:rsidR="003D3219" w:rsidRPr="003D3219" w:rsidRDefault="003D3219" w:rsidP="003D3219">
      <w:pPr>
        <w:jc w:val="both"/>
        <w:rPr>
          <w:sz w:val="24"/>
          <w:szCs w:val="24"/>
        </w:rPr>
      </w:pPr>
      <w:r w:rsidRPr="003D3219">
        <w:rPr>
          <w:sz w:val="24"/>
          <w:szCs w:val="24"/>
        </w:rPr>
        <w:t xml:space="preserve">HT je svoje neslaganje izrazio u odnosu na podatke o pokrivanju svjetlovodnom mrežom, ističući primjere </w:t>
      </w:r>
      <w:r w:rsidR="00480BF1">
        <w:rPr>
          <w:sz w:val="24"/>
          <w:szCs w:val="24"/>
        </w:rPr>
        <w:t>nerealnog predviđenog pokrivanja svjetlovodnom mrežom za određene geotipove</w:t>
      </w:r>
      <w:r w:rsidRPr="003D3219">
        <w:rPr>
          <w:sz w:val="24"/>
          <w:szCs w:val="24"/>
        </w:rPr>
        <w:t>. Također se iznosi neslaganje s distribucijom pokrivanja svjetlovodne mreže po urbanim geotipovima, ističući da gustoća zgrada nije ispravan kriterij za definiciju urbanih geotipova, smatrajući da bi se za definiranje urbanih geotipova trebao koristiti kriterij definicije “grada” iz Zakona o lokalnoj i područnoj (regionalnoj) samoupravi</w:t>
      </w:r>
      <w:r w:rsidRPr="003D3219">
        <w:rPr>
          <w:sz w:val="24"/>
          <w:szCs w:val="24"/>
          <w:vertAlign w:val="superscript"/>
          <w:lang w:val="en-GB"/>
        </w:rPr>
        <w:footnoteReference w:id="13"/>
      </w:r>
      <w:r w:rsidRPr="003D3219">
        <w:rPr>
          <w:sz w:val="24"/>
          <w:szCs w:val="24"/>
        </w:rPr>
        <w:t>.</w:t>
      </w:r>
    </w:p>
    <w:p w:rsidR="003D3219" w:rsidRPr="003D3219" w:rsidRDefault="00A410B6" w:rsidP="003D3219">
      <w:pPr>
        <w:jc w:val="both"/>
        <w:rPr>
          <w:sz w:val="24"/>
          <w:szCs w:val="24"/>
        </w:rPr>
      </w:pPr>
      <w:r>
        <w:rPr>
          <w:sz w:val="24"/>
          <w:szCs w:val="24"/>
        </w:rPr>
        <w:t>HAKOM</w:t>
      </w:r>
      <w:r w:rsidR="003D3219" w:rsidRPr="003D3219">
        <w:rPr>
          <w:sz w:val="24"/>
          <w:szCs w:val="24"/>
        </w:rPr>
        <w:t xml:space="preserve"> ni</w:t>
      </w:r>
      <w:r>
        <w:rPr>
          <w:sz w:val="24"/>
          <w:szCs w:val="24"/>
        </w:rPr>
        <w:t>je</w:t>
      </w:r>
      <w:r w:rsidR="003D3219" w:rsidRPr="003D3219">
        <w:rPr>
          <w:sz w:val="24"/>
          <w:szCs w:val="24"/>
        </w:rPr>
        <w:t xml:space="preserve"> prihvati</w:t>
      </w:r>
      <w:r>
        <w:rPr>
          <w:sz w:val="24"/>
          <w:szCs w:val="24"/>
        </w:rPr>
        <w:t>o</w:t>
      </w:r>
      <w:r w:rsidR="003D3219" w:rsidRPr="003D3219">
        <w:rPr>
          <w:sz w:val="24"/>
          <w:szCs w:val="24"/>
        </w:rPr>
        <w:t xml:space="preserve"> argumente HT-a kojima osporava podatke o pokrivanju svjetlovodnom mrežom prvenstveno ističući da su podaci o pokrivanju koji se koriste u Troškovnom modelu zasnovani na podacima koje je dostavio HT. Isto tako je istaknuto da, iako HT osporava podatke u </w:t>
      </w:r>
      <w:r w:rsidR="00647821">
        <w:rPr>
          <w:sz w:val="24"/>
          <w:szCs w:val="24"/>
        </w:rPr>
        <w:t>određenim geotipovima</w:t>
      </w:r>
      <w:r w:rsidR="003D3219" w:rsidRPr="003D3219">
        <w:rPr>
          <w:sz w:val="24"/>
          <w:szCs w:val="24"/>
        </w:rPr>
        <w:t>, nije dostavio alternativne podatke koji bi bili ispravni, iako je bio pozvan da to učini ukoliko se ne slaže s podacima iz Troškovnog modela. Zbog svega navedenog odlučeno je da se podaci o pokrivanju koji se koriste u modelu i koji se zasnivaju na podacima koje je dostavio HT ne mijenjaju.</w:t>
      </w:r>
    </w:p>
    <w:p w:rsidR="003D3219" w:rsidRPr="003D3219" w:rsidRDefault="003D3219" w:rsidP="003D3219">
      <w:pPr>
        <w:jc w:val="both"/>
        <w:rPr>
          <w:sz w:val="24"/>
          <w:szCs w:val="24"/>
        </w:rPr>
      </w:pPr>
      <w:r w:rsidRPr="003D3219">
        <w:rPr>
          <w:sz w:val="24"/>
          <w:szCs w:val="24"/>
        </w:rPr>
        <w:t xml:space="preserve">Vezano uz neslaganje HT-a s definicijom geotipova kako je </w:t>
      </w:r>
      <w:r w:rsidR="00A640F0" w:rsidRPr="003D3219">
        <w:rPr>
          <w:sz w:val="24"/>
          <w:szCs w:val="24"/>
        </w:rPr>
        <w:t>primijenjena</w:t>
      </w:r>
      <w:r w:rsidRPr="003D3219">
        <w:rPr>
          <w:sz w:val="24"/>
          <w:szCs w:val="24"/>
        </w:rPr>
        <w:t xml:space="preserve"> u Troškovnom modelu </w:t>
      </w:r>
      <w:r w:rsidR="00A410B6">
        <w:rPr>
          <w:sz w:val="24"/>
          <w:szCs w:val="24"/>
        </w:rPr>
        <w:t>HAKOM</w:t>
      </w:r>
      <w:r w:rsidRPr="003D3219">
        <w:rPr>
          <w:sz w:val="24"/>
          <w:szCs w:val="24"/>
        </w:rPr>
        <w:t xml:space="preserve"> istič</w:t>
      </w:r>
      <w:r w:rsidR="00180C42">
        <w:rPr>
          <w:sz w:val="24"/>
          <w:szCs w:val="24"/>
        </w:rPr>
        <w:t>e</w:t>
      </w:r>
      <w:r w:rsidRPr="003D3219">
        <w:rPr>
          <w:sz w:val="24"/>
          <w:szCs w:val="24"/>
        </w:rPr>
        <w:t xml:space="preserve"> da je definicija geotipova koja se koristi u Troškovnom modelu zasnovana na područjima pokrivanja MDF-ova, a ne na granicama jedinica lokalne samouprave (gradovi i općine). Razlog tomu je što, suprotno od onoga što predlaže HT, je gustoća zgrada od presudne važnosti kad se govori o troškovima mreže te stoga Troškovni model mora biti izrađen u skladu s tom činjenicom. </w:t>
      </w:r>
      <w:r w:rsidR="00A410B6">
        <w:rPr>
          <w:sz w:val="24"/>
          <w:szCs w:val="24"/>
        </w:rPr>
        <w:t>HAKOM</w:t>
      </w:r>
      <w:r w:rsidRPr="003D3219">
        <w:rPr>
          <w:sz w:val="24"/>
          <w:szCs w:val="24"/>
        </w:rPr>
        <w:t xml:space="preserve"> također ističu da je gustoća zgrada definirana kao jedan od kriterija definicije geotipova u dokumentu kojim su definirana metodološka načela, a koji je HT također imao priliku komentirati. Važno je reći da HT tom prilikom nije osporavao način definicije geotipova.</w:t>
      </w:r>
    </w:p>
    <w:p w:rsidR="003D3219" w:rsidRPr="003D3219" w:rsidRDefault="003D3219" w:rsidP="003D3219">
      <w:pPr>
        <w:jc w:val="both"/>
        <w:rPr>
          <w:sz w:val="24"/>
          <w:szCs w:val="24"/>
        </w:rPr>
      </w:pPr>
      <w:r w:rsidRPr="003D3219">
        <w:rPr>
          <w:sz w:val="24"/>
          <w:szCs w:val="24"/>
        </w:rPr>
        <w:t>Pored toga, Troškovni model ne definira pravne kriterije za definiciju “grada”, nego slijedi najtočniji pristup modeliranja mreže elektroničkih komunikacija za područja s različitim karakteristikama.</w:t>
      </w:r>
    </w:p>
    <w:p w:rsidR="003D3219" w:rsidRPr="003D3219" w:rsidRDefault="003D3219" w:rsidP="003A6F28">
      <w:pPr>
        <w:pStyle w:val="Heading3"/>
      </w:pPr>
      <w:bookmarkStart w:id="361" w:name="_Toc51252361"/>
      <w:bookmarkStart w:id="362" w:name="_Toc51676904"/>
      <w:bookmarkStart w:id="363" w:name="_Ref52261049"/>
      <w:bookmarkStart w:id="364" w:name="_Ref52361888"/>
      <w:bookmarkStart w:id="365" w:name="_Ref52440299"/>
      <w:bookmarkStart w:id="366" w:name="_Ref52440790"/>
      <w:bookmarkStart w:id="367" w:name="_Toc53941968"/>
      <w:bookmarkStart w:id="368" w:name="_Toc54250941"/>
      <w:bookmarkStart w:id="369" w:name="_Toc54252839"/>
      <w:bookmarkStart w:id="370" w:name="_Toc54261651"/>
      <w:r w:rsidRPr="003D3219">
        <w:t>Potražnja</w:t>
      </w:r>
      <w:bookmarkEnd w:id="361"/>
      <w:bookmarkEnd w:id="362"/>
      <w:bookmarkEnd w:id="363"/>
      <w:bookmarkEnd w:id="364"/>
      <w:bookmarkEnd w:id="365"/>
      <w:bookmarkEnd w:id="366"/>
      <w:bookmarkEnd w:id="367"/>
      <w:bookmarkEnd w:id="368"/>
      <w:bookmarkEnd w:id="369"/>
      <w:bookmarkEnd w:id="370"/>
    </w:p>
    <w:p w:rsidR="003D3219" w:rsidRPr="003D3219" w:rsidRDefault="003D3219" w:rsidP="00AE1927">
      <w:pPr>
        <w:jc w:val="both"/>
        <w:rPr>
          <w:sz w:val="24"/>
          <w:szCs w:val="24"/>
        </w:rPr>
      </w:pPr>
      <w:r w:rsidRPr="003D3219">
        <w:rPr>
          <w:sz w:val="24"/>
          <w:szCs w:val="24"/>
        </w:rPr>
        <w:t xml:space="preserve">Potražnja usluga koje se modeliraju je jedan od najvažnijih ulaznih podataka u Troškovni model i od presudne je važnosti za određivanje potrebnih elemenata mreže u pojedinim </w:t>
      </w:r>
      <w:r w:rsidR="00A640F0" w:rsidRPr="003D3219">
        <w:rPr>
          <w:sz w:val="24"/>
          <w:szCs w:val="24"/>
        </w:rPr>
        <w:t>dijelovima</w:t>
      </w:r>
      <w:r w:rsidRPr="003D3219">
        <w:rPr>
          <w:sz w:val="24"/>
          <w:szCs w:val="24"/>
        </w:rPr>
        <w:t xml:space="preserve"> mreže, kao i za izračun jediničnih troškova usluga. Potražnja se u Troškovni model unosi za svaku modeliranu uslugu i za svaku godinu. </w:t>
      </w:r>
    </w:p>
    <w:p w:rsidR="003D3219" w:rsidRPr="003D3219" w:rsidRDefault="003D3219" w:rsidP="00AE1927">
      <w:pPr>
        <w:jc w:val="both"/>
        <w:rPr>
          <w:sz w:val="24"/>
          <w:szCs w:val="24"/>
        </w:rPr>
      </w:pPr>
      <w:r w:rsidRPr="003D3219">
        <w:rPr>
          <w:sz w:val="24"/>
          <w:szCs w:val="24"/>
        </w:rPr>
        <w:t>Ulazni podaci o potražnji trebaju predstavljati realnosti SMP operatora na tržištima M3a, M3b, M4 &amp; ex</w:t>
      </w:r>
      <w:r w:rsidR="00AE1927">
        <w:rPr>
          <w:sz w:val="24"/>
          <w:szCs w:val="24"/>
        </w:rPr>
        <w:t>-</w:t>
      </w:r>
      <w:r w:rsidRPr="003D3219">
        <w:rPr>
          <w:sz w:val="24"/>
          <w:szCs w:val="24"/>
        </w:rPr>
        <w:t>M14, odnosno moraju odražavati potražnju za uslugama HT-a. Na donjoj slici prikazana je potražnja za uslugama pristupa na HT-ovim pristupnim mrežama (posebno za bakrenu, posebno za svjetlovodnu mrežu) koja je une</w:t>
      </w:r>
      <w:r w:rsidR="007967BA">
        <w:rPr>
          <w:sz w:val="24"/>
          <w:szCs w:val="24"/>
        </w:rPr>
        <w:t>s</w:t>
      </w:r>
      <w:r w:rsidRPr="003D3219">
        <w:rPr>
          <w:sz w:val="24"/>
          <w:szCs w:val="24"/>
        </w:rPr>
        <w:t xml:space="preserve">ena u Troškovni model. </w:t>
      </w:r>
    </w:p>
    <w:p w:rsidR="003D3219" w:rsidRPr="003D3219" w:rsidRDefault="003D3219" w:rsidP="003D3219">
      <w:pPr>
        <w:spacing w:after="0" w:line="240" w:lineRule="auto"/>
        <w:jc w:val="both"/>
        <w:rPr>
          <w:sz w:val="24"/>
          <w:szCs w:val="24"/>
        </w:rPr>
      </w:pPr>
    </w:p>
    <w:p w:rsidR="003D3219" w:rsidRPr="003D3219" w:rsidRDefault="008D2898" w:rsidP="00C00568">
      <w:pPr>
        <w:pStyle w:val="Caption"/>
        <w:rPr>
          <w:sz w:val="24"/>
          <w:szCs w:val="24"/>
        </w:rPr>
      </w:pPr>
      <w:bookmarkStart w:id="371" w:name="_Toc54175841"/>
      <w:bookmarkStart w:id="372" w:name="_Toc54261705"/>
      <w:r w:rsidRPr="008D2898">
        <w:sym w:font="Wingdings 2" w:char="F026"/>
      </w:r>
      <w:bookmarkStart w:id="373" w:name="_Toc53941931"/>
      <w:r w:rsidR="003D3219" w:rsidRPr="003D3219">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13</w:t>
      </w:r>
      <w:r w:rsidR="00E6032F">
        <w:rPr>
          <w:noProof/>
        </w:rPr>
        <w:fldChar w:fldCharType="end"/>
      </w:r>
      <w:r w:rsidR="003D3219" w:rsidRPr="003D3219">
        <w:t xml:space="preserve"> - Potražnja usluga pristupa prema pristupnoj mreži u </w:t>
      </w:r>
      <w:r w:rsidR="00B974EE">
        <w:t>razdoblju</w:t>
      </w:r>
      <w:r w:rsidR="003D3219" w:rsidRPr="003D3219">
        <w:t xml:space="preserve"> 2017-2027. (Izvor: HAKOM osnovu podataka operatora)</w:t>
      </w:r>
      <w:bookmarkEnd w:id="371"/>
      <w:bookmarkEnd w:id="372"/>
      <w:bookmarkEnd w:id="373"/>
    </w:p>
    <w:p w:rsidR="003D3219" w:rsidRPr="003D3219" w:rsidRDefault="003D3219" w:rsidP="00AE1927">
      <w:pPr>
        <w:jc w:val="both"/>
        <w:rPr>
          <w:sz w:val="24"/>
          <w:szCs w:val="24"/>
        </w:rPr>
      </w:pPr>
      <w:r w:rsidRPr="003D3219">
        <w:rPr>
          <w:sz w:val="24"/>
          <w:szCs w:val="24"/>
        </w:rPr>
        <w:t xml:space="preserve">Bitno je napomenuti da se podaci o potražnji </w:t>
      </w:r>
      <w:r w:rsidR="00AE1927">
        <w:rPr>
          <w:sz w:val="24"/>
          <w:szCs w:val="24"/>
        </w:rPr>
        <w:t>temelje</w:t>
      </w:r>
      <w:r w:rsidR="00AE1927" w:rsidRPr="003D3219">
        <w:rPr>
          <w:sz w:val="24"/>
          <w:szCs w:val="24"/>
        </w:rPr>
        <w:t xml:space="preserve"> </w:t>
      </w:r>
      <w:r w:rsidRPr="003D3219">
        <w:rPr>
          <w:sz w:val="24"/>
          <w:szCs w:val="24"/>
        </w:rPr>
        <w:t>na podacima o potražnji koje je dostavio HT tijekom procesa prikupljanja podataka</w:t>
      </w:r>
      <w:r w:rsidR="00AE1927">
        <w:rPr>
          <w:sz w:val="24"/>
          <w:szCs w:val="24"/>
        </w:rPr>
        <w:t>. Z</w:t>
      </w:r>
      <w:r w:rsidRPr="003D3219">
        <w:rPr>
          <w:sz w:val="24"/>
          <w:szCs w:val="24"/>
        </w:rPr>
        <w:t xml:space="preserve">a potražnju za uslugama na bakrenoj mreži </w:t>
      </w:r>
      <w:r w:rsidR="007208A3">
        <w:rPr>
          <w:sz w:val="24"/>
          <w:szCs w:val="24"/>
        </w:rPr>
        <w:t>korišteni</w:t>
      </w:r>
      <w:r w:rsidRPr="003D3219">
        <w:rPr>
          <w:sz w:val="24"/>
          <w:szCs w:val="24"/>
        </w:rPr>
        <w:t xml:space="preserve"> </w:t>
      </w:r>
      <w:r w:rsidR="00AE1927">
        <w:rPr>
          <w:sz w:val="24"/>
          <w:szCs w:val="24"/>
        </w:rPr>
        <w:t xml:space="preserve">su </w:t>
      </w:r>
      <w:r w:rsidRPr="003D3219">
        <w:rPr>
          <w:sz w:val="24"/>
          <w:szCs w:val="24"/>
        </w:rPr>
        <w:t xml:space="preserve">stvarni podaci </w:t>
      </w:r>
      <w:r w:rsidR="00AE1927">
        <w:rPr>
          <w:sz w:val="24"/>
          <w:szCs w:val="24"/>
        </w:rPr>
        <w:t>dostavljeni od HT-a. S druge strane,</w:t>
      </w:r>
      <w:r w:rsidRPr="003D3219">
        <w:rPr>
          <w:sz w:val="24"/>
          <w:szCs w:val="24"/>
        </w:rPr>
        <w:t xml:space="preserve"> za usluge na svjetlovodnoj pristupnoj mreži nisu </w:t>
      </w:r>
      <w:r w:rsidR="00AE1927">
        <w:rPr>
          <w:sz w:val="24"/>
          <w:szCs w:val="24"/>
        </w:rPr>
        <w:t>korišteni</w:t>
      </w:r>
      <w:r w:rsidR="00AE1927" w:rsidRPr="003D3219">
        <w:rPr>
          <w:sz w:val="24"/>
          <w:szCs w:val="24"/>
        </w:rPr>
        <w:t xml:space="preserve"> </w:t>
      </w:r>
      <w:r w:rsidRPr="003D3219">
        <w:rPr>
          <w:sz w:val="24"/>
          <w:szCs w:val="24"/>
        </w:rPr>
        <w:t xml:space="preserve">podaci o potražnji koje je dostavio HT, nego se potražnja izračunala kao postotak korisničkih jedinica s aktivnim svjetlovodnim linijama </w:t>
      </w:r>
      <w:r w:rsidR="007208A3">
        <w:rPr>
          <w:sz w:val="24"/>
          <w:szCs w:val="24"/>
        </w:rPr>
        <w:t xml:space="preserve">u odnosu na ukupan broj </w:t>
      </w:r>
      <w:r w:rsidRPr="003D3219">
        <w:rPr>
          <w:sz w:val="24"/>
          <w:szCs w:val="24"/>
        </w:rPr>
        <w:t xml:space="preserve">korisničkih jedinica pokrivenih svjetlovodnom mrežom (dalje: </w:t>
      </w:r>
      <w:r w:rsidR="00AE1927" w:rsidRPr="00AE1927">
        <w:rPr>
          <w:i/>
          <w:sz w:val="24"/>
          <w:szCs w:val="24"/>
        </w:rPr>
        <w:t>take-</w:t>
      </w:r>
      <w:r w:rsidRPr="003D3219">
        <w:rPr>
          <w:i/>
          <w:sz w:val="24"/>
          <w:szCs w:val="24"/>
        </w:rPr>
        <w:t>up</w:t>
      </w:r>
      <w:r w:rsidRPr="003D3219">
        <w:rPr>
          <w:sz w:val="24"/>
          <w:szCs w:val="24"/>
        </w:rPr>
        <w:t xml:space="preserve">), pri čemu je pretpostavljeno da će </w:t>
      </w:r>
      <w:r w:rsidRPr="003D3219">
        <w:rPr>
          <w:i/>
          <w:sz w:val="24"/>
          <w:szCs w:val="24"/>
        </w:rPr>
        <w:t>take</w:t>
      </w:r>
      <w:r w:rsidR="00AE1927" w:rsidRPr="00AE1927">
        <w:rPr>
          <w:i/>
          <w:sz w:val="24"/>
          <w:szCs w:val="24"/>
        </w:rPr>
        <w:t>-up</w:t>
      </w:r>
      <w:r w:rsidR="00AE1927" w:rsidRPr="00AE1927" w:rsidDel="00AE1927">
        <w:rPr>
          <w:sz w:val="24"/>
          <w:szCs w:val="24"/>
        </w:rPr>
        <w:t xml:space="preserve"> </w:t>
      </w:r>
      <w:r w:rsidRPr="003D3219">
        <w:rPr>
          <w:sz w:val="24"/>
          <w:szCs w:val="24"/>
        </w:rPr>
        <w:t xml:space="preserve">u 2027. biti 45%. </w:t>
      </w:r>
    </w:p>
    <w:p w:rsidR="003D3219" w:rsidRPr="003D3219" w:rsidRDefault="003D3219" w:rsidP="003D3219">
      <w:pPr>
        <w:spacing w:after="0" w:line="240" w:lineRule="auto"/>
        <w:jc w:val="both"/>
        <w:rPr>
          <w:sz w:val="24"/>
          <w:szCs w:val="24"/>
        </w:rPr>
      </w:pPr>
    </w:p>
    <w:p w:rsidR="003D3219" w:rsidRPr="003D3219" w:rsidRDefault="008D2898" w:rsidP="00C00568">
      <w:pPr>
        <w:pStyle w:val="Caption"/>
      </w:pPr>
      <w:bookmarkStart w:id="374" w:name="_Toc54175842"/>
      <w:bookmarkStart w:id="375" w:name="_Toc54261706"/>
      <w:r w:rsidRPr="008D2898">
        <w:sym w:font="Wingdings 2" w:char="F026"/>
      </w:r>
      <w:bookmarkStart w:id="376" w:name="_Ref51239320"/>
      <w:bookmarkStart w:id="377" w:name="_Toc53941932"/>
      <w:r w:rsidR="003D3219" w:rsidRPr="003D3219">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14</w:t>
      </w:r>
      <w:r w:rsidR="00E6032F">
        <w:rPr>
          <w:noProof/>
        </w:rPr>
        <w:fldChar w:fldCharType="end"/>
      </w:r>
      <w:bookmarkEnd w:id="376"/>
      <w:r w:rsidR="003D3219" w:rsidRPr="003D3219">
        <w:t xml:space="preserve"> - Take up usluga pristupa po pristupnoj mreži u periodu 2017-2027. (Izvor: HAKOM na osnovu na podataka operatora)</w:t>
      </w:r>
      <w:bookmarkEnd w:id="374"/>
      <w:bookmarkEnd w:id="375"/>
      <w:bookmarkEnd w:id="377"/>
    </w:p>
    <w:p w:rsidR="003D3219" w:rsidRPr="003D3219" w:rsidRDefault="003D3219" w:rsidP="003D3219">
      <w:pPr>
        <w:spacing w:after="0" w:line="240" w:lineRule="auto"/>
        <w:jc w:val="both"/>
        <w:rPr>
          <w:sz w:val="24"/>
          <w:szCs w:val="24"/>
        </w:rPr>
      </w:pPr>
      <w:r w:rsidRPr="003D3219">
        <w:rPr>
          <w:sz w:val="24"/>
          <w:szCs w:val="24"/>
        </w:rPr>
        <w:t xml:space="preserve">S obzirom na </w:t>
      </w:r>
      <w:r w:rsidR="00B974EE">
        <w:rPr>
          <w:sz w:val="24"/>
          <w:szCs w:val="24"/>
        </w:rPr>
        <w:t xml:space="preserve">važan utjecaj </w:t>
      </w:r>
      <w:r w:rsidRPr="003D3219">
        <w:rPr>
          <w:sz w:val="24"/>
          <w:szCs w:val="24"/>
        </w:rPr>
        <w:t xml:space="preserve">potražnje </w:t>
      </w:r>
      <w:r w:rsidR="00B974EE">
        <w:rPr>
          <w:sz w:val="24"/>
          <w:szCs w:val="24"/>
        </w:rPr>
        <w:t>n</w:t>
      </w:r>
      <w:r w:rsidRPr="003D3219">
        <w:rPr>
          <w:sz w:val="24"/>
          <w:szCs w:val="24"/>
        </w:rPr>
        <w:t xml:space="preserve">a rezultate troškovnog modela, </w:t>
      </w:r>
      <w:r w:rsidR="007208A3">
        <w:rPr>
          <w:sz w:val="24"/>
          <w:szCs w:val="24"/>
        </w:rPr>
        <w:t xml:space="preserve">u vezi te pretpostavke </w:t>
      </w:r>
      <w:r w:rsidRPr="003D3219">
        <w:rPr>
          <w:sz w:val="24"/>
          <w:szCs w:val="24"/>
        </w:rPr>
        <w:t>je također provedeno sav</w:t>
      </w:r>
      <w:r w:rsidR="00B974EE">
        <w:rPr>
          <w:sz w:val="24"/>
          <w:szCs w:val="24"/>
        </w:rPr>
        <w:t>j</w:t>
      </w:r>
      <w:r w:rsidRPr="003D3219">
        <w:rPr>
          <w:sz w:val="24"/>
          <w:szCs w:val="24"/>
        </w:rPr>
        <w:t xml:space="preserve">etovanje, kao dio savjetovanja o Troškovnom modelu. </w:t>
      </w:r>
      <w:r w:rsidR="00B974EE">
        <w:rPr>
          <w:sz w:val="24"/>
          <w:szCs w:val="24"/>
        </w:rPr>
        <w:t>N</w:t>
      </w:r>
      <w:r w:rsidRPr="003D3219">
        <w:rPr>
          <w:sz w:val="24"/>
          <w:szCs w:val="24"/>
        </w:rPr>
        <w:t xml:space="preserve">a pitanje o tome slažu </w:t>
      </w:r>
      <w:r w:rsidR="00B974EE">
        <w:rPr>
          <w:sz w:val="24"/>
          <w:szCs w:val="24"/>
        </w:rPr>
        <w:t>li se</w:t>
      </w:r>
      <w:r w:rsidRPr="003D3219">
        <w:rPr>
          <w:sz w:val="24"/>
          <w:szCs w:val="24"/>
        </w:rPr>
        <w:t xml:space="preserve"> s potražnjom iz Troškovnog modela za </w:t>
      </w:r>
      <w:r w:rsidR="007208A3">
        <w:rPr>
          <w:sz w:val="24"/>
          <w:szCs w:val="24"/>
        </w:rPr>
        <w:t xml:space="preserve">razdoblje </w:t>
      </w:r>
      <w:r w:rsidRPr="003D3219">
        <w:rPr>
          <w:sz w:val="24"/>
          <w:szCs w:val="24"/>
        </w:rPr>
        <w:t>2017</w:t>
      </w:r>
      <w:r w:rsidR="00B974EE">
        <w:rPr>
          <w:sz w:val="24"/>
          <w:szCs w:val="24"/>
        </w:rPr>
        <w:t>.</w:t>
      </w:r>
      <w:r w:rsidRPr="003D3219">
        <w:rPr>
          <w:sz w:val="24"/>
          <w:szCs w:val="24"/>
        </w:rPr>
        <w:t xml:space="preserve">-2027. očitovali </w:t>
      </w:r>
      <w:r w:rsidR="00B974EE">
        <w:rPr>
          <w:sz w:val="24"/>
          <w:szCs w:val="24"/>
        </w:rPr>
        <w:t xml:space="preserve">su se </w:t>
      </w:r>
      <w:r w:rsidRPr="003D3219">
        <w:rPr>
          <w:sz w:val="24"/>
          <w:szCs w:val="24"/>
        </w:rPr>
        <w:t>sljedeći operatori: HT, A1, Optima, Terrakom i Total TV.</w:t>
      </w:r>
    </w:p>
    <w:p w:rsidR="003D3219" w:rsidRPr="003D3219" w:rsidRDefault="003D3219" w:rsidP="003D3219">
      <w:pPr>
        <w:spacing w:after="0" w:line="240" w:lineRule="auto"/>
        <w:jc w:val="both"/>
        <w:rPr>
          <w:sz w:val="24"/>
          <w:szCs w:val="24"/>
        </w:rPr>
      </w:pPr>
    </w:p>
    <w:p w:rsidR="003D3219" w:rsidRPr="003D3219" w:rsidRDefault="002B4D92" w:rsidP="003D3219">
      <w:pPr>
        <w:spacing w:after="0" w:line="240" w:lineRule="auto"/>
        <w:jc w:val="both"/>
        <w:rPr>
          <w:sz w:val="24"/>
          <w:szCs w:val="24"/>
        </w:rPr>
      </w:pPr>
      <w:r>
        <w:rPr>
          <w:sz w:val="24"/>
          <w:szCs w:val="24"/>
        </w:rPr>
        <w:t xml:space="preserve">HT se </w:t>
      </w:r>
      <w:r w:rsidR="003D3219" w:rsidRPr="003D3219">
        <w:rPr>
          <w:sz w:val="24"/>
          <w:szCs w:val="24"/>
        </w:rPr>
        <w:t xml:space="preserve">izjasnio da se ne slaže s predviđenom potražnjom za svjetlovodne mreže u </w:t>
      </w:r>
      <w:r w:rsidR="00B974EE">
        <w:rPr>
          <w:sz w:val="24"/>
          <w:szCs w:val="24"/>
        </w:rPr>
        <w:t>promatranom razdoblju</w:t>
      </w:r>
      <w:r w:rsidR="003D3219" w:rsidRPr="003D3219">
        <w:rPr>
          <w:sz w:val="24"/>
          <w:szCs w:val="24"/>
        </w:rPr>
        <w:t>, dok su se ostali operatori (A1, Optima, Terrakom i Total TV) djelomično složili.</w:t>
      </w:r>
    </w:p>
    <w:p w:rsidR="003D3219" w:rsidRPr="003D3219" w:rsidRDefault="003D3219" w:rsidP="003D3219">
      <w:pPr>
        <w:spacing w:after="0" w:line="240" w:lineRule="auto"/>
        <w:jc w:val="both"/>
        <w:rPr>
          <w:sz w:val="24"/>
          <w:szCs w:val="24"/>
        </w:rPr>
      </w:pPr>
    </w:p>
    <w:p w:rsidR="003D3219" w:rsidRPr="003D3219" w:rsidRDefault="003D3219" w:rsidP="003D3219">
      <w:pPr>
        <w:spacing w:line="240" w:lineRule="auto"/>
        <w:jc w:val="both"/>
        <w:rPr>
          <w:sz w:val="24"/>
          <w:szCs w:val="24"/>
        </w:rPr>
      </w:pPr>
      <w:r w:rsidRPr="003D3219">
        <w:rPr>
          <w:sz w:val="24"/>
          <w:szCs w:val="24"/>
        </w:rPr>
        <w:t xml:space="preserve">HT smatra da je u model za svjetlovodnu mrežu trebala biti ugrađena potražnja koju je HT dostavio. Također, HT je istaknuo da Troškovni model mora uzeti u obzir proces prelaska s ADSL na VDSL tehnologiju te je u tom smislu dostavio alternativnu raspodjelu širokopojasnih linija između ADSL i VDSL tehnologije, iako smatra da to ne unosi bitnu razliku u Troškovni model. </w:t>
      </w:r>
    </w:p>
    <w:p w:rsidR="003D3219" w:rsidRPr="003D3219" w:rsidRDefault="003D3219" w:rsidP="003D3219">
      <w:pPr>
        <w:spacing w:line="240" w:lineRule="auto"/>
        <w:jc w:val="both"/>
        <w:rPr>
          <w:sz w:val="24"/>
          <w:szCs w:val="24"/>
        </w:rPr>
      </w:pPr>
      <w:r w:rsidRPr="003D3219">
        <w:rPr>
          <w:sz w:val="24"/>
          <w:szCs w:val="24"/>
        </w:rPr>
        <w:t>A1 vjeruje da potražnja za uslugama na svjetlovodnoj mreži nije ispravno definirana u Troškovnom modelu (tj. tvrdi da je podcijenjena), argumentirajući to sljedećim:</w:t>
      </w:r>
    </w:p>
    <w:p w:rsidR="003D3219" w:rsidRPr="003D3219" w:rsidRDefault="003D3219" w:rsidP="00C433F8">
      <w:pPr>
        <w:numPr>
          <w:ilvl w:val="0"/>
          <w:numId w:val="6"/>
        </w:numPr>
        <w:spacing w:line="240" w:lineRule="auto"/>
        <w:contextualSpacing/>
        <w:jc w:val="both"/>
        <w:rPr>
          <w:sz w:val="24"/>
          <w:szCs w:val="24"/>
        </w:rPr>
      </w:pPr>
      <w:r w:rsidRPr="003D3219">
        <w:rPr>
          <w:sz w:val="24"/>
          <w:szCs w:val="24"/>
        </w:rPr>
        <w:t xml:space="preserve">primjećuje se veliki pad </w:t>
      </w:r>
      <w:r w:rsidR="007967BA">
        <w:rPr>
          <w:sz w:val="24"/>
          <w:szCs w:val="24"/>
        </w:rPr>
        <w:t xml:space="preserve">korištenja usluga </w:t>
      </w:r>
      <w:r w:rsidRPr="003D3219">
        <w:rPr>
          <w:sz w:val="24"/>
          <w:szCs w:val="24"/>
        </w:rPr>
        <w:t>na bakrenoj mreži kroz godine bez da se to odražava u povećanju korisnika usluga na svjetlovodnim mrežama;</w:t>
      </w:r>
    </w:p>
    <w:p w:rsidR="003D3219" w:rsidRPr="003D3219" w:rsidRDefault="003D3219" w:rsidP="00C433F8">
      <w:pPr>
        <w:numPr>
          <w:ilvl w:val="0"/>
          <w:numId w:val="6"/>
        </w:numPr>
        <w:spacing w:line="240" w:lineRule="auto"/>
        <w:contextualSpacing/>
        <w:jc w:val="both"/>
        <w:rPr>
          <w:sz w:val="24"/>
          <w:szCs w:val="24"/>
        </w:rPr>
      </w:pPr>
      <w:r w:rsidRPr="003D3219">
        <w:rPr>
          <w:sz w:val="24"/>
          <w:szCs w:val="24"/>
        </w:rPr>
        <w:t>iako trenutni trendovi što se tiče potražnje za uslugama na svjetlovodnoj mreži nisu dobri, ne smije se pretpostaviti da će se takvi trendovi nastaviti u budućnosti;</w:t>
      </w:r>
    </w:p>
    <w:p w:rsidR="003D3219" w:rsidRPr="003D3219" w:rsidRDefault="003D3219" w:rsidP="00C433F8">
      <w:pPr>
        <w:numPr>
          <w:ilvl w:val="0"/>
          <w:numId w:val="6"/>
        </w:numPr>
        <w:spacing w:line="240" w:lineRule="auto"/>
        <w:contextualSpacing/>
        <w:jc w:val="both"/>
        <w:rPr>
          <w:sz w:val="24"/>
          <w:szCs w:val="24"/>
        </w:rPr>
      </w:pPr>
      <w:r w:rsidRPr="003D3219">
        <w:rPr>
          <w:sz w:val="24"/>
          <w:szCs w:val="24"/>
        </w:rPr>
        <w:t>s obzirom da veliki udio novih svjetlovodnih linija dolazi iz ONP-a gdje se ne očekuje gradnja paralelnih mreža, očekuje se da će potražnja drugih operatora za uslugama na svjetlovodnoj mreži HT-a u tim područjima biti veća;</w:t>
      </w:r>
    </w:p>
    <w:p w:rsidR="003D3219" w:rsidRDefault="003D3219" w:rsidP="00C433F8">
      <w:pPr>
        <w:numPr>
          <w:ilvl w:val="0"/>
          <w:numId w:val="6"/>
        </w:numPr>
        <w:spacing w:line="240" w:lineRule="auto"/>
        <w:contextualSpacing/>
        <w:jc w:val="both"/>
        <w:rPr>
          <w:sz w:val="24"/>
          <w:szCs w:val="24"/>
        </w:rPr>
      </w:pPr>
      <w:r w:rsidRPr="003D3219">
        <w:rPr>
          <w:sz w:val="24"/>
          <w:szCs w:val="24"/>
        </w:rPr>
        <w:t>Troškovni model predviđa potražnju za HT-ovim FTTH uslugama na maloprodajnoj i veleprodajnoj razin</w:t>
      </w:r>
      <w:r w:rsidR="007967BA">
        <w:rPr>
          <w:sz w:val="24"/>
          <w:szCs w:val="24"/>
        </w:rPr>
        <w:t xml:space="preserve">i </w:t>
      </w:r>
      <w:r w:rsidRPr="003D3219">
        <w:rPr>
          <w:sz w:val="24"/>
          <w:szCs w:val="24"/>
        </w:rPr>
        <w:t>u 2027. oko 20% na nacionalnoj razini, što izgleda dosta nisko uzimajući u obzir ciljeve Digitalne Agende za Europu 2020 i ciljeve nacionalne strategije za razvoj širokopojasnog pristupa. A1 smatra da kad bi dodali dodatnih 20% od drugih operatora da bi ukupna nacionalna potražnja za uslugama na svjetlovodnim mrežama bila samo oko 40%.</w:t>
      </w:r>
    </w:p>
    <w:p w:rsidR="00A96EBC" w:rsidRPr="003D3219" w:rsidRDefault="00A96EBC" w:rsidP="00A96EBC">
      <w:pPr>
        <w:spacing w:line="240" w:lineRule="auto"/>
        <w:ind w:left="720"/>
        <w:contextualSpacing/>
        <w:jc w:val="both"/>
        <w:rPr>
          <w:sz w:val="24"/>
          <w:szCs w:val="24"/>
        </w:rPr>
      </w:pPr>
    </w:p>
    <w:p w:rsidR="003D3219" w:rsidRPr="003D3219" w:rsidRDefault="003D3219" w:rsidP="003D3219">
      <w:pPr>
        <w:spacing w:line="240" w:lineRule="auto"/>
        <w:jc w:val="both"/>
        <w:rPr>
          <w:sz w:val="24"/>
          <w:szCs w:val="24"/>
        </w:rPr>
      </w:pPr>
      <w:r w:rsidRPr="003D3219">
        <w:rPr>
          <w:sz w:val="24"/>
          <w:szCs w:val="24"/>
        </w:rPr>
        <w:t xml:space="preserve">Optima, Terrakom i Total TV su u savjetovanju oko potražnje koja je </w:t>
      </w:r>
      <w:r w:rsidR="00A640F0" w:rsidRPr="003D3219">
        <w:rPr>
          <w:sz w:val="24"/>
          <w:szCs w:val="24"/>
        </w:rPr>
        <w:t>implementirana</w:t>
      </w:r>
      <w:r w:rsidRPr="003D3219">
        <w:rPr>
          <w:sz w:val="24"/>
          <w:szCs w:val="24"/>
        </w:rPr>
        <w:t xml:space="preserve"> u Troškovnom modelu iznijeli djelomično neslaganje s razinama potražnje za uslugama na svjetlovodnoj mreži, smatrajući da bi ona trebala biti veća. Svoj stav su argumentirali time da je trenutna niska potražnja posljedica visokih cijena usluga te preklapanja svjetlovodnih mreža s drugim alternativnim mrežama.</w:t>
      </w:r>
    </w:p>
    <w:p w:rsidR="003D3219" w:rsidRPr="003D3219" w:rsidRDefault="00A410B6" w:rsidP="003D3219">
      <w:pPr>
        <w:spacing w:after="0" w:line="240" w:lineRule="auto"/>
        <w:jc w:val="both"/>
        <w:rPr>
          <w:sz w:val="24"/>
          <w:szCs w:val="24"/>
        </w:rPr>
      </w:pPr>
      <w:r>
        <w:rPr>
          <w:sz w:val="24"/>
          <w:szCs w:val="24"/>
        </w:rPr>
        <w:t>HAKOM</w:t>
      </w:r>
      <w:r w:rsidR="003D3219" w:rsidRPr="003D3219">
        <w:rPr>
          <w:sz w:val="24"/>
          <w:szCs w:val="24"/>
        </w:rPr>
        <w:t xml:space="preserve"> ni</w:t>
      </w:r>
      <w:r>
        <w:rPr>
          <w:sz w:val="24"/>
          <w:szCs w:val="24"/>
        </w:rPr>
        <w:t>je</w:t>
      </w:r>
      <w:r w:rsidR="003D3219" w:rsidRPr="003D3219">
        <w:rPr>
          <w:sz w:val="24"/>
          <w:szCs w:val="24"/>
        </w:rPr>
        <w:t xml:space="preserve"> prihvati</w:t>
      </w:r>
      <w:r>
        <w:rPr>
          <w:sz w:val="24"/>
          <w:szCs w:val="24"/>
        </w:rPr>
        <w:t>o</w:t>
      </w:r>
      <w:r w:rsidR="003D3219" w:rsidRPr="003D3219">
        <w:rPr>
          <w:sz w:val="24"/>
          <w:szCs w:val="24"/>
        </w:rPr>
        <w:t xml:space="preserve"> prijedlog HT da se u Troškovni model implementira potražnja za uslugama na svjetlovodnoj mreži  koju je HT dostavio, smatrajući da to ne bi bilo razumno budući da kad bi se uzeli u obzir podaci o potražnji na HT-ovoj svjetlovodnoj mreži koje predlaže HT, </w:t>
      </w:r>
      <w:r w:rsidR="003D3219" w:rsidRPr="003D3219">
        <w:rPr>
          <w:i/>
          <w:sz w:val="24"/>
          <w:szCs w:val="24"/>
        </w:rPr>
        <w:t>take up</w:t>
      </w:r>
      <w:r w:rsidR="003D3219" w:rsidRPr="003D3219">
        <w:rPr>
          <w:sz w:val="24"/>
          <w:szCs w:val="24"/>
        </w:rPr>
        <w:t xml:space="preserve"> bi iznosio samo </w:t>
      </w:r>
      <w:r w:rsidR="008D2898">
        <w:rPr>
          <w:sz w:val="24"/>
          <w:szCs w:val="24"/>
        </w:rPr>
        <w:sym w:font="Wingdings 2" w:char="F026"/>
      </w:r>
      <w:r w:rsidR="00C91D9C">
        <w:rPr>
          <w:sz w:val="24"/>
          <w:szCs w:val="24"/>
        </w:rPr>
        <w:t>%.</w:t>
      </w:r>
      <w:r w:rsidR="003D3219" w:rsidRPr="003D3219">
        <w:rPr>
          <w:sz w:val="24"/>
          <w:szCs w:val="24"/>
        </w:rPr>
        <w:t xml:space="preserve"> Tako nizak </w:t>
      </w:r>
      <w:r w:rsidR="003D3219" w:rsidRPr="003D3219">
        <w:rPr>
          <w:i/>
          <w:sz w:val="24"/>
          <w:szCs w:val="24"/>
        </w:rPr>
        <w:t>take up</w:t>
      </w:r>
      <w:r w:rsidR="003D3219" w:rsidRPr="003D3219">
        <w:rPr>
          <w:sz w:val="24"/>
          <w:szCs w:val="24"/>
        </w:rPr>
        <w:t xml:space="preserve"> </w:t>
      </w:r>
      <w:r>
        <w:rPr>
          <w:sz w:val="24"/>
          <w:szCs w:val="24"/>
        </w:rPr>
        <w:t>HAKOM</w:t>
      </w:r>
      <w:r w:rsidR="003D3219" w:rsidRPr="003D3219">
        <w:rPr>
          <w:sz w:val="24"/>
          <w:szCs w:val="24"/>
        </w:rPr>
        <w:t xml:space="preserve"> ne smatraju razumnim za učinkovitog operatora, stoga je alternativno definiran </w:t>
      </w:r>
      <w:r w:rsidR="003D3219" w:rsidRPr="003D3219">
        <w:rPr>
          <w:i/>
          <w:sz w:val="24"/>
          <w:szCs w:val="24"/>
        </w:rPr>
        <w:t>take up</w:t>
      </w:r>
      <w:r w:rsidR="003D3219" w:rsidRPr="003D3219">
        <w:rPr>
          <w:sz w:val="24"/>
          <w:szCs w:val="24"/>
        </w:rPr>
        <w:t xml:space="preserve"> od 45% u 2027. i kao razuman. Štoviše, s obzirom na da je prosječni </w:t>
      </w:r>
      <w:r w:rsidR="003D3219" w:rsidRPr="003D3219">
        <w:rPr>
          <w:i/>
          <w:sz w:val="24"/>
          <w:szCs w:val="24"/>
        </w:rPr>
        <w:t>take up</w:t>
      </w:r>
      <w:r w:rsidR="003D3219" w:rsidRPr="003D3219">
        <w:rPr>
          <w:sz w:val="24"/>
          <w:szCs w:val="24"/>
        </w:rPr>
        <w:t xml:space="preserve"> na svjetlovodnim mrežama u europskim zemljama trenutno iznad 40%</w:t>
      </w:r>
      <w:r w:rsidR="003D3219" w:rsidRPr="003D3219">
        <w:rPr>
          <w:sz w:val="24"/>
          <w:szCs w:val="24"/>
          <w:vertAlign w:val="superscript"/>
        </w:rPr>
        <w:footnoteReference w:id="14"/>
      </w:r>
      <w:r w:rsidR="003D3219" w:rsidRPr="003D3219">
        <w:rPr>
          <w:sz w:val="24"/>
          <w:szCs w:val="24"/>
        </w:rPr>
        <w:t xml:space="preserve"> s tendencijom stalnog rasta, može se reći da </w:t>
      </w:r>
      <w:r>
        <w:rPr>
          <w:sz w:val="24"/>
          <w:szCs w:val="24"/>
        </w:rPr>
        <w:t>je</w:t>
      </w:r>
      <w:r w:rsidR="003D3219" w:rsidRPr="003D3219">
        <w:rPr>
          <w:sz w:val="24"/>
          <w:szCs w:val="24"/>
        </w:rPr>
        <w:t xml:space="preserve"> </w:t>
      </w:r>
      <w:r>
        <w:rPr>
          <w:sz w:val="24"/>
          <w:szCs w:val="24"/>
        </w:rPr>
        <w:t>HAKOM</w:t>
      </w:r>
      <w:r w:rsidR="003D3219" w:rsidRPr="003D3219">
        <w:rPr>
          <w:sz w:val="24"/>
          <w:szCs w:val="24"/>
        </w:rPr>
        <w:t xml:space="preserve"> čak i prilično konzervativ</w:t>
      </w:r>
      <w:r>
        <w:rPr>
          <w:sz w:val="24"/>
          <w:szCs w:val="24"/>
        </w:rPr>
        <w:t>an</w:t>
      </w:r>
      <w:r w:rsidR="003D3219" w:rsidRPr="003D3219">
        <w:rPr>
          <w:sz w:val="24"/>
          <w:szCs w:val="24"/>
        </w:rPr>
        <w:t xml:space="preserve"> u svojoj procjeni. S druge strane, što se tiče HT-ovog komentara da Troškovni model mora uzeti u obzir prelazak s ADSL na VDSL tehnologiju, </w:t>
      </w:r>
      <w:r>
        <w:rPr>
          <w:sz w:val="24"/>
          <w:szCs w:val="24"/>
        </w:rPr>
        <w:t>HAKOM</w:t>
      </w:r>
      <w:r w:rsidR="003D3219" w:rsidRPr="003D3219">
        <w:rPr>
          <w:sz w:val="24"/>
          <w:szCs w:val="24"/>
        </w:rPr>
        <w:t xml:space="preserve"> istič</w:t>
      </w:r>
      <w:r>
        <w:rPr>
          <w:sz w:val="24"/>
          <w:szCs w:val="24"/>
        </w:rPr>
        <w:t>e</w:t>
      </w:r>
      <w:r w:rsidR="003D3219" w:rsidRPr="003D3219">
        <w:rPr>
          <w:sz w:val="24"/>
          <w:szCs w:val="24"/>
        </w:rPr>
        <w:t xml:space="preserve"> da je to u Troškovnom modelu izravno ugrađeno u potražnji za uslugama što je ulazni podatak za Troškovni model. Prijedlog s alternativnom raspodjelom ADSL i VDSL linija je prihvaćen i kao takav ugrađen u Troškovni model.</w:t>
      </w:r>
    </w:p>
    <w:p w:rsidR="003D3219" w:rsidRPr="003D3219" w:rsidRDefault="003D3219" w:rsidP="003D3219">
      <w:pPr>
        <w:spacing w:after="0" w:line="240" w:lineRule="auto"/>
        <w:jc w:val="both"/>
        <w:rPr>
          <w:sz w:val="24"/>
          <w:szCs w:val="24"/>
        </w:rPr>
      </w:pPr>
    </w:p>
    <w:p w:rsidR="003D3219" w:rsidRPr="003D3219" w:rsidRDefault="003D3219" w:rsidP="003D3219">
      <w:pPr>
        <w:spacing w:after="0" w:line="240" w:lineRule="auto"/>
        <w:jc w:val="both"/>
        <w:rPr>
          <w:sz w:val="24"/>
          <w:szCs w:val="24"/>
        </w:rPr>
      </w:pPr>
      <w:r w:rsidRPr="003D3219">
        <w:rPr>
          <w:sz w:val="24"/>
          <w:szCs w:val="24"/>
        </w:rPr>
        <w:t xml:space="preserve">Što se tiče komentara drugih operatora, </w:t>
      </w:r>
      <w:r w:rsidR="00A410B6">
        <w:rPr>
          <w:sz w:val="24"/>
          <w:szCs w:val="24"/>
        </w:rPr>
        <w:t>HAKOM</w:t>
      </w:r>
      <w:r w:rsidRPr="003D3219">
        <w:rPr>
          <w:sz w:val="24"/>
          <w:szCs w:val="24"/>
        </w:rPr>
        <w:t xml:space="preserve"> </w:t>
      </w:r>
      <w:r w:rsidR="00A410B6">
        <w:rPr>
          <w:sz w:val="24"/>
          <w:szCs w:val="24"/>
        </w:rPr>
        <w:t>je</w:t>
      </w:r>
      <w:r w:rsidRPr="003D3219">
        <w:rPr>
          <w:sz w:val="24"/>
          <w:szCs w:val="24"/>
        </w:rPr>
        <w:t xml:space="preserve"> nakon njihovog razmatranja zaključi</w:t>
      </w:r>
      <w:r w:rsidR="00A410B6">
        <w:rPr>
          <w:sz w:val="24"/>
          <w:szCs w:val="24"/>
        </w:rPr>
        <w:t xml:space="preserve">o </w:t>
      </w:r>
      <w:r w:rsidRPr="003D3219">
        <w:rPr>
          <w:sz w:val="24"/>
          <w:szCs w:val="24"/>
        </w:rPr>
        <w:t>da su razine potražnje za uslugama na svjetlovodnim mrežama kako su implementirane u Troškovnom modelu razumne za učinkovitog operatora. Također je važno za istaknuti da se potražnja za uslugama na svjetlovodnoj mreži HT</w:t>
      </w:r>
      <w:r w:rsidR="007967BA">
        <w:rPr>
          <w:sz w:val="24"/>
          <w:szCs w:val="24"/>
        </w:rPr>
        <w:t>-a</w:t>
      </w:r>
      <w:r w:rsidRPr="003D3219">
        <w:rPr>
          <w:sz w:val="24"/>
          <w:szCs w:val="24"/>
        </w:rPr>
        <w:t xml:space="preserve"> implementirana u Troškovnom modelu mora razmatrati zajedno s pokrivanjem koje je u modelu zasnovano na pokrivanju svjetlovodnom mrežom kako HT planira u budućem razdoblju. </w:t>
      </w:r>
    </w:p>
    <w:p w:rsidR="00456552" w:rsidRDefault="00456552" w:rsidP="003D3219">
      <w:pPr>
        <w:spacing w:after="0" w:line="240" w:lineRule="auto"/>
        <w:jc w:val="both"/>
        <w:rPr>
          <w:sz w:val="24"/>
          <w:szCs w:val="24"/>
        </w:rPr>
      </w:pPr>
    </w:p>
    <w:p w:rsidR="003D3219" w:rsidRPr="003D3219" w:rsidRDefault="00A410B6" w:rsidP="003D3219">
      <w:pPr>
        <w:spacing w:after="0" w:line="240" w:lineRule="auto"/>
        <w:jc w:val="both"/>
        <w:rPr>
          <w:sz w:val="24"/>
          <w:szCs w:val="24"/>
        </w:rPr>
      </w:pPr>
      <w:r>
        <w:rPr>
          <w:sz w:val="24"/>
          <w:szCs w:val="24"/>
        </w:rPr>
        <w:t>HAKOM</w:t>
      </w:r>
      <w:r w:rsidR="003D3219" w:rsidRPr="003D3219">
        <w:rPr>
          <w:sz w:val="24"/>
          <w:szCs w:val="24"/>
        </w:rPr>
        <w:t xml:space="preserve"> istič</w:t>
      </w:r>
      <w:r>
        <w:rPr>
          <w:sz w:val="24"/>
          <w:szCs w:val="24"/>
        </w:rPr>
        <w:t>e</w:t>
      </w:r>
      <w:r w:rsidR="003D3219" w:rsidRPr="003D3219">
        <w:rPr>
          <w:sz w:val="24"/>
          <w:szCs w:val="24"/>
        </w:rPr>
        <w:t xml:space="preserve"> da potražnja koja je implementirana u Troškovnom modelu već pretpostavlja značajno povećanje u odnosu na postojeću potražnju za uslugama na svjetlovodnoj mreži, s čime je već u Troškovni model ugrađen</w:t>
      </w:r>
      <w:r w:rsidR="00100760">
        <w:rPr>
          <w:sz w:val="24"/>
          <w:szCs w:val="24"/>
        </w:rPr>
        <w:t>a</w:t>
      </w:r>
      <w:r w:rsidR="003D3219" w:rsidRPr="003D3219">
        <w:rPr>
          <w:sz w:val="24"/>
          <w:szCs w:val="24"/>
        </w:rPr>
        <w:t xml:space="preserve"> većina zahtjeva operatora.</w:t>
      </w:r>
    </w:p>
    <w:p w:rsidR="00B974EE" w:rsidRPr="003D3219" w:rsidRDefault="00B974EE" w:rsidP="003D3219">
      <w:pPr>
        <w:spacing w:after="0" w:line="240" w:lineRule="auto"/>
        <w:jc w:val="both"/>
        <w:rPr>
          <w:sz w:val="24"/>
          <w:szCs w:val="24"/>
        </w:rPr>
      </w:pPr>
    </w:p>
    <w:p w:rsidR="003D3219" w:rsidRPr="003D3219" w:rsidRDefault="003D3219" w:rsidP="003D3219">
      <w:pPr>
        <w:spacing w:after="0" w:line="240" w:lineRule="auto"/>
        <w:jc w:val="both"/>
        <w:rPr>
          <w:sz w:val="24"/>
          <w:szCs w:val="24"/>
        </w:rPr>
      </w:pPr>
      <w:r w:rsidRPr="003D3219">
        <w:rPr>
          <w:sz w:val="24"/>
          <w:szCs w:val="24"/>
        </w:rPr>
        <w:t xml:space="preserve">Međutim, usprkos tome, nastavno na komentar A1 da je potrebno povećati potražnju u područjima u kojima će se realizirati projekti iz ONP-a, </w:t>
      </w:r>
      <w:r w:rsidR="00A410B6">
        <w:rPr>
          <w:sz w:val="24"/>
          <w:szCs w:val="24"/>
        </w:rPr>
        <w:t>HAKOM</w:t>
      </w:r>
      <w:r w:rsidRPr="003D3219">
        <w:rPr>
          <w:sz w:val="24"/>
          <w:szCs w:val="24"/>
        </w:rPr>
        <w:t xml:space="preserve"> </w:t>
      </w:r>
      <w:r w:rsidR="00A410B6">
        <w:rPr>
          <w:sz w:val="24"/>
          <w:szCs w:val="24"/>
        </w:rPr>
        <w:t>je</w:t>
      </w:r>
      <w:r w:rsidRPr="003D3219">
        <w:rPr>
          <w:sz w:val="24"/>
          <w:szCs w:val="24"/>
        </w:rPr>
        <w:t xml:space="preserve"> smatra</w:t>
      </w:r>
      <w:r w:rsidR="00A410B6">
        <w:rPr>
          <w:sz w:val="24"/>
          <w:szCs w:val="24"/>
        </w:rPr>
        <w:t xml:space="preserve">o </w:t>
      </w:r>
      <w:r w:rsidRPr="003D3219">
        <w:rPr>
          <w:sz w:val="24"/>
          <w:szCs w:val="24"/>
        </w:rPr>
        <w:t>razumnim prihvatiti taj prijedlog, te je u Troškovni model ugrađeno da se takvim područjima</w:t>
      </w:r>
      <w:r w:rsidR="00100760">
        <w:rPr>
          <w:sz w:val="24"/>
          <w:szCs w:val="24"/>
        </w:rPr>
        <w:t xml:space="preserve"> </w:t>
      </w:r>
      <w:r w:rsidRPr="003D3219">
        <w:rPr>
          <w:sz w:val="24"/>
          <w:szCs w:val="24"/>
        </w:rPr>
        <w:t xml:space="preserve">može očekivati veći </w:t>
      </w:r>
      <w:r w:rsidRPr="003D3219">
        <w:rPr>
          <w:i/>
          <w:sz w:val="24"/>
          <w:szCs w:val="24"/>
        </w:rPr>
        <w:t>take up</w:t>
      </w:r>
      <w:r w:rsidRPr="003D3219">
        <w:rPr>
          <w:sz w:val="24"/>
          <w:szCs w:val="24"/>
        </w:rPr>
        <w:t xml:space="preserve"> na svjetlovodnoj mreži HT-a zbog toga jer se ne očekuje replikacija alternativnih mreža u tim područjima. </w:t>
      </w:r>
    </w:p>
    <w:p w:rsidR="00A37103" w:rsidRDefault="00A37103" w:rsidP="003D3219">
      <w:pPr>
        <w:spacing w:after="0" w:line="240" w:lineRule="auto"/>
        <w:jc w:val="both"/>
        <w:rPr>
          <w:sz w:val="24"/>
          <w:szCs w:val="24"/>
        </w:rPr>
      </w:pPr>
    </w:p>
    <w:p w:rsidR="003D3219" w:rsidRPr="003D3219" w:rsidRDefault="003D3219" w:rsidP="003D3219">
      <w:pPr>
        <w:spacing w:after="0" w:line="240" w:lineRule="auto"/>
        <w:jc w:val="both"/>
        <w:rPr>
          <w:sz w:val="24"/>
          <w:szCs w:val="24"/>
        </w:rPr>
      </w:pPr>
      <w:r w:rsidRPr="003D3219">
        <w:rPr>
          <w:sz w:val="24"/>
          <w:szCs w:val="24"/>
        </w:rPr>
        <w:t xml:space="preserve">Stoga, zaključno, ulazni podatak o potražnji usluga na svjetlovodnim mrežama računa se na način da Troškovni model predviđa </w:t>
      </w:r>
      <w:r w:rsidRPr="003D3219">
        <w:rPr>
          <w:i/>
          <w:sz w:val="24"/>
          <w:szCs w:val="24"/>
        </w:rPr>
        <w:t>take up</w:t>
      </w:r>
      <w:r w:rsidRPr="003D3219">
        <w:rPr>
          <w:sz w:val="24"/>
          <w:szCs w:val="24"/>
        </w:rPr>
        <w:t xml:space="preserve"> od 60% u takvim područjima, za razliku od svih ostalih područja gdje se procjenjuje </w:t>
      </w:r>
      <w:r w:rsidRPr="003D3219">
        <w:rPr>
          <w:i/>
          <w:sz w:val="24"/>
          <w:szCs w:val="24"/>
        </w:rPr>
        <w:t>take up</w:t>
      </w:r>
      <w:r w:rsidRPr="003D3219">
        <w:rPr>
          <w:sz w:val="24"/>
          <w:szCs w:val="24"/>
        </w:rPr>
        <w:t xml:space="preserve"> od 45% u 2027. Kretanje </w:t>
      </w:r>
      <w:r w:rsidRPr="003D3219">
        <w:rPr>
          <w:i/>
          <w:sz w:val="24"/>
          <w:szCs w:val="24"/>
        </w:rPr>
        <w:t xml:space="preserve">take up-a </w:t>
      </w:r>
      <w:r w:rsidRPr="003D3219">
        <w:rPr>
          <w:sz w:val="24"/>
          <w:szCs w:val="24"/>
        </w:rPr>
        <w:t>kroz godine kroz razdoblje 2017-2027. kako je implementirano u Troškovn</w:t>
      </w:r>
      <w:r w:rsidR="00100760">
        <w:rPr>
          <w:sz w:val="24"/>
          <w:szCs w:val="24"/>
        </w:rPr>
        <w:t>om</w:t>
      </w:r>
      <w:r w:rsidRPr="003D3219">
        <w:rPr>
          <w:sz w:val="24"/>
          <w:szCs w:val="24"/>
        </w:rPr>
        <w:t xml:space="preserve"> model</w:t>
      </w:r>
      <w:r w:rsidR="00100760">
        <w:rPr>
          <w:sz w:val="24"/>
          <w:szCs w:val="24"/>
        </w:rPr>
        <w:t>u</w:t>
      </w:r>
      <w:r w:rsidR="001D0B96">
        <w:rPr>
          <w:sz w:val="24"/>
          <w:szCs w:val="24"/>
        </w:rPr>
        <w:t xml:space="preserve"> </w:t>
      </w:r>
      <w:r w:rsidRPr="003D3219">
        <w:rPr>
          <w:sz w:val="24"/>
          <w:szCs w:val="24"/>
        </w:rPr>
        <w:t xml:space="preserve">prikazano je na dijagramu na </w:t>
      </w:r>
      <w:r w:rsidRPr="003D3219">
        <w:rPr>
          <w:sz w:val="24"/>
          <w:szCs w:val="24"/>
        </w:rPr>
        <w:fldChar w:fldCharType="begin"/>
      </w:r>
      <w:r w:rsidRPr="003D3219">
        <w:rPr>
          <w:sz w:val="24"/>
          <w:szCs w:val="24"/>
        </w:rPr>
        <w:instrText xml:space="preserve"> REF _Ref51239320 \h  \* MERGEFORMAT </w:instrText>
      </w:r>
      <w:r w:rsidRPr="003D3219">
        <w:rPr>
          <w:sz w:val="24"/>
          <w:szCs w:val="24"/>
        </w:rPr>
      </w:r>
      <w:r w:rsidRPr="003D3219">
        <w:rPr>
          <w:sz w:val="24"/>
          <w:szCs w:val="24"/>
        </w:rPr>
        <w:fldChar w:fldCharType="separate"/>
      </w:r>
      <w:r w:rsidR="00B047B3" w:rsidRPr="00B047B3">
        <w:rPr>
          <w:sz w:val="24"/>
          <w:szCs w:val="24"/>
        </w:rPr>
        <w:t xml:space="preserve">Slika </w:t>
      </w:r>
      <w:r w:rsidR="00B047B3" w:rsidRPr="00B047B3">
        <w:rPr>
          <w:noProof/>
          <w:sz w:val="24"/>
          <w:szCs w:val="24"/>
        </w:rPr>
        <w:t>14</w:t>
      </w:r>
      <w:r w:rsidRPr="003D3219">
        <w:rPr>
          <w:sz w:val="24"/>
          <w:szCs w:val="24"/>
        </w:rPr>
        <w:fldChar w:fldCharType="end"/>
      </w:r>
      <w:r w:rsidRPr="003D3219">
        <w:rPr>
          <w:sz w:val="24"/>
          <w:szCs w:val="24"/>
        </w:rPr>
        <w:t>.</w:t>
      </w:r>
    </w:p>
    <w:p w:rsidR="003D3219" w:rsidRPr="003D3219" w:rsidRDefault="003D3219" w:rsidP="003D3219">
      <w:pPr>
        <w:spacing w:after="0" w:line="240" w:lineRule="auto"/>
        <w:jc w:val="both"/>
      </w:pPr>
    </w:p>
    <w:p w:rsidR="003D3219" w:rsidRPr="003D3219" w:rsidRDefault="003D3219" w:rsidP="003D3219">
      <w:pPr>
        <w:spacing w:after="0" w:line="240" w:lineRule="auto"/>
        <w:jc w:val="both"/>
        <w:rPr>
          <w:sz w:val="24"/>
          <w:szCs w:val="24"/>
        </w:rPr>
      </w:pPr>
      <w:r w:rsidRPr="003D3219">
        <w:rPr>
          <w:sz w:val="24"/>
          <w:szCs w:val="24"/>
        </w:rPr>
        <w:t xml:space="preserve">Slično kao kod ulaznog podatka o pokrivanju, </w:t>
      </w:r>
      <w:r w:rsidR="00022BEE">
        <w:rPr>
          <w:sz w:val="24"/>
          <w:szCs w:val="24"/>
        </w:rPr>
        <w:t xml:space="preserve">kod primjene </w:t>
      </w:r>
      <w:r w:rsidRPr="003D3219">
        <w:rPr>
          <w:sz w:val="24"/>
          <w:szCs w:val="24"/>
        </w:rPr>
        <w:t>metod</w:t>
      </w:r>
      <w:r w:rsidR="00022BEE">
        <w:rPr>
          <w:sz w:val="24"/>
          <w:szCs w:val="24"/>
        </w:rPr>
        <w:t>e</w:t>
      </w:r>
      <w:r w:rsidRPr="003D3219">
        <w:rPr>
          <w:sz w:val="24"/>
          <w:szCs w:val="24"/>
        </w:rPr>
        <w:t xml:space="preserve"> ekonomske amortizacije za izračun amortizacije treba </w:t>
      </w:r>
      <w:r w:rsidR="00A640F0" w:rsidRPr="003D3219">
        <w:rPr>
          <w:sz w:val="24"/>
          <w:szCs w:val="24"/>
        </w:rPr>
        <w:t>ocijeniti</w:t>
      </w:r>
      <w:r w:rsidRPr="003D3219">
        <w:rPr>
          <w:sz w:val="24"/>
          <w:szCs w:val="24"/>
        </w:rPr>
        <w:t xml:space="preserve"> potražnju tijekom cijelog korisnog vijeka </w:t>
      </w:r>
      <w:r w:rsidR="00467F15">
        <w:rPr>
          <w:sz w:val="24"/>
          <w:szCs w:val="24"/>
        </w:rPr>
        <w:t>upotreb</w:t>
      </w:r>
      <w:r w:rsidRPr="003D3219">
        <w:rPr>
          <w:sz w:val="24"/>
          <w:szCs w:val="24"/>
        </w:rPr>
        <w:t xml:space="preserve">e imovine koja je ugrađena tijekom modeliranog razdoblja. Čak i ako se procjenjuju troškovi samo one imovine koja je stavljena u </w:t>
      </w:r>
      <w:r w:rsidR="00467F15">
        <w:rPr>
          <w:sz w:val="24"/>
          <w:szCs w:val="24"/>
        </w:rPr>
        <w:t>upotreb</w:t>
      </w:r>
      <w:r w:rsidRPr="003D3219">
        <w:rPr>
          <w:sz w:val="24"/>
          <w:szCs w:val="24"/>
        </w:rPr>
        <w:t xml:space="preserve">u do 2027., </w:t>
      </w:r>
      <w:r w:rsidR="00467F15">
        <w:rPr>
          <w:sz w:val="24"/>
          <w:szCs w:val="24"/>
        </w:rPr>
        <w:t>upotreb</w:t>
      </w:r>
      <w:r w:rsidRPr="003D3219">
        <w:rPr>
          <w:sz w:val="24"/>
          <w:szCs w:val="24"/>
        </w:rPr>
        <w:t xml:space="preserve">a (potražnja) te imovine nakon 2027. je također relevantna za osiguranje ispravne nadoknade troškova. Stoga je potrebno definirati očekivanu potražnju sve do godine kada ističe korisni vijek </w:t>
      </w:r>
      <w:r w:rsidR="00467F15">
        <w:rPr>
          <w:sz w:val="24"/>
          <w:szCs w:val="24"/>
        </w:rPr>
        <w:t>upotreb</w:t>
      </w:r>
      <w:r w:rsidRPr="003D3219">
        <w:rPr>
          <w:sz w:val="24"/>
          <w:szCs w:val="24"/>
        </w:rPr>
        <w:t xml:space="preserve">e imovine s najdužim korisnim vijekom </w:t>
      </w:r>
      <w:r w:rsidR="00467F15">
        <w:rPr>
          <w:sz w:val="24"/>
          <w:szCs w:val="24"/>
        </w:rPr>
        <w:t>upotreb</w:t>
      </w:r>
      <w:r w:rsidRPr="003D3219">
        <w:rPr>
          <w:sz w:val="24"/>
          <w:szCs w:val="24"/>
        </w:rPr>
        <w:t xml:space="preserve">e. S obzirom da je korisni vijek </w:t>
      </w:r>
      <w:r w:rsidR="00467F15">
        <w:rPr>
          <w:sz w:val="24"/>
          <w:szCs w:val="24"/>
        </w:rPr>
        <w:t>upotreb</w:t>
      </w:r>
      <w:r w:rsidRPr="003D3219">
        <w:rPr>
          <w:sz w:val="24"/>
          <w:szCs w:val="24"/>
        </w:rPr>
        <w:t>e najduži za građevinsku infrastrukturu (elektroničku komunikacijsku infrastrukturu ) (rovovi, šahtovi i</w:t>
      </w:r>
      <w:r w:rsidR="00741EC9">
        <w:rPr>
          <w:sz w:val="24"/>
          <w:szCs w:val="24"/>
        </w:rPr>
        <w:t xml:space="preserve"> </w:t>
      </w:r>
      <w:r w:rsidRPr="003D3219">
        <w:rPr>
          <w:sz w:val="24"/>
          <w:szCs w:val="24"/>
        </w:rPr>
        <w:t xml:space="preserve">sl.), čiji je korisni vijek </w:t>
      </w:r>
      <w:r w:rsidR="00467F15">
        <w:rPr>
          <w:sz w:val="24"/>
          <w:szCs w:val="24"/>
        </w:rPr>
        <w:t>upotreb</w:t>
      </w:r>
      <w:r w:rsidRPr="003D3219">
        <w:rPr>
          <w:sz w:val="24"/>
          <w:szCs w:val="24"/>
        </w:rPr>
        <w:t xml:space="preserve">e u Troškovnom modelu 40 godina, potrebno je procijeniti potražnju za tom imovinom sve do 2067. </w:t>
      </w:r>
    </w:p>
    <w:p w:rsidR="00B974EE" w:rsidRPr="003D3219" w:rsidRDefault="00B974EE" w:rsidP="003D3219">
      <w:pPr>
        <w:spacing w:after="0" w:line="240" w:lineRule="auto"/>
        <w:jc w:val="both"/>
        <w:rPr>
          <w:sz w:val="24"/>
          <w:szCs w:val="24"/>
        </w:rPr>
      </w:pPr>
    </w:p>
    <w:p w:rsidR="003D3219" w:rsidRPr="003D3219" w:rsidRDefault="003D3219" w:rsidP="003D3219">
      <w:pPr>
        <w:spacing w:after="0" w:line="240" w:lineRule="auto"/>
        <w:jc w:val="both"/>
        <w:rPr>
          <w:sz w:val="24"/>
          <w:szCs w:val="24"/>
        </w:rPr>
      </w:pPr>
      <w:r w:rsidRPr="003D3219">
        <w:rPr>
          <w:sz w:val="24"/>
          <w:szCs w:val="24"/>
        </w:rPr>
        <w:t xml:space="preserve">Kod definiranja potražnje za </w:t>
      </w:r>
      <w:r w:rsidR="00B974EE">
        <w:rPr>
          <w:sz w:val="24"/>
          <w:szCs w:val="24"/>
        </w:rPr>
        <w:t>razdoblje</w:t>
      </w:r>
      <w:r w:rsidR="00B974EE" w:rsidRPr="003D3219">
        <w:rPr>
          <w:sz w:val="24"/>
          <w:szCs w:val="24"/>
        </w:rPr>
        <w:t xml:space="preserve"> </w:t>
      </w:r>
      <w:r w:rsidRPr="003D3219">
        <w:rPr>
          <w:sz w:val="24"/>
          <w:szCs w:val="24"/>
        </w:rPr>
        <w:t>od 2028</w:t>
      </w:r>
      <w:r w:rsidR="00B974EE">
        <w:rPr>
          <w:sz w:val="24"/>
          <w:szCs w:val="24"/>
        </w:rPr>
        <w:t>.</w:t>
      </w:r>
      <w:r w:rsidRPr="003D3219">
        <w:rPr>
          <w:sz w:val="24"/>
          <w:szCs w:val="24"/>
        </w:rPr>
        <w:t xml:space="preserve">-2067., važno je imati na umu da potražnja i na bakrenoj i svjetlovodnoj mreži mora biti usklađena s odgovarajućim razinama pokrivanja, kako je objašnjeno u poglavlju </w:t>
      </w:r>
      <w:r w:rsidRPr="003D3219">
        <w:rPr>
          <w:sz w:val="24"/>
          <w:szCs w:val="24"/>
          <w:lang w:val="en-GB"/>
        </w:rPr>
        <w:fldChar w:fldCharType="begin"/>
      </w:r>
      <w:r w:rsidRPr="003D3219">
        <w:rPr>
          <w:sz w:val="24"/>
          <w:szCs w:val="24"/>
        </w:rPr>
        <w:instrText xml:space="preserve"> REF _Ref50991042 \r \h </w:instrText>
      </w:r>
      <w:r w:rsidRPr="003D3219">
        <w:rPr>
          <w:sz w:val="24"/>
          <w:szCs w:val="24"/>
          <w:lang w:val="en-GB"/>
        </w:rPr>
      </w:r>
      <w:r w:rsidRPr="003D3219">
        <w:rPr>
          <w:sz w:val="24"/>
          <w:szCs w:val="24"/>
          <w:lang w:val="en-GB"/>
        </w:rPr>
        <w:fldChar w:fldCharType="separate"/>
      </w:r>
      <w:r w:rsidR="00B047B3">
        <w:rPr>
          <w:sz w:val="24"/>
          <w:szCs w:val="24"/>
        </w:rPr>
        <w:t>4.3.1</w:t>
      </w:r>
      <w:r w:rsidRPr="003D3219">
        <w:rPr>
          <w:sz w:val="24"/>
          <w:szCs w:val="24"/>
          <w:lang w:val="en-GB"/>
        </w:rPr>
        <w:fldChar w:fldCharType="end"/>
      </w:r>
      <w:r w:rsidRPr="003D3219">
        <w:rPr>
          <w:sz w:val="24"/>
          <w:szCs w:val="24"/>
        </w:rPr>
        <w:t>. Stoga je potrebno definirati odvojeno pretpostavke o potražnji za područja koja su do 2027. pokrivena svjetlovodnom mrežo od onih područja koja nisu pokrivena.</w:t>
      </w:r>
    </w:p>
    <w:p w:rsidR="003D3219" w:rsidRPr="005B7E58" w:rsidRDefault="003D3219" w:rsidP="005B7E58">
      <w:pPr>
        <w:rPr>
          <w:sz w:val="24"/>
          <w:szCs w:val="24"/>
        </w:rPr>
      </w:pPr>
    </w:p>
    <w:p w:rsidR="003D3219" w:rsidRPr="003D3219" w:rsidRDefault="003D3219" w:rsidP="003A6F28">
      <w:pPr>
        <w:pStyle w:val="Subtitle"/>
      </w:pPr>
      <w:r w:rsidRPr="003D3219">
        <w:t>Područja koja su već pokrivena svjetlovodnom mrežom</w:t>
      </w:r>
    </w:p>
    <w:p w:rsidR="003D3219" w:rsidRPr="003D3219" w:rsidRDefault="003D3219" w:rsidP="003D3219">
      <w:pPr>
        <w:spacing w:after="0" w:line="240" w:lineRule="auto"/>
        <w:jc w:val="both"/>
        <w:rPr>
          <w:sz w:val="24"/>
          <w:szCs w:val="24"/>
          <w:lang w:val="en-GB"/>
        </w:rPr>
      </w:pPr>
      <w:r w:rsidRPr="003D3219">
        <w:rPr>
          <w:sz w:val="24"/>
          <w:szCs w:val="24"/>
        </w:rPr>
        <w:t>U područjima koja su pokrivena sa svjetlovodnom mrežom do 2027., kao što je to slučaj u zemljama gdje je razvoj svjetlovodnih mreža napredniji, očekuje se da će korisnici s bakra progresivno prelaziti na svjetlovodnu mrežu.</w:t>
      </w:r>
      <w:r w:rsidRPr="00A640F0">
        <w:rPr>
          <w:sz w:val="24"/>
          <w:szCs w:val="24"/>
        </w:rPr>
        <w:t xml:space="preserve"> Predviđanje potražnje</w:t>
      </w:r>
      <w:r w:rsidRPr="003D3219">
        <w:rPr>
          <w:sz w:val="24"/>
          <w:szCs w:val="24"/>
          <w:lang w:val="en-GB"/>
        </w:rPr>
        <w:t xml:space="preserve"> se</w:t>
      </w:r>
      <w:r w:rsidRPr="00A640F0">
        <w:rPr>
          <w:sz w:val="24"/>
          <w:szCs w:val="24"/>
        </w:rPr>
        <w:t xml:space="preserve"> definira</w:t>
      </w:r>
      <w:r w:rsidRPr="003D3219">
        <w:rPr>
          <w:sz w:val="24"/>
          <w:szCs w:val="24"/>
          <w:lang w:val="en-GB"/>
        </w:rPr>
        <w:t xml:space="preserve"> </w:t>
      </w:r>
      <w:r w:rsidRPr="00B4116C">
        <w:rPr>
          <w:sz w:val="24"/>
          <w:szCs w:val="24"/>
        </w:rPr>
        <w:t>na</w:t>
      </w:r>
      <w:r w:rsidRPr="003D3219">
        <w:rPr>
          <w:sz w:val="24"/>
          <w:szCs w:val="24"/>
          <w:lang w:val="en-GB"/>
        </w:rPr>
        <w:t xml:space="preserve"> temelju</w:t>
      </w:r>
      <w:r w:rsidRPr="00A640F0">
        <w:rPr>
          <w:sz w:val="24"/>
          <w:szCs w:val="24"/>
        </w:rPr>
        <w:t xml:space="preserve"> sljedećih</w:t>
      </w:r>
      <w:r w:rsidRPr="003D3219">
        <w:rPr>
          <w:sz w:val="24"/>
          <w:szCs w:val="24"/>
          <w:lang w:val="en-GB"/>
        </w:rPr>
        <w:t xml:space="preserve"> </w:t>
      </w:r>
      <w:r w:rsidRPr="00A640F0">
        <w:rPr>
          <w:sz w:val="24"/>
          <w:szCs w:val="24"/>
        </w:rPr>
        <w:t>elemenata</w:t>
      </w:r>
      <w:r w:rsidRPr="003D3219">
        <w:rPr>
          <w:sz w:val="24"/>
          <w:szCs w:val="24"/>
          <w:lang w:val="en-GB"/>
        </w:rPr>
        <w:t>:</w:t>
      </w:r>
    </w:p>
    <w:p w:rsidR="003D3219" w:rsidRPr="003D3219" w:rsidRDefault="003D3219" w:rsidP="003D3219">
      <w:pPr>
        <w:spacing w:after="0" w:line="240" w:lineRule="auto"/>
        <w:jc w:val="both"/>
        <w:rPr>
          <w:sz w:val="24"/>
          <w:szCs w:val="24"/>
          <w:lang w:val="en-GB"/>
        </w:rPr>
      </w:pPr>
    </w:p>
    <w:p w:rsidR="003D3219" w:rsidRPr="008C0B99" w:rsidRDefault="003D3219" w:rsidP="00C433F8">
      <w:pPr>
        <w:numPr>
          <w:ilvl w:val="0"/>
          <w:numId w:val="7"/>
        </w:numPr>
        <w:spacing w:after="0" w:line="240" w:lineRule="auto"/>
        <w:contextualSpacing/>
        <w:jc w:val="both"/>
        <w:rPr>
          <w:sz w:val="24"/>
          <w:szCs w:val="24"/>
        </w:rPr>
      </w:pPr>
      <w:r w:rsidRPr="000D21A5">
        <w:rPr>
          <w:b/>
          <w:sz w:val="24"/>
          <w:szCs w:val="24"/>
        </w:rPr>
        <w:t>Ukupna</w:t>
      </w:r>
      <w:r w:rsidRPr="008C0B99">
        <w:rPr>
          <w:b/>
          <w:sz w:val="24"/>
          <w:szCs w:val="24"/>
        </w:rPr>
        <w:t xml:space="preserve"> potražnja: </w:t>
      </w:r>
      <w:r w:rsidRPr="000D21A5">
        <w:rPr>
          <w:sz w:val="24"/>
          <w:szCs w:val="24"/>
        </w:rPr>
        <w:t>očekuje</w:t>
      </w:r>
      <w:r w:rsidRPr="008C0B99">
        <w:rPr>
          <w:sz w:val="24"/>
          <w:szCs w:val="24"/>
        </w:rPr>
        <w:t xml:space="preserve"> se da</w:t>
      </w:r>
      <w:r w:rsidRPr="000D21A5">
        <w:rPr>
          <w:sz w:val="24"/>
          <w:szCs w:val="24"/>
        </w:rPr>
        <w:t xml:space="preserve"> </w:t>
      </w:r>
      <w:r w:rsidR="00410492" w:rsidRPr="000D21A5">
        <w:rPr>
          <w:sz w:val="24"/>
          <w:szCs w:val="24"/>
        </w:rPr>
        <w:t>korisnici koji</w:t>
      </w:r>
      <w:r w:rsidR="00410492" w:rsidRPr="008C0B99">
        <w:rPr>
          <w:sz w:val="24"/>
          <w:szCs w:val="24"/>
        </w:rPr>
        <w:t xml:space="preserve"> </w:t>
      </w:r>
      <w:r w:rsidR="00410492" w:rsidRPr="000D21A5">
        <w:rPr>
          <w:sz w:val="24"/>
          <w:szCs w:val="24"/>
        </w:rPr>
        <w:t>predstavljaju</w:t>
      </w:r>
      <w:r w:rsidR="00410492" w:rsidRPr="008C0B99">
        <w:rPr>
          <w:sz w:val="24"/>
          <w:szCs w:val="24"/>
        </w:rPr>
        <w:t xml:space="preserve"> </w:t>
      </w:r>
      <w:r w:rsidRPr="008C0B99">
        <w:rPr>
          <w:sz w:val="24"/>
          <w:szCs w:val="24"/>
        </w:rPr>
        <w:t>ukupn</w:t>
      </w:r>
      <w:r w:rsidR="00410492" w:rsidRPr="008C0B99">
        <w:rPr>
          <w:sz w:val="24"/>
          <w:szCs w:val="24"/>
        </w:rPr>
        <w:t>u potražnju</w:t>
      </w:r>
      <w:r w:rsidRPr="008C0B99">
        <w:rPr>
          <w:sz w:val="24"/>
          <w:szCs w:val="24"/>
        </w:rPr>
        <w:t xml:space="preserve"> koju zadovoljava modelirani operator (vlastiti maloprodajni </w:t>
      </w:r>
      <w:r w:rsidRPr="003258B0">
        <w:rPr>
          <w:sz w:val="24"/>
          <w:szCs w:val="24"/>
        </w:rPr>
        <w:t>korisnici</w:t>
      </w:r>
      <w:r w:rsidRPr="008C0B99">
        <w:rPr>
          <w:sz w:val="24"/>
          <w:szCs w:val="24"/>
        </w:rPr>
        <w:t xml:space="preserve"> i korisnici kojima se pružaju usluge putem njegovih veleprodajnih usluga) ima</w:t>
      </w:r>
      <w:r w:rsidR="00410492" w:rsidRPr="008C0B99">
        <w:rPr>
          <w:sz w:val="24"/>
          <w:szCs w:val="24"/>
        </w:rPr>
        <w:t>ju</w:t>
      </w:r>
      <w:r w:rsidRPr="008C0B99">
        <w:rPr>
          <w:sz w:val="24"/>
          <w:szCs w:val="24"/>
        </w:rPr>
        <w:t xml:space="preserve"> koristi zbog dodane vrijednosti u odnosu na alternativne infrastrukture (npr. kabelska infrastruktura, nepokretni bežični pristup). Međutim, te alternativne infrastrukture će također u budućnosti biti tehnološki poboljšane </w:t>
      </w:r>
      <w:r w:rsidR="007C71D7" w:rsidRPr="008C0B99">
        <w:rPr>
          <w:sz w:val="24"/>
          <w:szCs w:val="24"/>
        </w:rPr>
        <w:t xml:space="preserve">kako </w:t>
      </w:r>
      <w:r w:rsidRPr="008C0B99">
        <w:rPr>
          <w:sz w:val="24"/>
          <w:szCs w:val="24"/>
        </w:rPr>
        <w:t>bi se mogle nositi s mogućnostima svjetlovodnih mreža, a dodatno postoji mogućnost da drugi operatori odluče izgraditi vlastitu paralelnu svjetlovodnu infrastrukturu pored svjetlovodne infrastrukture referentnog operatora. Zauzimajući konzervativni pristup, u Troškovnom modelu se pretpostavlja da će ukupna potražnja ostati konstantna nakon 2027.</w:t>
      </w:r>
    </w:p>
    <w:p w:rsidR="003D3219" w:rsidRPr="008C0B99" w:rsidRDefault="003D3219" w:rsidP="003D3219">
      <w:pPr>
        <w:spacing w:after="0" w:line="240" w:lineRule="auto"/>
        <w:ind w:left="720"/>
        <w:contextualSpacing/>
        <w:jc w:val="both"/>
        <w:rPr>
          <w:sz w:val="24"/>
          <w:szCs w:val="24"/>
        </w:rPr>
      </w:pPr>
    </w:p>
    <w:p w:rsidR="003D3219" w:rsidRPr="008C0B99" w:rsidRDefault="003D3219" w:rsidP="00C433F8">
      <w:pPr>
        <w:numPr>
          <w:ilvl w:val="0"/>
          <w:numId w:val="7"/>
        </w:numPr>
        <w:spacing w:after="0" w:line="240" w:lineRule="auto"/>
        <w:contextualSpacing/>
        <w:jc w:val="both"/>
        <w:rPr>
          <w:sz w:val="24"/>
          <w:szCs w:val="24"/>
        </w:rPr>
      </w:pPr>
      <w:r w:rsidRPr="008C0B99">
        <w:rPr>
          <w:b/>
          <w:sz w:val="24"/>
          <w:szCs w:val="24"/>
        </w:rPr>
        <w:t xml:space="preserve">Migracija postojećih korisnika na svjetlovodnu mrežu: </w:t>
      </w:r>
      <w:r w:rsidRPr="008C0B99">
        <w:rPr>
          <w:sz w:val="24"/>
          <w:szCs w:val="24"/>
        </w:rPr>
        <w:t>Očekuje se da će</w:t>
      </w:r>
      <w:r w:rsidRPr="008C0B99">
        <w:rPr>
          <w:b/>
          <w:sz w:val="24"/>
          <w:szCs w:val="24"/>
        </w:rPr>
        <w:t xml:space="preserve"> </w:t>
      </w:r>
      <w:r w:rsidRPr="008C0B99">
        <w:rPr>
          <w:sz w:val="24"/>
          <w:szCs w:val="24"/>
        </w:rPr>
        <w:t>progresivnu migraciju korisnika s bakrene mreže na svjetlovodnu mrežu prvenstveno uzrokovati vlastiti korisnici koji će tražiti usluge s većim prijenosnim kapacitetom. Dodatno, u drugim zemljama mnogi opera</w:t>
      </w:r>
      <w:r w:rsidR="007C71D7" w:rsidRPr="008C0B99">
        <w:rPr>
          <w:sz w:val="24"/>
          <w:szCs w:val="24"/>
        </w:rPr>
        <w:t>t</w:t>
      </w:r>
      <w:r w:rsidRPr="008C0B99">
        <w:rPr>
          <w:sz w:val="24"/>
          <w:szCs w:val="24"/>
        </w:rPr>
        <w:t>ori su provodili proaktivne mjere poticanja migracije (primjerice migracija na novu tehnologiju uz zadržavanje istih uvjeta i cijena). Takva</w:t>
      </w:r>
      <w:r w:rsidRPr="00DB3214">
        <w:rPr>
          <w:sz w:val="24"/>
          <w:szCs w:val="24"/>
        </w:rPr>
        <w:t xml:space="preserve"> </w:t>
      </w:r>
      <w:r w:rsidRPr="008C0B99">
        <w:rPr>
          <w:sz w:val="24"/>
          <w:szCs w:val="24"/>
        </w:rPr>
        <w:t>migracija je u interesu operatora koji želi smanjiti operativne troškove održavanja dvije paralelne infrastrukture. Stoga se pretpostavlja da će u nekoj točki u budućnosti migracija u područjima koja su već pokrivena svjetlovodnom mrežom biti potpuna te da će se sukladno tome svim korisnicima na tom području usluga pružati putem svjetlovodne mreže.</w:t>
      </w:r>
    </w:p>
    <w:p w:rsidR="003D3219" w:rsidRPr="008C0B99" w:rsidRDefault="003D3219" w:rsidP="003D3219">
      <w:pPr>
        <w:spacing w:after="0" w:line="240" w:lineRule="auto"/>
        <w:ind w:left="720"/>
        <w:contextualSpacing/>
        <w:jc w:val="both"/>
        <w:rPr>
          <w:sz w:val="24"/>
          <w:szCs w:val="24"/>
        </w:rPr>
      </w:pPr>
    </w:p>
    <w:p w:rsidR="003D3219" w:rsidRPr="00AC130A" w:rsidRDefault="003D3219" w:rsidP="00C433F8">
      <w:pPr>
        <w:numPr>
          <w:ilvl w:val="0"/>
          <w:numId w:val="7"/>
        </w:numPr>
        <w:spacing w:after="0" w:line="240" w:lineRule="auto"/>
        <w:contextualSpacing/>
        <w:jc w:val="both"/>
        <w:rPr>
          <w:sz w:val="24"/>
          <w:szCs w:val="24"/>
        </w:rPr>
      </w:pPr>
      <w:r w:rsidRPr="00AC130A">
        <w:rPr>
          <w:b/>
          <w:sz w:val="24"/>
          <w:szCs w:val="24"/>
        </w:rPr>
        <w:t xml:space="preserve">Vrijeme za migraciju: </w:t>
      </w:r>
      <w:r w:rsidRPr="00AC130A">
        <w:rPr>
          <w:sz w:val="24"/>
          <w:szCs w:val="24"/>
        </w:rPr>
        <w:t>čak i ako bi se</w:t>
      </w:r>
      <w:r w:rsidR="00964C72" w:rsidRPr="00AC130A">
        <w:rPr>
          <w:sz w:val="24"/>
          <w:szCs w:val="24"/>
        </w:rPr>
        <w:t xml:space="preserve"> </w:t>
      </w:r>
      <w:r w:rsidRPr="00AC130A">
        <w:rPr>
          <w:sz w:val="24"/>
          <w:szCs w:val="24"/>
        </w:rPr>
        <w:t xml:space="preserve">migracija događala progresivno </w:t>
      </w:r>
      <w:r w:rsidRPr="008C0B99">
        <w:rPr>
          <w:sz w:val="24"/>
          <w:szCs w:val="24"/>
        </w:rPr>
        <w:t>central</w:t>
      </w:r>
      <w:r w:rsidR="00D72EAC" w:rsidRPr="008C0B99">
        <w:rPr>
          <w:sz w:val="24"/>
          <w:szCs w:val="24"/>
        </w:rPr>
        <w:t>u</w:t>
      </w:r>
      <w:r w:rsidRPr="00AC130A">
        <w:rPr>
          <w:sz w:val="24"/>
          <w:szCs w:val="24"/>
        </w:rPr>
        <w:t xml:space="preserve"> po </w:t>
      </w:r>
      <w:r w:rsidRPr="008C0B99">
        <w:rPr>
          <w:sz w:val="24"/>
          <w:szCs w:val="24"/>
        </w:rPr>
        <w:t>central</w:t>
      </w:r>
      <w:r w:rsidR="00D72EAC" w:rsidRPr="008C0B99">
        <w:rPr>
          <w:sz w:val="24"/>
          <w:szCs w:val="24"/>
        </w:rPr>
        <w:t>u</w:t>
      </w:r>
      <w:r w:rsidRPr="00AC130A">
        <w:rPr>
          <w:sz w:val="24"/>
          <w:szCs w:val="24"/>
        </w:rPr>
        <w:t>, u svrhu modeliranja je pretpostavljeno da će se potpuna migracija u područjima koja su već pokrivena svjetlovodnom mrežom događati od određene godine nadalje, pretpostavljajući linearnu evoluciju od 2027</w:t>
      </w:r>
      <w:r w:rsidR="00D72EAC" w:rsidRPr="00AC130A">
        <w:rPr>
          <w:sz w:val="24"/>
          <w:szCs w:val="24"/>
        </w:rPr>
        <w:t>.</w:t>
      </w:r>
      <w:r w:rsidRPr="00AC130A">
        <w:rPr>
          <w:sz w:val="24"/>
          <w:szCs w:val="24"/>
        </w:rPr>
        <w:t xml:space="preserve"> do te godine. Zbog nesigurnosti povezanih s </w:t>
      </w:r>
      <w:r w:rsidR="00D72EAC" w:rsidRPr="00AC130A">
        <w:rPr>
          <w:sz w:val="24"/>
          <w:szCs w:val="24"/>
        </w:rPr>
        <w:t xml:space="preserve">dinamikom procesa </w:t>
      </w:r>
      <w:r w:rsidRPr="00AC130A">
        <w:rPr>
          <w:sz w:val="24"/>
          <w:szCs w:val="24"/>
        </w:rPr>
        <w:t>migracije HAKOM je u postupku savjetovanja o Troškovnom modelu predložio tri različita scenarija za razmatranje:</w:t>
      </w:r>
    </w:p>
    <w:p w:rsidR="003D3219" w:rsidRPr="00AC130A" w:rsidRDefault="003D3219" w:rsidP="003D3219">
      <w:pPr>
        <w:spacing w:after="0" w:line="240" w:lineRule="auto"/>
        <w:jc w:val="both"/>
      </w:pPr>
    </w:p>
    <w:p w:rsidR="003D3219" w:rsidRPr="00AC130A" w:rsidRDefault="003D3219" w:rsidP="00C433F8">
      <w:pPr>
        <w:numPr>
          <w:ilvl w:val="1"/>
          <w:numId w:val="7"/>
        </w:numPr>
        <w:spacing w:after="0" w:line="240" w:lineRule="auto"/>
        <w:contextualSpacing/>
        <w:jc w:val="both"/>
        <w:rPr>
          <w:b/>
          <w:sz w:val="24"/>
          <w:szCs w:val="24"/>
        </w:rPr>
      </w:pPr>
      <w:r w:rsidRPr="00AC130A">
        <w:rPr>
          <w:b/>
          <w:sz w:val="24"/>
          <w:szCs w:val="24"/>
        </w:rPr>
        <w:t xml:space="preserve">Opcija A – </w:t>
      </w:r>
      <w:r w:rsidRPr="00AC130A">
        <w:rPr>
          <w:sz w:val="24"/>
          <w:szCs w:val="24"/>
        </w:rPr>
        <w:t>pretpostavlja da je migracija završena od 2030. nadalje</w:t>
      </w:r>
    </w:p>
    <w:p w:rsidR="003D3219" w:rsidRPr="00AC130A" w:rsidRDefault="003D3219" w:rsidP="00C433F8">
      <w:pPr>
        <w:numPr>
          <w:ilvl w:val="1"/>
          <w:numId w:val="7"/>
        </w:numPr>
        <w:spacing w:after="0" w:line="240" w:lineRule="auto"/>
        <w:contextualSpacing/>
        <w:jc w:val="both"/>
        <w:rPr>
          <w:b/>
          <w:sz w:val="24"/>
          <w:szCs w:val="24"/>
        </w:rPr>
      </w:pPr>
      <w:r w:rsidRPr="00AC130A">
        <w:rPr>
          <w:b/>
          <w:sz w:val="24"/>
          <w:szCs w:val="24"/>
        </w:rPr>
        <w:t xml:space="preserve">Opcija B – </w:t>
      </w:r>
      <w:r w:rsidRPr="00AC130A">
        <w:rPr>
          <w:sz w:val="24"/>
          <w:szCs w:val="24"/>
        </w:rPr>
        <w:t>pretpostavlja da je migracija završena od 2035. nadalje</w:t>
      </w:r>
    </w:p>
    <w:p w:rsidR="003D3219" w:rsidRPr="00AC130A" w:rsidRDefault="003D3219" w:rsidP="00C433F8">
      <w:pPr>
        <w:numPr>
          <w:ilvl w:val="1"/>
          <w:numId w:val="7"/>
        </w:numPr>
        <w:spacing w:after="0" w:line="240" w:lineRule="auto"/>
        <w:contextualSpacing/>
        <w:jc w:val="both"/>
        <w:rPr>
          <w:b/>
          <w:sz w:val="24"/>
          <w:szCs w:val="24"/>
        </w:rPr>
      </w:pPr>
      <w:r w:rsidRPr="00AC130A">
        <w:rPr>
          <w:b/>
          <w:sz w:val="24"/>
          <w:szCs w:val="24"/>
        </w:rPr>
        <w:t xml:space="preserve">Opcija C - </w:t>
      </w:r>
      <w:r w:rsidRPr="00AC130A">
        <w:rPr>
          <w:sz w:val="24"/>
          <w:szCs w:val="24"/>
        </w:rPr>
        <w:t>pretpostavlja da je migracija završena od 2040. nadalje</w:t>
      </w:r>
    </w:p>
    <w:p w:rsidR="003D3219" w:rsidRPr="00AC130A" w:rsidRDefault="003D3219" w:rsidP="003D3219">
      <w:pPr>
        <w:rPr>
          <w:sz w:val="24"/>
          <w:szCs w:val="24"/>
        </w:rPr>
      </w:pPr>
    </w:p>
    <w:p w:rsidR="003D3219" w:rsidRPr="008C0B99" w:rsidRDefault="003D3219" w:rsidP="003D3219">
      <w:pPr>
        <w:rPr>
          <w:sz w:val="24"/>
          <w:szCs w:val="24"/>
        </w:rPr>
      </w:pPr>
      <w:r w:rsidRPr="008C0B99">
        <w:rPr>
          <w:sz w:val="24"/>
          <w:szCs w:val="24"/>
        </w:rPr>
        <w:t>Troškovni model podržava rad sa sve tri opcije.</w:t>
      </w:r>
    </w:p>
    <w:p w:rsidR="003D3219" w:rsidRPr="00AC130A" w:rsidRDefault="003D3219" w:rsidP="00AC130A">
      <w:pPr>
        <w:jc w:val="both"/>
        <w:rPr>
          <w:sz w:val="24"/>
          <w:szCs w:val="24"/>
        </w:rPr>
      </w:pPr>
      <w:r w:rsidRPr="00AC130A">
        <w:rPr>
          <w:sz w:val="24"/>
          <w:szCs w:val="24"/>
        </w:rPr>
        <w:t xml:space="preserve">U postupku savjetovanja operatori su trebali iznijeti svoj stav o gore opisanoj metodologiji za predviđanje potražnje u </w:t>
      </w:r>
      <w:r w:rsidR="00B974EE" w:rsidRPr="00AC130A">
        <w:rPr>
          <w:sz w:val="24"/>
          <w:szCs w:val="24"/>
        </w:rPr>
        <w:t>razdoblju</w:t>
      </w:r>
      <w:r w:rsidRPr="00AC130A">
        <w:rPr>
          <w:sz w:val="24"/>
          <w:szCs w:val="24"/>
        </w:rPr>
        <w:t xml:space="preserve"> nakon 2027. te se izjasniti koja bi se prema njihovom mišljenju od 3 gore navedene opcije treba koristiti za definiranje migracije korisnika s bakrene mreže na svjetlovodnu pristupnu mrežu.</w:t>
      </w:r>
    </w:p>
    <w:p w:rsidR="003D3219" w:rsidRPr="00AC130A" w:rsidRDefault="003D3219" w:rsidP="003D3219">
      <w:pPr>
        <w:jc w:val="both"/>
        <w:rPr>
          <w:sz w:val="24"/>
          <w:szCs w:val="24"/>
        </w:rPr>
      </w:pPr>
      <w:r w:rsidRPr="00AC130A">
        <w:rPr>
          <w:sz w:val="24"/>
          <w:szCs w:val="24"/>
        </w:rPr>
        <w:t xml:space="preserve">HT je u postupku savjetovanja izrazio neslaganje s predloženom metodom predviđanja potražnje za </w:t>
      </w:r>
      <w:r w:rsidR="00B974EE" w:rsidRPr="00AC130A">
        <w:rPr>
          <w:sz w:val="24"/>
          <w:szCs w:val="24"/>
        </w:rPr>
        <w:t>razdoblje</w:t>
      </w:r>
      <w:r w:rsidRPr="00AC130A">
        <w:rPr>
          <w:sz w:val="24"/>
          <w:szCs w:val="24"/>
        </w:rPr>
        <w:t xml:space="preserve"> nakon 2027., budući da se ne slaže ni sa pokrivanjem i potražnjom za </w:t>
      </w:r>
      <w:r w:rsidR="00B974EE" w:rsidRPr="00AC130A">
        <w:rPr>
          <w:sz w:val="24"/>
          <w:szCs w:val="24"/>
        </w:rPr>
        <w:t>razdoblje</w:t>
      </w:r>
      <w:r w:rsidRPr="00AC130A">
        <w:rPr>
          <w:sz w:val="24"/>
          <w:szCs w:val="24"/>
        </w:rPr>
        <w:t xml:space="preserve"> do 2027. Iz istog razloga nije se niti izjasnio o preferiranoj opciji definiranja migracije. </w:t>
      </w:r>
    </w:p>
    <w:p w:rsidR="003D3219" w:rsidRPr="00AC130A" w:rsidRDefault="00A410B6" w:rsidP="003D3219">
      <w:pPr>
        <w:jc w:val="both"/>
        <w:rPr>
          <w:sz w:val="24"/>
          <w:szCs w:val="24"/>
        </w:rPr>
      </w:pPr>
      <w:r w:rsidRPr="00AC130A">
        <w:rPr>
          <w:sz w:val="24"/>
          <w:szCs w:val="24"/>
        </w:rPr>
        <w:t>HAKOM</w:t>
      </w:r>
      <w:r w:rsidR="003D3219" w:rsidRPr="00AC130A">
        <w:rPr>
          <w:sz w:val="24"/>
          <w:szCs w:val="24"/>
        </w:rPr>
        <w:t xml:space="preserve"> </w:t>
      </w:r>
      <w:r w:rsidRPr="00AC130A">
        <w:rPr>
          <w:sz w:val="24"/>
          <w:szCs w:val="24"/>
        </w:rPr>
        <w:t>je</w:t>
      </w:r>
      <w:r w:rsidR="003D3219" w:rsidRPr="00AC130A">
        <w:rPr>
          <w:sz w:val="24"/>
          <w:szCs w:val="24"/>
        </w:rPr>
        <w:t xml:space="preserve"> HT-ovo neslaganje primi</w:t>
      </w:r>
      <w:r w:rsidRPr="00AC130A">
        <w:rPr>
          <w:sz w:val="24"/>
          <w:szCs w:val="24"/>
        </w:rPr>
        <w:t>o</w:t>
      </w:r>
      <w:r w:rsidR="003D3219" w:rsidRPr="00AC130A">
        <w:rPr>
          <w:sz w:val="24"/>
          <w:szCs w:val="24"/>
        </w:rPr>
        <w:t xml:space="preserve"> na znanje, međutim, iz već obrazloženih razloga, ostaj</w:t>
      </w:r>
      <w:r w:rsidRPr="00AC130A">
        <w:rPr>
          <w:sz w:val="24"/>
          <w:szCs w:val="24"/>
        </w:rPr>
        <w:t>e</w:t>
      </w:r>
      <w:r w:rsidR="003D3219" w:rsidRPr="00AC130A">
        <w:rPr>
          <w:sz w:val="24"/>
          <w:szCs w:val="24"/>
        </w:rPr>
        <w:t xml:space="preserve"> pri stavu da su pokrivanje i potražnja kako su definirani u Troškovnom modelu, razumni za učinkovitog operator te će ostati nepromijenjeni.</w:t>
      </w:r>
    </w:p>
    <w:p w:rsidR="003D3219" w:rsidRPr="00AC130A" w:rsidRDefault="003D3219" w:rsidP="003D3219">
      <w:pPr>
        <w:jc w:val="both"/>
        <w:rPr>
          <w:sz w:val="24"/>
          <w:szCs w:val="24"/>
        </w:rPr>
      </w:pPr>
      <w:r w:rsidRPr="00AC130A">
        <w:rPr>
          <w:sz w:val="24"/>
          <w:szCs w:val="24"/>
        </w:rPr>
        <w:t>Što se tiče komentara alternativnih operatora, jedino je A1 izrazio slaganje s predloženom metodologijom za predviđanje potražnje nakon 2027</w:t>
      </w:r>
      <w:r w:rsidR="00A5688B" w:rsidRPr="00AC130A">
        <w:rPr>
          <w:sz w:val="24"/>
          <w:szCs w:val="24"/>
        </w:rPr>
        <w:t>.</w:t>
      </w:r>
      <w:r w:rsidRPr="00AC130A">
        <w:rPr>
          <w:sz w:val="24"/>
          <w:szCs w:val="24"/>
        </w:rPr>
        <w:t>, dok se ostali operatori nisu izjasnili o tom pitanju. Što se tiče predloženih opcija za definiranje postupka migracije, svi alternativni operatori koji su sudjelovali u savjetovanju (A1, Optima, Terrakom i Total TV) su se izjasnili za Opciju A, odnosno za bržu migraciju.</w:t>
      </w:r>
    </w:p>
    <w:p w:rsidR="003D3219" w:rsidRPr="00376D9E" w:rsidRDefault="003D3219" w:rsidP="003D3219">
      <w:pPr>
        <w:jc w:val="both"/>
        <w:rPr>
          <w:sz w:val="24"/>
          <w:szCs w:val="24"/>
        </w:rPr>
      </w:pPr>
      <w:r w:rsidRPr="00376D9E">
        <w:rPr>
          <w:sz w:val="24"/>
          <w:szCs w:val="24"/>
        </w:rPr>
        <w:t>Sukladno navedenom, s obzirom da se većina operatora</w:t>
      </w:r>
      <w:r w:rsidR="00410492" w:rsidRPr="00376D9E">
        <w:rPr>
          <w:sz w:val="24"/>
          <w:szCs w:val="24"/>
        </w:rPr>
        <w:t xml:space="preserve"> ili</w:t>
      </w:r>
      <w:r w:rsidRPr="00376D9E">
        <w:rPr>
          <w:sz w:val="24"/>
          <w:szCs w:val="24"/>
        </w:rPr>
        <w:t xml:space="preserve"> slaže s gore opisanom metodologijom za predviđanje potražnje u </w:t>
      </w:r>
      <w:r w:rsidR="00B974EE" w:rsidRPr="00376D9E">
        <w:rPr>
          <w:sz w:val="24"/>
          <w:szCs w:val="24"/>
        </w:rPr>
        <w:t>razdoblju</w:t>
      </w:r>
      <w:r w:rsidRPr="00376D9E">
        <w:rPr>
          <w:sz w:val="24"/>
          <w:szCs w:val="24"/>
        </w:rPr>
        <w:t xml:space="preserve"> nakon 2027.</w:t>
      </w:r>
      <w:r w:rsidR="00410492" w:rsidRPr="00376D9E">
        <w:rPr>
          <w:sz w:val="24"/>
          <w:szCs w:val="24"/>
        </w:rPr>
        <w:t xml:space="preserve"> ili je ne dovodi u pitanje</w:t>
      </w:r>
      <w:r w:rsidRPr="00376D9E">
        <w:rPr>
          <w:sz w:val="24"/>
          <w:szCs w:val="24"/>
        </w:rPr>
        <w:t xml:space="preserve"> te da preferira Opciju A za definiranje postupka migracije korisnika s bakrene na svjetlovodnu mrežu u područjima koja će do 2027. biti pokrivena svjetlovodnom mrežom, taj scenarij je </w:t>
      </w:r>
      <w:r w:rsidR="008C0B99" w:rsidRPr="008C0B99">
        <w:rPr>
          <w:sz w:val="24"/>
          <w:szCs w:val="24"/>
        </w:rPr>
        <w:t>primijenjen</w:t>
      </w:r>
      <w:r w:rsidRPr="00376D9E">
        <w:rPr>
          <w:sz w:val="24"/>
          <w:szCs w:val="24"/>
        </w:rPr>
        <w:t xml:space="preserve"> u Troškovnom modelu za izračun troškova i određivanje veleprodajnih cijena.</w:t>
      </w:r>
    </w:p>
    <w:p w:rsidR="00AC130A" w:rsidRDefault="00AC130A" w:rsidP="003A6F28">
      <w:pPr>
        <w:pStyle w:val="Subtitle"/>
      </w:pPr>
    </w:p>
    <w:p w:rsidR="003D3219" w:rsidRPr="003D3219" w:rsidRDefault="003D3219" w:rsidP="003A6F28">
      <w:pPr>
        <w:pStyle w:val="Subtitle"/>
      </w:pPr>
      <w:r w:rsidRPr="003D3219">
        <w:t>Područja koja nisu pokrivena svjetlovodnom mrežom</w:t>
      </w:r>
    </w:p>
    <w:p w:rsidR="003D3219" w:rsidRPr="003D3219" w:rsidRDefault="003D3219" w:rsidP="003D3219">
      <w:pPr>
        <w:jc w:val="both"/>
        <w:rPr>
          <w:sz w:val="24"/>
          <w:szCs w:val="24"/>
        </w:rPr>
      </w:pPr>
      <w:r w:rsidRPr="003D3219">
        <w:rPr>
          <w:sz w:val="24"/>
          <w:szCs w:val="24"/>
        </w:rPr>
        <w:t xml:space="preserve">Za područja koja nisu pokrivena svjetlovodnom mrežom u 2027., potrebno je procijeniti potražnju za uslugama na bakrenoj infrastrukturi. U takvim područjima, uslugama pristupa koje se temelje na bakrenoj </w:t>
      </w:r>
      <w:r w:rsidR="008C0B99" w:rsidRPr="008C0B99">
        <w:rPr>
          <w:sz w:val="24"/>
          <w:szCs w:val="24"/>
        </w:rPr>
        <w:t>infrastrukturi</w:t>
      </w:r>
      <w:r w:rsidRPr="003D3219">
        <w:rPr>
          <w:sz w:val="24"/>
          <w:szCs w:val="24"/>
        </w:rPr>
        <w:t xml:space="preserve"> HT-a konkurirat će druge tehnologije kao i u modeliranom razdoblju tj. 2017</w:t>
      </w:r>
      <w:r w:rsidR="007B3B7C">
        <w:rPr>
          <w:sz w:val="24"/>
          <w:szCs w:val="24"/>
        </w:rPr>
        <w:t>.</w:t>
      </w:r>
      <w:r w:rsidRPr="003D3219">
        <w:rPr>
          <w:sz w:val="24"/>
          <w:szCs w:val="24"/>
        </w:rPr>
        <w:t>-2027.</w:t>
      </w:r>
    </w:p>
    <w:p w:rsidR="003D3219" w:rsidRPr="003D3219" w:rsidRDefault="003D3219" w:rsidP="003D3219">
      <w:pPr>
        <w:jc w:val="both"/>
        <w:rPr>
          <w:sz w:val="24"/>
          <w:szCs w:val="24"/>
        </w:rPr>
      </w:pPr>
      <w:r w:rsidRPr="003D3219">
        <w:rPr>
          <w:sz w:val="24"/>
          <w:szCs w:val="24"/>
        </w:rPr>
        <w:t xml:space="preserve">Stoga, Troškovni model pretpostavlja godišnja smanjivanje potražnje usluga na bakrenoj mreži koje usklađeno s trendom definiranim u modelu za </w:t>
      </w:r>
      <w:r w:rsidR="00B974EE">
        <w:rPr>
          <w:sz w:val="24"/>
          <w:szCs w:val="24"/>
        </w:rPr>
        <w:t>razdoblje</w:t>
      </w:r>
      <w:r w:rsidRPr="003D3219">
        <w:rPr>
          <w:sz w:val="24"/>
          <w:szCs w:val="24"/>
        </w:rPr>
        <w:t xml:space="preserve"> od 2017. do 2027. i za </w:t>
      </w:r>
      <w:r w:rsidR="00B974EE">
        <w:rPr>
          <w:sz w:val="24"/>
          <w:szCs w:val="24"/>
        </w:rPr>
        <w:t>razdoblje</w:t>
      </w:r>
      <w:r w:rsidRPr="003D3219">
        <w:rPr>
          <w:sz w:val="24"/>
          <w:szCs w:val="24"/>
        </w:rPr>
        <w:t xml:space="preserve"> od 2028. do 2035. Nakon 2035., pretpostavlja se da će potražnja ostati konstantna. Predviđena potražnja za uslugama pristupa na bakrenoj mreži u područjima koja 2027. neće biti pokrivena sa svjetlovodnom mrežom prikazana je na dijagramu na</w:t>
      </w:r>
      <w:r w:rsidR="00052EDD">
        <w:rPr>
          <w:sz w:val="24"/>
          <w:szCs w:val="24"/>
        </w:rPr>
        <w:t xml:space="preserve"> donjoj slici (</w:t>
      </w:r>
      <w:r w:rsidRPr="008C0B99">
        <w:rPr>
          <w:sz w:val="24"/>
          <w:szCs w:val="24"/>
        </w:rPr>
        <w:fldChar w:fldCharType="begin"/>
      </w:r>
      <w:r w:rsidRPr="003D3219">
        <w:rPr>
          <w:sz w:val="24"/>
          <w:szCs w:val="24"/>
        </w:rPr>
        <w:instrText xml:space="preserve"> REF _Ref51059667 \h </w:instrText>
      </w:r>
      <w:r w:rsidRPr="00DD0407">
        <w:rPr>
          <w:sz w:val="24"/>
          <w:szCs w:val="24"/>
        </w:rPr>
        <w:instrText xml:space="preserve"> \* MERGEFORMAT </w:instrText>
      </w:r>
      <w:r w:rsidRPr="008C0B99">
        <w:rPr>
          <w:sz w:val="24"/>
          <w:szCs w:val="24"/>
        </w:rPr>
      </w:r>
      <w:r w:rsidRPr="008C0B99">
        <w:rPr>
          <w:sz w:val="24"/>
          <w:szCs w:val="24"/>
        </w:rPr>
        <w:fldChar w:fldCharType="separate"/>
      </w:r>
      <w:r w:rsidR="00B047B3" w:rsidRPr="00B047B3">
        <w:rPr>
          <w:sz w:val="24"/>
          <w:szCs w:val="24"/>
        </w:rPr>
        <w:t>Slika 15</w:t>
      </w:r>
      <w:r w:rsidRPr="008C0B99">
        <w:rPr>
          <w:sz w:val="24"/>
          <w:szCs w:val="24"/>
        </w:rPr>
        <w:fldChar w:fldCharType="end"/>
      </w:r>
      <w:r w:rsidRPr="003D3219">
        <w:rPr>
          <w:sz w:val="24"/>
          <w:szCs w:val="24"/>
        </w:rPr>
        <w:t>.</w:t>
      </w:r>
      <w:r w:rsidR="00052EDD">
        <w:rPr>
          <w:sz w:val="24"/>
          <w:szCs w:val="24"/>
        </w:rPr>
        <w:t>)</w:t>
      </w:r>
    </w:p>
    <w:p w:rsidR="003D3219" w:rsidRPr="003D3219" w:rsidRDefault="008D2898" w:rsidP="00C00568">
      <w:pPr>
        <w:pStyle w:val="Caption"/>
        <w:rPr>
          <w:sz w:val="24"/>
          <w:szCs w:val="24"/>
        </w:rPr>
      </w:pPr>
      <w:bookmarkStart w:id="378" w:name="_Toc54175843"/>
      <w:bookmarkStart w:id="379" w:name="_Toc54261707"/>
      <w:r w:rsidRPr="008D2898">
        <w:sym w:font="Wingdings 2" w:char="F026"/>
      </w:r>
      <w:bookmarkStart w:id="380" w:name="_Ref51059667"/>
      <w:bookmarkStart w:id="381" w:name="_Toc53941933"/>
      <w:r w:rsidR="003D3219" w:rsidRPr="003D3219">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15</w:t>
      </w:r>
      <w:r w:rsidR="00E6032F">
        <w:rPr>
          <w:noProof/>
        </w:rPr>
        <w:fldChar w:fldCharType="end"/>
      </w:r>
      <w:bookmarkEnd w:id="380"/>
      <w:r w:rsidR="003D3219" w:rsidRPr="003D3219">
        <w:t xml:space="preserve"> - Potražnja za uslugama na bakrenoj mreži u područjima koja nisu pokrivena svjetlovodnom mrežom (Izvor: HAKOM na osnovu podataka operatora)</w:t>
      </w:r>
      <w:bookmarkEnd w:id="378"/>
      <w:bookmarkEnd w:id="379"/>
      <w:bookmarkEnd w:id="381"/>
    </w:p>
    <w:p w:rsidR="003D3219" w:rsidRPr="00DD0407" w:rsidRDefault="00C231FC" w:rsidP="003D3219">
      <w:pPr>
        <w:jc w:val="both"/>
        <w:rPr>
          <w:sz w:val="24"/>
          <w:szCs w:val="24"/>
        </w:rPr>
      </w:pPr>
      <w:r w:rsidRPr="00DD0407">
        <w:rPr>
          <w:sz w:val="24"/>
          <w:szCs w:val="24"/>
        </w:rPr>
        <w:t>U vezi</w:t>
      </w:r>
      <w:r w:rsidR="003D3219" w:rsidRPr="00DD0407">
        <w:rPr>
          <w:sz w:val="24"/>
          <w:szCs w:val="24"/>
        </w:rPr>
        <w:t xml:space="preserve"> ovog pitanja HAKOM se </w:t>
      </w:r>
      <w:r w:rsidRPr="00DD0407">
        <w:rPr>
          <w:sz w:val="24"/>
          <w:szCs w:val="24"/>
        </w:rPr>
        <w:t xml:space="preserve">također </w:t>
      </w:r>
      <w:r w:rsidR="003D3219" w:rsidRPr="00DD0407">
        <w:rPr>
          <w:sz w:val="24"/>
          <w:szCs w:val="24"/>
        </w:rPr>
        <w:t>savjetovao s operatorima u postupku savjetovanja oko Troškovnog modela.</w:t>
      </w:r>
    </w:p>
    <w:p w:rsidR="003D3219" w:rsidRPr="00DD0407" w:rsidRDefault="003D3219" w:rsidP="003D3219">
      <w:pPr>
        <w:jc w:val="both"/>
        <w:rPr>
          <w:sz w:val="24"/>
          <w:szCs w:val="24"/>
        </w:rPr>
      </w:pPr>
      <w:r w:rsidRPr="00DD0407">
        <w:rPr>
          <w:sz w:val="24"/>
          <w:szCs w:val="24"/>
        </w:rPr>
        <w:t xml:space="preserve">HT je, ističući iste argumente koje je istaknuo kod neslaganja s ulaznim podacima o </w:t>
      </w:r>
      <w:r w:rsidR="00745A3D" w:rsidRPr="00DD0407">
        <w:rPr>
          <w:sz w:val="24"/>
          <w:szCs w:val="24"/>
        </w:rPr>
        <w:t>pokrivenosti</w:t>
      </w:r>
      <w:r w:rsidRPr="00DD0407">
        <w:rPr>
          <w:sz w:val="24"/>
          <w:szCs w:val="24"/>
        </w:rPr>
        <w:t xml:space="preserve"> i potražnji, ponovno izrazio svoje neslaganje i oko ovog pitanja, dok se od ostalih operatora u vezi pitanja procjene potražnje za uslugama na bakrenoj mreži HT-a u područjima koja 2027. nisu pokrivena svjetlovodnom mrežom u </w:t>
      </w:r>
      <w:r w:rsidR="00B974EE">
        <w:rPr>
          <w:sz w:val="24"/>
          <w:szCs w:val="24"/>
        </w:rPr>
        <w:t>razdoblju</w:t>
      </w:r>
      <w:r w:rsidR="00B974EE" w:rsidRPr="00DD0407">
        <w:rPr>
          <w:sz w:val="24"/>
          <w:szCs w:val="24"/>
        </w:rPr>
        <w:t xml:space="preserve"> </w:t>
      </w:r>
      <w:r w:rsidRPr="00DD0407">
        <w:rPr>
          <w:sz w:val="24"/>
          <w:szCs w:val="24"/>
        </w:rPr>
        <w:t>2027.-2067. jedino izjasnio A1, izražavajući svoje slaganje s predviđenom metodologijom.</w:t>
      </w:r>
    </w:p>
    <w:p w:rsidR="003D3219" w:rsidRPr="00DD0407" w:rsidRDefault="003D3219" w:rsidP="003D3219">
      <w:pPr>
        <w:jc w:val="both"/>
        <w:rPr>
          <w:sz w:val="24"/>
          <w:szCs w:val="24"/>
        </w:rPr>
      </w:pPr>
      <w:r w:rsidRPr="00DD0407">
        <w:rPr>
          <w:sz w:val="24"/>
          <w:szCs w:val="24"/>
        </w:rPr>
        <w:t xml:space="preserve">Nastavno na navedeno, s obzirom da se HT-ovo neslaganje s ulaznim podacima o pokrivenosti i potražnji iz razloga koji su ranije obrazloženi neće uzeti u obzir te da se jedini alternativni operator koji se očitovao oko ovog pitanja izjasnio pozitivno, HAKOM je u Troškovnom modelu </w:t>
      </w:r>
      <w:r w:rsidR="00745A3D" w:rsidRPr="00DD0407">
        <w:rPr>
          <w:sz w:val="24"/>
          <w:szCs w:val="24"/>
        </w:rPr>
        <w:t>primijenio</w:t>
      </w:r>
      <w:r w:rsidRPr="00DD0407">
        <w:rPr>
          <w:sz w:val="24"/>
          <w:szCs w:val="24"/>
        </w:rPr>
        <w:t xml:space="preserve"> gore opisanu metodologiju bez izmjena.</w:t>
      </w:r>
    </w:p>
    <w:p w:rsidR="003D3219" w:rsidRPr="003D3219" w:rsidRDefault="003D3219" w:rsidP="003A6F28">
      <w:pPr>
        <w:pStyle w:val="Heading3"/>
      </w:pPr>
      <w:bookmarkStart w:id="382" w:name="_Toc51156692"/>
      <w:bookmarkStart w:id="383" w:name="_Toc51246440"/>
      <w:bookmarkStart w:id="384" w:name="_Toc51252362"/>
      <w:bookmarkStart w:id="385" w:name="_Toc51253486"/>
      <w:bookmarkStart w:id="386" w:name="_Toc51666116"/>
      <w:bookmarkStart w:id="387" w:name="_Toc51252363"/>
      <w:bookmarkStart w:id="388" w:name="_Toc51676905"/>
      <w:bookmarkStart w:id="389" w:name="_Toc53941969"/>
      <w:bookmarkStart w:id="390" w:name="_Toc54250942"/>
      <w:bookmarkStart w:id="391" w:name="_Toc54252840"/>
      <w:bookmarkStart w:id="392" w:name="_Toc54261652"/>
      <w:bookmarkEnd w:id="382"/>
      <w:bookmarkEnd w:id="383"/>
      <w:bookmarkEnd w:id="384"/>
      <w:bookmarkEnd w:id="385"/>
      <w:bookmarkEnd w:id="386"/>
      <w:r w:rsidRPr="003D3219">
        <w:t>Širokopojasni promet</w:t>
      </w:r>
      <w:bookmarkEnd w:id="387"/>
      <w:bookmarkEnd w:id="388"/>
      <w:bookmarkEnd w:id="389"/>
      <w:bookmarkEnd w:id="390"/>
      <w:bookmarkEnd w:id="391"/>
      <w:bookmarkEnd w:id="392"/>
    </w:p>
    <w:p w:rsidR="003D3219" w:rsidRPr="003D3219" w:rsidRDefault="003D3219" w:rsidP="00696017">
      <w:pPr>
        <w:jc w:val="both"/>
        <w:rPr>
          <w:sz w:val="24"/>
          <w:szCs w:val="24"/>
        </w:rPr>
      </w:pPr>
      <w:r w:rsidRPr="003D3219">
        <w:rPr>
          <w:sz w:val="24"/>
          <w:szCs w:val="24"/>
        </w:rPr>
        <w:t>Za dimenzioniranje prijenosne mreže bitan ulazni podatak je širokopojasni promet, koji se sastoji od prometa korisnika širokopojasnog pristupa i od prometa proizvoda visokokvalitetnog pristupa. Širokopojasni promet koji Troškovni model uzima u obzir temelji se na podacima koje su operatori dostavili tijekom postupka p</w:t>
      </w:r>
      <w:r w:rsidR="003F1B36">
        <w:rPr>
          <w:sz w:val="24"/>
          <w:szCs w:val="24"/>
        </w:rPr>
        <w:t>rikupljanja podataka, a prikazuje ga</w:t>
      </w:r>
      <w:r w:rsidRPr="003D3219">
        <w:rPr>
          <w:sz w:val="24"/>
          <w:szCs w:val="24"/>
        </w:rPr>
        <w:t xml:space="preserve"> </w:t>
      </w:r>
      <w:r w:rsidRPr="003D3219">
        <w:rPr>
          <w:sz w:val="24"/>
          <w:szCs w:val="24"/>
        </w:rPr>
        <w:fldChar w:fldCharType="begin"/>
      </w:r>
      <w:r w:rsidRPr="003D3219">
        <w:rPr>
          <w:sz w:val="24"/>
          <w:szCs w:val="24"/>
        </w:rPr>
        <w:instrText xml:space="preserve"> REF _Ref51068236 \h </w:instrText>
      </w:r>
      <w:r w:rsidR="00406FEA">
        <w:rPr>
          <w:sz w:val="24"/>
          <w:szCs w:val="24"/>
        </w:rPr>
        <w:instrText xml:space="preserve"> \* MERGEFORMAT </w:instrText>
      </w:r>
      <w:r w:rsidRPr="003D3219">
        <w:rPr>
          <w:sz w:val="24"/>
          <w:szCs w:val="24"/>
        </w:rPr>
      </w:r>
      <w:r w:rsidRPr="003D3219">
        <w:rPr>
          <w:sz w:val="24"/>
          <w:szCs w:val="24"/>
        </w:rPr>
        <w:fldChar w:fldCharType="separate"/>
      </w:r>
      <w:r w:rsidR="00B047B3" w:rsidRPr="00B047B3">
        <w:rPr>
          <w:sz w:val="24"/>
          <w:szCs w:val="24"/>
        </w:rPr>
        <w:t>Slika 16</w:t>
      </w:r>
      <w:r w:rsidRPr="003D3219">
        <w:rPr>
          <w:sz w:val="24"/>
          <w:szCs w:val="24"/>
        </w:rPr>
        <w:fldChar w:fldCharType="end"/>
      </w:r>
      <w:r w:rsidRPr="003D3219">
        <w:rPr>
          <w:sz w:val="24"/>
          <w:szCs w:val="24"/>
        </w:rPr>
        <w:t xml:space="preserve"> ispod. Promet nakon 2027., koji je također potreban radi izračuna ekonomske amortizacije, se smatra konstantnim.</w:t>
      </w:r>
    </w:p>
    <w:p w:rsidR="003D3219" w:rsidRPr="003D3219" w:rsidRDefault="003D3219" w:rsidP="003D3219">
      <w:pPr>
        <w:spacing w:after="0" w:line="240" w:lineRule="auto"/>
        <w:jc w:val="center"/>
        <w:rPr>
          <w:sz w:val="24"/>
          <w:szCs w:val="24"/>
          <w:u w:val="single"/>
        </w:rPr>
      </w:pPr>
    </w:p>
    <w:p w:rsidR="003D3219" w:rsidRPr="003D3219" w:rsidRDefault="008D2898" w:rsidP="00C00568">
      <w:pPr>
        <w:pStyle w:val="Caption"/>
      </w:pPr>
      <w:bookmarkStart w:id="393" w:name="_Toc54175844"/>
      <w:bookmarkStart w:id="394" w:name="_Toc54261708"/>
      <w:r w:rsidRPr="008D2898">
        <w:sym w:font="Wingdings 2" w:char="F026"/>
      </w:r>
      <w:bookmarkStart w:id="395" w:name="_Ref51068236"/>
      <w:bookmarkStart w:id="396" w:name="_Toc53941934"/>
      <w:r w:rsidR="003D3219" w:rsidRPr="003D3219">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16</w:t>
      </w:r>
      <w:r w:rsidR="00E6032F">
        <w:rPr>
          <w:noProof/>
        </w:rPr>
        <w:fldChar w:fldCharType="end"/>
      </w:r>
      <w:bookmarkEnd w:id="395"/>
      <w:r w:rsidR="003D3219" w:rsidRPr="003D3219">
        <w:t xml:space="preserve"> – Širokopojasni promet u </w:t>
      </w:r>
      <w:r w:rsidR="00B974EE">
        <w:t>razdoblju</w:t>
      </w:r>
      <w:r w:rsidR="003D3219" w:rsidRPr="003D3219">
        <w:t xml:space="preserve"> 2017-2027 (Izvor: HAKOM na osnovu podataka operatora)</w:t>
      </w:r>
      <w:bookmarkEnd w:id="393"/>
      <w:bookmarkEnd w:id="394"/>
      <w:bookmarkEnd w:id="396"/>
    </w:p>
    <w:p w:rsidR="003D3219" w:rsidRPr="003D3219" w:rsidRDefault="003D3219" w:rsidP="00696017">
      <w:pPr>
        <w:jc w:val="both"/>
        <w:rPr>
          <w:sz w:val="24"/>
          <w:szCs w:val="24"/>
        </w:rPr>
      </w:pPr>
      <w:r w:rsidRPr="003D3219">
        <w:rPr>
          <w:sz w:val="24"/>
          <w:szCs w:val="24"/>
        </w:rPr>
        <w:t xml:space="preserve">S obzirom na njegovu važnost, </w:t>
      </w:r>
      <w:r w:rsidR="002B0805">
        <w:rPr>
          <w:sz w:val="24"/>
          <w:szCs w:val="24"/>
        </w:rPr>
        <w:t>u vezi</w:t>
      </w:r>
      <w:r w:rsidRPr="003D3219">
        <w:rPr>
          <w:sz w:val="24"/>
          <w:szCs w:val="24"/>
        </w:rPr>
        <w:t xml:space="preserve"> ulaznog podatka o širokopojasnom prometu i kako je razmotren u Troškovnom modelu, je </w:t>
      </w:r>
      <w:r w:rsidR="002B0805">
        <w:rPr>
          <w:sz w:val="24"/>
          <w:szCs w:val="24"/>
        </w:rPr>
        <w:t xml:space="preserve">također </w:t>
      </w:r>
      <w:r w:rsidRPr="003D3219">
        <w:rPr>
          <w:sz w:val="24"/>
          <w:szCs w:val="24"/>
        </w:rPr>
        <w:t xml:space="preserve">provedeno savjetovanje s operatorima. </w:t>
      </w:r>
    </w:p>
    <w:p w:rsidR="003D3219" w:rsidRPr="003D3219" w:rsidRDefault="003D3219" w:rsidP="00696017">
      <w:pPr>
        <w:jc w:val="both"/>
        <w:rPr>
          <w:sz w:val="24"/>
          <w:szCs w:val="24"/>
        </w:rPr>
      </w:pPr>
      <w:r w:rsidRPr="003D3219">
        <w:rPr>
          <w:sz w:val="24"/>
          <w:szCs w:val="24"/>
        </w:rPr>
        <w:t>U postupku savjetovanja, oko pitanja širokopojasnog prometa koji se uzima u obzir u Troškovnom modelu, svoje komentare su iznijeli HT, A1, Optima i Total TV.</w:t>
      </w:r>
    </w:p>
    <w:p w:rsidR="003D3219" w:rsidRPr="003D3219" w:rsidRDefault="003D3219" w:rsidP="00696017">
      <w:pPr>
        <w:jc w:val="both"/>
        <w:rPr>
          <w:sz w:val="24"/>
          <w:szCs w:val="24"/>
        </w:rPr>
      </w:pPr>
      <w:r w:rsidRPr="003D3219">
        <w:rPr>
          <w:sz w:val="24"/>
          <w:szCs w:val="24"/>
        </w:rPr>
        <w:t>HT i Total TV su se djelomično sl</w:t>
      </w:r>
      <w:r w:rsidR="002B0805">
        <w:rPr>
          <w:sz w:val="24"/>
          <w:szCs w:val="24"/>
        </w:rPr>
        <w:t>o</w:t>
      </w:r>
      <w:r w:rsidRPr="003D3219">
        <w:rPr>
          <w:sz w:val="24"/>
          <w:szCs w:val="24"/>
        </w:rPr>
        <w:t>žili s načinom kako se tretira širokopojasni promet u Troškovnom modelu, A1 se u cijelosti složio, dok je Optima iskazala svoje neslaganje.</w:t>
      </w:r>
    </w:p>
    <w:p w:rsidR="003D3219" w:rsidRPr="003D3219" w:rsidRDefault="003D3219" w:rsidP="00696017">
      <w:pPr>
        <w:jc w:val="both"/>
        <w:rPr>
          <w:sz w:val="24"/>
          <w:szCs w:val="24"/>
        </w:rPr>
      </w:pPr>
      <w:r w:rsidRPr="003D3219">
        <w:rPr>
          <w:sz w:val="24"/>
          <w:szCs w:val="24"/>
        </w:rPr>
        <w:t>HT je istaknuo da se slaže kako je u Troškovnom modelu procijenjen promet korisnika usluga širokopojasnog pristupa, dok se za promet koji generiraju proizvodi visokokvalitetnog pristupa nije izjasnio jer nije imao dovoljno informacija o tome kako se taj promet izračunao.</w:t>
      </w:r>
    </w:p>
    <w:p w:rsidR="003D3219" w:rsidRPr="003D3219" w:rsidRDefault="00A410B6" w:rsidP="00696017">
      <w:pPr>
        <w:jc w:val="both"/>
        <w:rPr>
          <w:sz w:val="24"/>
          <w:szCs w:val="24"/>
        </w:rPr>
      </w:pPr>
      <w:r>
        <w:rPr>
          <w:sz w:val="24"/>
          <w:szCs w:val="24"/>
        </w:rPr>
        <w:t>HAKOM</w:t>
      </w:r>
      <w:r w:rsidR="003D3219" w:rsidRPr="003D3219">
        <w:rPr>
          <w:sz w:val="24"/>
          <w:szCs w:val="24"/>
        </w:rPr>
        <w:t xml:space="preserve"> pojašnjava da je trend povećanja prometa proizvoda visokokvalitetnog pristupa koji je primijenjen u Troškovnom modelu za </w:t>
      </w:r>
      <w:r w:rsidR="00745A3D" w:rsidRPr="003D3219">
        <w:rPr>
          <w:sz w:val="24"/>
          <w:szCs w:val="24"/>
        </w:rPr>
        <w:t>razdoblje</w:t>
      </w:r>
      <w:r w:rsidR="003D3219" w:rsidRPr="003D3219">
        <w:rPr>
          <w:sz w:val="24"/>
          <w:szCs w:val="24"/>
        </w:rPr>
        <w:t xml:space="preserve"> 2020.-2023. dostavljen od strane HT-a u obrascu za dostavu podataka (polje </w:t>
      </w:r>
      <w:r w:rsidR="003D3219" w:rsidRPr="00696017">
        <w:rPr>
          <w:sz w:val="24"/>
          <w:szCs w:val="24"/>
        </w:rPr>
        <w:t>Inter-annual growth (%) with previous year</w:t>
      </w:r>
      <w:r w:rsidR="003D3219" w:rsidRPr="003D3219">
        <w:rPr>
          <w:sz w:val="24"/>
          <w:szCs w:val="24"/>
        </w:rPr>
        <w:t>), dok se za godine od 2024. pa nadalje uzela vlastita procjena HAKOM-a, budući da HT nije dostavio svoje procjene za godine nakon 2023.</w:t>
      </w:r>
    </w:p>
    <w:p w:rsidR="003D3219" w:rsidRPr="003D3219" w:rsidRDefault="003D3219" w:rsidP="00831603">
      <w:pPr>
        <w:jc w:val="both"/>
        <w:rPr>
          <w:sz w:val="24"/>
          <w:szCs w:val="24"/>
        </w:rPr>
      </w:pPr>
      <w:r w:rsidRPr="003D3219">
        <w:rPr>
          <w:sz w:val="24"/>
          <w:szCs w:val="24"/>
        </w:rPr>
        <w:t>Optima se ne slaže s prometom koji je uzet u obzir u Troškovnom modelu ističući da je prenizak. Kao dokaz tomu, Optima je dostavila podatke o izmjerenom prometu (prosječnu potrošnju po korisniku) za prva tri mjeseca 2020. (0,379 Mbit/s za siječanj, 0,390 Mbit/s za veljaču i 0,655 Mbit/s za ožujak). Dodatno Optima ističe da je prosječni promet po korisniku i nakon karantene zbog COVID-19 bolesti zadržan na razinama od oko 0,7 Mbit/s. Nadalje, Optima smatra da daljnji razvoj usluga računalstva u oblaku može dovesti do povećanja prometa do 4Mbit/s po korisniku ili više.</w:t>
      </w:r>
    </w:p>
    <w:p w:rsidR="003D3219" w:rsidRPr="003D3219" w:rsidRDefault="00A410B6" w:rsidP="00831603">
      <w:pPr>
        <w:jc w:val="both"/>
        <w:rPr>
          <w:sz w:val="24"/>
          <w:szCs w:val="24"/>
        </w:rPr>
      </w:pPr>
      <w:r>
        <w:rPr>
          <w:sz w:val="24"/>
          <w:szCs w:val="24"/>
        </w:rPr>
        <w:t>HAKOM</w:t>
      </w:r>
      <w:r w:rsidR="003D3219" w:rsidRPr="003D3219">
        <w:rPr>
          <w:sz w:val="24"/>
          <w:szCs w:val="24"/>
        </w:rPr>
        <w:t xml:space="preserve"> naglašava da je prosječni promet po korisniku koji je primijenjen u Troškovnom modelu za 2020. u skladu s 0,7 Mbit/s, kao što je i Optima u svom komentaru i istaknula da stv</w:t>
      </w:r>
      <w:r w:rsidR="002B0805">
        <w:rPr>
          <w:sz w:val="24"/>
          <w:szCs w:val="24"/>
        </w:rPr>
        <w:t>a</w:t>
      </w:r>
      <w:r w:rsidR="003D3219" w:rsidRPr="003D3219">
        <w:rPr>
          <w:sz w:val="24"/>
          <w:szCs w:val="24"/>
        </w:rPr>
        <w:t xml:space="preserve">rno treba biti. Dodatno, Troškovni model već sada pretpostavlja prosječni promet po korisniku od oko 3 Mbit/s u 2027., što </w:t>
      </w:r>
      <w:r>
        <w:rPr>
          <w:sz w:val="24"/>
          <w:szCs w:val="24"/>
        </w:rPr>
        <w:t>HAKOM</w:t>
      </w:r>
      <w:r w:rsidR="003D3219" w:rsidRPr="003D3219">
        <w:rPr>
          <w:sz w:val="24"/>
          <w:szCs w:val="24"/>
        </w:rPr>
        <w:t xml:space="preserve"> smatra primjerenim, posebice uzimajući u obzir nesigurnost u vezi s tom </w:t>
      </w:r>
      <w:r w:rsidR="007B3B7C" w:rsidRPr="003D3219">
        <w:rPr>
          <w:sz w:val="24"/>
          <w:szCs w:val="24"/>
        </w:rPr>
        <w:t>p</w:t>
      </w:r>
      <w:r w:rsidR="007B3B7C">
        <w:rPr>
          <w:sz w:val="24"/>
          <w:szCs w:val="24"/>
        </w:rPr>
        <w:t>rocjenom</w:t>
      </w:r>
      <w:r w:rsidR="003D3219" w:rsidRPr="003D3219">
        <w:rPr>
          <w:sz w:val="24"/>
          <w:szCs w:val="24"/>
        </w:rPr>
        <w:t>.</w:t>
      </w:r>
    </w:p>
    <w:p w:rsidR="003D3219" w:rsidRPr="003D3219" w:rsidRDefault="003D3219" w:rsidP="00831603">
      <w:pPr>
        <w:jc w:val="both"/>
        <w:rPr>
          <w:sz w:val="24"/>
          <w:szCs w:val="24"/>
        </w:rPr>
      </w:pPr>
      <w:r w:rsidRPr="003D3219">
        <w:rPr>
          <w:sz w:val="24"/>
          <w:szCs w:val="24"/>
        </w:rPr>
        <w:t xml:space="preserve">Total TV u svom djelomičnom neslaganju ističe da bi širokopojasni promet trebao biti veći, pritom ne iznoseći nikakve alternativne količine. Stoga </w:t>
      </w:r>
      <w:r w:rsidR="00A410B6">
        <w:rPr>
          <w:sz w:val="24"/>
          <w:szCs w:val="24"/>
        </w:rPr>
        <w:t>HAKOM</w:t>
      </w:r>
      <w:r w:rsidRPr="003D3219">
        <w:rPr>
          <w:sz w:val="24"/>
          <w:szCs w:val="24"/>
        </w:rPr>
        <w:t xml:space="preserve"> takav komentar ni</w:t>
      </w:r>
      <w:r w:rsidR="00A410B6">
        <w:rPr>
          <w:sz w:val="24"/>
          <w:szCs w:val="24"/>
        </w:rPr>
        <w:t xml:space="preserve">je </w:t>
      </w:r>
      <w:r w:rsidRPr="003D3219">
        <w:rPr>
          <w:sz w:val="24"/>
          <w:szCs w:val="24"/>
        </w:rPr>
        <w:t>uze</w:t>
      </w:r>
      <w:r w:rsidR="00A410B6">
        <w:rPr>
          <w:sz w:val="24"/>
          <w:szCs w:val="24"/>
        </w:rPr>
        <w:t>o</w:t>
      </w:r>
      <w:r w:rsidRPr="003D3219">
        <w:rPr>
          <w:sz w:val="24"/>
          <w:szCs w:val="24"/>
        </w:rPr>
        <w:t xml:space="preserve"> u daljnje razmatranje.</w:t>
      </w:r>
    </w:p>
    <w:p w:rsidR="003D3219" w:rsidRDefault="003D3219" w:rsidP="00831603">
      <w:pPr>
        <w:jc w:val="both"/>
        <w:rPr>
          <w:sz w:val="24"/>
          <w:szCs w:val="24"/>
        </w:rPr>
      </w:pPr>
      <w:r w:rsidRPr="003D3219">
        <w:rPr>
          <w:sz w:val="24"/>
          <w:szCs w:val="24"/>
        </w:rPr>
        <w:t xml:space="preserve">Zaključno, s obzirom na gore navedeno, </w:t>
      </w:r>
      <w:r w:rsidR="00A410B6">
        <w:rPr>
          <w:sz w:val="24"/>
          <w:szCs w:val="24"/>
        </w:rPr>
        <w:t>HAKOM</w:t>
      </w:r>
      <w:r w:rsidRPr="003D3219">
        <w:rPr>
          <w:sz w:val="24"/>
          <w:szCs w:val="24"/>
        </w:rPr>
        <w:t xml:space="preserve"> smatra da je širokopojasni promet kako je unesen kao ulazni podatak u Troškovni model sukladan trendu stvarnog povećanja prometa u mrežama te kao takav primjeren za dimenzioniranje prijenosne mreže u modeliranom razdoblju.</w:t>
      </w:r>
    </w:p>
    <w:p w:rsidR="003D3219" w:rsidRPr="003D3219" w:rsidRDefault="003D3219" w:rsidP="003A6F28">
      <w:pPr>
        <w:pStyle w:val="Heading3"/>
      </w:pPr>
      <w:bookmarkStart w:id="397" w:name="_Toc53941730"/>
      <w:bookmarkStart w:id="398" w:name="_Toc53941970"/>
      <w:bookmarkStart w:id="399" w:name="_Toc53946504"/>
      <w:bookmarkStart w:id="400" w:name="_Toc51252364"/>
      <w:bookmarkStart w:id="401" w:name="_Toc51676906"/>
      <w:bookmarkStart w:id="402" w:name="_Toc53941971"/>
      <w:bookmarkStart w:id="403" w:name="_Toc54250943"/>
      <w:bookmarkStart w:id="404" w:name="_Toc54252841"/>
      <w:bookmarkStart w:id="405" w:name="_Toc54261653"/>
      <w:bookmarkEnd w:id="397"/>
      <w:bookmarkEnd w:id="398"/>
      <w:bookmarkEnd w:id="399"/>
      <w:r w:rsidRPr="003D3219">
        <w:t>Jedinični troškovi mrežnih resursa</w:t>
      </w:r>
      <w:bookmarkEnd w:id="400"/>
      <w:bookmarkEnd w:id="401"/>
      <w:bookmarkEnd w:id="402"/>
      <w:bookmarkEnd w:id="403"/>
      <w:bookmarkEnd w:id="404"/>
      <w:bookmarkEnd w:id="405"/>
    </w:p>
    <w:p w:rsidR="003D3219" w:rsidRPr="003D3219" w:rsidRDefault="003D3219" w:rsidP="003D3219">
      <w:pPr>
        <w:rPr>
          <w:sz w:val="24"/>
          <w:szCs w:val="24"/>
        </w:rPr>
      </w:pPr>
      <w:r w:rsidRPr="003D3219">
        <w:rPr>
          <w:sz w:val="24"/>
          <w:szCs w:val="24"/>
        </w:rPr>
        <w:t>Jedinični troškovi mrežnih resursa u Troškovnom modelu definirani su kao:</w:t>
      </w:r>
    </w:p>
    <w:p w:rsidR="003D3219" w:rsidRPr="003D3219" w:rsidRDefault="003D3219" w:rsidP="00C433F8">
      <w:pPr>
        <w:numPr>
          <w:ilvl w:val="0"/>
          <w:numId w:val="8"/>
        </w:numPr>
        <w:contextualSpacing/>
        <w:jc w:val="both"/>
        <w:rPr>
          <w:b/>
          <w:sz w:val="24"/>
          <w:szCs w:val="24"/>
        </w:rPr>
      </w:pPr>
      <w:r w:rsidRPr="003D3219">
        <w:rPr>
          <w:b/>
          <w:sz w:val="24"/>
          <w:szCs w:val="24"/>
        </w:rPr>
        <w:t xml:space="preserve">Kapitalni izdaci (CapEx) – </w:t>
      </w:r>
      <w:r w:rsidRPr="003D3219">
        <w:rPr>
          <w:sz w:val="24"/>
          <w:szCs w:val="24"/>
        </w:rPr>
        <w:t>predstavljaju prosječna ulaganja po jedinici mrežnog resursa, uključujući sve izdatke koji su potrebni da bi resurs postao operativan i koji su kapitalizirani (tj. uključeni u knjigu osnovnih sredstava (eng</w:t>
      </w:r>
      <w:r w:rsidRPr="003D3219">
        <w:rPr>
          <w:i/>
          <w:sz w:val="24"/>
          <w:szCs w:val="24"/>
        </w:rPr>
        <w:t>. FAR,</w:t>
      </w:r>
      <w:r w:rsidRPr="003D3219">
        <w:rPr>
          <w:sz w:val="24"/>
          <w:szCs w:val="24"/>
        </w:rPr>
        <w:t xml:space="preserve"> </w:t>
      </w:r>
      <w:r w:rsidRPr="003D3219">
        <w:rPr>
          <w:i/>
          <w:sz w:val="24"/>
          <w:szCs w:val="24"/>
        </w:rPr>
        <w:t>Fixed Assets Register</w:t>
      </w:r>
      <w:r w:rsidRPr="003D3219">
        <w:rPr>
          <w:sz w:val="24"/>
          <w:szCs w:val="24"/>
        </w:rPr>
        <w:t>). CapEx uključuje materijale, troškove ugradnje i slično.</w:t>
      </w:r>
    </w:p>
    <w:p w:rsidR="003D3219" w:rsidRPr="003D3219" w:rsidRDefault="003D3219" w:rsidP="00C433F8">
      <w:pPr>
        <w:numPr>
          <w:ilvl w:val="0"/>
          <w:numId w:val="8"/>
        </w:numPr>
        <w:contextualSpacing/>
        <w:jc w:val="both"/>
        <w:rPr>
          <w:b/>
          <w:sz w:val="24"/>
          <w:szCs w:val="24"/>
        </w:rPr>
      </w:pPr>
      <w:r w:rsidRPr="003D3219">
        <w:rPr>
          <w:b/>
          <w:sz w:val="24"/>
          <w:szCs w:val="24"/>
        </w:rPr>
        <w:t xml:space="preserve">Operativni troškovi (OpEx) – </w:t>
      </w:r>
      <w:r w:rsidRPr="003D3219">
        <w:rPr>
          <w:sz w:val="24"/>
          <w:szCs w:val="24"/>
        </w:rPr>
        <w:t>predstavljaju prosječne godišnje troškove potrebne za održavanje i operativni rad resursa, troškove najma i energije it</w:t>
      </w:r>
      <w:r w:rsidR="00461256">
        <w:rPr>
          <w:sz w:val="24"/>
          <w:szCs w:val="24"/>
        </w:rPr>
        <w:t>d</w:t>
      </w:r>
      <w:r w:rsidRPr="003D3219">
        <w:rPr>
          <w:sz w:val="24"/>
          <w:szCs w:val="24"/>
        </w:rPr>
        <w:t>. u smislu troškova po jedinici.</w:t>
      </w:r>
    </w:p>
    <w:p w:rsidR="003D3219" w:rsidRPr="003D3219" w:rsidRDefault="003D3219" w:rsidP="003D3219">
      <w:pPr>
        <w:jc w:val="both"/>
        <w:rPr>
          <w:sz w:val="24"/>
          <w:szCs w:val="24"/>
        </w:rPr>
      </w:pPr>
      <w:r w:rsidRPr="003D3219">
        <w:rPr>
          <w:sz w:val="24"/>
          <w:szCs w:val="24"/>
        </w:rPr>
        <w:t xml:space="preserve">Važno je istaknuti da </w:t>
      </w:r>
      <w:r w:rsidR="004C7C51">
        <w:rPr>
          <w:sz w:val="24"/>
          <w:szCs w:val="24"/>
        </w:rPr>
        <w:t xml:space="preserve">je </w:t>
      </w:r>
      <w:r w:rsidR="00A410B6">
        <w:rPr>
          <w:sz w:val="24"/>
          <w:szCs w:val="24"/>
        </w:rPr>
        <w:t>HAKOM</w:t>
      </w:r>
      <w:r w:rsidRPr="003D3219">
        <w:rPr>
          <w:sz w:val="24"/>
          <w:szCs w:val="24"/>
        </w:rPr>
        <w:t xml:space="preserve"> prihvati</w:t>
      </w:r>
      <w:r w:rsidR="004C7C51">
        <w:rPr>
          <w:sz w:val="24"/>
          <w:szCs w:val="24"/>
        </w:rPr>
        <w:t xml:space="preserve">o </w:t>
      </w:r>
      <w:r w:rsidRPr="003D3219">
        <w:rPr>
          <w:sz w:val="24"/>
          <w:szCs w:val="24"/>
        </w:rPr>
        <w:t>i ugradi</w:t>
      </w:r>
      <w:r w:rsidR="004C7C51">
        <w:rPr>
          <w:sz w:val="24"/>
          <w:szCs w:val="24"/>
        </w:rPr>
        <w:t>o</w:t>
      </w:r>
      <w:r w:rsidRPr="003D3219">
        <w:rPr>
          <w:sz w:val="24"/>
          <w:szCs w:val="24"/>
        </w:rPr>
        <w:t xml:space="preserve"> u Troškovni model veliku većinu jediničnih troškova i trendova njihovih promjena koj</w:t>
      </w:r>
      <w:r w:rsidR="00461256">
        <w:rPr>
          <w:sz w:val="24"/>
          <w:szCs w:val="24"/>
        </w:rPr>
        <w:t>e</w:t>
      </w:r>
      <w:r w:rsidRPr="003D3219">
        <w:rPr>
          <w:sz w:val="24"/>
          <w:szCs w:val="24"/>
        </w:rPr>
        <w:t xml:space="preserve"> su dostavili operatori u postupku prikupljanja podataka. Međutim, za dio jediničnih troškova koji su prikupljeni u procesu prikupljanja podataka utvrđeno je da nisu dovoljno pouzdani, razumni i usklađeni s uobičajenim jediničnim troškovima u industriji te su u Troškovni model ugrađeni jedinični troškovi iz alternativnih izvora, kako je i definirano Metodološkim načelima iz poglavlja </w:t>
      </w:r>
      <w:r w:rsidRPr="003D3219">
        <w:rPr>
          <w:sz w:val="24"/>
          <w:szCs w:val="24"/>
        </w:rPr>
        <w:fldChar w:fldCharType="begin"/>
      </w:r>
      <w:r w:rsidRPr="003D3219">
        <w:rPr>
          <w:sz w:val="24"/>
          <w:szCs w:val="24"/>
        </w:rPr>
        <w:instrText xml:space="preserve"> REF _Ref51666008 \r \h </w:instrText>
      </w:r>
      <w:r w:rsidRPr="003D3219">
        <w:rPr>
          <w:sz w:val="24"/>
          <w:szCs w:val="24"/>
        </w:rPr>
      </w:r>
      <w:r w:rsidRPr="003D3219">
        <w:rPr>
          <w:sz w:val="24"/>
          <w:szCs w:val="24"/>
        </w:rPr>
        <w:fldChar w:fldCharType="separate"/>
      </w:r>
      <w:r w:rsidR="00B047B3">
        <w:rPr>
          <w:sz w:val="24"/>
          <w:szCs w:val="24"/>
        </w:rPr>
        <w:t>4.1</w:t>
      </w:r>
      <w:r w:rsidRPr="003D3219">
        <w:rPr>
          <w:sz w:val="24"/>
          <w:szCs w:val="24"/>
        </w:rPr>
        <w:fldChar w:fldCharType="end"/>
      </w:r>
    </w:p>
    <w:p w:rsidR="003D3219" w:rsidRPr="003D3219" w:rsidRDefault="003D3219" w:rsidP="003D3219">
      <w:pPr>
        <w:jc w:val="both"/>
        <w:rPr>
          <w:sz w:val="24"/>
          <w:szCs w:val="24"/>
        </w:rPr>
      </w:pPr>
      <w:r w:rsidRPr="003D3219">
        <w:rPr>
          <w:sz w:val="24"/>
          <w:szCs w:val="24"/>
        </w:rPr>
        <w:t>U postupku savjetovanja o Troškovnom modelu operatori su, kao i za ostale spomenute ulazne podatke, pozvani da se izjasne o tome da li se slažu s jediničnim troškovima koji su u Troškovnom modelu uzeti u obzir za referentnog operatora te da iznesu i objasne svoje komentare, stavove, prijedloge i nove informacije kojima potkrepljuju svoje primjedbe.</w:t>
      </w:r>
    </w:p>
    <w:p w:rsidR="003D3219" w:rsidRPr="003D3219" w:rsidRDefault="003D3219" w:rsidP="003D3219">
      <w:pPr>
        <w:jc w:val="both"/>
        <w:rPr>
          <w:sz w:val="24"/>
          <w:szCs w:val="24"/>
        </w:rPr>
      </w:pPr>
      <w:r w:rsidRPr="003D3219">
        <w:rPr>
          <w:sz w:val="24"/>
          <w:szCs w:val="24"/>
        </w:rPr>
        <w:t>Svoje komentare su dostavili HT, A1, Optima, Terrakom i Total TV, pri čemu je HT iskazao djelomično slaganje s jediničnim troškovima u Troškovnom modelu, dok su svi ostali operatori istakli da se ne slažu s jediničnim troškovima koji su uzeti u obzir u Troškovnom modelu za referentnog operatora.</w:t>
      </w:r>
    </w:p>
    <w:p w:rsidR="003D3219" w:rsidRPr="003D3219" w:rsidRDefault="00A410B6" w:rsidP="003D3219">
      <w:pPr>
        <w:jc w:val="both"/>
        <w:rPr>
          <w:sz w:val="24"/>
          <w:szCs w:val="24"/>
        </w:rPr>
      </w:pPr>
      <w:r>
        <w:rPr>
          <w:sz w:val="24"/>
          <w:szCs w:val="24"/>
        </w:rPr>
        <w:t>HAKOM</w:t>
      </w:r>
      <w:r w:rsidR="003D3219" w:rsidRPr="003D3219">
        <w:rPr>
          <w:sz w:val="24"/>
          <w:szCs w:val="24"/>
        </w:rPr>
        <w:t xml:space="preserve"> </w:t>
      </w:r>
      <w:r>
        <w:rPr>
          <w:sz w:val="24"/>
          <w:szCs w:val="24"/>
        </w:rPr>
        <w:t xml:space="preserve">je </w:t>
      </w:r>
      <w:r w:rsidR="003D3219" w:rsidRPr="003D3219">
        <w:rPr>
          <w:sz w:val="24"/>
          <w:szCs w:val="24"/>
        </w:rPr>
        <w:t>sve komentare i prijedloge izmjena u Troškovnom modelu koji su pristigli od operatora u postupku savjetovanja pažljivo razmotri</w:t>
      </w:r>
      <w:r>
        <w:rPr>
          <w:sz w:val="24"/>
          <w:szCs w:val="24"/>
        </w:rPr>
        <w:t>o</w:t>
      </w:r>
      <w:r w:rsidR="003D3219" w:rsidRPr="003D3219">
        <w:rPr>
          <w:sz w:val="24"/>
          <w:szCs w:val="24"/>
        </w:rPr>
        <w:t xml:space="preserve"> te </w:t>
      </w:r>
      <w:r>
        <w:rPr>
          <w:sz w:val="24"/>
          <w:szCs w:val="24"/>
        </w:rPr>
        <w:t>su</w:t>
      </w:r>
      <w:r w:rsidR="003D3219" w:rsidRPr="003D3219">
        <w:rPr>
          <w:sz w:val="24"/>
          <w:szCs w:val="24"/>
        </w:rPr>
        <w:t xml:space="preserve"> u konačnoj verziji Troškovnog modela unesene određene izmjene na temelju prijedloga za koje je utvrđeno da su opravdani i prihvatljivi.</w:t>
      </w:r>
    </w:p>
    <w:p w:rsidR="003D3219" w:rsidRPr="003D3219" w:rsidRDefault="003D3219" w:rsidP="003A6F28">
      <w:pPr>
        <w:pStyle w:val="Heading3"/>
      </w:pPr>
      <w:bookmarkStart w:id="406" w:name="_Toc54250944"/>
      <w:bookmarkStart w:id="407" w:name="_Toc54252842"/>
      <w:bookmarkStart w:id="408" w:name="_Toc54261654"/>
      <w:bookmarkStart w:id="409" w:name="_Toc51252365"/>
      <w:bookmarkStart w:id="410" w:name="_Toc51676907"/>
      <w:bookmarkStart w:id="411" w:name="_Toc53941972"/>
      <w:r w:rsidRPr="003D3219">
        <w:t>Ne-mrežni opći troškovi</w:t>
      </w:r>
      <w:bookmarkEnd w:id="406"/>
      <w:bookmarkEnd w:id="407"/>
      <w:bookmarkEnd w:id="408"/>
      <w:r w:rsidRPr="003D3219">
        <w:t xml:space="preserve"> </w:t>
      </w:r>
      <w:bookmarkEnd w:id="409"/>
      <w:bookmarkEnd w:id="410"/>
      <w:bookmarkEnd w:id="411"/>
    </w:p>
    <w:p w:rsidR="003D3219" w:rsidRPr="00745A3D" w:rsidRDefault="00A0051B" w:rsidP="003D3219">
      <w:pPr>
        <w:jc w:val="both"/>
        <w:rPr>
          <w:sz w:val="24"/>
          <w:szCs w:val="24"/>
        </w:rPr>
      </w:pPr>
      <w:r w:rsidRPr="00745A3D">
        <w:rPr>
          <w:sz w:val="24"/>
          <w:szCs w:val="24"/>
        </w:rPr>
        <w:t xml:space="preserve">Tzv. ne-mrežni opći troškovi (eng. </w:t>
      </w:r>
      <w:r w:rsidRPr="00745A3D">
        <w:rPr>
          <w:i/>
          <w:sz w:val="24"/>
          <w:szCs w:val="24"/>
        </w:rPr>
        <w:t>non-network overheads</w:t>
      </w:r>
      <w:r w:rsidRPr="00745A3D">
        <w:rPr>
          <w:sz w:val="24"/>
          <w:szCs w:val="24"/>
        </w:rPr>
        <w:t xml:space="preserve">) </w:t>
      </w:r>
      <w:r w:rsidR="003D3219" w:rsidRPr="00745A3D">
        <w:rPr>
          <w:sz w:val="24"/>
          <w:szCs w:val="24"/>
        </w:rPr>
        <w:t>su uključeni u Troškovni model kako bi se obračunali troškovi koji nisu izravno povezani s mrežom, ali bi ih ipak trebalo (dijelom) nadoknaditi kroz veleprodajne cijene reguliranih usluga. K</w:t>
      </w:r>
      <w:r w:rsidR="00804277" w:rsidRPr="00745A3D">
        <w:rPr>
          <w:sz w:val="24"/>
          <w:szCs w:val="24"/>
        </w:rPr>
        <w:t xml:space="preserve">ao što je određeno metodološkim načelima iz poglavlja </w:t>
      </w:r>
      <w:r w:rsidR="00467F15" w:rsidRPr="00745A3D">
        <w:rPr>
          <w:sz w:val="24"/>
          <w:szCs w:val="24"/>
        </w:rPr>
        <w:fldChar w:fldCharType="begin"/>
      </w:r>
      <w:r w:rsidR="00467F15" w:rsidRPr="00745A3D">
        <w:rPr>
          <w:sz w:val="24"/>
          <w:szCs w:val="24"/>
        </w:rPr>
        <w:instrText xml:space="preserve"> REF _Ref51666008 \r \h </w:instrText>
      </w:r>
      <w:r w:rsidR="00467F15" w:rsidRPr="00745A3D">
        <w:rPr>
          <w:sz w:val="24"/>
          <w:szCs w:val="24"/>
        </w:rPr>
      </w:r>
      <w:r w:rsidR="00467F15" w:rsidRPr="00745A3D">
        <w:rPr>
          <w:sz w:val="24"/>
          <w:szCs w:val="24"/>
        </w:rPr>
        <w:fldChar w:fldCharType="separate"/>
      </w:r>
      <w:r w:rsidR="00B047B3">
        <w:rPr>
          <w:sz w:val="24"/>
          <w:szCs w:val="24"/>
        </w:rPr>
        <w:t>4.1</w:t>
      </w:r>
      <w:r w:rsidR="00467F15" w:rsidRPr="00745A3D">
        <w:rPr>
          <w:sz w:val="24"/>
          <w:szCs w:val="24"/>
        </w:rPr>
        <w:fldChar w:fldCharType="end"/>
      </w:r>
      <w:r w:rsidR="003D3219" w:rsidRPr="00745A3D">
        <w:rPr>
          <w:sz w:val="24"/>
          <w:szCs w:val="24"/>
        </w:rPr>
        <w:t>, ti troškovi su uključeni u Troškovni model kao dodatak povrh mrežnih troškova.</w:t>
      </w:r>
    </w:p>
    <w:p w:rsidR="003D3219" w:rsidRPr="00745A3D" w:rsidRDefault="00804277" w:rsidP="003D3219">
      <w:pPr>
        <w:jc w:val="both"/>
        <w:rPr>
          <w:sz w:val="24"/>
          <w:szCs w:val="24"/>
        </w:rPr>
      </w:pPr>
      <w:r w:rsidRPr="00745A3D">
        <w:rPr>
          <w:sz w:val="24"/>
          <w:szCs w:val="24"/>
        </w:rPr>
        <w:t>U T</w:t>
      </w:r>
      <w:r w:rsidR="003D3219" w:rsidRPr="00745A3D">
        <w:rPr>
          <w:sz w:val="24"/>
          <w:szCs w:val="24"/>
        </w:rPr>
        <w:t>roškovnom modelu su, ovisno o njihovoj prirodi, uzete u obzir tri vrste ne-mrežnih općih troškova:</w:t>
      </w:r>
    </w:p>
    <w:p w:rsidR="003D3219" w:rsidRPr="00745A3D" w:rsidRDefault="003D3219" w:rsidP="00C433F8">
      <w:pPr>
        <w:numPr>
          <w:ilvl w:val="0"/>
          <w:numId w:val="9"/>
        </w:numPr>
        <w:contextualSpacing/>
        <w:jc w:val="both"/>
        <w:rPr>
          <w:sz w:val="24"/>
          <w:szCs w:val="24"/>
        </w:rPr>
      </w:pPr>
      <w:r w:rsidRPr="00745A3D">
        <w:rPr>
          <w:b/>
          <w:sz w:val="24"/>
          <w:szCs w:val="24"/>
        </w:rPr>
        <w:t xml:space="preserve">G &amp; A </w:t>
      </w:r>
      <w:r w:rsidRPr="00745A3D">
        <w:rPr>
          <w:sz w:val="24"/>
          <w:szCs w:val="24"/>
        </w:rPr>
        <w:t xml:space="preserve">(Opći i administrativni troškovi, </w:t>
      </w:r>
      <w:r w:rsidRPr="00745A3D">
        <w:rPr>
          <w:i/>
          <w:sz w:val="24"/>
          <w:szCs w:val="24"/>
        </w:rPr>
        <w:t>eng.</w:t>
      </w:r>
      <w:r w:rsidRPr="00745A3D">
        <w:rPr>
          <w:rFonts w:ascii="Verdana" w:eastAsia="Calibri" w:hAnsi="Verdana" w:cs="Times New Roman"/>
          <w:i/>
          <w:sz w:val="20"/>
          <w:lang w:eastAsia="es-ES"/>
        </w:rPr>
        <w:t xml:space="preserve"> </w:t>
      </w:r>
      <w:r w:rsidRPr="00745A3D">
        <w:rPr>
          <w:i/>
          <w:sz w:val="24"/>
          <w:szCs w:val="24"/>
        </w:rPr>
        <w:t>General and Administrative Expenses</w:t>
      </w:r>
      <w:r w:rsidRPr="00745A3D">
        <w:rPr>
          <w:sz w:val="24"/>
          <w:szCs w:val="24"/>
        </w:rPr>
        <w:t>) – odnose se na troškove upravljanja (ljudski resursi, financije, uprava itd.). Ovaj dodatak se računa na osnovu računovodstvenih troškova modeliranog operatora korištenjem formule:</w:t>
      </w:r>
    </w:p>
    <w:p w:rsidR="00B8501F" w:rsidRPr="00376D9E" w:rsidRDefault="00B8501F" w:rsidP="00B8501F">
      <w:pPr>
        <w:ind w:left="720"/>
        <w:contextualSpacing/>
        <w:jc w:val="both"/>
        <w:rPr>
          <w:sz w:val="24"/>
          <w:szCs w:val="24"/>
        </w:rPr>
      </w:pPr>
    </w:p>
    <w:p w:rsidR="003D3219" w:rsidRPr="003D3219" w:rsidRDefault="003D3219" w:rsidP="003D3219">
      <w:pPr>
        <w:spacing w:before="120" w:after="0" w:line="336" w:lineRule="auto"/>
        <w:ind w:left="360"/>
        <w:jc w:val="center"/>
        <w:rPr>
          <w:sz w:val="24"/>
          <w:szCs w:val="24"/>
          <w:lang w:val="en-GB"/>
        </w:rPr>
      </w:pPr>
      <m:oMathPara>
        <m:oMath>
          <m:r>
            <m:rPr>
              <m:sty m:val="p"/>
            </m:rPr>
            <w:rPr>
              <w:rFonts w:ascii="Cambria Math" w:hAnsi="Cambria Math"/>
              <w:sz w:val="23"/>
              <w:szCs w:val="23"/>
              <w:lang w:val="en-GB"/>
            </w:rPr>
            <m:t xml:space="preserve">% </m:t>
          </m:r>
          <m:r>
            <w:rPr>
              <w:rFonts w:ascii="Cambria Math" w:hAnsi="Cambria Math"/>
              <w:sz w:val="23"/>
              <w:szCs w:val="23"/>
              <w:lang w:val="en-GB"/>
            </w:rPr>
            <m:t>G</m:t>
          </m:r>
          <m:r>
            <m:rPr>
              <m:sty m:val="p"/>
            </m:rPr>
            <w:rPr>
              <w:rFonts w:ascii="Cambria Math" w:hAnsi="Cambria Math"/>
              <w:sz w:val="23"/>
              <w:szCs w:val="23"/>
              <w:lang w:val="en-GB"/>
            </w:rPr>
            <m:t>&amp;</m:t>
          </m:r>
          <m:r>
            <w:rPr>
              <w:rFonts w:ascii="Cambria Math" w:hAnsi="Cambria Math"/>
              <w:sz w:val="23"/>
              <w:szCs w:val="23"/>
              <w:lang w:val="en-GB"/>
            </w:rPr>
            <m:t>A</m:t>
          </m:r>
          <m:r>
            <m:rPr>
              <m:sty m:val="p"/>
            </m:rPr>
            <w:rPr>
              <w:rFonts w:ascii="Cambria Math" w:hAnsi="Cambria Math"/>
              <w:sz w:val="23"/>
              <w:szCs w:val="23"/>
              <w:lang w:val="en-GB"/>
            </w:rPr>
            <m:t xml:space="preserve"> </m:t>
          </m:r>
          <m:r>
            <w:rPr>
              <w:rFonts w:ascii="Cambria Math" w:hAnsi="Cambria Math"/>
              <w:sz w:val="23"/>
              <w:szCs w:val="23"/>
              <w:lang w:val="en-GB"/>
            </w:rPr>
            <m:t>mark</m:t>
          </m:r>
          <m:r>
            <m:rPr>
              <m:sty m:val="p"/>
            </m:rPr>
            <w:rPr>
              <w:rFonts w:ascii="Cambria Math" w:hAnsi="Cambria Math"/>
              <w:sz w:val="23"/>
              <w:szCs w:val="23"/>
              <w:lang w:val="en-GB"/>
            </w:rPr>
            <m:t>-</m:t>
          </m:r>
          <m:r>
            <w:rPr>
              <w:rFonts w:ascii="Cambria Math" w:hAnsi="Cambria Math"/>
              <w:sz w:val="23"/>
              <w:szCs w:val="23"/>
              <w:lang w:val="en-GB"/>
            </w:rPr>
            <m:t>up</m:t>
          </m:r>
          <m:r>
            <m:rPr>
              <m:sty m:val="p"/>
            </m:rPr>
            <w:rPr>
              <w:rFonts w:ascii="Cambria Math" w:hAnsi="Cambria Math"/>
              <w:sz w:val="23"/>
              <w:szCs w:val="23"/>
              <w:lang w:val="en-GB"/>
            </w:rPr>
            <m:t>=</m:t>
          </m:r>
          <m:f>
            <m:fPr>
              <m:ctrlPr>
                <w:rPr>
                  <w:rFonts w:ascii="Cambria Math" w:hAnsi="Cambria Math"/>
                  <w:sz w:val="23"/>
                  <w:szCs w:val="23"/>
                  <w:lang w:val="en-GB"/>
                </w:rPr>
              </m:ctrlPr>
            </m:fPr>
            <m:num>
              <m:r>
                <w:rPr>
                  <w:rFonts w:ascii="Cambria Math" w:hAnsi="Cambria Math"/>
                  <w:sz w:val="23"/>
                  <w:szCs w:val="23"/>
                  <w:lang w:val="en-GB"/>
                </w:rPr>
                <m:t xml:space="preserve">  Troškovi podrške i opći troškovi</m:t>
              </m:r>
              <m:r>
                <m:rPr>
                  <m:sty m:val="p"/>
                </m:rPr>
                <w:rPr>
                  <w:rFonts w:ascii="Cambria Math" w:hAnsi="Cambria Math"/>
                  <w:sz w:val="23"/>
                  <w:szCs w:val="23"/>
                  <w:lang w:val="en-GB"/>
                </w:rPr>
                <m:t xml:space="preserve"> </m:t>
              </m:r>
              <m:d>
                <m:dPr>
                  <m:ctrlPr>
                    <w:rPr>
                      <w:rFonts w:ascii="Cambria Math" w:hAnsi="Cambria Math"/>
                      <w:sz w:val="23"/>
                      <w:szCs w:val="23"/>
                      <w:lang w:val="en-GB"/>
                    </w:rPr>
                  </m:ctrlPr>
                </m:dPr>
                <m:e>
                  <m:r>
                    <w:rPr>
                      <w:rFonts w:ascii="Cambria Math" w:hAnsi="Cambria Math"/>
                      <w:sz w:val="23"/>
                      <w:szCs w:val="23"/>
                      <w:lang w:val="en-GB"/>
                    </w:rPr>
                    <m:t>vezani uz troškovni model</m:t>
                  </m:r>
                </m:e>
              </m:d>
            </m:num>
            <m:den>
              <m:r>
                <w:rPr>
                  <w:rFonts w:ascii="Cambria Math" w:hAnsi="Cambria Math"/>
                  <w:sz w:val="23"/>
                  <w:szCs w:val="23"/>
                  <w:lang w:val="en-GB"/>
                </w:rPr>
                <m:t>Ukupni operativni troškovi</m:t>
              </m:r>
              <m:d>
                <m:dPr>
                  <m:ctrlPr>
                    <w:rPr>
                      <w:rFonts w:ascii="Cambria Math" w:hAnsi="Cambria Math"/>
                      <w:sz w:val="23"/>
                      <w:szCs w:val="23"/>
                      <w:lang w:val="en-GB"/>
                    </w:rPr>
                  </m:ctrlPr>
                </m:dPr>
                <m:e>
                  <m:r>
                    <w:rPr>
                      <w:rFonts w:ascii="Cambria Math" w:hAnsi="Cambria Math"/>
                      <w:sz w:val="23"/>
                      <w:szCs w:val="23"/>
                      <w:lang w:val="en-GB"/>
                    </w:rPr>
                    <m:t>vezani uz troškovni model</m:t>
                  </m:r>
                </m:e>
              </m:d>
            </m:den>
          </m:f>
        </m:oMath>
      </m:oMathPara>
    </w:p>
    <w:p w:rsidR="003D3219" w:rsidRPr="003D3219" w:rsidRDefault="003D3219" w:rsidP="00C433F8">
      <w:pPr>
        <w:numPr>
          <w:ilvl w:val="0"/>
          <w:numId w:val="9"/>
        </w:numPr>
        <w:spacing w:before="240" w:after="240" w:line="360" w:lineRule="auto"/>
        <w:jc w:val="both"/>
        <w:rPr>
          <w:sz w:val="24"/>
          <w:szCs w:val="24"/>
        </w:rPr>
      </w:pPr>
      <w:r w:rsidRPr="003D3219">
        <w:rPr>
          <w:b/>
          <w:sz w:val="24"/>
          <w:szCs w:val="24"/>
        </w:rPr>
        <w:t>Veleprodajni specifični troškovi</w:t>
      </w:r>
      <w:r w:rsidRPr="003D3219">
        <w:rPr>
          <w:rFonts w:ascii="Verdana" w:eastAsia="Calibri" w:hAnsi="Verdana" w:cs="Times New Roman"/>
          <w:b/>
          <w:sz w:val="24"/>
          <w:szCs w:val="24"/>
          <w:lang w:val="en-GB" w:eastAsia="es-ES"/>
        </w:rPr>
        <w:t xml:space="preserve"> </w:t>
      </w:r>
      <w:r w:rsidRPr="003D3219">
        <w:rPr>
          <w:sz w:val="24"/>
          <w:szCs w:val="24"/>
        </w:rPr>
        <w:t xml:space="preserve">– odnose se na poslovanje i odnose s alternativnim operatorima (npr. obrada zahtjeva operatora, obračun i naplata računa itd.). Također se računa na osnovu računovodstvenih podataka modeliranog operatora korištenjem formule: </w:t>
      </w:r>
    </w:p>
    <w:p w:rsidR="003D3219" w:rsidRPr="00B8501F" w:rsidRDefault="003D3219" w:rsidP="003D3219">
      <w:pPr>
        <w:spacing w:before="240" w:after="240" w:line="360" w:lineRule="auto"/>
        <w:ind w:left="360"/>
        <w:jc w:val="both"/>
        <w:rPr>
          <w:rFonts w:eastAsiaTheme="minorEastAsia"/>
          <w:b/>
          <w:sz w:val="23"/>
          <w:szCs w:val="23"/>
          <w:lang w:val="en-GB" w:eastAsia="es-ES"/>
        </w:rPr>
      </w:pPr>
      <m:oMathPara>
        <m:oMath>
          <m:r>
            <m:rPr>
              <m:sty m:val="p"/>
            </m:rPr>
            <w:rPr>
              <w:rFonts w:ascii="Cambria Math" w:hAnsi="Cambria Math"/>
              <w:sz w:val="23"/>
              <w:szCs w:val="23"/>
            </w:rPr>
            <m:t xml:space="preserve">% </m:t>
          </m:r>
          <m:r>
            <w:rPr>
              <w:rFonts w:ascii="Cambria Math" w:hAnsi="Cambria Math"/>
              <w:sz w:val="23"/>
              <w:szCs w:val="23"/>
            </w:rPr>
            <m:t>Wholesale</m:t>
          </m:r>
          <m:r>
            <m:rPr>
              <m:sty m:val="p"/>
            </m:rPr>
            <w:rPr>
              <w:rFonts w:ascii="Cambria Math" w:hAnsi="Cambria Math"/>
              <w:sz w:val="23"/>
              <w:szCs w:val="23"/>
            </w:rPr>
            <m:t xml:space="preserve"> </m:t>
          </m:r>
          <m:r>
            <w:rPr>
              <w:rFonts w:ascii="Cambria Math" w:hAnsi="Cambria Math"/>
              <w:sz w:val="23"/>
              <w:szCs w:val="23"/>
            </w:rPr>
            <m:t>mark</m:t>
          </m:r>
          <m:r>
            <m:rPr>
              <m:sty m:val="p"/>
            </m:rPr>
            <w:rPr>
              <w:rFonts w:ascii="Cambria Math" w:hAnsi="Cambria Math"/>
              <w:sz w:val="23"/>
              <w:szCs w:val="23"/>
            </w:rPr>
            <m:t>-</m:t>
          </m:r>
          <m:r>
            <w:rPr>
              <w:rFonts w:ascii="Cambria Math" w:hAnsi="Cambria Math"/>
              <w:sz w:val="23"/>
              <w:szCs w:val="23"/>
            </w:rPr>
            <m:t>up</m:t>
          </m:r>
          <m:r>
            <m:rPr>
              <m:sty m:val="p"/>
            </m:rPr>
            <w:rPr>
              <w:rFonts w:ascii="Cambria Math" w:hAnsi="Cambria Math"/>
              <w:sz w:val="23"/>
              <w:szCs w:val="23"/>
            </w:rPr>
            <m:t>=</m:t>
          </m:r>
          <m:f>
            <m:fPr>
              <m:ctrlPr>
                <w:rPr>
                  <w:rFonts w:ascii="Cambria Math" w:hAnsi="Cambria Math"/>
                  <w:sz w:val="23"/>
                  <w:szCs w:val="23"/>
                </w:rPr>
              </m:ctrlPr>
            </m:fPr>
            <m:num>
              <m:r>
                <w:rPr>
                  <w:rFonts w:ascii="Cambria Math" w:hAnsi="Cambria Math"/>
                  <w:sz w:val="23"/>
                  <w:szCs w:val="23"/>
                </w:rPr>
                <m:t>Veleprodajni troškovi</m:t>
              </m:r>
              <m:r>
                <m:rPr>
                  <m:sty m:val="p"/>
                </m:rPr>
                <w:rPr>
                  <w:rFonts w:ascii="Cambria Math" w:hAnsi="Cambria Math"/>
                  <w:sz w:val="23"/>
                  <w:szCs w:val="23"/>
                </w:rPr>
                <m:t xml:space="preserve"> </m:t>
              </m:r>
              <m:d>
                <m:dPr>
                  <m:ctrlPr>
                    <w:rPr>
                      <w:rFonts w:ascii="Cambria Math" w:hAnsi="Cambria Math"/>
                      <w:sz w:val="23"/>
                      <w:szCs w:val="23"/>
                    </w:rPr>
                  </m:ctrlPr>
                </m:dPr>
                <m:e>
                  <m:r>
                    <w:rPr>
                      <w:rFonts w:ascii="Cambria Math" w:hAnsi="Cambria Math"/>
                      <w:sz w:val="23"/>
                      <w:szCs w:val="23"/>
                    </w:rPr>
                    <m:t>vezani uz troškovni model</m:t>
                  </m:r>
                </m:e>
              </m:d>
            </m:num>
            <m:den>
              <m:r>
                <w:rPr>
                  <w:rFonts w:ascii="Cambria Math" w:hAnsi="Cambria Math"/>
                  <w:sz w:val="23"/>
                  <w:szCs w:val="23"/>
                </w:rPr>
                <m:t>Ukupni operativni troškovi</m:t>
              </m:r>
              <m:r>
                <m:rPr>
                  <m:sty m:val="p"/>
                </m:rPr>
                <w:rPr>
                  <w:rFonts w:ascii="Cambria Math" w:hAnsi="Cambria Math"/>
                  <w:sz w:val="23"/>
                  <w:szCs w:val="23"/>
                </w:rPr>
                <m:t xml:space="preserve"> </m:t>
              </m:r>
              <m:d>
                <m:dPr>
                  <m:ctrlPr>
                    <w:rPr>
                      <w:rFonts w:ascii="Cambria Math" w:hAnsi="Cambria Math"/>
                      <w:sz w:val="23"/>
                      <w:szCs w:val="23"/>
                    </w:rPr>
                  </m:ctrlPr>
                </m:dPr>
                <m:e>
                  <m:r>
                    <w:rPr>
                      <w:rFonts w:ascii="Cambria Math" w:hAnsi="Cambria Math"/>
                      <w:sz w:val="23"/>
                      <w:szCs w:val="23"/>
                    </w:rPr>
                    <m:t>vezani uz troškovni model</m:t>
                  </m:r>
                </m:e>
              </m:d>
            </m:den>
          </m:f>
        </m:oMath>
      </m:oMathPara>
    </w:p>
    <w:p w:rsidR="003D3219" w:rsidRPr="003D3219" w:rsidRDefault="003D3219" w:rsidP="00C433F8">
      <w:pPr>
        <w:numPr>
          <w:ilvl w:val="0"/>
          <w:numId w:val="9"/>
        </w:numPr>
        <w:contextualSpacing/>
        <w:rPr>
          <w:b/>
          <w:sz w:val="24"/>
          <w:szCs w:val="24"/>
        </w:rPr>
      </w:pPr>
      <w:r w:rsidRPr="003D3219">
        <w:rPr>
          <w:b/>
          <w:sz w:val="24"/>
          <w:szCs w:val="24"/>
        </w:rPr>
        <w:t xml:space="preserve">Radni kapital – </w:t>
      </w:r>
      <w:r w:rsidRPr="003D3219">
        <w:rPr>
          <w:sz w:val="24"/>
          <w:szCs w:val="24"/>
        </w:rPr>
        <w:t>odnosi se na</w:t>
      </w:r>
      <w:r w:rsidRPr="003D3219">
        <w:rPr>
          <w:b/>
          <w:sz w:val="24"/>
          <w:szCs w:val="24"/>
        </w:rPr>
        <w:t xml:space="preserve"> </w:t>
      </w:r>
      <w:r w:rsidRPr="003D3219">
        <w:rPr>
          <w:sz w:val="24"/>
          <w:szCs w:val="24"/>
        </w:rPr>
        <w:t xml:space="preserve">trošak ili prihod koji generira radni kapital modeliranog operatora. U poglavlju </w:t>
      </w:r>
      <w:r w:rsidRPr="003D3219">
        <w:rPr>
          <w:sz w:val="24"/>
          <w:szCs w:val="24"/>
        </w:rPr>
        <w:fldChar w:fldCharType="begin"/>
      </w:r>
      <w:r w:rsidRPr="003D3219">
        <w:rPr>
          <w:sz w:val="24"/>
          <w:szCs w:val="24"/>
        </w:rPr>
        <w:instrText xml:space="preserve"> REF _Ref51666008 \r \h </w:instrText>
      </w:r>
      <w:r w:rsidRPr="003D3219">
        <w:rPr>
          <w:sz w:val="24"/>
          <w:szCs w:val="24"/>
        </w:rPr>
      </w:r>
      <w:r w:rsidRPr="003D3219">
        <w:rPr>
          <w:sz w:val="24"/>
          <w:szCs w:val="24"/>
        </w:rPr>
        <w:fldChar w:fldCharType="separate"/>
      </w:r>
      <w:r w:rsidR="00B047B3">
        <w:rPr>
          <w:sz w:val="24"/>
          <w:szCs w:val="24"/>
        </w:rPr>
        <w:t>4.1</w:t>
      </w:r>
      <w:r w:rsidRPr="003D3219">
        <w:rPr>
          <w:sz w:val="24"/>
          <w:szCs w:val="24"/>
        </w:rPr>
        <w:fldChar w:fldCharType="end"/>
      </w:r>
      <w:r w:rsidRPr="003D3219">
        <w:rPr>
          <w:sz w:val="24"/>
          <w:szCs w:val="24"/>
        </w:rPr>
        <w:t xml:space="preserve"> u kojem su opisana Metodološka načela, definirano je da će se radni kapital procijeniti na temelju razlike između tekuće imovine umanjene za tekuće obveze pomnožene (te će se informacije dobiti iz financijskih izvještaja modeliranog operatora) s WACC-om, odnosno prema sljedećoj formuli:</w:t>
      </w:r>
    </w:p>
    <w:p w:rsidR="003D3219" w:rsidRPr="003D3219" w:rsidRDefault="003D3219" w:rsidP="003D3219">
      <w:pPr>
        <w:ind w:left="720"/>
        <w:contextualSpacing/>
        <w:rPr>
          <w:b/>
          <w:sz w:val="24"/>
          <w:szCs w:val="24"/>
        </w:rPr>
      </w:pPr>
    </w:p>
    <w:p w:rsidR="003D3219" w:rsidRPr="008A30D2" w:rsidRDefault="003D3219" w:rsidP="003D3219">
      <w:pPr>
        <w:ind w:left="720"/>
        <w:contextualSpacing/>
        <w:rPr>
          <w:rFonts w:eastAsiaTheme="minorEastAsia"/>
          <w:sz w:val="23"/>
          <w:szCs w:val="23"/>
          <w:lang w:bidi="ar-QA"/>
        </w:rPr>
      </w:pPr>
      <m:oMathPara>
        <m:oMath>
          <m:r>
            <m:rPr>
              <m:sty m:val="p"/>
            </m:rPr>
            <w:rPr>
              <w:rFonts w:ascii="Cambria Math" w:hAnsi="Cambria Math"/>
              <w:sz w:val="23"/>
              <w:szCs w:val="23"/>
              <w:lang w:bidi="ar-QA"/>
            </w:rPr>
            <m:t xml:space="preserve">% </m:t>
          </m:r>
          <m:r>
            <w:rPr>
              <w:rFonts w:ascii="Cambria Math" w:hAnsi="Cambria Math"/>
              <w:sz w:val="23"/>
              <w:szCs w:val="23"/>
              <w:lang w:bidi="ar-QA"/>
            </w:rPr>
            <m:t>Working capital</m:t>
          </m:r>
          <m:r>
            <m:rPr>
              <m:sty m:val="p"/>
            </m:rPr>
            <w:rPr>
              <w:rFonts w:ascii="Cambria Math" w:hAnsi="Cambria Math"/>
              <w:sz w:val="23"/>
              <w:szCs w:val="23"/>
              <w:lang w:bidi="ar-QA"/>
            </w:rPr>
            <m:t xml:space="preserve"> </m:t>
          </m:r>
          <m:r>
            <w:rPr>
              <w:rFonts w:ascii="Cambria Math" w:hAnsi="Cambria Math"/>
              <w:sz w:val="23"/>
              <w:szCs w:val="23"/>
              <w:lang w:bidi="ar-QA"/>
            </w:rPr>
            <m:t>mark</m:t>
          </m:r>
          <m:r>
            <m:rPr>
              <m:sty m:val="p"/>
            </m:rPr>
            <w:rPr>
              <w:rFonts w:ascii="Cambria Math" w:hAnsi="Cambria Math"/>
              <w:sz w:val="23"/>
              <w:szCs w:val="23"/>
              <w:lang w:bidi="ar-QA"/>
            </w:rPr>
            <m:t>-</m:t>
          </m:r>
          <m:r>
            <w:rPr>
              <w:rFonts w:ascii="Cambria Math" w:hAnsi="Cambria Math"/>
              <w:sz w:val="23"/>
              <w:szCs w:val="23"/>
              <w:lang w:bidi="ar-QA"/>
            </w:rPr>
            <m:t>up</m:t>
          </m:r>
          <m:r>
            <m:rPr>
              <m:sty m:val="p"/>
            </m:rPr>
            <w:rPr>
              <w:rFonts w:ascii="Cambria Math" w:hAnsi="Cambria Math"/>
              <w:sz w:val="23"/>
              <w:szCs w:val="23"/>
              <w:lang w:bidi="ar-QA"/>
            </w:rPr>
            <m:t>=</m:t>
          </m:r>
          <m:f>
            <m:fPr>
              <m:ctrlPr>
                <w:rPr>
                  <w:rFonts w:ascii="Cambria Math" w:hAnsi="Cambria Math"/>
                  <w:sz w:val="23"/>
                  <w:szCs w:val="23"/>
                  <w:lang w:bidi="ar-QA"/>
                </w:rPr>
              </m:ctrlPr>
            </m:fPr>
            <m:num>
              <m:r>
                <w:rPr>
                  <w:rFonts w:ascii="Cambria Math" w:hAnsi="Cambria Math"/>
                  <w:sz w:val="23"/>
                  <w:szCs w:val="23"/>
                  <w:lang w:bidi="ar-QA"/>
                </w:rPr>
                <m:t xml:space="preserve">WACC x </m:t>
              </m:r>
              <m:d>
                <m:dPr>
                  <m:ctrlPr>
                    <w:rPr>
                      <w:rFonts w:ascii="Cambria Math" w:hAnsi="Cambria Math"/>
                      <w:i/>
                      <w:iCs/>
                      <w:sz w:val="23"/>
                      <w:szCs w:val="23"/>
                      <w:lang w:bidi="ar-QA"/>
                    </w:rPr>
                  </m:ctrlPr>
                </m:dPr>
                <m:e>
                  <m:r>
                    <w:rPr>
                      <w:rFonts w:ascii="Cambria Math" w:hAnsi="Cambria Math"/>
                      <w:sz w:val="23"/>
                      <w:szCs w:val="23"/>
                      <w:lang w:bidi="ar-QA"/>
                    </w:rPr>
                    <m:t>Tekuća imovina - Tekuće obveze</m:t>
                  </m:r>
                </m:e>
              </m:d>
            </m:num>
            <m:den>
              <m:r>
                <w:rPr>
                  <w:rFonts w:ascii="Cambria Math" w:hAnsi="Cambria Math"/>
                  <w:sz w:val="23"/>
                  <w:szCs w:val="23"/>
                  <w:lang w:bidi="ar-QA"/>
                </w:rPr>
                <m:t>Ukupni troškovi</m:t>
              </m:r>
              <m:r>
                <m:rPr>
                  <m:sty m:val="p"/>
                </m:rPr>
                <w:rPr>
                  <w:rFonts w:ascii="Cambria Math" w:hAnsi="Cambria Math"/>
                  <w:sz w:val="23"/>
                  <w:szCs w:val="23"/>
                  <w:lang w:bidi="ar-QA"/>
                </w:rPr>
                <m:t xml:space="preserve"> </m:t>
              </m:r>
            </m:den>
          </m:f>
        </m:oMath>
      </m:oMathPara>
    </w:p>
    <w:p w:rsidR="00BB4CF1" w:rsidRDefault="00BB4CF1" w:rsidP="003D3219">
      <w:pPr>
        <w:ind w:left="720"/>
        <w:contextualSpacing/>
        <w:rPr>
          <w:b/>
          <w:sz w:val="24"/>
          <w:szCs w:val="24"/>
        </w:rPr>
      </w:pPr>
    </w:p>
    <w:p w:rsidR="003D3219" w:rsidRPr="003D3219" w:rsidRDefault="003D3219" w:rsidP="00BB4CF1">
      <w:pPr>
        <w:pStyle w:val="Heading3"/>
      </w:pPr>
      <w:bookmarkStart w:id="412" w:name="_Toc53941973"/>
      <w:bookmarkStart w:id="413" w:name="_Toc53946507"/>
      <w:bookmarkStart w:id="414" w:name="_Toc51252366"/>
      <w:bookmarkStart w:id="415" w:name="_Toc51676908"/>
      <w:bookmarkStart w:id="416" w:name="_Toc53941974"/>
      <w:bookmarkStart w:id="417" w:name="_Toc54250945"/>
      <w:bookmarkStart w:id="418" w:name="_Toc54252843"/>
      <w:bookmarkStart w:id="419" w:name="_Toc54261655"/>
      <w:bookmarkEnd w:id="412"/>
      <w:bookmarkEnd w:id="413"/>
      <w:r w:rsidRPr="003D3219">
        <w:t xml:space="preserve">Korisni vijek </w:t>
      </w:r>
      <w:r w:rsidR="00467F15">
        <w:t>upotreb</w:t>
      </w:r>
      <w:r w:rsidR="004C7C51">
        <w:t>e</w:t>
      </w:r>
      <w:bookmarkEnd w:id="414"/>
      <w:bookmarkEnd w:id="415"/>
      <w:bookmarkEnd w:id="416"/>
      <w:bookmarkEnd w:id="417"/>
      <w:bookmarkEnd w:id="418"/>
      <w:bookmarkEnd w:id="419"/>
    </w:p>
    <w:p w:rsidR="003D3219" w:rsidRPr="003D3219" w:rsidRDefault="003D3219" w:rsidP="003D3219">
      <w:pPr>
        <w:rPr>
          <w:sz w:val="24"/>
          <w:szCs w:val="24"/>
        </w:rPr>
      </w:pPr>
      <w:r w:rsidRPr="003D3219">
        <w:rPr>
          <w:sz w:val="24"/>
          <w:szCs w:val="24"/>
        </w:rPr>
        <w:t xml:space="preserve">Korisni vijek </w:t>
      </w:r>
      <w:r w:rsidR="00467F15">
        <w:rPr>
          <w:sz w:val="24"/>
          <w:szCs w:val="24"/>
        </w:rPr>
        <w:t>upotreb</w:t>
      </w:r>
      <w:r w:rsidRPr="003D3219">
        <w:rPr>
          <w:sz w:val="24"/>
          <w:szCs w:val="24"/>
        </w:rPr>
        <w:t xml:space="preserve">e se u Troškovnom modelu koristi za amortizaciju imovine (ulaganja referentnog operatora). U donjoj tablici sažeto su prikazani korisni </w:t>
      </w:r>
      <w:r w:rsidR="00745A3D" w:rsidRPr="003D3219">
        <w:rPr>
          <w:sz w:val="24"/>
          <w:szCs w:val="24"/>
        </w:rPr>
        <w:t>vjekovi</w:t>
      </w:r>
      <w:r w:rsidRPr="003D3219">
        <w:rPr>
          <w:sz w:val="24"/>
          <w:szCs w:val="24"/>
        </w:rPr>
        <w:t xml:space="preserve"> </w:t>
      </w:r>
      <w:r w:rsidR="00467F15">
        <w:rPr>
          <w:sz w:val="24"/>
          <w:szCs w:val="24"/>
        </w:rPr>
        <w:t>upotreb</w:t>
      </w:r>
      <w:r w:rsidRPr="003D3219">
        <w:rPr>
          <w:sz w:val="24"/>
          <w:szCs w:val="24"/>
        </w:rPr>
        <w:t>e za određene kategorije resursa koji su u Troškovnom modelu uzeti u obzir za referentnog operatora.</w:t>
      </w:r>
    </w:p>
    <w:tbl>
      <w:tblPr>
        <w:tblW w:w="3154" w:type="pct"/>
        <w:jc w:val="center"/>
        <w:tblLayout w:type="fixed"/>
        <w:tblCellMar>
          <w:top w:w="57" w:type="dxa"/>
          <w:left w:w="43" w:type="dxa"/>
          <w:bottom w:w="57" w:type="dxa"/>
          <w:right w:w="43" w:type="dxa"/>
        </w:tblCellMar>
        <w:tblLook w:val="0600" w:firstRow="0" w:lastRow="0" w:firstColumn="0" w:lastColumn="0" w:noHBand="1" w:noVBand="1"/>
      </w:tblPr>
      <w:tblGrid>
        <w:gridCol w:w="2860"/>
        <w:gridCol w:w="2859"/>
      </w:tblGrid>
      <w:tr w:rsidR="003D3219" w:rsidRPr="003D3219" w:rsidTr="003D3219">
        <w:trPr>
          <w:cantSplit/>
          <w:trHeight w:val="19"/>
          <w:tblHeader/>
          <w:jc w:val="center"/>
        </w:trPr>
        <w:tc>
          <w:tcPr>
            <w:tcW w:w="2701" w:type="dxa"/>
            <w:tcBorders>
              <w:top w:val="nil"/>
              <w:left w:val="nil"/>
              <w:bottom w:val="single" w:sz="4" w:space="0" w:color="113F80"/>
              <w:right w:val="single" w:sz="4" w:space="0" w:color="FFFFFF" w:themeColor="background1"/>
            </w:tcBorders>
            <w:shd w:val="clear" w:color="auto" w:fill="113F80"/>
            <w:tcMar>
              <w:top w:w="15" w:type="dxa"/>
              <w:left w:w="15" w:type="dxa"/>
              <w:bottom w:w="0" w:type="dxa"/>
              <w:right w:w="15" w:type="dxa"/>
            </w:tcMar>
            <w:vAlign w:val="center"/>
          </w:tcPr>
          <w:p w:rsidR="003D3219" w:rsidRPr="003D3219" w:rsidRDefault="003D3219" w:rsidP="003D3219">
            <w:pPr>
              <w:keepNext/>
              <w:keepLines/>
              <w:spacing w:before="100" w:beforeAutospacing="1" w:after="100" w:afterAutospacing="1" w:line="240" w:lineRule="auto"/>
              <w:rPr>
                <w:b/>
                <w:bCs/>
                <w:color w:val="FFFFFF" w:themeColor="background1"/>
                <w:sz w:val="18"/>
                <w:szCs w:val="16"/>
              </w:rPr>
            </w:pPr>
            <w:r w:rsidRPr="003D3219">
              <w:rPr>
                <w:b/>
                <w:bCs/>
                <w:color w:val="FFFFFF" w:themeColor="background1"/>
                <w:sz w:val="18"/>
                <w:szCs w:val="16"/>
              </w:rPr>
              <w:t>Kategorija resursa</w:t>
            </w:r>
          </w:p>
        </w:tc>
        <w:tc>
          <w:tcPr>
            <w:tcW w:w="2700" w:type="dxa"/>
            <w:tcBorders>
              <w:top w:val="nil"/>
              <w:left w:val="single" w:sz="4" w:space="0" w:color="FFFFFF" w:themeColor="background1"/>
              <w:bottom w:val="single" w:sz="4" w:space="0" w:color="113F80"/>
              <w:right w:val="single" w:sz="4" w:space="0" w:color="FFFFFF" w:themeColor="background1"/>
            </w:tcBorders>
            <w:shd w:val="clear" w:color="auto" w:fill="113F80"/>
            <w:vAlign w:val="center"/>
          </w:tcPr>
          <w:p w:rsidR="003D3219" w:rsidRPr="003D3219" w:rsidRDefault="003D3219" w:rsidP="003D3219">
            <w:pPr>
              <w:keepNext/>
              <w:keepLines/>
              <w:spacing w:before="100" w:beforeAutospacing="1" w:after="100" w:afterAutospacing="1" w:line="240" w:lineRule="auto"/>
              <w:rPr>
                <w:b/>
                <w:bCs/>
                <w:color w:val="FFFFFF" w:themeColor="background1"/>
                <w:sz w:val="18"/>
                <w:szCs w:val="16"/>
              </w:rPr>
            </w:pPr>
            <w:r w:rsidRPr="003D3219">
              <w:rPr>
                <w:b/>
                <w:bCs/>
                <w:color w:val="FFFFFF" w:themeColor="background1"/>
                <w:sz w:val="18"/>
                <w:szCs w:val="16"/>
              </w:rPr>
              <w:t xml:space="preserve">Korisni vijek </w:t>
            </w:r>
            <w:r w:rsidR="00467F15">
              <w:rPr>
                <w:b/>
                <w:bCs/>
                <w:color w:val="FFFFFF" w:themeColor="background1"/>
                <w:sz w:val="18"/>
                <w:szCs w:val="16"/>
              </w:rPr>
              <w:t>upotreb</w:t>
            </w:r>
            <w:r w:rsidRPr="003D3219">
              <w:rPr>
                <w:b/>
                <w:bCs/>
                <w:color w:val="FFFFFF" w:themeColor="background1"/>
                <w:sz w:val="18"/>
                <w:szCs w:val="16"/>
              </w:rPr>
              <w:t>e (godina)</w:t>
            </w:r>
          </w:p>
        </w:tc>
      </w:tr>
      <w:tr w:rsidR="003D3219" w:rsidRPr="003D3219" w:rsidTr="003D3219">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3D3219" w:rsidRPr="003D3219" w:rsidRDefault="003D3219" w:rsidP="003D3219">
            <w:pPr>
              <w:keepNext/>
              <w:keepLines/>
              <w:spacing w:before="100" w:beforeAutospacing="1" w:after="100" w:afterAutospacing="1" w:line="240" w:lineRule="auto"/>
              <w:rPr>
                <w:sz w:val="16"/>
                <w:szCs w:val="16"/>
              </w:rPr>
            </w:pPr>
            <w:r w:rsidRPr="003D3219">
              <w:rPr>
                <w:sz w:val="16"/>
                <w:szCs w:val="16"/>
              </w:rPr>
              <w:t>Bakreni i svjetlovodni kabeli</w:t>
            </w:r>
          </w:p>
        </w:tc>
        <w:tc>
          <w:tcPr>
            <w:tcW w:w="2700" w:type="dxa"/>
            <w:tcBorders>
              <w:top w:val="single" w:sz="4" w:space="0" w:color="113F80"/>
              <w:bottom w:val="single" w:sz="4" w:space="0" w:color="113F80"/>
            </w:tcBorders>
            <w:vAlign w:val="center"/>
          </w:tcPr>
          <w:p w:rsidR="003D3219" w:rsidRPr="003D3219" w:rsidRDefault="003D3219" w:rsidP="003D3219">
            <w:pPr>
              <w:keepNext/>
              <w:keepLines/>
              <w:jc w:val="center"/>
              <w:textAlignment w:val="center"/>
              <w:rPr>
                <w:rFonts w:ascii="Verdana" w:hAnsi="Verdana" w:cs="Calibri"/>
                <w:sz w:val="16"/>
                <w:szCs w:val="16"/>
                <w:lang w:val="en-GB"/>
              </w:rPr>
            </w:pPr>
            <w:r w:rsidRPr="003D3219">
              <w:rPr>
                <w:rFonts w:ascii="Verdana" w:hAnsi="Verdana" w:cs="Calibri"/>
                <w:sz w:val="16"/>
                <w:szCs w:val="16"/>
                <w:lang w:val="en-GB"/>
              </w:rPr>
              <w:t>25</w:t>
            </w:r>
          </w:p>
        </w:tc>
      </w:tr>
      <w:tr w:rsidR="003D3219" w:rsidRPr="003D3219" w:rsidTr="003D3219">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3D3219" w:rsidRPr="003D3219" w:rsidRDefault="003D3219" w:rsidP="003D3219">
            <w:pPr>
              <w:keepNext/>
              <w:keepLines/>
              <w:spacing w:before="100" w:beforeAutospacing="1" w:after="100" w:afterAutospacing="1" w:line="240" w:lineRule="auto"/>
              <w:rPr>
                <w:sz w:val="16"/>
                <w:szCs w:val="16"/>
              </w:rPr>
            </w:pPr>
            <w:r w:rsidRPr="003D3219">
              <w:rPr>
                <w:sz w:val="16"/>
                <w:szCs w:val="16"/>
              </w:rPr>
              <w:t>Oprema u pristupnoj mreži</w:t>
            </w:r>
          </w:p>
        </w:tc>
        <w:tc>
          <w:tcPr>
            <w:tcW w:w="2700" w:type="dxa"/>
            <w:tcBorders>
              <w:top w:val="single" w:sz="4" w:space="0" w:color="113F80"/>
              <w:bottom w:val="single" w:sz="4" w:space="0" w:color="113F80"/>
            </w:tcBorders>
            <w:vAlign w:val="center"/>
          </w:tcPr>
          <w:p w:rsidR="003D3219" w:rsidRPr="003D3219" w:rsidRDefault="003D3219" w:rsidP="002466DD">
            <w:pPr>
              <w:keepNext/>
              <w:keepLines/>
              <w:jc w:val="center"/>
              <w:textAlignment w:val="center"/>
              <w:rPr>
                <w:rFonts w:ascii="Verdana" w:hAnsi="Verdana" w:cs="Calibri"/>
                <w:sz w:val="16"/>
                <w:szCs w:val="16"/>
                <w:lang w:val="en-GB"/>
              </w:rPr>
            </w:pPr>
            <w:r w:rsidRPr="003D3219">
              <w:rPr>
                <w:rFonts w:ascii="Verdana" w:hAnsi="Verdana" w:cs="Calibri"/>
                <w:sz w:val="16"/>
                <w:szCs w:val="16"/>
                <w:lang w:val="en-GB"/>
              </w:rPr>
              <w:t>7-</w:t>
            </w:r>
            <w:r w:rsidR="002466DD">
              <w:rPr>
                <w:rFonts w:ascii="Verdana" w:hAnsi="Verdana" w:cs="Calibri"/>
                <w:sz w:val="16"/>
                <w:szCs w:val="16"/>
                <w:lang w:val="en-GB"/>
              </w:rPr>
              <w:t>15</w:t>
            </w:r>
          </w:p>
        </w:tc>
      </w:tr>
      <w:tr w:rsidR="003D3219" w:rsidRPr="003D3219" w:rsidTr="003D3219">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3D3219" w:rsidRPr="003D3219" w:rsidRDefault="003D3219" w:rsidP="003D3219">
            <w:pPr>
              <w:keepNext/>
              <w:keepLines/>
              <w:spacing w:before="100" w:beforeAutospacing="1" w:after="100" w:afterAutospacing="1" w:line="240" w:lineRule="auto"/>
              <w:rPr>
                <w:sz w:val="16"/>
                <w:szCs w:val="16"/>
              </w:rPr>
            </w:pPr>
            <w:r w:rsidRPr="003D3219">
              <w:rPr>
                <w:sz w:val="16"/>
                <w:szCs w:val="16"/>
              </w:rPr>
              <w:t>Građevinska infrastruktura</w:t>
            </w:r>
          </w:p>
        </w:tc>
        <w:tc>
          <w:tcPr>
            <w:tcW w:w="2700" w:type="dxa"/>
            <w:tcBorders>
              <w:top w:val="single" w:sz="4" w:space="0" w:color="113F80"/>
              <w:bottom w:val="single" w:sz="4" w:space="0" w:color="113F80"/>
            </w:tcBorders>
            <w:vAlign w:val="center"/>
          </w:tcPr>
          <w:p w:rsidR="003D3219" w:rsidRPr="003D3219" w:rsidRDefault="003D3219" w:rsidP="003D3219">
            <w:pPr>
              <w:keepNext/>
              <w:keepLines/>
              <w:jc w:val="center"/>
              <w:textAlignment w:val="center"/>
              <w:rPr>
                <w:rFonts w:ascii="Verdana" w:hAnsi="Verdana" w:cs="Calibri"/>
                <w:sz w:val="16"/>
                <w:szCs w:val="16"/>
                <w:lang w:val="en-GB"/>
              </w:rPr>
            </w:pPr>
            <w:r w:rsidRPr="003D3219">
              <w:rPr>
                <w:rFonts w:ascii="Verdana" w:hAnsi="Verdana" w:cs="Calibri"/>
                <w:sz w:val="16"/>
                <w:szCs w:val="16"/>
                <w:lang w:val="en-GB"/>
              </w:rPr>
              <w:t>20-40</w:t>
            </w:r>
          </w:p>
        </w:tc>
      </w:tr>
      <w:tr w:rsidR="003D3219" w:rsidRPr="003D3219" w:rsidTr="003D3219">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3D3219" w:rsidRPr="003D3219" w:rsidRDefault="003D3219" w:rsidP="003D3219">
            <w:pPr>
              <w:keepNext/>
              <w:keepLines/>
              <w:spacing w:before="100" w:beforeAutospacing="1" w:after="100" w:afterAutospacing="1" w:line="240" w:lineRule="auto"/>
              <w:rPr>
                <w:sz w:val="16"/>
                <w:szCs w:val="16"/>
              </w:rPr>
            </w:pPr>
            <w:r w:rsidRPr="003D3219">
              <w:rPr>
                <w:sz w:val="16"/>
                <w:szCs w:val="16"/>
              </w:rPr>
              <w:t>Prijenosna oprema</w:t>
            </w:r>
          </w:p>
        </w:tc>
        <w:tc>
          <w:tcPr>
            <w:tcW w:w="2700" w:type="dxa"/>
            <w:tcBorders>
              <w:top w:val="single" w:sz="4" w:space="0" w:color="113F80"/>
              <w:bottom w:val="single" w:sz="4" w:space="0" w:color="113F80"/>
            </w:tcBorders>
            <w:vAlign w:val="center"/>
          </w:tcPr>
          <w:p w:rsidR="003D3219" w:rsidRPr="003D3219" w:rsidRDefault="003D3219" w:rsidP="003D3219">
            <w:pPr>
              <w:keepNext/>
              <w:keepLines/>
              <w:jc w:val="center"/>
              <w:textAlignment w:val="center"/>
              <w:rPr>
                <w:rFonts w:ascii="Verdana" w:hAnsi="Verdana" w:cs="Calibri"/>
                <w:sz w:val="16"/>
                <w:szCs w:val="16"/>
                <w:lang w:val="en-GB"/>
              </w:rPr>
            </w:pPr>
            <w:r w:rsidRPr="003D3219">
              <w:rPr>
                <w:rFonts w:ascii="Verdana" w:hAnsi="Verdana" w:cs="Calibri"/>
                <w:sz w:val="16"/>
                <w:szCs w:val="16"/>
                <w:lang w:val="en-GB"/>
              </w:rPr>
              <w:t>7</w:t>
            </w:r>
          </w:p>
        </w:tc>
      </w:tr>
      <w:tr w:rsidR="003D3219" w:rsidRPr="003D3219" w:rsidTr="003D3219">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3D3219" w:rsidRPr="003D3219" w:rsidRDefault="003D3219" w:rsidP="003D3219">
            <w:pPr>
              <w:keepNext/>
              <w:keepLines/>
              <w:spacing w:before="100" w:beforeAutospacing="1" w:after="100" w:afterAutospacing="1" w:line="240" w:lineRule="auto"/>
              <w:rPr>
                <w:sz w:val="16"/>
                <w:szCs w:val="16"/>
              </w:rPr>
            </w:pPr>
            <w:r w:rsidRPr="003D3219">
              <w:rPr>
                <w:sz w:val="16"/>
                <w:szCs w:val="16"/>
              </w:rPr>
              <w:t>Mrežni čvorovi (sites)</w:t>
            </w:r>
          </w:p>
        </w:tc>
        <w:tc>
          <w:tcPr>
            <w:tcW w:w="2700" w:type="dxa"/>
            <w:tcBorders>
              <w:top w:val="single" w:sz="4" w:space="0" w:color="113F80"/>
              <w:bottom w:val="single" w:sz="4" w:space="0" w:color="113F80"/>
            </w:tcBorders>
            <w:vAlign w:val="center"/>
          </w:tcPr>
          <w:p w:rsidR="003D3219" w:rsidRPr="003D3219" w:rsidRDefault="003D3219" w:rsidP="003D3219">
            <w:pPr>
              <w:keepNext/>
              <w:keepLines/>
              <w:jc w:val="center"/>
              <w:textAlignment w:val="center"/>
              <w:rPr>
                <w:rFonts w:ascii="Verdana" w:hAnsi="Verdana" w:cs="Calibri"/>
                <w:sz w:val="16"/>
                <w:szCs w:val="16"/>
                <w:lang w:val="en-GB"/>
              </w:rPr>
            </w:pPr>
            <w:r w:rsidRPr="003D3219">
              <w:rPr>
                <w:rFonts w:ascii="Verdana" w:hAnsi="Verdana" w:cs="Calibri"/>
                <w:sz w:val="16"/>
                <w:szCs w:val="16"/>
                <w:lang w:val="en-GB"/>
              </w:rPr>
              <w:t>25</w:t>
            </w:r>
          </w:p>
        </w:tc>
      </w:tr>
      <w:tr w:rsidR="003D3219" w:rsidRPr="003D3219" w:rsidTr="003D3219">
        <w:trPr>
          <w:cantSplit/>
          <w:trHeight w:val="19"/>
          <w:jc w:val="center"/>
        </w:trPr>
        <w:tc>
          <w:tcPr>
            <w:tcW w:w="270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3D3219" w:rsidRPr="003D3219" w:rsidRDefault="003D3219" w:rsidP="003D3219">
            <w:pPr>
              <w:keepNext/>
              <w:keepLines/>
              <w:spacing w:before="100" w:beforeAutospacing="1" w:after="100" w:afterAutospacing="1" w:line="240" w:lineRule="auto"/>
              <w:rPr>
                <w:sz w:val="16"/>
                <w:szCs w:val="16"/>
              </w:rPr>
            </w:pPr>
            <w:r w:rsidRPr="003D3219">
              <w:rPr>
                <w:sz w:val="16"/>
                <w:szCs w:val="16"/>
              </w:rPr>
              <w:t>Oprema u jezgrenoj mreži</w:t>
            </w:r>
          </w:p>
        </w:tc>
        <w:tc>
          <w:tcPr>
            <w:tcW w:w="2700" w:type="dxa"/>
            <w:tcBorders>
              <w:top w:val="single" w:sz="4" w:space="0" w:color="113F80"/>
              <w:bottom w:val="single" w:sz="4" w:space="0" w:color="113F80"/>
            </w:tcBorders>
            <w:vAlign w:val="center"/>
          </w:tcPr>
          <w:p w:rsidR="003D3219" w:rsidRPr="003D3219" w:rsidRDefault="003D3219" w:rsidP="003D3219">
            <w:pPr>
              <w:keepNext/>
              <w:keepLines/>
              <w:jc w:val="center"/>
              <w:textAlignment w:val="center"/>
              <w:rPr>
                <w:rFonts w:ascii="Verdana" w:hAnsi="Verdana" w:cs="Calibri"/>
                <w:color w:val="000000"/>
                <w:sz w:val="16"/>
                <w:lang w:val="en-GB"/>
              </w:rPr>
            </w:pPr>
            <w:r w:rsidRPr="003D3219">
              <w:rPr>
                <w:rFonts w:ascii="Verdana" w:hAnsi="Verdana" w:cs="Calibri"/>
                <w:color w:val="000000"/>
                <w:sz w:val="16"/>
                <w:lang w:val="en-GB"/>
              </w:rPr>
              <w:t>7</w:t>
            </w:r>
          </w:p>
        </w:tc>
      </w:tr>
    </w:tbl>
    <w:p w:rsidR="003D3219" w:rsidRPr="003D3219" w:rsidRDefault="003D3219" w:rsidP="00C00568">
      <w:pPr>
        <w:pStyle w:val="Caption"/>
      </w:pPr>
      <w:bookmarkStart w:id="420" w:name="_Toc54079566"/>
      <w:bookmarkStart w:id="421" w:name="_Toc54159162"/>
      <w:bookmarkStart w:id="422" w:name="_Toc54159296"/>
      <w:bookmarkStart w:id="423" w:name="_Toc54159992"/>
      <w:bookmarkStart w:id="424" w:name="_Toc54175817"/>
      <w:bookmarkStart w:id="425" w:name="_Toc54179445"/>
      <w:bookmarkStart w:id="426" w:name="_Toc54261725"/>
      <w:r w:rsidRPr="003D3219">
        <w:t xml:space="preserve">Tablica </w:t>
      </w:r>
      <w:r w:rsidR="00E6032F">
        <w:rPr>
          <w:noProof/>
        </w:rPr>
        <w:fldChar w:fldCharType="begin"/>
      </w:r>
      <w:r w:rsidR="00E6032F">
        <w:rPr>
          <w:noProof/>
        </w:rPr>
        <w:instrText xml:space="preserve"> SEQ Tablica \* ARABIC </w:instrText>
      </w:r>
      <w:r w:rsidR="00E6032F">
        <w:rPr>
          <w:noProof/>
        </w:rPr>
        <w:fldChar w:fldCharType="separate"/>
      </w:r>
      <w:r w:rsidR="00B047B3">
        <w:rPr>
          <w:noProof/>
        </w:rPr>
        <w:t>2</w:t>
      </w:r>
      <w:r w:rsidR="00E6032F">
        <w:rPr>
          <w:noProof/>
        </w:rPr>
        <w:fldChar w:fldCharType="end"/>
      </w:r>
      <w:r w:rsidRPr="003D3219">
        <w:t xml:space="preserve"> – Sažetak korisnih </w:t>
      </w:r>
      <w:r w:rsidR="00745A3D" w:rsidRPr="003D3219">
        <w:t>vjekova</w:t>
      </w:r>
      <w:r w:rsidRPr="003D3219">
        <w:t xml:space="preserve"> </w:t>
      </w:r>
      <w:r w:rsidR="00467F15">
        <w:t>upotreb</w:t>
      </w:r>
      <w:r w:rsidRPr="003D3219">
        <w:t xml:space="preserve">e koji su </w:t>
      </w:r>
      <w:r w:rsidR="00745A3D" w:rsidRPr="003D3219">
        <w:t>primijenjeni</w:t>
      </w:r>
      <w:r w:rsidRPr="003D3219">
        <w:t xml:space="preserve"> u Troškovnom modelu za referentnog operatora (Izvor: HAKOM na osnovu informacija od operatora)</w:t>
      </w:r>
      <w:bookmarkEnd w:id="420"/>
      <w:bookmarkEnd w:id="421"/>
      <w:bookmarkEnd w:id="422"/>
      <w:bookmarkEnd w:id="423"/>
      <w:bookmarkEnd w:id="424"/>
      <w:bookmarkEnd w:id="425"/>
      <w:bookmarkEnd w:id="426"/>
    </w:p>
    <w:p w:rsidR="003D3219" w:rsidRPr="003D3219" w:rsidRDefault="003D3219" w:rsidP="003A6F28">
      <w:pPr>
        <w:pStyle w:val="Heading3"/>
      </w:pPr>
      <w:bookmarkStart w:id="427" w:name="_Toc53941975"/>
      <w:bookmarkStart w:id="428" w:name="_Toc54250946"/>
      <w:bookmarkStart w:id="429" w:name="_Toc54252844"/>
      <w:bookmarkStart w:id="430" w:name="_Toc54261656"/>
      <w:bookmarkStart w:id="431" w:name="_Toc51252367"/>
      <w:bookmarkStart w:id="432" w:name="_Ref51447208"/>
      <w:bookmarkStart w:id="433" w:name="_Toc51676909"/>
      <w:r w:rsidRPr="003D3219">
        <w:t>Potpuno amortizirana imovina</w:t>
      </w:r>
      <w:bookmarkEnd w:id="427"/>
      <w:bookmarkEnd w:id="428"/>
      <w:bookmarkEnd w:id="429"/>
      <w:bookmarkEnd w:id="430"/>
      <w:r w:rsidRPr="003D3219">
        <w:t xml:space="preserve"> </w:t>
      </w:r>
      <w:bookmarkEnd w:id="431"/>
      <w:bookmarkEnd w:id="432"/>
      <w:bookmarkEnd w:id="433"/>
    </w:p>
    <w:p w:rsidR="003D3219" w:rsidRPr="003D3219" w:rsidRDefault="003D3219" w:rsidP="0051055D">
      <w:pPr>
        <w:jc w:val="both"/>
        <w:rPr>
          <w:sz w:val="24"/>
          <w:szCs w:val="24"/>
        </w:rPr>
      </w:pPr>
      <w:r w:rsidRPr="003D3219">
        <w:rPr>
          <w:sz w:val="24"/>
          <w:szCs w:val="24"/>
        </w:rPr>
        <w:t>Ciljevi regulacije cijena veleprodajnih usluga kao troškovno usmjerenih zbog kojih se izrađuje Troškovni model su: povećanje ulaganja i poticanje tržišnog natjecanja.</w:t>
      </w:r>
    </w:p>
    <w:p w:rsidR="003D3219" w:rsidRPr="003D3219" w:rsidRDefault="003D3219" w:rsidP="0051055D">
      <w:pPr>
        <w:jc w:val="both"/>
        <w:rPr>
          <w:sz w:val="24"/>
          <w:szCs w:val="24"/>
          <w:lang w:bidi="ar-QA"/>
        </w:rPr>
      </w:pPr>
      <w:r w:rsidRPr="003D3219">
        <w:rPr>
          <w:sz w:val="24"/>
          <w:szCs w:val="24"/>
        </w:rPr>
        <w:t xml:space="preserve">U tom smislu, sukladno preporuci Europske komisije </w:t>
      </w:r>
      <w:r w:rsidRPr="003D3219">
        <w:rPr>
          <w:lang w:bidi="ar-QA"/>
        </w:rPr>
        <w:t xml:space="preserve">2013/466/EU, </w:t>
      </w:r>
      <w:r w:rsidRPr="003D3219">
        <w:rPr>
          <w:sz w:val="24"/>
          <w:szCs w:val="24"/>
          <w:lang w:bidi="ar-QA"/>
        </w:rPr>
        <w:t>povećanje ulaganja u slučaj</w:t>
      </w:r>
      <w:r w:rsidR="00CE5476">
        <w:rPr>
          <w:sz w:val="24"/>
          <w:szCs w:val="24"/>
          <w:lang w:bidi="ar-QA"/>
        </w:rPr>
        <w:t>u</w:t>
      </w:r>
      <w:r w:rsidRPr="003D3219">
        <w:rPr>
          <w:sz w:val="24"/>
          <w:szCs w:val="24"/>
          <w:lang w:bidi="ar-QA"/>
        </w:rPr>
        <w:t xml:space="preserve"> bakrene mreže se</w:t>
      </w:r>
      <w:r w:rsidR="00CE5476">
        <w:rPr>
          <w:sz w:val="24"/>
          <w:szCs w:val="24"/>
          <w:lang w:bidi="ar-QA"/>
        </w:rPr>
        <w:t xml:space="preserve"> </w:t>
      </w:r>
      <w:r w:rsidRPr="003D3219">
        <w:rPr>
          <w:sz w:val="24"/>
          <w:szCs w:val="24"/>
          <w:lang w:bidi="ar-QA"/>
        </w:rPr>
        <w:t>ne smatra izvedivim, budući da se niti jedan operator trenutno neće odlučiti za ulaganja u gradnju nove bakrene mreže. Umjesto toga primarni cilj HAKOM-a je poticanje tržišnog natjecanja na takvoj pristupnoj mreži i to osiguranjem da SMP operator može nadoknaditi sve svoje troškove uz istovremeno izbjegavanje prekomjerne nadoknade tih troškova i davanje ispravnih „gradi“ ili „kupi“ signala.</w:t>
      </w:r>
    </w:p>
    <w:p w:rsidR="003D3219" w:rsidRPr="003D3219" w:rsidRDefault="003D3219" w:rsidP="0051055D">
      <w:pPr>
        <w:jc w:val="both"/>
        <w:rPr>
          <w:sz w:val="24"/>
          <w:szCs w:val="24"/>
          <w:lang w:bidi="ar-QA"/>
        </w:rPr>
      </w:pPr>
      <w:r w:rsidRPr="003D3219">
        <w:rPr>
          <w:sz w:val="24"/>
          <w:szCs w:val="24"/>
          <w:lang w:bidi="ar-QA"/>
        </w:rPr>
        <w:t xml:space="preserve">Kao što je već rečeno u </w:t>
      </w:r>
      <w:r w:rsidRPr="00EB454E">
        <w:rPr>
          <w:sz w:val="24"/>
          <w:szCs w:val="24"/>
          <w:lang w:bidi="ar-QA"/>
        </w:rPr>
        <w:t>Metodo</w:t>
      </w:r>
      <w:r w:rsidR="00EB454E" w:rsidRPr="00EB454E">
        <w:rPr>
          <w:sz w:val="24"/>
          <w:szCs w:val="24"/>
          <w:lang w:bidi="ar-QA"/>
        </w:rPr>
        <w:t>loškim načelima</w:t>
      </w:r>
      <w:r w:rsidRPr="003D3219">
        <w:rPr>
          <w:sz w:val="24"/>
          <w:szCs w:val="24"/>
          <w:lang w:bidi="ar-QA"/>
        </w:rPr>
        <w:t>, u tom smislu, Preporuka Europske Komisije 2013/466/EU daje jasne smjernice kako izbjeći prekomjerni povrat troškova povezanih s građevinskom infrastrukturom. Posebno, Preporuka navodi slijedeće točke:</w:t>
      </w:r>
    </w:p>
    <w:p w:rsidR="003D3219" w:rsidRPr="003D3219" w:rsidRDefault="003D3219" w:rsidP="0051055D">
      <w:pPr>
        <w:jc w:val="both"/>
        <w:rPr>
          <w:i/>
          <w:sz w:val="24"/>
          <w:szCs w:val="24"/>
          <w:lang w:bidi="ar-QA"/>
        </w:rPr>
      </w:pPr>
      <w:bookmarkStart w:id="434" w:name="_Hlk505705417"/>
      <w:r w:rsidRPr="003D3219">
        <w:rPr>
          <w:i/>
          <w:sz w:val="24"/>
          <w:szCs w:val="24"/>
          <w:lang w:bidi="ar-QA"/>
        </w:rPr>
        <w:t xml:space="preserve">„(34) </w:t>
      </w:r>
      <w:bookmarkEnd w:id="434"/>
      <w:r w:rsidRPr="003D3219">
        <w:rPr>
          <w:i/>
          <w:sz w:val="24"/>
          <w:szCs w:val="24"/>
          <w:lang w:bidi="ar-QA"/>
        </w:rPr>
        <w:t xml:space="preserve">Za razliku od imovine poput tehničke opreme i prijenosnog medija (npr. svjetlovodna nit), mala je vjerojatnost da će se građevinska imovina (npr. cijevi, kanali i stupovi) moći replicirati. Ne očekuje se da će tehnološke promjene, razina tržišnog natjecanja i maloprodajna potražnja alternativnim operatorima omogućiti uvođenje paralelne građevinske infrastrukture, barem ne u slučajevima kada se naslijeđena građevinska infrastruktura može iskoristiti za uvođenje NGA mreže. </w:t>
      </w:r>
    </w:p>
    <w:p w:rsidR="003D3219" w:rsidRPr="003D3219" w:rsidRDefault="003D3219" w:rsidP="003D3219">
      <w:pPr>
        <w:jc w:val="both"/>
        <w:rPr>
          <w:i/>
          <w:sz w:val="24"/>
          <w:szCs w:val="24"/>
          <w:lang w:bidi="ar-QA"/>
        </w:rPr>
      </w:pPr>
      <w:r w:rsidRPr="003D3219">
        <w:rPr>
          <w:i/>
          <w:sz w:val="24"/>
          <w:szCs w:val="24"/>
          <w:lang w:bidi="ar-QA"/>
        </w:rPr>
        <w:t xml:space="preserve">(35) U skladu s preporučenom troškovnom metodologijom regulatorna imovinska osnovica (engl. regulatory asset base, RAB) koja se odnosi na iskoristivu naslijeđenu građevinsku imovinu vrednuje se na temelju tekućih troškova, uzimajući u obzir protekli ekonomski vijek trajanja imovine i prema tome i troškove koje je regulirani SMP operator već vratio. Ovim pristupom daju se učinkoviti signali za ulazak na tržište u pogledu dvojbe „graditi ili kupiti” i sprečava rizik prekomjernog povrata troškova za iskoristivu naslijeđenu građevinsku infrastrukturu. Prekomjeran povrat troškova ne bi bio opravdan u pogledu osiguravanja djelotvornog ulaska na tržište i poticanja ulaganja jer opcija izgradnje nije ekonomski izvediva za tu vrstu imovine. </w:t>
      </w:r>
    </w:p>
    <w:p w:rsidR="003D3219" w:rsidRPr="003D3219" w:rsidRDefault="003D3219" w:rsidP="003D3219">
      <w:pPr>
        <w:rPr>
          <w:sz w:val="24"/>
          <w:szCs w:val="24"/>
          <w:lang w:bidi="ar-QA"/>
        </w:rPr>
      </w:pPr>
      <w:r w:rsidRPr="003D3219">
        <w:rPr>
          <w:sz w:val="24"/>
          <w:szCs w:val="24"/>
          <w:lang w:bidi="ar-QA"/>
        </w:rPr>
        <w:t>Naznake iz preporuke 2013/466/EU o ovoj temi su dodatno uvedene i u Zakoniku</w:t>
      </w:r>
      <w:r w:rsidR="00232158">
        <w:rPr>
          <w:rStyle w:val="FootnoteReference"/>
          <w:sz w:val="24"/>
          <w:szCs w:val="24"/>
          <w:lang w:bidi="ar-QA"/>
        </w:rPr>
        <w:footnoteReference w:id="15"/>
      </w:r>
      <w:r w:rsidRPr="003D3219">
        <w:rPr>
          <w:sz w:val="24"/>
          <w:szCs w:val="24"/>
          <w:lang w:bidi="ar-QA"/>
        </w:rPr>
        <w:t>.</w:t>
      </w:r>
    </w:p>
    <w:p w:rsidR="003D3219" w:rsidRPr="003D3219" w:rsidRDefault="003D3219" w:rsidP="003D3219">
      <w:pPr>
        <w:jc w:val="both"/>
        <w:rPr>
          <w:sz w:val="24"/>
          <w:szCs w:val="24"/>
          <w:lang w:bidi="ar-QA"/>
        </w:rPr>
      </w:pPr>
      <w:r w:rsidRPr="003D3219">
        <w:rPr>
          <w:sz w:val="24"/>
          <w:szCs w:val="24"/>
          <w:lang w:bidi="ar-QA"/>
        </w:rPr>
        <w:t xml:space="preserve">Gore navedene smjernice su </w:t>
      </w:r>
      <w:r w:rsidR="00745A3D" w:rsidRPr="003D3219">
        <w:rPr>
          <w:sz w:val="24"/>
          <w:szCs w:val="24"/>
          <w:lang w:bidi="ar-QA"/>
        </w:rPr>
        <w:t>primijenjene</w:t>
      </w:r>
      <w:r w:rsidRPr="003D3219">
        <w:rPr>
          <w:sz w:val="24"/>
          <w:szCs w:val="24"/>
          <w:lang w:bidi="ar-QA"/>
        </w:rPr>
        <w:t xml:space="preserve"> i u Troškovnom modelu. Da bi se to napravilo, najprije je identificirana imovina u odnosu na koju su se napravile prilagodbe kako bi se izbjegao prekomjerni povrat troškova SMP operatora. U tom smislu, HAKOM je identificirao dvije skupine imovine:</w:t>
      </w:r>
    </w:p>
    <w:p w:rsidR="003D3219" w:rsidRPr="003D3219" w:rsidRDefault="003D3219" w:rsidP="00C433F8">
      <w:pPr>
        <w:numPr>
          <w:ilvl w:val="0"/>
          <w:numId w:val="9"/>
        </w:numPr>
        <w:contextualSpacing/>
        <w:jc w:val="both"/>
        <w:rPr>
          <w:b/>
          <w:sz w:val="24"/>
          <w:szCs w:val="24"/>
        </w:rPr>
      </w:pPr>
      <w:r w:rsidRPr="003D3219">
        <w:rPr>
          <w:b/>
          <w:sz w:val="24"/>
          <w:szCs w:val="24"/>
        </w:rPr>
        <w:t xml:space="preserve">građevinska infrastruktura </w:t>
      </w:r>
      <w:r w:rsidR="00745A3D" w:rsidRPr="003D3219">
        <w:rPr>
          <w:b/>
          <w:sz w:val="24"/>
          <w:szCs w:val="24"/>
        </w:rPr>
        <w:t>naslijeđene</w:t>
      </w:r>
      <w:r w:rsidRPr="003D3219">
        <w:rPr>
          <w:b/>
          <w:sz w:val="24"/>
          <w:szCs w:val="24"/>
        </w:rPr>
        <w:t xml:space="preserve"> mreže koja je ponovno iskoristiva – </w:t>
      </w:r>
      <w:r w:rsidRPr="003D3219">
        <w:rPr>
          <w:sz w:val="24"/>
          <w:szCs w:val="24"/>
        </w:rPr>
        <w:t xml:space="preserve">uključuje cijevi kabelske kanalizacije, rovove i stupove zračne mreže koji se mogu ponovno iskoristiti za postavljanje NGA mreže. Sukladno metodološkim načelima iz poglavlja </w:t>
      </w:r>
      <w:r w:rsidRPr="003D3219">
        <w:rPr>
          <w:sz w:val="24"/>
          <w:szCs w:val="24"/>
        </w:rPr>
        <w:fldChar w:fldCharType="begin"/>
      </w:r>
      <w:r w:rsidRPr="003D3219">
        <w:rPr>
          <w:sz w:val="24"/>
          <w:szCs w:val="24"/>
        </w:rPr>
        <w:instrText xml:space="preserve"> REF _Ref51666008 \r \h </w:instrText>
      </w:r>
      <w:r w:rsidRPr="003D3219">
        <w:rPr>
          <w:sz w:val="24"/>
          <w:szCs w:val="24"/>
        </w:rPr>
      </w:r>
      <w:r w:rsidRPr="003D3219">
        <w:rPr>
          <w:sz w:val="24"/>
          <w:szCs w:val="24"/>
        </w:rPr>
        <w:fldChar w:fldCharType="separate"/>
      </w:r>
      <w:r w:rsidR="00B047B3">
        <w:rPr>
          <w:sz w:val="24"/>
          <w:szCs w:val="24"/>
        </w:rPr>
        <w:t>4.1</w:t>
      </w:r>
      <w:r w:rsidRPr="003D3219">
        <w:rPr>
          <w:sz w:val="24"/>
          <w:szCs w:val="24"/>
        </w:rPr>
        <w:fldChar w:fldCharType="end"/>
      </w:r>
      <w:r w:rsidRPr="003D3219">
        <w:rPr>
          <w:sz w:val="24"/>
          <w:szCs w:val="24"/>
        </w:rPr>
        <w:t>, u Troškovnom modelu je izvršena prilagodba te imovine da bi se odrazio dio troškova koje je SMP operator u prošlosti već nadoknadio.</w:t>
      </w:r>
    </w:p>
    <w:p w:rsidR="003D3219" w:rsidRPr="003D3219" w:rsidRDefault="003D3219" w:rsidP="00C433F8">
      <w:pPr>
        <w:numPr>
          <w:ilvl w:val="0"/>
          <w:numId w:val="9"/>
        </w:numPr>
        <w:contextualSpacing/>
        <w:jc w:val="both"/>
        <w:rPr>
          <w:b/>
          <w:sz w:val="24"/>
          <w:szCs w:val="24"/>
        </w:rPr>
      </w:pPr>
      <w:r w:rsidRPr="003D3219">
        <w:rPr>
          <w:b/>
          <w:sz w:val="24"/>
          <w:szCs w:val="24"/>
        </w:rPr>
        <w:t xml:space="preserve">imovina povezana samo s pružanjem usluga na bakrenoj mreži – </w:t>
      </w:r>
      <w:r w:rsidRPr="003D3219">
        <w:rPr>
          <w:sz w:val="24"/>
          <w:szCs w:val="24"/>
        </w:rPr>
        <w:t xml:space="preserve">uključuje oboje, i bakrene kabele za povezivanje čvorova mreže i prostora krajnjih korisnika i građevinsku infrastrukturu koja se koristi za te kabele, a koja se ne može iskoristiti za smještaj kabela NGA mreže, poput rovova bez cijevi gdje je kabel položen direktno u zemlju. HAKOM ističe da iako se preporuka 2013/466/EU ne referira </w:t>
      </w:r>
      <w:r w:rsidR="00745A3D" w:rsidRPr="003D3219">
        <w:rPr>
          <w:sz w:val="24"/>
          <w:szCs w:val="24"/>
        </w:rPr>
        <w:t>eksplicitno</w:t>
      </w:r>
      <w:r w:rsidRPr="003D3219">
        <w:rPr>
          <w:sz w:val="24"/>
          <w:szCs w:val="24"/>
        </w:rPr>
        <w:t xml:space="preserve"> na ovu temu, u njoj se priznaje da postoje različite prakse među nacionalnim regulatornim tijelima u zemljama EU-a u odnosu na primjenu prilagodbi </w:t>
      </w:r>
      <w:r w:rsidR="00EF1649">
        <w:rPr>
          <w:sz w:val="24"/>
          <w:szCs w:val="24"/>
        </w:rPr>
        <w:t>za</w:t>
      </w:r>
      <w:r w:rsidRPr="003D3219">
        <w:rPr>
          <w:sz w:val="24"/>
          <w:szCs w:val="24"/>
        </w:rPr>
        <w:t xml:space="preserve"> kabele bez izvođenja zaključka o jasnom trendu prema jednoj ili drugoj opciji. HAKOM je mišljenja da, iako se ova imovina ne odnosi striktno na </w:t>
      </w:r>
      <w:r w:rsidR="00745A3D" w:rsidRPr="003D3219">
        <w:rPr>
          <w:sz w:val="24"/>
          <w:szCs w:val="24"/>
        </w:rPr>
        <w:t>koncept</w:t>
      </w:r>
      <w:r w:rsidRPr="003D3219">
        <w:rPr>
          <w:sz w:val="24"/>
          <w:szCs w:val="24"/>
        </w:rPr>
        <w:t xml:space="preserve"> “ponovno iskoristive imovine”, nije izgledno da će ju replicirati novi operator koji ulazi na tržišta, i stoga, osiguranje da ne dođe do prekomjerne nadoknade troškova mora prevladati.</w:t>
      </w:r>
    </w:p>
    <w:p w:rsidR="00804277" w:rsidRDefault="00804277" w:rsidP="003D3219">
      <w:pPr>
        <w:jc w:val="both"/>
        <w:rPr>
          <w:sz w:val="24"/>
          <w:szCs w:val="24"/>
        </w:rPr>
      </w:pPr>
    </w:p>
    <w:p w:rsidR="003D3219" w:rsidRPr="003D3219" w:rsidRDefault="003D3219" w:rsidP="003D3219">
      <w:pPr>
        <w:jc w:val="both"/>
        <w:rPr>
          <w:sz w:val="24"/>
          <w:szCs w:val="24"/>
        </w:rPr>
      </w:pPr>
      <w:r w:rsidRPr="003D3219">
        <w:rPr>
          <w:sz w:val="24"/>
          <w:szCs w:val="24"/>
        </w:rPr>
        <w:t xml:space="preserve">U Troškovnom modelu je implementirana mogućnost odabira dvije opcije („samo imovina </w:t>
      </w:r>
      <w:r w:rsidR="00745A3D" w:rsidRPr="003D3219">
        <w:rPr>
          <w:sz w:val="24"/>
          <w:szCs w:val="24"/>
        </w:rPr>
        <w:t>naslijeđenih</w:t>
      </w:r>
      <w:r w:rsidRPr="003D3219">
        <w:rPr>
          <w:sz w:val="24"/>
          <w:szCs w:val="24"/>
        </w:rPr>
        <w:t xml:space="preserve"> mreža koja je ponovno iskoristiva“ ili „imovina </w:t>
      </w:r>
      <w:r w:rsidR="00745A3D" w:rsidRPr="003D3219">
        <w:rPr>
          <w:sz w:val="24"/>
          <w:szCs w:val="24"/>
        </w:rPr>
        <w:t>naslijeđenih</w:t>
      </w:r>
      <w:r w:rsidRPr="003D3219">
        <w:rPr>
          <w:sz w:val="24"/>
          <w:szCs w:val="24"/>
        </w:rPr>
        <w:t xml:space="preserve"> mreža koja je ponovno iskoristiva i bakreni kabeli“) za uzimanje u obzir imovine na koju se primjenjuje koncept potpuno amortizirane imovine.</w:t>
      </w:r>
    </w:p>
    <w:p w:rsidR="003D3219" w:rsidRPr="003D3219" w:rsidRDefault="003D3219" w:rsidP="003D3219">
      <w:pPr>
        <w:jc w:val="both"/>
        <w:rPr>
          <w:sz w:val="24"/>
          <w:szCs w:val="24"/>
        </w:rPr>
      </w:pPr>
      <w:r w:rsidRPr="003D3219">
        <w:rPr>
          <w:sz w:val="24"/>
          <w:szCs w:val="24"/>
        </w:rPr>
        <w:t xml:space="preserve">Za praktičnu implementaciju u Troškovnom modelu važno je identificirati troškove potpuno amortizirane imovine koje je modelirani operator već nadoknadio. Oni se odnose na imovinu koja više ne generira nikakve troškove amortizacije ali je još uvijek u </w:t>
      </w:r>
      <w:r w:rsidR="00467F15">
        <w:rPr>
          <w:sz w:val="24"/>
          <w:szCs w:val="24"/>
        </w:rPr>
        <w:t>upotreb</w:t>
      </w:r>
      <w:r w:rsidRPr="003D3219">
        <w:rPr>
          <w:sz w:val="24"/>
          <w:szCs w:val="24"/>
        </w:rPr>
        <w:t xml:space="preserve">i. To je najčešće posljedica neusklađenosti financijskih korisnih </w:t>
      </w:r>
      <w:r w:rsidR="00745A3D" w:rsidRPr="003D3219">
        <w:rPr>
          <w:sz w:val="24"/>
          <w:szCs w:val="24"/>
        </w:rPr>
        <w:t>vjekova</w:t>
      </w:r>
      <w:r w:rsidRPr="003D3219">
        <w:rPr>
          <w:sz w:val="24"/>
          <w:szCs w:val="24"/>
        </w:rPr>
        <w:t xml:space="preserve"> </w:t>
      </w:r>
      <w:r w:rsidR="00467F15">
        <w:rPr>
          <w:sz w:val="24"/>
          <w:szCs w:val="24"/>
        </w:rPr>
        <w:t>upotreb</w:t>
      </w:r>
      <w:r w:rsidRPr="003D3219">
        <w:rPr>
          <w:sz w:val="24"/>
          <w:szCs w:val="24"/>
        </w:rPr>
        <w:t xml:space="preserve">e imovine i stvarnih tehničkih </w:t>
      </w:r>
      <w:r w:rsidR="00745A3D" w:rsidRPr="003D3219">
        <w:rPr>
          <w:sz w:val="24"/>
          <w:szCs w:val="24"/>
        </w:rPr>
        <w:t>vjekova</w:t>
      </w:r>
      <w:r w:rsidRPr="003D3219">
        <w:rPr>
          <w:sz w:val="24"/>
          <w:szCs w:val="24"/>
        </w:rPr>
        <w:t xml:space="preserve"> </w:t>
      </w:r>
      <w:r w:rsidR="00467F15">
        <w:rPr>
          <w:sz w:val="24"/>
          <w:szCs w:val="24"/>
        </w:rPr>
        <w:t>upotreb</w:t>
      </w:r>
      <w:r w:rsidRPr="003D3219">
        <w:rPr>
          <w:sz w:val="24"/>
          <w:szCs w:val="24"/>
        </w:rPr>
        <w:t xml:space="preserve">e. </w:t>
      </w:r>
    </w:p>
    <w:p w:rsidR="003D3219" w:rsidRPr="003D3219" w:rsidRDefault="003D3219" w:rsidP="003D3219">
      <w:pPr>
        <w:jc w:val="both"/>
        <w:rPr>
          <w:sz w:val="24"/>
          <w:szCs w:val="24"/>
        </w:rPr>
      </w:pPr>
      <w:r w:rsidRPr="003D3219">
        <w:rPr>
          <w:sz w:val="24"/>
          <w:szCs w:val="24"/>
        </w:rPr>
        <w:t xml:space="preserve">U Troškovnom modelu je uzet u obzir postotak imovine (na koju se primjenjuje koncept potpuno </w:t>
      </w:r>
      <w:r w:rsidR="00745A3D" w:rsidRPr="003D3219">
        <w:rPr>
          <w:sz w:val="24"/>
          <w:szCs w:val="24"/>
        </w:rPr>
        <w:t>amortizirane</w:t>
      </w:r>
      <w:r w:rsidRPr="003D3219">
        <w:rPr>
          <w:sz w:val="24"/>
          <w:szCs w:val="24"/>
        </w:rPr>
        <w:t xml:space="preserve"> imovine) koja još uvijek generira troškove na osnovu podataka iz knjige osnovnih sredstava HT-a. Definiranje tog postotka je izvršeno u tri koraka:</w:t>
      </w:r>
    </w:p>
    <w:p w:rsidR="003D3219" w:rsidRPr="00745A3D" w:rsidRDefault="003D3219" w:rsidP="00C433F8">
      <w:pPr>
        <w:numPr>
          <w:ilvl w:val="0"/>
          <w:numId w:val="11"/>
        </w:numPr>
        <w:contextualSpacing/>
        <w:jc w:val="both"/>
        <w:rPr>
          <w:sz w:val="24"/>
          <w:szCs w:val="24"/>
        </w:rPr>
      </w:pPr>
      <w:r w:rsidRPr="00745A3D">
        <w:rPr>
          <w:sz w:val="24"/>
          <w:szCs w:val="24"/>
        </w:rPr>
        <w:t xml:space="preserve">za imovinu u odnosu na koju se primjenjuje koncept potpuno amortizirane imovine, sukladno preporuci Europske komisije 2013/466/EU, GBV (eng. </w:t>
      </w:r>
      <w:r w:rsidRPr="00745A3D">
        <w:rPr>
          <w:i/>
          <w:sz w:val="24"/>
          <w:szCs w:val="24"/>
        </w:rPr>
        <w:t>Gross Book Value</w:t>
      </w:r>
      <w:r w:rsidRPr="00745A3D">
        <w:rPr>
          <w:sz w:val="24"/>
          <w:szCs w:val="24"/>
        </w:rPr>
        <w:t>) svake godine se svodi na sadašnje troškove korištenjem indeksa maloprodajnih cijena</w:t>
      </w:r>
      <w:r w:rsidRPr="00745A3D">
        <w:rPr>
          <w:sz w:val="24"/>
          <w:szCs w:val="24"/>
          <w:vertAlign w:val="superscript"/>
        </w:rPr>
        <w:footnoteReference w:id="16"/>
      </w:r>
      <w:r w:rsidRPr="00745A3D">
        <w:rPr>
          <w:sz w:val="24"/>
          <w:szCs w:val="24"/>
        </w:rPr>
        <w:t xml:space="preserve">, održavajući na taj način GRC (eng. </w:t>
      </w:r>
      <w:r w:rsidRPr="00745A3D">
        <w:rPr>
          <w:i/>
          <w:sz w:val="24"/>
          <w:szCs w:val="24"/>
        </w:rPr>
        <w:t>Gross Replacement Costs</w:t>
      </w:r>
      <w:r w:rsidRPr="00745A3D">
        <w:rPr>
          <w:sz w:val="24"/>
          <w:szCs w:val="24"/>
        </w:rPr>
        <w:t>) imovine za svaku godinu.</w:t>
      </w:r>
    </w:p>
    <w:p w:rsidR="003D3219" w:rsidRPr="00745A3D" w:rsidRDefault="003D3219" w:rsidP="00C433F8">
      <w:pPr>
        <w:numPr>
          <w:ilvl w:val="0"/>
          <w:numId w:val="11"/>
        </w:numPr>
        <w:contextualSpacing/>
        <w:jc w:val="both"/>
        <w:rPr>
          <w:sz w:val="24"/>
          <w:szCs w:val="24"/>
        </w:rPr>
      </w:pPr>
      <w:r w:rsidRPr="00745A3D">
        <w:rPr>
          <w:sz w:val="24"/>
          <w:szCs w:val="24"/>
        </w:rPr>
        <w:t>identificiran je skup imovine koja još uvijek nije potp</w:t>
      </w:r>
      <w:r w:rsidR="00EF1649" w:rsidRPr="00745A3D">
        <w:rPr>
          <w:sz w:val="24"/>
          <w:szCs w:val="24"/>
        </w:rPr>
        <w:t>u</w:t>
      </w:r>
      <w:r w:rsidRPr="00745A3D">
        <w:rPr>
          <w:sz w:val="24"/>
          <w:szCs w:val="24"/>
        </w:rPr>
        <w:t xml:space="preserve">no amortizirana, tj. imovina koja ima NBV (eng. </w:t>
      </w:r>
      <w:r w:rsidRPr="00745A3D">
        <w:rPr>
          <w:i/>
          <w:sz w:val="24"/>
          <w:szCs w:val="24"/>
        </w:rPr>
        <w:t>Net Book Value</w:t>
      </w:r>
      <w:r w:rsidRPr="00745A3D">
        <w:rPr>
          <w:sz w:val="24"/>
          <w:szCs w:val="24"/>
        </w:rPr>
        <w:t xml:space="preserve">), budući da joj nije istekao financijski korisni vijek </w:t>
      </w:r>
      <w:r w:rsidR="00467F15" w:rsidRPr="00745A3D">
        <w:rPr>
          <w:sz w:val="24"/>
          <w:szCs w:val="24"/>
        </w:rPr>
        <w:t>upotreb</w:t>
      </w:r>
      <w:r w:rsidRPr="00745A3D">
        <w:rPr>
          <w:sz w:val="24"/>
          <w:szCs w:val="24"/>
        </w:rPr>
        <w:t>e</w:t>
      </w:r>
    </w:p>
    <w:p w:rsidR="003D3219" w:rsidRPr="00745A3D" w:rsidRDefault="003D3219" w:rsidP="00C433F8">
      <w:pPr>
        <w:numPr>
          <w:ilvl w:val="0"/>
          <w:numId w:val="11"/>
        </w:numPr>
        <w:contextualSpacing/>
        <w:jc w:val="both"/>
        <w:rPr>
          <w:sz w:val="24"/>
          <w:szCs w:val="24"/>
        </w:rPr>
      </w:pPr>
      <w:r w:rsidRPr="00745A3D">
        <w:rPr>
          <w:sz w:val="24"/>
          <w:szCs w:val="24"/>
        </w:rPr>
        <w:t>GRC imovine koja još uvijek nije potpuno amortizirana (identificirana u prethodnoj točci) je podijeljen s GRC-om cijele mreže HT-a, koji je izračun</w:t>
      </w:r>
      <w:r w:rsidR="00EF1649" w:rsidRPr="00745A3D">
        <w:rPr>
          <w:sz w:val="24"/>
          <w:szCs w:val="24"/>
        </w:rPr>
        <w:t>at</w:t>
      </w:r>
      <w:r w:rsidRPr="00745A3D">
        <w:rPr>
          <w:sz w:val="24"/>
          <w:szCs w:val="24"/>
        </w:rPr>
        <w:t xml:space="preserve"> na temelju tehničke evidencije mreže (u smislu broja resursa) i trenutnih jediničnih troškova, kako ih je dostavio HT.</w:t>
      </w:r>
    </w:p>
    <w:p w:rsidR="003D3219" w:rsidRPr="00745A3D" w:rsidRDefault="003D3219" w:rsidP="003D3219">
      <w:pPr>
        <w:jc w:val="both"/>
        <w:rPr>
          <w:sz w:val="24"/>
          <w:szCs w:val="24"/>
        </w:rPr>
      </w:pPr>
      <w:r w:rsidRPr="00745A3D">
        <w:rPr>
          <w:sz w:val="24"/>
          <w:szCs w:val="24"/>
        </w:rPr>
        <w:t>Rezultat opisanog postupka je:</w:t>
      </w:r>
    </w:p>
    <w:tbl>
      <w:tblPr>
        <w:tblW w:w="4840" w:type="pct"/>
        <w:jc w:val="center"/>
        <w:tblLayout w:type="fixed"/>
        <w:tblLook w:val="04A0" w:firstRow="1" w:lastRow="0" w:firstColumn="1" w:lastColumn="0" w:noHBand="0" w:noVBand="1"/>
      </w:tblPr>
      <w:tblGrid>
        <w:gridCol w:w="3423"/>
        <w:gridCol w:w="1940"/>
        <w:gridCol w:w="1934"/>
        <w:gridCol w:w="1480"/>
      </w:tblGrid>
      <w:tr w:rsidR="003D3219" w:rsidRPr="00745A3D" w:rsidTr="003D3219">
        <w:trPr>
          <w:cantSplit/>
          <w:trHeight w:val="454"/>
          <w:tblHeader/>
          <w:jc w:val="center"/>
        </w:trPr>
        <w:tc>
          <w:tcPr>
            <w:tcW w:w="1950" w:type="pct"/>
            <w:tcBorders>
              <w:bottom w:val="single" w:sz="4" w:space="0" w:color="4F629B"/>
              <w:right w:val="single" w:sz="4" w:space="0" w:color="FFFFFF" w:themeColor="background1"/>
            </w:tcBorders>
            <w:shd w:val="clear" w:color="auto" w:fill="4F629B"/>
            <w:vAlign w:val="center"/>
          </w:tcPr>
          <w:p w:rsidR="003D3219" w:rsidRPr="00745A3D" w:rsidRDefault="003D3219" w:rsidP="003D3219">
            <w:pPr>
              <w:jc w:val="center"/>
              <w:rPr>
                <w:b/>
                <w:bCs/>
                <w:color w:val="FFFFFF" w:themeColor="background1"/>
                <w:sz w:val="20"/>
                <w:szCs w:val="20"/>
              </w:rPr>
            </w:pPr>
            <w:r w:rsidRPr="00745A3D">
              <w:rPr>
                <w:b/>
                <w:bCs/>
                <w:color w:val="FFFFFF" w:themeColor="background1"/>
                <w:sz w:val="20"/>
                <w:szCs w:val="20"/>
              </w:rPr>
              <w:t>Vrsta imovine</w:t>
            </w:r>
          </w:p>
        </w:tc>
        <w:tc>
          <w:tcPr>
            <w:tcW w:w="1105" w:type="pct"/>
            <w:tcBorders>
              <w:bottom w:val="single" w:sz="4" w:space="0" w:color="4F629B"/>
              <w:right w:val="single" w:sz="4" w:space="0" w:color="FFFFFF" w:themeColor="background1"/>
            </w:tcBorders>
            <w:shd w:val="clear" w:color="auto" w:fill="4F629B"/>
            <w:vAlign w:val="center"/>
            <w:hideMark/>
          </w:tcPr>
          <w:p w:rsidR="003D3219" w:rsidRPr="00745A3D" w:rsidRDefault="003D3219" w:rsidP="003D3219">
            <w:pPr>
              <w:jc w:val="center"/>
              <w:rPr>
                <w:b/>
                <w:bCs/>
                <w:color w:val="FFFFFF" w:themeColor="background1"/>
                <w:sz w:val="20"/>
                <w:szCs w:val="20"/>
              </w:rPr>
            </w:pPr>
            <w:r w:rsidRPr="00745A3D">
              <w:rPr>
                <w:b/>
                <w:bCs/>
                <w:color w:val="FFFFFF" w:themeColor="background1"/>
                <w:sz w:val="20"/>
                <w:szCs w:val="20"/>
              </w:rPr>
              <w:t>GRC imovine koja nije potpuno amortizirana na temelju HT-ovog FAR-a  za 2018</w:t>
            </w:r>
          </w:p>
          <w:p w:rsidR="003D3219" w:rsidRPr="00745A3D" w:rsidRDefault="003D3219" w:rsidP="003D3219">
            <w:pPr>
              <w:jc w:val="center"/>
              <w:rPr>
                <w:b/>
                <w:bCs/>
                <w:color w:val="FFFFFF" w:themeColor="background1"/>
                <w:sz w:val="20"/>
                <w:szCs w:val="20"/>
              </w:rPr>
            </w:pPr>
            <w:r w:rsidRPr="00745A3D">
              <w:rPr>
                <w:b/>
                <w:bCs/>
                <w:color w:val="FFFFFF" w:themeColor="background1"/>
                <w:sz w:val="20"/>
                <w:szCs w:val="20"/>
              </w:rPr>
              <w:t>(MM HRK)</w:t>
            </w:r>
          </w:p>
        </w:tc>
        <w:tc>
          <w:tcPr>
            <w:tcW w:w="1102" w:type="pct"/>
            <w:tcBorders>
              <w:left w:val="single" w:sz="4" w:space="0" w:color="FFFFFF" w:themeColor="background1"/>
              <w:bottom w:val="single" w:sz="4" w:space="0" w:color="4F629B"/>
              <w:right w:val="single" w:sz="4" w:space="0" w:color="FFFFFF" w:themeColor="background1"/>
            </w:tcBorders>
            <w:shd w:val="clear" w:color="auto" w:fill="4F629B"/>
            <w:vAlign w:val="center"/>
          </w:tcPr>
          <w:p w:rsidR="003D3219" w:rsidRPr="00745A3D" w:rsidRDefault="003D3219" w:rsidP="003D3219">
            <w:pPr>
              <w:jc w:val="center"/>
              <w:rPr>
                <w:b/>
                <w:bCs/>
                <w:color w:val="FFFFFF" w:themeColor="background1"/>
                <w:sz w:val="20"/>
                <w:szCs w:val="20"/>
              </w:rPr>
            </w:pPr>
            <w:r w:rsidRPr="00745A3D">
              <w:rPr>
                <w:b/>
                <w:bCs/>
                <w:color w:val="FFFFFF" w:themeColor="background1"/>
                <w:sz w:val="20"/>
                <w:szCs w:val="20"/>
              </w:rPr>
              <w:t>Ukupni GRC na osnovu tehničke evidencije za 2018</w:t>
            </w:r>
          </w:p>
          <w:p w:rsidR="003D3219" w:rsidRPr="00745A3D" w:rsidRDefault="003D3219" w:rsidP="003D3219">
            <w:pPr>
              <w:jc w:val="center"/>
              <w:rPr>
                <w:b/>
                <w:bCs/>
                <w:color w:val="FFFFFF" w:themeColor="background1"/>
                <w:sz w:val="20"/>
                <w:szCs w:val="20"/>
              </w:rPr>
            </w:pPr>
            <w:r w:rsidRPr="00745A3D">
              <w:rPr>
                <w:b/>
                <w:bCs/>
                <w:color w:val="FFFFFF" w:themeColor="background1"/>
                <w:sz w:val="20"/>
                <w:szCs w:val="20"/>
              </w:rPr>
              <w:t>(MM HRK)</w:t>
            </w:r>
          </w:p>
        </w:tc>
        <w:tc>
          <w:tcPr>
            <w:tcW w:w="843" w:type="pct"/>
            <w:tcBorders>
              <w:left w:val="single" w:sz="4" w:space="0" w:color="FFFFFF" w:themeColor="background1"/>
              <w:bottom w:val="single" w:sz="4" w:space="0" w:color="4F629B"/>
              <w:right w:val="single" w:sz="4" w:space="0" w:color="FFFFFF" w:themeColor="background1"/>
            </w:tcBorders>
            <w:shd w:val="clear" w:color="auto" w:fill="4F629B"/>
            <w:vAlign w:val="center"/>
          </w:tcPr>
          <w:p w:rsidR="003D3219" w:rsidRPr="00745A3D" w:rsidRDefault="003D3219" w:rsidP="003D3219">
            <w:pPr>
              <w:jc w:val="center"/>
              <w:rPr>
                <w:b/>
                <w:bCs/>
                <w:color w:val="FFFFFF" w:themeColor="background1"/>
                <w:sz w:val="20"/>
                <w:szCs w:val="20"/>
              </w:rPr>
            </w:pPr>
            <w:r w:rsidRPr="00745A3D">
              <w:rPr>
                <w:b/>
                <w:bCs/>
                <w:color w:val="FFFFFF" w:themeColor="background1"/>
                <w:sz w:val="20"/>
                <w:szCs w:val="20"/>
              </w:rPr>
              <w:t>% imovine koja generira troškove</w:t>
            </w:r>
          </w:p>
        </w:tc>
      </w:tr>
      <w:tr w:rsidR="008D2898" w:rsidRPr="00745A3D" w:rsidTr="00D31F49">
        <w:trPr>
          <w:cantSplit/>
          <w:trHeight w:val="300"/>
          <w:jc w:val="center"/>
        </w:trPr>
        <w:tc>
          <w:tcPr>
            <w:tcW w:w="1950" w:type="pct"/>
            <w:tcBorders>
              <w:top w:val="single" w:sz="4" w:space="0" w:color="4F629B"/>
              <w:left w:val="single" w:sz="4" w:space="0" w:color="FFFFFF" w:themeColor="background1"/>
              <w:bottom w:val="single" w:sz="4" w:space="0" w:color="4F629B"/>
              <w:right w:val="single" w:sz="4" w:space="0" w:color="FFFFFF" w:themeColor="background1"/>
            </w:tcBorders>
            <w:vAlign w:val="center"/>
          </w:tcPr>
          <w:p w:rsidR="008D2898" w:rsidRPr="00745A3D" w:rsidRDefault="008D2898" w:rsidP="008D2898">
            <w:pPr>
              <w:jc w:val="both"/>
              <w:rPr>
                <w:sz w:val="20"/>
                <w:szCs w:val="20"/>
              </w:rPr>
            </w:pPr>
            <w:r w:rsidRPr="00745A3D">
              <w:rPr>
                <w:sz w:val="20"/>
                <w:szCs w:val="20"/>
              </w:rPr>
              <w:t>Građevinska infrastruktura naslijeđene mreže koja je ponovno iskoristiva</w:t>
            </w:r>
          </w:p>
        </w:tc>
        <w:tc>
          <w:tcPr>
            <w:tcW w:w="1105" w:type="pct"/>
            <w:tcBorders>
              <w:top w:val="single" w:sz="4" w:space="0" w:color="4F629B"/>
              <w:left w:val="single" w:sz="4" w:space="0" w:color="FFFFFF" w:themeColor="background1"/>
              <w:bottom w:val="single" w:sz="4" w:space="0" w:color="4F629B"/>
              <w:right w:val="single" w:sz="4" w:space="0" w:color="FFFFFF" w:themeColor="background1"/>
            </w:tcBorders>
            <w:shd w:val="clear" w:color="auto" w:fill="auto"/>
            <w:noWrap/>
            <w:vAlign w:val="center"/>
          </w:tcPr>
          <w:p w:rsidR="008D2898" w:rsidRPr="00745A3D" w:rsidRDefault="008D2898" w:rsidP="008D2898">
            <w:pPr>
              <w:jc w:val="both"/>
              <w:rPr>
                <w:sz w:val="20"/>
                <w:szCs w:val="20"/>
              </w:rPr>
            </w:pPr>
            <w:r w:rsidRPr="00745A3D">
              <w:rPr>
                <w:sz w:val="20"/>
                <w:szCs w:val="20"/>
              </w:rPr>
              <w:sym w:font="Wingdings 2" w:char="F026"/>
            </w:r>
          </w:p>
        </w:tc>
        <w:tc>
          <w:tcPr>
            <w:tcW w:w="1102" w:type="pct"/>
            <w:tcBorders>
              <w:top w:val="single" w:sz="4" w:space="0" w:color="4F629B"/>
              <w:left w:val="single" w:sz="4" w:space="0" w:color="FFFFFF" w:themeColor="background1"/>
              <w:bottom w:val="single" w:sz="4" w:space="0" w:color="4F629B"/>
              <w:right w:val="single" w:sz="4" w:space="0" w:color="FFFFFF" w:themeColor="background1"/>
            </w:tcBorders>
          </w:tcPr>
          <w:p w:rsidR="008D2898" w:rsidRPr="00745A3D" w:rsidRDefault="008D2898" w:rsidP="008D2898">
            <w:pPr>
              <w:jc w:val="both"/>
              <w:rPr>
                <w:sz w:val="20"/>
                <w:szCs w:val="20"/>
              </w:rPr>
            </w:pPr>
            <w:r w:rsidRPr="00745A3D">
              <w:rPr>
                <w:sz w:val="20"/>
                <w:szCs w:val="20"/>
              </w:rPr>
              <w:sym w:font="Wingdings 2" w:char="F026"/>
            </w:r>
          </w:p>
        </w:tc>
        <w:tc>
          <w:tcPr>
            <w:tcW w:w="843" w:type="pct"/>
            <w:tcBorders>
              <w:top w:val="single" w:sz="4" w:space="0" w:color="4F629B"/>
              <w:left w:val="single" w:sz="4" w:space="0" w:color="FFFFFF" w:themeColor="background1"/>
              <w:bottom w:val="single" w:sz="4" w:space="0" w:color="4F629B"/>
              <w:right w:val="single" w:sz="4" w:space="0" w:color="FFFFFF" w:themeColor="background1"/>
            </w:tcBorders>
          </w:tcPr>
          <w:p w:rsidR="008D2898" w:rsidRPr="00745A3D" w:rsidRDefault="008D2898" w:rsidP="008D2898">
            <w:pPr>
              <w:jc w:val="both"/>
              <w:rPr>
                <w:sz w:val="20"/>
                <w:szCs w:val="20"/>
              </w:rPr>
            </w:pPr>
            <w:r w:rsidRPr="00745A3D">
              <w:rPr>
                <w:sz w:val="20"/>
                <w:szCs w:val="20"/>
              </w:rPr>
              <w:sym w:font="Wingdings 2" w:char="F026"/>
            </w:r>
          </w:p>
        </w:tc>
      </w:tr>
      <w:tr w:rsidR="008D2898" w:rsidRPr="00745A3D" w:rsidTr="00D31F49">
        <w:trPr>
          <w:cantSplit/>
          <w:trHeight w:val="300"/>
          <w:jc w:val="center"/>
        </w:trPr>
        <w:tc>
          <w:tcPr>
            <w:tcW w:w="1950" w:type="pct"/>
            <w:tcBorders>
              <w:top w:val="single" w:sz="4" w:space="0" w:color="4F629B"/>
              <w:left w:val="single" w:sz="4" w:space="0" w:color="FFFFFF" w:themeColor="background1"/>
              <w:bottom w:val="single" w:sz="4" w:space="0" w:color="4F629B"/>
              <w:right w:val="single" w:sz="4" w:space="0" w:color="FFFFFF" w:themeColor="background1"/>
            </w:tcBorders>
            <w:vAlign w:val="center"/>
          </w:tcPr>
          <w:p w:rsidR="008D2898" w:rsidRPr="00745A3D" w:rsidRDefault="008D2898" w:rsidP="008D2898">
            <w:pPr>
              <w:jc w:val="both"/>
              <w:rPr>
                <w:sz w:val="20"/>
                <w:szCs w:val="20"/>
              </w:rPr>
            </w:pPr>
            <w:r w:rsidRPr="00745A3D">
              <w:rPr>
                <w:sz w:val="20"/>
                <w:szCs w:val="20"/>
              </w:rPr>
              <w:t>Imovina povezana samo s pružanjem usluga na bakrenoj mreži</w:t>
            </w:r>
            <w:r w:rsidRPr="00745A3D">
              <w:rPr>
                <w:bCs/>
                <w:sz w:val="20"/>
                <w:szCs w:val="20"/>
                <w:vertAlign w:val="superscript"/>
              </w:rPr>
              <w:footnoteReference w:id="17"/>
            </w:r>
          </w:p>
        </w:tc>
        <w:tc>
          <w:tcPr>
            <w:tcW w:w="1105" w:type="pct"/>
            <w:tcBorders>
              <w:top w:val="single" w:sz="4" w:space="0" w:color="4F629B"/>
              <w:left w:val="single" w:sz="4" w:space="0" w:color="FFFFFF" w:themeColor="background1"/>
              <w:bottom w:val="single" w:sz="4" w:space="0" w:color="4F629B"/>
              <w:right w:val="single" w:sz="4" w:space="0" w:color="FFFFFF" w:themeColor="background1"/>
            </w:tcBorders>
            <w:shd w:val="clear" w:color="auto" w:fill="auto"/>
            <w:noWrap/>
            <w:vAlign w:val="center"/>
          </w:tcPr>
          <w:p w:rsidR="008D2898" w:rsidRPr="00745A3D" w:rsidRDefault="008D2898" w:rsidP="008D2898">
            <w:pPr>
              <w:jc w:val="both"/>
              <w:rPr>
                <w:sz w:val="20"/>
                <w:szCs w:val="20"/>
              </w:rPr>
            </w:pPr>
            <w:r w:rsidRPr="00745A3D">
              <w:rPr>
                <w:sz w:val="20"/>
                <w:szCs w:val="20"/>
              </w:rPr>
              <w:sym w:font="Wingdings 2" w:char="F026"/>
            </w:r>
          </w:p>
        </w:tc>
        <w:tc>
          <w:tcPr>
            <w:tcW w:w="1102" w:type="pct"/>
            <w:tcBorders>
              <w:top w:val="single" w:sz="4" w:space="0" w:color="4F629B"/>
              <w:left w:val="single" w:sz="4" w:space="0" w:color="FFFFFF" w:themeColor="background1"/>
              <w:bottom w:val="single" w:sz="4" w:space="0" w:color="4F629B"/>
              <w:right w:val="single" w:sz="4" w:space="0" w:color="FFFFFF" w:themeColor="background1"/>
            </w:tcBorders>
          </w:tcPr>
          <w:p w:rsidR="008D2898" w:rsidRPr="00745A3D" w:rsidRDefault="008D2898" w:rsidP="008D2898">
            <w:pPr>
              <w:jc w:val="both"/>
              <w:rPr>
                <w:sz w:val="20"/>
                <w:szCs w:val="20"/>
              </w:rPr>
            </w:pPr>
            <w:r w:rsidRPr="00745A3D">
              <w:rPr>
                <w:sz w:val="20"/>
                <w:szCs w:val="20"/>
              </w:rPr>
              <w:sym w:font="Wingdings 2" w:char="F026"/>
            </w:r>
          </w:p>
        </w:tc>
        <w:tc>
          <w:tcPr>
            <w:tcW w:w="843" w:type="pct"/>
            <w:tcBorders>
              <w:top w:val="single" w:sz="4" w:space="0" w:color="4F629B"/>
              <w:left w:val="single" w:sz="4" w:space="0" w:color="FFFFFF" w:themeColor="background1"/>
              <w:bottom w:val="single" w:sz="4" w:space="0" w:color="4F629B"/>
              <w:right w:val="single" w:sz="4" w:space="0" w:color="FFFFFF" w:themeColor="background1"/>
            </w:tcBorders>
          </w:tcPr>
          <w:p w:rsidR="008D2898" w:rsidRPr="00745A3D" w:rsidRDefault="008D2898" w:rsidP="008D2898">
            <w:pPr>
              <w:keepNext/>
              <w:jc w:val="both"/>
              <w:rPr>
                <w:sz w:val="20"/>
                <w:szCs w:val="20"/>
              </w:rPr>
            </w:pPr>
            <w:r w:rsidRPr="00745A3D">
              <w:rPr>
                <w:sz w:val="20"/>
                <w:szCs w:val="20"/>
              </w:rPr>
              <w:sym w:font="Wingdings 2" w:char="F026"/>
            </w:r>
          </w:p>
        </w:tc>
      </w:tr>
    </w:tbl>
    <w:p w:rsidR="003D3219" w:rsidRPr="00745A3D" w:rsidRDefault="008D2898" w:rsidP="00A06647">
      <w:pPr>
        <w:pStyle w:val="Caption"/>
        <w:rPr>
          <w:sz w:val="24"/>
          <w:szCs w:val="24"/>
        </w:rPr>
      </w:pPr>
      <w:bookmarkStart w:id="435" w:name="_Toc54079567"/>
      <w:bookmarkStart w:id="436" w:name="_Toc54159163"/>
      <w:bookmarkStart w:id="437" w:name="_Toc54159297"/>
      <w:bookmarkStart w:id="438" w:name="_Toc54159993"/>
      <w:bookmarkStart w:id="439" w:name="_Toc54175818"/>
      <w:bookmarkStart w:id="440" w:name="_Toc54179446"/>
      <w:bookmarkStart w:id="441" w:name="_Toc54261726"/>
      <w:r w:rsidRPr="00745A3D">
        <w:sym w:font="Wingdings 2" w:char="F026"/>
      </w:r>
      <w:r w:rsidR="00A06647" w:rsidRPr="00745A3D">
        <w:t xml:space="preserve">Tablica </w:t>
      </w:r>
      <w:r w:rsidR="00DD0407" w:rsidRPr="00745A3D">
        <w:rPr>
          <w:noProof/>
        </w:rPr>
        <w:fldChar w:fldCharType="begin"/>
      </w:r>
      <w:r w:rsidR="00DD0407" w:rsidRPr="00745A3D">
        <w:rPr>
          <w:noProof/>
        </w:rPr>
        <w:instrText xml:space="preserve"> SEQ Tablica \* ARABIC </w:instrText>
      </w:r>
      <w:r w:rsidR="00DD0407" w:rsidRPr="00745A3D">
        <w:rPr>
          <w:noProof/>
        </w:rPr>
        <w:fldChar w:fldCharType="separate"/>
      </w:r>
      <w:r w:rsidR="00B047B3">
        <w:rPr>
          <w:noProof/>
        </w:rPr>
        <w:t>3</w:t>
      </w:r>
      <w:r w:rsidR="00DD0407" w:rsidRPr="00745A3D">
        <w:rPr>
          <w:noProof/>
        </w:rPr>
        <w:fldChar w:fldCharType="end"/>
      </w:r>
      <w:r w:rsidR="00A06647" w:rsidRPr="00745A3D">
        <w:t xml:space="preserve"> - Izračun imovine u nepokretnoj mreži HT-a koja generira troškove</w:t>
      </w:r>
      <w:bookmarkEnd w:id="435"/>
      <w:bookmarkEnd w:id="436"/>
      <w:bookmarkEnd w:id="437"/>
      <w:bookmarkEnd w:id="438"/>
      <w:bookmarkEnd w:id="439"/>
      <w:bookmarkEnd w:id="440"/>
      <w:bookmarkEnd w:id="441"/>
    </w:p>
    <w:p w:rsidR="003D3219" w:rsidRPr="00745A3D" w:rsidRDefault="003D3219" w:rsidP="003D3219">
      <w:pPr>
        <w:jc w:val="both"/>
        <w:rPr>
          <w:sz w:val="24"/>
          <w:szCs w:val="24"/>
        </w:rPr>
      </w:pPr>
      <w:r w:rsidRPr="00745A3D">
        <w:rPr>
          <w:sz w:val="24"/>
          <w:szCs w:val="24"/>
        </w:rPr>
        <w:t xml:space="preserve">Uzimajući u obzir ciljeve HAKOM-a, tj. povećanje ulaganja tamo gdje je to moguće i poticanje tržišnog natjecanja, kao i obavljeno savjetovanje s operatorima gdje su se svi operatori složili s tim pristupom, za izračun troškova veleprodajnih usluga i određivanje cijena veleprodajnih usluga, HAKOM će koncept potpuno amortizirane imovine primijeniti i na imovinu </w:t>
      </w:r>
      <w:r w:rsidR="00745A3D" w:rsidRPr="00745A3D">
        <w:rPr>
          <w:sz w:val="24"/>
          <w:szCs w:val="24"/>
        </w:rPr>
        <w:t>naslijeđenih</w:t>
      </w:r>
      <w:r w:rsidRPr="00745A3D">
        <w:rPr>
          <w:sz w:val="24"/>
          <w:szCs w:val="24"/>
        </w:rPr>
        <w:t xml:space="preserve"> mreža koja je ponovno iskoristiva i na bakrene kabele.</w:t>
      </w:r>
    </w:p>
    <w:p w:rsidR="003D3219" w:rsidRPr="00745A3D" w:rsidRDefault="003D3219" w:rsidP="003A6F28">
      <w:pPr>
        <w:pStyle w:val="Heading3"/>
      </w:pPr>
      <w:bookmarkStart w:id="442" w:name="_Toc51666122"/>
      <w:bookmarkStart w:id="443" w:name="_Toc51252368"/>
      <w:bookmarkStart w:id="444" w:name="_Toc51676910"/>
      <w:bookmarkStart w:id="445" w:name="_Toc53941976"/>
      <w:bookmarkStart w:id="446" w:name="_Toc54250947"/>
      <w:bookmarkStart w:id="447" w:name="_Toc54252845"/>
      <w:bookmarkStart w:id="448" w:name="_Toc54261657"/>
      <w:bookmarkEnd w:id="442"/>
      <w:r w:rsidRPr="00745A3D">
        <w:t>Dodatni ulazni podaci</w:t>
      </w:r>
      <w:bookmarkEnd w:id="443"/>
      <w:bookmarkEnd w:id="444"/>
      <w:bookmarkEnd w:id="445"/>
      <w:bookmarkEnd w:id="446"/>
      <w:bookmarkEnd w:id="447"/>
      <w:bookmarkEnd w:id="448"/>
    </w:p>
    <w:p w:rsidR="003D3219" w:rsidRPr="00745A3D" w:rsidRDefault="003D3219" w:rsidP="003D3219">
      <w:pPr>
        <w:jc w:val="both"/>
        <w:rPr>
          <w:sz w:val="24"/>
          <w:szCs w:val="24"/>
        </w:rPr>
      </w:pPr>
      <w:r w:rsidRPr="00745A3D">
        <w:rPr>
          <w:sz w:val="24"/>
          <w:szCs w:val="24"/>
        </w:rPr>
        <w:t>Osim glavnih ulaznih podataka koje smo detaljno opisali u prethodnim poglavljima, Troškovni model koristi kao ulazne podatke i dodatne parametre koji su potrebni za dimenzioniranje i izračun troškova nepokretne mreže.</w:t>
      </w:r>
    </w:p>
    <w:p w:rsidR="003D3219" w:rsidRPr="00745A3D" w:rsidRDefault="003D3219" w:rsidP="003D3219">
      <w:pPr>
        <w:jc w:val="both"/>
        <w:rPr>
          <w:sz w:val="24"/>
          <w:szCs w:val="24"/>
        </w:rPr>
      </w:pPr>
      <w:r w:rsidRPr="00745A3D">
        <w:rPr>
          <w:sz w:val="24"/>
          <w:szCs w:val="24"/>
        </w:rPr>
        <w:t>Primjerice, neki od tih ulaznih podataka su:</w:t>
      </w:r>
    </w:p>
    <w:p w:rsidR="003D3219" w:rsidRPr="00745A3D" w:rsidRDefault="003D3219" w:rsidP="00C433F8">
      <w:pPr>
        <w:numPr>
          <w:ilvl w:val="0"/>
          <w:numId w:val="12"/>
        </w:numPr>
        <w:contextualSpacing/>
        <w:jc w:val="both"/>
        <w:rPr>
          <w:sz w:val="24"/>
          <w:szCs w:val="24"/>
        </w:rPr>
      </w:pPr>
      <w:r w:rsidRPr="00745A3D">
        <w:rPr>
          <w:sz w:val="24"/>
          <w:szCs w:val="24"/>
        </w:rPr>
        <w:t>mrežni ulazni podaci potrebni za dimenzioniranje mreže, primjerice kapacitet opreme, standardne konstante itd.</w:t>
      </w:r>
    </w:p>
    <w:p w:rsidR="003D3219" w:rsidRPr="003D3219" w:rsidRDefault="003D3219" w:rsidP="00C433F8">
      <w:pPr>
        <w:numPr>
          <w:ilvl w:val="0"/>
          <w:numId w:val="12"/>
        </w:numPr>
        <w:contextualSpacing/>
        <w:jc w:val="both"/>
        <w:rPr>
          <w:sz w:val="24"/>
          <w:szCs w:val="24"/>
        </w:rPr>
      </w:pPr>
      <w:r w:rsidRPr="003D3219">
        <w:rPr>
          <w:sz w:val="24"/>
          <w:szCs w:val="24"/>
        </w:rPr>
        <w:t xml:space="preserve">geografski podaci koji uključuju podatke potrebne za ispravno karakteriziranje pristupne mreže u smislu udaljenosti između mrežnih elemenata. Više o geografskoj analizi je rečeno u poglavlju </w:t>
      </w:r>
      <w:r w:rsidRPr="003D3219">
        <w:rPr>
          <w:sz w:val="24"/>
          <w:szCs w:val="24"/>
        </w:rPr>
        <w:fldChar w:fldCharType="begin"/>
      </w:r>
      <w:r w:rsidRPr="003D3219">
        <w:rPr>
          <w:sz w:val="24"/>
          <w:szCs w:val="24"/>
        </w:rPr>
        <w:instrText xml:space="preserve"> REF _Ref51147083 \r \h </w:instrText>
      </w:r>
      <w:r w:rsidRPr="003D3219">
        <w:rPr>
          <w:sz w:val="24"/>
          <w:szCs w:val="24"/>
        </w:rPr>
      </w:r>
      <w:r w:rsidRPr="003D3219">
        <w:rPr>
          <w:sz w:val="24"/>
          <w:szCs w:val="24"/>
        </w:rPr>
        <w:fldChar w:fldCharType="separate"/>
      </w:r>
      <w:r w:rsidR="00B047B3">
        <w:rPr>
          <w:sz w:val="24"/>
          <w:szCs w:val="24"/>
        </w:rPr>
        <w:t>4.4</w:t>
      </w:r>
      <w:r w:rsidRPr="003D3219">
        <w:rPr>
          <w:sz w:val="24"/>
          <w:szCs w:val="24"/>
        </w:rPr>
        <w:fldChar w:fldCharType="end"/>
      </w:r>
      <w:r w:rsidRPr="003D3219">
        <w:rPr>
          <w:sz w:val="24"/>
          <w:szCs w:val="24"/>
        </w:rPr>
        <w:t>.</w:t>
      </w:r>
    </w:p>
    <w:p w:rsidR="003D3219" w:rsidRDefault="003D3219" w:rsidP="00C433F8">
      <w:pPr>
        <w:numPr>
          <w:ilvl w:val="0"/>
          <w:numId w:val="12"/>
        </w:numPr>
        <w:contextualSpacing/>
        <w:jc w:val="both"/>
        <w:rPr>
          <w:sz w:val="24"/>
          <w:szCs w:val="24"/>
        </w:rPr>
      </w:pPr>
      <w:r w:rsidRPr="003D3219">
        <w:rPr>
          <w:sz w:val="24"/>
          <w:szCs w:val="24"/>
        </w:rPr>
        <w:t>ulazni podaci o prijenosu koji sadrže informacije povezane s prijenosnim vezama za svaki prijenosni segment i tip mreže.</w:t>
      </w:r>
    </w:p>
    <w:p w:rsidR="003A6F28" w:rsidRPr="003D3219" w:rsidRDefault="003A6F28" w:rsidP="003A6F28">
      <w:pPr>
        <w:ind w:left="720"/>
        <w:contextualSpacing/>
        <w:jc w:val="both"/>
        <w:rPr>
          <w:sz w:val="24"/>
          <w:szCs w:val="24"/>
        </w:rPr>
      </w:pPr>
    </w:p>
    <w:p w:rsidR="003D3219" w:rsidRPr="003D3219" w:rsidRDefault="003D3219" w:rsidP="003A6F28">
      <w:pPr>
        <w:pStyle w:val="Heading2"/>
      </w:pPr>
      <w:bookmarkStart w:id="449" w:name="_Ref51147083"/>
      <w:bookmarkStart w:id="450" w:name="_Toc51252369"/>
      <w:bookmarkStart w:id="451" w:name="_Toc51676911"/>
      <w:bookmarkStart w:id="452" w:name="_Toc53941977"/>
      <w:bookmarkStart w:id="453" w:name="_Toc54250948"/>
      <w:bookmarkStart w:id="454" w:name="_Toc54252846"/>
      <w:bookmarkStart w:id="455" w:name="_Toc54261658"/>
      <w:r w:rsidRPr="003D3219">
        <w:t>Geografska analiza</w:t>
      </w:r>
      <w:bookmarkEnd w:id="449"/>
      <w:bookmarkEnd w:id="450"/>
      <w:bookmarkEnd w:id="451"/>
      <w:bookmarkEnd w:id="452"/>
      <w:bookmarkEnd w:id="453"/>
      <w:bookmarkEnd w:id="454"/>
      <w:bookmarkEnd w:id="455"/>
    </w:p>
    <w:p w:rsidR="003D3219" w:rsidRPr="003D3219" w:rsidRDefault="003D3219" w:rsidP="003D3219">
      <w:pPr>
        <w:jc w:val="both"/>
        <w:rPr>
          <w:sz w:val="24"/>
          <w:szCs w:val="24"/>
        </w:rPr>
      </w:pPr>
      <w:r w:rsidRPr="003D3219">
        <w:rPr>
          <w:sz w:val="24"/>
          <w:szCs w:val="24"/>
        </w:rPr>
        <w:t xml:space="preserve">Projektiranje nepokretne pristupne mreže zahtjeva opsežnu analizu geografskih područja koja se trebaju pokriti, s obzirom da ima izravan utjecaj na dimenzioniranje mrežnih resursa koji ovise o </w:t>
      </w:r>
      <w:r w:rsidR="00745A3D" w:rsidRPr="003D3219">
        <w:rPr>
          <w:sz w:val="24"/>
          <w:szCs w:val="24"/>
        </w:rPr>
        <w:t>geografskim</w:t>
      </w:r>
      <w:r w:rsidRPr="003D3219">
        <w:rPr>
          <w:sz w:val="24"/>
          <w:szCs w:val="24"/>
        </w:rPr>
        <w:t xml:space="preserve"> karakteristikama područja, poput kabela, rovova itd.</w:t>
      </w:r>
    </w:p>
    <w:p w:rsidR="003D3219" w:rsidRPr="003D3219" w:rsidRDefault="003D3219" w:rsidP="003D3219">
      <w:pPr>
        <w:keepNext/>
        <w:jc w:val="center"/>
      </w:pPr>
      <w:r w:rsidRPr="003D3219">
        <w:rPr>
          <w:noProof/>
          <w:sz w:val="24"/>
          <w:szCs w:val="24"/>
          <w:lang w:val="en-US"/>
        </w:rPr>
        <w:drawing>
          <wp:inline distT="0" distB="0" distL="0" distR="0" wp14:anchorId="3C58A143" wp14:editId="2F2F539E">
            <wp:extent cx="3607200" cy="3733200"/>
            <wp:effectExtent l="0" t="0" r="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7200" cy="3733200"/>
                    </a:xfrm>
                    <a:prstGeom prst="rect">
                      <a:avLst/>
                    </a:prstGeom>
                    <a:noFill/>
                  </pic:spPr>
                </pic:pic>
              </a:graphicData>
            </a:graphic>
          </wp:inline>
        </w:drawing>
      </w:r>
    </w:p>
    <w:p w:rsidR="003D3219" w:rsidRDefault="003D3219" w:rsidP="00C00568">
      <w:pPr>
        <w:pStyle w:val="Caption"/>
        <w:jc w:val="center"/>
      </w:pPr>
      <w:bookmarkStart w:id="456" w:name="_Toc53941935"/>
      <w:bookmarkStart w:id="457" w:name="_Toc54175845"/>
      <w:bookmarkStart w:id="458" w:name="_Toc54261709"/>
      <w:r w:rsidRPr="003D3219">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17</w:t>
      </w:r>
      <w:r w:rsidR="00E6032F">
        <w:rPr>
          <w:noProof/>
        </w:rPr>
        <w:fldChar w:fldCharType="end"/>
      </w:r>
      <w:r w:rsidRPr="003D3219">
        <w:t xml:space="preserve"> - Arhitektura vanjskog modela razvijenog u R-u za geografsku analizu (izvor: Axon)</w:t>
      </w:r>
      <w:bookmarkEnd w:id="456"/>
      <w:bookmarkEnd w:id="457"/>
      <w:bookmarkEnd w:id="458"/>
    </w:p>
    <w:p w:rsidR="00C00568" w:rsidRPr="00C00568" w:rsidRDefault="00C00568" w:rsidP="00C00568"/>
    <w:p w:rsidR="003D3219" w:rsidRPr="003D3219" w:rsidRDefault="003D3219" w:rsidP="003D3219">
      <w:pPr>
        <w:jc w:val="both"/>
        <w:rPr>
          <w:sz w:val="24"/>
          <w:szCs w:val="24"/>
          <w:lang w:val="de-DE"/>
        </w:rPr>
      </w:pPr>
      <w:r w:rsidRPr="003D3219">
        <w:rPr>
          <w:sz w:val="24"/>
          <w:szCs w:val="24"/>
        </w:rPr>
        <w:t>Glavna svrha ove analize je definiranje mrežnih karakteristika, uglavnom lokacija mrežnih čvorova (u slučaju kad im lokacija nije poznata) i definiranje ruta za njihovo povezivanje. Ovakva karakterizacija se kasnije agregira u područja koja dijele slične karakteristike, grupiranjem u geotipove. Te informacije se u konačnici koriste za dimenzioniranje pristupne mreže.</w:t>
      </w:r>
      <w:r w:rsidRPr="003D3219">
        <w:rPr>
          <w:sz w:val="24"/>
          <w:szCs w:val="24"/>
          <w:lang w:val="de-DE"/>
        </w:rPr>
        <w:t xml:space="preserve"> </w:t>
      </w:r>
      <w:r w:rsidRPr="003D3219">
        <w:rPr>
          <w:sz w:val="24"/>
          <w:szCs w:val="24"/>
        </w:rPr>
        <w:t xml:space="preserve">Geografska analiza je provedena u vanjskom modelu razvijenim </w:t>
      </w:r>
      <w:r w:rsidR="009A34C0">
        <w:rPr>
          <w:sz w:val="24"/>
          <w:szCs w:val="24"/>
        </w:rPr>
        <w:t xml:space="preserve">u </w:t>
      </w:r>
      <w:r w:rsidRPr="003D3219">
        <w:rPr>
          <w:sz w:val="24"/>
          <w:szCs w:val="24"/>
        </w:rPr>
        <w:t>R-</w:t>
      </w:r>
      <w:r w:rsidR="009A34C0">
        <w:rPr>
          <w:sz w:val="24"/>
          <w:szCs w:val="24"/>
        </w:rPr>
        <w:t>u</w:t>
      </w:r>
      <w:r w:rsidR="0078713B">
        <w:rPr>
          <w:rStyle w:val="FootnoteReference"/>
          <w:sz w:val="24"/>
          <w:szCs w:val="24"/>
        </w:rPr>
        <w:footnoteReference w:id="18"/>
      </w:r>
      <w:r w:rsidRPr="003D3219">
        <w:rPr>
          <w:sz w:val="24"/>
          <w:szCs w:val="24"/>
        </w:rPr>
        <w:t xml:space="preserve">, budući da je R snažan alat koji dozvoljava rad s velikom količinom podataka, kao što je bilo potrebno i u ovom slučaju. Rezultati te geografske analize su </w:t>
      </w:r>
      <w:r w:rsidR="00745A3D" w:rsidRPr="003D3219">
        <w:rPr>
          <w:sz w:val="24"/>
          <w:szCs w:val="24"/>
        </w:rPr>
        <w:t>uneseni</w:t>
      </w:r>
      <w:r w:rsidRPr="003D3219">
        <w:rPr>
          <w:sz w:val="24"/>
          <w:szCs w:val="24"/>
        </w:rPr>
        <w:t xml:space="preserve"> u Troškovni model kao geografski ulazni podaci.</w:t>
      </w:r>
      <w:r w:rsidRPr="003D3219">
        <w:rPr>
          <w:sz w:val="24"/>
          <w:szCs w:val="24"/>
          <w:lang w:val="de-DE"/>
        </w:rPr>
        <w:t xml:space="preserve"> </w:t>
      </w:r>
    </w:p>
    <w:p w:rsidR="003D3219" w:rsidRPr="00745A3D" w:rsidRDefault="003D3219" w:rsidP="003A6F28">
      <w:pPr>
        <w:pStyle w:val="Heading3"/>
      </w:pPr>
      <w:bookmarkStart w:id="459" w:name="_Toc51252370"/>
      <w:bookmarkStart w:id="460" w:name="_Toc51676912"/>
      <w:bookmarkStart w:id="461" w:name="_Toc53941978"/>
      <w:bookmarkStart w:id="462" w:name="_Toc54250949"/>
      <w:bookmarkStart w:id="463" w:name="_Toc54252847"/>
      <w:bookmarkStart w:id="464" w:name="_Toc54261659"/>
      <w:r w:rsidRPr="00745A3D">
        <w:t>Ulazni podaci za geografsku analizu</w:t>
      </w:r>
      <w:bookmarkEnd w:id="459"/>
      <w:bookmarkEnd w:id="460"/>
      <w:bookmarkEnd w:id="461"/>
      <w:bookmarkEnd w:id="462"/>
      <w:bookmarkEnd w:id="463"/>
      <w:bookmarkEnd w:id="464"/>
    </w:p>
    <w:p w:rsidR="003D3219" w:rsidRPr="00745A3D" w:rsidRDefault="003D3219" w:rsidP="003D3219">
      <w:pPr>
        <w:rPr>
          <w:sz w:val="24"/>
          <w:szCs w:val="24"/>
        </w:rPr>
      </w:pPr>
      <w:r w:rsidRPr="00745A3D">
        <w:rPr>
          <w:sz w:val="24"/>
          <w:szCs w:val="24"/>
        </w:rPr>
        <w:t>Za geografsku analizu su se koristili podaci iz nekoliko izvora kako je navedeno u</w:t>
      </w:r>
      <w:r w:rsidR="0051055D" w:rsidRPr="00745A3D">
        <w:rPr>
          <w:sz w:val="24"/>
          <w:szCs w:val="24"/>
        </w:rPr>
        <w:t xml:space="preserve"> donjoj tablici (</w:t>
      </w:r>
      <w:r w:rsidRPr="00745A3D">
        <w:rPr>
          <w:sz w:val="24"/>
          <w:szCs w:val="24"/>
        </w:rPr>
        <w:t xml:space="preserve"> </w:t>
      </w:r>
      <w:r w:rsidRPr="00745A3D">
        <w:rPr>
          <w:sz w:val="24"/>
          <w:szCs w:val="24"/>
        </w:rPr>
        <w:fldChar w:fldCharType="begin"/>
      </w:r>
      <w:r w:rsidRPr="00745A3D">
        <w:rPr>
          <w:sz w:val="24"/>
          <w:szCs w:val="24"/>
        </w:rPr>
        <w:instrText xml:space="preserve"> REF _Ref51148835 \h </w:instrText>
      </w:r>
      <w:r w:rsidR="0051055D" w:rsidRPr="00745A3D">
        <w:rPr>
          <w:sz w:val="24"/>
          <w:szCs w:val="24"/>
        </w:rPr>
        <w:instrText xml:space="preserve"> \* MERGEFORMAT </w:instrText>
      </w:r>
      <w:r w:rsidRPr="00745A3D">
        <w:rPr>
          <w:sz w:val="24"/>
          <w:szCs w:val="24"/>
        </w:rPr>
      </w:r>
      <w:r w:rsidRPr="00745A3D">
        <w:rPr>
          <w:sz w:val="24"/>
          <w:szCs w:val="24"/>
        </w:rPr>
        <w:fldChar w:fldCharType="separate"/>
      </w:r>
      <w:r w:rsidR="00B047B3" w:rsidRPr="00B047B3">
        <w:rPr>
          <w:sz w:val="24"/>
          <w:szCs w:val="24"/>
        </w:rPr>
        <w:t>Tablica 4</w:t>
      </w:r>
      <w:r w:rsidRPr="00745A3D">
        <w:rPr>
          <w:sz w:val="24"/>
          <w:szCs w:val="24"/>
        </w:rPr>
        <w:fldChar w:fldCharType="end"/>
      </w:r>
      <w:r w:rsidRPr="00745A3D">
        <w:rPr>
          <w:sz w:val="24"/>
          <w:szCs w:val="24"/>
        </w:rPr>
        <w:t>.</w:t>
      </w:r>
      <w:r w:rsidR="0051055D" w:rsidRPr="00745A3D">
        <w:rPr>
          <w:sz w:val="24"/>
          <w:szCs w:val="24"/>
        </w:rPr>
        <w:t>)</w:t>
      </w:r>
    </w:p>
    <w:tbl>
      <w:tblPr>
        <w:tblW w:w="4793" w:type="pct"/>
        <w:tblLayout w:type="fixed"/>
        <w:tblCellMar>
          <w:top w:w="57" w:type="dxa"/>
          <w:bottom w:w="57" w:type="dxa"/>
        </w:tblCellMar>
        <w:tblLook w:val="00A0" w:firstRow="1" w:lastRow="0" w:firstColumn="1" w:lastColumn="0" w:noHBand="0" w:noVBand="0"/>
      </w:tblPr>
      <w:tblGrid>
        <w:gridCol w:w="1851"/>
        <w:gridCol w:w="3564"/>
        <w:gridCol w:w="3277"/>
      </w:tblGrid>
      <w:tr w:rsidR="003D3219" w:rsidRPr="00745A3D" w:rsidTr="003D3219">
        <w:trPr>
          <w:cantSplit/>
          <w:trHeight w:val="20"/>
          <w:tblHeader/>
        </w:trPr>
        <w:tc>
          <w:tcPr>
            <w:tcW w:w="1842" w:type="dxa"/>
            <w:tcBorders>
              <w:right w:val="single" w:sz="4" w:space="0" w:color="FFFFFF" w:themeColor="background1"/>
            </w:tcBorders>
            <w:shd w:val="clear" w:color="auto" w:fill="0C2749"/>
            <w:vAlign w:val="center"/>
          </w:tcPr>
          <w:p w:rsidR="003D3219" w:rsidRPr="00745A3D" w:rsidRDefault="003D3219" w:rsidP="003D3219">
            <w:pPr>
              <w:rPr>
                <w:b/>
                <w:bCs/>
              </w:rPr>
            </w:pPr>
            <w:r w:rsidRPr="00745A3D">
              <w:rPr>
                <w:b/>
                <w:bCs/>
              </w:rPr>
              <w:t>Podatak</w:t>
            </w:r>
          </w:p>
        </w:tc>
        <w:tc>
          <w:tcPr>
            <w:tcW w:w="3546" w:type="dxa"/>
            <w:tcBorders>
              <w:right w:val="single" w:sz="4" w:space="0" w:color="FFFFFF" w:themeColor="background1"/>
            </w:tcBorders>
            <w:shd w:val="clear" w:color="auto" w:fill="0C2749"/>
            <w:vAlign w:val="center"/>
          </w:tcPr>
          <w:p w:rsidR="003D3219" w:rsidRPr="00745A3D" w:rsidRDefault="003D3219" w:rsidP="003D3219">
            <w:pPr>
              <w:rPr>
                <w:b/>
                <w:bCs/>
              </w:rPr>
            </w:pPr>
            <w:r w:rsidRPr="00745A3D">
              <w:rPr>
                <w:b/>
                <w:bCs/>
              </w:rPr>
              <w:t>Opis podatka</w:t>
            </w:r>
          </w:p>
        </w:tc>
        <w:tc>
          <w:tcPr>
            <w:tcW w:w="3260" w:type="dxa"/>
            <w:tcBorders>
              <w:right w:val="single" w:sz="4" w:space="0" w:color="FFFFFF" w:themeColor="background1"/>
            </w:tcBorders>
            <w:shd w:val="clear" w:color="auto" w:fill="0C2749"/>
          </w:tcPr>
          <w:p w:rsidR="003D3219" w:rsidRPr="00745A3D" w:rsidRDefault="003D3219" w:rsidP="003D3219">
            <w:pPr>
              <w:rPr>
                <w:b/>
                <w:bCs/>
              </w:rPr>
            </w:pPr>
            <w:r w:rsidRPr="00745A3D">
              <w:rPr>
                <w:b/>
                <w:bCs/>
              </w:rPr>
              <w:t>Izvor</w:t>
            </w:r>
          </w:p>
        </w:tc>
      </w:tr>
      <w:tr w:rsidR="003D3219" w:rsidRPr="00745A3D" w:rsidTr="003D3219">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rsidR="003D3219" w:rsidRPr="00745A3D" w:rsidRDefault="003D3219" w:rsidP="003D3219">
            <w:pPr>
              <w:rPr>
                <w:b/>
              </w:rPr>
            </w:pPr>
            <w:r w:rsidRPr="00745A3D">
              <w:rPr>
                <w:b/>
                <w:bCs/>
              </w:rPr>
              <w:t>Središnji registar prostornih jedinica</w:t>
            </w:r>
          </w:p>
        </w:tc>
        <w:tc>
          <w:tcPr>
            <w:tcW w:w="3546" w:type="dxa"/>
            <w:tcBorders>
              <w:top w:val="single" w:sz="4" w:space="0" w:color="113F80"/>
              <w:bottom w:val="single" w:sz="4" w:space="0" w:color="113F80"/>
            </w:tcBorders>
            <w:vAlign w:val="center"/>
          </w:tcPr>
          <w:p w:rsidR="003D3219" w:rsidRPr="00745A3D" w:rsidRDefault="003D3219" w:rsidP="003D3219">
            <w:r w:rsidRPr="00745A3D">
              <w:t>SHP datoteka koja sadrži sve zgrade i njihove koordinate</w:t>
            </w:r>
          </w:p>
        </w:tc>
        <w:tc>
          <w:tcPr>
            <w:tcW w:w="3260" w:type="dxa"/>
            <w:tcBorders>
              <w:top w:val="single" w:sz="4" w:space="0" w:color="113F80"/>
              <w:bottom w:val="single" w:sz="4" w:space="0" w:color="113F80"/>
            </w:tcBorders>
            <w:vAlign w:val="center"/>
          </w:tcPr>
          <w:p w:rsidR="003D3219" w:rsidRPr="00745A3D" w:rsidRDefault="003D3219" w:rsidP="003D3219">
            <w:r w:rsidRPr="00745A3D">
              <w:rPr>
                <w:noProof/>
                <w:lang w:val="en-US"/>
              </w:rPr>
              <w:drawing>
                <wp:inline distT="0" distB="0" distL="0" distR="0" wp14:anchorId="45A7AACA" wp14:editId="4C4FF1C8">
                  <wp:extent cx="760021" cy="519313"/>
                  <wp:effectExtent l="0" t="0" r="2540" b="0"/>
                  <wp:docPr id="21518" name="Picture 21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4093" t="18417" r="26045" b="9980"/>
                          <a:stretch/>
                        </pic:blipFill>
                        <pic:spPr bwMode="auto">
                          <a:xfrm>
                            <a:off x="0" y="0"/>
                            <a:ext cx="768196" cy="524899"/>
                          </a:xfrm>
                          <a:prstGeom prst="rect">
                            <a:avLst/>
                          </a:prstGeom>
                          <a:ln>
                            <a:noFill/>
                          </a:ln>
                          <a:extLst>
                            <a:ext uri="{53640926-AAD7-44D8-BBD7-CCE9431645EC}">
                              <a14:shadowObscured xmlns:a14="http://schemas.microsoft.com/office/drawing/2010/main"/>
                            </a:ext>
                          </a:extLst>
                        </pic:spPr>
                      </pic:pic>
                    </a:graphicData>
                  </a:graphic>
                </wp:inline>
              </w:drawing>
            </w:r>
          </w:p>
        </w:tc>
      </w:tr>
      <w:tr w:rsidR="003D3219" w:rsidRPr="00745A3D" w:rsidTr="003D3219">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rsidR="003D3219" w:rsidRPr="00745A3D" w:rsidRDefault="003D3219" w:rsidP="003D3219">
            <w:pPr>
              <w:rPr>
                <w:b/>
                <w:bCs/>
              </w:rPr>
            </w:pPr>
            <w:r w:rsidRPr="00745A3D">
              <w:rPr>
                <w:b/>
                <w:bCs/>
              </w:rPr>
              <w:t>Podaci o broju stanova</w:t>
            </w:r>
          </w:p>
        </w:tc>
        <w:tc>
          <w:tcPr>
            <w:tcW w:w="3546" w:type="dxa"/>
            <w:tcBorders>
              <w:top w:val="single" w:sz="4" w:space="0" w:color="113F80"/>
              <w:bottom w:val="single" w:sz="4" w:space="0" w:color="113F80"/>
            </w:tcBorders>
            <w:vAlign w:val="center"/>
          </w:tcPr>
          <w:p w:rsidR="003D3219" w:rsidRPr="00745A3D" w:rsidRDefault="003D3219" w:rsidP="003D3219">
            <w:r w:rsidRPr="00745A3D">
              <w:t>Excel datoteke u kojima se nalazi broj stanova prema popisu stanovništva iz 2011. i broj novoizgrađenih stanova od 2011</w:t>
            </w:r>
          </w:p>
        </w:tc>
        <w:tc>
          <w:tcPr>
            <w:tcW w:w="3260" w:type="dxa"/>
            <w:tcBorders>
              <w:top w:val="single" w:sz="4" w:space="0" w:color="113F80"/>
              <w:bottom w:val="single" w:sz="4" w:space="0" w:color="113F80"/>
            </w:tcBorders>
            <w:vAlign w:val="center"/>
          </w:tcPr>
          <w:p w:rsidR="003D3219" w:rsidRPr="00745A3D" w:rsidRDefault="003D3219" w:rsidP="003D3219">
            <w:r w:rsidRPr="00745A3D">
              <w:rPr>
                <w:noProof/>
                <w:lang w:val="en-US"/>
              </w:rPr>
              <w:drawing>
                <wp:inline distT="0" distB="0" distL="0" distR="0" wp14:anchorId="31FB5CCD" wp14:editId="1323E178">
                  <wp:extent cx="1026061" cy="540000"/>
                  <wp:effectExtent l="0" t="0" r="317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26061" cy="540000"/>
                          </a:xfrm>
                          <a:prstGeom prst="rect">
                            <a:avLst/>
                          </a:prstGeom>
                          <a:noFill/>
                          <a:ln>
                            <a:noFill/>
                          </a:ln>
                        </pic:spPr>
                      </pic:pic>
                    </a:graphicData>
                  </a:graphic>
                </wp:inline>
              </w:drawing>
            </w:r>
          </w:p>
        </w:tc>
      </w:tr>
      <w:tr w:rsidR="003D3219" w:rsidRPr="00745A3D" w:rsidTr="003D3219">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rsidR="003D3219" w:rsidRPr="00745A3D" w:rsidRDefault="003D3219" w:rsidP="003D3219">
            <w:pPr>
              <w:rPr>
                <w:b/>
              </w:rPr>
            </w:pPr>
            <w:r w:rsidRPr="00745A3D">
              <w:rPr>
                <w:b/>
              </w:rPr>
              <w:t>Podaci o rutama HT-ove infrastrukture</w:t>
            </w:r>
          </w:p>
        </w:tc>
        <w:tc>
          <w:tcPr>
            <w:tcW w:w="3546" w:type="dxa"/>
            <w:tcBorders>
              <w:top w:val="single" w:sz="4" w:space="0" w:color="113F80"/>
              <w:bottom w:val="single" w:sz="4" w:space="0" w:color="113F80"/>
            </w:tcBorders>
            <w:vAlign w:val="center"/>
          </w:tcPr>
          <w:p w:rsidR="003D3219" w:rsidRPr="00745A3D" w:rsidRDefault="003D3219" w:rsidP="003D3219">
            <w:r w:rsidRPr="00745A3D">
              <w:t>SHP datoteka koja sadrži sve podatke o rutama HT-ove mreže</w:t>
            </w:r>
            <w:r w:rsidRPr="00745A3D">
              <w:rPr>
                <w:vertAlign w:val="superscript"/>
              </w:rPr>
              <w:footnoteReference w:id="19"/>
            </w:r>
          </w:p>
        </w:tc>
        <w:tc>
          <w:tcPr>
            <w:tcW w:w="3260" w:type="dxa"/>
            <w:tcBorders>
              <w:top w:val="single" w:sz="4" w:space="0" w:color="113F80"/>
              <w:bottom w:val="single" w:sz="4" w:space="0" w:color="113F80"/>
            </w:tcBorders>
            <w:vAlign w:val="center"/>
          </w:tcPr>
          <w:p w:rsidR="003D3219" w:rsidRPr="00745A3D" w:rsidRDefault="003D3219" w:rsidP="003D3219">
            <w:r w:rsidRPr="00745A3D">
              <w:rPr>
                <w:noProof/>
                <w:lang w:val="en-US"/>
              </w:rPr>
              <w:drawing>
                <wp:inline distT="0" distB="0" distL="0" distR="0" wp14:anchorId="628D6686" wp14:editId="65A309C7">
                  <wp:extent cx="1362075" cy="297335"/>
                  <wp:effectExtent l="0" t="0" r="0" b="7620"/>
                  <wp:docPr id="21521" name="Picture 21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395781" cy="304693"/>
                          </a:xfrm>
                          <a:prstGeom prst="rect">
                            <a:avLst/>
                          </a:prstGeom>
                        </pic:spPr>
                      </pic:pic>
                    </a:graphicData>
                  </a:graphic>
                </wp:inline>
              </w:drawing>
            </w:r>
          </w:p>
        </w:tc>
      </w:tr>
      <w:tr w:rsidR="003D3219" w:rsidRPr="00745A3D" w:rsidTr="003D3219">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rsidR="003D3219" w:rsidRPr="00745A3D" w:rsidRDefault="003D3219" w:rsidP="003D3219">
            <w:pPr>
              <w:rPr>
                <w:b/>
                <w:bCs/>
              </w:rPr>
            </w:pPr>
            <w:r w:rsidRPr="00745A3D">
              <w:rPr>
                <w:b/>
                <w:bCs/>
              </w:rPr>
              <w:t>Podaci o pokrivanju</w:t>
            </w:r>
          </w:p>
        </w:tc>
        <w:tc>
          <w:tcPr>
            <w:tcW w:w="3546" w:type="dxa"/>
            <w:tcBorders>
              <w:top w:val="single" w:sz="4" w:space="0" w:color="113F80"/>
              <w:bottom w:val="single" w:sz="4" w:space="0" w:color="113F80"/>
            </w:tcBorders>
            <w:vAlign w:val="center"/>
          </w:tcPr>
          <w:p w:rsidR="003D3219" w:rsidRPr="00745A3D" w:rsidRDefault="003D3219" w:rsidP="003D3219">
            <w:r w:rsidRPr="00745A3D">
              <w:t>Datoteka koja sadrži područje pokrivanja svakog pojedinog glavnog mrežnog čvora</w:t>
            </w:r>
          </w:p>
        </w:tc>
        <w:tc>
          <w:tcPr>
            <w:tcW w:w="3260" w:type="dxa"/>
            <w:tcBorders>
              <w:top w:val="single" w:sz="4" w:space="0" w:color="113F80"/>
              <w:bottom w:val="single" w:sz="4" w:space="0" w:color="113F80"/>
            </w:tcBorders>
            <w:vAlign w:val="center"/>
          </w:tcPr>
          <w:p w:rsidR="003D3219" w:rsidRPr="00745A3D" w:rsidRDefault="003D3219" w:rsidP="003D3219">
            <w:r w:rsidRPr="00745A3D">
              <w:rPr>
                <w:noProof/>
                <w:lang w:val="en-US"/>
              </w:rPr>
              <w:drawing>
                <wp:inline distT="0" distB="0" distL="0" distR="0" wp14:anchorId="3ABB1519" wp14:editId="362538F3">
                  <wp:extent cx="1362075" cy="297335"/>
                  <wp:effectExtent l="0" t="0" r="0" b="7620"/>
                  <wp:docPr id="21524" name="Picture 21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395781" cy="304693"/>
                          </a:xfrm>
                          <a:prstGeom prst="rect">
                            <a:avLst/>
                          </a:prstGeom>
                        </pic:spPr>
                      </pic:pic>
                    </a:graphicData>
                  </a:graphic>
                </wp:inline>
              </w:drawing>
            </w:r>
          </w:p>
        </w:tc>
      </w:tr>
      <w:tr w:rsidR="003D3219" w:rsidRPr="00745A3D" w:rsidTr="003D3219">
        <w:trPr>
          <w:cantSplit/>
          <w:trHeight w:val="875"/>
        </w:trPr>
        <w:tc>
          <w:tcPr>
            <w:tcW w:w="1842" w:type="dxa"/>
            <w:tcBorders>
              <w:top w:val="single" w:sz="4" w:space="0" w:color="113F80"/>
              <w:bottom w:val="single" w:sz="4" w:space="0" w:color="113F80"/>
            </w:tcBorders>
            <w:shd w:val="clear" w:color="auto" w:fill="F2F2F2" w:themeFill="background1" w:themeFillShade="F2"/>
            <w:vAlign w:val="center"/>
          </w:tcPr>
          <w:p w:rsidR="003D3219" w:rsidRPr="00745A3D" w:rsidRDefault="003D3219" w:rsidP="003D3219">
            <w:pPr>
              <w:rPr>
                <w:b/>
              </w:rPr>
            </w:pPr>
            <w:r w:rsidRPr="00745A3D">
              <w:rPr>
                <w:b/>
                <w:bCs/>
              </w:rPr>
              <w:t>Lokacije čvorova</w:t>
            </w:r>
          </w:p>
        </w:tc>
        <w:tc>
          <w:tcPr>
            <w:tcW w:w="3546" w:type="dxa"/>
            <w:tcBorders>
              <w:top w:val="single" w:sz="4" w:space="0" w:color="113F80"/>
              <w:bottom w:val="single" w:sz="4" w:space="0" w:color="113F80"/>
            </w:tcBorders>
            <w:vAlign w:val="center"/>
          </w:tcPr>
          <w:p w:rsidR="003D3219" w:rsidRPr="00745A3D" w:rsidRDefault="003D3219" w:rsidP="003D3219">
            <w:r w:rsidRPr="00745A3D">
              <w:t>Lokacije glavnih mrežnih čvorova pristupne i prijenosne mreže</w:t>
            </w:r>
          </w:p>
        </w:tc>
        <w:tc>
          <w:tcPr>
            <w:tcW w:w="3260" w:type="dxa"/>
            <w:tcBorders>
              <w:top w:val="single" w:sz="4" w:space="0" w:color="113F80"/>
              <w:bottom w:val="single" w:sz="4" w:space="0" w:color="113F80"/>
            </w:tcBorders>
            <w:vAlign w:val="center"/>
          </w:tcPr>
          <w:p w:rsidR="003D3219" w:rsidRPr="00745A3D" w:rsidRDefault="003D3219" w:rsidP="003D3219">
            <w:pPr>
              <w:keepNext/>
              <w:rPr>
                <w:b/>
                <w:bCs/>
              </w:rPr>
            </w:pPr>
            <w:r w:rsidRPr="00745A3D">
              <w:rPr>
                <w:noProof/>
                <w:lang w:val="en-US"/>
              </w:rPr>
              <w:drawing>
                <wp:inline distT="0" distB="0" distL="0" distR="0" wp14:anchorId="4D068616" wp14:editId="0E52E298">
                  <wp:extent cx="1362075" cy="297335"/>
                  <wp:effectExtent l="0" t="0" r="0" b="7620"/>
                  <wp:docPr id="21523" name="Picture 21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395781" cy="304693"/>
                          </a:xfrm>
                          <a:prstGeom prst="rect">
                            <a:avLst/>
                          </a:prstGeom>
                        </pic:spPr>
                      </pic:pic>
                    </a:graphicData>
                  </a:graphic>
                </wp:inline>
              </w:drawing>
            </w:r>
          </w:p>
        </w:tc>
      </w:tr>
    </w:tbl>
    <w:p w:rsidR="003D3219" w:rsidRPr="00745A3D" w:rsidRDefault="003D3219" w:rsidP="00C00568">
      <w:pPr>
        <w:pStyle w:val="Caption"/>
      </w:pPr>
      <w:bookmarkStart w:id="465" w:name="_Ref51148835"/>
      <w:bookmarkStart w:id="466" w:name="_Toc54079568"/>
      <w:bookmarkStart w:id="467" w:name="_Toc54159164"/>
      <w:bookmarkStart w:id="468" w:name="_Toc54159298"/>
      <w:bookmarkStart w:id="469" w:name="_Toc54159994"/>
      <w:bookmarkStart w:id="470" w:name="_Toc54175819"/>
      <w:bookmarkStart w:id="471" w:name="_Toc54179447"/>
      <w:bookmarkStart w:id="472" w:name="_Toc54261727"/>
      <w:r w:rsidRPr="00745A3D">
        <w:t xml:space="preserve">Tablica </w:t>
      </w:r>
      <w:r w:rsidR="00E6032F">
        <w:rPr>
          <w:noProof/>
        </w:rPr>
        <w:fldChar w:fldCharType="begin"/>
      </w:r>
      <w:r w:rsidR="00E6032F">
        <w:rPr>
          <w:noProof/>
        </w:rPr>
        <w:instrText xml:space="preserve"> SEQ Tablica \* ARABIC </w:instrText>
      </w:r>
      <w:r w:rsidR="00E6032F">
        <w:rPr>
          <w:noProof/>
        </w:rPr>
        <w:fldChar w:fldCharType="separate"/>
      </w:r>
      <w:r w:rsidR="00B047B3">
        <w:rPr>
          <w:noProof/>
        </w:rPr>
        <w:t>4</w:t>
      </w:r>
      <w:r w:rsidR="00E6032F">
        <w:rPr>
          <w:noProof/>
        </w:rPr>
        <w:fldChar w:fldCharType="end"/>
      </w:r>
      <w:bookmarkEnd w:id="465"/>
      <w:r w:rsidRPr="00745A3D">
        <w:t xml:space="preserve"> - Podaci i njihovi izvori koji su se koristili u geografskoj analizi</w:t>
      </w:r>
      <w:bookmarkEnd w:id="466"/>
      <w:bookmarkEnd w:id="467"/>
      <w:bookmarkEnd w:id="468"/>
      <w:bookmarkEnd w:id="469"/>
      <w:bookmarkEnd w:id="470"/>
      <w:bookmarkEnd w:id="471"/>
      <w:bookmarkEnd w:id="472"/>
    </w:p>
    <w:p w:rsidR="00052EDD" w:rsidRPr="00745A3D" w:rsidRDefault="00052EDD" w:rsidP="00C00568"/>
    <w:p w:rsidR="003D3219" w:rsidRPr="00745A3D" w:rsidRDefault="003D3219" w:rsidP="003A6F28">
      <w:pPr>
        <w:pStyle w:val="Subtitle"/>
      </w:pPr>
      <w:r w:rsidRPr="00745A3D">
        <w:t>Središnji registar prostornih jedinica (SRPJ)</w:t>
      </w:r>
    </w:p>
    <w:p w:rsidR="003D3219" w:rsidRPr="00745A3D" w:rsidRDefault="003D3219" w:rsidP="0051055D">
      <w:pPr>
        <w:jc w:val="both"/>
        <w:rPr>
          <w:sz w:val="24"/>
          <w:szCs w:val="24"/>
        </w:rPr>
      </w:pPr>
      <w:r w:rsidRPr="00745A3D">
        <w:rPr>
          <w:sz w:val="24"/>
          <w:szCs w:val="24"/>
        </w:rPr>
        <w:t>SRPJ sadrži popis svih zgrada u Republici Hrvatskoj sa sljedećim detaljima:</w:t>
      </w:r>
    </w:p>
    <w:p w:rsidR="003D3219" w:rsidRPr="00745A3D" w:rsidRDefault="003D3219" w:rsidP="0051055D">
      <w:pPr>
        <w:numPr>
          <w:ilvl w:val="0"/>
          <w:numId w:val="13"/>
        </w:numPr>
        <w:contextualSpacing/>
        <w:jc w:val="both"/>
        <w:rPr>
          <w:sz w:val="24"/>
          <w:szCs w:val="24"/>
        </w:rPr>
      </w:pPr>
      <w:r w:rsidRPr="00745A3D">
        <w:rPr>
          <w:sz w:val="24"/>
          <w:szCs w:val="24"/>
        </w:rPr>
        <w:t>adresa (ulica, kućni broj, naselje, županija)</w:t>
      </w:r>
    </w:p>
    <w:p w:rsidR="003D3219" w:rsidRPr="00745A3D" w:rsidRDefault="003D3219" w:rsidP="0051055D">
      <w:pPr>
        <w:numPr>
          <w:ilvl w:val="0"/>
          <w:numId w:val="13"/>
        </w:numPr>
        <w:contextualSpacing/>
        <w:jc w:val="both"/>
        <w:rPr>
          <w:sz w:val="24"/>
          <w:szCs w:val="24"/>
        </w:rPr>
      </w:pPr>
      <w:r w:rsidRPr="00745A3D">
        <w:rPr>
          <w:sz w:val="24"/>
          <w:szCs w:val="24"/>
        </w:rPr>
        <w:t>koordinate u HTRS96 sustavu</w:t>
      </w:r>
    </w:p>
    <w:p w:rsidR="003D3219" w:rsidRPr="00745A3D" w:rsidRDefault="003D3219" w:rsidP="0051055D">
      <w:pPr>
        <w:ind w:left="360"/>
        <w:jc w:val="both"/>
        <w:rPr>
          <w:sz w:val="24"/>
          <w:szCs w:val="24"/>
        </w:rPr>
      </w:pPr>
      <w:r w:rsidRPr="00745A3D">
        <w:rPr>
          <w:sz w:val="24"/>
          <w:szCs w:val="24"/>
        </w:rPr>
        <w:t>Informacije iz SRPJ-a su neophodne za izvlačenje potrebnih informacija o zgra</w:t>
      </w:r>
      <w:r w:rsidR="0051055D" w:rsidRPr="00745A3D">
        <w:rPr>
          <w:sz w:val="24"/>
          <w:szCs w:val="24"/>
        </w:rPr>
        <w:t>dama u Republici Hrvatskoj (</w:t>
      </w:r>
      <w:r w:rsidRPr="00745A3D">
        <w:rPr>
          <w:sz w:val="24"/>
          <w:szCs w:val="24"/>
        </w:rPr>
        <w:fldChar w:fldCharType="begin"/>
      </w:r>
      <w:r w:rsidRPr="00745A3D">
        <w:rPr>
          <w:sz w:val="24"/>
          <w:szCs w:val="24"/>
        </w:rPr>
        <w:instrText xml:space="preserve"> REF _Ref51149620 \h </w:instrText>
      </w:r>
      <w:r w:rsidR="0051055D" w:rsidRPr="00745A3D">
        <w:rPr>
          <w:sz w:val="24"/>
          <w:szCs w:val="24"/>
        </w:rPr>
        <w:instrText xml:space="preserve"> \* MERGEFORMAT </w:instrText>
      </w:r>
      <w:r w:rsidRPr="00745A3D">
        <w:rPr>
          <w:sz w:val="24"/>
          <w:szCs w:val="24"/>
        </w:rPr>
      </w:r>
      <w:r w:rsidRPr="00745A3D">
        <w:rPr>
          <w:sz w:val="24"/>
          <w:szCs w:val="24"/>
        </w:rPr>
        <w:fldChar w:fldCharType="separate"/>
      </w:r>
      <w:r w:rsidR="00B047B3" w:rsidRPr="00B047B3">
        <w:rPr>
          <w:sz w:val="24"/>
          <w:szCs w:val="24"/>
        </w:rPr>
        <w:t>Slika 18</w:t>
      </w:r>
      <w:r w:rsidRPr="00745A3D">
        <w:rPr>
          <w:sz w:val="24"/>
          <w:szCs w:val="24"/>
        </w:rPr>
        <w:fldChar w:fldCharType="end"/>
      </w:r>
      <w:r w:rsidRPr="00745A3D">
        <w:rPr>
          <w:sz w:val="24"/>
          <w:szCs w:val="24"/>
        </w:rPr>
        <w:t>), koje se koriste za procjenu područja pokrivanja mreže modeliranog operatora.</w:t>
      </w:r>
    </w:p>
    <w:p w:rsidR="003D3219" w:rsidRPr="00745A3D" w:rsidRDefault="003D3219" w:rsidP="0051055D">
      <w:pPr>
        <w:jc w:val="both"/>
        <w:rPr>
          <w:sz w:val="24"/>
          <w:szCs w:val="24"/>
        </w:rPr>
      </w:pPr>
    </w:p>
    <w:p w:rsidR="003D3219" w:rsidRPr="00745A3D" w:rsidRDefault="003D3219" w:rsidP="003D3219">
      <w:pPr>
        <w:keepNext/>
        <w:jc w:val="center"/>
      </w:pPr>
      <w:r w:rsidRPr="00745A3D">
        <w:rPr>
          <w:noProof/>
          <w:sz w:val="24"/>
          <w:szCs w:val="24"/>
          <w:lang w:val="en-US"/>
        </w:rPr>
        <w:drawing>
          <wp:inline distT="0" distB="0" distL="0" distR="0" wp14:anchorId="1CCBAA93" wp14:editId="4C5B9C93">
            <wp:extent cx="2694940" cy="324358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94940" cy="3243580"/>
                    </a:xfrm>
                    <a:prstGeom prst="rect">
                      <a:avLst/>
                    </a:prstGeom>
                    <a:noFill/>
                  </pic:spPr>
                </pic:pic>
              </a:graphicData>
            </a:graphic>
          </wp:inline>
        </w:drawing>
      </w:r>
    </w:p>
    <w:p w:rsidR="00C00568" w:rsidRPr="00745A3D" w:rsidRDefault="003D3219" w:rsidP="002A2A44">
      <w:pPr>
        <w:pStyle w:val="Caption"/>
        <w:jc w:val="center"/>
      </w:pPr>
      <w:bookmarkStart w:id="473" w:name="_Ref51149620"/>
      <w:bookmarkStart w:id="474" w:name="_Toc53941936"/>
      <w:bookmarkStart w:id="475" w:name="_Toc54175846"/>
      <w:bookmarkStart w:id="476" w:name="_Toc54261710"/>
      <w:r w:rsidRPr="00745A3D">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18</w:t>
      </w:r>
      <w:r w:rsidR="00E6032F">
        <w:rPr>
          <w:noProof/>
        </w:rPr>
        <w:fldChar w:fldCharType="end"/>
      </w:r>
      <w:bookmarkEnd w:id="473"/>
      <w:r w:rsidRPr="00745A3D">
        <w:t xml:space="preserve"> - Izvadak zgrada iz SRPJ-a (izvor: Axon na osnovu podataka DGU-a)</w:t>
      </w:r>
      <w:bookmarkEnd w:id="474"/>
      <w:bookmarkEnd w:id="475"/>
      <w:bookmarkEnd w:id="476"/>
    </w:p>
    <w:p w:rsidR="003D3219" w:rsidRPr="00745A3D" w:rsidRDefault="003D3219" w:rsidP="003A6F28">
      <w:pPr>
        <w:pStyle w:val="Subtitle"/>
      </w:pPr>
      <w:r w:rsidRPr="00745A3D">
        <w:t>Podaci o broju stanova</w:t>
      </w:r>
    </w:p>
    <w:p w:rsidR="003D3219" w:rsidRPr="00745A3D" w:rsidRDefault="003D3219" w:rsidP="003D3219">
      <w:pPr>
        <w:jc w:val="both"/>
        <w:rPr>
          <w:sz w:val="24"/>
          <w:szCs w:val="24"/>
        </w:rPr>
      </w:pPr>
      <w:r w:rsidRPr="00745A3D">
        <w:rPr>
          <w:sz w:val="24"/>
          <w:szCs w:val="24"/>
        </w:rPr>
        <w:t>Podaci o broju stanova koji se koriste u Troškovnom modelu se nalaze u dva odvojena skupa podataka koje omogućuje Državni zavod za statistiku (dalje: DZS):</w:t>
      </w:r>
    </w:p>
    <w:p w:rsidR="003D3219" w:rsidRPr="00745A3D" w:rsidRDefault="003D3219" w:rsidP="00C433F8">
      <w:pPr>
        <w:numPr>
          <w:ilvl w:val="0"/>
          <w:numId w:val="14"/>
        </w:numPr>
        <w:contextualSpacing/>
        <w:jc w:val="both"/>
        <w:rPr>
          <w:sz w:val="24"/>
          <w:szCs w:val="24"/>
        </w:rPr>
      </w:pPr>
      <w:r w:rsidRPr="00745A3D">
        <w:rPr>
          <w:sz w:val="24"/>
          <w:szCs w:val="24"/>
        </w:rPr>
        <w:t>broj kućanstava po županiji iz popisa stanovništva, kućanstava i stanova iz 2011</w:t>
      </w:r>
    </w:p>
    <w:p w:rsidR="003D3219" w:rsidRPr="00745A3D" w:rsidRDefault="003D3219" w:rsidP="00C433F8">
      <w:pPr>
        <w:numPr>
          <w:ilvl w:val="0"/>
          <w:numId w:val="14"/>
        </w:numPr>
        <w:contextualSpacing/>
        <w:jc w:val="both"/>
        <w:rPr>
          <w:sz w:val="24"/>
          <w:szCs w:val="24"/>
        </w:rPr>
      </w:pPr>
      <w:r w:rsidRPr="00745A3D">
        <w:rPr>
          <w:sz w:val="24"/>
          <w:szCs w:val="24"/>
        </w:rPr>
        <w:t>novoizgrađeni stanovi po županijama godišnje od 2011. do sada</w:t>
      </w:r>
    </w:p>
    <w:p w:rsidR="003D3219" w:rsidRPr="00745A3D" w:rsidRDefault="003D3219" w:rsidP="003D3219">
      <w:pPr>
        <w:jc w:val="both"/>
        <w:rPr>
          <w:sz w:val="24"/>
          <w:szCs w:val="24"/>
        </w:rPr>
      </w:pPr>
      <w:r w:rsidRPr="00745A3D">
        <w:rPr>
          <w:sz w:val="24"/>
          <w:szCs w:val="24"/>
        </w:rPr>
        <w:t>Kombiniranjem ta dva skupa podataka izračunat je broj stanova po županiji u Republici Hrvatskoj. Ovdje je vrijedno istaknuti da je HT tijekom postupka prikupljanja podataka dostavio ukupan broj stanova koji se razlikuje od ukupnog broja stanova koji je dostupan u DZS-u. Međutim, s obzirom da je DZS službeni izvor podataka te da je tako utvrđeno metodološkim načelima, u konačnici je odlučeno da će se koristiti broj kućanstava iz DZS-a.</w:t>
      </w:r>
    </w:p>
    <w:p w:rsidR="003D3219" w:rsidRPr="00745A3D" w:rsidRDefault="003D3219" w:rsidP="003A6F28">
      <w:pPr>
        <w:pStyle w:val="Subtitle"/>
      </w:pPr>
      <w:r w:rsidRPr="00745A3D">
        <w:t>Podaci o rutama HT-ove infrastrukture</w:t>
      </w:r>
    </w:p>
    <w:p w:rsidR="003D3219" w:rsidRPr="00745A3D" w:rsidRDefault="003D3219" w:rsidP="003D3219">
      <w:pPr>
        <w:jc w:val="both"/>
        <w:rPr>
          <w:sz w:val="24"/>
          <w:szCs w:val="24"/>
        </w:rPr>
      </w:pPr>
      <w:r w:rsidRPr="00745A3D">
        <w:rPr>
          <w:sz w:val="24"/>
          <w:szCs w:val="24"/>
        </w:rPr>
        <w:t>Podaci o rutama HT-ove infrastrukture izvučeni su iz HT-ove GIS</w:t>
      </w:r>
      <w:r w:rsidR="004706D8" w:rsidRPr="00745A3D">
        <w:rPr>
          <w:rStyle w:val="FootnoteReference"/>
          <w:sz w:val="24"/>
          <w:szCs w:val="24"/>
        </w:rPr>
        <w:footnoteReference w:id="20"/>
      </w:r>
      <w:r w:rsidRPr="00745A3D">
        <w:rPr>
          <w:sz w:val="24"/>
          <w:szCs w:val="24"/>
        </w:rPr>
        <w:t xml:space="preserve"> baze elektroničke komunikacijske infrastrukture (dalje: GIS EKI baza). Ti podaci sadrže popis svih ruta u HT-ovoj mreži. Nadalje, rute su disagregirane u dijelove, koji predstavljaju rute između dva raskrižja. Dodatno, postoje tri vrste ruta u HT-ovoj mreži:</w:t>
      </w:r>
    </w:p>
    <w:p w:rsidR="003D3219" w:rsidRPr="00745A3D" w:rsidRDefault="003D3219" w:rsidP="00C433F8">
      <w:pPr>
        <w:numPr>
          <w:ilvl w:val="0"/>
          <w:numId w:val="15"/>
        </w:numPr>
        <w:contextualSpacing/>
        <w:jc w:val="both"/>
        <w:rPr>
          <w:sz w:val="24"/>
          <w:szCs w:val="24"/>
        </w:rPr>
      </w:pPr>
      <w:r w:rsidRPr="00745A3D">
        <w:rPr>
          <w:sz w:val="24"/>
          <w:szCs w:val="24"/>
        </w:rPr>
        <w:t>Zračna</w:t>
      </w:r>
    </w:p>
    <w:p w:rsidR="003D3219" w:rsidRPr="00745A3D" w:rsidRDefault="003D3219" w:rsidP="00C433F8">
      <w:pPr>
        <w:numPr>
          <w:ilvl w:val="0"/>
          <w:numId w:val="15"/>
        </w:numPr>
        <w:contextualSpacing/>
        <w:jc w:val="both"/>
        <w:rPr>
          <w:sz w:val="24"/>
          <w:szCs w:val="24"/>
        </w:rPr>
      </w:pPr>
      <w:r w:rsidRPr="00745A3D">
        <w:rPr>
          <w:sz w:val="24"/>
          <w:szCs w:val="24"/>
        </w:rPr>
        <w:t>Podzemna bez cijevi (kabeli položeni izravno u zemlju)</w:t>
      </w:r>
    </w:p>
    <w:p w:rsidR="003D3219" w:rsidRPr="00745A3D" w:rsidRDefault="003D3219" w:rsidP="00C433F8">
      <w:pPr>
        <w:numPr>
          <w:ilvl w:val="0"/>
          <w:numId w:val="15"/>
        </w:numPr>
        <w:contextualSpacing/>
        <w:jc w:val="both"/>
        <w:rPr>
          <w:sz w:val="24"/>
          <w:szCs w:val="24"/>
        </w:rPr>
      </w:pPr>
      <w:r w:rsidRPr="00745A3D">
        <w:rPr>
          <w:sz w:val="24"/>
          <w:szCs w:val="24"/>
        </w:rPr>
        <w:t>Podzemna s cijevima (kabeli su uvučeni u cijevi kabelske kanalizacije)</w:t>
      </w:r>
    </w:p>
    <w:p w:rsidR="003D3219" w:rsidRPr="00745A3D" w:rsidRDefault="003D3219" w:rsidP="003D3219">
      <w:pPr>
        <w:ind w:left="360"/>
        <w:jc w:val="both"/>
        <w:rPr>
          <w:sz w:val="24"/>
          <w:szCs w:val="24"/>
        </w:rPr>
      </w:pPr>
      <w:r w:rsidRPr="00745A3D">
        <w:rPr>
          <w:sz w:val="24"/>
          <w:szCs w:val="24"/>
        </w:rPr>
        <w:t>a svaki dio rute je klasificiran prema jednoj od tih vrsta ruta.</w:t>
      </w:r>
    </w:p>
    <w:p w:rsidR="003D3219" w:rsidRPr="00745A3D" w:rsidRDefault="003D3219" w:rsidP="003D3219">
      <w:pPr>
        <w:keepNext/>
        <w:ind w:left="360"/>
        <w:jc w:val="center"/>
      </w:pPr>
      <w:r w:rsidRPr="00745A3D">
        <w:rPr>
          <w:noProof/>
          <w:sz w:val="24"/>
          <w:szCs w:val="24"/>
          <w:lang w:val="en-US"/>
        </w:rPr>
        <w:drawing>
          <wp:inline distT="0" distB="0" distL="0" distR="0" wp14:anchorId="71927EB4" wp14:editId="1C13AE49">
            <wp:extent cx="2682240" cy="3243580"/>
            <wp:effectExtent l="0" t="0" r="381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82240" cy="3243580"/>
                    </a:xfrm>
                    <a:prstGeom prst="rect">
                      <a:avLst/>
                    </a:prstGeom>
                    <a:noFill/>
                  </pic:spPr>
                </pic:pic>
              </a:graphicData>
            </a:graphic>
          </wp:inline>
        </w:drawing>
      </w:r>
    </w:p>
    <w:p w:rsidR="003D3219" w:rsidRPr="00745A3D" w:rsidRDefault="003D3219" w:rsidP="00C00568">
      <w:pPr>
        <w:pStyle w:val="Caption"/>
        <w:jc w:val="center"/>
      </w:pPr>
      <w:bookmarkStart w:id="477" w:name="_Toc53941937"/>
      <w:bookmarkStart w:id="478" w:name="_Toc54175847"/>
      <w:bookmarkStart w:id="479" w:name="_Toc54261711"/>
      <w:r w:rsidRPr="00745A3D">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19</w:t>
      </w:r>
      <w:r w:rsidR="00E6032F">
        <w:rPr>
          <w:noProof/>
        </w:rPr>
        <w:fldChar w:fldCharType="end"/>
      </w:r>
      <w:r w:rsidRPr="00745A3D">
        <w:t xml:space="preserve"> - Izvadak iz HT-ove GIS EKI baze (izvor: Axon na osnovu podataka HT-a)</w:t>
      </w:r>
      <w:bookmarkEnd w:id="477"/>
      <w:bookmarkEnd w:id="478"/>
      <w:bookmarkEnd w:id="479"/>
    </w:p>
    <w:p w:rsidR="00C00568" w:rsidRPr="00745A3D" w:rsidRDefault="00C00568" w:rsidP="00C00568"/>
    <w:p w:rsidR="003D3219" w:rsidRPr="00745A3D" w:rsidRDefault="003D3219" w:rsidP="003A6F28">
      <w:pPr>
        <w:pStyle w:val="Subtitle"/>
      </w:pPr>
      <w:r w:rsidRPr="00745A3D">
        <w:t>Podaci o pokrivanju</w:t>
      </w:r>
    </w:p>
    <w:p w:rsidR="003D3219" w:rsidRPr="00745A3D" w:rsidRDefault="003D3219" w:rsidP="003D3219">
      <w:pPr>
        <w:jc w:val="both"/>
        <w:rPr>
          <w:sz w:val="24"/>
          <w:szCs w:val="24"/>
        </w:rPr>
      </w:pPr>
      <w:r w:rsidRPr="00745A3D">
        <w:rPr>
          <w:sz w:val="24"/>
          <w:szCs w:val="24"/>
        </w:rPr>
        <w:t>Podaci o pokrivanju se sastoje od GIS datoteka koje je dostavio HT, uključujući područja pokrivena svakim glavnim razdjelnikom (dalje: MDF) u slučaju bakrene mreže i svakim svjetlovodnim razdjelnikom (dalje: ODF) trenutno postavljenim, u slučaju svjetlovodnih mreža.</w:t>
      </w:r>
    </w:p>
    <w:p w:rsidR="003D3219" w:rsidRPr="00745A3D" w:rsidRDefault="003D3219" w:rsidP="003D3219">
      <w:pPr>
        <w:keepNext/>
        <w:jc w:val="center"/>
      </w:pPr>
      <w:r w:rsidRPr="00745A3D">
        <w:rPr>
          <w:noProof/>
          <w:sz w:val="24"/>
          <w:szCs w:val="24"/>
          <w:lang w:val="en-US"/>
        </w:rPr>
        <w:drawing>
          <wp:inline distT="0" distB="0" distL="0" distR="0" wp14:anchorId="3A11F9C4" wp14:editId="5EA7A679">
            <wp:extent cx="3011805" cy="272542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11805" cy="2725420"/>
                    </a:xfrm>
                    <a:prstGeom prst="rect">
                      <a:avLst/>
                    </a:prstGeom>
                    <a:noFill/>
                  </pic:spPr>
                </pic:pic>
              </a:graphicData>
            </a:graphic>
          </wp:inline>
        </w:drawing>
      </w:r>
    </w:p>
    <w:p w:rsidR="003D3219" w:rsidRPr="00745A3D" w:rsidRDefault="003D3219" w:rsidP="00C00568">
      <w:pPr>
        <w:pStyle w:val="Caption"/>
        <w:jc w:val="center"/>
      </w:pPr>
      <w:bookmarkStart w:id="480" w:name="_Toc53941938"/>
      <w:bookmarkStart w:id="481" w:name="_Toc54175848"/>
      <w:bookmarkStart w:id="482" w:name="_Toc54261712"/>
      <w:r w:rsidRPr="00745A3D">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20</w:t>
      </w:r>
      <w:r w:rsidR="00E6032F">
        <w:rPr>
          <w:noProof/>
        </w:rPr>
        <w:fldChar w:fldCharType="end"/>
      </w:r>
      <w:r w:rsidRPr="00745A3D">
        <w:t xml:space="preserve"> - Primjer MDF-ova i njihovih područja pokrivanja (izvor: Axon na osnovu podataka HT-a)</w:t>
      </w:r>
      <w:bookmarkEnd w:id="480"/>
      <w:bookmarkEnd w:id="481"/>
      <w:bookmarkEnd w:id="482"/>
    </w:p>
    <w:p w:rsidR="00C00568" w:rsidRPr="00745A3D" w:rsidRDefault="00C00568" w:rsidP="00C00568"/>
    <w:p w:rsidR="003D3219" w:rsidRPr="00745A3D" w:rsidRDefault="003D3219" w:rsidP="003A6F28">
      <w:pPr>
        <w:pStyle w:val="Subtitle"/>
      </w:pPr>
      <w:r w:rsidRPr="00745A3D">
        <w:t>Lokacije čvorova</w:t>
      </w:r>
    </w:p>
    <w:p w:rsidR="003D3219" w:rsidRPr="00745A3D" w:rsidRDefault="003D3219" w:rsidP="003D3219">
      <w:pPr>
        <w:jc w:val="both"/>
        <w:rPr>
          <w:sz w:val="24"/>
          <w:szCs w:val="24"/>
        </w:rPr>
      </w:pPr>
      <w:r w:rsidRPr="00745A3D">
        <w:rPr>
          <w:sz w:val="24"/>
          <w:szCs w:val="24"/>
        </w:rPr>
        <w:t xml:space="preserve">Kao što je navedeno u metodološkim načelima iz poglavlja </w:t>
      </w:r>
      <w:r w:rsidRPr="00745A3D">
        <w:rPr>
          <w:sz w:val="24"/>
          <w:szCs w:val="24"/>
        </w:rPr>
        <w:fldChar w:fldCharType="begin"/>
      </w:r>
      <w:r w:rsidRPr="00745A3D">
        <w:rPr>
          <w:sz w:val="24"/>
          <w:szCs w:val="24"/>
        </w:rPr>
        <w:instrText xml:space="preserve"> REF _Ref51666008 \r \h </w:instrText>
      </w:r>
      <w:r w:rsidRPr="00745A3D">
        <w:rPr>
          <w:sz w:val="24"/>
          <w:szCs w:val="24"/>
        </w:rPr>
      </w:r>
      <w:r w:rsidRPr="00745A3D">
        <w:rPr>
          <w:sz w:val="24"/>
          <w:szCs w:val="24"/>
        </w:rPr>
        <w:fldChar w:fldCharType="separate"/>
      </w:r>
      <w:r w:rsidR="00B047B3">
        <w:rPr>
          <w:sz w:val="24"/>
          <w:szCs w:val="24"/>
        </w:rPr>
        <w:t>4.1</w:t>
      </w:r>
      <w:r w:rsidRPr="00745A3D">
        <w:rPr>
          <w:sz w:val="24"/>
          <w:szCs w:val="24"/>
        </w:rPr>
        <w:fldChar w:fldCharType="end"/>
      </w:r>
      <w:r w:rsidRPr="00745A3D">
        <w:rPr>
          <w:sz w:val="24"/>
          <w:szCs w:val="24"/>
        </w:rPr>
        <w:t xml:space="preserve">, u Troškovnom modelu je </w:t>
      </w:r>
      <w:r w:rsidR="005028E4" w:rsidRPr="00745A3D">
        <w:rPr>
          <w:sz w:val="24"/>
          <w:szCs w:val="24"/>
        </w:rPr>
        <w:t>primijenjen</w:t>
      </w:r>
      <w:r w:rsidRPr="00745A3D">
        <w:rPr>
          <w:sz w:val="24"/>
          <w:szCs w:val="24"/>
        </w:rPr>
        <w:t xml:space="preserve"> “</w:t>
      </w:r>
      <w:r w:rsidRPr="00745A3D">
        <w:rPr>
          <w:i/>
          <w:sz w:val="24"/>
          <w:szCs w:val="24"/>
        </w:rPr>
        <w:t>Scorched Node</w:t>
      </w:r>
      <w:r w:rsidRPr="00745A3D">
        <w:rPr>
          <w:sz w:val="24"/>
          <w:szCs w:val="24"/>
        </w:rPr>
        <w:t>” pristup koji se temelji na lokacijama postojećih čvorova mreže modeliranog operatora. Stoga su podaci o lokacijama postojećih mrežnih čvorova jedni od najvažnijih za geografsku analizu.</w:t>
      </w:r>
    </w:p>
    <w:p w:rsidR="003D3219" w:rsidRPr="00745A3D" w:rsidRDefault="003D3219" w:rsidP="003D3219">
      <w:pPr>
        <w:jc w:val="both"/>
        <w:rPr>
          <w:sz w:val="24"/>
          <w:szCs w:val="24"/>
        </w:rPr>
      </w:pPr>
      <w:r w:rsidRPr="00745A3D">
        <w:rPr>
          <w:sz w:val="24"/>
          <w:szCs w:val="24"/>
        </w:rPr>
        <w:t>HT je tijekom postupka prikupljanja podataka dostavio podatke s lokacijama mrežnih čvorova, uključujući lokacije izvoda (dalje</w:t>
      </w:r>
      <w:r w:rsidR="00BE4C74" w:rsidRPr="00745A3D">
        <w:rPr>
          <w:sz w:val="24"/>
          <w:szCs w:val="24"/>
        </w:rPr>
        <w:t>:</w:t>
      </w:r>
      <w:r w:rsidRPr="00745A3D">
        <w:rPr>
          <w:sz w:val="24"/>
          <w:szCs w:val="24"/>
        </w:rPr>
        <w:t xml:space="preserve"> DP) i za bakrenu i svjetlovodnu mrežu, lokacije MDF-ov</w:t>
      </w:r>
      <w:r w:rsidR="00BE4C74" w:rsidRPr="00745A3D">
        <w:rPr>
          <w:sz w:val="24"/>
          <w:szCs w:val="24"/>
        </w:rPr>
        <w:t>a</w:t>
      </w:r>
      <w:r w:rsidRPr="00745A3D">
        <w:rPr>
          <w:sz w:val="24"/>
          <w:szCs w:val="24"/>
        </w:rPr>
        <w:t xml:space="preserve"> za bakrenu mrežu, kao i lokacije već postojećih ODF-ova svjetlovodnih mreža (obično se nalaze na istim lokacijama kao i MDF-ovi).</w:t>
      </w:r>
    </w:p>
    <w:p w:rsidR="003D3219" w:rsidRPr="00745A3D" w:rsidRDefault="003D3219" w:rsidP="003D3219">
      <w:pPr>
        <w:jc w:val="both"/>
        <w:rPr>
          <w:sz w:val="24"/>
          <w:szCs w:val="24"/>
        </w:rPr>
      </w:pPr>
      <w:r w:rsidRPr="00745A3D">
        <w:rPr>
          <w:sz w:val="24"/>
          <w:szCs w:val="24"/>
        </w:rPr>
        <w:t xml:space="preserve">U slučaju čvorova svjetlovodne mreže, HT je dostavio podatke samo o čvorovima koji su trenutno aktivni ili su planirani za 2020., budući da su lokacije budućih čvorova još uvijek nepoznate. Za buduća postavljanja svjetlovodne mreže, HT je objasnio svoja pravila projektiranja svjetlovodnih mreža, a koja su </w:t>
      </w:r>
      <w:r w:rsidR="005028E4" w:rsidRPr="00745A3D">
        <w:rPr>
          <w:sz w:val="24"/>
          <w:szCs w:val="24"/>
        </w:rPr>
        <w:t>primijenjena</w:t>
      </w:r>
      <w:r w:rsidRPr="00745A3D">
        <w:rPr>
          <w:sz w:val="24"/>
          <w:szCs w:val="24"/>
        </w:rPr>
        <w:t xml:space="preserve"> za procjenu broja čvorova koji će biti potrebni za buduća postavljanja svjetlovodnih mreža u područjima koja su trenutno nepokrivena svjetlovodnom mrežom. Broj ODF-ova je </w:t>
      </w:r>
      <w:r w:rsidR="005028E4" w:rsidRPr="00745A3D">
        <w:rPr>
          <w:sz w:val="24"/>
          <w:szCs w:val="24"/>
        </w:rPr>
        <w:t>procijenjen</w:t>
      </w:r>
      <w:r w:rsidRPr="00745A3D">
        <w:rPr>
          <w:sz w:val="24"/>
          <w:szCs w:val="24"/>
        </w:rPr>
        <w:t xml:space="preserve"> na temelju tih pravila projektiranja</w:t>
      </w:r>
      <w:r w:rsidR="0078713B" w:rsidRPr="00745A3D">
        <w:rPr>
          <w:sz w:val="24"/>
          <w:szCs w:val="24"/>
        </w:rPr>
        <w:t>,</w:t>
      </w:r>
      <w:r w:rsidRPr="00745A3D">
        <w:rPr>
          <w:sz w:val="24"/>
          <w:szCs w:val="24"/>
        </w:rPr>
        <w:t xml:space="preserve"> a njihove lokacije su simulirane pomoću optimizacij</w:t>
      </w:r>
      <w:r w:rsidR="0078713B" w:rsidRPr="00745A3D">
        <w:rPr>
          <w:sz w:val="24"/>
          <w:szCs w:val="24"/>
        </w:rPr>
        <w:t>s</w:t>
      </w:r>
      <w:r w:rsidRPr="00745A3D">
        <w:rPr>
          <w:sz w:val="24"/>
          <w:szCs w:val="24"/>
        </w:rPr>
        <w:t xml:space="preserve">kih algoritama, kako bi se odredile optimalne lokacije ODF-ova. Budući da je HT također objasnio da planira koristiti postojeće lokacije MDF-ova i za smještaj novih ODF-ova, to je uzeto u obzir, tako da se konačna lokacija ODF-ova određuje na način da optimalna lokacija koja je </w:t>
      </w:r>
      <w:r w:rsidR="005028E4" w:rsidRPr="00745A3D">
        <w:rPr>
          <w:sz w:val="24"/>
          <w:szCs w:val="24"/>
        </w:rPr>
        <w:t>procijenjena</w:t>
      </w:r>
      <w:r w:rsidRPr="00745A3D">
        <w:rPr>
          <w:sz w:val="24"/>
          <w:szCs w:val="24"/>
        </w:rPr>
        <w:t xml:space="preserve"> pomoću optimizacijskih algoritama premjesti na lokaciju najbližeg MDF-a.</w:t>
      </w:r>
    </w:p>
    <w:p w:rsidR="003D3219" w:rsidRPr="00745A3D" w:rsidRDefault="003D3219" w:rsidP="003D3219">
      <w:pPr>
        <w:jc w:val="both"/>
        <w:rPr>
          <w:sz w:val="24"/>
          <w:szCs w:val="24"/>
        </w:rPr>
      </w:pPr>
      <w:r w:rsidRPr="00745A3D">
        <w:rPr>
          <w:sz w:val="24"/>
          <w:szCs w:val="24"/>
        </w:rPr>
        <w:t>Nakon utvrđivanja broja ODF-ov i njihovih lokacija, budući da je broj ODF-ova niži od broja MDF-ova, utvrđuje se područje pokrivanja pojedinih ODF-ova kao unija područja pokrivanja najbližih MDF-ova. Nakon što je određeno područje pokrivanja,</w:t>
      </w:r>
      <w:r w:rsidR="00BE4C74" w:rsidRPr="00745A3D">
        <w:rPr>
          <w:sz w:val="24"/>
          <w:szCs w:val="24"/>
        </w:rPr>
        <w:t xml:space="preserve"> </w:t>
      </w:r>
      <w:r w:rsidRPr="00745A3D">
        <w:rPr>
          <w:sz w:val="24"/>
          <w:szCs w:val="24"/>
        </w:rPr>
        <w:t>a broj korisničkih jedinica</w:t>
      </w:r>
      <w:r w:rsidR="00377B73" w:rsidRPr="00745A3D">
        <w:rPr>
          <w:sz w:val="24"/>
          <w:szCs w:val="24"/>
        </w:rPr>
        <w:t xml:space="preserve"> je</w:t>
      </w:r>
      <w:r w:rsidRPr="00745A3D">
        <w:rPr>
          <w:sz w:val="24"/>
          <w:szCs w:val="24"/>
        </w:rPr>
        <w:t xml:space="preserve"> poznat, moguće je odrediti i broj i optimalne lokacije distribucijskih čvorova (dalje: DN) za područja koja trenutno nisu pokrivena svjetlovodnom mrežom, također pomoću optimizacijskih algoritama.</w:t>
      </w:r>
    </w:p>
    <w:p w:rsidR="003D3219" w:rsidRPr="00745A3D" w:rsidRDefault="003D3219" w:rsidP="003A6F28">
      <w:pPr>
        <w:pStyle w:val="Heading3"/>
      </w:pPr>
      <w:bookmarkStart w:id="483" w:name="_Toc51252371"/>
      <w:bookmarkStart w:id="484" w:name="_Toc51676913"/>
      <w:bookmarkStart w:id="485" w:name="_Toc53941979"/>
      <w:bookmarkStart w:id="486" w:name="_Toc54250950"/>
      <w:bookmarkStart w:id="487" w:name="_Toc54252848"/>
      <w:bookmarkStart w:id="488" w:name="_Toc54261660"/>
      <w:r w:rsidRPr="00745A3D">
        <w:t>Geografski izračuni</w:t>
      </w:r>
      <w:bookmarkEnd w:id="483"/>
      <w:bookmarkEnd w:id="484"/>
      <w:bookmarkEnd w:id="485"/>
      <w:bookmarkEnd w:id="486"/>
      <w:bookmarkEnd w:id="487"/>
      <w:bookmarkEnd w:id="488"/>
    </w:p>
    <w:p w:rsidR="003D3219" w:rsidRPr="00745A3D" w:rsidRDefault="003D3219" w:rsidP="003D3219">
      <w:pPr>
        <w:jc w:val="both"/>
        <w:rPr>
          <w:sz w:val="24"/>
          <w:szCs w:val="24"/>
        </w:rPr>
      </w:pPr>
      <w:r w:rsidRPr="00745A3D">
        <w:rPr>
          <w:sz w:val="24"/>
          <w:szCs w:val="24"/>
        </w:rPr>
        <w:t>Nakon određivanja lokacija različitih mrežnih čvorova (MDF-ova i DP-ova za bakrenu mrežu te ODF-ova, DN-ova i DP-ova za svjetlovodnu mrežu) potrebno je izvršiti još nekoliko radnji da bi se u potpunosti karakterizirala pri</w:t>
      </w:r>
      <w:r w:rsidR="0078713B" w:rsidRPr="00745A3D">
        <w:rPr>
          <w:sz w:val="24"/>
          <w:szCs w:val="24"/>
        </w:rPr>
        <w:t>s</w:t>
      </w:r>
      <w:r w:rsidRPr="00745A3D">
        <w:rPr>
          <w:sz w:val="24"/>
          <w:szCs w:val="24"/>
        </w:rPr>
        <w:t>tupna mreža.</w:t>
      </w:r>
    </w:p>
    <w:p w:rsidR="003D3219" w:rsidRPr="00745A3D" w:rsidRDefault="003D3219" w:rsidP="003A6F28">
      <w:pPr>
        <w:pStyle w:val="Subtitle"/>
      </w:pPr>
      <w:r w:rsidRPr="00745A3D">
        <w:t>Pridruživanje zgrada pripadajućim čvorovima</w:t>
      </w:r>
    </w:p>
    <w:p w:rsidR="003D3219" w:rsidRPr="00745A3D" w:rsidRDefault="003D3219" w:rsidP="0051055D">
      <w:pPr>
        <w:jc w:val="both"/>
        <w:rPr>
          <w:sz w:val="24"/>
          <w:szCs w:val="24"/>
        </w:rPr>
      </w:pPr>
      <w:r w:rsidRPr="00745A3D">
        <w:rPr>
          <w:sz w:val="24"/>
          <w:szCs w:val="24"/>
        </w:rPr>
        <w:t>Ovaj postupak se sastoji u određivanju područja koje pokriva pojedini DP/DN. Uključuje sljedeće korake:</w:t>
      </w:r>
    </w:p>
    <w:p w:rsidR="003D3219" w:rsidRPr="00745A3D" w:rsidRDefault="003D3219" w:rsidP="0051055D">
      <w:pPr>
        <w:numPr>
          <w:ilvl w:val="0"/>
          <w:numId w:val="16"/>
        </w:numPr>
        <w:contextualSpacing/>
        <w:jc w:val="both"/>
        <w:rPr>
          <w:sz w:val="24"/>
          <w:szCs w:val="24"/>
        </w:rPr>
      </w:pPr>
      <w:r w:rsidRPr="00745A3D">
        <w:rPr>
          <w:sz w:val="24"/>
          <w:szCs w:val="24"/>
        </w:rPr>
        <w:t>Identifikacija zgrada i čvorova unutar istog područja pokrivanja. Temelji se na granicama koje je dostavio HT.</w:t>
      </w:r>
    </w:p>
    <w:p w:rsidR="003D3219" w:rsidRPr="00745A3D" w:rsidRDefault="003D3219" w:rsidP="0051055D">
      <w:pPr>
        <w:numPr>
          <w:ilvl w:val="0"/>
          <w:numId w:val="16"/>
        </w:numPr>
        <w:contextualSpacing/>
        <w:jc w:val="both"/>
        <w:rPr>
          <w:sz w:val="24"/>
          <w:szCs w:val="24"/>
        </w:rPr>
      </w:pPr>
      <w:r w:rsidRPr="00745A3D">
        <w:rPr>
          <w:sz w:val="24"/>
          <w:szCs w:val="24"/>
        </w:rPr>
        <w:t>Uzimajući u obzir koordinat</w:t>
      </w:r>
      <w:r w:rsidR="00377B73" w:rsidRPr="00745A3D">
        <w:rPr>
          <w:sz w:val="24"/>
          <w:szCs w:val="24"/>
        </w:rPr>
        <w:t>e</w:t>
      </w:r>
      <w:r w:rsidRPr="00745A3D">
        <w:rPr>
          <w:sz w:val="24"/>
          <w:szCs w:val="24"/>
        </w:rPr>
        <w:t xml:space="preserve"> zgrada i čvorova (DP-ova/DN-ova), svaka zgrada se pridružuje najbližem čvoru kroz odabir </w:t>
      </w:r>
      <w:r w:rsidR="005028E4" w:rsidRPr="00745A3D">
        <w:rPr>
          <w:sz w:val="24"/>
          <w:szCs w:val="24"/>
        </w:rPr>
        <w:t>najkraćeg</w:t>
      </w:r>
      <w:r w:rsidRPr="00745A3D">
        <w:rPr>
          <w:sz w:val="24"/>
          <w:szCs w:val="24"/>
        </w:rPr>
        <w:t xml:space="preserve"> puta. Na taj način se omogućuje identifikacija zgrada koje pokriva svaki pojedini čvor (</w:t>
      </w:r>
      <w:r w:rsidRPr="00745A3D">
        <w:rPr>
          <w:sz w:val="24"/>
          <w:szCs w:val="24"/>
        </w:rPr>
        <w:fldChar w:fldCharType="begin"/>
      </w:r>
      <w:r w:rsidRPr="00745A3D">
        <w:rPr>
          <w:sz w:val="24"/>
          <w:szCs w:val="24"/>
        </w:rPr>
        <w:instrText xml:space="preserve"> REF _Ref51157316 \h </w:instrText>
      </w:r>
      <w:r w:rsidR="0051055D" w:rsidRPr="00745A3D">
        <w:rPr>
          <w:sz w:val="24"/>
          <w:szCs w:val="24"/>
        </w:rPr>
        <w:instrText xml:space="preserve"> \* MERGEFORMAT </w:instrText>
      </w:r>
      <w:r w:rsidRPr="00745A3D">
        <w:rPr>
          <w:sz w:val="24"/>
          <w:szCs w:val="24"/>
        </w:rPr>
      </w:r>
      <w:r w:rsidRPr="00745A3D">
        <w:rPr>
          <w:sz w:val="24"/>
          <w:szCs w:val="24"/>
        </w:rPr>
        <w:fldChar w:fldCharType="separate"/>
      </w:r>
      <w:r w:rsidR="00B047B3" w:rsidRPr="00B047B3">
        <w:rPr>
          <w:sz w:val="24"/>
          <w:szCs w:val="24"/>
        </w:rPr>
        <w:t>Slika 21</w:t>
      </w:r>
      <w:r w:rsidRPr="00745A3D">
        <w:rPr>
          <w:sz w:val="24"/>
          <w:szCs w:val="24"/>
        </w:rPr>
        <w:fldChar w:fldCharType="end"/>
      </w:r>
      <w:r w:rsidRPr="00745A3D">
        <w:rPr>
          <w:sz w:val="24"/>
          <w:szCs w:val="24"/>
        </w:rPr>
        <w:t>).</w:t>
      </w:r>
    </w:p>
    <w:p w:rsidR="002A2A44" w:rsidRPr="00745A3D" w:rsidRDefault="002A2A44" w:rsidP="002A2A44">
      <w:pPr>
        <w:ind w:left="720"/>
        <w:contextualSpacing/>
        <w:jc w:val="both"/>
        <w:rPr>
          <w:sz w:val="24"/>
          <w:szCs w:val="24"/>
        </w:rPr>
      </w:pPr>
    </w:p>
    <w:p w:rsidR="003D3219" w:rsidRPr="00745A3D" w:rsidRDefault="003D3219" w:rsidP="003D3219">
      <w:pPr>
        <w:keepNext/>
        <w:jc w:val="center"/>
      </w:pPr>
      <w:r w:rsidRPr="00745A3D">
        <w:rPr>
          <w:noProof/>
          <w:sz w:val="24"/>
          <w:szCs w:val="24"/>
          <w:lang w:val="en-US"/>
        </w:rPr>
        <w:drawing>
          <wp:inline distT="0" distB="0" distL="0" distR="0" wp14:anchorId="60AA5ABA" wp14:editId="321A9306">
            <wp:extent cx="3981600" cy="1746000"/>
            <wp:effectExtent l="0" t="0" r="0"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81600" cy="1746000"/>
                    </a:xfrm>
                    <a:prstGeom prst="rect">
                      <a:avLst/>
                    </a:prstGeom>
                    <a:noFill/>
                  </pic:spPr>
                </pic:pic>
              </a:graphicData>
            </a:graphic>
          </wp:inline>
        </w:drawing>
      </w:r>
    </w:p>
    <w:p w:rsidR="003D3219" w:rsidRPr="00745A3D" w:rsidRDefault="003D3219" w:rsidP="00C00568">
      <w:pPr>
        <w:pStyle w:val="Caption"/>
        <w:jc w:val="center"/>
      </w:pPr>
      <w:bookmarkStart w:id="489" w:name="_Ref51157316"/>
      <w:bookmarkStart w:id="490" w:name="_Toc53941939"/>
      <w:bookmarkStart w:id="491" w:name="_Toc54175849"/>
      <w:bookmarkStart w:id="492" w:name="_Toc54261713"/>
      <w:r w:rsidRPr="00745A3D">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21</w:t>
      </w:r>
      <w:r w:rsidR="00E6032F">
        <w:rPr>
          <w:noProof/>
        </w:rPr>
        <w:fldChar w:fldCharType="end"/>
      </w:r>
      <w:bookmarkEnd w:id="489"/>
      <w:r w:rsidRPr="00745A3D">
        <w:t xml:space="preserve"> - Primjer veza između zgrada i izvoda (DP) kod bakrene mreže (Izvor: Axon)</w:t>
      </w:r>
      <w:bookmarkEnd w:id="490"/>
      <w:bookmarkEnd w:id="491"/>
      <w:bookmarkEnd w:id="492"/>
    </w:p>
    <w:p w:rsidR="003D3219" w:rsidRPr="00745A3D" w:rsidRDefault="003D3219" w:rsidP="003A6F28">
      <w:pPr>
        <w:pStyle w:val="Subtitle"/>
      </w:pPr>
      <w:r w:rsidRPr="00745A3D">
        <w:t>Definiranje ruta između čvorova</w:t>
      </w:r>
    </w:p>
    <w:p w:rsidR="003D3219" w:rsidRPr="00745A3D" w:rsidRDefault="003D3219" w:rsidP="003D3219">
      <w:pPr>
        <w:jc w:val="both"/>
        <w:rPr>
          <w:sz w:val="24"/>
          <w:szCs w:val="24"/>
        </w:rPr>
      </w:pPr>
      <w:r w:rsidRPr="00745A3D">
        <w:rPr>
          <w:sz w:val="24"/>
          <w:szCs w:val="24"/>
        </w:rPr>
        <w:t xml:space="preserve">Nakon što su zgrade pridružene pripadajućim čvorovima, u sljedećem koraku se izračunavaju rute koje povezuju svaki pojedini DP/DN sa njegovim </w:t>
      </w:r>
      <w:r w:rsidR="005028E4" w:rsidRPr="00745A3D">
        <w:rPr>
          <w:sz w:val="24"/>
          <w:szCs w:val="24"/>
        </w:rPr>
        <w:t>pripadajućim</w:t>
      </w:r>
      <w:r w:rsidRPr="00745A3D">
        <w:rPr>
          <w:sz w:val="24"/>
          <w:szCs w:val="24"/>
        </w:rPr>
        <w:t xml:space="preserve"> MDF-om/ODF-om. Budući da se mrežne rute uglavnom koriste za određivanje ukupnih potrebnih duljina kabela, rovova itd., dobiveni rezultati ovog koraka su jako bitni za dimenzioniranje mreže.</w:t>
      </w:r>
    </w:p>
    <w:p w:rsidR="003D3219" w:rsidRPr="00745A3D" w:rsidRDefault="003D3219" w:rsidP="003D3219">
      <w:pPr>
        <w:jc w:val="both"/>
        <w:rPr>
          <w:sz w:val="24"/>
          <w:szCs w:val="24"/>
        </w:rPr>
      </w:pPr>
      <w:r w:rsidRPr="00745A3D">
        <w:rPr>
          <w:sz w:val="24"/>
          <w:szCs w:val="24"/>
        </w:rPr>
        <w:t xml:space="preserve">Kao i u prethodnom koraku pridruživanja zgrada pojedinom DP-u/DN-u, </w:t>
      </w:r>
      <w:r w:rsidR="005028E4" w:rsidRPr="00745A3D">
        <w:rPr>
          <w:sz w:val="24"/>
          <w:szCs w:val="24"/>
        </w:rPr>
        <w:t>proces</w:t>
      </w:r>
      <w:r w:rsidRPr="00745A3D">
        <w:rPr>
          <w:sz w:val="24"/>
          <w:szCs w:val="24"/>
        </w:rPr>
        <w:t xml:space="preserve"> izračuna ruta se temelji na izračunu najkraćeg puta između čvorova, uzimajući u obzir različite moguće puteve kroz mrežu operatora.</w:t>
      </w:r>
    </w:p>
    <w:p w:rsidR="00052EDD" w:rsidRPr="00745A3D" w:rsidRDefault="003D3219" w:rsidP="003D3219">
      <w:pPr>
        <w:jc w:val="both"/>
        <w:rPr>
          <w:sz w:val="24"/>
          <w:szCs w:val="24"/>
        </w:rPr>
      </w:pPr>
      <w:r w:rsidRPr="00745A3D">
        <w:rPr>
          <w:sz w:val="24"/>
          <w:szCs w:val="24"/>
        </w:rPr>
        <w:t xml:space="preserve">Prije svega, svaki pojedini DP/DN se pridružuje nadređenom MDF-/ODF-u prema SHP datotekama koje je dostavio HT, kako ilustrira </w:t>
      </w:r>
      <w:r w:rsidRPr="00745A3D">
        <w:rPr>
          <w:sz w:val="24"/>
          <w:szCs w:val="24"/>
        </w:rPr>
        <w:fldChar w:fldCharType="begin"/>
      </w:r>
      <w:r w:rsidRPr="00745A3D">
        <w:rPr>
          <w:sz w:val="24"/>
          <w:szCs w:val="24"/>
        </w:rPr>
        <w:instrText xml:space="preserve"> REF _Ref51157849 \h </w:instrText>
      </w:r>
      <w:r w:rsidR="0051055D" w:rsidRPr="00745A3D">
        <w:rPr>
          <w:sz w:val="24"/>
          <w:szCs w:val="24"/>
        </w:rPr>
        <w:instrText xml:space="preserve"> \* MERGEFORMAT </w:instrText>
      </w:r>
      <w:r w:rsidRPr="00745A3D">
        <w:rPr>
          <w:sz w:val="24"/>
          <w:szCs w:val="24"/>
        </w:rPr>
      </w:r>
      <w:r w:rsidRPr="00745A3D">
        <w:rPr>
          <w:sz w:val="24"/>
          <w:szCs w:val="24"/>
        </w:rPr>
        <w:fldChar w:fldCharType="separate"/>
      </w:r>
      <w:r w:rsidR="00B047B3" w:rsidRPr="00B047B3">
        <w:rPr>
          <w:sz w:val="24"/>
          <w:szCs w:val="24"/>
        </w:rPr>
        <w:t>Slika 22</w:t>
      </w:r>
      <w:r w:rsidRPr="00745A3D">
        <w:rPr>
          <w:sz w:val="24"/>
          <w:szCs w:val="24"/>
        </w:rPr>
        <w:fldChar w:fldCharType="end"/>
      </w:r>
      <w:r w:rsidRPr="00745A3D">
        <w:rPr>
          <w:sz w:val="24"/>
          <w:szCs w:val="24"/>
        </w:rPr>
        <w:t xml:space="preserve">, gdje ljubičasti krugovi predstavljaju MDF-ove, a ostali krugovi drugih boja, DP-ove pridružene različitim MDF-ovima. </w:t>
      </w:r>
    </w:p>
    <w:p w:rsidR="003D3219" w:rsidRPr="00745A3D" w:rsidRDefault="003D3219" w:rsidP="00052EDD">
      <w:pPr>
        <w:jc w:val="center"/>
      </w:pPr>
      <w:r w:rsidRPr="00745A3D">
        <w:rPr>
          <w:noProof/>
          <w:sz w:val="24"/>
          <w:szCs w:val="24"/>
          <w:lang w:val="en-US"/>
        </w:rPr>
        <w:drawing>
          <wp:inline distT="0" distB="0" distL="0" distR="0" wp14:anchorId="59619556" wp14:editId="67BB2EE1">
            <wp:extent cx="2102400" cy="2372400"/>
            <wp:effectExtent l="0" t="0" r="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102400" cy="2372400"/>
                    </a:xfrm>
                    <a:prstGeom prst="rect">
                      <a:avLst/>
                    </a:prstGeom>
                    <a:noFill/>
                  </pic:spPr>
                </pic:pic>
              </a:graphicData>
            </a:graphic>
          </wp:inline>
        </w:drawing>
      </w:r>
    </w:p>
    <w:p w:rsidR="003D3219" w:rsidRPr="00745A3D" w:rsidRDefault="003D3219" w:rsidP="00C00568">
      <w:pPr>
        <w:pStyle w:val="Caption"/>
        <w:jc w:val="center"/>
        <w:rPr>
          <w:sz w:val="24"/>
          <w:szCs w:val="24"/>
        </w:rPr>
      </w:pPr>
      <w:bookmarkStart w:id="493" w:name="_Ref51157849"/>
      <w:bookmarkStart w:id="494" w:name="_Toc53941940"/>
      <w:bookmarkStart w:id="495" w:name="_Toc54175850"/>
      <w:bookmarkStart w:id="496" w:name="_Toc54261714"/>
      <w:r w:rsidRPr="00745A3D">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22</w:t>
      </w:r>
      <w:r w:rsidR="00E6032F">
        <w:rPr>
          <w:noProof/>
        </w:rPr>
        <w:fldChar w:fldCharType="end"/>
      </w:r>
      <w:bookmarkEnd w:id="493"/>
      <w:r w:rsidRPr="00745A3D">
        <w:t xml:space="preserve"> - Primjer pridruživanja DP-ova MDF-ovima (Izvor: Axon)</w:t>
      </w:r>
      <w:bookmarkEnd w:id="494"/>
      <w:bookmarkEnd w:id="495"/>
      <w:bookmarkEnd w:id="496"/>
    </w:p>
    <w:p w:rsidR="003D3219" w:rsidRPr="00745A3D" w:rsidRDefault="003D3219" w:rsidP="0051055D">
      <w:pPr>
        <w:jc w:val="both"/>
        <w:rPr>
          <w:sz w:val="24"/>
          <w:szCs w:val="24"/>
        </w:rPr>
      </w:pPr>
      <w:r w:rsidRPr="00745A3D">
        <w:rPr>
          <w:sz w:val="24"/>
          <w:szCs w:val="24"/>
        </w:rPr>
        <w:t>Nakon toga se za svaki pojedini DP/DN izračunava najkraća udaljenost. Na kraju se ukupna udaljenost između čvorova dobije kao zbroj dva različita dijela pristupne mreže:</w:t>
      </w:r>
    </w:p>
    <w:p w:rsidR="003D3219" w:rsidRPr="00745A3D" w:rsidRDefault="003D3219" w:rsidP="0051055D">
      <w:pPr>
        <w:numPr>
          <w:ilvl w:val="0"/>
          <w:numId w:val="17"/>
        </w:numPr>
        <w:contextualSpacing/>
        <w:jc w:val="both"/>
        <w:rPr>
          <w:sz w:val="24"/>
          <w:szCs w:val="24"/>
        </w:rPr>
      </w:pPr>
      <w:r w:rsidRPr="00745A3D">
        <w:rPr>
          <w:sz w:val="24"/>
          <w:szCs w:val="24"/>
        </w:rPr>
        <w:t>udaljenosti od zgrada do DP/DN (sekundarna mreža (distribucijska mreža))</w:t>
      </w:r>
    </w:p>
    <w:p w:rsidR="003D3219" w:rsidRPr="00745A3D" w:rsidRDefault="003D3219" w:rsidP="0051055D">
      <w:pPr>
        <w:numPr>
          <w:ilvl w:val="0"/>
          <w:numId w:val="17"/>
        </w:numPr>
        <w:contextualSpacing/>
        <w:jc w:val="both"/>
        <w:rPr>
          <w:sz w:val="24"/>
          <w:szCs w:val="24"/>
        </w:rPr>
      </w:pPr>
      <w:r w:rsidRPr="00745A3D">
        <w:rPr>
          <w:sz w:val="24"/>
          <w:szCs w:val="24"/>
        </w:rPr>
        <w:t>udaljenosti od DP/DN do MDF/ODF (primarna mreža (spojna mreža))</w:t>
      </w:r>
    </w:p>
    <w:p w:rsidR="003D3219" w:rsidRPr="00745A3D" w:rsidRDefault="003D3219" w:rsidP="0051055D">
      <w:pPr>
        <w:jc w:val="both"/>
        <w:rPr>
          <w:sz w:val="24"/>
          <w:szCs w:val="24"/>
        </w:rPr>
      </w:pPr>
      <w:r w:rsidRPr="00745A3D">
        <w:rPr>
          <w:sz w:val="24"/>
          <w:szCs w:val="24"/>
        </w:rPr>
        <w:t>Potrebno je istaknuti da se svi gore navedeni koraci provode posebno za tri različite mrežne arhitekture koje Troškovni model uzima u obzir, arhitekturu bakrene mreže, arhitekturu svjetlovodne mreže koja je izgrađena prije Pravilnika o svjetlovodnim distribucijskim mrežama (dalje: Stara FTTA područja) te arhitekturu svjetlovodne mreže kakvu HT gradi nakon stupanja na snagu Pravilnika o svjetlovodnim distribucijskim mrežama (dalje: područja SDM-a).</w:t>
      </w:r>
    </w:p>
    <w:p w:rsidR="003D3219" w:rsidRPr="00745A3D" w:rsidRDefault="003D3219" w:rsidP="0051055D">
      <w:pPr>
        <w:pStyle w:val="Heading3"/>
      </w:pPr>
      <w:bookmarkStart w:id="497" w:name="_Toc51252372"/>
      <w:bookmarkStart w:id="498" w:name="_Toc51676914"/>
      <w:bookmarkStart w:id="499" w:name="_Ref52459745"/>
      <w:bookmarkStart w:id="500" w:name="_Ref52459830"/>
      <w:bookmarkStart w:id="501" w:name="_Toc53941980"/>
      <w:bookmarkStart w:id="502" w:name="_Toc54250951"/>
      <w:bookmarkStart w:id="503" w:name="_Toc54252849"/>
      <w:bookmarkStart w:id="504" w:name="_Toc54261661"/>
      <w:r w:rsidRPr="00745A3D">
        <w:t>Postupanje s rezultatima geografske analize</w:t>
      </w:r>
      <w:bookmarkEnd w:id="497"/>
      <w:bookmarkEnd w:id="498"/>
      <w:bookmarkEnd w:id="499"/>
      <w:bookmarkEnd w:id="500"/>
      <w:bookmarkEnd w:id="501"/>
      <w:bookmarkEnd w:id="502"/>
      <w:bookmarkEnd w:id="503"/>
      <w:bookmarkEnd w:id="504"/>
    </w:p>
    <w:p w:rsidR="003D3219" w:rsidRPr="00745A3D" w:rsidRDefault="003D3219" w:rsidP="0051055D">
      <w:pPr>
        <w:jc w:val="both"/>
        <w:rPr>
          <w:sz w:val="24"/>
          <w:szCs w:val="24"/>
        </w:rPr>
      </w:pPr>
      <w:r w:rsidRPr="00745A3D">
        <w:rPr>
          <w:sz w:val="24"/>
          <w:szCs w:val="24"/>
        </w:rPr>
        <w:t>Rezultati prethodno opisanih koraka geografske analize se moraju dodatno obraditi da bi se mogli koristiti kao ulazni podaci u Troškovnom modelu. Budući da geografsko modeliranje daje podatke na razini geotipa, prvo je potrebno definirati geotipove.</w:t>
      </w:r>
    </w:p>
    <w:p w:rsidR="003D3219" w:rsidRPr="00745A3D" w:rsidRDefault="003D3219" w:rsidP="0051055D">
      <w:pPr>
        <w:pStyle w:val="Subtitle"/>
        <w:jc w:val="both"/>
      </w:pPr>
      <w:r w:rsidRPr="00745A3D">
        <w:t>Definiranje geotipova</w:t>
      </w:r>
    </w:p>
    <w:p w:rsidR="003D3219" w:rsidRPr="00745A3D" w:rsidRDefault="003D3219" w:rsidP="0051055D">
      <w:pPr>
        <w:jc w:val="both"/>
        <w:rPr>
          <w:sz w:val="24"/>
          <w:szCs w:val="24"/>
        </w:rPr>
      </w:pPr>
      <w:r w:rsidRPr="00745A3D">
        <w:rPr>
          <w:sz w:val="24"/>
          <w:szCs w:val="24"/>
        </w:rPr>
        <w:t>Sukladno metodološkim načelima, geotipovi za potrebe Troškovnog modela se definiraju na temelju sljedećih skupova klasifikacija:</w:t>
      </w:r>
    </w:p>
    <w:p w:rsidR="003D3219" w:rsidRPr="00745A3D" w:rsidRDefault="003D3219" w:rsidP="0051055D">
      <w:pPr>
        <w:numPr>
          <w:ilvl w:val="0"/>
          <w:numId w:val="18"/>
        </w:numPr>
        <w:contextualSpacing/>
        <w:jc w:val="both"/>
        <w:rPr>
          <w:sz w:val="24"/>
          <w:szCs w:val="24"/>
        </w:rPr>
      </w:pPr>
      <w:r w:rsidRPr="00745A3D">
        <w:rPr>
          <w:b/>
          <w:sz w:val="24"/>
          <w:szCs w:val="24"/>
        </w:rPr>
        <w:t>Županija</w:t>
      </w:r>
      <w:r w:rsidRPr="00745A3D">
        <w:rPr>
          <w:sz w:val="24"/>
          <w:szCs w:val="24"/>
        </w:rPr>
        <w:t xml:space="preserve"> – jedna od dvadeset jedne županije u Republici Hrvatskoj</w:t>
      </w:r>
    </w:p>
    <w:p w:rsidR="003D3219" w:rsidRPr="00745A3D" w:rsidRDefault="003D3219" w:rsidP="00C433F8">
      <w:pPr>
        <w:numPr>
          <w:ilvl w:val="0"/>
          <w:numId w:val="18"/>
        </w:numPr>
        <w:contextualSpacing/>
        <w:jc w:val="both"/>
        <w:rPr>
          <w:sz w:val="24"/>
          <w:szCs w:val="24"/>
        </w:rPr>
      </w:pPr>
      <w:r w:rsidRPr="00745A3D">
        <w:rPr>
          <w:b/>
          <w:sz w:val="24"/>
          <w:szCs w:val="24"/>
        </w:rPr>
        <w:t>Stupanj urbanizacije</w:t>
      </w:r>
      <w:r w:rsidRPr="00745A3D">
        <w:rPr>
          <w:sz w:val="24"/>
          <w:szCs w:val="24"/>
        </w:rPr>
        <w:t xml:space="preserve"> –ovisno o gustoći zgrada, geotipovi se dijele na “Urban”, “Suburban” i “Rural”</w:t>
      </w:r>
    </w:p>
    <w:p w:rsidR="003D3219" w:rsidRPr="00745A3D" w:rsidRDefault="003D3219" w:rsidP="00C433F8">
      <w:pPr>
        <w:numPr>
          <w:ilvl w:val="0"/>
          <w:numId w:val="18"/>
        </w:numPr>
        <w:contextualSpacing/>
        <w:jc w:val="both"/>
        <w:rPr>
          <w:sz w:val="24"/>
          <w:szCs w:val="24"/>
        </w:rPr>
      </w:pPr>
      <w:r w:rsidRPr="00745A3D">
        <w:rPr>
          <w:b/>
          <w:sz w:val="24"/>
          <w:szCs w:val="24"/>
        </w:rPr>
        <w:t>Status raspetljanosti lokalne petlje (Unbundling status)</w:t>
      </w:r>
      <w:r w:rsidRPr="00745A3D">
        <w:rPr>
          <w:sz w:val="24"/>
          <w:szCs w:val="24"/>
        </w:rPr>
        <w:t xml:space="preserve"> - ovisno o tome da li je lokalna petlja u području pokrivanja trenutno raspetljana ili nije, geotipovi se dijele u “Unbundled” ili “Non-unbundled”.</w:t>
      </w:r>
    </w:p>
    <w:p w:rsidR="00C5258E" w:rsidRPr="00745A3D" w:rsidRDefault="00C5258E" w:rsidP="00C5258E">
      <w:pPr>
        <w:ind w:left="720"/>
        <w:contextualSpacing/>
        <w:jc w:val="both"/>
        <w:rPr>
          <w:sz w:val="24"/>
          <w:szCs w:val="24"/>
        </w:rPr>
      </w:pPr>
    </w:p>
    <w:p w:rsidR="003D3219" w:rsidRPr="00745A3D" w:rsidRDefault="003D3219" w:rsidP="003D3219">
      <w:pPr>
        <w:keepNext/>
        <w:jc w:val="center"/>
      </w:pPr>
      <w:r w:rsidRPr="00745A3D">
        <w:rPr>
          <w:noProof/>
          <w:sz w:val="24"/>
          <w:szCs w:val="24"/>
          <w:lang w:val="en-US"/>
        </w:rPr>
        <w:drawing>
          <wp:inline distT="0" distB="0" distL="0" distR="0" wp14:anchorId="2889DAA4" wp14:editId="67D56574">
            <wp:extent cx="3844800" cy="23472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44800" cy="2347200"/>
                    </a:xfrm>
                    <a:prstGeom prst="rect">
                      <a:avLst/>
                    </a:prstGeom>
                    <a:noFill/>
                  </pic:spPr>
                </pic:pic>
              </a:graphicData>
            </a:graphic>
          </wp:inline>
        </w:drawing>
      </w:r>
    </w:p>
    <w:p w:rsidR="003D3219" w:rsidRPr="00745A3D" w:rsidRDefault="003D3219" w:rsidP="00C00568">
      <w:pPr>
        <w:pStyle w:val="Caption"/>
        <w:jc w:val="center"/>
        <w:rPr>
          <w:noProof/>
        </w:rPr>
      </w:pPr>
      <w:bookmarkStart w:id="505" w:name="_Ref51160507"/>
      <w:bookmarkStart w:id="506" w:name="_Toc53941941"/>
      <w:bookmarkStart w:id="507" w:name="_Toc54175851"/>
      <w:bookmarkStart w:id="508" w:name="_Toc54261715"/>
      <w:r w:rsidRPr="00745A3D">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23</w:t>
      </w:r>
      <w:r w:rsidR="00E6032F">
        <w:rPr>
          <w:noProof/>
        </w:rPr>
        <w:fldChar w:fldCharType="end"/>
      </w:r>
      <w:bookmarkEnd w:id="505"/>
      <w:r w:rsidRPr="00745A3D">
        <w:t xml:space="preserve"> - Karakterizacija područja MDF-ova </w:t>
      </w:r>
      <w:r w:rsidRPr="00745A3D">
        <w:rPr>
          <w:noProof/>
        </w:rPr>
        <w:t>u geotipove (Izvor: Axon)</w:t>
      </w:r>
      <w:bookmarkEnd w:id="506"/>
      <w:bookmarkEnd w:id="507"/>
      <w:bookmarkEnd w:id="508"/>
    </w:p>
    <w:p w:rsidR="00C00568" w:rsidRPr="00745A3D" w:rsidRDefault="00C00568" w:rsidP="00C00568"/>
    <w:p w:rsidR="003D3219" w:rsidRPr="00745A3D" w:rsidRDefault="003D3219" w:rsidP="003D3219">
      <w:pPr>
        <w:jc w:val="both"/>
        <w:rPr>
          <w:sz w:val="24"/>
          <w:szCs w:val="24"/>
        </w:rPr>
      </w:pPr>
      <w:r w:rsidRPr="00745A3D">
        <w:rPr>
          <w:sz w:val="24"/>
          <w:szCs w:val="24"/>
        </w:rPr>
        <w:t>U prvom koraku se geotipove klasificira po županijama (Republika Hrvatska ima 21 županiju). U ovom koraku svaka zgrada se na osnovu lokacije pridružuje svojoj pripadajućoj županiji.</w:t>
      </w:r>
    </w:p>
    <w:p w:rsidR="003D3219" w:rsidRPr="00745A3D" w:rsidRDefault="003D3219" w:rsidP="003D3219">
      <w:pPr>
        <w:jc w:val="both"/>
        <w:rPr>
          <w:sz w:val="24"/>
          <w:szCs w:val="24"/>
        </w:rPr>
      </w:pPr>
      <w:r w:rsidRPr="00745A3D">
        <w:rPr>
          <w:sz w:val="24"/>
          <w:szCs w:val="24"/>
        </w:rPr>
        <w:t>U drugom koraku su svi MDF-ovi klasificirani u jedan od tri geotipa, koji ovisno o stupnju urbanizacije mogu biti “Urban”, “Suburban” ili “Rural”. Definicij</w:t>
      </w:r>
      <w:r w:rsidR="00171907" w:rsidRPr="00745A3D">
        <w:rPr>
          <w:sz w:val="24"/>
          <w:szCs w:val="24"/>
        </w:rPr>
        <w:t>a</w:t>
      </w:r>
      <w:r w:rsidRPr="00745A3D">
        <w:rPr>
          <w:sz w:val="24"/>
          <w:szCs w:val="24"/>
        </w:rPr>
        <w:t xml:space="preserve"> geotipova je provedena kroz analizu klaster</w:t>
      </w:r>
      <w:r w:rsidR="005028E4">
        <w:rPr>
          <w:sz w:val="24"/>
          <w:szCs w:val="24"/>
        </w:rPr>
        <w:t>a</w:t>
      </w:r>
      <w:r w:rsidRPr="00745A3D">
        <w:rPr>
          <w:sz w:val="24"/>
          <w:szCs w:val="24"/>
        </w:rPr>
        <w:t xml:space="preserve"> pomoću “K-means” algoritma</w:t>
      </w:r>
      <w:r w:rsidRPr="00745A3D">
        <w:rPr>
          <w:sz w:val="24"/>
          <w:szCs w:val="24"/>
          <w:vertAlign w:val="superscript"/>
        </w:rPr>
        <w:footnoteReference w:id="21"/>
      </w:r>
      <w:r w:rsidRPr="00745A3D">
        <w:rPr>
          <w:sz w:val="24"/>
          <w:szCs w:val="24"/>
        </w:rPr>
        <w:t>, koji uzima u obzir dvije varijable: gustoću zgrada (zgrada/km</w:t>
      </w:r>
      <w:r w:rsidRPr="00745A3D">
        <w:rPr>
          <w:sz w:val="24"/>
          <w:szCs w:val="24"/>
          <w:vertAlign w:val="superscript"/>
        </w:rPr>
        <w:t>2</w:t>
      </w:r>
      <w:r w:rsidRPr="00745A3D">
        <w:rPr>
          <w:sz w:val="24"/>
          <w:szCs w:val="24"/>
        </w:rPr>
        <w:t>) tj. broj zgrada po području te gustoću stanova (stanova/zgradi) tj. prosječan broj stanova po zgradi.</w:t>
      </w:r>
    </w:p>
    <w:p w:rsidR="003D3219" w:rsidRPr="00745A3D" w:rsidRDefault="003D3219" w:rsidP="003D3219">
      <w:pPr>
        <w:jc w:val="both"/>
        <w:rPr>
          <w:sz w:val="24"/>
          <w:szCs w:val="24"/>
        </w:rPr>
      </w:pPr>
      <w:r w:rsidRPr="00745A3D">
        <w:rPr>
          <w:sz w:val="24"/>
          <w:szCs w:val="24"/>
        </w:rPr>
        <w:fldChar w:fldCharType="begin"/>
      </w:r>
      <w:r w:rsidRPr="00745A3D">
        <w:rPr>
          <w:sz w:val="24"/>
          <w:szCs w:val="24"/>
        </w:rPr>
        <w:instrText xml:space="preserve"> REF _Ref51160507 \h </w:instrText>
      </w:r>
      <w:r w:rsidR="0051055D" w:rsidRPr="00745A3D">
        <w:rPr>
          <w:sz w:val="24"/>
          <w:szCs w:val="24"/>
        </w:rPr>
        <w:instrText xml:space="preserve"> \* MERGEFORMAT </w:instrText>
      </w:r>
      <w:r w:rsidRPr="00745A3D">
        <w:rPr>
          <w:sz w:val="24"/>
          <w:szCs w:val="24"/>
        </w:rPr>
      </w:r>
      <w:r w:rsidRPr="00745A3D">
        <w:rPr>
          <w:sz w:val="24"/>
          <w:szCs w:val="24"/>
        </w:rPr>
        <w:fldChar w:fldCharType="separate"/>
      </w:r>
      <w:r w:rsidR="00B047B3" w:rsidRPr="00B047B3">
        <w:rPr>
          <w:sz w:val="24"/>
          <w:szCs w:val="24"/>
        </w:rPr>
        <w:t>Slika 23</w:t>
      </w:r>
      <w:r w:rsidRPr="00745A3D">
        <w:rPr>
          <w:sz w:val="24"/>
          <w:szCs w:val="24"/>
        </w:rPr>
        <w:fldChar w:fldCharType="end"/>
      </w:r>
      <w:r w:rsidRPr="00745A3D">
        <w:rPr>
          <w:sz w:val="24"/>
          <w:szCs w:val="24"/>
        </w:rPr>
        <w:t xml:space="preserve"> prikazuje karakterizaciju različitih postojećih područja MDF-ova, dobivenu u tom postupku.</w:t>
      </w:r>
    </w:p>
    <w:p w:rsidR="003D3219" w:rsidRPr="00745A3D" w:rsidRDefault="003D3219" w:rsidP="003D3219">
      <w:pPr>
        <w:keepNext/>
        <w:jc w:val="center"/>
      </w:pPr>
      <w:r w:rsidRPr="00745A3D">
        <w:rPr>
          <w:noProof/>
          <w:lang w:val="en-US"/>
        </w:rPr>
        <w:drawing>
          <wp:inline distT="0" distB="0" distL="0" distR="0" wp14:anchorId="46289C82" wp14:editId="1F090603">
            <wp:extent cx="3736975" cy="2889885"/>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736975" cy="2889885"/>
                    </a:xfrm>
                    <a:prstGeom prst="rect">
                      <a:avLst/>
                    </a:prstGeom>
                    <a:noFill/>
                  </pic:spPr>
                </pic:pic>
              </a:graphicData>
            </a:graphic>
          </wp:inline>
        </w:drawing>
      </w:r>
    </w:p>
    <w:p w:rsidR="003D3219" w:rsidRPr="00745A3D" w:rsidRDefault="003D3219" w:rsidP="00C00568">
      <w:pPr>
        <w:pStyle w:val="Caption"/>
        <w:jc w:val="center"/>
      </w:pPr>
      <w:bookmarkStart w:id="509" w:name="_Ref51160765"/>
      <w:bookmarkStart w:id="510" w:name="_Toc53941942"/>
      <w:bookmarkStart w:id="511" w:name="_Toc54175852"/>
      <w:bookmarkStart w:id="512" w:name="_Toc54261716"/>
      <w:r w:rsidRPr="00745A3D">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24</w:t>
      </w:r>
      <w:r w:rsidR="00E6032F">
        <w:rPr>
          <w:noProof/>
        </w:rPr>
        <w:fldChar w:fldCharType="end"/>
      </w:r>
      <w:bookmarkEnd w:id="509"/>
      <w:r w:rsidRPr="00745A3D">
        <w:t xml:space="preserve"> - Klasifikacija područja pokrivanja u Hrvatskoj u geotipove (Izvor: Axon)</w:t>
      </w:r>
      <w:bookmarkEnd w:id="510"/>
      <w:bookmarkEnd w:id="511"/>
      <w:bookmarkEnd w:id="512"/>
    </w:p>
    <w:p w:rsidR="00C00568" w:rsidRPr="00745A3D" w:rsidRDefault="00C00568" w:rsidP="00C00568"/>
    <w:p w:rsidR="003D3219" w:rsidRPr="00745A3D" w:rsidRDefault="003D3219" w:rsidP="003D3219">
      <w:pPr>
        <w:jc w:val="both"/>
        <w:rPr>
          <w:sz w:val="24"/>
          <w:szCs w:val="24"/>
        </w:rPr>
      </w:pPr>
      <w:r w:rsidRPr="00745A3D">
        <w:rPr>
          <w:sz w:val="24"/>
          <w:szCs w:val="24"/>
        </w:rPr>
        <w:t>Kao što je vidljivo iz</w:t>
      </w:r>
      <w:r w:rsidR="0068532C" w:rsidRPr="00745A3D">
        <w:rPr>
          <w:sz w:val="24"/>
          <w:szCs w:val="24"/>
        </w:rPr>
        <w:t xml:space="preserve"> karte koju prikazuje</w:t>
      </w:r>
      <w:r w:rsidRPr="00745A3D">
        <w:rPr>
          <w:sz w:val="24"/>
          <w:szCs w:val="24"/>
        </w:rPr>
        <w:t xml:space="preserve"> </w:t>
      </w:r>
      <w:r w:rsidRPr="00745A3D">
        <w:rPr>
          <w:sz w:val="24"/>
          <w:szCs w:val="24"/>
        </w:rPr>
        <w:fldChar w:fldCharType="begin"/>
      </w:r>
      <w:r w:rsidRPr="00745A3D">
        <w:rPr>
          <w:sz w:val="24"/>
          <w:szCs w:val="24"/>
        </w:rPr>
        <w:instrText xml:space="preserve"> REF _Ref51160765 \h </w:instrText>
      </w:r>
      <w:r w:rsidR="0068532C" w:rsidRPr="00745A3D">
        <w:rPr>
          <w:sz w:val="24"/>
          <w:szCs w:val="24"/>
        </w:rPr>
        <w:instrText xml:space="preserve"> \* MERGEFORMAT </w:instrText>
      </w:r>
      <w:r w:rsidRPr="00745A3D">
        <w:rPr>
          <w:sz w:val="24"/>
          <w:szCs w:val="24"/>
        </w:rPr>
      </w:r>
      <w:r w:rsidRPr="00745A3D">
        <w:rPr>
          <w:sz w:val="24"/>
          <w:szCs w:val="24"/>
        </w:rPr>
        <w:fldChar w:fldCharType="separate"/>
      </w:r>
      <w:r w:rsidR="00B047B3" w:rsidRPr="00B047B3">
        <w:rPr>
          <w:sz w:val="24"/>
          <w:szCs w:val="24"/>
        </w:rPr>
        <w:t>Slika 24</w:t>
      </w:r>
      <w:r w:rsidRPr="00745A3D">
        <w:rPr>
          <w:sz w:val="24"/>
          <w:szCs w:val="24"/>
        </w:rPr>
        <w:fldChar w:fldCharType="end"/>
      </w:r>
      <w:r w:rsidRPr="00745A3D">
        <w:rPr>
          <w:sz w:val="24"/>
          <w:szCs w:val="24"/>
        </w:rPr>
        <w:t>, gušće naseljena područja Republike Hrvatske su klasificirana kao urbani i suburbani geotipovi, dok su rijetko naseljena područja identificirana kao ruralna.</w:t>
      </w:r>
    </w:p>
    <w:p w:rsidR="003D3219" w:rsidRPr="00745A3D" w:rsidRDefault="003D3219" w:rsidP="003D3219">
      <w:pPr>
        <w:jc w:val="both"/>
        <w:rPr>
          <w:sz w:val="24"/>
          <w:szCs w:val="24"/>
        </w:rPr>
      </w:pPr>
      <w:r w:rsidRPr="00745A3D">
        <w:rPr>
          <w:sz w:val="24"/>
          <w:szCs w:val="24"/>
        </w:rPr>
        <w:t>U trećem koraku definicije geotipova, za urbane i suburbane geotipove, provodi se podjela između područja s raspetljanom lokalnom petljom i područja s neraspetljanom lok</w:t>
      </w:r>
      <w:r w:rsidR="00171907" w:rsidRPr="00745A3D">
        <w:rPr>
          <w:sz w:val="24"/>
          <w:szCs w:val="24"/>
        </w:rPr>
        <w:t>a</w:t>
      </w:r>
      <w:r w:rsidRPr="00745A3D">
        <w:rPr>
          <w:sz w:val="24"/>
          <w:szCs w:val="24"/>
        </w:rPr>
        <w:t>lnom petljom. Takva podjela nije rel</w:t>
      </w:r>
      <w:r w:rsidR="0078713B" w:rsidRPr="00745A3D">
        <w:rPr>
          <w:sz w:val="24"/>
          <w:szCs w:val="24"/>
        </w:rPr>
        <w:t>e</w:t>
      </w:r>
      <w:r w:rsidRPr="00745A3D">
        <w:rPr>
          <w:sz w:val="24"/>
          <w:szCs w:val="24"/>
        </w:rPr>
        <w:t xml:space="preserve">vantna za ruralne geotipove. Takva podjela je napravljena na temelju najnovijih podataka o lokacijama MDF-ova na kojima su alternativni operatori kolocirani i koriste uslugu </w:t>
      </w:r>
      <w:r w:rsidR="007E3C26" w:rsidRPr="00745A3D">
        <w:rPr>
          <w:sz w:val="24"/>
          <w:szCs w:val="24"/>
        </w:rPr>
        <w:t>LLU</w:t>
      </w:r>
      <w:r w:rsidRPr="00745A3D">
        <w:rPr>
          <w:sz w:val="24"/>
          <w:szCs w:val="24"/>
        </w:rPr>
        <w:t>-a koje je dostavio HT.</w:t>
      </w:r>
    </w:p>
    <w:p w:rsidR="003D3219" w:rsidRPr="00745A3D" w:rsidRDefault="003D3219" w:rsidP="003D3219">
      <w:pPr>
        <w:jc w:val="both"/>
        <w:rPr>
          <w:sz w:val="24"/>
          <w:szCs w:val="24"/>
        </w:rPr>
      </w:pPr>
      <w:r w:rsidRPr="00745A3D">
        <w:rPr>
          <w:sz w:val="24"/>
          <w:szCs w:val="24"/>
        </w:rPr>
        <w:t xml:space="preserve">Konačno, karakterizacija u smislu geotipova omogućuje razlikovanje ukupno 105 geotipova na cijelom području Republike Hrvatske tj. </w:t>
      </w:r>
      <w:r w:rsidR="004F47B5" w:rsidRPr="00745A3D">
        <w:rPr>
          <w:sz w:val="24"/>
          <w:szCs w:val="24"/>
        </w:rPr>
        <w:t>pet</w:t>
      </w:r>
      <w:r w:rsidRPr="00745A3D">
        <w:rPr>
          <w:sz w:val="24"/>
          <w:szCs w:val="24"/>
        </w:rPr>
        <w:t xml:space="preserve"> geotipova (urban-unbundled, urban-non-unbundled, suburban-unbundled, suburban-non-unbundled </w:t>
      </w:r>
      <w:r w:rsidR="008C0B99">
        <w:rPr>
          <w:sz w:val="24"/>
          <w:szCs w:val="24"/>
        </w:rPr>
        <w:t xml:space="preserve">i </w:t>
      </w:r>
      <w:r w:rsidRPr="00745A3D">
        <w:rPr>
          <w:sz w:val="24"/>
          <w:szCs w:val="24"/>
        </w:rPr>
        <w:t>rural) po 21 županiji.</w:t>
      </w:r>
    </w:p>
    <w:p w:rsidR="003D3219" w:rsidRPr="00745A3D" w:rsidRDefault="003D3219" w:rsidP="003D3219">
      <w:pPr>
        <w:jc w:val="both"/>
        <w:rPr>
          <w:sz w:val="24"/>
          <w:szCs w:val="24"/>
        </w:rPr>
      </w:pPr>
    </w:p>
    <w:p w:rsidR="003D3219" w:rsidRPr="00745A3D" w:rsidRDefault="003D3219" w:rsidP="003A6F28">
      <w:pPr>
        <w:pStyle w:val="Subtitle"/>
      </w:pPr>
      <w:r w:rsidRPr="00745A3D">
        <w:t>Agregiranje informacija</w:t>
      </w:r>
    </w:p>
    <w:p w:rsidR="003D3219" w:rsidRPr="00745A3D" w:rsidRDefault="003D3219" w:rsidP="003D3219">
      <w:pPr>
        <w:jc w:val="both"/>
        <w:rPr>
          <w:sz w:val="24"/>
          <w:szCs w:val="24"/>
        </w:rPr>
      </w:pPr>
      <w:r w:rsidRPr="00745A3D">
        <w:rPr>
          <w:sz w:val="24"/>
          <w:szCs w:val="24"/>
        </w:rPr>
        <w:t>Zadnji korak sastoji se od agregacije informacija koje su izračunate u geografskom modeliranju za sv</w:t>
      </w:r>
      <w:r w:rsidR="004F47B5" w:rsidRPr="00745A3D">
        <w:rPr>
          <w:sz w:val="24"/>
          <w:szCs w:val="24"/>
        </w:rPr>
        <w:t>a</w:t>
      </w:r>
      <w:r w:rsidRPr="00745A3D">
        <w:rPr>
          <w:sz w:val="24"/>
          <w:szCs w:val="24"/>
        </w:rPr>
        <w:t xml:space="preserve">ki od 105 geotipova. Izračunate informacije sadrže duljine ruta između različitih mrežnih elemenata, međutim potrebna je još veća raspodjela. Potrebne su informacije, između ostalih, o duljinama ruta, vrsti ruta (zračna, podzemna s cijevima, podzemna bez cijevi), postotku zajedničkog korištenja između različitih dijelova mreže itd., koje se zatim koriste u Troškovnom modelu za dimenzioniranje i izračun troškova kabela i potrebnih mrežnih elemenata. </w:t>
      </w:r>
    </w:p>
    <w:p w:rsidR="003D3219" w:rsidRPr="00745A3D" w:rsidRDefault="003D3219" w:rsidP="003D3219">
      <w:pPr>
        <w:jc w:val="both"/>
      </w:pPr>
      <w:r w:rsidRPr="00745A3D">
        <w:rPr>
          <w:sz w:val="24"/>
          <w:szCs w:val="24"/>
        </w:rPr>
        <w:t xml:space="preserve">Postupak agregacije informacija je detaljno opisan u </w:t>
      </w:r>
      <w:r w:rsidR="00A05159" w:rsidRPr="00745A3D">
        <w:rPr>
          <w:sz w:val="24"/>
          <w:szCs w:val="24"/>
        </w:rPr>
        <w:t>priručniku</w:t>
      </w:r>
      <w:r w:rsidRPr="00745A3D">
        <w:rPr>
          <w:sz w:val="24"/>
          <w:szCs w:val="24"/>
        </w:rPr>
        <w:t xml:space="preserve"> koji se nalazi u P</w:t>
      </w:r>
      <w:r w:rsidR="00A05159" w:rsidRPr="00745A3D">
        <w:rPr>
          <w:sz w:val="24"/>
          <w:szCs w:val="24"/>
        </w:rPr>
        <w:t xml:space="preserve">rivitku </w:t>
      </w:r>
      <w:r w:rsidR="00A05159" w:rsidRPr="00745A3D">
        <w:rPr>
          <w:sz w:val="24"/>
          <w:szCs w:val="24"/>
        </w:rPr>
        <w:fldChar w:fldCharType="begin"/>
      </w:r>
      <w:r w:rsidR="00A05159" w:rsidRPr="00745A3D">
        <w:rPr>
          <w:sz w:val="24"/>
          <w:szCs w:val="24"/>
        </w:rPr>
        <w:instrText xml:space="preserve"> REF _Ref53664969 \r \h  \* MERGEFORMAT </w:instrText>
      </w:r>
      <w:r w:rsidR="00A05159" w:rsidRPr="00745A3D">
        <w:rPr>
          <w:sz w:val="24"/>
          <w:szCs w:val="24"/>
        </w:rPr>
      </w:r>
      <w:r w:rsidR="00A05159" w:rsidRPr="00745A3D">
        <w:rPr>
          <w:sz w:val="24"/>
          <w:szCs w:val="24"/>
        </w:rPr>
        <w:fldChar w:fldCharType="separate"/>
      </w:r>
      <w:r w:rsidR="00B047B3">
        <w:rPr>
          <w:sz w:val="24"/>
          <w:szCs w:val="24"/>
        </w:rPr>
        <w:t>8.2</w:t>
      </w:r>
      <w:r w:rsidR="00A05159" w:rsidRPr="00745A3D">
        <w:rPr>
          <w:sz w:val="24"/>
          <w:szCs w:val="24"/>
        </w:rPr>
        <w:fldChar w:fldCharType="end"/>
      </w:r>
      <w:r w:rsidRPr="00745A3D">
        <w:rPr>
          <w:sz w:val="24"/>
          <w:szCs w:val="24"/>
        </w:rPr>
        <w:t>.</w:t>
      </w:r>
    </w:p>
    <w:p w:rsidR="003D3219" w:rsidRPr="00745A3D" w:rsidRDefault="003D3219" w:rsidP="003A6F28">
      <w:pPr>
        <w:pStyle w:val="Heading2"/>
      </w:pPr>
      <w:bookmarkStart w:id="513" w:name="_Toc51156702"/>
      <w:bookmarkStart w:id="514" w:name="_Toc51246451"/>
      <w:bookmarkStart w:id="515" w:name="_Toc51252373"/>
      <w:bookmarkStart w:id="516" w:name="_Toc51253497"/>
      <w:bookmarkStart w:id="517" w:name="_Toc51666128"/>
      <w:bookmarkStart w:id="518" w:name="_Toc51252374"/>
      <w:bookmarkStart w:id="519" w:name="_Toc51676915"/>
      <w:bookmarkStart w:id="520" w:name="_Toc53941981"/>
      <w:bookmarkStart w:id="521" w:name="_Toc54250952"/>
      <w:bookmarkStart w:id="522" w:name="_Toc54252850"/>
      <w:bookmarkStart w:id="523" w:name="_Toc54261662"/>
      <w:bookmarkEnd w:id="513"/>
      <w:bookmarkEnd w:id="514"/>
      <w:bookmarkEnd w:id="515"/>
      <w:bookmarkEnd w:id="516"/>
      <w:bookmarkEnd w:id="517"/>
      <w:r w:rsidRPr="00745A3D">
        <w:t>Dimenzioniranje mreže</w:t>
      </w:r>
      <w:bookmarkEnd w:id="518"/>
      <w:bookmarkEnd w:id="519"/>
      <w:bookmarkEnd w:id="520"/>
      <w:bookmarkEnd w:id="521"/>
      <w:bookmarkEnd w:id="522"/>
      <w:bookmarkEnd w:id="523"/>
    </w:p>
    <w:p w:rsidR="003D3219" w:rsidRPr="00745A3D" w:rsidRDefault="003D3219" w:rsidP="003D3219">
      <w:pPr>
        <w:jc w:val="both"/>
        <w:rPr>
          <w:sz w:val="24"/>
          <w:szCs w:val="24"/>
        </w:rPr>
      </w:pPr>
      <w:r w:rsidRPr="00745A3D">
        <w:rPr>
          <w:sz w:val="24"/>
          <w:szCs w:val="24"/>
        </w:rPr>
        <w:t xml:space="preserve">Modul za dimenzioniranje (vidi arhitekturu Troškovnog modela </w:t>
      </w:r>
      <w:r w:rsidR="0051055D" w:rsidRPr="00745A3D">
        <w:rPr>
          <w:sz w:val="24"/>
          <w:szCs w:val="24"/>
        </w:rPr>
        <w:t>koju prikazuje</w:t>
      </w:r>
      <w:r w:rsidRPr="00745A3D">
        <w:rPr>
          <w:sz w:val="24"/>
          <w:szCs w:val="24"/>
        </w:rPr>
        <w:t xml:space="preserve"> </w:t>
      </w:r>
      <w:r w:rsidRPr="00745A3D">
        <w:rPr>
          <w:sz w:val="24"/>
          <w:szCs w:val="24"/>
        </w:rPr>
        <w:fldChar w:fldCharType="begin"/>
      </w:r>
      <w:r w:rsidRPr="00745A3D">
        <w:rPr>
          <w:sz w:val="24"/>
          <w:szCs w:val="24"/>
        </w:rPr>
        <w:instrText xml:space="preserve"> REF _Ref50707821 \h  \* MERGEFORMAT </w:instrText>
      </w:r>
      <w:r w:rsidRPr="00745A3D">
        <w:rPr>
          <w:sz w:val="24"/>
          <w:szCs w:val="24"/>
        </w:rPr>
      </w:r>
      <w:r w:rsidRPr="00745A3D">
        <w:rPr>
          <w:sz w:val="24"/>
          <w:szCs w:val="24"/>
        </w:rPr>
        <w:fldChar w:fldCharType="separate"/>
      </w:r>
      <w:r w:rsidR="00B047B3" w:rsidRPr="00B047B3">
        <w:rPr>
          <w:sz w:val="24"/>
          <w:szCs w:val="24"/>
        </w:rPr>
        <w:t xml:space="preserve">Slika </w:t>
      </w:r>
      <w:r w:rsidR="00B047B3" w:rsidRPr="00B047B3">
        <w:rPr>
          <w:noProof/>
          <w:sz w:val="24"/>
          <w:szCs w:val="24"/>
        </w:rPr>
        <w:t>11</w:t>
      </w:r>
      <w:r w:rsidRPr="00745A3D">
        <w:rPr>
          <w:sz w:val="24"/>
          <w:szCs w:val="24"/>
        </w:rPr>
        <w:fldChar w:fldCharType="end"/>
      </w:r>
      <w:r w:rsidRPr="00745A3D">
        <w:rPr>
          <w:sz w:val="24"/>
          <w:szCs w:val="24"/>
        </w:rPr>
        <w:t>) projektira mrežu i računa broj mrežnih resursa potrebnih za zadovoljavanje potražnje za uslugama i razin</w:t>
      </w:r>
      <w:r w:rsidR="00171907" w:rsidRPr="00745A3D">
        <w:rPr>
          <w:sz w:val="24"/>
          <w:szCs w:val="24"/>
        </w:rPr>
        <w:t>u</w:t>
      </w:r>
      <w:r w:rsidRPr="00745A3D">
        <w:rPr>
          <w:sz w:val="24"/>
          <w:szCs w:val="24"/>
        </w:rPr>
        <w:t xml:space="preserve"> pokrivanja referentnog operatora.</w:t>
      </w:r>
    </w:p>
    <w:p w:rsidR="003D3219" w:rsidRPr="00745A3D" w:rsidRDefault="003D3219" w:rsidP="003A6F28">
      <w:pPr>
        <w:pStyle w:val="Heading3"/>
      </w:pPr>
      <w:bookmarkStart w:id="524" w:name="_Toc51252375"/>
      <w:bookmarkStart w:id="525" w:name="_Toc51676916"/>
      <w:bookmarkStart w:id="526" w:name="_Toc53941982"/>
      <w:bookmarkStart w:id="527" w:name="_Toc54250953"/>
      <w:bookmarkStart w:id="528" w:name="_Toc54252851"/>
      <w:bookmarkStart w:id="529" w:name="_Toc54261663"/>
      <w:r w:rsidRPr="00745A3D">
        <w:t>Dimenzioniranje pristupne mreže (ovisno o geotipu)</w:t>
      </w:r>
      <w:bookmarkEnd w:id="524"/>
      <w:bookmarkEnd w:id="525"/>
      <w:bookmarkEnd w:id="526"/>
      <w:bookmarkEnd w:id="527"/>
      <w:bookmarkEnd w:id="528"/>
      <w:bookmarkEnd w:id="529"/>
    </w:p>
    <w:p w:rsidR="003D3219" w:rsidRPr="00745A3D" w:rsidRDefault="003D3219" w:rsidP="003D3219">
      <w:pPr>
        <w:spacing w:after="0" w:line="240" w:lineRule="auto"/>
        <w:jc w:val="both"/>
        <w:rPr>
          <w:sz w:val="24"/>
          <w:szCs w:val="24"/>
        </w:rPr>
      </w:pPr>
      <w:r w:rsidRPr="00745A3D">
        <w:rPr>
          <w:sz w:val="24"/>
          <w:szCs w:val="24"/>
        </w:rPr>
        <w:t>Modul pristupne mreže Troškovnog modela projektira pristupnu mrežu i izračunava broj resursa potrebnih za zadovoljenje potražnje i razine pokrivanja referentnog operatora na razini geotipa.</w:t>
      </w:r>
    </w:p>
    <w:p w:rsidR="003D3219" w:rsidRPr="00745A3D" w:rsidRDefault="003D3219" w:rsidP="003D3219">
      <w:pPr>
        <w:spacing w:after="0" w:line="240" w:lineRule="auto"/>
        <w:jc w:val="both"/>
        <w:rPr>
          <w:sz w:val="24"/>
          <w:szCs w:val="24"/>
        </w:rPr>
      </w:pPr>
    </w:p>
    <w:p w:rsidR="00DF1595" w:rsidRPr="00745A3D" w:rsidRDefault="00DF1595" w:rsidP="00DF1595">
      <w:pPr>
        <w:keepNext/>
        <w:spacing w:after="0" w:line="240" w:lineRule="auto"/>
        <w:jc w:val="center"/>
      </w:pPr>
      <w:r w:rsidRPr="00745A3D">
        <w:rPr>
          <w:noProof/>
          <w:lang w:val="en-US"/>
        </w:rPr>
        <w:drawing>
          <wp:inline distT="0" distB="0" distL="0" distR="0" wp14:anchorId="501A485B" wp14:editId="7C84FF45">
            <wp:extent cx="6012815" cy="276606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012815" cy="2766060"/>
                    </a:xfrm>
                    <a:prstGeom prst="rect">
                      <a:avLst/>
                    </a:prstGeom>
                    <a:noFill/>
                  </pic:spPr>
                </pic:pic>
              </a:graphicData>
            </a:graphic>
          </wp:inline>
        </w:drawing>
      </w:r>
    </w:p>
    <w:p w:rsidR="00DF1595" w:rsidRPr="00745A3D" w:rsidRDefault="00DF1595" w:rsidP="00DF1595">
      <w:pPr>
        <w:pStyle w:val="Caption"/>
        <w:jc w:val="center"/>
      </w:pPr>
      <w:bookmarkStart w:id="530" w:name="_Ref53064010"/>
      <w:bookmarkStart w:id="531" w:name="_Toc53941943"/>
      <w:bookmarkStart w:id="532" w:name="_Toc54175853"/>
      <w:bookmarkStart w:id="533" w:name="_Toc54261717"/>
      <w:r w:rsidRPr="00745A3D">
        <w:t xml:space="preserve">Slika </w:t>
      </w:r>
      <w:r w:rsidR="00DD0407" w:rsidRPr="00745A3D">
        <w:rPr>
          <w:noProof/>
        </w:rPr>
        <w:fldChar w:fldCharType="begin"/>
      </w:r>
      <w:r w:rsidR="00DD0407" w:rsidRPr="00745A3D">
        <w:rPr>
          <w:noProof/>
        </w:rPr>
        <w:instrText xml:space="preserve"> SEQ Slika \* ARABIC </w:instrText>
      </w:r>
      <w:r w:rsidR="00DD0407" w:rsidRPr="00745A3D">
        <w:rPr>
          <w:noProof/>
        </w:rPr>
        <w:fldChar w:fldCharType="separate"/>
      </w:r>
      <w:r w:rsidR="00B047B3">
        <w:rPr>
          <w:noProof/>
        </w:rPr>
        <w:t>25</w:t>
      </w:r>
      <w:r w:rsidR="00DD0407" w:rsidRPr="00745A3D">
        <w:rPr>
          <w:noProof/>
        </w:rPr>
        <w:fldChar w:fldCharType="end"/>
      </w:r>
      <w:bookmarkEnd w:id="530"/>
      <w:r w:rsidRPr="00745A3D">
        <w:t>- Arhitekture modeliranih pristupnih mreža (Izvor: Axon)</w:t>
      </w:r>
      <w:bookmarkEnd w:id="531"/>
      <w:bookmarkEnd w:id="532"/>
      <w:bookmarkEnd w:id="533"/>
    </w:p>
    <w:p w:rsidR="003D3219" w:rsidRPr="00745A3D" w:rsidRDefault="003D3219" w:rsidP="003D3219">
      <w:pPr>
        <w:keepNext/>
        <w:spacing w:after="0" w:line="240" w:lineRule="auto"/>
        <w:jc w:val="center"/>
      </w:pPr>
    </w:p>
    <w:p w:rsidR="003D3219" w:rsidRPr="00745A3D" w:rsidRDefault="000C271C" w:rsidP="003D3219">
      <w:pPr>
        <w:spacing w:after="0" w:line="240" w:lineRule="auto"/>
        <w:jc w:val="both"/>
        <w:rPr>
          <w:sz w:val="24"/>
          <w:szCs w:val="24"/>
        </w:rPr>
      </w:pPr>
      <w:r w:rsidRPr="00745A3D">
        <w:rPr>
          <w:sz w:val="24"/>
          <w:szCs w:val="24"/>
        </w:rPr>
        <w:fldChar w:fldCharType="begin"/>
      </w:r>
      <w:r w:rsidRPr="00745A3D">
        <w:rPr>
          <w:sz w:val="24"/>
          <w:szCs w:val="24"/>
        </w:rPr>
        <w:instrText xml:space="preserve"> REF _Ref53064010 \h  \* MERGEFORMAT </w:instrText>
      </w:r>
      <w:r w:rsidRPr="00745A3D">
        <w:rPr>
          <w:sz w:val="24"/>
          <w:szCs w:val="24"/>
        </w:rPr>
      </w:r>
      <w:r w:rsidRPr="00745A3D">
        <w:rPr>
          <w:sz w:val="24"/>
          <w:szCs w:val="24"/>
        </w:rPr>
        <w:fldChar w:fldCharType="separate"/>
      </w:r>
      <w:r w:rsidR="00B047B3" w:rsidRPr="00B047B3">
        <w:rPr>
          <w:sz w:val="24"/>
          <w:szCs w:val="24"/>
        </w:rPr>
        <w:t xml:space="preserve">Slika </w:t>
      </w:r>
      <w:r w:rsidR="00B047B3" w:rsidRPr="00B047B3">
        <w:rPr>
          <w:noProof/>
          <w:sz w:val="24"/>
          <w:szCs w:val="24"/>
        </w:rPr>
        <w:t>25</w:t>
      </w:r>
      <w:r w:rsidRPr="00745A3D">
        <w:rPr>
          <w:sz w:val="24"/>
          <w:szCs w:val="24"/>
        </w:rPr>
        <w:fldChar w:fldCharType="end"/>
      </w:r>
      <w:r w:rsidRPr="00745A3D">
        <w:rPr>
          <w:sz w:val="24"/>
          <w:szCs w:val="24"/>
        </w:rPr>
        <w:t xml:space="preserve"> </w:t>
      </w:r>
      <w:r w:rsidR="003D3219" w:rsidRPr="00745A3D">
        <w:rPr>
          <w:sz w:val="24"/>
          <w:szCs w:val="24"/>
        </w:rPr>
        <w:t xml:space="preserve">ilustrira različite arhitekture pristupnih mreža i njihove elemente i dijelove koji se modeliraju. </w:t>
      </w:r>
    </w:p>
    <w:p w:rsidR="003D3219" w:rsidRPr="00745A3D" w:rsidRDefault="003D3219" w:rsidP="003D3219">
      <w:pPr>
        <w:spacing w:after="0" w:line="240" w:lineRule="auto"/>
        <w:jc w:val="both"/>
        <w:rPr>
          <w:sz w:val="24"/>
          <w:szCs w:val="24"/>
        </w:rPr>
      </w:pPr>
    </w:p>
    <w:p w:rsidR="003D3219" w:rsidRPr="00745A3D" w:rsidRDefault="003D3219" w:rsidP="003A6F28">
      <w:pPr>
        <w:pStyle w:val="Subtitle"/>
      </w:pPr>
      <w:r w:rsidRPr="00745A3D">
        <w:t>Arhitektura bakrene mreže</w:t>
      </w:r>
    </w:p>
    <w:p w:rsidR="003D3219" w:rsidRPr="00745A3D" w:rsidRDefault="003D3219" w:rsidP="003D3219">
      <w:pPr>
        <w:jc w:val="both"/>
        <w:rPr>
          <w:sz w:val="24"/>
          <w:szCs w:val="24"/>
        </w:rPr>
      </w:pPr>
      <w:r w:rsidRPr="00745A3D">
        <w:rPr>
          <w:sz w:val="24"/>
          <w:szCs w:val="24"/>
        </w:rPr>
        <w:t>Modelirana bakrena pristupna mreža se sastoji od sljedećih mrežnih elemenata koji se dimenzioniraju:</w:t>
      </w:r>
    </w:p>
    <w:p w:rsidR="003D3219" w:rsidRPr="00745A3D" w:rsidRDefault="003D3219" w:rsidP="00C433F8">
      <w:pPr>
        <w:numPr>
          <w:ilvl w:val="0"/>
          <w:numId w:val="19"/>
        </w:numPr>
        <w:contextualSpacing/>
        <w:jc w:val="both"/>
        <w:rPr>
          <w:sz w:val="24"/>
          <w:szCs w:val="24"/>
        </w:rPr>
      </w:pPr>
      <w:r w:rsidRPr="00745A3D">
        <w:rPr>
          <w:b/>
          <w:sz w:val="24"/>
          <w:szCs w:val="24"/>
        </w:rPr>
        <w:t>Instalacija unutar zgrade (priključni (drop) kabel)</w:t>
      </w:r>
      <w:r w:rsidRPr="00745A3D">
        <w:rPr>
          <w:sz w:val="24"/>
          <w:szCs w:val="24"/>
        </w:rPr>
        <w:t>- predstavlja bakrene kabele koji su smješteni unutar zgrade i koji spajaju prostor krajnjeg korisnika s operatorovom mrežom. Ovaj element se modelira kao broj jedinica umjesto kao duljina kabela.</w:t>
      </w:r>
    </w:p>
    <w:p w:rsidR="003D3219" w:rsidRPr="00745A3D" w:rsidRDefault="003D3219" w:rsidP="00C433F8">
      <w:pPr>
        <w:numPr>
          <w:ilvl w:val="0"/>
          <w:numId w:val="19"/>
        </w:numPr>
        <w:contextualSpacing/>
        <w:jc w:val="both"/>
        <w:rPr>
          <w:sz w:val="24"/>
          <w:szCs w:val="24"/>
        </w:rPr>
      </w:pPr>
      <w:r w:rsidRPr="00745A3D">
        <w:rPr>
          <w:b/>
          <w:sz w:val="24"/>
          <w:szCs w:val="24"/>
        </w:rPr>
        <w:t xml:space="preserve">Sekundarna mreža </w:t>
      </w:r>
      <w:r w:rsidRPr="00745A3D">
        <w:rPr>
          <w:sz w:val="24"/>
          <w:szCs w:val="24"/>
        </w:rPr>
        <w:t>(</w:t>
      </w:r>
      <w:r w:rsidRPr="00745A3D">
        <w:rPr>
          <w:i/>
          <w:sz w:val="24"/>
          <w:szCs w:val="24"/>
        </w:rPr>
        <w:t>eng. secondary network</w:t>
      </w:r>
      <w:r w:rsidRPr="00745A3D">
        <w:rPr>
          <w:sz w:val="24"/>
          <w:szCs w:val="24"/>
        </w:rPr>
        <w:t>) – predstavlja dio bakrene pristupne mreže koji povezuje zgradu s distribucijskom (sabirnom ili razdjelnom) točkom (</w:t>
      </w:r>
      <w:r w:rsidRPr="00745A3D">
        <w:rPr>
          <w:i/>
          <w:sz w:val="24"/>
          <w:szCs w:val="24"/>
        </w:rPr>
        <w:t>eng. distribution point, DP</w:t>
      </w:r>
      <w:r w:rsidRPr="00745A3D">
        <w:rPr>
          <w:sz w:val="24"/>
          <w:szCs w:val="24"/>
        </w:rPr>
        <w:t>). Uključuje bakrene kabele kao i fizičku infrastrukturu koja je potrebna za njezin smještaj (rovovi, cijevi, šahtovi itd.).</w:t>
      </w:r>
    </w:p>
    <w:p w:rsidR="003D3219" w:rsidRPr="00745A3D" w:rsidRDefault="003D3219" w:rsidP="00C433F8">
      <w:pPr>
        <w:numPr>
          <w:ilvl w:val="0"/>
          <w:numId w:val="19"/>
        </w:numPr>
        <w:contextualSpacing/>
        <w:jc w:val="both"/>
        <w:rPr>
          <w:sz w:val="24"/>
          <w:szCs w:val="24"/>
        </w:rPr>
      </w:pPr>
      <w:r w:rsidRPr="00745A3D">
        <w:rPr>
          <w:b/>
          <w:sz w:val="24"/>
          <w:szCs w:val="24"/>
        </w:rPr>
        <w:t xml:space="preserve">Distribucijska točka </w:t>
      </w:r>
      <w:r w:rsidRPr="00745A3D">
        <w:rPr>
          <w:i/>
          <w:sz w:val="24"/>
          <w:szCs w:val="24"/>
        </w:rPr>
        <w:t xml:space="preserve">(eng, Distribution point, DP)- </w:t>
      </w:r>
      <w:r w:rsidRPr="00745A3D">
        <w:rPr>
          <w:sz w:val="24"/>
          <w:szCs w:val="24"/>
        </w:rPr>
        <w:t>predstavlja ormarić koji služi kao prva sabirna točka bakrenih kabela koji dolaze od zgrada. Ova točka se u HT-ovoj mreži naziva kabelski izvod.</w:t>
      </w:r>
    </w:p>
    <w:p w:rsidR="003D3219" w:rsidRPr="00745A3D" w:rsidRDefault="003D3219" w:rsidP="00C433F8">
      <w:pPr>
        <w:numPr>
          <w:ilvl w:val="0"/>
          <w:numId w:val="19"/>
        </w:numPr>
        <w:contextualSpacing/>
        <w:jc w:val="both"/>
        <w:rPr>
          <w:sz w:val="24"/>
          <w:szCs w:val="24"/>
        </w:rPr>
      </w:pPr>
      <w:r w:rsidRPr="00745A3D">
        <w:rPr>
          <w:b/>
          <w:sz w:val="24"/>
          <w:szCs w:val="24"/>
        </w:rPr>
        <w:t xml:space="preserve">Primarna mreža </w:t>
      </w:r>
      <w:r w:rsidRPr="00745A3D">
        <w:rPr>
          <w:sz w:val="24"/>
          <w:szCs w:val="24"/>
        </w:rPr>
        <w:t>(</w:t>
      </w:r>
      <w:r w:rsidRPr="00745A3D">
        <w:rPr>
          <w:i/>
          <w:sz w:val="24"/>
          <w:szCs w:val="24"/>
        </w:rPr>
        <w:t>eng. Primary network</w:t>
      </w:r>
      <w:r w:rsidRPr="00745A3D">
        <w:rPr>
          <w:sz w:val="24"/>
          <w:szCs w:val="24"/>
        </w:rPr>
        <w:t>) – predstavlja dio pristupne bakrene mreže koji povezuje DP i MDF. Uključuje bakrene kabele, kao i fizičku infrastrukturu potrebnu za njihov smještaj (rovovi, cijevi, šahtovi itd.)</w:t>
      </w:r>
    </w:p>
    <w:p w:rsidR="003D3219" w:rsidRPr="00745A3D" w:rsidRDefault="003D3219" w:rsidP="00C433F8">
      <w:pPr>
        <w:numPr>
          <w:ilvl w:val="0"/>
          <w:numId w:val="19"/>
        </w:numPr>
        <w:contextualSpacing/>
        <w:jc w:val="both"/>
        <w:rPr>
          <w:sz w:val="24"/>
          <w:szCs w:val="24"/>
        </w:rPr>
      </w:pPr>
      <w:r w:rsidRPr="00745A3D">
        <w:rPr>
          <w:b/>
          <w:sz w:val="24"/>
          <w:szCs w:val="24"/>
        </w:rPr>
        <w:t xml:space="preserve">Glavni razdjelnik </w:t>
      </w:r>
      <w:r w:rsidRPr="00745A3D">
        <w:rPr>
          <w:sz w:val="24"/>
          <w:szCs w:val="24"/>
        </w:rPr>
        <w:t>(</w:t>
      </w:r>
      <w:r w:rsidRPr="00745A3D">
        <w:rPr>
          <w:i/>
          <w:sz w:val="24"/>
          <w:szCs w:val="24"/>
        </w:rPr>
        <w:t>eng. Main Distribution Frame, MDF</w:t>
      </w:r>
      <w:r w:rsidRPr="00745A3D">
        <w:rPr>
          <w:sz w:val="24"/>
          <w:szCs w:val="24"/>
        </w:rPr>
        <w:t>) – predstavlja lokalnu central</w:t>
      </w:r>
      <w:r w:rsidR="004C7AB5" w:rsidRPr="00745A3D">
        <w:rPr>
          <w:sz w:val="24"/>
          <w:szCs w:val="24"/>
        </w:rPr>
        <w:t>u</w:t>
      </w:r>
      <w:r w:rsidRPr="00745A3D">
        <w:rPr>
          <w:sz w:val="24"/>
          <w:szCs w:val="24"/>
        </w:rPr>
        <w:t xml:space="preserve"> u pristupnoj mreži koja sadrži drugu sabirnu točku bakrenih kabela koji dolaze od DP-ova. Sadrži MDF-ove i MSAN-ove (</w:t>
      </w:r>
      <w:r w:rsidRPr="00745A3D">
        <w:rPr>
          <w:i/>
          <w:sz w:val="24"/>
          <w:szCs w:val="24"/>
        </w:rPr>
        <w:t>eng. Multiservice Access Node</w:t>
      </w:r>
      <w:r w:rsidRPr="00745A3D">
        <w:rPr>
          <w:sz w:val="24"/>
          <w:szCs w:val="24"/>
        </w:rPr>
        <w:t>)</w:t>
      </w:r>
    </w:p>
    <w:p w:rsidR="003D3219" w:rsidRPr="00745A3D" w:rsidRDefault="003D3219" w:rsidP="003A6F28">
      <w:pPr>
        <w:pStyle w:val="Subtitle"/>
      </w:pPr>
      <w:r w:rsidRPr="00745A3D">
        <w:t>Arhitektura svjetlovodne pristupne mreže (stara FTTA područja)</w:t>
      </w:r>
    </w:p>
    <w:p w:rsidR="003D3219" w:rsidRPr="00745A3D" w:rsidRDefault="003D3219" w:rsidP="003D3219">
      <w:pPr>
        <w:jc w:val="both"/>
        <w:rPr>
          <w:sz w:val="24"/>
          <w:szCs w:val="24"/>
        </w:rPr>
      </w:pPr>
      <w:r w:rsidRPr="00745A3D">
        <w:rPr>
          <w:sz w:val="24"/>
          <w:szCs w:val="24"/>
        </w:rPr>
        <w:t xml:space="preserve">Ova arhitektura predstavlja arhitekturu </w:t>
      </w:r>
      <w:r w:rsidR="005028E4" w:rsidRPr="00745A3D">
        <w:rPr>
          <w:sz w:val="24"/>
          <w:szCs w:val="24"/>
        </w:rPr>
        <w:t>svjetlovodne</w:t>
      </w:r>
      <w:r w:rsidRPr="00745A3D">
        <w:rPr>
          <w:sz w:val="24"/>
          <w:szCs w:val="24"/>
        </w:rPr>
        <w:t xml:space="preserve"> pristupne mreže kakvu je HT postavljao prije stupanja na snagu Pravilnika o svjetlovodnim distribucijskim mrežama (NN 57/14; dalje: Pravilnik o SDM-u). Sastoji se od sljedećih elemenata:</w:t>
      </w:r>
    </w:p>
    <w:p w:rsidR="003D3219" w:rsidRPr="00745A3D" w:rsidRDefault="003D3219" w:rsidP="00C433F8">
      <w:pPr>
        <w:numPr>
          <w:ilvl w:val="0"/>
          <w:numId w:val="20"/>
        </w:numPr>
        <w:contextualSpacing/>
        <w:jc w:val="both"/>
        <w:rPr>
          <w:sz w:val="24"/>
          <w:szCs w:val="24"/>
        </w:rPr>
      </w:pPr>
      <w:r w:rsidRPr="00745A3D">
        <w:rPr>
          <w:b/>
          <w:sz w:val="24"/>
          <w:szCs w:val="24"/>
        </w:rPr>
        <w:t>Instalacija unutar zgrade (priključni (</w:t>
      </w:r>
      <w:r w:rsidRPr="00745A3D">
        <w:rPr>
          <w:b/>
          <w:i/>
          <w:sz w:val="24"/>
          <w:szCs w:val="24"/>
        </w:rPr>
        <w:t>drop</w:t>
      </w:r>
      <w:r w:rsidRPr="00745A3D">
        <w:rPr>
          <w:b/>
          <w:sz w:val="24"/>
          <w:szCs w:val="24"/>
        </w:rPr>
        <w:t>) kabel)</w:t>
      </w:r>
      <w:r w:rsidRPr="00745A3D">
        <w:rPr>
          <w:sz w:val="24"/>
          <w:szCs w:val="24"/>
        </w:rPr>
        <w:t xml:space="preserve"> – predstavlja svjetlovodne kabele smještene unutar zgrade koji povezuju prostor krajnjeg korisnika i mrežu operatora. Ovaj element se modelira kao broj jedinica umjesto kao duljina kabela.</w:t>
      </w:r>
    </w:p>
    <w:p w:rsidR="003D3219" w:rsidRPr="00745A3D" w:rsidRDefault="003D3219" w:rsidP="00C433F8">
      <w:pPr>
        <w:numPr>
          <w:ilvl w:val="0"/>
          <w:numId w:val="20"/>
        </w:numPr>
        <w:contextualSpacing/>
        <w:jc w:val="both"/>
        <w:rPr>
          <w:sz w:val="24"/>
          <w:szCs w:val="24"/>
        </w:rPr>
      </w:pPr>
      <w:r w:rsidRPr="00745A3D">
        <w:rPr>
          <w:b/>
          <w:sz w:val="24"/>
          <w:szCs w:val="24"/>
        </w:rPr>
        <w:t xml:space="preserve">Sekundarna mreža </w:t>
      </w:r>
      <w:r w:rsidRPr="00745A3D">
        <w:rPr>
          <w:sz w:val="24"/>
          <w:szCs w:val="24"/>
        </w:rPr>
        <w:t>(</w:t>
      </w:r>
      <w:r w:rsidRPr="00745A3D">
        <w:rPr>
          <w:i/>
          <w:sz w:val="24"/>
          <w:szCs w:val="24"/>
        </w:rPr>
        <w:t>eng. Secondary Network</w:t>
      </w:r>
      <w:r w:rsidRPr="00745A3D">
        <w:rPr>
          <w:sz w:val="24"/>
          <w:szCs w:val="24"/>
        </w:rPr>
        <w:t>) – predstavlja dio svjetlovodne mreže koji povezuje zgradu s DP-om. Uključuje svjetlovodne kabele kao i fizičku infrastrukturu potrebnu za njihov smještaj (rovovi, cijevi, šahtovi itd.)</w:t>
      </w:r>
    </w:p>
    <w:p w:rsidR="003D3219" w:rsidRPr="00745A3D" w:rsidRDefault="003D3219" w:rsidP="00C433F8">
      <w:pPr>
        <w:numPr>
          <w:ilvl w:val="0"/>
          <w:numId w:val="20"/>
        </w:numPr>
        <w:contextualSpacing/>
        <w:jc w:val="both"/>
        <w:rPr>
          <w:sz w:val="24"/>
          <w:szCs w:val="24"/>
        </w:rPr>
      </w:pPr>
      <w:r w:rsidRPr="00745A3D">
        <w:rPr>
          <w:b/>
          <w:sz w:val="24"/>
          <w:szCs w:val="24"/>
        </w:rPr>
        <w:t xml:space="preserve">Distribucijska točka </w:t>
      </w:r>
      <w:r w:rsidRPr="00745A3D">
        <w:rPr>
          <w:sz w:val="24"/>
          <w:szCs w:val="24"/>
        </w:rPr>
        <w:t>(</w:t>
      </w:r>
      <w:r w:rsidRPr="00745A3D">
        <w:rPr>
          <w:i/>
          <w:sz w:val="24"/>
          <w:szCs w:val="24"/>
        </w:rPr>
        <w:t>eng. Distribution point, DP</w:t>
      </w:r>
      <w:r w:rsidRPr="00745A3D">
        <w:rPr>
          <w:sz w:val="24"/>
          <w:szCs w:val="24"/>
        </w:rPr>
        <w:t>) – predstavlja ormarić koji služi kao prva sabirna točka svjetlovodnih kabela koji dolaze od zgrada. U njoj je smješten prvi svjetlovodni djelitelj (</w:t>
      </w:r>
      <w:r w:rsidRPr="00745A3D">
        <w:rPr>
          <w:i/>
          <w:sz w:val="24"/>
          <w:szCs w:val="24"/>
        </w:rPr>
        <w:t>eng. splitter</w:t>
      </w:r>
      <w:r w:rsidRPr="00745A3D">
        <w:rPr>
          <w:sz w:val="24"/>
          <w:szCs w:val="24"/>
        </w:rPr>
        <w:t>)</w:t>
      </w:r>
    </w:p>
    <w:p w:rsidR="003D3219" w:rsidRPr="00745A3D" w:rsidRDefault="003D3219" w:rsidP="00C433F8">
      <w:pPr>
        <w:numPr>
          <w:ilvl w:val="0"/>
          <w:numId w:val="20"/>
        </w:numPr>
        <w:contextualSpacing/>
        <w:jc w:val="both"/>
        <w:rPr>
          <w:sz w:val="24"/>
          <w:szCs w:val="24"/>
        </w:rPr>
      </w:pPr>
      <w:r w:rsidRPr="00745A3D">
        <w:rPr>
          <w:b/>
          <w:sz w:val="24"/>
          <w:szCs w:val="24"/>
        </w:rPr>
        <w:t xml:space="preserve">Primarna mreža </w:t>
      </w:r>
      <w:r w:rsidRPr="00745A3D">
        <w:rPr>
          <w:sz w:val="24"/>
          <w:szCs w:val="24"/>
        </w:rPr>
        <w:t>(</w:t>
      </w:r>
      <w:r w:rsidRPr="00745A3D">
        <w:rPr>
          <w:i/>
          <w:sz w:val="24"/>
          <w:szCs w:val="24"/>
        </w:rPr>
        <w:t>eng. Primary Network</w:t>
      </w:r>
      <w:r w:rsidRPr="00745A3D">
        <w:rPr>
          <w:sz w:val="24"/>
          <w:szCs w:val="24"/>
        </w:rPr>
        <w:t>) – predstavlja dio svjetlovodne pristupne mreže koji povezuje DP i ODF. Uključuje svjetlovodne kabele, kao i fizičku infrastrukturu potrebnu za njihov smještaj (rovovi, cijevi, šahtovi itd.)</w:t>
      </w:r>
    </w:p>
    <w:p w:rsidR="003D3219" w:rsidRPr="00745A3D" w:rsidRDefault="003D3219" w:rsidP="00C433F8">
      <w:pPr>
        <w:numPr>
          <w:ilvl w:val="0"/>
          <w:numId w:val="20"/>
        </w:numPr>
        <w:contextualSpacing/>
        <w:jc w:val="both"/>
        <w:rPr>
          <w:sz w:val="24"/>
          <w:szCs w:val="24"/>
        </w:rPr>
      </w:pPr>
      <w:r w:rsidRPr="00745A3D">
        <w:rPr>
          <w:b/>
          <w:sz w:val="24"/>
          <w:szCs w:val="24"/>
        </w:rPr>
        <w:t xml:space="preserve">Svjetlovodni razdjelnik </w:t>
      </w:r>
      <w:r w:rsidRPr="00745A3D">
        <w:rPr>
          <w:sz w:val="24"/>
          <w:szCs w:val="24"/>
        </w:rPr>
        <w:t>(</w:t>
      </w:r>
      <w:r w:rsidRPr="00745A3D">
        <w:rPr>
          <w:i/>
          <w:sz w:val="24"/>
          <w:szCs w:val="24"/>
        </w:rPr>
        <w:t>eng. Optical Distribution Frame, ODF</w:t>
      </w:r>
      <w:r w:rsidRPr="00745A3D">
        <w:rPr>
          <w:sz w:val="24"/>
          <w:szCs w:val="24"/>
        </w:rPr>
        <w:t>) – predstavlja lokalnu centralu u svjetlovodnoj pristupnoj mreži koja sadrži drugu sabirnu točku svjetlovodnih kabela koji dolaze od DP-ova. Sadrži i drugi svjetlovodni djelitelj (</w:t>
      </w:r>
      <w:r w:rsidRPr="00745A3D">
        <w:rPr>
          <w:i/>
          <w:sz w:val="24"/>
          <w:szCs w:val="24"/>
        </w:rPr>
        <w:t>eng. splitter</w:t>
      </w:r>
      <w:r w:rsidRPr="00745A3D">
        <w:rPr>
          <w:sz w:val="24"/>
          <w:szCs w:val="24"/>
        </w:rPr>
        <w:t>), kao i ODF-ove i OLT-ove (</w:t>
      </w:r>
      <w:r w:rsidRPr="00745A3D">
        <w:rPr>
          <w:i/>
          <w:sz w:val="24"/>
          <w:szCs w:val="24"/>
        </w:rPr>
        <w:t>eng. Optical Line Termination, OLT</w:t>
      </w:r>
      <w:r w:rsidRPr="00745A3D">
        <w:rPr>
          <w:sz w:val="24"/>
          <w:szCs w:val="24"/>
        </w:rPr>
        <w:t>).</w:t>
      </w:r>
    </w:p>
    <w:p w:rsidR="003D3219" w:rsidRPr="00745A3D" w:rsidRDefault="003D3219" w:rsidP="003A6F28">
      <w:pPr>
        <w:pStyle w:val="Subtitle"/>
      </w:pPr>
      <w:r w:rsidRPr="00745A3D">
        <w:t>Arhitektura svjetlovodne pristupne mreže (SDM područja)</w:t>
      </w:r>
    </w:p>
    <w:p w:rsidR="003D3219" w:rsidRPr="00745A3D" w:rsidRDefault="003D3219" w:rsidP="003D3219">
      <w:pPr>
        <w:jc w:val="both"/>
        <w:rPr>
          <w:sz w:val="24"/>
          <w:szCs w:val="24"/>
        </w:rPr>
      </w:pPr>
      <w:r w:rsidRPr="00745A3D">
        <w:rPr>
          <w:sz w:val="24"/>
          <w:szCs w:val="24"/>
        </w:rPr>
        <w:t>Predstavlja arhitekturu svjetlovodne pristupne mreže kakvu HT trenutno gradi i koja je u skladu s Pravilnikom o SDM-u. Ova arhitektura ima jedan element više u odnosu na staru FTTA arhitekturu. Naime, Pravilnik o SDM-u propisuje uvođenje novog elementa u mrežu – Distribucijskog čvora (</w:t>
      </w:r>
      <w:r w:rsidRPr="00745A3D">
        <w:rPr>
          <w:i/>
          <w:sz w:val="24"/>
          <w:szCs w:val="24"/>
        </w:rPr>
        <w:t>eng. Distribution Node, DN</w:t>
      </w:r>
      <w:r w:rsidRPr="00745A3D">
        <w:rPr>
          <w:sz w:val="24"/>
          <w:szCs w:val="24"/>
        </w:rPr>
        <w:t>).Ova arhitektura svjetlovodne pristupne mreže sastoji se od sljedećih elemenata koje je potrebno modelirati:</w:t>
      </w:r>
    </w:p>
    <w:p w:rsidR="003D3219" w:rsidRPr="00745A3D" w:rsidRDefault="003D3219" w:rsidP="00C433F8">
      <w:pPr>
        <w:numPr>
          <w:ilvl w:val="0"/>
          <w:numId w:val="20"/>
        </w:numPr>
        <w:contextualSpacing/>
        <w:jc w:val="both"/>
        <w:rPr>
          <w:sz w:val="24"/>
          <w:szCs w:val="24"/>
        </w:rPr>
      </w:pPr>
      <w:r w:rsidRPr="00745A3D">
        <w:rPr>
          <w:b/>
          <w:sz w:val="24"/>
          <w:szCs w:val="24"/>
        </w:rPr>
        <w:t>Instalacija unutar zgrade (priključni (drop) kabel)</w:t>
      </w:r>
      <w:r w:rsidRPr="00745A3D">
        <w:rPr>
          <w:sz w:val="24"/>
          <w:szCs w:val="24"/>
        </w:rPr>
        <w:t xml:space="preserve"> – predstavlja svjetlovodne kabele smještene unutar zgrade koji povezuju prostor krajnjeg korisnika i mrežu operatora. Ovaj element se modelira kao broj jedinica umjesto kao duljina kabela.</w:t>
      </w:r>
    </w:p>
    <w:p w:rsidR="003D3219" w:rsidRPr="00745A3D" w:rsidRDefault="003D3219" w:rsidP="00C433F8">
      <w:pPr>
        <w:numPr>
          <w:ilvl w:val="0"/>
          <w:numId w:val="20"/>
        </w:numPr>
        <w:contextualSpacing/>
        <w:jc w:val="both"/>
        <w:rPr>
          <w:sz w:val="24"/>
          <w:szCs w:val="24"/>
        </w:rPr>
      </w:pPr>
      <w:r w:rsidRPr="00745A3D">
        <w:rPr>
          <w:b/>
          <w:sz w:val="24"/>
          <w:szCs w:val="24"/>
        </w:rPr>
        <w:t xml:space="preserve">Distribucijska točka </w:t>
      </w:r>
      <w:r w:rsidRPr="00745A3D">
        <w:rPr>
          <w:sz w:val="24"/>
          <w:szCs w:val="24"/>
        </w:rPr>
        <w:t>(</w:t>
      </w:r>
      <w:r w:rsidRPr="00745A3D">
        <w:rPr>
          <w:i/>
          <w:sz w:val="24"/>
          <w:szCs w:val="24"/>
        </w:rPr>
        <w:t>eng. Distribution point, DP</w:t>
      </w:r>
      <w:r w:rsidRPr="00745A3D">
        <w:rPr>
          <w:sz w:val="24"/>
          <w:szCs w:val="24"/>
        </w:rPr>
        <w:t>) – predstavlja ormarić koji služi kao prva sabirna točka svjetlovodnih kabela koji dolaze od zgrada. U njoj se za razliku od arhitekture starih FTTA područja, ne nalazi svjetlovodni djelitelj (</w:t>
      </w:r>
      <w:r w:rsidRPr="00745A3D">
        <w:rPr>
          <w:i/>
          <w:sz w:val="24"/>
          <w:szCs w:val="24"/>
        </w:rPr>
        <w:t>eng. splitter</w:t>
      </w:r>
      <w:r w:rsidRPr="00745A3D">
        <w:rPr>
          <w:sz w:val="24"/>
          <w:szCs w:val="24"/>
        </w:rPr>
        <w:t>)</w:t>
      </w:r>
    </w:p>
    <w:p w:rsidR="003D3219" w:rsidRPr="00745A3D" w:rsidRDefault="003D3219" w:rsidP="00C433F8">
      <w:pPr>
        <w:numPr>
          <w:ilvl w:val="0"/>
          <w:numId w:val="20"/>
        </w:numPr>
        <w:contextualSpacing/>
        <w:jc w:val="both"/>
        <w:rPr>
          <w:sz w:val="24"/>
          <w:szCs w:val="24"/>
        </w:rPr>
      </w:pPr>
      <w:r w:rsidRPr="00745A3D">
        <w:rPr>
          <w:b/>
          <w:sz w:val="24"/>
          <w:szCs w:val="24"/>
        </w:rPr>
        <w:t xml:space="preserve">Sekundarna mreža </w:t>
      </w:r>
      <w:r w:rsidRPr="00745A3D">
        <w:rPr>
          <w:sz w:val="24"/>
          <w:szCs w:val="24"/>
        </w:rPr>
        <w:t>(</w:t>
      </w:r>
      <w:r w:rsidRPr="00745A3D">
        <w:rPr>
          <w:i/>
          <w:sz w:val="24"/>
          <w:szCs w:val="24"/>
        </w:rPr>
        <w:t>eng. Secondary Network</w:t>
      </w:r>
      <w:r w:rsidRPr="00745A3D">
        <w:rPr>
          <w:sz w:val="24"/>
          <w:szCs w:val="24"/>
        </w:rPr>
        <w:t>) – predstavlja dio svjetlovodne mreže koji povezuje zgradu s DN-om. Uključuje svjetlovodne kabele kao i fizičku infrastrukturu potrebnu za njihov smještaj (rovovi, cijevi, šahtovi itd.)</w:t>
      </w:r>
    </w:p>
    <w:p w:rsidR="003D3219" w:rsidRPr="00745A3D" w:rsidRDefault="003D3219" w:rsidP="00C433F8">
      <w:pPr>
        <w:numPr>
          <w:ilvl w:val="0"/>
          <w:numId w:val="20"/>
        </w:numPr>
        <w:contextualSpacing/>
        <w:jc w:val="both"/>
        <w:rPr>
          <w:sz w:val="24"/>
          <w:szCs w:val="24"/>
        </w:rPr>
      </w:pPr>
      <w:r w:rsidRPr="00745A3D">
        <w:rPr>
          <w:b/>
          <w:sz w:val="24"/>
          <w:szCs w:val="24"/>
        </w:rPr>
        <w:t>Distribucijski čvor</w:t>
      </w:r>
      <w:r w:rsidRPr="00745A3D">
        <w:rPr>
          <w:sz w:val="24"/>
          <w:szCs w:val="24"/>
        </w:rPr>
        <w:t xml:space="preserve"> (</w:t>
      </w:r>
      <w:r w:rsidRPr="00745A3D">
        <w:rPr>
          <w:i/>
          <w:sz w:val="24"/>
          <w:szCs w:val="24"/>
        </w:rPr>
        <w:t>eng. Distribution Node, DN</w:t>
      </w:r>
      <w:r w:rsidRPr="00745A3D">
        <w:rPr>
          <w:sz w:val="24"/>
          <w:szCs w:val="24"/>
        </w:rPr>
        <w:t>) – predstavlja ormarić koji služi kao sabirna točka svjetlovodnih kabela koji idu od DP-ova. U ovoj točci se nalazi prvi svjetlovodni djelitelj (</w:t>
      </w:r>
      <w:r w:rsidRPr="00745A3D">
        <w:rPr>
          <w:i/>
          <w:sz w:val="24"/>
          <w:szCs w:val="24"/>
        </w:rPr>
        <w:t>eng. splitter</w:t>
      </w:r>
      <w:r w:rsidRPr="00745A3D">
        <w:rPr>
          <w:sz w:val="24"/>
          <w:szCs w:val="24"/>
        </w:rPr>
        <w:t>).</w:t>
      </w:r>
    </w:p>
    <w:p w:rsidR="003D3219" w:rsidRPr="00745A3D" w:rsidRDefault="003D3219" w:rsidP="00C433F8">
      <w:pPr>
        <w:numPr>
          <w:ilvl w:val="0"/>
          <w:numId w:val="20"/>
        </w:numPr>
        <w:contextualSpacing/>
        <w:jc w:val="both"/>
        <w:rPr>
          <w:sz w:val="24"/>
          <w:szCs w:val="24"/>
        </w:rPr>
      </w:pPr>
      <w:r w:rsidRPr="00745A3D">
        <w:rPr>
          <w:b/>
          <w:sz w:val="24"/>
          <w:szCs w:val="24"/>
        </w:rPr>
        <w:t xml:space="preserve">Primarna mreža </w:t>
      </w:r>
      <w:r w:rsidRPr="00745A3D">
        <w:rPr>
          <w:sz w:val="24"/>
          <w:szCs w:val="24"/>
        </w:rPr>
        <w:t>(</w:t>
      </w:r>
      <w:r w:rsidRPr="00745A3D">
        <w:rPr>
          <w:i/>
          <w:sz w:val="24"/>
          <w:szCs w:val="24"/>
        </w:rPr>
        <w:t>eng. Primary Network</w:t>
      </w:r>
      <w:r w:rsidRPr="00745A3D">
        <w:rPr>
          <w:sz w:val="24"/>
          <w:szCs w:val="24"/>
        </w:rPr>
        <w:t>) – predstavlja dio svjetlovodne pristupne mreže koji povezuje DN i ODF. Uključuje svjetlovodne kabele, kao i fizičku infrastrukturu potrebnu za njihov smještaj (rovovi, cijevi, šahtovi itd.)</w:t>
      </w:r>
    </w:p>
    <w:p w:rsidR="003D3219" w:rsidRPr="00745A3D" w:rsidRDefault="003D3219" w:rsidP="00C433F8">
      <w:pPr>
        <w:numPr>
          <w:ilvl w:val="0"/>
          <w:numId w:val="20"/>
        </w:numPr>
        <w:contextualSpacing/>
        <w:jc w:val="both"/>
        <w:rPr>
          <w:sz w:val="24"/>
          <w:szCs w:val="24"/>
        </w:rPr>
      </w:pPr>
      <w:r w:rsidRPr="00745A3D">
        <w:rPr>
          <w:b/>
          <w:sz w:val="24"/>
          <w:szCs w:val="24"/>
        </w:rPr>
        <w:t xml:space="preserve">Svjetlovodni razdjelnik </w:t>
      </w:r>
      <w:r w:rsidRPr="00745A3D">
        <w:rPr>
          <w:sz w:val="24"/>
          <w:szCs w:val="24"/>
        </w:rPr>
        <w:t>(</w:t>
      </w:r>
      <w:r w:rsidRPr="00745A3D">
        <w:rPr>
          <w:i/>
          <w:sz w:val="24"/>
          <w:szCs w:val="24"/>
        </w:rPr>
        <w:t>eng. Optical Distribution Frame, ODF</w:t>
      </w:r>
      <w:r w:rsidRPr="00745A3D">
        <w:rPr>
          <w:sz w:val="24"/>
          <w:szCs w:val="24"/>
        </w:rPr>
        <w:t>) – predstavlja lokalnu centralu u svjetlovodnoj pristupnoj mreži koja sadrži drugu sabirnu točku svjetlovodnih kabela koji dolaze od DP-ova. Sadrži i drugi svjetlovodni djelitelj (</w:t>
      </w:r>
      <w:r w:rsidRPr="00745A3D">
        <w:rPr>
          <w:i/>
          <w:sz w:val="24"/>
          <w:szCs w:val="24"/>
        </w:rPr>
        <w:t>eng. splitter</w:t>
      </w:r>
      <w:r w:rsidRPr="00745A3D">
        <w:rPr>
          <w:sz w:val="24"/>
          <w:szCs w:val="24"/>
        </w:rPr>
        <w:t>), kao i ODF-ove i OLT-ove (</w:t>
      </w:r>
      <w:r w:rsidRPr="00745A3D">
        <w:rPr>
          <w:i/>
          <w:sz w:val="24"/>
          <w:szCs w:val="24"/>
        </w:rPr>
        <w:t>eng. Optical Line Termination, OLT</w:t>
      </w:r>
      <w:r w:rsidRPr="00745A3D">
        <w:rPr>
          <w:sz w:val="24"/>
          <w:szCs w:val="24"/>
        </w:rPr>
        <w:t>).</w:t>
      </w:r>
    </w:p>
    <w:p w:rsidR="003D3219" w:rsidRPr="00745A3D" w:rsidRDefault="003D3219" w:rsidP="003D3219">
      <w:pPr>
        <w:spacing w:after="0" w:line="240" w:lineRule="auto"/>
        <w:jc w:val="both"/>
        <w:rPr>
          <w:sz w:val="24"/>
          <w:szCs w:val="24"/>
        </w:rPr>
      </w:pPr>
      <w:r w:rsidRPr="00745A3D">
        <w:rPr>
          <w:sz w:val="24"/>
          <w:szCs w:val="24"/>
        </w:rPr>
        <w:t xml:space="preserve">Potrebno je naglasiti da se svaka od arhitektura pristupne mreže zasebno dimenzionira za svaki pojedini geotip. Tehnički algoritmi koji su </w:t>
      </w:r>
      <w:r w:rsidR="005028E4" w:rsidRPr="00745A3D">
        <w:rPr>
          <w:sz w:val="24"/>
          <w:szCs w:val="24"/>
        </w:rPr>
        <w:t>primijenjeni</w:t>
      </w:r>
      <w:r w:rsidRPr="00745A3D">
        <w:rPr>
          <w:sz w:val="24"/>
          <w:szCs w:val="24"/>
        </w:rPr>
        <w:t xml:space="preserve"> za dimenzioniranje detaljno su opisani u opisnom priručniku iz </w:t>
      </w:r>
      <w:r w:rsidR="00A05159" w:rsidRPr="00745A3D">
        <w:rPr>
          <w:sz w:val="24"/>
          <w:szCs w:val="24"/>
        </w:rPr>
        <w:t xml:space="preserve">Privitka </w:t>
      </w:r>
      <w:r w:rsidR="00A05159" w:rsidRPr="00745A3D">
        <w:rPr>
          <w:sz w:val="24"/>
          <w:szCs w:val="24"/>
        </w:rPr>
        <w:fldChar w:fldCharType="begin"/>
      </w:r>
      <w:r w:rsidR="00A05159" w:rsidRPr="00745A3D">
        <w:rPr>
          <w:sz w:val="24"/>
          <w:szCs w:val="24"/>
        </w:rPr>
        <w:instrText xml:space="preserve"> REF _Ref53664996 \r \h  \* MERGEFORMAT </w:instrText>
      </w:r>
      <w:r w:rsidR="00A05159" w:rsidRPr="00745A3D">
        <w:rPr>
          <w:sz w:val="24"/>
          <w:szCs w:val="24"/>
        </w:rPr>
      </w:r>
      <w:r w:rsidR="00A05159" w:rsidRPr="00745A3D">
        <w:rPr>
          <w:sz w:val="24"/>
          <w:szCs w:val="24"/>
        </w:rPr>
        <w:fldChar w:fldCharType="separate"/>
      </w:r>
      <w:r w:rsidR="00B047B3">
        <w:rPr>
          <w:sz w:val="24"/>
          <w:szCs w:val="24"/>
        </w:rPr>
        <w:t>8.2</w:t>
      </w:r>
      <w:r w:rsidR="00A05159" w:rsidRPr="00745A3D">
        <w:rPr>
          <w:sz w:val="24"/>
          <w:szCs w:val="24"/>
        </w:rPr>
        <w:fldChar w:fldCharType="end"/>
      </w:r>
      <w:r w:rsidRPr="00745A3D">
        <w:rPr>
          <w:sz w:val="24"/>
          <w:szCs w:val="24"/>
        </w:rPr>
        <w:t>.</w:t>
      </w:r>
    </w:p>
    <w:p w:rsidR="003D3219" w:rsidRPr="00745A3D" w:rsidRDefault="003D3219" w:rsidP="003D3219">
      <w:pPr>
        <w:spacing w:after="0" w:line="240" w:lineRule="auto"/>
        <w:jc w:val="both"/>
        <w:rPr>
          <w:sz w:val="24"/>
          <w:szCs w:val="24"/>
        </w:rPr>
      </w:pPr>
    </w:p>
    <w:p w:rsidR="003D3219" w:rsidRPr="003D3219" w:rsidRDefault="003D3219" w:rsidP="003A6F28">
      <w:pPr>
        <w:pStyle w:val="Heading3"/>
      </w:pPr>
      <w:bookmarkStart w:id="534" w:name="_Toc51252376"/>
      <w:bookmarkStart w:id="535" w:name="_Toc51676917"/>
      <w:bookmarkStart w:id="536" w:name="_Toc53941983"/>
      <w:bookmarkStart w:id="537" w:name="_Toc54250954"/>
      <w:bookmarkStart w:id="538" w:name="_Toc54252852"/>
      <w:bookmarkStart w:id="539" w:name="_Toc54261664"/>
      <w:r w:rsidRPr="003D3219">
        <w:t>Dimenzioniranje prijenosne mreže (nezavisno o geotipu)</w:t>
      </w:r>
      <w:bookmarkEnd w:id="534"/>
      <w:bookmarkEnd w:id="535"/>
      <w:bookmarkEnd w:id="536"/>
      <w:bookmarkEnd w:id="537"/>
      <w:bookmarkEnd w:id="538"/>
      <w:bookmarkEnd w:id="539"/>
    </w:p>
    <w:p w:rsidR="003D3219" w:rsidRPr="003D3219" w:rsidRDefault="003D3219" w:rsidP="003D3219">
      <w:pPr>
        <w:jc w:val="both"/>
        <w:rPr>
          <w:sz w:val="24"/>
          <w:szCs w:val="24"/>
        </w:rPr>
      </w:pPr>
      <w:r w:rsidRPr="003D3219">
        <w:rPr>
          <w:sz w:val="24"/>
          <w:szCs w:val="24"/>
        </w:rPr>
        <w:t>Modul za dimenzioniranje prijenosne mreže je odgovoran za dimenzioniranje potrebnih veza za međusobno povezivanje opreme između pristupne i jezgrene mreže. Ovaj modul dimenzionira sve potrebne vodove od lokalnih ili regionalnih čvorova sve do čvorova u jezgrenoj mreži. Modelirana prijenosna mreža može se podijeliti u dva tipa mreže:</w:t>
      </w:r>
    </w:p>
    <w:p w:rsidR="003D3219" w:rsidRPr="003D3219" w:rsidRDefault="003D3219" w:rsidP="00C433F8">
      <w:pPr>
        <w:numPr>
          <w:ilvl w:val="0"/>
          <w:numId w:val="21"/>
        </w:numPr>
        <w:contextualSpacing/>
        <w:jc w:val="both"/>
      </w:pPr>
      <w:r w:rsidRPr="003D3219">
        <w:t>WDM mrežu</w:t>
      </w:r>
    </w:p>
    <w:p w:rsidR="003D3219" w:rsidRPr="003D3219" w:rsidRDefault="003D3219" w:rsidP="00C433F8">
      <w:pPr>
        <w:numPr>
          <w:ilvl w:val="0"/>
          <w:numId w:val="21"/>
        </w:numPr>
        <w:contextualSpacing/>
        <w:jc w:val="both"/>
      </w:pPr>
      <w:r w:rsidRPr="003D3219">
        <w:t>IP/MPLS mrežu</w:t>
      </w:r>
    </w:p>
    <w:p w:rsidR="003D3219" w:rsidRPr="003D3219" w:rsidRDefault="003D3219" w:rsidP="003A6F28">
      <w:pPr>
        <w:pStyle w:val="Subtitle"/>
      </w:pPr>
      <w:r w:rsidRPr="003D3219">
        <w:t>Dimenzioniranje WDM mreže</w:t>
      </w:r>
    </w:p>
    <w:p w:rsidR="003D3219" w:rsidRPr="003D3219" w:rsidRDefault="003D3219" w:rsidP="003D3219">
      <w:pPr>
        <w:jc w:val="both"/>
        <w:rPr>
          <w:sz w:val="24"/>
          <w:szCs w:val="24"/>
        </w:rPr>
      </w:pPr>
      <w:r w:rsidRPr="003D3219">
        <w:rPr>
          <w:sz w:val="24"/>
          <w:szCs w:val="24"/>
        </w:rPr>
        <w:t xml:space="preserve">WDM mreža modeliranog operatora je ilustrirana na </w:t>
      </w:r>
      <w:r w:rsidRPr="003D3219">
        <w:rPr>
          <w:sz w:val="24"/>
          <w:szCs w:val="24"/>
        </w:rPr>
        <w:fldChar w:fldCharType="begin"/>
      </w:r>
      <w:r w:rsidRPr="003D3219">
        <w:rPr>
          <w:sz w:val="24"/>
          <w:szCs w:val="24"/>
        </w:rPr>
        <w:instrText xml:space="preserve"> REF _Ref51232109 \h  \* MERGEFORMAT </w:instrText>
      </w:r>
      <w:r w:rsidRPr="003D3219">
        <w:rPr>
          <w:sz w:val="24"/>
          <w:szCs w:val="24"/>
        </w:rPr>
      </w:r>
      <w:r w:rsidRPr="003D3219">
        <w:rPr>
          <w:sz w:val="24"/>
          <w:szCs w:val="24"/>
        </w:rPr>
        <w:fldChar w:fldCharType="separate"/>
      </w:r>
      <w:r w:rsidR="00B047B3" w:rsidRPr="00B047B3">
        <w:rPr>
          <w:sz w:val="24"/>
          <w:szCs w:val="24"/>
        </w:rPr>
        <w:t xml:space="preserve">Slika </w:t>
      </w:r>
      <w:r w:rsidR="00B047B3" w:rsidRPr="00B047B3">
        <w:rPr>
          <w:noProof/>
          <w:sz w:val="24"/>
          <w:szCs w:val="24"/>
        </w:rPr>
        <w:t>26</w:t>
      </w:r>
      <w:r w:rsidRPr="003D3219">
        <w:rPr>
          <w:sz w:val="24"/>
          <w:szCs w:val="24"/>
        </w:rPr>
        <w:fldChar w:fldCharType="end"/>
      </w:r>
      <w:r w:rsidRPr="003D3219">
        <w:rPr>
          <w:sz w:val="24"/>
          <w:szCs w:val="24"/>
        </w:rPr>
        <w:t xml:space="preserve">. </w:t>
      </w:r>
    </w:p>
    <w:p w:rsidR="003D3219" w:rsidRPr="003D3219" w:rsidRDefault="003D3219" w:rsidP="003D3219">
      <w:pPr>
        <w:keepNext/>
        <w:jc w:val="center"/>
      </w:pPr>
      <w:r w:rsidRPr="003D3219">
        <w:rPr>
          <w:noProof/>
          <w:lang w:val="en-US"/>
        </w:rPr>
        <w:drawing>
          <wp:inline distT="0" distB="0" distL="0" distR="0" wp14:anchorId="00DF3652" wp14:editId="6700AC4E">
            <wp:extent cx="4374000" cy="3808800"/>
            <wp:effectExtent l="0" t="0" r="7620" b="0"/>
            <wp:docPr id="21537" name="Picture 21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74000" cy="3808800"/>
                    </a:xfrm>
                    <a:prstGeom prst="rect">
                      <a:avLst/>
                    </a:prstGeom>
                    <a:noFill/>
                  </pic:spPr>
                </pic:pic>
              </a:graphicData>
            </a:graphic>
          </wp:inline>
        </w:drawing>
      </w:r>
    </w:p>
    <w:p w:rsidR="003D3219" w:rsidRDefault="003D3219" w:rsidP="00C00568">
      <w:pPr>
        <w:pStyle w:val="Caption"/>
        <w:jc w:val="center"/>
      </w:pPr>
      <w:bookmarkStart w:id="540" w:name="_Ref51232109"/>
      <w:bookmarkStart w:id="541" w:name="_Toc53941944"/>
      <w:bookmarkStart w:id="542" w:name="_Toc54175854"/>
      <w:bookmarkStart w:id="543" w:name="_Toc54261718"/>
      <w:r w:rsidRPr="003D3219">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26</w:t>
      </w:r>
      <w:r w:rsidR="00E6032F">
        <w:rPr>
          <w:noProof/>
        </w:rPr>
        <w:fldChar w:fldCharType="end"/>
      </w:r>
      <w:bookmarkEnd w:id="540"/>
      <w:r w:rsidRPr="003D3219">
        <w:t xml:space="preserve"> – Arhitektura WDM mreže modeliranog operatora (Izvor: AXON)</w:t>
      </w:r>
      <w:bookmarkEnd w:id="541"/>
      <w:bookmarkEnd w:id="542"/>
      <w:bookmarkEnd w:id="543"/>
    </w:p>
    <w:p w:rsidR="00C00568" w:rsidRPr="00C00568" w:rsidRDefault="00C00568" w:rsidP="00C00568"/>
    <w:p w:rsidR="003D3219" w:rsidRPr="003D3219" w:rsidRDefault="003D3219" w:rsidP="003D3219">
      <w:pPr>
        <w:jc w:val="both"/>
        <w:rPr>
          <w:sz w:val="24"/>
          <w:szCs w:val="24"/>
        </w:rPr>
      </w:pPr>
      <w:r w:rsidRPr="003D3219">
        <w:rPr>
          <w:sz w:val="24"/>
          <w:szCs w:val="24"/>
        </w:rPr>
        <w:t>Kao što je vidljivo na gornjoj slici, prijenosne veze se dijele na sljedeće kategorije:</w:t>
      </w:r>
    </w:p>
    <w:p w:rsidR="003D3219" w:rsidRPr="003D3219" w:rsidRDefault="003D3219" w:rsidP="00C433F8">
      <w:pPr>
        <w:numPr>
          <w:ilvl w:val="0"/>
          <w:numId w:val="22"/>
        </w:numPr>
        <w:contextualSpacing/>
        <w:jc w:val="both"/>
        <w:rPr>
          <w:sz w:val="24"/>
          <w:szCs w:val="24"/>
        </w:rPr>
      </w:pPr>
      <w:r w:rsidRPr="003D3219">
        <w:rPr>
          <w:sz w:val="24"/>
          <w:szCs w:val="24"/>
        </w:rPr>
        <w:t>CWDM ili DWDM gradske (Metro) veze</w:t>
      </w:r>
    </w:p>
    <w:p w:rsidR="003D3219" w:rsidRPr="003D3219" w:rsidRDefault="003D3219" w:rsidP="00C433F8">
      <w:pPr>
        <w:numPr>
          <w:ilvl w:val="0"/>
          <w:numId w:val="22"/>
        </w:numPr>
        <w:contextualSpacing/>
        <w:jc w:val="both"/>
        <w:rPr>
          <w:sz w:val="24"/>
          <w:szCs w:val="24"/>
        </w:rPr>
      </w:pPr>
      <w:r w:rsidRPr="003D3219">
        <w:rPr>
          <w:sz w:val="24"/>
          <w:szCs w:val="24"/>
        </w:rPr>
        <w:t>DWDM regionalne veze</w:t>
      </w:r>
    </w:p>
    <w:p w:rsidR="003D3219" w:rsidRPr="003D3219" w:rsidRDefault="003D3219" w:rsidP="00C433F8">
      <w:pPr>
        <w:numPr>
          <w:ilvl w:val="0"/>
          <w:numId w:val="22"/>
        </w:numPr>
        <w:contextualSpacing/>
        <w:jc w:val="both"/>
        <w:rPr>
          <w:sz w:val="24"/>
          <w:szCs w:val="24"/>
        </w:rPr>
      </w:pPr>
      <w:r w:rsidRPr="003D3219">
        <w:rPr>
          <w:sz w:val="24"/>
          <w:szCs w:val="24"/>
        </w:rPr>
        <w:t>DWDM glavne veze</w:t>
      </w:r>
    </w:p>
    <w:p w:rsidR="003D3219" w:rsidRPr="003D3219" w:rsidRDefault="003D3219" w:rsidP="003D3219">
      <w:pPr>
        <w:jc w:val="both"/>
        <w:rPr>
          <w:sz w:val="24"/>
          <w:szCs w:val="24"/>
        </w:rPr>
      </w:pPr>
      <w:r w:rsidRPr="003D3219">
        <w:rPr>
          <w:sz w:val="24"/>
          <w:szCs w:val="24"/>
        </w:rPr>
        <w:t>Dimenzioniranje prijenosnih veza se optimizira uzimajući u obzir lokacije mrežnih elemenata operatora, prema informacijama koje su dobivene od HT-a.</w:t>
      </w:r>
    </w:p>
    <w:p w:rsidR="00052EDD" w:rsidRDefault="003D3219" w:rsidP="003D3219">
      <w:pPr>
        <w:jc w:val="both"/>
        <w:rPr>
          <w:sz w:val="24"/>
          <w:szCs w:val="24"/>
        </w:rPr>
      </w:pPr>
      <w:r w:rsidRPr="003D3219">
        <w:rPr>
          <w:sz w:val="24"/>
          <w:szCs w:val="24"/>
        </w:rPr>
        <w:t>Nadalje, u po</w:t>
      </w:r>
      <w:r w:rsidR="00783064">
        <w:rPr>
          <w:sz w:val="24"/>
          <w:szCs w:val="24"/>
        </w:rPr>
        <w:t>s</w:t>
      </w:r>
      <w:r w:rsidRPr="003D3219">
        <w:rPr>
          <w:sz w:val="24"/>
          <w:szCs w:val="24"/>
        </w:rPr>
        <w:t xml:space="preserve">tupku dimenzioniranja prijenosnih veza, odabire se </w:t>
      </w:r>
      <w:r w:rsidR="005028E4" w:rsidRPr="003D3219">
        <w:rPr>
          <w:sz w:val="24"/>
          <w:szCs w:val="24"/>
        </w:rPr>
        <w:t>najjeftinija</w:t>
      </w:r>
      <w:r w:rsidRPr="003D3219">
        <w:rPr>
          <w:sz w:val="24"/>
          <w:szCs w:val="24"/>
        </w:rPr>
        <w:t xml:space="preserve"> dostupna konfiguracija koja može preuzeti promet veze. Na osnovu postotka aktivnih korisnika čiji se promet prenosi putem neke veze, uvodi se postotak prometa koji će se prenositi kroz svaku vezu. Daljnji detalji kao i objašnjenja algoritama dimenzioniranja WDM mreže dostupni </w:t>
      </w:r>
      <w:r w:rsidRPr="00A05159">
        <w:rPr>
          <w:sz w:val="24"/>
          <w:szCs w:val="24"/>
        </w:rPr>
        <w:t xml:space="preserve">su u priručniku </w:t>
      </w:r>
      <w:r w:rsidR="00A05159" w:rsidRPr="00A05159">
        <w:rPr>
          <w:sz w:val="24"/>
          <w:szCs w:val="24"/>
        </w:rPr>
        <w:t xml:space="preserve">iz Privitka </w:t>
      </w:r>
      <w:r w:rsidR="00A05159" w:rsidRPr="00A05159">
        <w:rPr>
          <w:sz w:val="24"/>
          <w:szCs w:val="24"/>
        </w:rPr>
        <w:fldChar w:fldCharType="begin"/>
      </w:r>
      <w:r w:rsidR="00A05159" w:rsidRPr="00A05159">
        <w:rPr>
          <w:sz w:val="24"/>
          <w:szCs w:val="24"/>
        </w:rPr>
        <w:instrText xml:space="preserve"> REF _Ref53665036 \r \h </w:instrText>
      </w:r>
      <w:r w:rsidR="00A05159">
        <w:rPr>
          <w:sz w:val="24"/>
          <w:szCs w:val="24"/>
        </w:rPr>
        <w:instrText xml:space="preserve"> \* MERGEFORMAT </w:instrText>
      </w:r>
      <w:r w:rsidR="00A05159" w:rsidRPr="00A05159">
        <w:rPr>
          <w:sz w:val="24"/>
          <w:szCs w:val="24"/>
        </w:rPr>
      </w:r>
      <w:r w:rsidR="00A05159" w:rsidRPr="00A05159">
        <w:rPr>
          <w:sz w:val="24"/>
          <w:szCs w:val="24"/>
        </w:rPr>
        <w:fldChar w:fldCharType="separate"/>
      </w:r>
      <w:r w:rsidR="00B047B3">
        <w:rPr>
          <w:sz w:val="24"/>
          <w:szCs w:val="24"/>
        </w:rPr>
        <w:t>8.2</w:t>
      </w:r>
      <w:r w:rsidR="00A05159" w:rsidRPr="00A05159">
        <w:rPr>
          <w:sz w:val="24"/>
          <w:szCs w:val="24"/>
        </w:rPr>
        <w:fldChar w:fldCharType="end"/>
      </w:r>
      <w:r w:rsidRPr="00A05159">
        <w:rPr>
          <w:sz w:val="24"/>
          <w:szCs w:val="24"/>
        </w:rPr>
        <w:t>.</w:t>
      </w:r>
    </w:p>
    <w:p w:rsidR="00052EDD" w:rsidRDefault="00052EDD">
      <w:pPr>
        <w:rPr>
          <w:sz w:val="24"/>
          <w:szCs w:val="24"/>
        </w:rPr>
      </w:pPr>
      <w:r>
        <w:rPr>
          <w:sz w:val="24"/>
          <w:szCs w:val="24"/>
        </w:rPr>
        <w:br w:type="page"/>
      </w:r>
    </w:p>
    <w:p w:rsidR="003D3219" w:rsidRPr="003D3219" w:rsidRDefault="003D3219" w:rsidP="003D3219">
      <w:pPr>
        <w:jc w:val="both"/>
        <w:rPr>
          <w:sz w:val="24"/>
          <w:szCs w:val="24"/>
        </w:rPr>
      </w:pPr>
    </w:p>
    <w:p w:rsidR="003D3219" w:rsidRPr="003D3219" w:rsidRDefault="003D3219" w:rsidP="003A6F28">
      <w:pPr>
        <w:pStyle w:val="Subtitle"/>
      </w:pPr>
      <w:r w:rsidRPr="003D3219">
        <w:t>Dimenzioniranje IP/MPLS mreže</w:t>
      </w:r>
    </w:p>
    <w:p w:rsidR="003D3219" w:rsidRPr="003D3219" w:rsidRDefault="003D3219" w:rsidP="003D3219">
      <w:pPr>
        <w:jc w:val="both"/>
        <w:rPr>
          <w:sz w:val="24"/>
          <w:szCs w:val="24"/>
        </w:rPr>
      </w:pPr>
      <w:r w:rsidRPr="003D3219">
        <w:rPr>
          <w:sz w:val="24"/>
          <w:szCs w:val="24"/>
        </w:rPr>
        <w:t xml:space="preserve">Arhitektura IP/MPLS mreže modeliranog operatora prikazana je na </w:t>
      </w:r>
      <w:r w:rsidRPr="003D3219">
        <w:rPr>
          <w:sz w:val="24"/>
          <w:szCs w:val="24"/>
        </w:rPr>
        <w:fldChar w:fldCharType="begin"/>
      </w:r>
      <w:r w:rsidRPr="003D3219">
        <w:rPr>
          <w:sz w:val="24"/>
          <w:szCs w:val="24"/>
        </w:rPr>
        <w:instrText xml:space="preserve"> REF _Ref51244735 \h  \* MERGEFORMAT </w:instrText>
      </w:r>
      <w:r w:rsidRPr="003D3219">
        <w:rPr>
          <w:sz w:val="24"/>
          <w:szCs w:val="24"/>
        </w:rPr>
      </w:r>
      <w:r w:rsidRPr="003D3219">
        <w:rPr>
          <w:sz w:val="24"/>
          <w:szCs w:val="24"/>
        </w:rPr>
        <w:fldChar w:fldCharType="separate"/>
      </w:r>
      <w:r w:rsidR="00B047B3" w:rsidRPr="00B047B3">
        <w:rPr>
          <w:sz w:val="24"/>
          <w:szCs w:val="24"/>
        </w:rPr>
        <w:t xml:space="preserve">Slika </w:t>
      </w:r>
      <w:r w:rsidR="00B047B3" w:rsidRPr="00B047B3">
        <w:rPr>
          <w:noProof/>
          <w:sz w:val="24"/>
          <w:szCs w:val="24"/>
        </w:rPr>
        <w:t>27</w:t>
      </w:r>
      <w:r w:rsidRPr="003D3219">
        <w:rPr>
          <w:sz w:val="24"/>
          <w:szCs w:val="24"/>
        </w:rPr>
        <w:fldChar w:fldCharType="end"/>
      </w:r>
      <w:r w:rsidRPr="003D3219">
        <w:rPr>
          <w:sz w:val="24"/>
          <w:szCs w:val="24"/>
        </w:rPr>
        <w:t>. Prema toj arhitekturi postoje tri vrste čvorova/lokacija:</w:t>
      </w:r>
    </w:p>
    <w:p w:rsidR="003D3219" w:rsidRPr="003D3219" w:rsidRDefault="003D3219" w:rsidP="00C433F8">
      <w:pPr>
        <w:numPr>
          <w:ilvl w:val="0"/>
          <w:numId w:val="23"/>
        </w:numPr>
        <w:contextualSpacing/>
        <w:jc w:val="both"/>
        <w:rPr>
          <w:sz w:val="24"/>
          <w:szCs w:val="24"/>
        </w:rPr>
      </w:pPr>
      <w:r w:rsidRPr="003D3219">
        <w:rPr>
          <w:sz w:val="24"/>
          <w:szCs w:val="24"/>
        </w:rPr>
        <w:t>IPAC lokacije</w:t>
      </w:r>
    </w:p>
    <w:p w:rsidR="003D3219" w:rsidRPr="003D3219" w:rsidRDefault="003D3219" w:rsidP="00C433F8">
      <w:pPr>
        <w:numPr>
          <w:ilvl w:val="0"/>
          <w:numId w:val="23"/>
        </w:numPr>
        <w:contextualSpacing/>
        <w:jc w:val="both"/>
        <w:rPr>
          <w:sz w:val="24"/>
          <w:szCs w:val="24"/>
        </w:rPr>
      </w:pPr>
      <w:r w:rsidRPr="003D3219">
        <w:rPr>
          <w:sz w:val="24"/>
          <w:szCs w:val="24"/>
        </w:rPr>
        <w:t>Spoke lokacije</w:t>
      </w:r>
    </w:p>
    <w:p w:rsidR="003D3219" w:rsidRPr="003D3219" w:rsidRDefault="003D3219" w:rsidP="00C433F8">
      <w:pPr>
        <w:numPr>
          <w:ilvl w:val="0"/>
          <w:numId w:val="23"/>
        </w:numPr>
        <w:contextualSpacing/>
        <w:jc w:val="both"/>
        <w:rPr>
          <w:sz w:val="24"/>
          <w:szCs w:val="24"/>
        </w:rPr>
      </w:pPr>
      <w:r w:rsidRPr="003D3219">
        <w:rPr>
          <w:sz w:val="24"/>
          <w:szCs w:val="24"/>
        </w:rPr>
        <w:t>Hub lokacije</w:t>
      </w:r>
    </w:p>
    <w:p w:rsidR="003D3219" w:rsidRPr="003D3219" w:rsidRDefault="003D3219" w:rsidP="003D3219">
      <w:pPr>
        <w:jc w:val="both"/>
        <w:rPr>
          <w:sz w:val="24"/>
          <w:szCs w:val="24"/>
        </w:rPr>
      </w:pPr>
      <w:r w:rsidRPr="003D3219">
        <w:rPr>
          <w:sz w:val="24"/>
          <w:szCs w:val="24"/>
        </w:rPr>
        <w:t xml:space="preserve">Dimenzioniranje tih lokacija je </w:t>
      </w:r>
      <w:r w:rsidR="005028E4" w:rsidRPr="003D3219">
        <w:rPr>
          <w:sz w:val="24"/>
          <w:szCs w:val="24"/>
        </w:rPr>
        <w:t>optimizirano</w:t>
      </w:r>
      <w:r w:rsidRPr="003D3219">
        <w:rPr>
          <w:sz w:val="24"/>
          <w:szCs w:val="24"/>
        </w:rPr>
        <w:t xml:space="preserve"> uzimajući u obzir lokacije mrežnih elemenata modeliranog operatora, na temelju informacija koje je dostavio.</w:t>
      </w:r>
    </w:p>
    <w:p w:rsidR="003D3219" w:rsidRPr="003D3219" w:rsidRDefault="003D3219" w:rsidP="00C5258E">
      <w:pPr>
        <w:jc w:val="center"/>
      </w:pPr>
      <w:r w:rsidRPr="003D3219">
        <w:rPr>
          <w:noProof/>
          <w:lang w:val="en-US"/>
        </w:rPr>
        <w:drawing>
          <wp:inline distT="0" distB="0" distL="0" distR="0" wp14:anchorId="6A65AD91" wp14:editId="63FCC907">
            <wp:extent cx="4010400" cy="3366000"/>
            <wp:effectExtent l="0" t="0" r="0" b="0"/>
            <wp:docPr id="21549" name="Picture 21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10400" cy="3366000"/>
                    </a:xfrm>
                    <a:prstGeom prst="rect">
                      <a:avLst/>
                    </a:prstGeom>
                    <a:noFill/>
                  </pic:spPr>
                </pic:pic>
              </a:graphicData>
            </a:graphic>
          </wp:inline>
        </w:drawing>
      </w:r>
    </w:p>
    <w:p w:rsidR="003D3219" w:rsidRDefault="003D3219" w:rsidP="00C00568">
      <w:pPr>
        <w:pStyle w:val="Caption"/>
        <w:jc w:val="center"/>
        <w:rPr>
          <w:noProof/>
        </w:rPr>
      </w:pPr>
      <w:bookmarkStart w:id="544" w:name="_Ref51244735"/>
      <w:bookmarkStart w:id="545" w:name="_Toc53941945"/>
      <w:bookmarkStart w:id="546" w:name="_Toc54175855"/>
      <w:bookmarkStart w:id="547" w:name="_Toc54261719"/>
      <w:r w:rsidRPr="003D3219">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27</w:t>
      </w:r>
      <w:r w:rsidR="00E6032F">
        <w:rPr>
          <w:noProof/>
        </w:rPr>
        <w:fldChar w:fldCharType="end"/>
      </w:r>
      <w:bookmarkEnd w:id="544"/>
      <w:r w:rsidRPr="003D3219">
        <w:t xml:space="preserve"> - Arhitektura IP/MPLS mreže koja je uzeta u obzir u Troškovnom modelu</w:t>
      </w:r>
      <w:r w:rsidRPr="003D3219">
        <w:rPr>
          <w:noProof/>
        </w:rPr>
        <w:t xml:space="preserve"> (Izvor: Axon)</w:t>
      </w:r>
      <w:bookmarkEnd w:id="545"/>
      <w:bookmarkEnd w:id="546"/>
      <w:bookmarkEnd w:id="547"/>
    </w:p>
    <w:p w:rsidR="00C00568" w:rsidRPr="00C00568" w:rsidRDefault="00C00568" w:rsidP="00C00568"/>
    <w:p w:rsidR="003D3219" w:rsidRPr="003D3219" w:rsidRDefault="003D3219" w:rsidP="003D3219">
      <w:pPr>
        <w:jc w:val="both"/>
        <w:rPr>
          <w:sz w:val="24"/>
          <w:szCs w:val="24"/>
        </w:rPr>
      </w:pPr>
      <w:r w:rsidRPr="003D3219">
        <w:rPr>
          <w:sz w:val="24"/>
          <w:szCs w:val="24"/>
        </w:rPr>
        <w:t xml:space="preserve">Lokacije se dimenzioniraju na način da se odabire </w:t>
      </w:r>
      <w:r w:rsidR="005028E4" w:rsidRPr="003D3219">
        <w:rPr>
          <w:sz w:val="24"/>
          <w:szCs w:val="24"/>
        </w:rPr>
        <w:t>najjeftinija</w:t>
      </w:r>
      <w:r w:rsidRPr="003D3219">
        <w:rPr>
          <w:sz w:val="24"/>
          <w:szCs w:val="24"/>
        </w:rPr>
        <w:t xml:space="preserve"> dostupna konfiguracija koja može preuzeti promet lokacije. Također, slično kao i kod dimenzioniranja WDM mreže, na osnovu postotka aktivnih korisničkih jedinica čiji promet prolazi kroz lokaciju uvodi se postotak prometa koji prolazi kroz svaku lokaciju. Koraci dimenzioniranja i korišteni algoritmi opisani su </w:t>
      </w:r>
      <w:r w:rsidRPr="00A05159">
        <w:rPr>
          <w:sz w:val="24"/>
          <w:szCs w:val="24"/>
        </w:rPr>
        <w:t xml:space="preserve">u priručniku iz </w:t>
      </w:r>
      <w:r w:rsidR="00A05159" w:rsidRPr="00A05159">
        <w:rPr>
          <w:sz w:val="24"/>
          <w:szCs w:val="24"/>
        </w:rPr>
        <w:t xml:space="preserve">Privitka </w:t>
      </w:r>
      <w:r w:rsidR="00A05159" w:rsidRPr="00A05159">
        <w:rPr>
          <w:sz w:val="24"/>
          <w:szCs w:val="24"/>
        </w:rPr>
        <w:fldChar w:fldCharType="begin"/>
      </w:r>
      <w:r w:rsidR="00A05159" w:rsidRPr="00A05159">
        <w:rPr>
          <w:sz w:val="24"/>
          <w:szCs w:val="24"/>
        </w:rPr>
        <w:instrText xml:space="preserve"> REF _Ref53665083 \r \h </w:instrText>
      </w:r>
      <w:r w:rsidR="00A05159">
        <w:rPr>
          <w:sz w:val="24"/>
          <w:szCs w:val="24"/>
        </w:rPr>
        <w:instrText xml:space="preserve"> \* MERGEFORMAT </w:instrText>
      </w:r>
      <w:r w:rsidR="00A05159" w:rsidRPr="00A05159">
        <w:rPr>
          <w:sz w:val="24"/>
          <w:szCs w:val="24"/>
        </w:rPr>
      </w:r>
      <w:r w:rsidR="00A05159" w:rsidRPr="00A05159">
        <w:rPr>
          <w:sz w:val="24"/>
          <w:szCs w:val="24"/>
        </w:rPr>
        <w:fldChar w:fldCharType="separate"/>
      </w:r>
      <w:r w:rsidR="00B047B3">
        <w:rPr>
          <w:sz w:val="24"/>
          <w:szCs w:val="24"/>
        </w:rPr>
        <w:t>8.2</w:t>
      </w:r>
      <w:r w:rsidR="00A05159" w:rsidRPr="00A05159">
        <w:rPr>
          <w:sz w:val="24"/>
          <w:szCs w:val="24"/>
        </w:rPr>
        <w:fldChar w:fldCharType="end"/>
      </w:r>
      <w:r w:rsidRPr="00A05159">
        <w:rPr>
          <w:sz w:val="24"/>
          <w:szCs w:val="24"/>
        </w:rPr>
        <w:t>.</w:t>
      </w:r>
    </w:p>
    <w:p w:rsidR="003D3219" w:rsidRPr="003D3219" w:rsidRDefault="003D3219" w:rsidP="003A6F28">
      <w:pPr>
        <w:pStyle w:val="Subtitle"/>
      </w:pPr>
      <w:r w:rsidRPr="003D3219">
        <w:t>Dimenzioniranje ostalih elemenata prijenosne mreže</w:t>
      </w:r>
    </w:p>
    <w:p w:rsidR="003D3219" w:rsidRPr="003D3219" w:rsidRDefault="003D3219" w:rsidP="003D3219">
      <w:pPr>
        <w:jc w:val="both"/>
        <w:rPr>
          <w:sz w:val="24"/>
          <w:szCs w:val="24"/>
        </w:rPr>
      </w:pPr>
      <w:r w:rsidRPr="003D3219">
        <w:rPr>
          <w:sz w:val="24"/>
          <w:szCs w:val="24"/>
        </w:rPr>
        <w:t>Pored dimenzioniranja WDM i IP/MPLS prijenosnih mreža, modul za dimenzioniranje prijenosne mreže dimenzionira i druge elemente prijenosne mreže modeliranog operatora:</w:t>
      </w:r>
    </w:p>
    <w:p w:rsidR="003D3219" w:rsidRPr="003D3219" w:rsidRDefault="003D3219" w:rsidP="00C433F8">
      <w:pPr>
        <w:numPr>
          <w:ilvl w:val="0"/>
          <w:numId w:val="24"/>
        </w:numPr>
        <w:contextualSpacing/>
        <w:jc w:val="both"/>
        <w:rPr>
          <w:sz w:val="24"/>
          <w:szCs w:val="24"/>
        </w:rPr>
      </w:pPr>
      <w:r w:rsidRPr="003D3219">
        <w:rPr>
          <w:b/>
          <w:sz w:val="24"/>
          <w:szCs w:val="24"/>
        </w:rPr>
        <w:t>Dodatne rovove potrebne za prijenosnu mrežu</w:t>
      </w:r>
      <w:r w:rsidRPr="003D3219">
        <w:rPr>
          <w:sz w:val="24"/>
          <w:szCs w:val="24"/>
        </w:rPr>
        <w:t xml:space="preserve">  - važno je istaknuti da su Troškov</w:t>
      </w:r>
      <w:r w:rsidR="0078713B">
        <w:rPr>
          <w:sz w:val="24"/>
          <w:szCs w:val="24"/>
        </w:rPr>
        <w:t>n</w:t>
      </w:r>
      <w:r w:rsidRPr="003D3219">
        <w:rPr>
          <w:sz w:val="24"/>
          <w:szCs w:val="24"/>
        </w:rPr>
        <w:t>om modelu duljine rovova koje se dijele između pristupne i jezgrene mreže alocirane na obje mreže u omjeru 50% - 50%.</w:t>
      </w:r>
    </w:p>
    <w:p w:rsidR="003D3219" w:rsidRPr="003D3219" w:rsidRDefault="003D3219" w:rsidP="00C433F8">
      <w:pPr>
        <w:numPr>
          <w:ilvl w:val="0"/>
          <w:numId w:val="24"/>
        </w:numPr>
        <w:contextualSpacing/>
        <w:jc w:val="both"/>
        <w:rPr>
          <w:b/>
          <w:sz w:val="24"/>
          <w:szCs w:val="24"/>
        </w:rPr>
      </w:pPr>
      <w:r w:rsidRPr="003D3219">
        <w:rPr>
          <w:b/>
          <w:sz w:val="24"/>
          <w:szCs w:val="24"/>
        </w:rPr>
        <w:t xml:space="preserve">ODF-ove u prijenosnoj mreži – </w:t>
      </w:r>
      <w:r w:rsidRPr="003D3219">
        <w:rPr>
          <w:sz w:val="24"/>
          <w:szCs w:val="24"/>
        </w:rPr>
        <w:t>dimenzioniranje ODF-ova u prijenosnoj mreži se vrši za tri tipa veza: CWDM ili DWDM Metro veze, DWDM regionalne veze i DWDM glavne veze.</w:t>
      </w:r>
    </w:p>
    <w:p w:rsidR="003D3219" w:rsidRPr="003D3219" w:rsidRDefault="003D3219" w:rsidP="00C433F8">
      <w:pPr>
        <w:numPr>
          <w:ilvl w:val="0"/>
          <w:numId w:val="24"/>
        </w:numPr>
        <w:contextualSpacing/>
        <w:jc w:val="both"/>
        <w:rPr>
          <w:sz w:val="24"/>
          <w:szCs w:val="24"/>
        </w:rPr>
      </w:pPr>
      <w:r w:rsidRPr="003D3219">
        <w:rPr>
          <w:b/>
          <w:sz w:val="24"/>
          <w:szCs w:val="24"/>
        </w:rPr>
        <w:t xml:space="preserve">Mikrovalne veze </w:t>
      </w:r>
      <w:r w:rsidRPr="003D3219">
        <w:rPr>
          <w:sz w:val="24"/>
          <w:szCs w:val="24"/>
        </w:rPr>
        <w:t>– primjenjuje se isti pristup kao i kod dimenzioniranja IP/MPLS lokacija</w:t>
      </w:r>
    </w:p>
    <w:p w:rsidR="003D3219" w:rsidRPr="003D3219" w:rsidRDefault="003D3219" w:rsidP="00C433F8">
      <w:pPr>
        <w:numPr>
          <w:ilvl w:val="0"/>
          <w:numId w:val="24"/>
        </w:numPr>
        <w:contextualSpacing/>
        <w:jc w:val="both"/>
        <w:rPr>
          <w:b/>
          <w:sz w:val="24"/>
          <w:szCs w:val="24"/>
        </w:rPr>
      </w:pPr>
      <w:r w:rsidRPr="003D3219">
        <w:rPr>
          <w:b/>
          <w:sz w:val="24"/>
          <w:szCs w:val="24"/>
        </w:rPr>
        <w:t xml:space="preserve">Drugu IP opremu – </w:t>
      </w:r>
      <w:r w:rsidRPr="003D3219">
        <w:rPr>
          <w:sz w:val="24"/>
          <w:szCs w:val="24"/>
        </w:rPr>
        <w:t>dimenzioniraju se “IP-switch uređaj”, “PE-router uređaji” i “VPN koncentratori” u smislu broja komada opreme, a broj se računa kao ukupni IP promet u mreži podijeljen s prosječnim kapacitetom svakog od tipova navedenih uređaja.</w:t>
      </w:r>
    </w:p>
    <w:p w:rsidR="003D3219" w:rsidRDefault="003D3219" w:rsidP="003D3219">
      <w:pPr>
        <w:jc w:val="both"/>
        <w:rPr>
          <w:sz w:val="24"/>
          <w:szCs w:val="24"/>
        </w:rPr>
      </w:pPr>
      <w:r w:rsidRPr="003D3219">
        <w:rPr>
          <w:sz w:val="24"/>
          <w:szCs w:val="24"/>
        </w:rPr>
        <w:t xml:space="preserve">Koraci dimenzioniranja i korišteni algoritmi opisani su također </w:t>
      </w:r>
      <w:r w:rsidRPr="00A05159">
        <w:rPr>
          <w:sz w:val="24"/>
          <w:szCs w:val="24"/>
        </w:rPr>
        <w:t>u priručniku iz Pr</w:t>
      </w:r>
      <w:r w:rsidR="00A05159">
        <w:rPr>
          <w:sz w:val="24"/>
          <w:szCs w:val="24"/>
        </w:rPr>
        <w:t xml:space="preserve">ivitka </w:t>
      </w:r>
      <w:r w:rsidR="00A05159">
        <w:rPr>
          <w:sz w:val="24"/>
          <w:szCs w:val="24"/>
        </w:rPr>
        <w:fldChar w:fldCharType="begin"/>
      </w:r>
      <w:r w:rsidR="00A05159">
        <w:rPr>
          <w:sz w:val="24"/>
          <w:szCs w:val="24"/>
        </w:rPr>
        <w:instrText xml:space="preserve"> REF _Ref53665134 \r \h </w:instrText>
      </w:r>
      <w:r w:rsidR="00A05159">
        <w:rPr>
          <w:sz w:val="24"/>
          <w:szCs w:val="24"/>
        </w:rPr>
      </w:r>
      <w:r w:rsidR="00A05159">
        <w:rPr>
          <w:sz w:val="24"/>
          <w:szCs w:val="24"/>
        </w:rPr>
        <w:fldChar w:fldCharType="separate"/>
      </w:r>
      <w:r w:rsidR="00B047B3">
        <w:rPr>
          <w:sz w:val="24"/>
          <w:szCs w:val="24"/>
        </w:rPr>
        <w:t>8.2</w:t>
      </w:r>
      <w:r w:rsidR="00A05159">
        <w:rPr>
          <w:sz w:val="24"/>
          <w:szCs w:val="24"/>
        </w:rPr>
        <w:fldChar w:fldCharType="end"/>
      </w:r>
      <w:r w:rsidRPr="00A05159">
        <w:rPr>
          <w:sz w:val="24"/>
          <w:szCs w:val="24"/>
        </w:rPr>
        <w:t>.</w:t>
      </w:r>
    </w:p>
    <w:p w:rsidR="00C00568" w:rsidRPr="003D3219" w:rsidRDefault="00C00568" w:rsidP="003D3219">
      <w:pPr>
        <w:jc w:val="both"/>
        <w:rPr>
          <w:sz w:val="24"/>
          <w:szCs w:val="24"/>
        </w:rPr>
      </w:pPr>
    </w:p>
    <w:p w:rsidR="003D3219" w:rsidRPr="003D3219" w:rsidRDefault="003D3219" w:rsidP="003A6F28">
      <w:pPr>
        <w:pStyle w:val="Heading3"/>
      </w:pPr>
      <w:bookmarkStart w:id="548" w:name="_Toc51676918"/>
      <w:bookmarkStart w:id="549" w:name="_Toc53941984"/>
      <w:bookmarkStart w:id="550" w:name="_Toc54250955"/>
      <w:bookmarkStart w:id="551" w:name="_Toc54252853"/>
      <w:bookmarkStart w:id="552" w:name="_Toc54261665"/>
      <w:r w:rsidRPr="003D3219">
        <w:t>Dimenzioniranje jezgrene mreže (nije ovisno o geotipu)</w:t>
      </w:r>
      <w:bookmarkEnd w:id="548"/>
      <w:bookmarkEnd w:id="549"/>
      <w:bookmarkEnd w:id="550"/>
      <w:bookmarkEnd w:id="551"/>
      <w:bookmarkEnd w:id="552"/>
    </w:p>
    <w:p w:rsidR="003D3219" w:rsidRPr="003D3219" w:rsidRDefault="003D3219" w:rsidP="003D3219">
      <w:pPr>
        <w:jc w:val="both"/>
        <w:rPr>
          <w:sz w:val="24"/>
          <w:szCs w:val="24"/>
        </w:rPr>
      </w:pPr>
      <w:r w:rsidRPr="003D3219">
        <w:rPr>
          <w:sz w:val="24"/>
          <w:szCs w:val="24"/>
        </w:rPr>
        <w:t>Modul za dimenzioniranje jezgrene mreže odgovoran je za dimenzioniranje opreme u jezgrenoj mreži. Troškovni model uzima u obzir da je mreža modeliranog operatora NGN mreža, koja omogućuje pružanje svih maloprodajnih i veleprodajnih usluga koje trenutno pružaju operatori. Međutim, važno je istaknuti da platforme za pružanje govornih usluga, s obzirom da troškovi govornih usluga nisu predmet Troškovnog modela, nisu modelirane. Dakle, modelirani su sljedeći elementi jezgrene mreže:</w:t>
      </w:r>
    </w:p>
    <w:p w:rsidR="003D3219" w:rsidRPr="003D3219" w:rsidRDefault="003D3219" w:rsidP="00C433F8">
      <w:pPr>
        <w:numPr>
          <w:ilvl w:val="0"/>
          <w:numId w:val="25"/>
        </w:numPr>
        <w:contextualSpacing/>
        <w:jc w:val="both"/>
        <w:rPr>
          <w:b/>
          <w:sz w:val="24"/>
          <w:szCs w:val="24"/>
        </w:rPr>
      </w:pPr>
      <w:r w:rsidRPr="003D3219">
        <w:rPr>
          <w:b/>
          <w:sz w:val="24"/>
          <w:szCs w:val="24"/>
        </w:rPr>
        <w:t>HSS (</w:t>
      </w:r>
      <w:r w:rsidRPr="003D3219">
        <w:rPr>
          <w:b/>
          <w:i/>
          <w:sz w:val="24"/>
          <w:szCs w:val="24"/>
        </w:rPr>
        <w:t>eng. Home Subscriber Server</w:t>
      </w:r>
      <w:r w:rsidRPr="003D3219">
        <w:rPr>
          <w:b/>
          <w:sz w:val="24"/>
          <w:szCs w:val="24"/>
        </w:rPr>
        <w:t>)</w:t>
      </w:r>
      <w:r w:rsidRPr="003D3219">
        <w:rPr>
          <w:sz w:val="24"/>
          <w:szCs w:val="24"/>
        </w:rPr>
        <w:t xml:space="preserve"> – odgovoran je za čuvanje različitih podataka o pretplatnicima, uključujući podatke za autentifikaciju i detalje usluga na koje su pretplaćeni. Broj jedinica je ograničen nominalnim kapacitetom u smislu pretplatnika:</w:t>
      </w:r>
    </w:p>
    <w:p w:rsidR="003D3219" w:rsidRPr="003D3219" w:rsidRDefault="003D3219" w:rsidP="003D3219">
      <w:pPr>
        <w:ind w:left="720"/>
        <w:contextualSpacing/>
        <w:jc w:val="both"/>
        <w:rPr>
          <w:b/>
          <w:sz w:val="24"/>
          <w:szCs w:val="24"/>
        </w:rPr>
      </w:pPr>
    </w:p>
    <w:p w:rsidR="003D3219" w:rsidRPr="003D3219" w:rsidRDefault="003D3219" w:rsidP="003D3219">
      <w:pPr>
        <w:ind w:left="720"/>
        <w:contextualSpacing/>
        <w:jc w:val="both"/>
        <w:rPr>
          <w:rFonts w:eastAsiaTheme="minorEastAsia"/>
          <w:sz w:val="24"/>
          <w:szCs w:val="24"/>
        </w:rPr>
      </w:pPr>
      <m:oMathPara>
        <m:oMath>
          <m:r>
            <w:rPr>
              <w:rFonts w:ascii="Cambria Math" w:hAnsi="Cambria Math"/>
              <w:sz w:val="24"/>
              <w:szCs w:val="24"/>
              <w:lang w:val="en-GB"/>
            </w:rPr>
            <m:t>HSS</m:t>
          </m:r>
          <m:r>
            <m:rPr>
              <m:sty m:val="p"/>
            </m:rPr>
            <w:rPr>
              <w:rFonts w:ascii="Cambria Math" w:hAnsi="Cambria Math"/>
              <w:sz w:val="24"/>
              <w:szCs w:val="24"/>
              <w:lang w:val="en-GB"/>
            </w:rPr>
            <m:t xml:space="preserve"> </m:t>
          </m:r>
          <m:r>
            <w:rPr>
              <w:rFonts w:ascii="Cambria Math" w:hAnsi="Cambria Math"/>
              <w:sz w:val="24"/>
              <w:szCs w:val="24"/>
              <w:lang w:val="en-GB"/>
            </w:rPr>
            <m:t>broj</m:t>
          </m:r>
          <m:r>
            <m:rPr>
              <m:sty m:val="p"/>
            </m:rPr>
            <w:rPr>
              <w:rFonts w:ascii="Cambria Math" w:hAnsi="Cambria Math"/>
              <w:sz w:val="24"/>
              <w:szCs w:val="24"/>
              <w:lang w:val="en-GB"/>
            </w:rPr>
            <m:t>≥</m:t>
          </m:r>
          <m:f>
            <m:fPr>
              <m:ctrlPr>
                <w:rPr>
                  <w:rFonts w:ascii="Cambria Math" w:hAnsi="Cambria Math"/>
                  <w:sz w:val="24"/>
                  <w:szCs w:val="24"/>
                  <w:lang w:val="en-GB"/>
                </w:rPr>
              </m:ctrlPr>
            </m:fPr>
            <m:num>
              <m:r>
                <w:rPr>
                  <w:rFonts w:ascii="Cambria Math" w:hAnsi="Cambria Math"/>
                  <w:sz w:val="24"/>
                  <w:szCs w:val="24"/>
                  <w:lang w:val="en-GB"/>
                </w:rPr>
                <m:t>Ukupno veza</m:t>
              </m:r>
              <m:r>
                <m:rPr>
                  <m:sty m:val="p"/>
                </m:rPr>
                <w:rPr>
                  <w:rFonts w:ascii="Cambria Math" w:hAnsi="Cambria Math"/>
                  <w:sz w:val="24"/>
                  <w:szCs w:val="24"/>
                  <w:lang w:val="en-GB"/>
                </w:rPr>
                <m:t xml:space="preserve"> (</m:t>
              </m:r>
              <m:r>
                <w:rPr>
                  <w:rFonts w:ascii="Cambria Math" w:hAnsi="Cambria Math"/>
                  <w:sz w:val="24"/>
                  <w:szCs w:val="24"/>
                  <w:lang w:val="en-GB"/>
                </w:rPr>
                <m:t>pretplatnika</m:t>
              </m:r>
              <m:r>
                <m:rPr>
                  <m:sty m:val="p"/>
                </m:rPr>
                <w:rPr>
                  <w:rFonts w:ascii="Cambria Math" w:hAnsi="Cambria Math"/>
                  <w:sz w:val="24"/>
                  <w:szCs w:val="24"/>
                  <w:lang w:val="en-GB"/>
                </w:rPr>
                <m:t>)</m:t>
              </m:r>
            </m:num>
            <m:den>
              <m:r>
                <w:rPr>
                  <w:rFonts w:ascii="Cambria Math" w:hAnsi="Cambria Math"/>
                  <w:sz w:val="24"/>
                  <w:szCs w:val="24"/>
                  <w:lang w:val="en-GB"/>
                </w:rPr>
                <m:t>Tehnička ograničenja</m:t>
              </m:r>
              <m:r>
                <m:rPr>
                  <m:sty m:val="p"/>
                </m:rPr>
                <w:rPr>
                  <w:rFonts w:ascii="Cambria Math" w:hAnsi="Cambria Math"/>
                  <w:sz w:val="24"/>
                  <w:szCs w:val="24"/>
                  <w:lang w:val="en-GB"/>
                </w:rPr>
                <m:t xml:space="preserve"> (</m:t>
              </m:r>
              <m:r>
                <w:rPr>
                  <w:rFonts w:ascii="Cambria Math" w:hAnsi="Cambria Math"/>
                  <w:sz w:val="24"/>
                  <w:szCs w:val="24"/>
                  <w:lang w:val="en-GB"/>
                </w:rPr>
                <m:t>pretplatnika</m:t>
              </m:r>
              <m:r>
                <m:rPr>
                  <m:sty m:val="p"/>
                </m:rPr>
                <w:rPr>
                  <w:rFonts w:ascii="Cambria Math" w:hAnsi="Cambria Math"/>
                  <w:sz w:val="24"/>
                  <w:szCs w:val="24"/>
                  <w:lang w:val="en-GB"/>
                </w:rPr>
                <m:t>)</m:t>
              </m:r>
            </m:den>
          </m:f>
        </m:oMath>
      </m:oMathPara>
    </w:p>
    <w:p w:rsidR="003D3219" w:rsidRPr="003D3219" w:rsidRDefault="003D3219" w:rsidP="003D3219">
      <w:pPr>
        <w:ind w:left="720"/>
        <w:contextualSpacing/>
        <w:jc w:val="both"/>
        <w:rPr>
          <w:sz w:val="24"/>
          <w:szCs w:val="24"/>
        </w:rPr>
      </w:pPr>
    </w:p>
    <w:p w:rsidR="003D3219" w:rsidRDefault="003D3219" w:rsidP="00C433F8">
      <w:pPr>
        <w:numPr>
          <w:ilvl w:val="0"/>
          <w:numId w:val="25"/>
        </w:numPr>
        <w:contextualSpacing/>
        <w:jc w:val="both"/>
        <w:rPr>
          <w:sz w:val="24"/>
          <w:szCs w:val="24"/>
        </w:rPr>
      </w:pPr>
      <w:r w:rsidRPr="003D3219">
        <w:rPr>
          <w:b/>
          <w:sz w:val="24"/>
          <w:szCs w:val="24"/>
        </w:rPr>
        <w:t>BRAS (</w:t>
      </w:r>
      <w:r w:rsidRPr="003D3219">
        <w:rPr>
          <w:b/>
          <w:i/>
          <w:sz w:val="24"/>
          <w:szCs w:val="24"/>
        </w:rPr>
        <w:t>eng. Broadband Remote Access Server</w:t>
      </w:r>
      <w:r w:rsidRPr="003D3219">
        <w:rPr>
          <w:b/>
          <w:sz w:val="24"/>
          <w:szCs w:val="24"/>
        </w:rPr>
        <w:t>)</w:t>
      </w:r>
      <w:r w:rsidRPr="003D3219">
        <w:rPr>
          <w:sz w:val="24"/>
          <w:szCs w:val="24"/>
        </w:rPr>
        <w:t xml:space="preserve"> - odgovoran je za agregiranje sesija korisnika od pristupne mreže na Internet. Broj jedinica je ograničen nominalnim kapacitetom u smislu broja korisnika širokopojasnog pr</w:t>
      </w:r>
      <w:r w:rsidR="00A23E5A">
        <w:rPr>
          <w:sz w:val="24"/>
          <w:szCs w:val="24"/>
        </w:rPr>
        <w:t>istupa koji su spojeni istovremeno</w:t>
      </w:r>
      <w:r w:rsidRPr="003D3219">
        <w:rPr>
          <w:sz w:val="24"/>
          <w:szCs w:val="24"/>
        </w:rPr>
        <w:t>:</w:t>
      </w:r>
    </w:p>
    <w:p w:rsidR="00A23E5A" w:rsidRPr="003D3219" w:rsidRDefault="00A23E5A" w:rsidP="00A23E5A">
      <w:pPr>
        <w:ind w:left="720"/>
        <w:contextualSpacing/>
        <w:jc w:val="both"/>
        <w:rPr>
          <w:sz w:val="24"/>
          <w:szCs w:val="24"/>
        </w:rPr>
      </w:pPr>
    </w:p>
    <w:p w:rsidR="003D3219" w:rsidRPr="003D3219" w:rsidRDefault="003D3219" w:rsidP="003D3219">
      <w:pPr>
        <w:ind w:left="720"/>
        <w:contextualSpacing/>
        <w:jc w:val="both"/>
        <w:rPr>
          <w:rFonts w:eastAsiaTheme="minorEastAsia"/>
          <w:sz w:val="24"/>
          <w:szCs w:val="24"/>
        </w:rPr>
      </w:pPr>
      <m:oMathPara>
        <m:oMath>
          <m:r>
            <w:rPr>
              <w:rFonts w:ascii="Cambria Math" w:hAnsi="Cambria Math"/>
              <w:sz w:val="24"/>
              <w:szCs w:val="24"/>
              <w:lang w:val="en-GB"/>
            </w:rPr>
            <m:t>BRAS</m:t>
          </m:r>
          <m:r>
            <m:rPr>
              <m:sty m:val="p"/>
            </m:rPr>
            <w:rPr>
              <w:rFonts w:ascii="Cambria Math" w:hAnsi="Cambria Math"/>
              <w:sz w:val="24"/>
              <w:szCs w:val="24"/>
              <w:lang w:val="en-GB"/>
            </w:rPr>
            <m:t xml:space="preserve"> </m:t>
          </m:r>
          <m:r>
            <w:rPr>
              <w:rFonts w:ascii="Cambria Math" w:hAnsi="Cambria Math"/>
              <w:sz w:val="24"/>
              <w:szCs w:val="24"/>
              <w:lang w:val="en-GB"/>
            </w:rPr>
            <m:t>broj</m:t>
          </m:r>
          <m:r>
            <m:rPr>
              <m:sty m:val="p"/>
            </m:rPr>
            <w:rPr>
              <w:rFonts w:ascii="Cambria Math" w:hAnsi="Cambria Math"/>
              <w:sz w:val="24"/>
              <w:szCs w:val="24"/>
              <w:lang w:val="en-GB"/>
            </w:rPr>
            <m:t>≥</m:t>
          </m:r>
          <m:f>
            <m:fPr>
              <m:ctrlPr>
                <w:rPr>
                  <w:rFonts w:ascii="Cambria Math" w:hAnsi="Cambria Math"/>
                  <w:sz w:val="24"/>
                  <w:szCs w:val="24"/>
                  <w:lang w:val="en-GB"/>
                </w:rPr>
              </m:ctrlPr>
            </m:fPr>
            <m:num>
              <m:r>
                <w:rPr>
                  <w:rFonts w:ascii="Cambria Math" w:hAnsi="Cambria Math"/>
                  <w:sz w:val="24"/>
                  <w:szCs w:val="24"/>
                  <w:lang w:val="en-GB"/>
                </w:rPr>
                <m:t>Ukupno istovremenih veza</m:t>
              </m:r>
              <m:r>
                <m:rPr>
                  <m:sty m:val="p"/>
                </m:rPr>
                <w:rPr>
                  <w:rFonts w:ascii="Cambria Math" w:hAnsi="Cambria Math"/>
                  <w:sz w:val="24"/>
                  <w:szCs w:val="24"/>
                  <w:lang w:val="en-GB"/>
                </w:rPr>
                <m:t xml:space="preserve"> (</m:t>
              </m:r>
              <m:r>
                <w:rPr>
                  <w:rFonts w:ascii="Cambria Math" w:hAnsi="Cambria Math"/>
                  <w:sz w:val="24"/>
                  <w:szCs w:val="24"/>
                  <w:lang w:val="en-GB"/>
                </w:rPr>
                <m:t>pretplatnika</m:t>
              </m:r>
              <m:r>
                <m:rPr>
                  <m:sty m:val="p"/>
                </m:rPr>
                <w:rPr>
                  <w:rFonts w:ascii="Cambria Math" w:hAnsi="Cambria Math"/>
                  <w:sz w:val="24"/>
                  <w:szCs w:val="24"/>
                  <w:lang w:val="en-GB"/>
                </w:rPr>
                <m:t>)</m:t>
              </m:r>
            </m:num>
            <m:den>
              <m:r>
                <w:rPr>
                  <w:rFonts w:ascii="Cambria Math" w:hAnsi="Cambria Math"/>
                  <w:sz w:val="24"/>
                  <w:szCs w:val="24"/>
                  <w:lang w:val="en-GB"/>
                </w:rPr>
                <m:t>Tehnička ograničenja</m:t>
              </m:r>
              <m:r>
                <m:rPr>
                  <m:sty m:val="p"/>
                </m:rPr>
                <w:rPr>
                  <w:rFonts w:ascii="Cambria Math" w:hAnsi="Cambria Math"/>
                  <w:sz w:val="24"/>
                  <w:szCs w:val="24"/>
                  <w:lang w:val="en-GB"/>
                </w:rPr>
                <m:t xml:space="preserve"> (</m:t>
              </m:r>
              <m:r>
                <w:rPr>
                  <w:rFonts w:ascii="Cambria Math" w:hAnsi="Cambria Math"/>
                  <w:sz w:val="24"/>
                  <w:szCs w:val="24"/>
                  <w:lang w:val="en-GB"/>
                </w:rPr>
                <m:t>pretplatnika</m:t>
              </m:r>
              <m:r>
                <m:rPr>
                  <m:sty m:val="p"/>
                </m:rPr>
                <w:rPr>
                  <w:rFonts w:ascii="Cambria Math" w:hAnsi="Cambria Math"/>
                  <w:sz w:val="24"/>
                  <w:szCs w:val="24"/>
                  <w:lang w:val="en-GB"/>
                </w:rPr>
                <m:t>)</m:t>
              </m:r>
            </m:den>
          </m:f>
        </m:oMath>
      </m:oMathPara>
    </w:p>
    <w:p w:rsidR="003D3219" w:rsidRPr="003D3219" w:rsidRDefault="003D3219" w:rsidP="003D3219">
      <w:pPr>
        <w:ind w:left="720"/>
        <w:contextualSpacing/>
        <w:jc w:val="both"/>
        <w:rPr>
          <w:rFonts w:eastAsiaTheme="minorEastAsia"/>
          <w:b/>
          <w:sz w:val="24"/>
          <w:szCs w:val="24"/>
        </w:rPr>
      </w:pPr>
    </w:p>
    <w:p w:rsidR="003D3219" w:rsidRPr="003D3219" w:rsidRDefault="003D3219" w:rsidP="00C433F8">
      <w:pPr>
        <w:numPr>
          <w:ilvl w:val="0"/>
          <w:numId w:val="25"/>
        </w:numPr>
        <w:contextualSpacing/>
        <w:jc w:val="both"/>
        <w:rPr>
          <w:sz w:val="24"/>
          <w:szCs w:val="24"/>
        </w:rPr>
      </w:pPr>
      <w:r w:rsidRPr="003D3219">
        <w:rPr>
          <w:rFonts w:eastAsiaTheme="minorEastAsia"/>
          <w:b/>
          <w:sz w:val="24"/>
          <w:szCs w:val="24"/>
        </w:rPr>
        <w:t>RADIUS (</w:t>
      </w:r>
      <w:r w:rsidRPr="003D3219">
        <w:rPr>
          <w:rFonts w:eastAsiaTheme="minorEastAsia"/>
          <w:b/>
          <w:i/>
          <w:sz w:val="24"/>
          <w:szCs w:val="24"/>
        </w:rPr>
        <w:t>eng. Remote Autentification Dial-In User Service</w:t>
      </w:r>
      <w:r w:rsidRPr="003D3219">
        <w:rPr>
          <w:rFonts w:eastAsiaTheme="minorEastAsia"/>
          <w:b/>
          <w:sz w:val="24"/>
          <w:szCs w:val="24"/>
        </w:rPr>
        <w:t>)</w:t>
      </w:r>
      <w:r w:rsidRPr="003D3219">
        <w:rPr>
          <w:rFonts w:eastAsiaTheme="minorEastAsia"/>
          <w:sz w:val="24"/>
          <w:szCs w:val="24"/>
        </w:rPr>
        <w:t xml:space="preserve"> –</w:t>
      </w:r>
      <w:r w:rsidRPr="003D3219">
        <w:rPr>
          <w:rFonts w:eastAsiaTheme="minorEastAsia"/>
          <w:b/>
          <w:sz w:val="24"/>
          <w:szCs w:val="24"/>
        </w:rPr>
        <w:t xml:space="preserve"> </w:t>
      </w:r>
      <w:r w:rsidRPr="003D3219">
        <w:rPr>
          <w:rFonts w:eastAsiaTheme="minorEastAsia"/>
          <w:sz w:val="24"/>
          <w:szCs w:val="24"/>
        </w:rPr>
        <w:t xml:space="preserve">omogućuje daljinsku autentifikaciju i autorizaciju usluga kako bi se upravljalo korištenjem mrežnih resursa koje koriste korisnici. Broj jedinica je ograničen nominalnim </w:t>
      </w:r>
      <w:r w:rsidR="005028E4" w:rsidRPr="003D3219">
        <w:rPr>
          <w:rFonts w:eastAsiaTheme="minorEastAsia"/>
          <w:sz w:val="24"/>
          <w:szCs w:val="24"/>
        </w:rPr>
        <w:t>kapacitetom</w:t>
      </w:r>
      <w:r w:rsidRPr="003D3219">
        <w:rPr>
          <w:rFonts w:eastAsiaTheme="minorEastAsia"/>
          <w:sz w:val="24"/>
          <w:szCs w:val="24"/>
        </w:rPr>
        <w:t xml:space="preserve"> u smislu korisnika širokopoj</w:t>
      </w:r>
      <w:r w:rsidR="00A23E5A">
        <w:rPr>
          <w:rFonts w:eastAsiaTheme="minorEastAsia"/>
          <w:sz w:val="24"/>
          <w:szCs w:val="24"/>
        </w:rPr>
        <w:t>asnog pristupa koji su istovremeno</w:t>
      </w:r>
      <w:r w:rsidRPr="003D3219">
        <w:rPr>
          <w:rFonts w:eastAsiaTheme="minorEastAsia"/>
          <w:sz w:val="24"/>
          <w:szCs w:val="24"/>
        </w:rPr>
        <w:t xml:space="preserve"> spojeni:</w:t>
      </w:r>
    </w:p>
    <w:p w:rsidR="003D3219" w:rsidRPr="003D3219" w:rsidRDefault="003D3219" w:rsidP="003D3219">
      <w:pPr>
        <w:ind w:left="720"/>
        <w:contextualSpacing/>
        <w:jc w:val="both"/>
        <w:rPr>
          <w:sz w:val="24"/>
          <w:szCs w:val="24"/>
        </w:rPr>
      </w:pPr>
    </w:p>
    <w:p w:rsidR="003D3219" w:rsidRPr="003D3219" w:rsidRDefault="003D3219" w:rsidP="003D3219">
      <w:pPr>
        <w:ind w:left="720"/>
        <w:contextualSpacing/>
        <w:jc w:val="both"/>
        <w:rPr>
          <w:rFonts w:eastAsiaTheme="minorEastAsia"/>
          <w:sz w:val="24"/>
          <w:szCs w:val="24"/>
        </w:rPr>
      </w:pPr>
      <m:oMathPara>
        <m:oMath>
          <m:r>
            <w:rPr>
              <w:rFonts w:ascii="Cambria Math" w:hAnsi="Cambria Math"/>
              <w:sz w:val="24"/>
              <w:szCs w:val="24"/>
              <w:lang w:val="en-GB"/>
            </w:rPr>
            <m:t>RADIUS</m:t>
          </m:r>
          <m:r>
            <m:rPr>
              <m:sty m:val="p"/>
            </m:rPr>
            <w:rPr>
              <w:rFonts w:ascii="Cambria Math" w:hAnsi="Cambria Math"/>
              <w:sz w:val="24"/>
              <w:szCs w:val="24"/>
              <w:lang w:val="en-GB"/>
            </w:rPr>
            <m:t xml:space="preserve"> </m:t>
          </m:r>
          <m:r>
            <w:rPr>
              <w:rFonts w:ascii="Cambria Math" w:hAnsi="Cambria Math"/>
              <w:sz w:val="24"/>
              <w:szCs w:val="24"/>
              <w:lang w:val="en-GB"/>
            </w:rPr>
            <m:t>broj</m:t>
          </m:r>
          <m:r>
            <m:rPr>
              <m:sty m:val="p"/>
            </m:rPr>
            <w:rPr>
              <w:rFonts w:ascii="Cambria Math" w:hAnsi="Cambria Math"/>
              <w:sz w:val="24"/>
              <w:szCs w:val="24"/>
              <w:lang w:val="en-GB"/>
            </w:rPr>
            <m:t>≥</m:t>
          </m:r>
          <m:f>
            <m:fPr>
              <m:ctrlPr>
                <w:rPr>
                  <w:rFonts w:ascii="Cambria Math" w:hAnsi="Cambria Math"/>
                  <w:sz w:val="24"/>
                  <w:szCs w:val="24"/>
                  <w:lang w:val="en-GB"/>
                </w:rPr>
              </m:ctrlPr>
            </m:fPr>
            <m:num>
              <m:r>
                <w:rPr>
                  <w:rFonts w:ascii="Cambria Math" w:hAnsi="Cambria Math"/>
                  <w:sz w:val="24"/>
                  <w:szCs w:val="24"/>
                  <w:lang w:val="en-GB"/>
                </w:rPr>
                <m:t>Ukupno istovremenih veza</m:t>
              </m:r>
              <m:r>
                <m:rPr>
                  <m:sty m:val="p"/>
                </m:rPr>
                <w:rPr>
                  <w:rFonts w:ascii="Cambria Math" w:hAnsi="Cambria Math"/>
                  <w:sz w:val="24"/>
                  <w:szCs w:val="24"/>
                  <w:lang w:val="en-GB"/>
                </w:rPr>
                <m:t xml:space="preserve"> (</m:t>
              </m:r>
              <m:r>
                <w:rPr>
                  <w:rFonts w:ascii="Cambria Math" w:hAnsi="Cambria Math"/>
                  <w:sz w:val="24"/>
                  <w:szCs w:val="24"/>
                  <w:lang w:val="en-GB"/>
                </w:rPr>
                <m:t>pretplatnika</m:t>
              </m:r>
              <m:r>
                <m:rPr>
                  <m:sty m:val="p"/>
                </m:rPr>
                <w:rPr>
                  <w:rFonts w:ascii="Cambria Math" w:hAnsi="Cambria Math"/>
                  <w:sz w:val="24"/>
                  <w:szCs w:val="24"/>
                  <w:lang w:val="en-GB"/>
                </w:rPr>
                <m:t>)</m:t>
              </m:r>
            </m:num>
            <m:den>
              <m:r>
                <w:rPr>
                  <w:rFonts w:ascii="Cambria Math" w:hAnsi="Cambria Math"/>
                  <w:sz w:val="24"/>
                  <w:szCs w:val="24"/>
                  <w:lang w:val="en-GB"/>
                </w:rPr>
                <m:t>Tehnička ograničenja</m:t>
              </m:r>
              <m:r>
                <m:rPr>
                  <m:sty m:val="p"/>
                </m:rPr>
                <w:rPr>
                  <w:rFonts w:ascii="Cambria Math" w:hAnsi="Cambria Math"/>
                  <w:sz w:val="24"/>
                  <w:szCs w:val="24"/>
                  <w:lang w:val="en-GB"/>
                </w:rPr>
                <m:t xml:space="preserve"> (</m:t>
              </m:r>
              <m:r>
                <w:rPr>
                  <w:rFonts w:ascii="Cambria Math" w:hAnsi="Cambria Math"/>
                  <w:sz w:val="24"/>
                  <w:szCs w:val="24"/>
                  <w:lang w:val="en-GB"/>
                </w:rPr>
                <m:t>pretplatnika</m:t>
              </m:r>
              <m:r>
                <m:rPr>
                  <m:sty m:val="p"/>
                </m:rPr>
                <w:rPr>
                  <w:rFonts w:ascii="Cambria Math" w:hAnsi="Cambria Math"/>
                  <w:sz w:val="24"/>
                  <w:szCs w:val="24"/>
                  <w:lang w:val="en-GB"/>
                </w:rPr>
                <m:t>)</m:t>
              </m:r>
            </m:den>
          </m:f>
        </m:oMath>
      </m:oMathPara>
    </w:p>
    <w:p w:rsidR="003D3219" w:rsidRPr="003D3219" w:rsidRDefault="003D3219" w:rsidP="003D3219">
      <w:pPr>
        <w:ind w:left="720"/>
        <w:contextualSpacing/>
        <w:jc w:val="both"/>
        <w:rPr>
          <w:rFonts w:eastAsiaTheme="minorEastAsia"/>
          <w:sz w:val="24"/>
          <w:szCs w:val="24"/>
        </w:rPr>
      </w:pPr>
    </w:p>
    <w:p w:rsidR="003D3219" w:rsidRPr="003D3219" w:rsidRDefault="003D3219" w:rsidP="00C433F8">
      <w:pPr>
        <w:numPr>
          <w:ilvl w:val="0"/>
          <w:numId w:val="25"/>
        </w:numPr>
        <w:contextualSpacing/>
        <w:jc w:val="both"/>
        <w:rPr>
          <w:sz w:val="24"/>
          <w:szCs w:val="24"/>
        </w:rPr>
      </w:pPr>
      <w:r w:rsidRPr="003D3219">
        <w:rPr>
          <w:b/>
          <w:sz w:val="24"/>
          <w:szCs w:val="24"/>
        </w:rPr>
        <w:t>DNS (</w:t>
      </w:r>
      <w:r w:rsidRPr="003D3219">
        <w:rPr>
          <w:b/>
          <w:i/>
          <w:sz w:val="24"/>
          <w:szCs w:val="24"/>
        </w:rPr>
        <w:t>eng</w:t>
      </w:r>
      <w:r w:rsidR="005028E4">
        <w:rPr>
          <w:b/>
          <w:i/>
          <w:sz w:val="24"/>
          <w:szCs w:val="24"/>
        </w:rPr>
        <w:t>.</w:t>
      </w:r>
      <w:r w:rsidRPr="003D3219">
        <w:rPr>
          <w:b/>
          <w:i/>
          <w:sz w:val="24"/>
          <w:szCs w:val="24"/>
        </w:rPr>
        <w:t xml:space="preserve"> Domain Name System</w:t>
      </w:r>
      <w:r w:rsidRPr="003D3219">
        <w:rPr>
          <w:b/>
          <w:sz w:val="24"/>
          <w:szCs w:val="24"/>
        </w:rPr>
        <w:t>)</w:t>
      </w:r>
      <w:r w:rsidRPr="003D3219">
        <w:rPr>
          <w:sz w:val="24"/>
          <w:szCs w:val="24"/>
        </w:rPr>
        <w:t xml:space="preserve"> – odgovoran je</w:t>
      </w:r>
      <w:r w:rsidRPr="003D3219">
        <w:rPr>
          <w:b/>
          <w:sz w:val="24"/>
          <w:szCs w:val="24"/>
        </w:rPr>
        <w:t xml:space="preserve"> </w:t>
      </w:r>
      <w:r w:rsidRPr="003D3219">
        <w:rPr>
          <w:sz w:val="24"/>
          <w:szCs w:val="24"/>
        </w:rPr>
        <w:t>za pretvaranje naziva domena u numeričke IP adrese. Broj jedinica je ograničen nominalnim kapacitetom u smislu broja korisnika širokopoja</w:t>
      </w:r>
      <w:r w:rsidR="00A23E5A">
        <w:rPr>
          <w:sz w:val="24"/>
          <w:szCs w:val="24"/>
        </w:rPr>
        <w:t>snog pristupa spojenih istovremeno</w:t>
      </w:r>
      <w:r w:rsidRPr="003D3219">
        <w:rPr>
          <w:sz w:val="24"/>
          <w:szCs w:val="24"/>
        </w:rPr>
        <w:t>:</w:t>
      </w:r>
    </w:p>
    <w:p w:rsidR="003D3219" w:rsidRPr="003D3219" w:rsidRDefault="003D3219" w:rsidP="003D3219">
      <w:pPr>
        <w:ind w:left="720"/>
        <w:contextualSpacing/>
        <w:jc w:val="both"/>
        <w:rPr>
          <w:sz w:val="24"/>
          <w:szCs w:val="24"/>
        </w:rPr>
      </w:pPr>
    </w:p>
    <w:p w:rsidR="003D3219" w:rsidRPr="003D3219" w:rsidRDefault="003D3219" w:rsidP="003D3219">
      <w:pPr>
        <w:ind w:left="720"/>
        <w:contextualSpacing/>
        <w:jc w:val="both"/>
        <w:rPr>
          <w:rFonts w:eastAsiaTheme="minorEastAsia"/>
          <w:sz w:val="24"/>
          <w:szCs w:val="24"/>
        </w:rPr>
      </w:pPr>
      <m:oMathPara>
        <m:oMath>
          <m:r>
            <w:rPr>
              <w:rFonts w:ascii="Cambria Math" w:hAnsi="Cambria Math"/>
              <w:sz w:val="24"/>
              <w:szCs w:val="24"/>
              <w:lang w:val="en-GB"/>
            </w:rPr>
            <m:t>DNS</m:t>
          </m:r>
          <m:r>
            <m:rPr>
              <m:sty m:val="p"/>
            </m:rPr>
            <w:rPr>
              <w:rFonts w:ascii="Cambria Math" w:hAnsi="Cambria Math"/>
              <w:sz w:val="24"/>
              <w:szCs w:val="24"/>
              <w:lang w:val="en-GB"/>
            </w:rPr>
            <m:t xml:space="preserve"> </m:t>
          </m:r>
          <m:r>
            <w:rPr>
              <w:rFonts w:ascii="Cambria Math" w:hAnsi="Cambria Math"/>
              <w:sz w:val="24"/>
              <w:szCs w:val="24"/>
              <w:lang w:val="en-GB"/>
            </w:rPr>
            <m:t>broj</m:t>
          </m:r>
          <m:r>
            <m:rPr>
              <m:sty m:val="p"/>
            </m:rPr>
            <w:rPr>
              <w:rFonts w:ascii="Cambria Math" w:hAnsi="Cambria Math"/>
              <w:sz w:val="24"/>
              <w:szCs w:val="24"/>
              <w:lang w:val="en-GB"/>
            </w:rPr>
            <m:t>≥</m:t>
          </m:r>
          <m:f>
            <m:fPr>
              <m:ctrlPr>
                <w:rPr>
                  <w:rFonts w:ascii="Cambria Math" w:hAnsi="Cambria Math"/>
                  <w:sz w:val="24"/>
                  <w:szCs w:val="24"/>
                  <w:lang w:val="en-GB"/>
                </w:rPr>
              </m:ctrlPr>
            </m:fPr>
            <m:num>
              <m:r>
                <w:rPr>
                  <w:rFonts w:ascii="Cambria Math" w:hAnsi="Cambria Math"/>
                  <w:sz w:val="24"/>
                  <w:szCs w:val="24"/>
                  <w:lang w:val="en-GB"/>
                </w:rPr>
                <m:t>Ukupno istovremenih veza</m:t>
              </m:r>
              <m:r>
                <m:rPr>
                  <m:sty m:val="p"/>
                </m:rPr>
                <w:rPr>
                  <w:rFonts w:ascii="Cambria Math" w:hAnsi="Cambria Math"/>
                  <w:sz w:val="24"/>
                  <w:szCs w:val="24"/>
                  <w:lang w:val="en-GB"/>
                </w:rPr>
                <m:t xml:space="preserve"> (</m:t>
              </m:r>
              <m:r>
                <w:rPr>
                  <w:rFonts w:ascii="Cambria Math" w:hAnsi="Cambria Math"/>
                  <w:sz w:val="24"/>
                  <w:szCs w:val="24"/>
                  <w:lang w:val="en-GB"/>
                </w:rPr>
                <m:t>pretplatnika</m:t>
              </m:r>
              <m:r>
                <m:rPr>
                  <m:sty m:val="p"/>
                </m:rPr>
                <w:rPr>
                  <w:rFonts w:ascii="Cambria Math" w:hAnsi="Cambria Math"/>
                  <w:sz w:val="24"/>
                  <w:szCs w:val="24"/>
                  <w:lang w:val="en-GB"/>
                </w:rPr>
                <m:t>)</m:t>
              </m:r>
            </m:num>
            <m:den>
              <m:r>
                <w:rPr>
                  <w:rFonts w:ascii="Cambria Math" w:hAnsi="Cambria Math"/>
                  <w:sz w:val="24"/>
                  <w:szCs w:val="24"/>
                  <w:lang w:val="en-GB"/>
                </w:rPr>
                <m:t>Tehnička ograničenja</m:t>
              </m:r>
              <m:r>
                <m:rPr>
                  <m:sty m:val="p"/>
                </m:rPr>
                <w:rPr>
                  <w:rFonts w:ascii="Cambria Math" w:hAnsi="Cambria Math"/>
                  <w:sz w:val="24"/>
                  <w:szCs w:val="24"/>
                  <w:lang w:val="en-GB"/>
                </w:rPr>
                <m:t xml:space="preserve"> (</m:t>
              </m:r>
              <m:r>
                <w:rPr>
                  <w:rFonts w:ascii="Cambria Math" w:hAnsi="Cambria Math"/>
                  <w:sz w:val="24"/>
                  <w:szCs w:val="24"/>
                  <w:lang w:val="en-GB"/>
                </w:rPr>
                <m:t>pretplatnika</m:t>
              </m:r>
              <m:r>
                <m:rPr>
                  <m:sty m:val="p"/>
                </m:rPr>
                <w:rPr>
                  <w:rFonts w:ascii="Cambria Math" w:hAnsi="Cambria Math"/>
                  <w:sz w:val="24"/>
                  <w:szCs w:val="24"/>
                  <w:lang w:val="en-GB"/>
                </w:rPr>
                <m:t>)</m:t>
              </m:r>
            </m:den>
          </m:f>
        </m:oMath>
      </m:oMathPara>
    </w:p>
    <w:p w:rsidR="003D3219" w:rsidRPr="003D3219" w:rsidRDefault="003D3219" w:rsidP="003D3219">
      <w:pPr>
        <w:ind w:left="720"/>
        <w:contextualSpacing/>
        <w:jc w:val="both"/>
        <w:rPr>
          <w:rFonts w:eastAsiaTheme="minorEastAsia"/>
          <w:sz w:val="24"/>
          <w:szCs w:val="24"/>
        </w:rPr>
      </w:pPr>
    </w:p>
    <w:p w:rsidR="003D3219" w:rsidRPr="003D3219" w:rsidRDefault="003D3219" w:rsidP="00C433F8">
      <w:pPr>
        <w:numPr>
          <w:ilvl w:val="0"/>
          <w:numId w:val="25"/>
        </w:numPr>
        <w:contextualSpacing/>
        <w:jc w:val="both"/>
        <w:rPr>
          <w:sz w:val="24"/>
          <w:szCs w:val="24"/>
        </w:rPr>
      </w:pPr>
      <w:r w:rsidRPr="003D3219">
        <w:rPr>
          <w:b/>
          <w:sz w:val="24"/>
          <w:szCs w:val="24"/>
        </w:rPr>
        <w:t>VoD poslužitelj (</w:t>
      </w:r>
      <w:r w:rsidRPr="003D3219">
        <w:rPr>
          <w:b/>
          <w:i/>
          <w:sz w:val="24"/>
          <w:szCs w:val="24"/>
        </w:rPr>
        <w:t>eng</w:t>
      </w:r>
      <w:r w:rsidR="005028E4">
        <w:rPr>
          <w:b/>
          <w:i/>
          <w:sz w:val="24"/>
          <w:szCs w:val="24"/>
        </w:rPr>
        <w:t>.</w:t>
      </w:r>
      <w:r w:rsidRPr="003D3219">
        <w:rPr>
          <w:b/>
          <w:i/>
          <w:sz w:val="24"/>
          <w:szCs w:val="24"/>
        </w:rPr>
        <w:t xml:space="preserve"> Video On-demand Server</w:t>
      </w:r>
      <w:r w:rsidRPr="003D3219">
        <w:rPr>
          <w:b/>
          <w:sz w:val="24"/>
          <w:szCs w:val="24"/>
        </w:rPr>
        <w:t xml:space="preserve">) </w:t>
      </w:r>
      <w:r w:rsidRPr="003D3219">
        <w:rPr>
          <w:sz w:val="24"/>
          <w:szCs w:val="24"/>
        </w:rPr>
        <w:t>– omogućuje prilagođeni video sadržaj prema zahtjevima korisnika.</w:t>
      </w:r>
      <w:r w:rsidRPr="003D3219">
        <w:t xml:space="preserve"> </w:t>
      </w:r>
      <w:r w:rsidRPr="003D3219">
        <w:rPr>
          <w:sz w:val="24"/>
          <w:szCs w:val="24"/>
        </w:rPr>
        <w:t>Modelirana je jedna jedinica VoD poslužitelja pod uvjetom da broj jezgrenih veza nije nula.</w:t>
      </w:r>
    </w:p>
    <w:p w:rsidR="003D3219" w:rsidRPr="003D3219" w:rsidRDefault="003D3219" w:rsidP="003D3219">
      <w:pPr>
        <w:ind w:left="720"/>
        <w:contextualSpacing/>
        <w:jc w:val="both"/>
        <w:rPr>
          <w:sz w:val="24"/>
          <w:szCs w:val="24"/>
        </w:rPr>
      </w:pPr>
    </w:p>
    <w:p w:rsidR="003D3219" w:rsidRPr="003D3219" w:rsidRDefault="003D3219" w:rsidP="00C433F8">
      <w:pPr>
        <w:numPr>
          <w:ilvl w:val="0"/>
          <w:numId w:val="25"/>
        </w:numPr>
        <w:contextualSpacing/>
        <w:jc w:val="both"/>
        <w:rPr>
          <w:sz w:val="24"/>
          <w:szCs w:val="24"/>
        </w:rPr>
      </w:pPr>
      <w:r w:rsidRPr="003D3219">
        <w:rPr>
          <w:b/>
          <w:sz w:val="24"/>
          <w:szCs w:val="24"/>
        </w:rPr>
        <w:t>IPTV platforma</w:t>
      </w:r>
      <w:r w:rsidRPr="003D3219">
        <w:rPr>
          <w:rFonts w:eastAsiaTheme="minorEastAsia"/>
          <w:sz w:val="24"/>
          <w:szCs w:val="24"/>
        </w:rPr>
        <w:t xml:space="preserve">: odgovorna za obradu, modulaciju i kodiranje TV signala prije njegovog </w:t>
      </w:r>
      <w:r w:rsidR="005028E4" w:rsidRPr="003D3219">
        <w:rPr>
          <w:rFonts w:eastAsiaTheme="minorEastAsia"/>
          <w:sz w:val="24"/>
          <w:szCs w:val="24"/>
        </w:rPr>
        <w:t>prijenosa</w:t>
      </w:r>
      <w:r w:rsidRPr="003D3219">
        <w:rPr>
          <w:rFonts w:eastAsiaTheme="minorEastAsia"/>
          <w:sz w:val="24"/>
          <w:szCs w:val="24"/>
        </w:rPr>
        <w:t>. Modelirana je jedna IPTV platforma pod uvjetom da broj IPTV veza nije nula.</w:t>
      </w:r>
    </w:p>
    <w:p w:rsidR="003D3219" w:rsidRPr="003D3219" w:rsidRDefault="003D3219" w:rsidP="003D3219">
      <w:pPr>
        <w:ind w:left="720"/>
        <w:contextualSpacing/>
        <w:rPr>
          <w:sz w:val="24"/>
          <w:szCs w:val="24"/>
        </w:rPr>
      </w:pPr>
    </w:p>
    <w:p w:rsidR="003D3219" w:rsidRPr="003D3219" w:rsidRDefault="003D3219" w:rsidP="003A6F28">
      <w:pPr>
        <w:pStyle w:val="Heading2"/>
      </w:pPr>
      <w:bookmarkStart w:id="553" w:name="_Toc51676919"/>
      <w:bookmarkStart w:id="554" w:name="_Toc53941985"/>
      <w:bookmarkStart w:id="555" w:name="_Toc54250956"/>
      <w:bookmarkStart w:id="556" w:name="_Toc54252854"/>
      <w:bookmarkStart w:id="557" w:name="_Toc54261666"/>
      <w:r w:rsidRPr="003D3219">
        <w:t>Modul za izračun CapEx i OpEx troškova</w:t>
      </w:r>
      <w:bookmarkEnd w:id="553"/>
      <w:bookmarkEnd w:id="554"/>
      <w:bookmarkEnd w:id="555"/>
      <w:bookmarkEnd w:id="556"/>
      <w:bookmarkEnd w:id="557"/>
    </w:p>
    <w:p w:rsidR="003D3219" w:rsidRPr="003D3219" w:rsidRDefault="003D3219" w:rsidP="003D3219">
      <w:pPr>
        <w:jc w:val="both"/>
        <w:rPr>
          <w:sz w:val="24"/>
          <w:szCs w:val="24"/>
        </w:rPr>
      </w:pPr>
      <w:r w:rsidRPr="003D3219">
        <w:rPr>
          <w:sz w:val="24"/>
          <w:szCs w:val="24"/>
        </w:rPr>
        <w:t>Ovaj modul Troškovnog modela izračunava troškove (CapEx i OpEx) povezane sa potrebnim mrežnim resursima kako ih je dimenzionirao modul za dimenzioniranje. Ti troškovi se dobivaju u tri koraka.</w:t>
      </w:r>
    </w:p>
    <w:p w:rsidR="003D3219" w:rsidRPr="003D3219" w:rsidRDefault="003D3219" w:rsidP="003A6F28">
      <w:pPr>
        <w:pStyle w:val="Subtitle"/>
      </w:pPr>
      <w:r w:rsidRPr="003D3219">
        <w:t>Korak 1 - Određivanje jediničnih troškova resursa i trendova troškova</w:t>
      </w:r>
    </w:p>
    <w:p w:rsidR="003D3219" w:rsidRPr="003D3219" w:rsidRDefault="003D3219" w:rsidP="003D3219">
      <w:pPr>
        <w:jc w:val="both"/>
        <w:rPr>
          <w:sz w:val="24"/>
          <w:szCs w:val="24"/>
        </w:rPr>
      </w:pPr>
      <w:r w:rsidRPr="003D3219">
        <w:rPr>
          <w:sz w:val="24"/>
          <w:szCs w:val="24"/>
        </w:rPr>
        <w:t xml:space="preserve">Za definiranje jediničnih troškova resursa koji se razmatraju u Troškovnom modelu, potrebna su dva ulazna podatka: </w:t>
      </w:r>
      <w:r w:rsidRPr="003D3219">
        <w:rPr>
          <w:b/>
          <w:sz w:val="24"/>
          <w:szCs w:val="24"/>
        </w:rPr>
        <w:t>Jedinični troškovi</w:t>
      </w:r>
      <w:r w:rsidRPr="003D3219">
        <w:rPr>
          <w:sz w:val="24"/>
          <w:szCs w:val="24"/>
        </w:rPr>
        <w:t xml:space="preserve"> (podijeljeni na CapEx i OpEx i odnose se na prošlo razdoblje) i</w:t>
      </w:r>
      <w:r w:rsidRPr="003D3219">
        <w:rPr>
          <w:b/>
          <w:sz w:val="24"/>
          <w:szCs w:val="24"/>
        </w:rPr>
        <w:t xml:space="preserve"> trendovi troškova </w:t>
      </w:r>
      <w:r w:rsidRPr="003D3219">
        <w:rPr>
          <w:sz w:val="24"/>
          <w:szCs w:val="24"/>
        </w:rPr>
        <w:t>(koji daju očekivane cijene, odnosno troškov</w:t>
      </w:r>
      <w:r w:rsidR="00715E4C">
        <w:rPr>
          <w:sz w:val="24"/>
          <w:szCs w:val="24"/>
        </w:rPr>
        <w:t>e</w:t>
      </w:r>
      <w:r w:rsidRPr="003D3219">
        <w:rPr>
          <w:sz w:val="24"/>
          <w:szCs w:val="24"/>
        </w:rPr>
        <w:t xml:space="preserve"> resursa u budućnosti). Na osnovu jediničnih troškova u proteklom razdoblju i trendova troškova, Troškovni model računa troškove resursa u budućem razdoblju.</w:t>
      </w:r>
    </w:p>
    <w:p w:rsidR="003D3219" w:rsidRDefault="003D3219" w:rsidP="003D3219">
      <w:pPr>
        <w:jc w:val="both"/>
        <w:rPr>
          <w:sz w:val="24"/>
          <w:szCs w:val="24"/>
        </w:rPr>
      </w:pPr>
      <w:r w:rsidRPr="003D3219">
        <w:rPr>
          <w:sz w:val="24"/>
          <w:szCs w:val="24"/>
        </w:rPr>
        <w:t>Ovdje je potrebno napomenuti, da je u Troškovnom modelu implementiran mehanizam koji omogućuje smanjenje OpEx troškova za imovinu bakrene mreže u budućem razdoblju. Naime, logično je za pretpostaviti, budući da se očekuje migracija korisnika s bakrene mreže na svjetlovodnu mrežu, da referentni operator neće ulagati jednake napore za održavanje i rad bakrene mreže. U troškovnom modelu je pretpostavljeno da će se operativni troškovi u tom smislu smanjivati u skladu s padom potražnje za uslugama na bakrenoj mreži.</w:t>
      </w:r>
    </w:p>
    <w:p w:rsidR="00C00568" w:rsidRPr="003D3219" w:rsidRDefault="00C00568" w:rsidP="003D3219">
      <w:pPr>
        <w:jc w:val="both"/>
        <w:rPr>
          <w:sz w:val="24"/>
          <w:szCs w:val="24"/>
        </w:rPr>
      </w:pPr>
    </w:p>
    <w:p w:rsidR="003D3219" w:rsidRPr="003D3219" w:rsidRDefault="003D3219" w:rsidP="003A6F28">
      <w:pPr>
        <w:pStyle w:val="Subtitle"/>
      </w:pPr>
      <w:r w:rsidRPr="003D3219">
        <w:t>Korak 2 – Izračun nabavke resursa</w:t>
      </w:r>
    </w:p>
    <w:p w:rsidR="003D3219" w:rsidRPr="003D3219" w:rsidRDefault="003D3219" w:rsidP="003D3219">
      <w:pPr>
        <w:jc w:val="both"/>
        <w:rPr>
          <w:sz w:val="24"/>
          <w:szCs w:val="24"/>
        </w:rPr>
      </w:pPr>
      <w:r w:rsidRPr="003D3219">
        <w:rPr>
          <w:sz w:val="24"/>
          <w:szCs w:val="24"/>
        </w:rPr>
        <w:t xml:space="preserve">U drugom koraku se za </w:t>
      </w:r>
      <w:r w:rsidR="00715E4C">
        <w:rPr>
          <w:sz w:val="24"/>
          <w:szCs w:val="24"/>
        </w:rPr>
        <w:t xml:space="preserve">svaku </w:t>
      </w:r>
      <w:r w:rsidRPr="003D3219">
        <w:rPr>
          <w:sz w:val="24"/>
          <w:szCs w:val="24"/>
        </w:rPr>
        <w:t xml:space="preserve">godinu provodi izračun CapEx troškova koji su potrebni kako bi se nabavili novi mrežni resursi. Nove nabavke se mogu provoditi iz dva razloga, postavljanje nove mreže ili zamjena opreme. </w:t>
      </w:r>
    </w:p>
    <w:p w:rsidR="003D3219" w:rsidRPr="003D3219" w:rsidRDefault="003D3219" w:rsidP="003D3219">
      <w:pPr>
        <w:jc w:val="both"/>
        <w:rPr>
          <w:sz w:val="24"/>
          <w:szCs w:val="24"/>
        </w:rPr>
      </w:pPr>
      <w:r w:rsidRPr="003D3219">
        <w:rPr>
          <w:sz w:val="24"/>
          <w:szCs w:val="24"/>
        </w:rPr>
        <w:t xml:space="preserve">Postavljanje nove mreže se vrši iz razloga određenih dodatnim zahtjevima mreže da zadovolji potražnju. S druge </w:t>
      </w:r>
      <w:r w:rsidR="00FA6C09">
        <w:rPr>
          <w:sz w:val="24"/>
          <w:szCs w:val="24"/>
        </w:rPr>
        <w:t>strane</w:t>
      </w:r>
      <w:r w:rsidRPr="003D3219">
        <w:rPr>
          <w:sz w:val="24"/>
          <w:szCs w:val="24"/>
        </w:rPr>
        <w:t xml:space="preserve">, zamjena opreme </w:t>
      </w:r>
      <w:r w:rsidR="00FA6C09">
        <w:rPr>
          <w:sz w:val="24"/>
          <w:szCs w:val="24"/>
        </w:rPr>
        <w:t xml:space="preserve">se vrši </w:t>
      </w:r>
      <w:r w:rsidRPr="003D3219">
        <w:rPr>
          <w:sz w:val="24"/>
          <w:szCs w:val="24"/>
        </w:rPr>
        <w:t xml:space="preserve">jednom kada opremi istekne korisni vijek </w:t>
      </w:r>
      <w:r w:rsidR="00467F15">
        <w:rPr>
          <w:sz w:val="24"/>
          <w:szCs w:val="24"/>
        </w:rPr>
        <w:t>upotreb</w:t>
      </w:r>
      <w:r w:rsidRPr="003D3219">
        <w:rPr>
          <w:sz w:val="24"/>
          <w:szCs w:val="24"/>
        </w:rPr>
        <w:t>e i kada je ta oprema i dalje potrebna zbog mrežnih zahtjeva.</w:t>
      </w:r>
    </w:p>
    <w:p w:rsidR="003D3219" w:rsidRPr="003D3219" w:rsidRDefault="003D3219" w:rsidP="003A6F28">
      <w:pPr>
        <w:pStyle w:val="Subtitle"/>
      </w:pPr>
      <w:r w:rsidRPr="003D3219">
        <w:t>Korak 3 – Izračun godišnjeg CapEx-a i OpEx-a</w:t>
      </w:r>
    </w:p>
    <w:p w:rsidR="003D3219" w:rsidRPr="003D3219" w:rsidRDefault="003D3219" w:rsidP="003D3219">
      <w:pPr>
        <w:jc w:val="both"/>
        <w:rPr>
          <w:sz w:val="24"/>
          <w:szCs w:val="24"/>
        </w:rPr>
      </w:pPr>
      <w:r w:rsidRPr="003D3219">
        <w:rPr>
          <w:sz w:val="24"/>
          <w:szCs w:val="24"/>
        </w:rPr>
        <w:t>Kada su jedinični troškovi i nove nabave za sv</w:t>
      </w:r>
      <w:r w:rsidR="00FA6C09">
        <w:rPr>
          <w:sz w:val="24"/>
          <w:szCs w:val="24"/>
        </w:rPr>
        <w:t>a</w:t>
      </w:r>
      <w:r w:rsidRPr="003D3219">
        <w:rPr>
          <w:sz w:val="24"/>
          <w:szCs w:val="24"/>
        </w:rPr>
        <w:t>ki resurs i godinu određeni, u trećem koraku se računaju troškovi.</w:t>
      </w:r>
    </w:p>
    <w:p w:rsidR="003D3219" w:rsidRPr="003D3219" w:rsidRDefault="003D3219" w:rsidP="003D3219">
      <w:pPr>
        <w:jc w:val="both"/>
        <w:rPr>
          <w:sz w:val="24"/>
          <w:szCs w:val="24"/>
        </w:rPr>
      </w:pPr>
      <w:r w:rsidRPr="003D3219">
        <w:rPr>
          <w:sz w:val="24"/>
          <w:szCs w:val="24"/>
        </w:rPr>
        <w:t>Kada se izračuna CapEx, a prije njegove raspodjele na godine (anu</w:t>
      </w:r>
      <w:r w:rsidR="00D74E79">
        <w:rPr>
          <w:sz w:val="24"/>
          <w:szCs w:val="24"/>
        </w:rPr>
        <w:t>a</w:t>
      </w:r>
      <w:r w:rsidRPr="003D3219">
        <w:rPr>
          <w:sz w:val="24"/>
          <w:szCs w:val="24"/>
        </w:rPr>
        <w:t>lizacije), rade se dvije prilagodbe:</w:t>
      </w:r>
    </w:p>
    <w:p w:rsidR="003D3219" w:rsidRPr="003D3219" w:rsidRDefault="003D3219" w:rsidP="00C433F8">
      <w:pPr>
        <w:numPr>
          <w:ilvl w:val="0"/>
          <w:numId w:val="29"/>
        </w:numPr>
        <w:contextualSpacing/>
        <w:jc w:val="both"/>
        <w:rPr>
          <w:sz w:val="24"/>
          <w:szCs w:val="24"/>
        </w:rPr>
      </w:pPr>
      <w:r w:rsidRPr="003D3219">
        <w:rPr>
          <w:sz w:val="24"/>
          <w:szCs w:val="24"/>
        </w:rPr>
        <w:t>Uklanjaju se ulaganja pokrivena sredstvima iz ONP programa.</w:t>
      </w:r>
    </w:p>
    <w:p w:rsidR="003D3219" w:rsidRDefault="003D3219" w:rsidP="00C433F8">
      <w:pPr>
        <w:numPr>
          <w:ilvl w:val="0"/>
          <w:numId w:val="29"/>
        </w:numPr>
        <w:contextualSpacing/>
        <w:jc w:val="both"/>
        <w:rPr>
          <w:sz w:val="24"/>
          <w:szCs w:val="24"/>
        </w:rPr>
      </w:pPr>
      <w:r w:rsidRPr="003D3219">
        <w:rPr>
          <w:sz w:val="24"/>
          <w:szCs w:val="24"/>
        </w:rPr>
        <w:t xml:space="preserve">Uzimanje u obzir potpuno amortizirane imovine (kako je opisano u poglavlju </w:t>
      </w:r>
      <w:r w:rsidRPr="003D3219">
        <w:rPr>
          <w:sz w:val="24"/>
          <w:szCs w:val="24"/>
        </w:rPr>
        <w:fldChar w:fldCharType="begin"/>
      </w:r>
      <w:r w:rsidRPr="003D3219">
        <w:rPr>
          <w:sz w:val="24"/>
          <w:szCs w:val="24"/>
        </w:rPr>
        <w:instrText xml:space="preserve"> REF _Ref51447208 \r \h </w:instrText>
      </w:r>
      <w:r w:rsidRPr="003D3219">
        <w:rPr>
          <w:sz w:val="24"/>
          <w:szCs w:val="24"/>
        </w:rPr>
      </w:r>
      <w:r w:rsidRPr="003D3219">
        <w:rPr>
          <w:sz w:val="24"/>
          <w:szCs w:val="24"/>
        </w:rPr>
        <w:fldChar w:fldCharType="separate"/>
      </w:r>
      <w:r w:rsidR="00B047B3">
        <w:rPr>
          <w:sz w:val="24"/>
          <w:szCs w:val="24"/>
        </w:rPr>
        <w:t>4.3.7</w:t>
      </w:r>
      <w:r w:rsidRPr="003D3219">
        <w:rPr>
          <w:sz w:val="24"/>
          <w:szCs w:val="24"/>
        </w:rPr>
        <w:fldChar w:fldCharType="end"/>
      </w:r>
      <w:r w:rsidRPr="003D3219">
        <w:rPr>
          <w:sz w:val="24"/>
          <w:szCs w:val="24"/>
        </w:rPr>
        <w:t>)</w:t>
      </w:r>
    </w:p>
    <w:p w:rsidR="00C00568" w:rsidRPr="003D3219" w:rsidRDefault="00C00568" w:rsidP="00C00568">
      <w:pPr>
        <w:ind w:left="720"/>
        <w:contextualSpacing/>
        <w:jc w:val="both"/>
        <w:rPr>
          <w:sz w:val="24"/>
          <w:szCs w:val="24"/>
        </w:rPr>
      </w:pPr>
    </w:p>
    <w:p w:rsidR="003D3219" w:rsidRPr="003D3219" w:rsidRDefault="003D3219" w:rsidP="003A6F28">
      <w:pPr>
        <w:pStyle w:val="Heading2"/>
      </w:pPr>
      <w:bookmarkStart w:id="558" w:name="_Toc51676920"/>
      <w:bookmarkStart w:id="559" w:name="_Toc53941986"/>
      <w:bookmarkStart w:id="560" w:name="_Toc54250957"/>
      <w:bookmarkStart w:id="561" w:name="_Toc54252855"/>
      <w:bookmarkStart w:id="562" w:name="_Toc54261667"/>
      <w:r w:rsidRPr="003D3219">
        <w:t>Modul za amortizaciju</w:t>
      </w:r>
      <w:bookmarkEnd w:id="558"/>
      <w:bookmarkEnd w:id="559"/>
      <w:bookmarkEnd w:id="560"/>
      <w:bookmarkEnd w:id="561"/>
      <w:bookmarkEnd w:id="562"/>
    </w:p>
    <w:p w:rsidR="003D3219" w:rsidRPr="003D3219" w:rsidRDefault="003D3219" w:rsidP="003D3219">
      <w:pPr>
        <w:jc w:val="both"/>
        <w:rPr>
          <w:sz w:val="24"/>
          <w:szCs w:val="24"/>
        </w:rPr>
      </w:pPr>
      <w:r w:rsidRPr="003D3219">
        <w:rPr>
          <w:sz w:val="24"/>
          <w:szCs w:val="24"/>
        </w:rPr>
        <w:t>Modul za amortizaciju koristi dvije metode amortizacije za distribuciju troškova CapEX-a po godinama. Troškovni model, kao što je već ranije spomenuto, podržava rad s dvije metode amortizacije:</w:t>
      </w:r>
    </w:p>
    <w:p w:rsidR="003D3219" w:rsidRPr="003D3219" w:rsidRDefault="003D3219" w:rsidP="00C433F8">
      <w:pPr>
        <w:numPr>
          <w:ilvl w:val="0"/>
          <w:numId w:val="26"/>
        </w:numPr>
        <w:contextualSpacing/>
        <w:jc w:val="both"/>
        <w:rPr>
          <w:sz w:val="24"/>
          <w:szCs w:val="24"/>
        </w:rPr>
      </w:pPr>
      <w:r w:rsidRPr="003D3219">
        <w:rPr>
          <w:sz w:val="24"/>
          <w:szCs w:val="24"/>
        </w:rPr>
        <w:t>Metoda kosih anuiteta</w:t>
      </w:r>
    </w:p>
    <w:p w:rsidR="003D3219" w:rsidRPr="003D3219" w:rsidRDefault="003D3219" w:rsidP="00C433F8">
      <w:pPr>
        <w:numPr>
          <w:ilvl w:val="0"/>
          <w:numId w:val="26"/>
        </w:numPr>
        <w:contextualSpacing/>
        <w:jc w:val="both"/>
        <w:rPr>
          <w:sz w:val="24"/>
          <w:szCs w:val="24"/>
        </w:rPr>
      </w:pPr>
      <w:r w:rsidRPr="003D3219">
        <w:rPr>
          <w:sz w:val="24"/>
          <w:szCs w:val="24"/>
        </w:rPr>
        <w:t>Ekonomska amortizacija</w:t>
      </w:r>
    </w:p>
    <w:p w:rsidR="003D3219" w:rsidRPr="003D3219" w:rsidRDefault="003D3219" w:rsidP="003D3219">
      <w:pPr>
        <w:jc w:val="both"/>
        <w:rPr>
          <w:sz w:val="24"/>
          <w:szCs w:val="24"/>
        </w:rPr>
      </w:pPr>
      <w:r w:rsidRPr="003D3219">
        <w:rPr>
          <w:sz w:val="24"/>
          <w:szCs w:val="24"/>
        </w:rPr>
        <w:t>Odabrana metoda može imati bitan utjecaj na rezultate Troškovnog modela.</w:t>
      </w:r>
    </w:p>
    <w:p w:rsidR="003D3219" w:rsidRPr="003D3219" w:rsidRDefault="003D3219" w:rsidP="003A6F28">
      <w:pPr>
        <w:pStyle w:val="Subtitle"/>
      </w:pPr>
      <w:r w:rsidRPr="003D3219">
        <w:t>Metoda kosih anuiteta</w:t>
      </w:r>
    </w:p>
    <w:p w:rsidR="003D3219" w:rsidRPr="003D3219" w:rsidRDefault="003D3219" w:rsidP="003D3219">
      <w:pPr>
        <w:jc w:val="both"/>
        <w:rPr>
          <w:sz w:val="24"/>
          <w:szCs w:val="24"/>
        </w:rPr>
      </w:pPr>
      <w:r w:rsidRPr="003D3219">
        <w:rPr>
          <w:sz w:val="24"/>
          <w:szCs w:val="24"/>
        </w:rPr>
        <w:t>Metoda kosih anuiteta (</w:t>
      </w:r>
      <w:r w:rsidRPr="003D3219">
        <w:rPr>
          <w:i/>
          <w:sz w:val="24"/>
          <w:szCs w:val="24"/>
        </w:rPr>
        <w:t xml:space="preserve">eng. Tilted </w:t>
      </w:r>
      <w:r w:rsidR="008C0B99">
        <w:rPr>
          <w:i/>
          <w:sz w:val="24"/>
          <w:szCs w:val="24"/>
        </w:rPr>
        <w:t>Annuities</w:t>
      </w:r>
      <w:r w:rsidRPr="003D3219">
        <w:rPr>
          <w:sz w:val="24"/>
          <w:szCs w:val="24"/>
        </w:rPr>
        <w:t xml:space="preserve">) prilagođava profil nadoknade troškova na način da uzima u obzir fluktuacije u cijenama imovine. Na primjer, u slučaju kada cijena imovine pada, novi operator koji tek ulazi na tržište bi mogao imati veliku prednost u odnosu na postojeće operatore zbog toga jer će imati koristi od nižih cijena i stoga nižih troškova amortizacije. Primjenom pristupa metode kosih anuiteta, kada cijene padaju, veći udio troška imovine se nadoknađuje u početnom </w:t>
      </w:r>
      <w:r w:rsidR="00B974EE">
        <w:rPr>
          <w:sz w:val="24"/>
          <w:szCs w:val="24"/>
        </w:rPr>
        <w:t>razdoblju</w:t>
      </w:r>
      <w:r w:rsidRPr="003D3219">
        <w:rPr>
          <w:sz w:val="24"/>
          <w:szCs w:val="24"/>
        </w:rPr>
        <w:t xml:space="preserve"> tako da bi svim sudionicima na tržištu bio priznat isti trošak, ne uzimajući u obzir vrijeme kada su ušli na tržište.</w:t>
      </w:r>
    </w:p>
    <w:p w:rsidR="003D3219" w:rsidRPr="003D3219" w:rsidRDefault="003D3219" w:rsidP="003D3219">
      <w:pPr>
        <w:jc w:val="both"/>
        <w:rPr>
          <w:rFonts w:cstheme="minorHAnsi"/>
          <w:sz w:val="24"/>
          <w:szCs w:val="24"/>
        </w:rPr>
      </w:pPr>
      <w:r w:rsidRPr="003D3219">
        <w:rPr>
          <w:rFonts w:cstheme="minorHAnsi"/>
          <w:sz w:val="24"/>
          <w:szCs w:val="24"/>
        </w:rPr>
        <w:t>U slučaju odabira metode kosih anuiteta, u Troškovnom modelu se primjenjuje donja formula:</w:t>
      </w:r>
    </w:p>
    <w:p w:rsidR="003D3219" w:rsidRPr="003D3219" w:rsidRDefault="00864638" w:rsidP="003D3219">
      <w:pPr>
        <w:jc w:val="both"/>
        <w:rPr>
          <w:rFonts w:cstheme="minorHAnsi"/>
          <w:sz w:val="24"/>
          <w:szCs w:val="24"/>
          <w:lang w:val="en-GB"/>
        </w:rPr>
      </w:pPr>
      <m:oMathPara>
        <m:oMath>
          <m:sSub>
            <m:sSubPr>
              <m:ctrlPr>
                <w:rPr>
                  <w:rFonts w:ascii="Cambria Math" w:hAnsi="Cambria Math" w:cstheme="minorHAnsi"/>
                  <w:i/>
                  <w:sz w:val="24"/>
                  <w:szCs w:val="24"/>
                  <w:lang w:val="en-GB"/>
                </w:rPr>
              </m:ctrlPr>
            </m:sSubPr>
            <m:e>
              <m:r>
                <w:rPr>
                  <w:rFonts w:ascii="Cambria Math" w:hAnsi="Cambria Math" w:cstheme="minorHAnsi"/>
                  <w:sz w:val="24"/>
                  <w:szCs w:val="24"/>
                  <w:lang w:val="en-GB"/>
                </w:rPr>
                <m:t>d</m:t>
              </m:r>
            </m:e>
            <m:sub>
              <m:r>
                <w:rPr>
                  <w:rFonts w:ascii="Cambria Math" w:hAnsi="Cambria Math" w:cstheme="minorHAnsi"/>
                  <w:sz w:val="24"/>
                  <w:szCs w:val="24"/>
                  <w:lang w:val="en-GB"/>
                </w:rPr>
                <m:t>i</m:t>
              </m:r>
            </m:sub>
          </m:sSub>
          <m:r>
            <w:rPr>
              <w:rFonts w:ascii="Cambria Math" w:hAnsi="Cambria Math" w:cstheme="minorHAnsi"/>
              <w:sz w:val="24"/>
              <w:szCs w:val="24"/>
              <w:lang w:val="en-GB"/>
            </w:rPr>
            <m:t>=GR</m:t>
          </m:r>
          <m:sSub>
            <m:sSubPr>
              <m:ctrlPr>
                <w:rPr>
                  <w:rFonts w:ascii="Cambria Math" w:hAnsi="Cambria Math" w:cstheme="minorHAnsi"/>
                  <w:i/>
                  <w:sz w:val="24"/>
                  <w:szCs w:val="24"/>
                  <w:lang w:val="en-GB"/>
                </w:rPr>
              </m:ctrlPr>
            </m:sSubPr>
            <m:e>
              <m:r>
                <w:rPr>
                  <w:rFonts w:ascii="Cambria Math" w:hAnsi="Cambria Math" w:cstheme="minorHAnsi"/>
                  <w:sz w:val="24"/>
                  <w:szCs w:val="24"/>
                  <w:lang w:val="en-GB"/>
                </w:rPr>
                <m:t>C</m:t>
              </m:r>
            </m:e>
            <m:sub>
              <m:r>
                <w:rPr>
                  <w:rFonts w:ascii="Cambria Math" w:hAnsi="Cambria Math" w:cstheme="minorHAnsi"/>
                  <w:sz w:val="24"/>
                  <w:szCs w:val="24"/>
                  <w:lang w:val="en-GB"/>
                </w:rPr>
                <m:t>i</m:t>
              </m:r>
            </m:sub>
          </m:sSub>
          <m:r>
            <w:rPr>
              <w:rFonts w:ascii="Cambria Math" w:hAnsi="Cambria Math" w:cstheme="minorHAnsi"/>
              <w:sz w:val="24"/>
              <w:szCs w:val="24"/>
              <w:lang w:val="en-GB"/>
            </w:rPr>
            <m:t>·</m:t>
          </m:r>
          <m:f>
            <m:fPr>
              <m:ctrlPr>
                <w:rPr>
                  <w:rFonts w:ascii="Cambria Math" w:hAnsi="Cambria Math" w:cstheme="minorHAnsi"/>
                  <w:i/>
                  <w:sz w:val="24"/>
                  <w:szCs w:val="24"/>
                  <w:lang w:val="en-GB"/>
                </w:rPr>
              </m:ctrlPr>
            </m:fPr>
            <m:num>
              <m:r>
                <w:rPr>
                  <w:rFonts w:ascii="Cambria Math" w:hAnsi="Cambria Math" w:cstheme="minorHAnsi"/>
                  <w:sz w:val="24"/>
                  <w:szCs w:val="24"/>
                  <w:lang w:val="en-GB"/>
                </w:rPr>
                <m:t>WACC-Price trend</m:t>
              </m:r>
            </m:num>
            <m:den>
              <m:r>
                <w:rPr>
                  <w:rFonts w:ascii="Cambria Math" w:hAnsi="Cambria Math" w:cstheme="minorHAnsi"/>
                  <w:sz w:val="24"/>
                  <w:szCs w:val="24"/>
                  <w:lang w:val="en-GB"/>
                </w:rPr>
                <m:t>1-</m:t>
              </m:r>
              <m:sSup>
                <m:sSupPr>
                  <m:ctrlPr>
                    <w:rPr>
                      <w:rFonts w:ascii="Cambria Math" w:hAnsi="Cambria Math" w:cstheme="minorHAnsi"/>
                      <w:i/>
                      <w:sz w:val="24"/>
                      <w:szCs w:val="24"/>
                      <w:lang w:val="en-GB"/>
                    </w:rPr>
                  </m:ctrlPr>
                </m:sSupPr>
                <m:e>
                  <m:d>
                    <m:dPr>
                      <m:ctrlPr>
                        <w:rPr>
                          <w:rFonts w:ascii="Cambria Math" w:hAnsi="Cambria Math" w:cstheme="minorHAnsi"/>
                          <w:i/>
                          <w:sz w:val="24"/>
                          <w:szCs w:val="24"/>
                          <w:lang w:val="en-GB"/>
                        </w:rPr>
                      </m:ctrlPr>
                    </m:dPr>
                    <m:e>
                      <m:f>
                        <m:fPr>
                          <m:ctrlPr>
                            <w:rPr>
                              <w:rFonts w:ascii="Cambria Math" w:hAnsi="Cambria Math" w:cstheme="minorHAnsi"/>
                              <w:i/>
                              <w:sz w:val="24"/>
                              <w:szCs w:val="24"/>
                              <w:lang w:val="en-GB"/>
                            </w:rPr>
                          </m:ctrlPr>
                        </m:fPr>
                        <m:num>
                          <m:r>
                            <w:rPr>
                              <w:rFonts w:ascii="Cambria Math" w:hAnsi="Cambria Math" w:cstheme="minorHAnsi"/>
                              <w:sz w:val="24"/>
                              <w:szCs w:val="24"/>
                              <w:lang w:val="en-GB"/>
                            </w:rPr>
                            <m:t>1+Price trend</m:t>
                          </m:r>
                        </m:num>
                        <m:den>
                          <m:r>
                            <w:rPr>
                              <w:rFonts w:ascii="Cambria Math" w:hAnsi="Cambria Math" w:cstheme="minorHAnsi"/>
                              <w:sz w:val="24"/>
                              <w:szCs w:val="24"/>
                              <w:lang w:val="en-GB"/>
                            </w:rPr>
                            <m:t>1+WACC</m:t>
                          </m:r>
                        </m:den>
                      </m:f>
                    </m:e>
                  </m:d>
                </m:e>
                <m:sup>
                  <m:r>
                    <w:rPr>
                      <w:rFonts w:ascii="Cambria Math" w:hAnsi="Cambria Math" w:cstheme="minorHAnsi"/>
                      <w:sz w:val="24"/>
                      <w:szCs w:val="24"/>
                      <w:lang w:val="en-GB"/>
                    </w:rPr>
                    <m:t>UL</m:t>
                  </m:r>
                </m:sup>
              </m:sSup>
            </m:den>
          </m:f>
        </m:oMath>
      </m:oMathPara>
    </w:p>
    <w:p w:rsidR="003D3219" w:rsidRPr="005028E4" w:rsidRDefault="003D3219" w:rsidP="003D3219">
      <w:pPr>
        <w:jc w:val="both"/>
        <w:rPr>
          <w:rFonts w:cstheme="minorHAnsi"/>
          <w:sz w:val="24"/>
          <w:szCs w:val="24"/>
        </w:rPr>
      </w:pPr>
      <w:r w:rsidRPr="005028E4">
        <w:rPr>
          <w:rFonts w:cstheme="minorHAnsi"/>
          <w:sz w:val="24"/>
          <w:szCs w:val="24"/>
        </w:rPr>
        <w:t>gdje su:</w:t>
      </w:r>
    </w:p>
    <w:p w:rsidR="003D3219" w:rsidRPr="005028E4" w:rsidRDefault="003D3219" w:rsidP="00C433F8">
      <w:pPr>
        <w:numPr>
          <w:ilvl w:val="0"/>
          <w:numId w:val="27"/>
        </w:numPr>
        <w:contextualSpacing/>
        <w:jc w:val="both"/>
        <w:rPr>
          <w:rFonts w:cstheme="minorHAnsi"/>
          <w:sz w:val="24"/>
          <w:szCs w:val="24"/>
        </w:rPr>
      </w:pPr>
      <w:r w:rsidRPr="005028E4">
        <w:rPr>
          <w:rFonts w:cstheme="minorHAnsi"/>
          <w:b/>
          <w:sz w:val="24"/>
          <w:szCs w:val="24"/>
        </w:rPr>
        <w:t>GRC</w:t>
      </w:r>
      <w:r w:rsidRPr="005028E4">
        <w:rPr>
          <w:rFonts w:cstheme="minorHAnsi"/>
          <w:sz w:val="24"/>
          <w:szCs w:val="24"/>
        </w:rPr>
        <w:t xml:space="preserve"> </w:t>
      </w:r>
      <w:r w:rsidRPr="005028E4">
        <w:rPr>
          <w:rFonts w:cstheme="minorHAnsi"/>
          <w:i/>
          <w:sz w:val="24"/>
          <w:szCs w:val="24"/>
        </w:rPr>
        <w:t>(</w:t>
      </w:r>
      <w:r w:rsidR="00255B43" w:rsidRPr="005028E4">
        <w:rPr>
          <w:rFonts w:cstheme="minorHAnsi"/>
          <w:i/>
          <w:sz w:val="24"/>
          <w:szCs w:val="24"/>
        </w:rPr>
        <w:t xml:space="preserve">Bruto trošak zamjene, </w:t>
      </w:r>
      <w:r w:rsidRPr="005028E4">
        <w:rPr>
          <w:rFonts w:cstheme="minorHAnsi"/>
          <w:i/>
          <w:sz w:val="24"/>
          <w:szCs w:val="24"/>
        </w:rPr>
        <w:t>eng</w:t>
      </w:r>
      <w:r w:rsidR="00255B43" w:rsidRPr="005028E4">
        <w:rPr>
          <w:rFonts w:cstheme="minorHAnsi"/>
          <w:i/>
          <w:sz w:val="24"/>
          <w:szCs w:val="24"/>
        </w:rPr>
        <w:t>.</w:t>
      </w:r>
      <w:r w:rsidRPr="005028E4">
        <w:rPr>
          <w:rFonts w:cstheme="minorHAnsi"/>
          <w:i/>
          <w:sz w:val="24"/>
          <w:szCs w:val="24"/>
        </w:rPr>
        <w:t xml:space="preserve"> Gross Replacement Cost</w:t>
      </w:r>
      <w:r w:rsidRPr="005028E4">
        <w:rPr>
          <w:rFonts w:cstheme="minorHAnsi"/>
          <w:sz w:val="24"/>
          <w:szCs w:val="24"/>
        </w:rPr>
        <w:t>) - GRC dodijeljen imovini</w:t>
      </w:r>
    </w:p>
    <w:p w:rsidR="003D3219" w:rsidRPr="005028E4" w:rsidRDefault="003D3219" w:rsidP="00C433F8">
      <w:pPr>
        <w:numPr>
          <w:ilvl w:val="0"/>
          <w:numId w:val="27"/>
        </w:numPr>
        <w:contextualSpacing/>
        <w:jc w:val="both"/>
        <w:rPr>
          <w:rFonts w:cstheme="minorHAnsi"/>
          <w:sz w:val="24"/>
          <w:szCs w:val="24"/>
        </w:rPr>
      </w:pPr>
      <w:r w:rsidRPr="005028E4">
        <w:rPr>
          <w:rFonts w:cstheme="minorHAnsi"/>
          <w:b/>
          <w:sz w:val="24"/>
          <w:szCs w:val="24"/>
        </w:rPr>
        <w:t xml:space="preserve">di –  </w:t>
      </w:r>
      <w:r w:rsidRPr="005028E4">
        <w:rPr>
          <w:rFonts w:cstheme="minorHAnsi"/>
          <w:sz w:val="24"/>
          <w:szCs w:val="24"/>
        </w:rPr>
        <w:t>anualizirani trošak u godini i (unutar korisnog vijeka upotrebe)</w:t>
      </w:r>
    </w:p>
    <w:p w:rsidR="003D3219" w:rsidRPr="005028E4" w:rsidRDefault="003D3219" w:rsidP="00C433F8">
      <w:pPr>
        <w:numPr>
          <w:ilvl w:val="0"/>
          <w:numId w:val="27"/>
        </w:numPr>
        <w:contextualSpacing/>
        <w:jc w:val="both"/>
        <w:rPr>
          <w:rFonts w:cstheme="minorHAnsi"/>
          <w:sz w:val="24"/>
          <w:szCs w:val="24"/>
        </w:rPr>
      </w:pPr>
      <w:r w:rsidRPr="005028E4">
        <w:rPr>
          <w:rFonts w:cstheme="minorHAnsi"/>
          <w:b/>
          <w:sz w:val="24"/>
          <w:szCs w:val="24"/>
        </w:rPr>
        <w:t>WACC</w:t>
      </w:r>
      <w:r w:rsidRPr="005028E4">
        <w:rPr>
          <w:rFonts w:cstheme="minorHAnsi"/>
          <w:sz w:val="24"/>
          <w:szCs w:val="24"/>
        </w:rPr>
        <w:t xml:space="preserve"> ( eng. Weighted Average Cost of Capital)- trošak kapitala</w:t>
      </w:r>
    </w:p>
    <w:p w:rsidR="003D3219" w:rsidRPr="005028E4" w:rsidRDefault="003D3219" w:rsidP="00C433F8">
      <w:pPr>
        <w:numPr>
          <w:ilvl w:val="0"/>
          <w:numId w:val="27"/>
        </w:numPr>
        <w:contextualSpacing/>
        <w:jc w:val="both"/>
        <w:rPr>
          <w:rFonts w:cstheme="minorHAnsi"/>
          <w:sz w:val="24"/>
          <w:szCs w:val="24"/>
        </w:rPr>
      </w:pPr>
      <w:r w:rsidRPr="005028E4">
        <w:rPr>
          <w:rFonts w:cstheme="minorHAnsi"/>
          <w:b/>
          <w:sz w:val="24"/>
          <w:szCs w:val="24"/>
        </w:rPr>
        <w:t>Price trend</w:t>
      </w:r>
      <w:r w:rsidRPr="005028E4">
        <w:rPr>
          <w:rFonts w:cstheme="minorHAnsi"/>
          <w:sz w:val="24"/>
          <w:szCs w:val="24"/>
        </w:rPr>
        <w:t xml:space="preserve"> – stopa izmjene cijena imovine</w:t>
      </w:r>
    </w:p>
    <w:p w:rsidR="003D3219" w:rsidRPr="005028E4" w:rsidRDefault="003D3219" w:rsidP="00C433F8">
      <w:pPr>
        <w:numPr>
          <w:ilvl w:val="0"/>
          <w:numId w:val="27"/>
        </w:numPr>
        <w:contextualSpacing/>
        <w:jc w:val="both"/>
        <w:rPr>
          <w:rFonts w:cstheme="minorHAnsi"/>
          <w:sz w:val="24"/>
          <w:szCs w:val="24"/>
        </w:rPr>
      </w:pPr>
      <w:r w:rsidRPr="005028E4">
        <w:rPr>
          <w:rFonts w:cstheme="minorHAnsi"/>
          <w:b/>
          <w:sz w:val="24"/>
          <w:szCs w:val="24"/>
        </w:rPr>
        <w:t>UL</w:t>
      </w:r>
      <w:r w:rsidRPr="005028E4">
        <w:rPr>
          <w:rFonts w:cstheme="minorHAnsi"/>
          <w:sz w:val="24"/>
          <w:szCs w:val="24"/>
        </w:rPr>
        <w:t xml:space="preserve"> – korisni vijek </w:t>
      </w:r>
      <w:r w:rsidR="00467F15" w:rsidRPr="005028E4">
        <w:rPr>
          <w:rFonts w:cstheme="minorHAnsi"/>
          <w:sz w:val="24"/>
          <w:szCs w:val="24"/>
        </w:rPr>
        <w:t>upotreb</w:t>
      </w:r>
      <w:r w:rsidRPr="005028E4">
        <w:rPr>
          <w:rFonts w:cstheme="minorHAnsi"/>
          <w:sz w:val="24"/>
          <w:szCs w:val="24"/>
        </w:rPr>
        <w:t>e imovine</w:t>
      </w:r>
    </w:p>
    <w:p w:rsidR="003D3219" w:rsidRPr="005028E4" w:rsidRDefault="003D3219" w:rsidP="003D3219">
      <w:pPr>
        <w:jc w:val="both"/>
        <w:rPr>
          <w:sz w:val="24"/>
          <w:szCs w:val="24"/>
        </w:rPr>
      </w:pPr>
      <w:r w:rsidRPr="005028E4">
        <w:rPr>
          <w:sz w:val="24"/>
          <w:szCs w:val="24"/>
        </w:rPr>
        <w:t xml:space="preserve">Glavna prednost metode kosih anuiteta je da ona točno odražava operativne i </w:t>
      </w:r>
      <w:r w:rsidR="00D84FC4" w:rsidRPr="005028E4">
        <w:rPr>
          <w:sz w:val="24"/>
          <w:szCs w:val="24"/>
        </w:rPr>
        <w:t>financijske</w:t>
      </w:r>
      <w:r w:rsidRPr="005028E4">
        <w:rPr>
          <w:sz w:val="24"/>
          <w:szCs w:val="24"/>
        </w:rPr>
        <w:t xml:space="preserve"> realnosti operatora, uz istovremeno prepoznavanje koristi koje može imati novi operator koji tek ulazi na tržište</w:t>
      </w:r>
      <w:r w:rsidR="00FA6C09" w:rsidRPr="005028E4">
        <w:rPr>
          <w:sz w:val="24"/>
          <w:szCs w:val="24"/>
        </w:rPr>
        <w:t xml:space="preserve"> </w:t>
      </w:r>
      <w:r w:rsidRPr="005028E4">
        <w:rPr>
          <w:sz w:val="24"/>
          <w:szCs w:val="24"/>
        </w:rPr>
        <w:t>kroz trend promjene cijena imovine. Dodatno, kod primjene metode kosih anuiteta se izbjegava utjecaj prognoza prometa na sadašnje rezultate i omogućava ravnotež</w:t>
      </w:r>
      <w:r w:rsidR="00FA6C09" w:rsidRPr="005028E4">
        <w:rPr>
          <w:sz w:val="24"/>
          <w:szCs w:val="24"/>
        </w:rPr>
        <w:t>a</w:t>
      </w:r>
      <w:r w:rsidRPr="005028E4">
        <w:rPr>
          <w:sz w:val="24"/>
          <w:szCs w:val="24"/>
        </w:rPr>
        <w:t xml:space="preserve"> između ekonomske točnosti i jednostavnosti implementacije. Kod primjene ove metode, na jedinični trošak u određenoj godini ne utječu promjene u trendovima potražnje u sljedećim godinama. Međutim, na trošak utječu trendovi iz prošlosti do te godine.</w:t>
      </w:r>
    </w:p>
    <w:p w:rsidR="003D3219" w:rsidRPr="005028E4" w:rsidRDefault="003D3219" w:rsidP="003D3219">
      <w:pPr>
        <w:jc w:val="both"/>
        <w:rPr>
          <w:sz w:val="24"/>
          <w:szCs w:val="24"/>
        </w:rPr>
      </w:pPr>
      <w:r w:rsidRPr="005028E4">
        <w:rPr>
          <w:sz w:val="24"/>
          <w:szCs w:val="24"/>
        </w:rPr>
        <w:t xml:space="preserve">Glavna razlika u odnosu na metodu ekonomske amortizacije, koja je druga opcija za primjenu u Troškovnom modelu, je da u slučaju novoizgrađene mreže (npr. svjetlovodne FTTH mreže), metoda kosih anuiteta daje značajno visoke jedinične troškove u prvih nekoliko godina. To je zbog toga jer se najveći dio ulaganja u gradnju nove mreže odvija tijekom početnog perioda, dok je za prihvaćanje ( pa tako i za </w:t>
      </w:r>
      <w:r w:rsidRPr="005028E4">
        <w:rPr>
          <w:i/>
          <w:sz w:val="24"/>
          <w:szCs w:val="24"/>
        </w:rPr>
        <w:t>take up</w:t>
      </w:r>
      <w:r w:rsidRPr="005028E4">
        <w:rPr>
          <w:sz w:val="24"/>
          <w:szCs w:val="24"/>
        </w:rPr>
        <w:t xml:space="preserve"> ) nove mreže potrebno neko dulje vrijeme.</w:t>
      </w:r>
    </w:p>
    <w:p w:rsidR="003D3219" w:rsidRPr="005028E4" w:rsidRDefault="003D3219" w:rsidP="003D3219">
      <w:pPr>
        <w:jc w:val="both"/>
        <w:rPr>
          <w:sz w:val="24"/>
          <w:szCs w:val="24"/>
        </w:rPr>
      </w:pPr>
      <w:r w:rsidRPr="005028E4">
        <w:rPr>
          <w:sz w:val="24"/>
          <w:szCs w:val="24"/>
        </w:rPr>
        <w:t xml:space="preserve">Uzimajući u obzir gore navedeni nedostatak, važno je znati da postoji alternativna mogućnost da se veleprodajne cijene u slučaju odabira ove metode amortizacije odrede na temelju prosječnog jediničnog troška uzimajući u obzir </w:t>
      </w:r>
      <w:r w:rsidR="00B974EE" w:rsidRPr="005028E4">
        <w:rPr>
          <w:sz w:val="24"/>
          <w:szCs w:val="24"/>
        </w:rPr>
        <w:t>dulje razdoblje</w:t>
      </w:r>
      <w:r w:rsidRPr="005028E4">
        <w:rPr>
          <w:sz w:val="24"/>
          <w:szCs w:val="24"/>
        </w:rPr>
        <w:t>, primjerice deset godina. Drugim r</w:t>
      </w:r>
      <w:r w:rsidR="00D74E79" w:rsidRPr="005028E4">
        <w:rPr>
          <w:sz w:val="24"/>
          <w:szCs w:val="24"/>
        </w:rPr>
        <w:t>i</w:t>
      </w:r>
      <w:r w:rsidRPr="005028E4">
        <w:rPr>
          <w:sz w:val="24"/>
          <w:szCs w:val="24"/>
        </w:rPr>
        <w:t>ječima, cijena u određenoj godini X se ne bi odredila na temelju troška koji Troškovni modela računa za tu godinu X, nego n</w:t>
      </w:r>
      <w:r w:rsidR="00D74E79" w:rsidRPr="005028E4">
        <w:rPr>
          <w:sz w:val="24"/>
          <w:szCs w:val="24"/>
        </w:rPr>
        <w:t>a</w:t>
      </w:r>
      <w:r w:rsidRPr="005028E4">
        <w:rPr>
          <w:sz w:val="24"/>
          <w:szCs w:val="24"/>
        </w:rPr>
        <w:t xml:space="preserve"> temelju prosjeka jediničnih godišnjih troškova u </w:t>
      </w:r>
      <w:r w:rsidR="00B974EE" w:rsidRPr="005028E4">
        <w:rPr>
          <w:sz w:val="24"/>
          <w:szCs w:val="24"/>
        </w:rPr>
        <w:t>razdoblju</w:t>
      </w:r>
      <w:r w:rsidRPr="005028E4">
        <w:rPr>
          <w:sz w:val="24"/>
          <w:szCs w:val="24"/>
        </w:rPr>
        <w:t xml:space="preserve"> od X+10 godina.</w:t>
      </w:r>
    </w:p>
    <w:p w:rsidR="003D3219" w:rsidRPr="005028E4" w:rsidRDefault="003D3219" w:rsidP="003D3219">
      <w:pPr>
        <w:jc w:val="both"/>
        <w:rPr>
          <w:sz w:val="24"/>
          <w:szCs w:val="24"/>
        </w:rPr>
      </w:pPr>
      <w:r w:rsidRPr="005028E4">
        <w:rPr>
          <w:sz w:val="24"/>
          <w:szCs w:val="24"/>
        </w:rPr>
        <w:fldChar w:fldCharType="begin"/>
      </w:r>
      <w:r w:rsidRPr="005028E4">
        <w:rPr>
          <w:sz w:val="24"/>
          <w:szCs w:val="24"/>
        </w:rPr>
        <w:instrText xml:space="preserve"> REF _Ref51574427 \h </w:instrText>
      </w:r>
      <w:r w:rsidR="00F93C9F" w:rsidRPr="005028E4">
        <w:rPr>
          <w:sz w:val="24"/>
          <w:szCs w:val="24"/>
        </w:rPr>
        <w:instrText xml:space="preserve"> \* MERGEFORMAT </w:instrText>
      </w:r>
      <w:r w:rsidRPr="005028E4">
        <w:rPr>
          <w:sz w:val="24"/>
          <w:szCs w:val="24"/>
        </w:rPr>
      </w:r>
      <w:r w:rsidRPr="005028E4">
        <w:rPr>
          <w:sz w:val="24"/>
          <w:szCs w:val="24"/>
        </w:rPr>
        <w:fldChar w:fldCharType="separate"/>
      </w:r>
      <w:r w:rsidR="00B047B3" w:rsidRPr="00B047B3">
        <w:rPr>
          <w:sz w:val="24"/>
          <w:szCs w:val="24"/>
        </w:rPr>
        <w:t>Tablica 5</w:t>
      </w:r>
      <w:r w:rsidRPr="005028E4">
        <w:rPr>
          <w:sz w:val="24"/>
          <w:szCs w:val="24"/>
        </w:rPr>
        <w:fldChar w:fldCharType="end"/>
      </w:r>
      <w:r w:rsidRPr="005028E4">
        <w:rPr>
          <w:sz w:val="24"/>
          <w:szCs w:val="24"/>
        </w:rPr>
        <w:t xml:space="preserve"> prikazuje glavne </w:t>
      </w:r>
      <w:r w:rsidR="00FA6C09" w:rsidRPr="005028E4">
        <w:rPr>
          <w:sz w:val="24"/>
          <w:szCs w:val="24"/>
        </w:rPr>
        <w:t>prednosti</w:t>
      </w:r>
      <w:r w:rsidRPr="005028E4">
        <w:rPr>
          <w:sz w:val="24"/>
          <w:szCs w:val="24"/>
        </w:rPr>
        <w:t xml:space="preserve"> i nedostatke metode kosih anuiteta.</w:t>
      </w:r>
    </w:p>
    <w:tbl>
      <w:tblPr>
        <w:tblW w:w="8412" w:type="dxa"/>
        <w:jc w:val="right"/>
        <w:tblBorders>
          <w:top w:val="single" w:sz="4" w:space="0" w:color="4F629B"/>
          <w:left w:val="single" w:sz="4" w:space="0" w:color="4F629B"/>
          <w:bottom w:val="single" w:sz="4" w:space="0" w:color="4F629B"/>
          <w:right w:val="single" w:sz="4" w:space="0" w:color="4F629B"/>
          <w:insideH w:val="single" w:sz="4" w:space="0" w:color="4F629B"/>
          <w:insideV w:val="single" w:sz="4" w:space="0" w:color="4F629B"/>
        </w:tblBorders>
        <w:tblCellMar>
          <w:left w:w="70" w:type="dxa"/>
          <w:right w:w="70" w:type="dxa"/>
        </w:tblCellMar>
        <w:tblLook w:val="0420" w:firstRow="1" w:lastRow="0" w:firstColumn="0" w:lastColumn="0" w:noHBand="0" w:noVBand="1"/>
      </w:tblPr>
      <w:tblGrid>
        <w:gridCol w:w="4772"/>
        <w:gridCol w:w="3640"/>
      </w:tblGrid>
      <w:tr w:rsidR="003D3219" w:rsidRPr="005028E4" w:rsidTr="003A6F28">
        <w:trPr>
          <w:trHeight w:val="397"/>
          <w:jc w:val="right"/>
        </w:trPr>
        <w:tc>
          <w:tcPr>
            <w:tcW w:w="4772" w:type="dxa"/>
            <w:shd w:val="clear" w:color="auto" w:fill="4F629B"/>
            <w:vAlign w:val="center"/>
          </w:tcPr>
          <w:p w:rsidR="003D3219" w:rsidRPr="005028E4" w:rsidRDefault="003D3219" w:rsidP="003D3219">
            <w:pPr>
              <w:jc w:val="both"/>
              <w:rPr>
                <w:b/>
                <w:bCs/>
                <w:color w:val="FFFFFF" w:themeColor="background1"/>
                <w:sz w:val="20"/>
                <w:szCs w:val="20"/>
              </w:rPr>
            </w:pPr>
            <w:r w:rsidRPr="005028E4">
              <w:rPr>
                <w:b/>
                <w:bCs/>
                <w:color w:val="FFFFFF" w:themeColor="background1"/>
                <w:sz w:val="20"/>
                <w:szCs w:val="20"/>
              </w:rPr>
              <w:t>Prednosti</w:t>
            </w:r>
          </w:p>
        </w:tc>
        <w:tc>
          <w:tcPr>
            <w:tcW w:w="3640" w:type="dxa"/>
            <w:shd w:val="clear" w:color="auto" w:fill="4F629B"/>
            <w:vAlign w:val="center"/>
          </w:tcPr>
          <w:p w:rsidR="003D3219" w:rsidRPr="005028E4" w:rsidRDefault="003D3219" w:rsidP="003D3219">
            <w:pPr>
              <w:jc w:val="both"/>
              <w:rPr>
                <w:b/>
                <w:bCs/>
                <w:color w:val="FFFFFF" w:themeColor="background1"/>
                <w:sz w:val="20"/>
                <w:szCs w:val="20"/>
              </w:rPr>
            </w:pPr>
            <w:r w:rsidRPr="005028E4">
              <w:rPr>
                <w:b/>
                <w:bCs/>
                <w:color w:val="FFFFFF" w:themeColor="background1"/>
                <w:sz w:val="20"/>
                <w:szCs w:val="20"/>
              </w:rPr>
              <w:t>Nedostaci</w:t>
            </w:r>
          </w:p>
        </w:tc>
      </w:tr>
      <w:tr w:rsidR="003D3219" w:rsidRPr="005028E4" w:rsidTr="003A6F28">
        <w:trPr>
          <w:trHeight w:val="597"/>
          <w:jc w:val="right"/>
        </w:trPr>
        <w:tc>
          <w:tcPr>
            <w:tcW w:w="4772" w:type="dxa"/>
          </w:tcPr>
          <w:p w:rsidR="003D3219" w:rsidRPr="005028E4" w:rsidRDefault="003D3219" w:rsidP="00C433F8">
            <w:pPr>
              <w:numPr>
                <w:ilvl w:val="0"/>
                <w:numId w:val="30"/>
              </w:numPr>
              <w:contextualSpacing/>
              <w:jc w:val="both"/>
              <w:rPr>
                <w:sz w:val="20"/>
                <w:szCs w:val="20"/>
              </w:rPr>
            </w:pPr>
            <w:r w:rsidRPr="005028E4">
              <w:rPr>
                <w:sz w:val="20"/>
                <w:szCs w:val="20"/>
              </w:rPr>
              <w:t>Točno odražava operativne i financijske realnosti operatora</w:t>
            </w:r>
          </w:p>
          <w:p w:rsidR="003D3219" w:rsidRPr="005028E4" w:rsidRDefault="003D3219" w:rsidP="00C433F8">
            <w:pPr>
              <w:numPr>
                <w:ilvl w:val="0"/>
                <w:numId w:val="30"/>
              </w:numPr>
              <w:contextualSpacing/>
              <w:jc w:val="both"/>
              <w:rPr>
                <w:sz w:val="20"/>
                <w:szCs w:val="20"/>
              </w:rPr>
            </w:pPr>
            <w:r w:rsidRPr="005028E4">
              <w:rPr>
                <w:sz w:val="20"/>
                <w:szCs w:val="20"/>
              </w:rPr>
              <w:t>na rezultate ne utječu prognoze trenda buduće potražnje</w:t>
            </w:r>
          </w:p>
          <w:p w:rsidR="003D3219" w:rsidRPr="005028E4" w:rsidRDefault="003D3219" w:rsidP="00C433F8">
            <w:pPr>
              <w:numPr>
                <w:ilvl w:val="0"/>
                <w:numId w:val="30"/>
              </w:numPr>
              <w:contextualSpacing/>
              <w:jc w:val="both"/>
              <w:rPr>
                <w:sz w:val="20"/>
                <w:szCs w:val="20"/>
              </w:rPr>
            </w:pPr>
            <w:r w:rsidRPr="005028E4">
              <w:rPr>
                <w:sz w:val="20"/>
                <w:szCs w:val="20"/>
              </w:rPr>
              <w:t xml:space="preserve">lagana je </w:t>
            </w:r>
            <w:r w:rsidR="00D74E79" w:rsidRPr="005028E4">
              <w:rPr>
                <w:sz w:val="20"/>
                <w:szCs w:val="20"/>
              </w:rPr>
              <w:t xml:space="preserve">za </w:t>
            </w:r>
            <w:r w:rsidRPr="005028E4">
              <w:rPr>
                <w:sz w:val="20"/>
                <w:szCs w:val="20"/>
              </w:rPr>
              <w:t>implementaciju</w:t>
            </w:r>
          </w:p>
          <w:p w:rsidR="003D3219" w:rsidRPr="005028E4" w:rsidRDefault="003D3219" w:rsidP="003D3219">
            <w:pPr>
              <w:jc w:val="both"/>
              <w:rPr>
                <w:sz w:val="20"/>
                <w:szCs w:val="20"/>
              </w:rPr>
            </w:pPr>
          </w:p>
        </w:tc>
        <w:tc>
          <w:tcPr>
            <w:tcW w:w="3640" w:type="dxa"/>
          </w:tcPr>
          <w:p w:rsidR="003D3219" w:rsidRPr="005028E4" w:rsidRDefault="003D3219" w:rsidP="00C433F8">
            <w:pPr>
              <w:keepNext/>
              <w:numPr>
                <w:ilvl w:val="0"/>
                <w:numId w:val="30"/>
              </w:numPr>
              <w:contextualSpacing/>
              <w:jc w:val="both"/>
              <w:rPr>
                <w:sz w:val="20"/>
                <w:szCs w:val="20"/>
              </w:rPr>
            </w:pPr>
            <w:r w:rsidRPr="005028E4">
              <w:rPr>
                <w:sz w:val="20"/>
                <w:szCs w:val="20"/>
              </w:rPr>
              <w:t>Amortizacijski profil je umjetno povećan za prvih nekoliko godina dok je take up nizak. Međutim, da</w:t>
            </w:r>
            <w:r w:rsidR="008E44EB" w:rsidRPr="005028E4">
              <w:rPr>
                <w:sz w:val="20"/>
                <w:szCs w:val="20"/>
              </w:rPr>
              <w:t xml:space="preserve"> bi se smanjio taj efekt, određ</w:t>
            </w:r>
            <w:r w:rsidRPr="005028E4">
              <w:rPr>
                <w:sz w:val="20"/>
                <w:szCs w:val="20"/>
              </w:rPr>
              <w:t>ivanje veleprodajnih cijena se može temeljiti na prosječnom trošku u duljem razdoblju</w:t>
            </w:r>
          </w:p>
        </w:tc>
      </w:tr>
    </w:tbl>
    <w:p w:rsidR="003D3219" w:rsidRPr="005028E4" w:rsidRDefault="003D3219" w:rsidP="00C00568">
      <w:pPr>
        <w:pStyle w:val="Caption"/>
      </w:pPr>
      <w:bookmarkStart w:id="563" w:name="_Ref51574427"/>
      <w:bookmarkStart w:id="564" w:name="_Ref51574418"/>
      <w:bookmarkStart w:id="565" w:name="_Toc54079569"/>
      <w:bookmarkStart w:id="566" w:name="_Toc54159165"/>
      <w:bookmarkStart w:id="567" w:name="_Toc54159299"/>
      <w:bookmarkStart w:id="568" w:name="_Toc54159995"/>
      <w:bookmarkStart w:id="569" w:name="_Toc54175820"/>
      <w:bookmarkStart w:id="570" w:name="_Toc54179448"/>
      <w:bookmarkStart w:id="571" w:name="_Toc54261728"/>
      <w:r w:rsidRPr="005028E4">
        <w:t xml:space="preserve">Tablica </w:t>
      </w:r>
      <w:r w:rsidR="00E6032F">
        <w:rPr>
          <w:noProof/>
        </w:rPr>
        <w:fldChar w:fldCharType="begin"/>
      </w:r>
      <w:r w:rsidR="00E6032F">
        <w:rPr>
          <w:noProof/>
        </w:rPr>
        <w:instrText xml:space="preserve"> SEQ Tablica \* ARABIC </w:instrText>
      </w:r>
      <w:r w:rsidR="00E6032F">
        <w:rPr>
          <w:noProof/>
        </w:rPr>
        <w:fldChar w:fldCharType="separate"/>
      </w:r>
      <w:r w:rsidR="00B047B3">
        <w:rPr>
          <w:noProof/>
        </w:rPr>
        <w:t>5</w:t>
      </w:r>
      <w:r w:rsidR="00E6032F">
        <w:rPr>
          <w:noProof/>
        </w:rPr>
        <w:fldChar w:fldCharType="end"/>
      </w:r>
      <w:bookmarkEnd w:id="563"/>
      <w:r w:rsidRPr="005028E4">
        <w:t xml:space="preserve"> - Prednosti i nedostaci metode kosih anuiteta</w:t>
      </w:r>
      <w:bookmarkEnd w:id="564"/>
      <w:r w:rsidRPr="005028E4">
        <w:t xml:space="preserve"> (Izvor: Axon)</w:t>
      </w:r>
      <w:bookmarkEnd w:id="565"/>
      <w:bookmarkEnd w:id="566"/>
      <w:bookmarkEnd w:id="567"/>
      <w:bookmarkEnd w:id="568"/>
      <w:bookmarkEnd w:id="569"/>
      <w:bookmarkEnd w:id="570"/>
      <w:bookmarkEnd w:id="571"/>
    </w:p>
    <w:p w:rsidR="00C00568" w:rsidRPr="005028E4" w:rsidRDefault="00C00568" w:rsidP="00C00568"/>
    <w:p w:rsidR="003D3219" w:rsidRPr="005028E4" w:rsidRDefault="003D3219" w:rsidP="003A6F28">
      <w:pPr>
        <w:pStyle w:val="Subtitle"/>
      </w:pPr>
      <w:r w:rsidRPr="005028E4">
        <w:t>Ekonomska amortizacija</w:t>
      </w:r>
    </w:p>
    <w:p w:rsidR="003D3219" w:rsidRPr="005028E4" w:rsidRDefault="003D3219" w:rsidP="003D3219">
      <w:pPr>
        <w:jc w:val="both"/>
        <w:rPr>
          <w:sz w:val="24"/>
          <w:szCs w:val="24"/>
        </w:rPr>
      </w:pPr>
      <w:r w:rsidRPr="005028E4">
        <w:rPr>
          <w:sz w:val="24"/>
          <w:szCs w:val="24"/>
        </w:rPr>
        <w:t>Ekonomska amortizacija radi na način da prilagođava nadoknadu vrijednosti imovine ekonomskoj vrijednosti koju ona stvara. Posebice, ekonomska amortizacija prilagođava godišnje vrijednosti ulaganja pomoću proizvodnog faktora, koji se definira izvedbom koja se izvlači iz imovine. Na primjer, ako se očekuje da će se imovina u budućnosti više iscrpljivati (npr. zbog povećanog korištenja), primjena metode ekonomske amortizacije rezultira u višim go</w:t>
      </w:r>
      <w:r w:rsidR="00FA6C09" w:rsidRPr="005028E4">
        <w:rPr>
          <w:sz w:val="24"/>
          <w:szCs w:val="24"/>
        </w:rPr>
        <w:t>d</w:t>
      </w:r>
      <w:r w:rsidRPr="005028E4">
        <w:rPr>
          <w:sz w:val="24"/>
          <w:szCs w:val="24"/>
        </w:rPr>
        <w:t xml:space="preserve">išnjim vrijednostima u budućnosti nego u sadašnjosti. </w:t>
      </w:r>
      <w:r w:rsidR="0056620F" w:rsidRPr="005028E4" w:rsidDel="0056620F">
        <w:rPr>
          <w:rStyle w:val="CommentReference"/>
        </w:rPr>
        <w:t xml:space="preserve"> </w:t>
      </w:r>
    </w:p>
    <w:p w:rsidR="003D3219" w:rsidRPr="005028E4" w:rsidRDefault="003D3219" w:rsidP="003D3219">
      <w:pPr>
        <w:jc w:val="both"/>
        <w:rPr>
          <w:sz w:val="24"/>
          <w:szCs w:val="24"/>
        </w:rPr>
      </w:pPr>
      <w:r w:rsidRPr="005028E4">
        <w:rPr>
          <w:sz w:val="24"/>
          <w:szCs w:val="24"/>
        </w:rPr>
        <w:t>Pri tom se primjenjuje sljedeća formula:</w:t>
      </w:r>
    </w:p>
    <w:p w:rsidR="003D3219" w:rsidRPr="005028E4" w:rsidRDefault="003D3219" w:rsidP="003D3219">
      <w:pPr>
        <w:jc w:val="both"/>
        <w:rPr>
          <w:sz w:val="24"/>
          <w:szCs w:val="24"/>
        </w:rPr>
      </w:pPr>
    </w:p>
    <w:p w:rsidR="003D3219" w:rsidRPr="005028E4" w:rsidRDefault="00864638" w:rsidP="003D3219">
      <w:pPr>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t</m:t>
              </m:r>
            </m:sub>
          </m:sSub>
          <m:r>
            <w:rPr>
              <w:rFonts w:ascii="Cambria Math" w:hAnsi="Cambria Math"/>
              <w:sz w:val="24"/>
              <w:szCs w:val="24"/>
            </w:rPr>
            <m:t>×</m:t>
          </m:r>
          <m:f>
            <m:fPr>
              <m:ctrlPr>
                <w:rPr>
                  <w:rFonts w:ascii="Cambria Math" w:hAnsi="Cambria Math"/>
                  <w:i/>
                  <w:sz w:val="24"/>
                  <w:szCs w:val="24"/>
                </w:rPr>
              </m:ctrlPr>
            </m:fPr>
            <m:num>
              <m:nary>
                <m:naryPr>
                  <m:chr m:val="∑"/>
                  <m:limLoc m:val="undOvr"/>
                  <m:ctrlPr>
                    <w:rPr>
                      <w:rFonts w:ascii="Cambria Math" w:hAnsi="Cambria Math"/>
                      <w:i/>
                      <w:sz w:val="24"/>
                      <w:szCs w:val="24"/>
                    </w:rPr>
                  </m:ctrlPr>
                </m:naryPr>
                <m:sub>
                  <m:r>
                    <w:rPr>
                      <w:rFonts w:ascii="Cambria Math" w:hAnsi="Cambria Math"/>
                      <w:sz w:val="24"/>
                      <w:szCs w:val="24"/>
                    </w:rPr>
                    <m:t>j=1</m:t>
                  </m:r>
                </m:sub>
                <m:sup>
                  <m:r>
                    <w:rPr>
                      <w:rFonts w:ascii="Cambria Math" w:hAnsi="Cambria Math"/>
                      <w:sz w:val="24"/>
                      <w:szCs w:val="24"/>
                    </w:rPr>
                    <m:t>n</m:t>
                  </m:r>
                </m:sup>
                <m:e>
                  <m:sSup>
                    <m:sSupPr>
                      <m:ctrlPr>
                        <w:rPr>
                          <w:rFonts w:ascii="Cambria Math" w:hAnsi="Cambria Math"/>
                          <w:sz w:val="24"/>
                          <w:szCs w:val="24"/>
                        </w:rPr>
                      </m:ctrlPr>
                    </m:sSupPr>
                    <m:e>
                      <m:d>
                        <m:dPr>
                          <m:ctrlPr>
                            <w:rPr>
                              <w:rFonts w:ascii="Cambria Math" w:hAnsi="Cambria Math"/>
                              <w:i/>
                              <w:sz w:val="24"/>
                              <w:szCs w:val="24"/>
                            </w:rPr>
                          </m:ctrlPr>
                        </m:dPr>
                        <m:e>
                          <m:r>
                            <w:rPr>
                              <w:rFonts w:ascii="Cambria Math" w:hAnsi="Cambria Math"/>
                              <w:sz w:val="24"/>
                              <w:szCs w:val="24"/>
                            </w:rPr>
                            <m:t>1+</m:t>
                          </m:r>
                          <m:r>
                            <m:rPr>
                              <m:sty m:val="p"/>
                            </m:rPr>
                            <w:rPr>
                              <w:rFonts w:ascii="Cambria Math" w:hAnsi="Cambria Math"/>
                              <w:sz w:val="24"/>
                              <w:szCs w:val="24"/>
                            </w:rPr>
                            <m:t>ω</m:t>
                          </m:r>
                          <m:ctrlPr>
                            <w:rPr>
                              <w:rFonts w:ascii="Cambria Math" w:hAnsi="Cambria Math"/>
                              <w:sz w:val="24"/>
                              <w:szCs w:val="24"/>
                            </w:rPr>
                          </m:ctrlPr>
                        </m:e>
                      </m:d>
                    </m:e>
                    <m:sup>
                      <m:r>
                        <m:rPr>
                          <m:sty m:val="p"/>
                        </m:rPr>
                        <w:rPr>
                          <w:rFonts w:ascii="Cambria Math" w:hAnsi="Cambria Math"/>
                          <w:sz w:val="24"/>
                          <w:szCs w:val="24"/>
                        </w:rPr>
                        <m:t>j</m:t>
                      </m:r>
                    </m:sup>
                  </m:sSup>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j</m:t>
                      </m:r>
                    </m:sub>
                  </m:sSub>
                </m:e>
              </m:nary>
            </m:num>
            <m:den>
              <m:nary>
                <m:naryPr>
                  <m:chr m:val="∑"/>
                  <m:limLoc m:val="undOvr"/>
                  <m:ctrlPr>
                    <w:rPr>
                      <w:rFonts w:ascii="Cambria Math" w:hAnsi="Cambria Math"/>
                      <w:i/>
                      <w:sz w:val="24"/>
                      <w:szCs w:val="24"/>
                    </w:rPr>
                  </m:ctrlPr>
                </m:naryPr>
                <m:sub>
                  <m:r>
                    <w:rPr>
                      <w:rFonts w:ascii="Cambria Math" w:hAnsi="Cambria Math"/>
                      <w:sz w:val="24"/>
                      <w:szCs w:val="24"/>
                    </w:rPr>
                    <m:t>j=1</m:t>
                  </m:r>
                </m:sub>
                <m:sup>
                  <m:r>
                    <w:rPr>
                      <w:rFonts w:ascii="Cambria Math" w:hAnsi="Cambria Math"/>
                      <w:sz w:val="24"/>
                      <w:szCs w:val="24"/>
                    </w:rPr>
                    <m:t>n</m:t>
                  </m:r>
                </m:sup>
                <m:e>
                  <m:sSup>
                    <m:sSupPr>
                      <m:ctrlPr>
                        <w:rPr>
                          <w:rFonts w:ascii="Cambria Math" w:hAnsi="Cambria Math"/>
                          <w:sz w:val="24"/>
                          <w:szCs w:val="24"/>
                        </w:rPr>
                      </m:ctrlPr>
                    </m:sSupPr>
                    <m:e>
                      <m:d>
                        <m:dPr>
                          <m:ctrlPr>
                            <w:rPr>
                              <w:rFonts w:ascii="Cambria Math" w:hAnsi="Cambria Math"/>
                              <w:i/>
                              <w:sz w:val="24"/>
                              <w:szCs w:val="24"/>
                            </w:rPr>
                          </m:ctrlPr>
                        </m:dPr>
                        <m:e>
                          <m:r>
                            <w:rPr>
                              <w:rFonts w:ascii="Cambria Math" w:hAnsi="Cambria Math"/>
                              <w:sz w:val="24"/>
                              <w:szCs w:val="24"/>
                            </w:rPr>
                            <m:t>1+</m:t>
                          </m:r>
                          <m:r>
                            <m:rPr>
                              <m:sty m:val="p"/>
                            </m:rPr>
                            <w:rPr>
                              <w:rFonts w:ascii="Cambria Math" w:hAnsi="Cambria Math"/>
                              <w:sz w:val="24"/>
                              <w:szCs w:val="24"/>
                            </w:rPr>
                            <m:t>ω</m:t>
                          </m:r>
                          <m:ctrlPr>
                            <w:rPr>
                              <w:rFonts w:ascii="Cambria Math" w:hAnsi="Cambria Math"/>
                              <w:sz w:val="24"/>
                              <w:szCs w:val="24"/>
                            </w:rPr>
                          </m:ctrlPr>
                        </m:e>
                      </m:d>
                    </m:e>
                    <m:sup>
                      <m:r>
                        <m:rPr>
                          <m:sty m:val="p"/>
                        </m:rPr>
                        <w:rPr>
                          <w:rFonts w:ascii="Cambria Math" w:hAnsi="Cambria Math"/>
                          <w:sz w:val="24"/>
                          <w:szCs w:val="24"/>
                        </w:rPr>
                        <m:t>j</m:t>
                      </m:r>
                    </m:sup>
                  </m:s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j</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m:t>
                      </m:r>
                    </m:sub>
                  </m:sSub>
                </m:e>
              </m:nary>
            </m:den>
          </m:f>
        </m:oMath>
      </m:oMathPara>
    </w:p>
    <w:p w:rsidR="003D3219" w:rsidRPr="005028E4" w:rsidRDefault="003D3219" w:rsidP="003D3219">
      <w:pPr>
        <w:jc w:val="both"/>
        <w:rPr>
          <w:sz w:val="24"/>
          <w:szCs w:val="24"/>
        </w:rPr>
      </w:pPr>
      <w:r w:rsidRPr="005028E4">
        <w:rPr>
          <w:sz w:val="24"/>
          <w:szCs w:val="24"/>
        </w:rPr>
        <w:t>gdje</w:t>
      </w:r>
    </w:p>
    <w:p w:rsidR="003D3219" w:rsidRPr="005028E4" w:rsidRDefault="00864638" w:rsidP="00C433F8">
      <w:pPr>
        <w:numPr>
          <w:ilvl w:val="0"/>
          <w:numId w:val="28"/>
        </w:numPr>
        <w:contextualSpacing/>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t</m:t>
            </m:r>
          </m:sub>
        </m:sSub>
      </m:oMath>
      <w:r w:rsidR="003D3219" w:rsidRPr="005028E4">
        <w:rPr>
          <w:sz w:val="24"/>
          <w:szCs w:val="24"/>
        </w:rPr>
        <w:t xml:space="preserve"> predstavlja godišni trošak</w:t>
      </w:r>
    </w:p>
    <w:p w:rsidR="003D3219" w:rsidRPr="005028E4" w:rsidRDefault="00864638" w:rsidP="00C433F8">
      <w:pPr>
        <w:numPr>
          <w:ilvl w:val="0"/>
          <w:numId w:val="28"/>
        </w:numPr>
        <w:contextualSpacing/>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O</m:t>
            </m:r>
          </m:e>
          <m:sub>
            <m:r>
              <m:rPr>
                <m:sty m:val="bi"/>
              </m:rPr>
              <w:rPr>
                <w:rFonts w:ascii="Cambria Math" w:hAnsi="Cambria Math"/>
                <w:sz w:val="24"/>
                <w:szCs w:val="24"/>
              </w:rPr>
              <m:t>t</m:t>
            </m:r>
          </m:sub>
        </m:sSub>
        <m:r>
          <w:rPr>
            <w:rFonts w:ascii="Cambria Math" w:hAnsi="Cambria Math"/>
            <w:sz w:val="24"/>
            <w:szCs w:val="24"/>
          </w:rPr>
          <m:t xml:space="preserve"> </m:t>
        </m:r>
      </m:oMath>
      <w:r w:rsidR="003D3219" w:rsidRPr="005028E4">
        <w:rPr>
          <w:rFonts w:eastAsiaTheme="minorEastAsia"/>
          <w:sz w:val="24"/>
          <w:szCs w:val="24"/>
        </w:rPr>
        <w:t>je proizvodni fa</w:t>
      </w:r>
      <w:r w:rsidR="00FA6C09" w:rsidRPr="005028E4">
        <w:rPr>
          <w:rFonts w:eastAsiaTheme="minorEastAsia"/>
          <w:sz w:val="24"/>
          <w:szCs w:val="24"/>
        </w:rPr>
        <w:t>k</w:t>
      </w:r>
      <w:r w:rsidR="003D3219" w:rsidRPr="005028E4">
        <w:rPr>
          <w:rFonts w:eastAsiaTheme="minorEastAsia"/>
          <w:sz w:val="24"/>
          <w:szCs w:val="24"/>
        </w:rPr>
        <w:t>tor imovine u godini t</w:t>
      </w:r>
    </w:p>
    <w:p w:rsidR="003D3219" w:rsidRPr="005028E4" w:rsidRDefault="00864638" w:rsidP="00C433F8">
      <w:pPr>
        <w:numPr>
          <w:ilvl w:val="0"/>
          <w:numId w:val="28"/>
        </w:numPr>
        <w:contextualSpacing/>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p</m:t>
            </m:r>
          </m:e>
          <m:sub>
            <m:r>
              <m:rPr>
                <m:sty m:val="bi"/>
              </m:rPr>
              <w:rPr>
                <w:rFonts w:ascii="Cambria Math" w:hAnsi="Cambria Math"/>
                <w:sz w:val="24"/>
                <w:szCs w:val="24"/>
              </w:rPr>
              <m:t>t</m:t>
            </m:r>
          </m:sub>
        </m:sSub>
      </m:oMath>
      <w:r w:rsidR="003D3219" w:rsidRPr="005028E4">
        <w:rPr>
          <w:sz w:val="24"/>
          <w:szCs w:val="24"/>
        </w:rPr>
        <w:t xml:space="preserve"> je referentna cijena imovine u godini t</w:t>
      </w:r>
    </w:p>
    <w:p w:rsidR="003D3219" w:rsidRPr="005028E4" w:rsidRDefault="003D3219" w:rsidP="00C433F8">
      <w:pPr>
        <w:numPr>
          <w:ilvl w:val="0"/>
          <w:numId w:val="28"/>
        </w:numPr>
        <w:contextualSpacing/>
        <w:jc w:val="both"/>
        <w:rPr>
          <w:sz w:val="24"/>
          <w:szCs w:val="24"/>
        </w:rPr>
      </w:pPr>
      <m:oMath>
        <m:r>
          <m:rPr>
            <m:sty m:val="bi"/>
          </m:rPr>
          <w:rPr>
            <w:rFonts w:ascii="Cambria Math" w:hAnsi="Cambria Math"/>
            <w:sz w:val="24"/>
            <w:szCs w:val="24"/>
          </w:rPr>
          <m:t>ω</m:t>
        </m:r>
      </m:oMath>
      <w:r w:rsidRPr="005028E4">
        <w:rPr>
          <w:b/>
          <w:sz w:val="24"/>
          <w:szCs w:val="24"/>
        </w:rPr>
        <w:t xml:space="preserve"> </w:t>
      </w:r>
      <w:r w:rsidRPr="005028E4">
        <w:rPr>
          <w:sz w:val="24"/>
          <w:szCs w:val="24"/>
        </w:rPr>
        <w:t>predstavlja trošak kapitala</w:t>
      </w:r>
    </w:p>
    <w:p w:rsidR="003D3219" w:rsidRPr="005028E4" w:rsidRDefault="00864638" w:rsidP="00C433F8">
      <w:pPr>
        <w:numPr>
          <w:ilvl w:val="0"/>
          <w:numId w:val="28"/>
        </w:numPr>
        <w:contextualSpacing/>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I</m:t>
            </m:r>
          </m:e>
          <m:sub>
            <m:r>
              <m:rPr>
                <m:sty m:val="bi"/>
              </m:rPr>
              <w:rPr>
                <w:rFonts w:ascii="Cambria Math" w:hAnsi="Cambria Math"/>
                <w:sz w:val="24"/>
                <w:szCs w:val="24"/>
              </w:rPr>
              <m:t>j</m:t>
            </m:r>
          </m:sub>
        </m:sSub>
      </m:oMath>
      <w:r w:rsidR="003D3219" w:rsidRPr="005028E4">
        <w:rPr>
          <w:sz w:val="24"/>
          <w:szCs w:val="24"/>
        </w:rPr>
        <w:t xml:space="preserve"> predstavlja godišnje ulaganje, izračunato kao količina imovine naručena u godini j pomnožena s njenom jediničnom cijenom u toj godini. Ovoj brojci se pridodaje OpEx koji nastaje zbog rada i održavanja imovine kroz njen životni vijek.</w:t>
      </w:r>
    </w:p>
    <w:p w:rsidR="003D3219" w:rsidRPr="005028E4" w:rsidRDefault="003D3219" w:rsidP="00C433F8">
      <w:pPr>
        <w:numPr>
          <w:ilvl w:val="0"/>
          <w:numId w:val="28"/>
        </w:numPr>
        <w:contextualSpacing/>
        <w:jc w:val="both"/>
        <w:rPr>
          <w:sz w:val="24"/>
          <w:szCs w:val="24"/>
        </w:rPr>
      </w:pPr>
      <m:oMath>
        <m:r>
          <m:rPr>
            <m:sty m:val="bi"/>
          </m:rPr>
          <w:rPr>
            <w:rFonts w:ascii="Cambria Math" w:hAnsi="Cambria Math"/>
            <w:sz w:val="24"/>
            <w:szCs w:val="24"/>
          </w:rPr>
          <m:t>N</m:t>
        </m:r>
      </m:oMath>
      <w:r w:rsidRPr="005028E4">
        <w:rPr>
          <w:sz w:val="24"/>
          <w:szCs w:val="24"/>
        </w:rPr>
        <w:t xml:space="preserve"> predstavlja zadnju godinu u kojoj se imovina koristi.</w:t>
      </w:r>
    </w:p>
    <w:p w:rsidR="00CF13BA" w:rsidRPr="005028E4" w:rsidRDefault="00CF13BA" w:rsidP="003D3219">
      <w:pPr>
        <w:jc w:val="both"/>
        <w:rPr>
          <w:sz w:val="24"/>
          <w:szCs w:val="24"/>
        </w:rPr>
      </w:pPr>
    </w:p>
    <w:p w:rsidR="003D3219" w:rsidRPr="005028E4" w:rsidRDefault="003D3219" w:rsidP="003D3219">
      <w:pPr>
        <w:jc w:val="both"/>
        <w:rPr>
          <w:sz w:val="24"/>
          <w:szCs w:val="24"/>
        </w:rPr>
      </w:pPr>
      <w:r w:rsidRPr="005028E4">
        <w:rPr>
          <w:sz w:val="24"/>
          <w:szCs w:val="24"/>
        </w:rPr>
        <w:t>Kao što se može zaključiti iz gore navedenog, u slučaju odabira metode ekonomske amortizacije, OpEx se ne tretira odvojeno.</w:t>
      </w:r>
    </w:p>
    <w:p w:rsidR="003D3219" w:rsidRPr="005028E4" w:rsidRDefault="003D3219" w:rsidP="003D3219">
      <w:pPr>
        <w:jc w:val="both"/>
        <w:rPr>
          <w:sz w:val="24"/>
          <w:szCs w:val="24"/>
        </w:rPr>
      </w:pPr>
      <w:r w:rsidRPr="005028E4">
        <w:rPr>
          <w:sz w:val="24"/>
          <w:szCs w:val="24"/>
        </w:rPr>
        <w:t>Glavna prednost metode ekonomske amortizacije je stabilnost jediničnih troškova, koja se postiže prilagođavanjem amortizacijskog profila potražnji (prošloj i budućoj tj. prognoziranoj) za uslugama. Naime, u slučaju metode ekonomske amortizacije, kao što je prethodno navedeno, troškovi amortizacije rastu kako raste potražnja i obrnuto. Međutim, da bi metoda ekonomske amortizacije bila primjenjiva moraju biti zadovoljena dva uvjeta:</w:t>
      </w:r>
    </w:p>
    <w:p w:rsidR="003D3219" w:rsidRPr="005028E4" w:rsidRDefault="003D3219" w:rsidP="00C433F8">
      <w:pPr>
        <w:numPr>
          <w:ilvl w:val="0"/>
          <w:numId w:val="31"/>
        </w:numPr>
        <w:contextualSpacing/>
        <w:jc w:val="both"/>
        <w:rPr>
          <w:sz w:val="24"/>
          <w:szCs w:val="24"/>
        </w:rPr>
      </w:pPr>
      <w:r w:rsidRPr="005028E4">
        <w:rPr>
          <w:sz w:val="24"/>
          <w:szCs w:val="24"/>
        </w:rPr>
        <w:t>Prognoze potražnje su razumno predvidljive</w:t>
      </w:r>
    </w:p>
    <w:p w:rsidR="003D3219" w:rsidRPr="005028E4" w:rsidRDefault="003D3219" w:rsidP="00C433F8">
      <w:pPr>
        <w:numPr>
          <w:ilvl w:val="0"/>
          <w:numId w:val="31"/>
        </w:numPr>
        <w:contextualSpacing/>
        <w:jc w:val="both"/>
        <w:rPr>
          <w:sz w:val="24"/>
          <w:szCs w:val="24"/>
        </w:rPr>
      </w:pPr>
      <w:r w:rsidRPr="005028E4">
        <w:rPr>
          <w:sz w:val="24"/>
          <w:szCs w:val="24"/>
        </w:rPr>
        <w:t>Jedinična cijena usluge je razumno stabilna</w:t>
      </w:r>
    </w:p>
    <w:p w:rsidR="003D3219" w:rsidRPr="005028E4" w:rsidRDefault="003D3219" w:rsidP="003D3219">
      <w:pPr>
        <w:jc w:val="both"/>
        <w:rPr>
          <w:sz w:val="24"/>
          <w:szCs w:val="24"/>
        </w:rPr>
      </w:pPr>
      <w:r w:rsidRPr="005028E4">
        <w:rPr>
          <w:sz w:val="24"/>
          <w:szCs w:val="24"/>
        </w:rPr>
        <w:t>Gore navedeni uvjeti su općenito zadovoljeni za zrela tržišta nepokretnog pristupa, međutim to nije slučaj za nepokretne mreže koje se tek grade ili koje se gase.</w:t>
      </w:r>
    </w:p>
    <w:p w:rsidR="003D3219" w:rsidRPr="005028E4" w:rsidRDefault="003D3219" w:rsidP="003D3219">
      <w:pPr>
        <w:jc w:val="both"/>
        <w:rPr>
          <w:sz w:val="24"/>
          <w:szCs w:val="24"/>
        </w:rPr>
      </w:pPr>
      <w:r w:rsidRPr="005028E4">
        <w:rPr>
          <w:sz w:val="24"/>
          <w:szCs w:val="24"/>
        </w:rPr>
        <w:t xml:space="preserve">Na tržištu Republike Hrvatske, kao što je opisano u poglavlju </w:t>
      </w:r>
      <w:r w:rsidR="00CF13BA" w:rsidRPr="005028E4">
        <w:rPr>
          <w:sz w:val="24"/>
          <w:szCs w:val="24"/>
        </w:rPr>
        <w:fldChar w:fldCharType="begin"/>
      </w:r>
      <w:r w:rsidR="00CF13BA" w:rsidRPr="005028E4">
        <w:rPr>
          <w:sz w:val="24"/>
          <w:szCs w:val="24"/>
        </w:rPr>
        <w:instrText xml:space="preserve"> REF _Ref52435179 \r \h </w:instrText>
      </w:r>
      <w:r w:rsidR="00CF13BA" w:rsidRPr="005028E4">
        <w:rPr>
          <w:sz w:val="24"/>
          <w:szCs w:val="24"/>
        </w:rPr>
      </w:r>
      <w:r w:rsidR="00CF13BA" w:rsidRPr="005028E4">
        <w:rPr>
          <w:sz w:val="24"/>
          <w:szCs w:val="24"/>
        </w:rPr>
        <w:fldChar w:fldCharType="separate"/>
      </w:r>
      <w:r w:rsidR="00B047B3">
        <w:rPr>
          <w:sz w:val="24"/>
          <w:szCs w:val="24"/>
        </w:rPr>
        <w:t>3</w:t>
      </w:r>
      <w:r w:rsidR="00CF13BA" w:rsidRPr="005028E4">
        <w:rPr>
          <w:sz w:val="24"/>
          <w:szCs w:val="24"/>
        </w:rPr>
        <w:fldChar w:fldCharType="end"/>
      </w:r>
      <w:r w:rsidR="00CF13BA" w:rsidRPr="005028E4">
        <w:rPr>
          <w:sz w:val="24"/>
          <w:szCs w:val="24"/>
        </w:rPr>
        <w:t xml:space="preserve"> </w:t>
      </w:r>
      <w:r w:rsidRPr="005028E4">
        <w:rPr>
          <w:sz w:val="24"/>
          <w:szCs w:val="24"/>
        </w:rPr>
        <w:t>i ilustrirano na dijagramu na</w:t>
      </w:r>
      <w:r w:rsidR="00D518DE" w:rsidRPr="005028E4">
        <w:rPr>
          <w:sz w:val="24"/>
          <w:szCs w:val="24"/>
        </w:rPr>
        <w:t xml:space="preserve"> donjoj slici (</w:t>
      </w:r>
      <w:r w:rsidRPr="005028E4">
        <w:rPr>
          <w:sz w:val="24"/>
          <w:szCs w:val="24"/>
        </w:rPr>
        <w:fldChar w:fldCharType="begin"/>
      </w:r>
      <w:r w:rsidRPr="005028E4">
        <w:rPr>
          <w:sz w:val="24"/>
          <w:szCs w:val="24"/>
        </w:rPr>
        <w:instrText xml:space="preserve"> REF _Ref51589061 \h  \* MERGEFORMAT </w:instrText>
      </w:r>
      <w:r w:rsidRPr="005028E4">
        <w:rPr>
          <w:sz w:val="24"/>
          <w:szCs w:val="24"/>
        </w:rPr>
      </w:r>
      <w:r w:rsidRPr="005028E4">
        <w:rPr>
          <w:sz w:val="24"/>
          <w:szCs w:val="24"/>
        </w:rPr>
        <w:fldChar w:fldCharType="separate"/>
      </w:r>
      <w:r w:rsidR="00B047B3" w:rsidRPr="00B047B3">
        <w:rPr>
          <w:sz w:val="24"/>
          <w:szCs w:val="24"/>
        </w:rPr>
        <w:t xml:space="preserve">Slika </w:t>
      </w:r>
      <w:r w:rsidR="00B047B3" w:rsidRPr="00B047B3">
        <w:rPr>
          <w:noProof/>
          <w:sz w:val="24"/>
          <w:szCs w:val="24"/>
        </w:rPr>
        <w:t>28</w:t>
      </w:r>
      <w:r w:rsidRPr="005028E4">
        <w:rPr>
          <w:sz w:val="24"/>
          <w:szCs w:val="24"/>
        </w:rPr>
        <w:fldChar w:fldCharType="end"/>
      </w:r>
      <w:r w:rsidR="00D518DE" w:rsidRPr="005028E4">
        <w:rPr>
          <w:sz w:val="24"/>
          <w:szCs w:val="24"/>
        </w:rPr>
        <w:t>)</w:t>
      </w:r>
      <w:r w:rsidRPr="005028E4">
        <w:rPr>
          <w:sz w:val="24"/>
          <w:szCs w:val="24"/>
        </w:rPr>
        <w:t>, vidljivo je da korisnici u Republici Hrvatskoj, usluge temeljene na xDSL tehnologiji postupno zamjenjuju uslugama putem svjetlovodne mreže. Također je vidljivo da ta zamjena, odnosno prihvaćanje usluga temeljenih na svjetlovodnoj tehnologiji u</w:t>
      </w:r>
      <w:r w:rsidR="00D518DE" w:rsidRPr="005028E4">
        <w:rPr>
          <w:sz w:val="24"/>
          <w:szCs w:val="24"/>
        </w:rPr>
        <w:t xml:space="preserve"> Republici</w:t>
      </w:r>
      <w:r w:rsidRPr="005028E4">
        <w:rPr>
          <w:sz w:val="24"/>
          <w:szCs w:val="24"/>
        </w:rPr>
        <w:t xml:space="preserve"> Hrvatskoj </w:t>
      </w:r>
      <w:r w:rsidR="00D518DE" w:rsidRPr="005028E4">
        <w:rPr>
          <w:sz w:val="24"/>
          <w:szCs w:val="24"/>
        </w:rPr>
        <w:t>je na samom početku, što se može tumačiti i činjenicom da su značajnija ulaganja u pokrivanje svjetlovodnom infrastrukturom počela zadnjih nekoliko godina</w:t>
      </w:r>
      <w:r w:rsidRPr="005028E4">
        <w:rPr>
          <w:sz w:val="24"/>
          <w:szCs w:val="24"/>
        </w:rPr>
        <w:t>. Stoga su budući trendovi teško predvidljivi i ponajviše ovise o HT-ovom postavljanju svjetlovodnih mreža.</w:t>
      </w:r>
    </w:p>
    <w:p w:rsidR="003D3219" w:rsidRPr="005028E4" w:rsidRDefault="003D3219" w:rsidP="003D3219">
      <w:pPr>
        <w:keepNext/>
        <w:jc w:val="center"/>
      </w:pPr>
      <w:r w:rsidRPr="005028E4">
        <w:rPr>
          <w:noProof/>
          <w:lang w:val="en-US"/>
        </w:rPr>
        <w:drawing>
          <wp:inline distT="0" distB="0" distL="0" distR="0" wp14:anchorId="4A4553E9" wp14:editId="60B0F4EC">
            <wp:extent cx="5773420" cy="293878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73420" cy="2938780"/>
                    </a:xfrm>
                    <a:prstGeom prst="rect">
                      <a:avLst/>
                    </a:prstGeom>
                    <a:noFill/>
                  </pic:spPr>
                </pic:pic>
              </a:graphicData>
            </a:graphic>
          </wp:inline>
        </w:drawing>
      </w:r>
    </w:p>
    <w:p w:rsidR="003D3219" w:rsidRPr="005028E4" w:rsidRDefault="003D3219" w:rsidP="00C00568">
      <w:pPr>
        <w:pStyle w:val="Caption"/>
        <w:jc w:val="center"/>
      </w:pPr>
      <w:bookmarkStart w:id="572" w:name="_Ref51589061"/>
      <w:bookmarkStart w:id="573" w:name="_Toc53941946"/>
      <w:bookmarkStart w:id="574" w:name="_Toc54175856"/>
      <w:bookmarkStart w:id="575" w:name="_Toc54261720"/>
      <w:r w:rsidRPr="005028E4">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28</w:t>
      </w:r>
      <w:r w:rsidR="00E6032F">
        <w:rPr>
          <w:noProof/>
        </w:rPr>
        <w:fldChar w:fldCharType="end"/>
      </w:r>
      <w:bookmarkEnd w:id="572"/>
      <w:r w:rsidRPr="005028E4">
        <w:t xml:space="preserve"> - Korisnici po pristupnoj tehnologiji u RH (Izvor: HAKOM)</w:t>
      </w:r>
      <w:bookmarkEnd w:id="573"/>
      <w:bookmarkEnd w:id="574"/>
      <w:bookmarkEnd w:id="575"/>
    </w:p>
    <w:p w:rsidR="00C00568" w:rsidRPr="005028E4" w:rsidRDefault="00C00568" w:rsidP="00C00568"/>
    <w:p w:rsidR="003D3219" w:rsidRPr="005028E4" w:rsidRDefault="003D3219" w:rsidP="003D3219">
      <w:pPr>
        <w:jc w:val="both"/>
        <w:rPr>
          <w:sz w:val="24"/>
          <w:szCs w:val="24"/>
        </w:rPr>
      </w:pPr>
      <w:r w:rsidRPr="005028E4">
        <w:rPr>
          <w:sz w:val="24"/>
          <w:szCs w:val="24"/>
        </w:rPr>
        <w:t>Što se tiče jediničnih cijena usluga, u slučaju nepokretnih pristupnih mreža</w:t>
      </w:r>
      <w:r w:rsidR="007E3C26" w:rsidRPr="005028E4">
        <w:rPr>
          <w:sz w:val="24"/>
          <w:szCs w:val="24"/>
        </w:rPr>
        <w:t>, HAKOM je mišljenja da su</w:t>
      </w:r>
      <w:r w:rsidRPr="005028E4">
        <w:rPr>
          <w:sz w:val="24"/>
          <w:szCs w:val="24"/>
        </w:rPr>
        <w:t xml:space="preserve"> cijene usluga pristupa su u prošlosti bile razumno stabilne.</w:t>
      </w:r>
    </w:p>
    <w:p w:rsidR="003D3219" w:rsidRPr="005028E4" w:rsidRDefault="003D3219" w:rsidP="003D3219">
      <w:pPr>
        <w:jc w:val="both"/>
        <w:rPr>
          <w:sz w:val="24"/>
          <w:szCs w:val="24"/>
        </w:rPr>
      </w:pPr>
      <w:r w:rsidRPr="005028E4">
        <w:rPr>
          <w:sz w:val="24"/>
          <w:szCs w:val="24"/>
        </w:rPr>
        <w:t>Kao što je već rečeno, metoda ekonomske amortizacije daje stabilne jedinične troškove kroz godine (trend promjene troška prati trend promjene cijene imovine), međutim, čak i male promjene u rastu potražnje mogu imati veliki utjecaj na jedinične troškove usluga. Također, veliki utjecaj na jedinične troškove usluga ima i trend promjene potražnje kroz vrijeme, čak i ako se u na kraju razdoblja dostigne ista razina potražnje.</w:t>
      </w:r>
    </w:p>
    <w:p w:rsidR="003D3219" w:rsidRPr="005028E4" w:rsidRDefault="003D3219" w:rsidP="003D3219">
      <w:pPr>
        <w:jc w:val="both"/>
        <w:rPr>
          <w:sz w:val="24"/>
          <w:szCs w:val="24"/>
        </w:rPr>
      </w:pPr>
      <w:r w:rsidRPr="005028E4">
        <w:rPr>
          <w:sz w:val="24"/>
          <w:szCs w:val="24"/>
        </w:rPr>
        <w:t xml:space="preserve">Dodatno, da bi rezultati kod primjene metode ekonomske amortizacije bili točni, Troškovni model mora uključiti vremensko razdoblje koje je jednako najduljem korisnom vijeku </w:t>
      </w:r>
      <w:r w:rsidR="00467F15" w:rsidRPr="005028E4">
        <w:rPr>
          <w:sz w:val="24"/>
          <w:szCs w:val="24"/>
        </w:rPr>
        <w:t>upotreb</w:t>
      </w:r>
      <w:r w:rsidRPr="005028E4">
        <w:rPr>
          <w:sz w:val="24"/>
          <w:szCs w:val="24"/>
        </w:rPr>
        <w:t>e imovine (40-50 godina) što ima sljedeće nedostatke:</w:t>
      </w:r>
    </w:p>
    <w:p w:rsidR="003D3219" w:rsidRPr="005028E4" w:rsidRDefault="003D3219" w:rsidP="00C433F8">
      <w:pPr>
        <w:numPr>
          <w:ilvl w:val="0"/>
          <w:numId w:val="32"/>
        </w:numPr>
        <w:contextualSpacing/>
        <w:jc w:val="both"/>
        <w:rPr>
          <w:sz w:val="24"/>
          <w:szCs w:val="24"/>
        </w:rPr>
      </w:pPr>
      <w:r w:rsidRPr="005028E4">
        <w:rPr>
          <w:sz w:val="24"/>
          <w:szCs w:val="24"/>
        </w:rPr>
        <w:t>nepredvidljivost tržišta elektroničkih komunikacija može uzrokovati veliku nesigurnost koja je povezana s određivanjem potražnje u tako dugačkom vremenskom razdoblju.</w:t>
      </w:r>
    </w:p>
    <w:p w:rsidR="003A6F28" w:rsidRPr="005028E4" w:rsidRDefault="003D3219" w:rsidP="00C433F8">
      <w:pPr>
        <w:numPr>
          <w:ilvl w:val="0"/>
          <w:numId w:val="32"/>
        </w:numPr>
        <w:contextualSpacing/>
        <w:jc w:val="both"/>
        <w:rPr>
          <w:sz w:val="24"/>
          <w:szCs w:val="24"/>
        </w:rPr>
      </w:pPr>
      <w:r w:rsidRPr="005028E4">
        <w:rPr>
          <w:sz w:val="24"/>
          <w:szCs w:val="24"/>
        </w:rPr>
        <w:t>tako dugačko vremensko razdoblje povećava vrijeme koje je potrebno Troškovnom modelu za izračun.</w:t>
      </w:r>
    </w:p>
    <w:p w:rsidR="003A6F28" w:rsidRPr="005028E4" w:rsidRDefault="003A6F28">
      <w:pPr>
        <w:rPr>
          <w:sz w:val="24"/>
          <w:szCs w:val="24"/>
        </w:rPr>
      </w:pPr>
      <w:r w:rsidRPr="005028E4">
        <w:rPr>
          <w:sz w:val="24"/>
          <w:szCs w:val="24"/>
        </w:rPr>
        <w:br w:type="page"/>
      </w:r>
    </w:p>
    <w:p w:rsidR="003D3219" w:rsidRPr="005028E4" w:rsidRDefault="003D3219" w:rsidP="00C00568">
      <w:pPr>
        <w:ind w:left="720"/>
        <w:contextualSpacing/>
        <w:jc w:val="both"/>
        <w:rPr>
          <w:sz w:val="24"/>
          <w:szCs w:val="24"/>
        </w:rPr>
      </w:pPr>
    </w:p>
    <w:tbl>
      <w:tblPr>
        <w:tblW w:w="7692" w:type="dxa"/>
        <w:jc w:val="center"/>
        <w:tblBorders>
          <w:top w:val="single" w:sz="2" w:space="0" w:color="4F629B"/>
          <w:left w:val="single" w:sz="2" w:space="0" w:color="4F629B"/>
          <w:bottom w:val="single" w:sz="2" w:space="0" w:color="4F629B"/>
          <w:right w:val="single" w:sz="2" w:space="0" w:color="4F629B"/>
          <w:insideH w:val="single" w:sz="2" w:space="0" w:color="4F629B"/>
          <w:insideV w:val="single" w:sz="2" w:space="0" w:color="4F629B"/>
        </w:tblBorders>
        <w:tblCellMar>
          <w:left w:w="70" w:type="dxa"/>
          <w:right w:w="70" w:type="dxa"/>
        </w:tblCellMar>
        <w:tblLook w:val="0420" w:firstRow="1" w:lastRow="0" w:firstColumn="0" w:lastColumn="0" w:noHBand="0" w:noVBand="1"/>
      </w:tblPr>
      <w:tblGrid>
        <w:gridCol w:w="4394"/>
        <w:gridCol w:w="3298"/>
      </w:tblGrid>
      <w:tr w:rsidR="003D3219" w:rsidRPr="005028E4" w:rsidTr="003A6F28">
        <w:trPr>
          <w:trHeight w:val="397"/>
          <w:jc w:val="center"/>
        </w:trPr>
        <w:tc>
          <w:tcPr>
            <w:tcW w:w="4394" w:type="dxa"/>
            <w:shd w:val="clear" w:color="auto" w:fill="4F629B"/>
            <w:vAlign w:val="center"/>
          </w:tcPr>
          <w:p w:rsidR="003D3219" w:rsidRPr="005028E4" w:rsidRDefault="003D3219" w:rsidP="003D3219">
            <w:pPr>
              <w:jc w:val="both"/>
              <w:rPr>
                <w:b/>
                <w:bCs/>
                <w:color w:val="FFFFFF" w:themeColor="background1"/>
                <w:sz w:val="20"/>
                <w:szCs w:val="20"/>
              </w:rPr>
            </w:pPr>
            <w:r w:rsidRPr="005028E4">
              <w:rPr>
                <w:b/>
                <w:bCs/>
                <w:color w:val="FFFFFF" w:themeColor="background1"/>
                <w:sz w:val="20"/>
                <w:szCs w:val="20"/>
              </w:rPr>
              <w:t>Prednosti</w:t>
            </w:r>
          </w:p>
        </w:tc>
        <w:tc>
          <w:tcPr>
            <w:tcW w:w="3298" w:type="dxa"/>
            <w:shd w:val="clear" w:color="auto" w:fill="4F629B"/>
            <w:vAlign w:val="center"/>
          </w:tcPr>
          <w:p w:rsidR="003D3219" w:rsidRPr="005028E4" w:rsidRDefault="003D3219" w:rsidP="003D3219">
            <w:pPr>
              <w:ind w:left="720"/>
              <w:contextualSpacing/>
              <w:jc w:val="both"/>
              <w:rPr>
                <w:b/>
                <w:bCs/>
                <w:color w:val="FFFFFF" w:themeColor="background1"/>
                <w:sz w:val="20"/>
                <w:szCs w:val="20"/>
              </w:rPr>
            </w:pPr>
            <w:r w:rsidRPr="005028E4">
              <w:rPr>
                <w:b/>
                <w:bCs/>
                <w:color w:val="FFFFFF" w:themeColor="background1"/>
                <w:sz w:val="20"/>
                <w:szCs w:val="20"/>
              </w:rPr>
              <w:t>Nedostaci</w:t>
            </w:r>
          </w:p>
        </w:tc>
      </w:tr>
      <w:tr w:rsidR="003D3219" w:rsidRPr="005028E4" w:rsidTr="003A6F28">
        <w:trPr>
          <w:trHeight w:val="597"/>
          <w:jc w:val="center"/>
        </w:trPr>
        <w:tc>
          <w:tcPr>
            <w:tcW w:w="4394" w:type="dxa"/>
          </w:tcPr>
          <w:p w:rsidR="003D3219" w:rsidRPr="005028E4" w:rsidRDefault="003D3219" w:rsidP="00C433F8">
            <w:pPr>
              <w:numPr>
                <w:ilvl w:val="0"/>
                <w:numId w:val="32"/>
              </w:numPr>
              <w:contextualSpacing/>
              <w:jc w:val="both"/>
              <w:rPr>
                <w:sz w:val="20"/>
                <w:szCs w:val="20"/>
              </w:rPr>
            </w:pPr>
            <w:r w:rsidRPr="005028E4">
              <w:rPr>
                <w:sz w:val="20"/>
                <w:szCs w:val="20"/>
              </w:rPr>
              <w:t>Točnije odražava promjene u vrijednosti imovine.</w:t>
            </w:r>
          </w:p>
          <w:p w:rsidR="003D3219" w:rsidRPr="005028E4" w:rsidRDefault="003D3219" w:rsidP="00C433F8">
            <w:pPr>
              <w:numPr>
                <w:ilvl w:val="0"/>
                <w:numId w:val="32"/>
              </w:numPr>
              <w:contextualSpacing/>
              <w:jc w:val="both"/>
              <w:rPr>
                <w:sz w:val="20"/>
                <w:szCs w:val="20"/>
              </w:rPr>
            </w:pPr>
            <w:r w:rsidRPr="005028E4">
              <w:rPr>
                <w:sz w:val="20"/>
                <w:szCs w:val="20"/>
              </w:rPr>
              <w:t xml:space="preserve">Stabilniji rezultati u slučajevima gradnje novih mreža s ograničenim </w:t>
            </w:r>
            <w:r w:rsidRPr="005028E4">
              <w:rPr>
                <w:i/>
                <w:sz w:val="20"/>
                <w:szCs w:val="20"/>
              </w:rPr>
              <w:t>take up-om</w:t>
            </w:r>
          </w:p>
        </w:tc>
        <w:tc>
          <w:tcPr>
            <w:tcW w:w="3298" w:type="dxa"/>
          </w:tcPr>
          <w:p w:rsidR="003D3219" w:rsidRPr="005028E4" w:rsidRDefault="003D3219" w:rsidP="00C433F8">
            <w:pPr>
              <w:numPr>
                <w:ilvl w:val="0"/>
                <w:numId w:val="32"/>
              </w:numPr>
              <w:contextualSpacing/>
              <w:jc w:val="both"/>
              <w:rPr>
                <w:sz w:val="20"/>
                <w:szCs w:val="20"/>
              </w:rPr>
            </w:pPr>
            <w:r w:rsidRPr="005028E4">
              <w:rPr>
                <w:sz w:val="20"/>
                <w:szCs w:val="20"/>
              </w:rPr>
              <w:t>Izračun tržišne vrijednosti imovine nije jednostavan.</w:t>
            </w:r>
          </w:p>
          <w:p w:rsidR="003D3219" w:rsidRPr="005028E4" w:rsidRDefault="003D3219" w:rsidP="00C433F8">
            <w:pPr>
              <w:numPr>
                <w:ilvl w:val="0"/>
                <w:numId w:val="32"/>
              </w:numPr>
              <w:contextualSpacing/>
              <w:jc w:val="both"/>
              <w:rPr>
                <w:sz w:val="20"/>
                <w:szCs w:val="20"/>
              </w:rPr>
            </w:pPr>
            <w:r w:rsidRPr="005028E4">
              <w:rPr>
                <w:sz w:val="20"/>
                <w:szCs w:val="20"/>
              </w:rPr>
              <w:t>Visoka ovisnost o procjeni trendova potražnje.</w:t>
            </w:r>
          </w:p>
          <w:p w:rsidR="003D3219" w:rsidRPr="005028E4" w:rsidRDefault="003D3219" w:rsidP="00C433F8">
            <w:pPr>
              <w:keepNext/>
              <w:numPr>
                <w:ilvl w:val="0"/>
                <w:numId w:val="32"/>
              </w:numPr>
              <w:contextualSpacing/>
              <w:jc w:val="both"/>
              <w:rPr>
                <w:sz w:val="20"/>
                <w:szCs w:val="20"/>
              </w:rPr>
            </w:pPr>
            <w:r w:rsidRPr="005028E4">
              <w:rPr>
                <w:sz w:val="20"/>
                <w:szCs w:val="20"/>
              </w:rPr>
              <w:t>Izračun je teže  implementirati u Troškovnom modelu</w:t>
            </w:r>
          </w:p>
        </w:tc>
      </w:tr>
    </w:tbl>
    <w:p w:rsidR="003D3219" w:rsidRPr="005028E4" w:rsidRDefault="003D3219" w:rsidP="00C00568">
      <w:pPr>
        <w:pStyle w:val="Caption"/>
        <w:jc w:val="center"/>
      </w:pPr>
      <w:bookmarkStart w:id="576" w:name="_Toc54079570"/>
      <w:bookmarkStart w:id="577" w:name="_Toc54159166"/>
      <w:bookmarkStart w:id="578" w:name="_Toc54159300"/>
      <w:bookmarkStart w:id="579" w:name="_Toc54159996"/>
      <w:bookmarkStart w:id="580" w:name="_Toc54175821"/>
      <w:bookmarkStart w:id="581" w:name="_Toc54179449"/>
      <w:bookmarkStart w:id="582" w:name="_Toc54261729"/>
      <w:r w:rsidRPr="005028E4">
        <w:t xml:space="preserve">Tablica </w:t>
      </w:r>
      <w:r w:rsidR="00E6032F">
        <w:rPr>
          <w:noProof/>
        </w:rPr>
        <w:fldChar w:fldCharType="begin"/>
      </w:r>
      <w:r w:rsidR="00E6032F">
        <w:rPr>
          <w:noProof/>
        </w:rPr>
        <w:instrText xml:space="preserve"> SEQ Tablica \* ARABIC </w:instrText>
      </w:r>
      <w:r w:rsidR="00E6032F">
        <w:rPr>
          <w:noProof/>
        </w:rPr>
        <w:fldChar w:fldCharType="separate"/>
      </w:r>
      <w:r w:rsidR="00B047B3">
        <w:rPr>
          <w:noProof/>
        </w:rPr>
        <w:t>6</w:t>
      </w:r>
      <w:r w:rsidR="00E6032F">
        <w:rPr>
          <w:noProof/>
        </w:rPr>
        <w:fldChar w:fldCharType="end"/>
      </w:r>
      <w:r w:rsidRPr="005028E4">
        <w:t xml:space="preserve"> - Prednosti i nedostaci metode ekonomske amortizacije (Izvor: Axon)</w:t>
      </w:r>
      <w:bookmarkEnd w:id="576"/>
      <w:bookmarkEnd w:id="577"/>
      <w:bookmarkEnd w:id="578"/>
      <w:bookmarkEnd w:id="579"/>
      <w:bookmarkEnd w:id="580"/>
      <w:bookmarkEnd w:id="581"/>
      <w:bookmarkEnd w:id="582"/>
    </w:p>
    <w:p w:rsidR="00C00568" w:rsidRPr="005028E4" w:rsidRDefault="00C00568" w:rsidP="00C00568"/>
    <w:p w:rsidR="003D3219" w:rsidRPr="005028E4" w:rsidRDefault="003D3219" w:rsidP="003A6F28">
      <w:pPr>
        <w:pStyle w:val="Heading3"/>
      </w:pPr>
      <w:bookmarkStart w:id="583" w:name="_Toc51676921"/>
      <w:bookmarkStart w:id="584" w:name="_Toc53941987"/>
      <w:bookmarkStart w:id="585" w:name="_Toc54250958"/>
      <w:bookmarkStart w:id="586" w:name="_Toc54252856"/>
      <w:bookmarkStart w:id="587" w:name="_Toc54261668"/>
      <w:r w:rsidRPr="005028E4">
        <w:t>Odabir metode amortizacije</w:t>
      </w:r>
      <w:bookmarkEnd w:id="583"/>
      <w:bookmarkEnd w:id="584"/>
      <w:bookmarkEnd w:id="585"/>
      <w:bookmarkEnd w:id="586"/>
      <w:bookmarkEnd w:id="587"/>
    </w:p>
    <w:p w:rsidR="003D3219" w:rsidRPr="005028E4" w:rsidRDefault="003D3219" w:rsidP="003D3219">
      <w:pPr>
        <w:jc w:val="both"/>
        <w:rPr>
          <w:sz w:val="24"/>
          <w:szCs w:val="24"/>
        </w:rPr>
      </w:pPr>
      <w:r w:rsidRPr="005028E4">
        <w:rPr>
          <w:sz w:val="24"/>
          <w:szCs w:val="24"/>
        </w:rPr>
        <w:t xml:space="preserve">Kao što je već rečeno, odabir metode amortizacije koji će se </w:t>
      </w:r>
      <w:r w:rsidR="00D84FC4" w:rsidRPr="005028E4">
        <w:rPr>
          <w:sz w:val="24"/>
          <w:szCs w:val="24"/>
        </w:rPr>
        <w:t>primijeniti</w:t>
      </w:r>
      <w:r w:rsidRPr="005028E4">
        <w:rPr>
          <w:sz w:val="24"/>
          <w:szCs w:val="24"/>
        </w:rPr>
        <w:t xml:space="preserve"> može značajno utjecati na rezultate Troškovnog modela, odnosno na jedinične troškove veleprodajnih usluga po godinama. </w:t>
      </w:r>
      <w:r w:rsidR="00D84FC4" w:rsidRPr="005028E4">
        <w:rPr>
          <w:sz w:val="24"/>
          <w:szCs w:val="24"/>
        </w:rPr>
        <w:t>Zbog</w:t>
      </w:r>
      <w:r w:rsidRPr="005028E4">
        <w:rPr>
          <w:sz w:val="24"/>
          <w:szCs w:val="24"/>
        </w:rPr>
        <w:t xml:space="preserve"> toga je važno odabrati metodu amortizacije koja će najviše </w:t>
      </w:r>
      <w:r w:rsidR="00D84FC4" w:rsidRPr="005028E4">
        <w:rPr>
          <w:sz w:val="24"/>
          <w:szCs w:val="24"/>
        </w:rPr>
        <w:t>doprinijeti</w:t>
      </w:r>
      <w:r w:rsidRPr="005028E4">
        <w:rPr>
          <w:sz w:val="24"/>
          <w:szCs w:val="24"/>
        </w:rPr>
        <w:t xml:space="preserve"> ostvarenju ciljeva HAKOM-a kod postupka određivanja veleprodajnih cijena.</w:t>
      </w:r>
    </w:p>
    <w:p w:rsidR="003D3219" w:rsidRPr="005028E4" w:rsidRDefault="003D3219" w:rsidP="003D3219">
      <w:pPr>
        <w:jc w:val="both"/>
        <w:rPr>
          <w:sz w:val="24"/>
          <w:szCs w:val="24"/>
        </w:rPr>
      </w:pPr>
      <w:r w:rsidRPr="005028E4">
        <w:rPr>
          <w:sz w:val="24"/>
          <w:szCs w:val="24"/>
        </w:rPr>
        <w:t>Dijagrami na donjim slikama (</w:t>
      </w:r>
      <w:r w:rsidR="000D6B8E" w:rsidRPr="005028E4">
        <w:rPr>
          <w:sz w:val="24"/>
          <w:szCs w:val="24"/>
        </w:rPr>
        <w:fldChar w:fldCharType="begin"/>
      </w:r>
      <w:r w:rsidR="000D6B8E" w:rsidRPr="005028E4">
        <w:rPr>
          <w:sz w:val="24"/>
          <w:szCs w:val="24"/>
        </w:rPr>
        <w:instrText xml:space="preserve"> REF _Ref53696256 \h  \* MERGEFORMAT </w:instrText>
      </w:r>
      <w:r w:rsidR="000D6B8E" w:rsidRPr="005028E4">
        <w:rPr>
          <w:sz w:val="24"/>
          <w:szCs w:val="24"/>
        </w:rPr>
      </w:r>
      <w:r w:rsidR="000D6B8E" w:rsidRPr="005028E4">
        <w:rPr>
          <w:sz w:val="24"/>
          <w:szCs w:val="24"/>
        </w:rPr>
        <w:fldChar w:fldCharType="separate"/>
      </w:r>
      <w:r w:rsidR="00B047B3" w:rsidRPr="00B047B3">
        <w:rPr>
          <w:sz w:val="24"/>
          <w:szCs w:val="24"/>
        </w:rPr>
        <w:t>Slika 29</w:t>
      </w:r>
      <w:r w:rsidR="000D6B8E" w:rsidRPr="005028E4">
        <w:rPr>
          <w:sz w:val="24"/>
          <w:szCs w:val="24"/>
        </w:rPr>
        <w:fldChar w:fldCharType="end"/>
      </w:r>
      <w:r w:rsidR="000D6B8E" w:rsidRPr="005028E4">
        <w:rPr>
          <w:sz w:val="24"/>
          <w:szCs w:val="24"/>
        </w:rPr>
        <w:t xml:space="preserve"> i </w:t>
      </w:r>
      <w:r w:rsidR="000D6B8E" w:rsidRPr="005028E4">
        <w:rPr>
          <w:sz w:val="24"/>
          <w:szCs w:val="24"/>
        </w:rPr>
        <w:fldChar w:fldCharType="begin"/>
      </w:r>
      <w:r w:rsidR="000D6B8E" w:rsidRPr="005028E4">
        <w:rPr>
          <w:sz w:val="24"/>
          <w:szCs w:val="24"/>
        </w:rPr>
        <w:instrText xml:space="preserve"> REF _Ref53696259 \h  \* MERGEFORMAT </w:instrText>
      </w:r>
      <w:r w:rsidR="000D6B8E" w:rsidRPr="005028E4">
        <w:rPr>
          <w:sz w:val="24"/>
          <w:szCs w:val="24"/>
        </w:rPr>
      </w:r>
      <w:r w:rsidR="000D6B8E" w:rsidRPr="005028E4">
        <w:rPr>
          <w:sz w:val="24"/>
          <w:szCs w:val="24"/>
        </w:rPr>
        <w:fldChar w:fldCharType="separate"/>
      </w:r>
      <w:r w:rsidR="00B047B3" w:rsidRPr="00B047B3">
        <w:rPr>
          <w:sz w:val="24"/>
          <w:szCs w:val="24"/>
        </w:rPr>
        <w:t>Slika 30</w:t>
      </w:r>
      <w:r w:rsidR="000D6B8E" w:rsidRPr="005028E4">
        <w:rPr>
          <w:sz w:val="24"/>
          <w:szCs w:val="24"/>
        </w:rPr>
        <w:fldChar w:fldCharType="end"/>
      </w:r>
      <w:r w:rsidRPr="005028E4">
        <w:rPr>
          <w:sz w:val="24"/>
          <w:szCs w:val="24"/>
        </w:rPr>
        <w:t>) prikazuju jedinične veleprodajne troškove koji su relevantni za određivanje cijena najvažnijih veleprodajnih usluga na tržišta M3</w:t>
      </w:r>
      <w:r w:rsidR="005F4794" w:rsidRPr="005028E4">
        <w:rPr>
          <w:sz w:val="24"/>
          <w:szCs w:val="24"/>
        </w:rPr>
        <w:t>a</w:t>
      </w:r>
      <w:r w:rsidRPr="005028E4">
        <w:rPr>
          <w:sz w:val="24"/>
          <w:szCs w:val="24"/>
        </w:rPr>
        <w:t>, koje izračunava Troškovni model na temelju definiranih ulaznih podataka i usvojenih metodoloških načela,</w:t>
      </w:r>
      <w:r w:rsidR="00C17E71" w:rsidRPr="005028E4">
        <w:rPr>
          <w:sz w:val="24"/>
          <w:szCs w:val="24"/>
        </w:rPr>
        <w:t xml:space="preserve"> </w:t>
      </w:r>
      <w:r w:rsidRPr="005028E4">
        <w:rPr>
          <w:sz w:val="24"/>
          <w:szCs w:val="24"/>
        </w:rPr>
        <w:t xml:space="preserve">a ovisno o </w:t>
      </w:r>
      <w:r w:rsidR="00D84FC4" w:rsidRPr="005028E4">
        <w:rPr>
          <w:sz w:val="24"/>
          <w:szCs w:val="24"/>
        </w:rPr>
        <w:t>primijenjenoj</w:t>
      </w:r>
      <w:r w:rsidRPr="005028E4">
        <w:rPr>
          <w:sz w:val="24"/>
          <w:szCs w:val="24"/>
        </w:rPr>
        <w:t xml:space="preserve"> metodi amortizacije.</w:t>
      </w:r>
    </w:p>
    <w:p w:rsidR="000323CC" w:rsidRPr="005028E4" w:rsidRDefault="00D66A9B" w:rsidP="000323CC">
      <w:pPr>
        <w:keepNext/>
        <w:jc w:val="center"/>
      </w:pPr>
      <w:r w:rsidRPr="005028E4">
        <w:rPr>
          <w:noProof/>
          <w:lang w:val="en-US"/>
        </w:rPr>
        <w:drawing>
          <wp:inline distT="0" distB="0" distL="0" distR="0" wp14:anchorId="4F2B4FEB" wp14:editId="1445C7EB">
            <wp:extent cx="4584700" cy="2755900"/>
            <wp:effectExtent l="0" t="0" r="635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0323CC" w:rsidRPr="005028E4" w:rsidRDefault="000323CC" w:rsidP="000323CC">
      <w:pPr>
        <w:pStyle w:val="Caption"/>
        <w:jc w:val="center"/>
      </w:pPr>
      <w:bookmarkStart w:id="588" w:name="_Ref53696256"/>
      <w:bookmarkStart w:id="589" w:name="_Toc53941947"/>
      <w:bookmarkStart w:id="590" w:name="_Toc54175857"/>
      <w:bookmarkStart w:id="591" w:name="_Toc54261721"/>
      <w:r w:rsidRPr="005028E4">
        <w:t xml:space="preserve">Slika </w:t>
      </w:r>
      <w:r w:rsidR="00DD0407" w:rsidRPr="005028E4">
        <w:rPr>
          <w:noProof/>
        </w:rPr>
        <w:fldChar w:fldCharType="begin"/>
      </w:r>
      <w:r w:rsidR="00DD0407" w:rsidRPr="005028E4">
        <w:rPr>
          <w:noProof/>
        </w:rPr>
        <w:instrText xml:space="preserve"> SEQ Slika \* ARABIC </w:instrText>
      </w:r>
      <w:r w:rsidR="00DD0407" w:rsidRPr="005028E4">
        <w:rPr>
          <w:noProof/>
        </w:rPr>
        <w:fldChar w:fldCharType="separate"/>
      </w:r>
      <w:r w:rsidR="00B047B3">
        <w:rPr>
          <w:noProof/>
        </w:rPr>
        <w:t>29</w:t>
      </w:r>
      <w:r w:rsidR="00DD0407" w:rsidRPr="005028E4">
        <w:rPr>
          <w:noProof/>
        </w:rPr>
        <w:fldChar w:fldCharType="end"/>
      </w:r>
      <w:bookmarkEnd w:id="588"/>
      <w:r w:rsidRPr="005028E4">
        <w:t xml:space="preserve"> - Jedinični trošak </w:t>
      </w:r>
      <w:r w:rsidR="007E3C26" w:rsidRPr="005028E4">
        <w:t>LLU</w:t>
      </w:r>
      <w:r w:rsidRPr="005028E4">
        <w:t xml:space="preserve"> usluge ovisno o metodi amortizacije (Izvor: Troškovni model)</w:t>
      </w:r>
      <w:bookmarkEnd w:id="589"/>
      <w:bookmarkEnd w:id="590"/>
      <w:bookmarkEnd w:id="591"/>
    </w:p>
    <w:p w:rsidR="00C00568" w:rsidRPr="005028E4" w:rsidRDefault="00C00568" w:rsidP="00C00568"/>
    <w:p w:rsidR="005E5486" w:rsidRPr="005028E4" w:rsidRDefault="005E5486" w:rsidP="005E5486">
      <w:pPr>
        <w:keepNext/>
        <w:jc w:val="center"/>
      </w:pPr>
      <w:r w:rsidRPr="005028E4">
        <w:rPr>
          <w:noProof/>
          <w:sz w:val="24"/>
          <w:szCs w:val="24"/>
          <w:lang w:val="en-US"/>
        </w:rPr>
        <w:drawing>
          <wp:inline distT="0" distB="0" distL="0" distR="0" wp14:anchorId="6B929EF2" wp14:editId="2C38F78D">
            <wp:extent cx="5231130" cy="2755900"/>
            <wp:effectExtent l="0" t="0" r="762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31130" cy="2755900"/>
                    </a:xfrm>
                    <a:prstGeom prst="rect">
                      <a:avLst/>
                    </a:prstGeom>
                    <a:noFill/>
                  </pic:spPr>
                </pic:pic>
              </a:graphicData>
            </a:graphic>
          </wp:inline>
        </w:drawing>
      </w:r>
    </w:p>
    <w:p w:rsidR="005E5486" w:rsidRPr="005028E4" w:rsidRDefault="005E5486" w:rsidP="005E5486">
      <w:pPr>
        <w:pStyle w:val="Caption"/>
        <w:jc w:val="center"/>
      </w:pPr>
      <w:bookmarkStart w:id="592" w:name="_Ref53696259"/>
      <w:bookmarkStart w:id="593" w:name="_Toc53941948"/>
      <w:bookmarkStart w:id="594" w:name="_Toc54175858"/>
      <w:bookmarkStart w:id="595" w:name="_Toc54261722"/>
      <w:r w:rsidRPr="005028E4">
        <w:t xml:space="preserve">Slika </w:t>
      </w:r>
      <w:r w:rsidR="00DD0407" w:rsidRPr="005028E4">
        <w:rPr>
          <w:noProof/>
        </w:rPr>
        <w:fldChar w:fldCharType="begin"/>
      </w:r>
      <w:r w:rsidR="00DD0407" w:rsidRPr="005028E4">
        <w:rPr>
          <w:noProof/>
        </w:rPr>
        <w:instrText xml:space="preserve"> SEQ Slika \* ARABIC </w:instrText>
      </w:r>
      <w:r w:rsidR="00DD0407" w:rsidRPr="005028E4">
        <w:rPr>
          <w:noProof/>
        </w:rPr>
        <w:fldChar w:fldCharType="separate"/>
      </w:r>
      <w:r w:rsidR="00B047B3">
        <w:rPr>
          <w:noProof/>
        </w:rPr>
        <w:t>30</w:t>
      </w:r>
      <w:r w:rsidR="00DD0407" w:rsidRPr="005028E4">
        <w:rPr>
          <w:noProof/>
        </w:rPr>
        <w:fldChar w:fldCharType="end"/>
      </w:r>
      <w:bookmarkEnd w:id="592"/>
      <w:r w:rsidRPr="005028E4">
        <w:t xml:space="preserve"> - Jedinični trošak fizičkog pristupa FTTH mreži ovisno o metodi amortizacije (Izvor: Troškovni model)</w:t>
      </w:r>
      <w:bookmarkEnd w:id="593"/>
      <w:bookmarkEnd w:id="594"/>
      <w:bookmarkEnd w:id="595"/>
    </w:p>
    <w:p w:rsidR="00C00568" w:rsidRPr="005028E4" w:rsidRDefault="00C00568" w:rsidP="00C00568"/>
    <w:p w:rsidR="003D3219" w:rsidRPr="005028E4" w:rsidRDefault="003D3219" w:rsidP="00D34F5E">
      <w:pPr>
        <w:jc w:val="both"/>
        <w:rPr>
          <w:sz w:val="24"/>
          <w:szCs w:val="24"/>
        </w:rPr>
      </w:pPr>
      <w:r w:rsidRPr="005028E4">
        <w:rPr>
          <w:sz w:val="24"/>
          <w:szCs w:val="24"/>
        </w:rPr>
        <w:t xml:space="preserve">Iz tih dijagrama su </w:t>
      </w:r>
      <w:r w:rsidR="00FC351A" w:rsidRPr="005028E4">
        <w:rPr>
          <w:sz w:val="24"/>
          <w:szCs w:val="24"/>
        </w:rPr>
        <w:t>vidljive</w:t>
      </w:r>
      <w:r w:rsidRPr="005028E4">
        <w:rPr>
          <w:sz w:val="24"/>
          <w:szCs w:val="24"/>
        </w:rPr>
        <w:t xml:space="preserve"> značajke jedne i druge metode amortizacije kako je i opisano u prethodnom poglavlju. Dakle, metoda ekonomske amortizacije daje relativno ravnu krivulju jediničnih troškova kroz godine, dok primjena metode kosih anuiteta za nove tj. svjetlovodne mreže za prve godine rezultira značajno većim jediničnim veleprodajnim troškovima.</w:t>
      </w:r>
    </w:p>
    <w:p w:rsidR="003D3219" w:rsidRPr="005028E4" w:rsidRDefault="003D3219" w:rsidP="00D34F5E">
      <w:pPr>
        <w:jc w:val="both"/>
        <w:rPr>
          <w:sz w:val="24"/>
          <w:szCs w:val="24"/>
        </w:rPr>
      </w:pPr>
      <w:r w:rsidRPr="005028E4">
        <w:rPr>
          <w:sz w:val="24"/>
          <w:szCs w:val="24"/>
        </w:rPr>
        <w:t xml:space="preserve">U savjetovanju oko Troškovnog modela, operatorima su predočeni gornji rezultati Troškovnog modela uz primjenu obje metode amortizacije, te je zatraženo očitovanje operatora o tome kakvu metodu, s obzirom na iste, smatraju prikladnom za primjenu. HT se nije izjasnio o metodi amortizacije. S druge strane, svi alternativni operatori su se izjasnili da preferiraju primjenu metode ekonomske amortizacije prilikom izračuna troškova i određivanja cijena reguliranih veleprodajnih usluga, pri tom ističući samo prednosti metode ekonomske amortizacije koje smo opisali, a </w:t>
      </w:r>
      <w:r w:rsidR="00D84FC4" w:rsidRPr="005028E4">
        <w:rPr>
          <w:sz w:val="24"/>
          <w:szCs w:val="24"/>
        </w:rPr>
        <w:t>zanemarujući</w:t>
      </w:r>
      <w:r w:rsidRPr="005028E4">
        <w:rPr>
          <w:sz w:val="24"/>
          <w:szCs w:val="24"/>
        </w:rPr>
        <w:t xml:space="preserve"> njezine nedostatke. </w:t>
      </w:r>
    </w:p>
    <w:p w:rsidR="007E3C26" w:rsidRPr="005028E4" w:rsidRDefault="003D3219" w:rsidP="00D34F5E">
      <w:pPr>
        <w:jc w:val="both"/>
        <w:rPr>
          <w:sz w:val="24"/>
          <w:szCs w:val="24"/>
        </w:rPr>
      </w:pPr>
      <w:r w:rsidRPr="005028E4">
        <w:rPr>
          <w:sz w:val="24"/>
          <w:szCs w:val="24"/>
        </w:rPr>
        <w:t xml:space="preserve">HAKOM je analizirao sve prednosti </w:t>
      </w:r>
      <w:r w:rsidR="00726D22" w:rsidRPr="005028E4">
        <w:rPr>
          <w:sz w:val="24"/>
          <w:szCs w:val="24"/>
        </w:rPr>
        <w:t xml:space="preserve">i </w:t>
      </w:r>
      <w:r w:rsidRPr="005028E4">
        <w:rPr>
          <w:sz w:val="24"/>
          <w:szCs w:val="24"/>
        </w:rPr>
        <w:t xml:space="preserve">nedostatke obje metode, kao i utjecaj tih opcija na rezultate Troškovnog modela te posredno i na regulatorne ciljeve HAKOM-a. </w:t>
      </w:r>
    </w:p>
    <w:p w:rsidR="003D3219" w:rsidRPr="005028E4" w:rsidRDefault="003D3219" w:rsidP="00D34F5E">
      <w:pPr>
        <w:jc w:val="both"/>
        <w:rPr>
          <w:sz w:val="24"/>
          <w:szCs w:val="24"/>
        </w:rPr>
      </w:pPr>
      <w:r w:rsidRPr="005028E4">
        <w:rPr>
          <w:sz w:val="24"/>
          <w:szCs w:val="24"/>
        </w:rPr>
        <w:t xml:space="preserve">Jasno je da bi za slučaj kada bi potražnja za uslugama bila stabilna i ne bi se mijenjala brzo, metoda kosih anuiteta bila prikladan odabir. </w:t>
      </w:r>
    </w:p>
    <w:p w:rsidR="003D3219" w:rsidRPr="005028E4" w:rsidRDefault="003D3219" w:rsidP="003D3219">
      <w:pPr>
        <w:jc w:val="both"/>
        <w:rPr>
          <w:sz w:val="24"/>
          <w:szCs w:val="24"/>
        </w:rPr>
      </w:pPr>
      <w:r w:rsidRPr="005028E4">
        <w:rPr>
          <w:sz w:val="24"/>
          <w:szCs w:val="24"/>
        </w:rPr>
        <w:t xml:space="preserve">Međutim, s obzirom na </w:t>
      </w:r>
      <w:r w:rsidR="00CF13BA" w:rsidRPr="005028E4">
        <w:rPr>
          <w:sz w:val="24"/>
          <w:szCs w:val="24"/>
        </w:rPr>
        <w:t xml:space="preserve">to </w:t>
      </w:r>
      <w:r w:rsidRPr="005028E4">
        <w:rPr>
          <w:sz w:val="24"/>
          <w:szCs w:val="24"/>
        </w:rPr>
        <w:t xml:space="preserve">da se očekuje povećanje potražnje za uslugama na novim tj. svjetlovodnim pristupnim mrežama te </w:t>
      </w:r>
      <w:r w:rsidR="00D84FC4" w:rsidRPr="005028E4">
        <w:rPr>
          <w:sz w:val="24"/>
          <w:szCs w:val="24"/>
        </w:rPr>
        <w:t>sukladno</w:t>
      </w:r>
      <w:r w:rsidRPr="005028E4">
        <w:rPr>
          <w:sz w:val="24"/>
          <w:szCs w:val="24"/>
        </w:rPr>
        <w:t xml:space="preserve"> tome pad potražnje na bakrenim mrežama, te da metoda ekonomske amortizacije daje najbolju vezu između troškova i potražnje, HAKOM je mišljenja da je metoda ekonomske amortizacije najprikladniji izbor za primjenu u Troškovnom modelu. </w:t>
      </w:r>
    </w:p>
    <w:p w:rsidR="003D3219" w:rsidRPr="005028E4" w:rsidRDefault="003D3219" w:rsidP="003D3219">
      <w:pPr>
        <w:jc w:val="both"/>
        <w:rPr>
          <w:sz w:val="24"/>
          <w:szCs w:val="24"/>
        </w:rPr>
      </w:pPr>
      <w:r w:rsidRPr="005028E4">
        <w:rPr>
          <w:sz w:val="24"/>
          <w:szCs w:val="24"/>
        </w:rPr>
        <w:t>Također, na stranu odabira ekonomske amortizacije pretežu njezine prednosti poput stabilnosti cijena kroz godine što je u skladu s ciljem osiguranja regulatorne predvidljivosti. S druge strane, visoki troškovi svjetlovodne mreže koji se dobivaju u prvim godinama u slučaju odabira metode kosih anuiteta i posljedično više veleprodajne cijene pristupa svjetlovodnim mrežama ne doprinose ciljevima razvoja širokopojasnog pristupa u Republici Hrvatskoj, posebice uzimajući u obzir trenutno stanje s niskom utilizacijom postojećih svjetlovodnih mreža. Više veleprodajne cijene bi tu utilizaciju dodatno usporile.</w:t>
      </w:r>
    </w:p>
    <w:p w:rsidR="003D3219" w:rsidRPr="005028E4" w:rsidRDefault="003D3219" w:rsidP="003D3219">
      <w:pPr>
        <w:jc w:val="both"/>
        <w:rPr>
          <w:sz w:val="24"/>
          <w:szCs w:val="24"/>
        </w:rPr>
      </w:pPr>
      <w:r w:rsidRPr="005028E4">
        <w:rPr>
          <w:sz w:val="24"/>
          <w:szCs w:val="24"/>
        </w:rPr>
        <w:t xml:space="preserve">Sukladno </w:t>
      </w:r>
      <w:r w:rsidR="00D84FC4" w:rsidRPr="005028E4">
        <w:rPr>
          <w:sz w:val="24"/>
          <w:szCs w:val="24"/>
        </w:rPr>
        <w:t>navedenom</w:t>
      </w:r>
      <w:r w:rsidRPr="005028E4">
        <w:rPr>
          <w:sz w:val="24"/>
          <w:szCs w:val="24"/>
        </w:rPr>
        <w:t xml:space="preserve"> HAKOM je odlučio da će se za određivanje cijena reguliranih veleprodajnih usluga primijeniti rezultati Troškovnog modela uz primjenu metode ekonomske amortizacije.</w:t>
      </w:r>
    </w:p>
    <w:p w:rsidR="00C00568" w:rsidRPr="005028E4" w:rsidRDefault="00C00568" w:rsidP="003D3219">
      <w:pPr>
        <w:jc w:val="both"/>
        <w:rPr>
          <w:sz w:val="24"/>
          <w:szCs w:val="24"/>
        </w:rPr>
      </w:pPr>
    </w:p>
    <w:p w:rsidR="003D3219" w:rsidRPr="005028E4" w:rsidRDefault="003D3219" w:rsidP="003A6F28">
      <w:pPr>
        <w:pStyle w:val="Heading2"/>
      </w:pPr>
      <w:bookmarkStart w:id="596" w:name="_Toc51676922"/>
      <w:bookmarkStart w:id="597" w:name="_Toc53941988"/>
      <w:bookmarkStart w:id="598" w:name="_Toc54250959"/>
      <w:bookmarkStart w:id="599" w:name="_Toc54252857"/>
      <w:bookmarkStart w:id="600" w:name="_Toc54261669"/>
      <w:r w:rsidRPr="005028E4">
        <w:t>Alokacija troškova uslugama</w:t>
      </w:r>
      <w:bookmarkEnd w:id="596"/>
      <w:bookmarkEnd w:id="597"/>
      <w:bookmarkEnd w:id="598"/>
      <w:bookmarkEnd w:id="599"/>
      <w:bookmarkEnd w:id="600"/>
    </w:p>
    <w:p w:rsidR="003D3219" w:rsidRPr="005028E4" w:rsidRDefault="003D3219" w:rsidP="003D3219">
      <w:pPr>
        <w:jc w:val="both"/>
        <w:rPr>
          <w:sz w:val="24"/>
          <w:szCs w:val="24"/>
        </w:rPr>
      </w:pPr>
      <w:r w:rsidRPr="005028E4">
        <w:rPr>
          <w:sz w:val="24"/>
          <w:szCs w:val="24"/>
        </w:rPr>
        <w:t xml:space="preserve">U ovom poglavlju kratko je opisana metodologija izračuna inkrementalnih i zajedničkih troškova resursa koja je </w:t>
      </w:r>
      <w:r w:rsidR="00D84FC4" w:rsidRPr="005028E4">
        <w:rPr>
          <w:sz w:val="24"/>
          <w:szCs w:val="24"/>
        </w:rPr>
        <w:t>primijenjena</w:t>
      </w:r>
      <w:r w:rsidRPr="005028E4">
        <w:rPr>
          <w:sz w:val="24"/>
          <w:szCs w:val="24"/>
        </w:rPr>
        <w:t xml:space="preserve"> u Troškovnom modelu i kako su ti troškovi alocirani uslugama, kako bi se dobili troškovi usluga u skladu s LRIC+ troškovnim standardom.</w:t>
      </w:r>
      <w:bookmarkStart w:id="601" w:name="_Toc51246455"/>
      <w:bookmarkStart w:id="602" w:name="_Toc51252377"/>
      <w:bookmarkStart w:id="603" w:name="_Toc51253501"/>
      <w:bookmarkEnd w:id="601"/>
      <w:bookmarkEnd w:id="602"/>
      <w:bookmarkEnd w:id="603"/>
    </w:p>
    <w:p w:rsidR="003D3219" w:rsidRPr="005028E4" w:rsidRDefault="003D3219" w:rsidP="003A6F28">
      <w:pPr>
        <w:pStyle w:val="Heading3"/>
      </w:pPr>
      <w:bookmarkStart w:id="604" w:name="_Toc51676923"/>
      <w:bookmarkStart w:id="605" w:name="_Toc53941989"/>
      <w:bookmarkStart w:id="606" w:name="_Toc54250960"/>
      <w:bookmarkStart w:id="607" w:name="_Toc54252858"/>
      <w:bookmarkStart w:id="608" w:name="_Toc54261670"/>
      <w:r w:rsidRPr="005028E4">
        <w:t>Izračun inkrementalnih i zajedničkih troškova</w:t>
      </w:r>
      <w:bookmarkEnd w:id="604"/>
      <w:bookmarkEnd w:id="605"/>
      <w:bookmarkEnd w:id="606"/>
      <w:bookmarkEnd w:id="607"/>
      <w:bookmarkEnd w:id="608"/>
    </w:p>
    <w:p w:rsidR="003D3219" w:rsidRPr="005028E4" w:rsidRDefault="003D3219" w:rsidP="003D3219">
      <w:pPr>
        <w:jc w:val="both"/>
        <w:rPr>
          <w:sz w:val="24"/>
          <w:szCs w:val="24"/>
        </w:rPr>
      </w:pPr>
      <w:r w:rsidRPr="005028E4">
        <w:rPr>
          <w:sz w:val="24"/>
          <w:szCs w:val="24"/>
        </w:rPr>
        <w:t>Inkrementalni trošak pridružen svakom inkrementu je smanjenje troškova koje Troškovni model računa zbog prestanka pružanja usluge koja je uključena u taj inkrement. Taj trošak je matematički izražen kao razlika između troškova kod ukupne potražnje i troškova koji se dobiju kad je razina potražnje za uslugama koje su uključene u taj inkrement jednaka nuli, ostavljajući sve dru</w:t>
      </w:r>
      <w:r w:rsidR="0068502A" w:rsidRPr="005028E4">
        <w:rPr>
          <w:sz w:val="24"/>
          <w:szCs w:val="24"/>
        </w:rPr>
        <w:t>g</w:t>
      </w:r>
      <w:r w:rsidRPr="005028E4">
        <w:rPr>
          <w:sz w:val="24"/>
          <w:szCs w:val="24"/>
        </w:rPr>
        <w:t>o nepromijenjeno.</w:t>
      </w:r>
    </w:p>
    <w:p w:rsidR="003D3219" w:rsidRPr="005028E4" w:rsidRDefault="003D3219" w:rsidP="003D3219">
      <w:pPr>
        <w:jc w:val="both"/>
        <w:rPr>
          <w:sz w:val="24"/>
          <w:szCs w:val="24"/>
        </w:rPr>
      </w:pPr>
      <w:r w:rsidRPr="005028E4">
        <w:rPr>
          <w:sz w:val="24"/>
          <w:szCs w:val="24"/>
        </w:rPr>
        <w:t>Za izračun inkrementalnih troškova, inkrementi se definiraju kao skupine usluga. Stoga usluge moraju biti dodijeljene inkrementima.</w:t>
      </w:r>
    </w:p>
    <w:p w:rsidR="003D3219" w:rsidRPr="005028E4" w:rsidRDefault="003D3219" w:rsidP="003D3219">
      <w:pPr>
        <w:jc w:val="both"/>
        <w:rPr>
          <w:sz w:val="24"/>
          <w:szCs w:val="24"/>
        </w:rPr>
      </w:pPr>
      <w:r w:rsidRPr="005028E4">
        <w:rPr>
          <w:sz w:val="24"/>
          <w:szCs w:val="24"/>
        </w:rPr>
        <w:t xml:space="preserve">Zajednički troškovi po resursu dobivaju se kao razlika između ukupne troškovne osnovice koja se dobiva primjenom standarda </w:t>
      </w:r>
      <w:r w:rsidR="0068502A" w:rsidRPr="005028E4">
        <w:rPr>
          <w:sz w:val="24"/>
          <w:szCs w:val="24"/>
        </w:rPr>
        <w:t>p</w:t>
      </w:r>
      <w:r w:rsidRPr="005028E4">
        <w:rPr>
          <w:sz w:val="24"/>
          <w:szCs w:val="24"/>
        </w:rPr>
        <w:t>otpuno alociranih troškova (</w:t>
      </w:r>
      <w:r w:rsidRPr="005028E4">
        <w:rPr>
          <w:i/>
          <w:sz w:val="24"/>
          <w:szCs w:val="24"/>
        </w:rPr>
        <w:t>eng. F</w:t>
      </w:r>
      <w:r w:rsidR="00BF567F" w:rsidRPr="005028E4">
        <w:rPr>
          <w:i/>
          <w:sz w:val="24"/>
          <w:szCs w:val="24"/>
        </w:rPr>
        <w:t>ull</w:t>
      </w:r>
      <w:r w:rsidRPr="005028E4">
        <w:rPr>
          <w:i/>
          <w:sz w:val="24"/>
          <w:szCs w:val="24"/>
        </w:rPr>
        <w:t>y Al</w:t>
      </w:r>
      <w:r w:rsidR="00BF567F" w:rsidRPr="005028E4">
        <w:rPr>
          <w:i/>
          <w:sz w:val="24"/>
          <w:szCs w:val="24"/>
        </w:rPr>
        <w:t>l</w:t>
      </w:r>
      <w:r w:rsidRPr="005028E4">
        <w:rPr>
          <w:i/>
          <w:sz w:val="24"/>
          <w:szCs w:val="24"/>
        </w:rPr>
        <w:t>ocated Costs, FAC</w:t>
      </w:r>
      <w:r w:rsidRPr="005028E4">
        <w:rPr>
          <w:sz w:val="24"/>
          <w:szCs w:val="24"/>
        </w:rPr>
        <w:t>) (uzimajući u obzir svu potražnju) i inkrementalnog troška.</w:t>
      </w:r>
    </w:p>
    <w:p w:rsidR="003D3219" w:rsidRPr="005028E4" w:rsidRDefault="003D3219" w:rsidP="003A6F28">
      <w:pPr>
        <w:pStyle w:val="Heading3"/>
      </w:pPr>
      <w:bookmarkStart w:id="609" w:name="_Toc51676924"/>
      <w:bookmarkStart w:id="610" w:name="_Toc53941990"/>
      <w:bookmarkStart w:id="611" w:name="_Toc54250961"/>
      <w:bookmarkStart w:id="612" w:name="_Toc54252859"/>
      <w:bookmarkStart w:id="613" w:name="_Toc54261671"/>
      <w:r w:rsidRPr="005028E4">
        <w:t>Dodjela troškova resursa uslugama</w:t>
      </w:r>
      <w:bookmarkEnd w:id="609"/>
      <w:bookmarkEnd w:id="610"/>
      <w:bookmarkEnd w:id="611"/>
      <w:bookmarkEnd w:id="612"/>
      <w:bookmarkEnd w:id="613"/>
    </w:p>
    <w:p w:rsidR="003D3219" w:rsidRPr="005028E4" w:rsidRDefault="003D3219" w:rsidP="003D3219">
      <w:pPr>
        <w:jc w:val="both"/>
        <w:rPr>
          <w:sz w:val="24"/>
          <w:szCs w:val="24"/>
        </w:rPr>
      </w:pPr>
      <w:r w:rsidRPr="005028E4">
        <w:rPr>
          <w:sz w:val="24"/>
          <w:szCs w:val="24"/>
        </w:rPr>
        <w:t>Inkrementalni troškovi se dodjeljuju uslugama korištenje</w:t>
      </w:r>
      <w:r w:rsidR="0068502A" w:rsidRPr="005028E4">
        <w:rPr>
          <w:sz w:val="24"/>
          <w:szCs w:val="24"/>
        </w:rPr>
        <w:t>m</w:t>
      </w:r>
      <w:r w:rsidRPr="005028E4">
        <w:rPr>
          <w:sz w:val="24"/>
          <w:szCs w:val="24"/>
        </w:rPr>
        <w:t xml:space="preserve"> tzv. faktora rutiranja (</w:t>
      </w:r>
      <w:r w:rsidRPr="005028E4">
        <w:rPr>
          <w:i/>
          <w:sz w:val="24"/>
          <w:szCs w:val="24"/>
        </w:rPr>
        <w:t>eng. Routing Factors</w:t>
      </w:r>
      <w:r w:rsidRPr="005028E4">
        <w:rPr>
          <w:sz w:val="24"/>
          <w:szCs w:val="24"/>
        </w:rPr>
        <w:t>). Tom metodom se troškovi raspodjeljuju proizvodima na osnovu korištenja svake pojedine opreme. Faktor rutiranja je mjera koliko puta se resurs koristi za pružanje određene usluge. Nakon što su godišnji troškovi po svakom resursu izračunati, raspodjeljuju se po uslugama. Prvo se raspodjeljuju inkrementalni troškovi, a nakon toga zajednički troškovi, koji se dodjeljuju metodom učinkovitog kapaciteta (</w:t>
      </w:r>
      <w:r w:rsidRPr="005028E4">
        <w:rPr>
          <w:i/>
          <w:sz w:val="24"/>
          <w:szCs w:val="24"/>
        </w:rPr>
        <w:t>eng. Effective Capacity</w:t>
      </w:r>
      <w:r w:rsidRPr="005028E4">
        <w:rPr>
          <w:sz w:val="24"/>
          <w:szCs w:val="24"/>
        </w:rPr>
        <w:t>). Ta metoda dodjeljuje zajedničke troškove također preko faktora rutiranja, kao što se dodjeljuju i inkrementalni troškovi.</w:t>
      </w:r>
    </w:p>
    <w:p w:rsidR="003D3219" w:rsidRPr="005028E4" w:rsidRDefault="003D3219" w:rsidP="003D3219">
      <w:pPr>
        <w:jc w:val="both"/>
        <w:rPr>
          <w:sz w:val="24"/>
          <w:szCs w:val="24"/>
        </w:rPr>
      </w:pPr>
      <w:r w:rsidRPr="005028E4">
        <w:rPr>
          <w:sz w:val="24"/>
          <w:szCs w:val="24"/>
        </w:rPr>
        <w:t>Na kraju, kada su mrežni troškovi alocirani, opći i administrativni troškovi (G&amp;A) i specifični veleprodajni troškovi se alociraju svim uslugama prema zasebnom dodatku povrh troškova usluga.</w:t>
      </w:r>
    </w:p>
    <w:p w:rsidR="003D3219" w:rsidRPr="005028E4" w:rsidRDefault="003D3219" w:rsidP="003A6F28">
      <w:pPr>
        <w:pStyle w:val="Heading2"/>
      </w:pPr>
      <w:bookmarkStart w:id="614" w:name="_Toc51676925"/>
      <w:bookmarkStart w:id="615" w:name="_Toc53941991"/>
      <w:bookmarkStart w:id="616" w:name="_Toc54250962"/>
      <w:bookmarkStart w:id="617" w:name="_Toc54252860"/>
      <w:bookmarkStart w:id="618" w:name="_Toc54261672"/>
      <w:r w:rsidRPr="005028E4">
        <w:t>Rezultati troškovnog modela</w:t>
      </w:r>
      <w:bookmarkEnd w:id="614"/>
      <w:bookmarkEnd w:id="615"/>
      <w:bookmarkEnd w:id="616"/>
      <w:bookmarkEnd w:id="617"/>
      <w:bookmarkEnd w:id="618"/>
    </w:p>
    <w:p w:rsidR="003D3219" w:rsidRPr="005028E4" w:rsidRDefault="003D3219" w:rsidP="003D3219">
      <w:pPr>
        <w:jc w:val="both"/>
        <w:rPr>
          <w:sz w:val="24"/>
          <w:szCs w:val="24"/>
        </w:rPr>
      </w:pPr>
      <w:r w:rsidRPr="005028E4">
        <w:rPr>
          <w:sz w:val="24"/>
          <w:szCs w:val="24"/>
        </w:rPr>
        <w:t>U ovom poglavlju dan je kratki pregled glavnih rezultata Troškovnog modela za nepokretne mreže, u vidu količina potrebnih mrežnih elemenata koje Troškovni model daje kao rezultat modeliranja i dimenzioniranja, troškovne osnovice te troškova usluga.</w:t>
      </w:r>
    </w:p>
    <w:p w:rsidR="003D3219" w:rsidRPr="005028E4" w:rsidRDefault="003D3219" w:rsidP="003A6F28">
      <w:pPr>
        <w:pStyle w:val="Heading3"/>
      </w:pPr>
      <w:bookmarkStart w:id="619" w:name="_Toc51252379"/>
      <w:bookmarkStart w:id="620" w:name="_Toc51676926"/>
      <w:bookmarkStart w:id="621" w:name="_Toc53941992"/>
      <w:bookmarkStart w:id="622" w:name="_Toc54250963"/>
      <w:bookmarkStart w:id="623" w:name="_Toc54252861"/>
      <w:bookmarkStart w:id="624" w:name="_Toc54261673"/>
      <w:r w:rsidRPr="005028E4">
        <w:t>Rezultirajući mrežni elementi</w:t>
      </w:r>
      <w:bookmarkEnd w:id="619"/>
      <w:bookmarkEnd w:id="620"/>
      <w:bookmarkEnd w:id="621"/>
      <w:bookmarkEnd w:id="622"/>
      <w:bookmarkEnd w:id="623"/>
      <w:bookmarkEnd w:id="624"/>
    </w:p>
    <w:tbl>
      <w:tblPr>
        <w:tblW w:w="4534" w:type="pct"/>
        <w:jc w:val="center"/>
        <w:tblLayout w:type="fixed"/>
        <w:tblCellMar>
          <w:top w:w="57" w:type="dxa"/>
          <w:left w:w="43" w:type="dxa"/>
          <w:bottom w:w="57" w:type="dxa"/>
          <w:right w:w="43" w:type="dxa"/>
        </w:tblCellMar>
        <w:tblLook w:val="0600" w:firstRow="0" w:lastRow="0" w:firstColumn="0" w:lastColumn="0" w:noHBand="1" w:noVBand="1"/>
      </w:tblPr>
      <w:tblGrid>
        <w:gridCol w:w="3261"/>
        <w:gridCol w:w="1417"/>
        <w:gridCol w:w="1559"/>
        <w:gridCol w:w="1985"/>
      </w:tblGrid>
      <w:tr w:rsidR="003D3219" w:rsidRPr="005028E4" w:rsidTr="008D2898">
        <w:trPr>
          <w:cantSplit/>
          <w:trHeight w:val="20"/>
          <w:tblHeader/>
          <w:jc w:val="center"/>
        </w:trPr>
        <w:tc>
          <w:tcPr>
            <w:tcW w:w="3261" w:type="dxa"/>
            <w:tcBorders>
              <w:top w:val="nil"/>
              <w:left w:val="nil"/>
              <w:bottom w:val="single" w:sz="4" w:space="0" w:color="113F80"/>
              <w:right w:val="single" w:sz="4" w:space="0" w:color="FFFFFF"/>
            </w:tcBorders>
            <w:shd w:val="clear" w:color="auto" w:fill="113F80"/>
            <w:tcMar>
              <w:top w:w="15" w:type="dxa"/>
              <w:left w:w="15" w:type="dxa"/>
              <w:bottom w:w="0" w:type="dxa"/>
              <w:right w:w="15" w:type="dxa"/>
            </w:tcMar>
            <w:vAlign w:val="center"/>
          </w:tcPr>
          <w:p w:rsidR="003D3219" w:rsidRPr="005028E4" w:rsidRDefault="003D3219" w:rsidP="003D3219">
            <w:pPr>
              <w:spacing w:before="100" w:beforeAutospacing="1" w:after="100" w:afterAutospacing="1" w:line="240" w:lineRule="auto"/>
              <w:jc w:val="center"/>
              <w:rPr>
                <w:rFonts w:eastAsia="Times New Roman" w:cstheme="minorHAnsi"/>
                <w:b/>
                <w:bCs/>
                <w:sz w:val="20"/>
                <w:szCs w:val="20"/>
                <w:lang w:eastAsia="es-ES"/>
              </w:rPr>
            </w:pPr>
            <w:r w:rsidRPr="005028E4">
              <w:rPr>
                <w:rFonts w:eastAsia="Times New Roman" w:cstheme="minorHAnsi"/>
                <w:b/>
                <w:bCs/>
                <w:sz w:val="20"/>
                <w:szCs w:val="20"/>
                <w:lang w:eastAsia="es-ES"/>
              </w:rPr>
              <w:t>Mrežni element</w:t>
            </w:r>
          </w:p>
        </w:tc>
        <w:tc>
          <w:tcPr>
            <w:tcW w:w="1417" w:type="dxa"/>
            <w:tcBorders>
              <w:top w:val="nil"/>
              <w:left w:val="single" w:sz="4" w:space="0" w:color="FFFFFF"/>
              <w:bottom w:val="single" w:sz="4" w:space="0" w:color="113F80"/>
              <w:right w:val="single" w:sz="4" w:space="0" w:color="FFFFFF"/>
            </w:tcBorders>
            <w:shd w:val="clear" w:color="auto" w:fill="113F80"/>
            <w:vAlign w:val="center"/>
          </w:tcPr>
          <w:p w:rsidR="003D3219" w:rsidRPr="005028E4" w:rsidRDefault="003D3219" w:rsidP="003D3219">
            <w:pPr>
              <w:spacing w:before="100" w:beforeAutospacing="1" w:after="100" w:afterAutospacing="1" w:line="240" w:lineRule="auto"/>
              <w:jc w:val="center"/>
              <w:rPr>
                <w:rFonts w:eastAsia="Times New Roman" w:cstheme="minorHAnsi"/>
                <w:b/>
                <w:bCs/>
                <w:sz w:val="20"/>
                <w:szCs w:val="20"/>
                <w:lang w:eastAsia="es-ES"/>
              </w:rPr>
            </w:pPr>
            <w:r w:rsidRPr="005028E4">
              <w:rPr>
                <w:rFonts w:eastAsia="Times New Roman" w:cstheme="minorHAnsi"/>
                <w:b/>
                <w:bCs/>
                <w:sz w:val="20"/>
                <w:szCs w:val="20"/>
                <w:lang w:eastAsia="es-ES"/>
              </w:rPr>
              <w:t>Jedinica</w:t>
            </w:r>
          </w:p>
        </w:tc>
        <w:tc>
          <w:tcPr>
            <w:tcW w:w="1559" w:type="dxa"/>
            <w:tcBorders>
              <w:top w:val="nil"/>
              <w:left w:val="single" w:sz="4" w:space="0" w:color="FFFFFF"/>
              <w:bottom w:val="single" w:sz="4" w:space="0" w:color="113F80"/>
              <w:right w:val="single" w:sz="4" w:space="0" w:color="FFFFFF"/>
            </w:tcBorders>
            <w:shd w:val="clear" w:color="auto" w:fill="113F80"/>
          </w:tcPr>
          <w:p w:rsidR="003D3219" w:rsidRPr="005028E4" w:rsidRDefault="003D3219" w:rsidP="003D3219">
            <w:pPr>
              <w:spacing w:before="100" w:beforeAutospacing="1" w:after="100" w:afterAutospacing="1" w:line="240" w:lineRule="auto"/>
              <w:jc w:val="center"/>
              <w:rPr>
                <w:rFonts w:eastAsia="Times New Roman" w:cstheme="minorHAnsi"/>
                <w:b/>
                <w:bCs/>
                <w:sz w:val="20"/>
                <w:szCs w:val="20"/>
                <w:lang w:eastAsia="es-ES"/>
              </w:rPr>
            </w:pPr>
            <w:r w:rsidRPr="005028E4">
              <w:rPr>
                <w:rFonts w:eastAsia="Times New Roman" w:cstheme="minorHAnsi"/>
                <w:b/>
                <w:bCs/>
                <w:sz w:val="20"/>
                <w:szCs w:val="20"/>
                <w:lang w:eastAsia="es-ES"/>
              </w:rPr>
              <w:t>Vrijednost za 2020</w:t>
            </w:r>
          </w:p>
        </w:tc>
        <w:tc>
          <w:tcPr>
            <w:tcW w:w="1985" w:type="dxa"/>
            <w:tcBorders>
              <w:top w:val="nil"/>
              <w:left w:val="single" w:sz="4" w:space="0" w:color="FFFFFF"/>
              <w:bottom w:val="single" w:sz="4" w:space="0" w:color="113F80"/>
              <w:right w:val="single" w:sz="4" w:space="0" w:color="FFFFFF"/>
            </w:tcBorders>
            <w:shd w:val="clear" w:color="auto" w:fill="113F80"/>
          </w:tcPr>
          <w:p w:rsidR="003D3219" w:rsidRPr="005028E4" w:rsidRDefault="003D3219" w:rsidP="003D3219">
            <w:pPr>
              <w:spacing w:before="100" w:beforeAutospacing="1" w:after="100" w:afterAutospacing="1" w:line="240" w:lineRule="auto"/>
              <w:jc w:val="center"/>
              <w:rPr>
                <w:rFonts w:eastAsia="Times New Roman" w:cstheme="minorHAnsi"/>
                <w:b/>
                <w:bCs/>
                <w:sz w:val="20"/>
                <w:szCs w:val="20"/>
                <w:lang w:eastAsia="es-ES"/>
              </w:rPr>
            </w:pPr>
            <w:r w:rsidRPr="005028E4">
              <w:rPr>
                <w:rFonts w:eastAsia="Times New Roman" w:cstheme="minorHAnsi"/>
                <w:b/>
                <w:bCs/>
                <w:sz w:val="20"/>
                <w:szCs w:val="20"/>
                <w:lang w:eastAsia="es-ES"/>
              </w:rPr>
              <w:t>Vrijednost za 2025</w:t>
            </w:r>
          </w:p>
        </w:tc>
      </w:tr>
      <w:tr w:rsidR="003D3219" w:rsidRPr="005028E4" w:rsidTr="003D3219">
        <w:trPr>
          <w:cantSplit/>
          <w:trHeight w:val="283"/>
          <w:jc w:val="center"/>
        </w:trPr>
        <w:tc>
          <w:tcPr>
            <w:tcW w:w="6237" w:type="dxa"/>
            <w:gridSpan w:val="3"/>
            <w:tcBorders>
              <w:top w:val="single" w:sz="4" w:space="0" w:color="113F80"/>
              <w:bottom w:val="single" w:sz="4" w:space="0" w:color="113F80"/>
            </w:tcBorders>
            <w:shd w:val="clear" w:color="auto" w:fill="EEF4FA"/>
            <w:tcMar>
              <w:top w:w="15" w:type="dxa"/>
              <w:left w:w="57" w:type="dxa"/>
              <w:bottom w:w="0" w:type="dxa"/>
              <w:right w:w="57" w:type="dxa"/>
            </w:tcMar>
            <w:vAlign w:val="center"/>
          </w:tcPr>
          <w:p w:rsidR="003D3219" w:rsidRPr="005028E4" w:rsidRDefault="003D3219" w:rsidP="003D3219">
            <w:pPr>
              <w:keepNext/>
              <w:keepLines/>
              <w:spacing w:before="100" w:beforeAutospacing="1" w:after="100" w:afterAutospacing="1" w:line="240" w:lineRule="auto"/>
              <w:textAlignment w:val="center"/>
              <w:rPr>
                <w:rFonts w:eastAsia="Times New Roman" w:cstheme="minorHAnsi"/>
                <w:i/>
                <w:sz w:val="20"/>
                <w:szCs w:val="20"/>
                <w:lang w:eastAsia="es-ES_tradnl"/>
              </w:rPr>
            </w:pPr>
            <w:r w:rsidRPr="005028E4">
              <w:rPr>
                <w:rFonts w:eastAsia="Times New Roman" w:cstheme="minorHAnsi"/>
                <w:bCs/>
                <w:i/>
                <w:sz w:val="20"/>
                <w:szCs w:val="20"/>
                <w:lang w:eastAsia="es-ES_tradnl"/>
              </w:rPr>
              <w:t>Pristupna mreža</w:t>
            </w:r>
          </w:p>
        </w:tc>
        <w:tc>
          <w:tcPr>
            <w:tcW w:w="1985" w:type="dxa"/>
            <w:tcBorders>
              <w:top w:val="single" w:sz="4" w:space="0" w:color="113F80"/>
              <w:bottom w:val="single" w:sz="4" w:space="0" w:color="113F80"/>
            </w:tcBorders>
            <w:shd w:val="clear" w:color="auto" w:fill="EEF4FA"/>
          </w:tcPr>
          <w:p w:rsidR="003D3219" w:rsidRPr="005028E4" w:rsidRDefault="003D3219" w:rsidP="003D3219">
            <w:pPr>
              <w:keepNext/>
              <w:keepLines/>
              <w:spacing w:before="100" w:beforeAutospacing="1" w:after="100" w:afterAutospacing="1" w:line="240" w:lineRule="auto"/>
              <w:textAlignment w:val="center"/>
              <w:rPr>
                <w:rFonts w:eastAsia="Times New Roman" w:cstheme="minorHAnsi"/>
                <w:bCs/>
                <w:i/>
                <w:sz w:val="20"/>
                <w:szCs w:val="20"/>
                <w:lang w:eastAsia="es-ES_tradnl"/>
              </w:rPr>
            </w:pP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tcPr>
          <w:p w:rsidR="008D2898" w:rsidRPr="005028E4" w:rsidRDefault="008D2898" w:rsidP="008D2898">
            <w:pPr>
              <w:keepNext/>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Kabeli bakrene pristupne mreže</w:t>
            </w:r>
          </w:p>
        </w:tc>
        <w:tc>
          <w:tcPr>
            <w:tcW w:w="1417"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Km</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tcPr>
          <w:p w:rsidR="008D2898" w:rsidRPr="005028E4" w:rsidRDefault="008D2898" w:rsidP="008D2898">
            <w:pPr>
              <w:keepNext/>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Kabeli svjetlovodne pristupne mreže</w:t>
            </w:r>
          </w:p>
        </w:tc>
        <w:tc>
          <w:tcPr>
            <w:tcW w:w="1417"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Km</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tcPr>
          <w:p w:rsidR="008D2898" w:rsidRPr="005028E4" w:rsidRDefault="008D2898" w:rsidP="008D2898">
            <w:pPr>
              <w:keepNext/>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Rovovi</w:t>
            </w:r>
          </w:p>
        </w:tc>
        <w:tc>
          <w:tcPr>
            <w:tcW w:w="1417"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Km</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tcPr>
          <w:p w:rsidR="008D2898" w:rsidRPr="005028E4" w:rsidRDefault="008D2898" w:rsidP="008D2898">
            <w:pPr>
              <w:keepNext/>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DP-ovi (Bakar + Svjetlovod)</w:t>
            </w:r>
          </w:p>
        </w:tc>
        <w:tc>
          <w:tcPr>
            <w:tcW w:w="1417"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 xml:space="preserve"># DP-ova </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tcPr>
          <w:p w:rsidR="008D2898" w:rsidRPr="005028E4" w:rsidRDefault="008D2898" w:rsidP="008D2898">
            <w:pPr>
              <w:keepNext/>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DN-ovi</w:t>
            </w:r>
          </w:p>
        </w:tc>
        <w:tc>
          <w:tcPr>
            <w:tcW w:w="1417"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 DN-ova</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tcPr>
          <w:p w:rsidR="008D2898" w:rsidRPr="005028E4" w:rsidRDefault="008D2898" w:rsidP="008D2898">
            <w:pPr>
              <w:keepNext/>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MDF-ovi</w:t>
            </w:r>
          </w:p>
        </w:tc>
        <w:tc>
          <w:tcPr>
            <w:tcW w:w="1417"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 MDFova</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tcPr>
          <w:p w:rsidR="008D2898" w:rsidRPr="005028E4" w:rsidRDefault="008D2898" w:rsidP="008D2898">
            <w:pPr>
              <w:keepNext/>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ODF-ovi</w:t>
            </w:r>
          </w:p>
        </w:tc>
        <w:tc>
          <w:tcPr>
            <w:tcW w:w="1417"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 ODF-ova</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3D3219" w:rsidRPr="005028E4" w:rsidTr="003D3219">
        <w:trPr>
          <w:cantSplit/>
          <w:trHeight w:val="283"/>
          <w:jc w:val="center"/>
        </w:trPr>
        <w:tc>
          <w:tcPr>
            <w:tcW w:w="6237" w:type="dxa"/>
            <w:gridSpan w:val="3"/>
            <w:tcBorders>
              <w:top w:val="single" w:sz="4" w:space="0" w:color="113F80"/>
              <w:bottom w:val="single" w:sz="4" w:space="0" w:color="113F80"/>
            </w:tcBorders>
            <w:shd w:val="clear" w:color="auto" w:fill="EEF4FA"/>
            <w:tcMar>
              <w:top w:w="15" w:type="dxa"/>
              <w:left w:w="57" w:type="dxa"/>
              <w:bottom w:w="0" w:type="dxa"/>
              <w:right w:w="57" w:type="dxa"/>
            </w:tcMar>
            <w:vAlign w:val="center"/>
          </w:tcPr>
          <w:p w:rsidR="003D3219" w:rsidRPr="005028E4" w:rsidRDefault="003D3219" w:rsidP="003D3219">
            <w:pPr>
              <w:keepNext/>
              <w:keepLines/>
              <w:spacing w:before="100" w:beforeAutospacing="1" w:after="100" w:afterAutospacing="1" w:line="240" w:lineRule="auto"/>
              <w:textAlignment w:val="center"/>
              <w:rPr>
                <w:rFonts w:eastAsia="Times New Roman" w:cstheme="minorHAnsi"/>
                <w:i/>
                <w:sz w:val="20"/>
                <w:szCs w:val="20"/>
                <w:lang w:eastAsia="es-ES_tradnl"/>
              </w:rPr>
            </w:pPr>
            <w:r w:rsidRPr="005028E4">
              <w:rPr>
                <w:rFonts w:eastAsia="Times New Roman" w:cstheme="minorHAnsi"/>
                <w:bCs/>
                <w:i/>
                <w:sz w:val="20"/>
                <w:szCs w:val="20"/>
                <w:lang w:eastAsia="es-ES_tradnl"/>
              </w:rPr>
              <w:t>Prijenosna mreža</w:t>
            </w:r>
          </w:p>
        </w:tc>
        <w:tc>
          <w:tcPr>
            <w:tcW w:w="1985" w:type="dxa"/>
            <w:tcBorders>
              <w:top w:val="single" w:sz="4" w:space="0" w:color="113F80"/>
              <w:bottom w:val="single" w:sz="4" w:space="0" w:color="113F80"/>
            </w:tcBorders>
            <w:shd w:val="clear" w:color="auto" w:fill="EEF4FA"/>
          </w:tcPr>
          <w:p w:rsidR="003D3219" w:rsidRPr="005028E4" w:rsidRDefault="003D3219" w:rsidP="003D3219">
            <w:pPr>
              <w:keepNext/>
              <w:keepLines/>
              <w:spacing w:before="100" w:beforeAutospacing="1" w:after="100" w:afterAutospacing="1" w:line="240" w:lineRule="auto"/>
              <w:textAlignment w:val="center"/>
              <w:rPr>
                <w:rFonts w:eastAsia="Times New Roman" w:cstheme="minorHAnsi"/>
                <w:bCs/>
                <w:i/>
                <w:sz w:val="20"/>
                <w:szCs w:val="20"/>
                <w:lang w:eastAsia="es-ES_tradnl"/>
              </w:rPr>
            </w:pP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8D2898" w:rsidRPr="005028E4" w:rsidRDefault="008D2898" w:rsidP="008D2898">
            <w:pPr>
              <w:keepNext/>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DWDM Regionalni centri</w:t>
            </w:r>
          </w:p>
        </w:tc>
        <w:tc>
          <w:tcPr>
            <w:tcW w:w="1417" w:type="dxa"/>
            <w:tcBorders>
              <w:top w:val="single" w:sz="4" w:space="0" w:color="113F80"/>
              <w:bottom w:val="single" w:sz="4" w:space="0" w:color="113F80"/>
            </w:tcBorders>
            <w:vAlign w:val="center"/>
          </w:tcPr>
          <w:p w:rsidR="008D2898" w:rsidRPr="005028E4" w:rsidRDefault="008D2898" w:rsidP="008D2898">
            <w:pPr>
              <w:keepNext/>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 xml:space="preserve"># centara </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8D2898" w:rsidRPr="005028E4" w:rsidRDefault="008D2898" w:rsidP="008D2898">
            <w:pPr>
              <w:keepNext/>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IP Spoke uređaji</w:t>
            </w:r>
          </w:p>
        </w:tc>
        <w:tc>
          <w:tcPr>
            <w:tcW w:w="1417" w:type="dxa"/>
            <w:tcBorders>
              <w:top w:val="single" w:sz="4" w:space="0" w:color="113F80"/>
              <w:bottom w:val="single" w:sz="4" w:space="0" w:color="113F80"/>
            </w:tcBorders>
            <w:vAlign w:val="center"/>
          </w:tcPr>
          <w:p w:rsidR="008D2898" w:rsidRPr="005028E4" w:rsidRDefault="008D2898" w:rsidP="008D2898">
            <w:pPr>
              <w:keepNext/>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 uređaja</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3D3219" w:rsidRPr="005028E4" w:rsidTr="003D3219">
        <w:trPr>
          <w:cantSplit/>
          <w:trHeight w:val="283"/>
          <w:jc w:val="center"/>
        </w:trPr>
        <w:tc>
          <w:tcPr>
            <w:tcW w:w="6237" w:type="dxa"/>
            <w:gridSpan w:val="3"/>
            <w:tcBorders>
              <w:top w:val="single" w:sz="4" w:space="0" w:color="113F80"/>
              <w:bottom w:val="single" w:sz="4" w:space="0" w:color="113F80"/>
            </w:tcBorders>
            <w:shd w:val="clear" w:color="auto" w:fill="EEF4FA"/>
            <w:tcMar>
              <w:top w:w="15" w:type="dxa"/>
              <w:left w:w="57" w:type="dxa"/>
              <w:bottom w:w="0" w:type="dxa"/>
              <w:right w:w="57" w:type="dxa"/>
            </w:tcMar>
            <w:vAlign w:val="center"/>
          </w:tcPr>
          <w:p w:rsidR="003D3219" w:rsidRPr="005028E4" w:rsidRDefault="008D2898" w:rsidP="008D2898">
            <w:pPr>
              <w:keepNext/>
              <w:keepLines/>
              <w:spacing w:before="100" w:beforeAutospacing="1" w:after="100" w:afterAutospacing="1" w:line="240" w:lineRule="auto"/>
              <w:textAlignment w:val="center"/>
              <w:rPr>
                <w:rFonts w:eastAsia="Times New Roman" w:cstheme="minorHAnsi"/>
                <w:i/>
                <w:sz w:val="20"/>
                <w:szCs w:val="20"/>
                <w:lang w:eastAsia="es-ES_tradnl"/>
              </w:rPr>
            </w:pPr>
            <w:r w:rsidRPr="005028E4">
              <w:rPr>
                <w:rFonts w:eastAsia="Times New Roman" w:cstheme="minorHAnsi"/>
                <w:bCs/>
                <w:i/>
                <w:sz w:val="20"/>
                <w:szCs w:val="20"/>
                <w:lang w:eastAsia="es-ES_tradnl"/>
              </w:rPr>
              <w:t>Jezgrena mreža</w:t>
            </w:r>
          </w:p>
        </w:tc>
        <w:tc>
          <w:tcPr>
            <w:tcW w:w="1985" w:type="dxa"/>
            <w:tcBorders>
              <w:top w:val="single" w:sz="4" w:space="0" w:color="113F80"/>
              <w:bottom w:val="single" w:sz="4" w:space="0" w:color="113F80"/>
            </w:tcBorders>
            <w:shd w:val="clear" w:color="auto" w:fill="EEF4FA"/>
          </w:tcPr>
          <w:p w:rsidR="003D3219" w:rsidRPr="005028E4" w:rsidRDefault="003D3219" w:rsidP="003D3219">
            <w:pPr>
              <w:keepNext/>
              <w:keepLines/>
              <w:spacing w:before="100" w:beforeAutospacing="1" w:after="100" w:afterAutospacing="1" w:line="240" w:lineRule="auto"/>
              <w:textAlignment w:val="center"/>
              <w:rPr>
                <w:rFonts w:eastAsia="Times New Roman" w:cstheme="minorHAnsi"/>
                <w:bCs/>
                <w:i/>
                <w:sz w:val="20"/>
                <w:szCs w:val="20"/>
                <w:lang w:eastAsia="es-ES_tradnl"/>
              </w:rPr>
            </w:pP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8D2898" w:rsidRPr="005028E4" w:rsidRDefault="008D2898" w:rsidP="008D2898">
            <w:pPr>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BRAS</w:t>
            </w:r>
          </w:p>
        </w:tc>
        <w:tc>
          <w:tcPr>
            <w:tcW w:w="1417" w:type="dxa"/>
            <w:tcBorders>
              <w:top w:val="single" w:sz="4" w:space="0" w:color="113F80"/>
              <w:bottom w:val="single" w:sz="4" w:space="0" w:color="113F80"/>
            </w:tcBorders>
            <w:vAlign w:val="center"/>
          </w:tcPr>
          <w:p w:rsidR="008D2898" w:rsidRPr="005028E4" w:rsidRDefault="008D2898" w:rsidP="008D2898">
            <w:pPr>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 platformi</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8D2898" w:rsidRPr="005028E4" w:rsidRDefault="008D2898" w:rsidP="008D2898">
            <w:pPr>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DNS</w:t>
            </w:r>
          </w:p>
        </w:tc>
        <w:tc>
          <w:tcPr>
            <w:tcW w:w="1417" w:type="dxa"/>
            <w:tcBorders>
              <w:top w:val="single" w:sz="4" w:space="0" w:color="113F80"/>
              <w:bottom w:val="single" w:sz="4" w:space="0" w:color="113F80"/>
            </w:tcBorders>
            <w:vAlign w:val="center"/>
          </w:tcPr>
          <w:p w:rsidR="008D2898" w:rsidRPr="005028E4" w:rsidRDefault="008D2898" w:rsidP="008D2898">
            <w:pPr>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 platformi</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r w:rsidR="008D2898" w:rsidRPr="005028E4" w:rsidTr="00D31F49">
        <w:trPr>
          <w:cantSplit/>
          <w:trHeight w:val="20"/>
          <w:jc w:val="center"/>
        </w:trPr>
        <w:tc>
          <w:tcPr>
            <w:tcW w:w="3261" w:type="dxa"/>
            <w:tcBorders>
              <w:top w:val="single" w:sz="4" w:space="0" w:color="113F80"/>
              <w:bottom w:val="single" w:sz="4" w:space="0" w:color="113F80"/>
            </w:tcBorders>
            <w:shd w:val="clear" w:color="auto" w:fill="DBD9D9"/>
            <w:tcMar>
              <w:top w:w="15" w:type="dxa"/>
              <w:left w:w="57" w:type="dxa"/>
              <w:bottom w:w="0" w:type="dxa"/>
              <w:right w:w="57" w:type="dxa"/>
            </w:tcMar>
            <w:vAlign w:val="center"/>
          </w:tcPr>
          <w:p w:rsidR="008D2898" w:rsidRPr="005028E4" w:rsidRDefault="008D2898" w:rsidP="008D2898">
            <w:pPr>
              <w:keepLines/>
              <w:spacing w:before="100" w:beforeAutospacing="1" w:after="100" w:afterAutospacing="1" w:line="240" w:lineRule="auto"/>
              <w:rPr>
                <w:rFonts w:eastAsia="Calibri" w:cstheme="minorHAnsi"/>
                <w:b/>
                <w:bCs/>
                <w:sz w:val="20"/>
                <w:szCs w:val="20"/>
                <w:lang w:eastAsia="es-ES"/>
              </w:rPr>
            </w:pPr>
            <w:r w:rsidRPr="005028E4">
              <w:rPr>
                <w:rFonts w:eastAsia="Calibri" w:cstheme="minorHAnsi"/>
                <w:b/>
                <w:bCs/>
                <w:sz w:val="20"/>
                <w:szCs w:val="20"/>
                <w:lang w:eastAsia="es-ES"/>
              </w:rPr>
              <w:t>RADIUS</w:t>
            </w:r>
          </w:p>
        </w:tc>
        <w:tc>
          <w:tcPr>
            <w:tcW w:w="1417" w:type="dxa"/>
            <w:tcBorders>
              <w:top w:val="single" w:sz="4" w:space="0" w:color="113F80"/>
              <w:bottom w:val="single" w:sz="4" w:space="0" w:color="113F80"/>
            </w:tcBorders>
            <w:vAlign w:val="center"/>
          </w:tcPr>
          <w:p w:rsidR="008D2898" w:rsidRPr="005028E4" w:rsidRDefault="008D2898" w:rsidP="008D2898">
            <w:pPr>
              <w:keepLines/>
              <w:spacing w:before="100" w:beforeAutospacing="1" w:after="100" w:afterAutospacing="1" w:line="240" w:lineRule="auto"/>
              <w:textAlignment w:val="center"/>
              <w:rPr>
                <w:rFonts w:eastAsia="Times New Roman" w:cstheme="minorHAnsi"/>
                <w:sz w:val="20"/>
                <w:szCs w:val="20"/>
                <w:lang w:eastAsia="es-ES_tradnl"/>
              </w:rPr>
            </w:pPr>
            <w:r w:rsidRPr="005028E4">
              <w:rPr>
                <w:rFonts w:eastAsia="Times New Roman" w:cstheme="minorHAnsi"/>
                <w:sz w:val="20"/>
                <w:szCs w:val="20"/>
                <w:lang w:eastAsia="es-ES_tradnl"/>
              </w:rPr>
              <w:t># platformi</w:t>
            </w:r>
          </w:p>
        </w:tc>
        <w:tc>
          <w:tcPr>
            <w:tcW w:w="1559"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c>
          <w:tcPr>
            <w:tcW w:w="1985" w:type="dxa"/>
            <w:tcBorders>
              <w:top w:val="single" w:sz="4" w:space="0" w:color="113F80"/>
              <w:bottom w:val="single" w:sz="4" w:space="0" w:color="113F80"/>
            </w:tcBorders>
          </w:tcPr>
          <w:p w:rsidR="008D2898" w:rsidRPr="005028E4" w:rsidRDefault="008D2898" w:rsidP="008D2898">
            <w:pPr>
              <w:keepNext/>
              <w:keepLines/>
              <w:spacing w:before="100" w:beforeAutospacing="1" w:after="100" w:afterAutospacing="1" w:line="240" w:lineRule="auto"/>
              <w:jc w:val="center"/>
              <w:textAlignment w:val="center"/>
              <w:rPr>
                <w:rFonts w:eastAsia="Times New Roman" w:cstheme="minorHAnsi"/>
                <w:sz w:val="20"/>
                <w:szCs w:val="20"/>
                <w:lang w:eastAsia="es-ES_tradnl"/>
              </w:rPr>
            </w:pPr>
            <w:r w:rsidRPr="005028E4">
              <w:rPr>
                <w:sz w:val="20"/>
                <w:szCs w:val="20"/>
              </w:rPr>
              <w:sym w:font="Wingdings 2" w:char="F026"/>
            </w:r>
          </w:p>
        </w:tc>
      </w:tr>
    </w:tbl>
    <w:p w:rsidR="003D3219" w:rsidRPr="005028E4" w:rsidRDefault="00233E21" w:rsidP="00C00568">
      <w:pPr>
        <w:pStyle w:val="Caption"/>
        <w:jc w:val="center"/>
      </w:pPr>
      <w:bookmarkStart w:id="625" w:name="_Ref51333616"/>
      <w:bookmarkStart w:id="626" w:name="_Ref51333610"/>
      <w:bookmarkStart w:id="627" w:name="_Toc54079571"/>
      <w:bookmarkStart w:id="628" w:name="_Toc54159167"/>
      <w:bookmarkStart w:id="629" w:name="_Toc54159301"/>
      <w:bookmarkStart w:id="630" w:name="_Toc54159997"/>
      <w:bookmarkStart w:id="631" w:name="_Toc54175822"/>
      <w:bookmarkStart w:id="632" w:name="_Toc54179450"/>
      <w:bookmarkStart w:id="633" w:name="_Toc54261730"/>
      <w:r>
        <w:sym w:font="Wingdings 2" w:char="F026"/>
      </w:r>
      <w:r w:rsidR="003D3219" w:rsidRPr="005028E4">
        <w:t xml:space="preserve">Tablica </w:t>
      </w:r>
      <w:r w:rsidR="00E6032F">
        <w:rPr>
          <w:noProof/>
        </w:rPr>
        <w:fldChar w:fldCharType="begin"/>
      </w:r>
      <w:r w:rsidR="00E6032F">
        <w:rPr>
          <w:noProof/>
        </w:rPr>
        <w:instrText xml:space="preserve"> SEQ Tablica \* ARABIC </w:instrText>
      </w:r>
      <w:r w:rsidR="00E6032F">
        <w:rPr>
          <w:noProof/>
        </w:rPr>
        <w:fldChar w:fldCharType="separate"/>
      </w:r>
      <w:r w:rsidR="00B047B3">
        <w:rPr>
          <w:noProof/>
        </w:rPr>
        <w:t>7</w:t>
      </w:r>
      <w:r w:rsidR="00E6032F">
        <w:rPr>
          <w:noProof/>
        </w:rPr>
        <w:fldChar w:fldCharType="end"/>
      </w:r>
      <w:bookmarkEnd w:id="625"/>
      <w:r w:rsidR="003D3219" w:rsidRPr="005028E4">
        <w:t xml:space="preserve"> - Sažetak mrežnih elemenata referentnog operatora za nepokretnu mrežu (Izvor: Troškovni model)</w:t>
      </w:r>
      <w:bookmarkEnd w:id="626"/>
      <w:bookmarkEnd w:id="627"/>
      <w:bookmarkEnd w:id="628"/>
      <w:bookmarkEnd w:id="629"/>
      <w:bookmarkEnd w:id="630"/>
      <w:bookmarkEnd w:id="631"/>
      <w:bookmarkEnd w:id="632"/>
      <w:bookmarkEnd w:id="633"/>
    </w:p>
    <w:p w:rsidR="00C00568" w:rsidRPr="005028E4" w:rsidRDefault="00C00568" w:rsidP="00C00568"/>
    <w:p w:rsidR="003D3219" w:rsidRPr="005028E4" w:rsidRDefault="003D3219" w:rsidP="003D3219">
      <w:pPr>
        <w:jc w:val="both"/>
        <w:rPr>
          <w:sz w:val="24"/>
          <w:szCs w:val="24"/>
        </w:rPr>
      </w:pPr>
      <w:r w:rsidRPr="005028E4">
        <w:rPr>
          <w:sz w:val="24"/>
          <w:szCs w:val="24"/>
        </w:rPr>
        <w:fldChar w:fldCharType="begin"/>
      </w:r>
      <w:r w:rsidRPr="005028E4">
        <w:rPr>
          <w:sz w:val="24"/>
          <w:szCs w:val="24"/>
        </w:rPr>
        <w:instrText xml:space="preserve"> REF _Ref51333616 \h </w:instrText>
      </w:r>
      <w:r w:rsidR="00052EDD" w:rsidRPr="005028E4">
        <w:rPr>
          <w:sz w:val="24"/>
          <w:szCs w:val="24"/>
        </w:rPr>
        <w:instrText xml:space="preserve"> \* MERGEFORMAT </w:instrText>
      </w:r>
      <w:r w:rsidRPr="005028E4">
        <w:rPr>
          <w:sz w:val="24"/>
          <w:szCs w:val="24"/>
        </w:rPr>
      </w:r>
      <w:r w:rsidRPr="005028E4">
        <w:rPr>
          <w:sz w:val="24"/>
          <w:szCs w:val="24"/>
        </w:rPr>
        <w:fldChar w:fldCharType="separate"/>
      </w:r>
      <w:r w:rsidR="00B047B3" w:rsidRPr="00B047B3">
        <w:rPr>
          <w:sz w:val="24"/>
          <w:szCs w:val="24"/>
        </w:rPr>
        <w:sym w:font="Wingdings 2" w:char="F026"/>
      </w:r>
      <w:r w:rsidR="00B047B3" w:rsidRPr="00B047B3">
        <w:rPr>
          <w:sz w:val="24"/>
          <w:szCs w:val="24"/>
        </w:rPr>
        <w:t xml:space="preserve">Tablica </w:t>
      </w:r>
      <w:r w:rsidR="00B047B3">
        <w:rPr>
          <w:noProof/>
        </w:rPr>
        <w:t>7</w:t>
      </w:r>
      <w:r w:rsidRPr="005028E4">
        <w:rPr>
          <w:sz w:val="24"/>
          <w:szCs w:val="24"/>
        </w:rPr>
        <w:fldChar w:fldCharType="end"/>
      </w:r>
      <w:r w:rsidRPr="005028E4">
        <w:rPr>
          <w:sz w:val="24"/>
          <w:szCs w:val="24"/>
        </w:rPr>
        <w:t xml:space="preserve"> sažeto prikazuje glavne elemente nepokretne mreže referentnog operatora koji su rezultat postupka dimenzioniranja u Troškovnom modelu koji je opisan u prethodnim poglavljima i koji su potrebni da bi se zadovoljilo pokrivanje, potražnja itd.</w:t>
      </w:r>
    </w:p>
    <w:p w:rsidR="00C00568" w:rsidRPr="005028E4" w:rsidRDefault="00C00568" w:rsidP="003D3219">
      <w:pPr>
        <w:jc w:val="both"/>
        <w:rPr>
          <w:sz w:val="24"/>
          <w:szCs w:val="24"/>
        </w:rPr>
      </w:pPr>
    </w:p>
    <w:p w:rsidR="003D3219" w:rsidRPr="005028E4" w:rsidRDefault="003D3219" w:rsidP="003A6F28">
      <w:pPr>
        <w:pStyle w:val="Heading3"/>
      </w:pPr>
      <w:bookmarkStart w:id="634" w:name="_Toc51666141"/>
      <w:bookmarkStart w:id="635" w:name="_Toc51252380"/>
      <w:bookmarkStart w:id="636" w:name="_Toc51676927"/>
      <w:bookmarkStart w:id="637" w:name="_Toc53941993"/>
      <w:bookmarkStart w:id="638" w:name="_Toc54250964"/>
      <w:bookmarkStart w:id="639" w:name="_Toc54252862"/>
      <w:bookmarkStart w:id="640" w:name="_Toc54261674"/>
      <w:bookmarkEnd w:id="634"/>
      <w:r w:rsidRPr="005028E4">
        <w:t>Troškovna osnovica referentnog operatora</w:t>
      </w:r>
      <w:bookmarkEnd w:id="635"/>
      <w:bookmarkEnd w:id="636"/>
      <w:bookmarkEnd w:id="637"/>
      <w:bookmarkEnd w:id="638"/>
      <w:bookmarkEnd w:id="639"/>
      <w:bookmarkEnd w:id="640"/>
    </w:p>
    <w:p w:rsidR="003D3219" w:rsidRPr="005028E4" w:rsidRDefault="003D3219" w:rsidP="003D3219">
      <w:pPr>
        <w:rPr>
          <w:sz w:val="24"/>
          <w:szCs w:val="24"/>
        </w:rPr>
      </w:pPr>
      <w:r w:rsidRPr="005028E4">
        <w:rPr>
          <w:sz w:val="24"/>
          <w:szCs w:val="24"/>
        </w:rPr>
        <w:fldChar w:fldCharType="begin"/>
      </w:r>
      <w:r w:rsidRPr="005028E4">
        <w:rPr>
          <w:sz w:val="24"/>
          <w:szCs w:val="24"/>
        </w:rPr>
        <w:instrText xml:space="preserve"> REF _Ref51331207 \h  \* MERGEFORMAT </w:instrText>
      </w:r>
      <w:r w:rsidRPr="005028E4">
        <w:rPr>
          <w:sz w:val="24"/>
          <w:szCs w:val="24"/>
        </w:rPr>
      </w:r>
      <w:r w:rsidRPr="005028E4">
        <w:rPr>
          <w:sz w:val="24"/>
          <w:szCs w:val="24"/>
        </w:rPr>
        <w:fldChar w:fldCharType="separate"/>
      </w:r>
      <w:r w:rsidR="00B047B3" w:rsidRPr="00B047B3">
        <w:rPr>
          <w:sz w:val="24"/>
          <w:szCs w:val="24"/>
        </w:rPr>
        <w:t xml:space="preserve">Slika </w:t>
      </w:r>
      <w:r w:rsidR="00B047B3" w:rsidRPr="00B047B3">
        <w:rPr>
          <w:noProof/>
          <w:sz w:val="24"/>
          <w:szCs w:val="24"/>
        </w:rPr>
        <w:t>31</w:t>
      </w:r>
      <w:r w:rsidRPr="005028E4">
        <w:rPr>
          <w:sz w:val="24"/>
          <w:szCs w:val="24"/>
        </w:rPr>
        <w:fldChar w:fldCharType="end"/>
      </w:r>
      <w:r w:rsidRPr="005028E4">
        <w:rPr>
          <w:sz w:val="24"/>
          <w:szCs w:val="24"/>
        </w:rPr>
        <w:t xml:space="preserve"> prikazuje troškovnu osnovicu referentnog operatora koju kao rezultat daje Troškovni model, koji je zasnovan na metodologiji i ulaznim podacima koji su prethodno opisani.</w:t>
      </w:r>
    </w:p>
    <w:p w:rsidR="003D3219" w:rsidRPr="005028E4" w:rsidRDefault="008D2898" w:rsidP="00C00568">
      <w:pPr>
        <w:pStyle w:val="Caption"/>
        <w:jc w:val="center"/>
      </w:pPr>
      <w:bookmarkStart w:id="641" w:name="_Toc54175859"/>
      <w:bookmarkStart w:id="642" w:name="_Toc54261723"/>
      <w:r w:rsidRPr="005028E4">
        <w:sym w:font="Wingdings 2" w:char="F026"/>
      </w:r>
      <w:bookmarkStart w:id="643" w:name="_Ref51331207"/>
      <w:bookmarkStart w:id="644" w:name="_Toc53941949"/>
      <w:r w:rsidR="003D3219" w:rsidRPr="005028E4">
        <w:t xml:space="preserve">Slika </w:t>
      </w:r>
      <w:r w:rsidR="00E6032F">
        <w:rPr>
          <w:noProof/>
        </w:rPr>
        <w:fldChar w:fldCharType="begin"/>
      </w:r>
      <w:r w:rsidR="00E6032F">
        <w:rPr>
          <w:noProof/>
        </w:rPr>
        <w:instrText xml:space="preserve"> SEQ Slika \* ARABIC </w:instrText>
      </w:r>
      <w:r w:rsidR="00E6032F">
        <w:rPr>
          <w:noProof/>
        </w:rPr>
        <w:fldChar w:fldCharType="separate"/>
      </w:r>
      <w:r w:rsidR="00B047B3">
        <w:rPr>
          <w:noProof/>
        </w:rPr>
        <w:t>31</w:t>
      </w:r>
      <w:r w:rsidR="00E6032F">
        <w:rPr>
          <w:noProof/>
        </w:rPr>
        <w:fldChar w:fldCharType="end"/>
      </w:r>
      <w:bookmarkEnd w:id="643"/>
      <w:r w:rsidR="003D3219" w:rsidRPr="005028E4">
        <w:t xml:space="preserve"> - Troškovna osnovica</w:t>
      </w:r>
      <w:r w:rsidR="003D3219" w:rsidRPr="005028E4">
        <w:rPr>
          <w:vertAlign w:val="superscript"/>
        </w:rPr>
        <w:footnoteReference w:id="22"/>
      </w:r>
      <w:r w:rsidR="003D3219" w:rsidRPr="005028E4">
        <w:t xml:space="preserve"> referentnog operatora za nepokretnu mrežu (Izvor: Troškovni model)</w:t>
      </w:r>
      <w:bookmarkEnd w:id="641"/>
      <w:bookmarkEnd w:id="642"/>
      <w:bookmarkEnd w:id="644"/>
    </w:p>
    <w:p w:rsidR="00C00568" w:rsidRPr="005028E4" w:rsidRDefault="00C00568" w:rsidP="00C00568"/>
    <w:p w:rsidR="003D3219" w:rsidRPr="005028E4" w:rsidRDefault="003D3219" w:rsidP="003839EA">
      <w:pPr>
        <w:pStyle w:val="Heading3"/>
      </w:pPr>
      <w:bookmarkStart w:id="645" w:name="_Toc52465673"/>
      <w:bookmarkStart w:id="646" w:name="_Toc52545222"/>
      <w:bookmarkStart w:id="647" w:name="_Toc53063933"/>
      <w:bookmarkStart w:id="648" w:name="_Toc51666143"/>
      <w:bookmarkStart w:id="649" w:name="_Toc51666144"/>
      <w:bookmarkStart w:id="650" w:name="_Toc53941994"/>
      <w:bookmarkStart w:id="651" w:name="_Toc54250965"/>
      <w:bookmarkStart w:id="652" w:name="_Toc54252863"/>
      <w:bookmarkStart w:id="653" w:name="_Toc54261675"/>
      <w:bookmarkStart w:id="654" w:name="_Toc51252382"/>
      <w:bookmarkStart w:id="655" w:name="_Toc51676928"/>
      <w:bookmarkStart w:id="656" w:name="_Ref52289937"/>
      <w:bookmarkEnd w:id="645"/>
      <w:bookmarkEnd w:id="646"/>
      <w:bookmarkEnd w:id="647"/>
      <w:bookmarkEnd w:id="648"/>
      <w:bookmarkEnd w:id="649"/>
      <w:r w:rsidRPr="005028E4">
        <w:t>Rezultirajući troškovi veleprodajnih usluga</w:t>
      </w:r>
      <w:bookmarkEnd w:id="650"/>
      <w:bookmarkEnd w:id="651"/>
      <w:bookmarkEnd w:id="652"/>
      <w:bookmarkEnd w:id="653"/>
      <w:r w:rsidRPr="005028E4">
        <w:t xml:space="preserve"> </w:t>
      </w:r>
      <w:bookmarkEnd w:id="654"/>
      <w:bookmarkEnd w:id="655"/>
      <w:bookmarkEnd w:id="656"/>
    </w:p>
    <w:p w:rsidR="0084511F" w:rsidRPr="005028E4" w:rsidRDefault="0084511F" w:rsidP="003839EA">
      <w:pPr>
        <w:pStyle w:val="Heading4"/>
      </w:pPr>
      <w:bookmarkStart w:id="657" w:name="_Toc418687490"/>
      <w:bookmarkStart w:id="658" w:name="_Toc418687562"/>
      <w:bookmarkStart w:id="659" w:name="_Toc418687492"/>
      <w:bookmarkStart w:id="660" w:name="_Toc418687564"/>
      <w:bookmarkStart w:id="661" w:name="_Toc418687494"/>
      <w:bookmarkStart w:id="662" w:name="_Toc418687566"/>
      <w:bookmarkStart w:id="663" w:name="_Toc418687496"/>
      <w:bookmarkStart w:id="664" w:name="_Toc418687568"/>
      <w:bookmarkStart w:id="665" w:name="_Toc25306961"/>
      <w:bookmarkStart w:id="666" w:name="_Toc418687499"/>
      <w:bookmarkStart w:id="667" w:name="_Toc418687571"/>
      <w:bookmarkEnd w:id="657"/>
      <w:bookmarkEnd w:id="658"/>
      <w:bookmarkEnd w:id="659"/>
      <w:bookmarkEnd w:id="660"/>
      <w:bookmarkEnd w:id="661"/>
      <w:bookmarkEnd w:id="662"/>
      <w:bookmarkEnd w:id="663"/>
      <w:bookmarkEnd w:id="664"/>
      <w:bookmarkEnd w:id="665"/>
      <w:bookmarkEnd w:id="666"/>
      <w:bookmarkEnd w:id="667"/>
      <w:r w:rsidRPr="005028E4">
        <w:t>Veleprodajni pristup bakrenoj mreži</w:t>
      </w:r>
    </w:p>
    <w:p w:rsidR="003839EA" w:rsidRPr="005028E4" w:rsidRDefault="003839EA" w:rsidP="003839EA">
      <w:pPr>
        <w:rPr>
          <w:sz w:val="24"/>
          <w:szCs w:val="24"/>
        </w:rPr>
      </w:pPr>
      <w:r w:rsidRPr="005028E4">
        <w:rPr>
          <w:sz w:val="24"/>
          <w:szCs w:val="24"/>
        </w:rPr>
        <w:t>U Troškovnom modelu definirana je usluga veleprodajnog pristupa bakrenoj mreži na tržištu M3a, koja je ekvivalentna usluzi izdvojene lokalne petlje (</w:t>
      </w:r>
      <w:r w:rsidR="007E3C26" w:rsidRPr="005028E4">
        <w:rPr>
          <w:sz w:val="24"/>
          <w:szCs w:val="24"/>
        </w:rPr>
        <w:t>LLU</w:t>
      </w:r>
      <w:r w:rsidRPr="005028E4">
        <w:rPr>
          <w:sz w:val="24"/>
          <w:szCs w:val="24"/>
        </w:rPr>
        <w:t>) kako slijedi:</w:t>
      </w:r>
    </w:p>
    <w:p w:rsidR="003839EA" w:rsidRPr="005028E4" w:rsidRDefault="003839EA" w:rsidP="003839EA">
      <w:pPr>
        <w:pStyle w:val="ListParagraph"/>
        <w:numPr>
          <w:ilvl w:val="0"/>
          <w:numId w:val="33"/>
        </w:numPr>
        <w:rPr>
          <w:sz w:val="24"/>
          <w:szCs w:val="24"/>
        </w:rPr>
      </w:pPr>
      <w:r w:rsidRPr="005028E4">
        <w:rPr>
          <w:b/>
          <w:bCs/>
          <w:sz w:val="24"/>
          <w:szCs w:val="24"/>
        </w:rPr>
        <w:t xml:space="preserve">Access.LLU.Wholesale - Local Access Lines - Market 3A.Access: </w:t>
      </w:r>
      <w:r w:rsidRPr="005028E4">
        <w:rPr>
          <w:sz w:val="24"/>
          <w:szCs w:val="24"/>
        </w:rPr>
        <w:t xml:space="preserve">veleprodajna usluga koja se pruža alternativnim operatorima i koja uključuje pružanje izdvojenog pristupa lokalnoj petlji. Jedinični trošak ove </w:t>
      </w:r>
      <w:r w:rsidR="0068502A" w:rsidRPr="005028E4">
        <w:rPr>
          <w:sz w:val="24"/>
          <w:szCs w:val="24"/>
        </w:rPr>
        <w:t xml:space="preserve">usluge </w:t>
      </w:r>
      <w:r w:rsidRPr="005028E4">
        <w:rPr>
          <w:sz w:val="24"/>
          <w:szCs w:val="24"/>
        </w:rPr>
        <w:t>uključuje troškove bakrene pristupne mreže, od zgrade u kojoj se nalazi krajnji korisnik sve do pristupnog čvora (do MDF-a, uključujući trošak MDF-a ali ne uključujući trošak MSAN-a/DSLAM-a).</w:t>
      </w:r>
      <w:r w:rsidR="00CE551E" w:rsidRPr="005028E4">
        <w:rPr>
          <w:sz w:val="24"/>
          <w:szCs w:val="24"/>
        </w:rPr>
        <w:t xml:space="preserve"> Potrebno je istaknuti da u jedinični trošak ove usluge nisu uključeni troškovi ulaganja u FTTC, s obzirom da operator korisnik </w:t>
      </w:r>
      <w:r w:rsidR="007E3C26" w:rsidRPr="005028E4">
        <w:rPr>
          <w:sz w:val="24"/>
          <w:szCs w:val="24"/>
        </w:rPr>
        <w:t>LLU</w:t>
      </w:r>
      <w:r w:rsidR="00CE551E" w:rsidRPr="005028E4">
        <w:rPr>
          <w:sz w:val="24"/>
          <w:szCs w:val="24"/>
        </w:rPr>
        <w:t xml:space="preserve"> usluge ne ostvaruje nikakvu korist od ulaganja u FTTC.</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1133"/>
        <w:gridCol w:w="707"/>
        <w:gridCol w:w="709"/>
        <w:gridCol w:w="848"/>
        <w:gridCol w:w="709"/>
        <w:gridCol w:w="709"/>
        <w:gridCol w:w="709"/>
        <w:gridCol w:w="703"/>
      </w:tblGrid>
      <w:tr w:rsidR="003839EA" w:rsidRPr="005028E4" w:rsidTr="00E937F3">
        <w:trPr>
          <w:trHeight w:val="300"/>
          <w:jc w:val="center"/>
        </w:trPr>
        <w:tc>
          <w:tcPr>
            <w:tcW w:w="1564" w:type="pct"/>
            <w:shd w:val="clear" w:color="000000" w:fill="0C2749"/>
            <w:vAlign w:val="center"/>
            <w:hideMark/>
          </w:tcPr>
          <w:p w:rsidR="003839EA" w:rsidRPr="005028E4" w:rsidRDefault="003839EA" w:rsidP="003839EA">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USLUGA</w:t>
            </w:r>
          </w:p>
        </w:tc>
        <w:tc>
          <w:tcPr>
            <w:tcW w:w="625" w:type="pct"/>
            <w:shd w:val="clear" w:color="000000" w:fill="0C2749"/>
            <w:vAlign w:val="center"/>
            <w:hideMark/>
          </w:tcPr>
          <w:p w:rsidR="003839EA" w:rsidRPr="005028E4" w:rsidRDefault="003839EA" w:rsidP="003839EA">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Jedinica</w:t>
            </w:r>
          </w:p>
        </w:tc>
        <w:tc>
          <w:tcPr>
            <w:tcW w:w="390" w:type="pct"/>
            <w:shd w:val="clear" w:color="000000" w:fill="0C2749"/>
            <w:vAlign w:val="center"/>
            <w:hideMark/>
          </w:tcPr>
          <w:p w:rsidR="003839EA" w:rsidRPr="005028E4" w:rsidRDefault="003839EA" w:rsidP="003839EA">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2021</w:t>
            </w:r>
          </w:p>
        </w:tc>
        <w:tc>
          <w:tcPr>
            <w:tcW w:w="391" w:type="pct"/>
            <w:shd w:val="clear" w:color="000000" w:fill="0C2749"/>
            <w:vAlign w:val="center"/>
            <w:hideMark/>
          </w:tcPr>
          <w:p w:rsidR="003839EA" w:rsidRPr="005028E4" w:rsidRDefault="003839EA" w:rsidP="003839EA">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2022</w:t>
            </w:r>
          </w:p>
        </w:tc>
        <w:tc>
          <w:tcPr>
            <w:tcW w:w="468" w:type="pct"/>
            <w:shd w:val="clear" w:color="000000" w:fill="0C2749"/>
            <w:vAlign w:val="center"/>
            <w:hideMark/>
          </w:tcPr>
          <w:p w:rsidR="003839EA" w:rsidRPr="005028E4" w:rsidRDefault="003839EA" w:rsidP="003839EA">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2023</w:t>
            </w:r>
          </w:p>
        </w:tc>
        <w:tc>
          <w:tcPr>
            <w:tcW w:w="391" w:type="pct"/>
            <w:shd w:val="clear" w:color="000000" w:fill="0C2749"/>
            <w:vAlign w:val="center"/>
            <w:hideMark/>
          </w:tcPr>
          <w:p w:rsidR="003839EA" w:rsidRPr="005028E4" w:rsidRDefault="003839EA" w:rsidP="003839EA">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2024</w:t>
            </w:r>
          </w:p>
        </w:tc>
        <w:tc>
          <w:tcPr>
            <w:tcW w:w="391" w:type="pct"/>
            <w:shd w:val="clear" w:color="000000" w:fill="0C2749"/>
            <w:vAlign w:val="center"/>
            <w:hideMark/>
          </w:tcPr>
          <w:p w:rsidR="003839EA" w:rsidRPr="005028E4" w:rsidRDefault="003839EA" w:rsidP="003839EA">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2025</w:t>
            </w:r>
          </w:p>
        </w:tc>
        <w:tc>
          <w:tcPr>
            <w:tcW w:w="391" w:type="pct"/>
            <w:shd w:val="clear" w:color="000000" w:fill="0C2749"/>
            <w:vAlign w:val="center"/>
            <w:hideMark/>
          </w:tcPr>
          <w:p w:rsidR="003839EA" w:rsidRPr="005028E4" w:rsidRDefault="003839EA" w:rsidP="003839EA">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2026</w:t>
            </w:r>
          </w:p>
        </w:tc>
        <w:tc>
          <w:tcPr>
            <w:tcW w:w="388" w:type="pct"/>
            <w:shd w:val="clear" w:color="000000" w:fill="0C2749"/>
            <w:vAlign w:val="center"/>
            <w:hideMark/>
          </w:tcPr>
          <w:p w:rsidR="003839EA" w:rsidRPr="005028E4" w:rsidRDefault="003839EA" w:rsidP="003839EA">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2027</w:t>
            </w:r>
          </w:p>
        </w:tc>
      </w:tr>
      <w:tr w:rsidR="00E51190" w:rsidRPr="005028E4" w:rsidTr="000323CC">
        <w:trPr>
          <w:trHeight w:val="288"/>
          <w:jc w:val="center"/>
        </w:trPr>
        <w:tc>
          <w:tcPr>
            <w:tcW w:w="1564" w:type="pct"/>
            <w:shd w:val="clear" w:color="auto" w:fill="auto"/>
            <w:noWrap/>
            <w:vAlign w:val="center"/>
            <w:hideMark/>
          </w:tcPr>
          <w:p w:rsidR="00E51190" w:rsidRPr="005028E4" w:rsidRDefault="00E51190" w:rsidP="00E51190">
            <w:pPr>
              <w:spacing w:after="0" w:line="240" w:lineRule="auto"/>
              <w:rPr>
                <w:rFonts w:ascii="Calibri" w:eastAsia="Times New Roman" w:hAnsi="Calibri" w:cs="Calibri"/>
                <w:color w:val="000000"/>
                <w:sz w:val="20"/>
                <w:szCs w:val="20"/>
              </w:rPr>
            </w:pPr>
            <w:r w:rsidRPr="005028E4">
              <w:rPr>
                <w:rFonts w:ascii="Calibri" w:eastAsia="Times New Roman" w:hAnsi="Calibri" w:cs="Calibri"/>
                <w:color w:val="000000"/>
                <w:sz w:val="20"/>
                <w:szCs w:val="20"/>
              </w:rPr>
              <w:t>Access.LLU.Wholesale - Local Access Lines - Market 3A.Access</w:t>
            </w:r>
          </w:p>
        </w:tc>
        <w:tc>
          <w:tcPr>
            <w:tcW w:w="625" w:type="pct"/>
            <w:shd w:val="clear" w:color="auto" w:fill="auto"/>
            <w:noWrap/>
            <w:vAlign w:val="center"/>
            <w:hideMark/>
          </w:tcPr>
          <w:p w:rsidR="00E51190" w:rsidRPr="005028E4" w:rsidRDefault="00E51190" w:rsidP="00E51190">
            <w:pPr>
              <w:spacing w:after="0" w:line="240" w:lineRule="auto"/>
              <w:jc w:val="center"/>
              <w:rPr>
                <w:rFonts w:ascii="Calibri" w:eastAsia="Times New Roman" w:hAnsi="Calibri" w:cs="Calibri"/>
                <w:color w:val="000000"/>
                <w:sz w:val="20"/>
                <w:szCs w:val="20"/>
              </w:rPr>
            </w:pPr>
            <w:r w:rsidRPr="005028E4">
              <w:rPr>
                <w:rFonts w:ascii="Calibri" w:eastAsia="Times New Roman" w:hAnsi="Calibri" w:cs="Calibri"/>
                <w:color w:val="000000"/>
                <w:sz w:val="20"/>
                <w:szCs w:val="20"/>
              </w:rPr>
              <w:t>HRK / Mjesečno / Linij</w:t>
            </w:r>
            <w:r w:rsidR="00D84FC4">
              <w:rPr>
                <w:rFonts w:ascii="Calibri" w:eastAsia="Times New Roman" w:hAnsi="Calibri" w:cs="Calibri"/>
                <w:color w:val="000000"/>
                <w:sz w:val="20"/>
                <w:szCs w:val="20"/>
              </w:rPr>
              <w:t>a</w:t>
            </w:r>
          </w:p>
        </w:tc>
        <w:tc>
          <w:tcPr>
            <w:tcW w:w="390"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33,52</w:t>
            </w:r>
          </w:p>
        </w:tc>
        <w:tc>
          <w:tcPr>
            <w:tcW w:w="391"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34,11</w:t>
            </w:r>
          </w:p>
        </w:tc>
        <w:tc>
          <w:tcPr>
            <w:tcW w:w="468"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34,69</w:t>
            </w:r>
          </w:p>
        </w:tc>
        <w:tc>
          <w:tcPr>
            <w:tcW w:w="391"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35,79</w:t>
            </w:r>
          </w:p>
        </w:tc>
        <w:tc>
          <w:tcPr>
            <w:tcW w:w="391"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36,53</w:t>
            </w:r>
          </w:p>
        </w:tc>
        <w:tc>
          <w:tcPr>
            <w:tcW w:w="391"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36,86</w:t>
            </w:r>
          </w:p>
        </w:tc>
        <w:tc>
          <w:tcPr>
            <w:tcW w:w="388" w:type="pct"/>
            <w:shd w:val="clear" w:color="auto" w:fill="auto"/>
            <w:noWrap/>
            <w:vAlign w:val="center"/>
            <w:hideMark/>
          </w:tcPr>
          <w:p w:rsidR="00E51190" w:rsidRPr="005028E4" w:rsidRDefault="00E51190" w:rsidP="00E51190">
            <w:pPr>
              <w:keepNext/>
              <w:spacing w:after="0" w:line="240" w:lineRule="auto"/>
              <w:jc w:val="right"/>
              <w:rPr>
                <w:rFonts w:ascii="Calibri" w:eastAsia="Times New Roman" w:hAnsi="Calibri" w:cs="Calibri"/>
                <w:color w:val="000000"/>
                <w:sz w:val="20"/>
                <w:szCs w:val="20"/>
              </w:rPr>
            </w:pPr>
            <w:r w:rsidRPr="005028E4">
              <w:rPr>
                <w:sz w:val="20"/>
                <w:szCs w:val="20"/>
              </w:rPr>
              <w:t>38,18</w:t>
            </w:r>
          </w:p>
        </w:tc>
      </w:tr>
    </w:tbl>
    <w:p w:rsidR="00E937F3" w:rsidRPr="005028E4" w:rsidRDefault="00E937F3">
      <w:pPr>
        <w:pStyle w:val="Caption"/>
      </w:pPr>
      <w:bookmarkStart w:id="668" w:name="_Ref52205828"/>
      <w:bookmarkStart w:id="669" w:name="_Toc54079572"/>
      <w:bookmarkStart w:id="670" w:name="_Toc54159168"/>
      <w:bookmarkStart w:id="671" w:name="_Toc54159302"/>
      <w:bookmarkStart w:id="672" w:name="_Toc54159998"/>
      <w:bookmarkStart w:id="673" w:name="_Toc54175823"/>
      <w:bookmarkStart w:id="674" w:name="_Toc54179451"/>
      <w:bookmarkStart w:id="675" w:name="_Toc54261731"/>
      <w:r w:rsidRPr="005028E4">
        <w:t xml:space="preserve">Tablica </w:t>
      </w:r>
      <w:r w:rsidR="00A410B6" w:rsidRPr="005028E4">
        <w:rPr>
          <w:noProof/>
        </w:rPr>
        <w:fldChar w:fldCharType="begin"/>
      </w:r>
      <w:r w:rsidR="00A410B6" w:rsidRPr="005028E4">
        <w:rPr>
          <w:noProof/>
        </w:rPr>
        <w:instrText xml:space="preserve"> SEQ Tablica \* ARABIC </w:instrText>
      </w:r>
      <w:r w:rsidR="00A410B6" w:rsidRPr="005028E4">
        <w:rPr>
          <w:noProof/>
        </w:rPr>
        <w:fldChar w:fldCharType="separate"/>
      </w:r>
      <w:r w:rsidR="00B047B3">
        <w:rPr>
          <w:noProof/>
        </w:rPr>
        <w:t>8</w:t>
      </w:r>
      <w:r w:rsidR="00A410B6" w:rsidRPr="005028E4">
        <w:rPr>
          <w:noProof/>
        </w:rPr>
        <w:fldChar w:fldCharType="end"/>
      </w:r>
      <w:bookmarkEnd w:id="668"/>
      <w:r w:rsidRPr="005028E4">
        <w:t xml:space="preserve"> - Jedinični trošak veleprodajnog fizičkog pristupa bakrenoj mreži (Izvor: Troškovni model)</w:t>
      </w:r>
      <w:bookmarkEnd w:id="669"/>
      <w:bookmarkEnd w:id="670"/>
      <w:bookmarkEnd w:id="671"/>
      <w:bookmarkEnd w:id="672"/>
      <w:bookmarkEnd w:id="673"/>
      <w:bookmarkEnd w:id="674"/>
      <w:bookmarkEnd w:id="675"/>
    </w:p>
    <w:p w:rsidR="003839EA" w:rsidRPr="005028E4" w:rsidRDefault="00E937F3" w:rsidP="0098508C">
      <w:pPr>
        <w:jc w:val="both"/>
        <w:rPr>
          <w:sz w:val="24"/>
          <w:szCs w:val="24"/>
        </w:rPr>
      </w:pPr>
      <w:r w:rsidRPr="005028E4">
        <w:rPr>
          <w:sz w:val="24"/>
          <w:szCs w:val="24"/>
        </w:rPr>
        <w:fldChar w:fldCharType="begin"/>
      </w:r>
      <w:r w:rsidRPr="005028E4">
        <w:rPr>
          <w:sz w:val="24"/>
          <w:szCs w:val="24"/>
        </w:rPr>
        <w:instrText xml:space="preserve"> REF _Ref52205828 \h </w:instrText>
      </w:r>
      <w:r w:rsidR="0098508C" w:rsidRPr="005028E4">
        <w:rPr>
          <w:sz w:val="24"/>
          <w:szCs w:val="24"/>
        </w:rPr>
        <w:instrText xml:space="preserve"> \* MERGEFORMAT </w:instrText>
      </w:r>
      <w:r w:rsidRPr="005028E4">
        <w:rPr>
          <w:sz w:val="24"/>
          <w:szCs w:val="24"/>
        </w:rPr>
      </w:r>
      <w:r w:rsidRPr="005028E4">
        <w:rPr>
          <w:sz w:val="24"/>
          <w:szCs w:val="24"/>
        </w:rPr>
        <w:fldChar w:fldCharType="separate"/>
      </w:r>
      <w:r w:rsidR="00B047B3" w:rsidRPr="00B047B3">
        <w:rPr>
          <w:sz w:val="24"/>
          <w:szCs w:val="24"/>
        </w:rPr>
        <w:t xml:space="preserve">Tablica </w:t>
      </w:r>
      <w:r w:rsidR="00B047B3" w:rsidRPr="00B047B3">
        <w:rPr>
          <w:noProof/>
          <w:sz w:val="24"/>
          <w:szCs w:val="24"/>
        </w:rPr>
        <w:t>8</w:t>
      </w:r>
      <w:r w:rsidRPr="005028E4">
        <w:rPr>
          <w:sz w:val="24"/>
          <w:szCs w:val="24"/>
        </w:rPr>
        <w:fldChar w:fldCharType="end"/>
      </w:r>
      <w:r w:rsidRPr="005028E4">
        <w:rPr>
          <w:sz w:val="24"/>
          <w:szCs w:val="24"/>
        </w:rPr>
        <w:t xml:space="preserve"> prikazuje jed</w:t>
      </w:r>
      <w:r w:rsidR="00964C72" w:rsidRPr="005028E4">
        <w:rPr>
          <w:sz w:val="24"/>
          <w:szCs w:val="24"/>
        </w:rPr>
        <w:t>i</w:t>
      </w:r>
      <w:r w:rsidRPr="005028E4">
        <w:rPr>
          <w:sz w:val="24"/>
          <w:szCs w:val="24"/>
        </w:rPr>
        <w:t>nični trošak gore opisane veleprodajne usluge uz primjenu metode ekonomske am</w:t>
      </w:r>
      <w:r w:rsidR="009B0790" w:rsidRPr="005028E4">
        <w:rPr>
          <w:sz w:val="24"/>
          <w:szCs w:val="24"/>
        </w:rPr>
        <w:t>ortizacije</w:t>
      </w:r>
      <w:r w:rsidR="00964C72" w:rsidRPr="005028E4">
        <w:rPr>
          <w:sz w:val="24"/>
          <w:szCs w:val="24"/>
        </w:rPr>
        <w:t xml:space="preserve">, </w:t>
      </w:r>
      <w:r w:rsidR="00E51190" w:rsidRPr="005028E4">
        <w:rPr>
          <w:sz w:val="24"/>
          <w:szCs w:val="24"/>
        </w:rPr>
        <w:t xml:space="preserve">uzimajući u obzir troškove bakrenih parica duljine do 2300 m u područjima pokrivanja MDF-ova na kojima se koristi </w:t>
      </w:r>
      <w:r w:rsidR="007E3C26" w:rsidRPr="005028E4">
        <w:rPr>
          <w:sz w:val="24"/>
          <w:szCs w:val="24"/>
        </w:rPr>
        <w:t>LLU</w:t>
      </w:r>
      <w:r w:rsidR="00E51190" w:rsidRPr="005028E4">
        <w:rPr>
          <w:sz w:val="24"/>
          <w:szCs w:val="24"/>
        </w:rPr>
        <w:t xml:space="preserve"> usluga </w:t>
      </w:r>
      <w:r w:rsidR="00964C72" w:rsidRPr="005028E4">
        <w:rPr>
          <w:sz w:val="24"/>
          <w:szCs w:val="24"/>
        </w:rPr>
        <w:t xml:space="preserve">te Opciju A migracije </w:t>
      </w:r>
      <w:r w:rsidR="00C13AFD" w:rsidRPr="005028E4">
        <w:rPr>
          <w:sz w:val="24"/>
          <w:szCs w:val="24"/>
        </w:rPr>
        <w:t xml:space="preserve">korisnika </w:t>
      </w:r>
      <w:r w:rsidR="00964C72" w:rsidRPr="005028E4">
        <w:rPr>
          <w:sz w:val="24"/>
          <w:szCs w:val="24"/>
        </w:rPr>
        <w:t xml:space="preserve">s bakrene mreže iz poglavlja </w:t>
      </w:r>
      <w:r w:rsidR="00964C72" w:rsidRPr="005028E4">
        <w:rPr>
          <w:sz w:val="24"/>
          <w:szCs w:val="24"/>
        </w:rPr>
        <w:fldChar w:fldCharType="begin"/>
      </w:r>
      <w:r w:rsidR="00964C72" w:rsidRPr="005028E4">
        <w:rPr>
          <w:sz w:val="24"/>
          <w:szCs w:val="24"/>
        </w:rPr>
        <w:instrText xml:space="preserve"> REF _Ref52261049 \r \h </w:instrText>
      </w:r>
      <w:r w:rsidR="0098508C" w:rsidRPr="005028E4">
        <w:rPr>
          <w:sz w:val="24"/>
          <w:szCs w:val="24"/>
        </w:rPr>
        <w:instrText xml:space="preserve"> \* MERGEFORMAT </w:instrText>
      </w:r>
      <w:r w:rsidR="00964C72" w:rsidRPr="005028E4">
        <w:rPr>
          <w:sz w:val="24"/>
          <w:szCs w:val="24"/>
        </w:rPr>
      </w:r>
      <w:r w:rsidR="00964C72" w:rsidRPr="005028E4">
        <w:rPr>
          <w:sz w:val="24"/>
          <w:szCs w:val="24"/>
        </w:rPr>
        <w:fldChar w:fldCharType="separate"/>
      </w:r>
      <w:r w:rsidR="00B047B3">
        <w:rPr>
          <w:sz w:val="24"/>
          <w:szCs w:val="24"/>
        </w:rPr>
        <w:t>4.3.2</w:t>
      </w:r>
      <w:r w:rsidR="00964C72" w:rsidRPr="005028E4">
        <w:rPr>
          <w:sz w:val="24"/>
          <w:szCs w:val="24"/>
        </w:rPr>
        <w:fldChar w:fldCharType="end"/>
      </w:r>
      <w:r w:rsidRPr="005028E4">
        <w:rPr>
          <w:sz w:val="24"/>
          <w:szCs w:val="24"/>
        </w:rPr>
        <w:t>.</w:t>
      </w:r>
    </w:p>
    <w:p w:rsidR="0084511F" w:rsidRPr="005028E4" w:rsidRDefault="0084511F" w:rsidP="0098508C">
      <w:pPr>
        <w:pStyle w:val="Heading4"/>
      </w:pPr>
      <w:r w:rsidRPr="005028E4">
        <w:t>Veleprodajni pristup svjetlovodnoj mreži</w:t>
      </w:r>
    </w:p>
    <w:p w:rsidR="00C13AFD" w:rsidRPr="005028E4" w:rsidRDefault="00C13AFD" w:rsidP="0098508C">
      <w:pPr>
        <w:jc w:val="both"/>
        <w:rPr>
          <w:sz w:val="24"/>
          <w:szCs w:val="24"/>
        </w:rPr>
      </w:pPr>
      <w:r w:rsidRPr="005028E4">
        <w:rPr>
          <w:sz w:val="24"/>
          <w:szCs w:val="24"/>
        </w:rPr>
        <w:t>Što se tiče veleprodajnog pristupa svjetlovodnoj mreži u smislu tržišta M3a, u Troškovnom modelu su definirane dvije veleprodajne usluge na temelju kojih se mogu izračunavati troškovi ekvivalentnih reguliranih veleprodajnih usluga:</w:t>
      </w:r>
    </w:p>
    <w:p w:rsidR="0098508C" w:rsidRPr="005028E4" w:rsidRDefault="00C13AFD" w:rsidP="00180F19">
      <w:pPr>
        <w:pStyle w:val="ListParagraph"/>
        <w:numPr>
          <w:ilvl w:val="0"/>
          <w:numId w:val="33"/>
        </w:numPr>
        <w:jc w:val="both"/>
        <w:rPr>
          <w:sz w:val="24"/>
          <w:szCs w:val="24"/>
        </w:rPr>
      </w:pPr>
      <w:r w:rsidRPr="005028E4">
        <w:rPr>
          <w:b/>
          <w:bCs/>
          <w:sz w:val="24"/>
          <w:szCs w:val="24"/>
        </w:rPr>
        <w:t xml:space="preserve">Access.FTTH - Unbundled at DN level (PTP) .Wholesale - Local Access Lines - Market 3A.Access: </w:t>
      </w:r>
      <w:r w:rsidRPr="005028E4">
        <w:rPr>
          <w:bCs/>
          <w:sz w:val="24"/>
          <w:szCs w:val="24"/>
        </w:rPr>
        <w:t>veleprodajna usluga koja se sastoji u pružanju pristupa izdvojenoj svjetlovodnoj niti na lokaciji distribucijskog čvora svjetlovodne distribucijske mreže</w:t>
      </w:r>
      <w:r w:rsidR="003E4C4B" w:rsidRPr="005028E4">
        <w:rPr>
          <w:bCs/>
          <w:sz w:val="24"/>
          <w:szCs w:val="24"/>
        </w:rPr>
        <w:t xml:space="preserve"> </w:t>
      </w:r>
      <w:r w:rsidRPr="005028E4">
        <w:rPr>
          <w:bCs/>
          <w:sz w:val="24"/>
          <w:szCs w:val="24"/>
        </w:rPr>
        <w:t>(DN). Ta usluga je ekvivalentna usluzi pristupa pasivnoj pristupnoj svjetlovodnoj mreži na lokaciji distribucijskog čvora za svjetlovodne distribucijske mreže (FA-PON), za koju je HT objavio standardnu ponudu. Usluga kako je definirana u Troškovnom modelu uključuje troškove pristupne svjetlovodne mreže od prostora krajnjeg korisnika</w:t>
      </w:r>
      <w:r w:rsidR="0018031D" w:rsidRPr="005028E4">
        <w:rPr>
          <w:bCs/>
          <w:sz w:val="24"/>
          <w:szCs w:val="24"/>
        </w:rPr>
        <w:t xml:space="preserve"> do DN-a.</w:t>
      </w:r>
    </w:p>
    <w:p w:rsidR="0098508C" w:rsidRPr="005028E4" w:rsidRDefault="00C13AFD" w:rsidP="0098508C">
      <w:pPr>
        <w:pStyle w:val="ListParagraph"/>
        <w:numPr>
          <w:ilvl w:val="0"/>
          <w:numId w:val="33"/>
        </w:numPr>
        <w:jc w:val="both"/>
        <w:rPr>
          <w:sz w:val="24"/>
          <w:szCs w:val="24"/>
        </w:rPr>
      </w:pPr>
      <w:r w:rsidRPr="005028E4">
        <w:rPr>
          <w:b/>
          <w:bCs/>
          <w:sz w:val="24"/>
          <w:szCs w:val="24"/>
        </w:rPr>
        <w:t>Access.FTTH - Unbundled at ODF level (PTP).Wholesale - Local Access Lines - Market 3A.Access’:</w:t>
      </w:r>
      <w:r w:rsidRPr="005028E4">
        <w:rPr>
          <w:sz w:val="24"/>
          <w:szCs w:val="24"/>
        </w:rPr>
        <w:t xml:space="preserve"> </w:t>
      </w:r>
      <w:r w:rsidR="0018031D" w:rsidRPr="005028E4">
        <w:rPr>
          <w:sz w:val="24"/>
          <w:szCs w:val="24"/>
        </w:rPr>
        <w:t>veleprodajna usluga koja se sastoji u pružanju pristupa izdvojenoj svjetlovodnoj niti na lokaciji ODF-a</w:t>
      </w:r>
      <w:r w:rsidR="0098508C" w:rsidRPr="005028E4">
        <w:rPr>
          <w:sz w:val="24"/>
          <w:szCs w:val="24"/>
        </w:rPr>
        <w:t>. Važno je istaknuti da HT ovu uslugu trenutno ne pruža budući da to tehnički nije moguće zbog arhitekture njegove mreže. Međutim, u slučaju kada bi HT postavljao svjetlovodnu pristupnu mrežu na način da je topologija mreže točka-točka od lokacije ODF-a do krajnjeg korisnika, HT bi sukladno analizi tržišta bio obvezan pružati tu uslugu. Dakle, Troškovni model može izračunati jedinični trošak ove usluge te bi se cijena te usluge mogla odrediti na temelju rezultata, naravno ukoliko bi u praksi za tim bilo potrebe. Jedinični trošak ove usluge uključuje sve troškove svjetlovodne pristupne mreže od krajnjeg korisnika do ODF-a, uključujući i trošak ODF-a.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1133"/>
        <w:gridCol w:w="707"/>
        <w:gridCol w:w="709"/>
        <w:gridCol w:w="848"/>
        <w:gridCol w:w="709"/>
        <w:gridCol w:w="709"/>
        <w:gridCol w:w="709"/>
        <w:gridCol w:w="703"/>
      </w:tblGrid>
      <w:tr w:rsidR="0098508C" w:rsidRPr="005028E4" w:rsidTr="00180F19">
        <w:trPr>
          <w:trHeight w:val="300"/>
          <w:jc w:val="center"/>
        </w:trPr>
        <w:tc>
          <w:tcPr>
            <w:tcW w:w="1564" w:type="pct"/>
            <w:shd w:val="clear" w:color="000000" w:fill="0C2749"/>
            <w:vAlign w:val="center"/>
            <w:hideMark/>
          </w:tcPr>
          <w:p w:rsidR="0098508C" w:rsidRPr="005028E4" w:rsidRDefault="0098508C"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USLUGA</w:t>
            </w:r>
          </w:p>
        </w:tc>
        <w:tc>
          <w:tcPr>
            <w:tcW w:w="625" w:type="pct"/>
            <w:shd w:val="clear" w:color="000000" w:fill="0C2749"/>
            <w:vAlign w:val="center"/>
            <w:hideMark/>
          </w:tcPr>
          <w:p w:rsidR="0098508C" w:rsidRPr="005028E4" w:rsidRDefault="0098508C"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Jedinica</w:t>
            </w:r>
          </w:p>
        </w:tc>
        <w:tc>
          <w:tcPr>
            <w:tcW w:w="390" w:type="pct"/>
            <w:shd w:val="clear" w:color="000000" w:fill="0C2749"/>
            <w:vAlign w:val="center"/>
            <w:hideMark/>
          </w:tcPr>
          <w:p w:rsidR="0098508C" w:rsidRPr="005028E4" w:rsidRDefault="0098508C"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2021</w:t>
            </w:r>
          </w:p>
        </w:tc>
        <w:tc>
          <w:tcPr>
            <w:tcW w:w="391" w:type="pct"/>
            <w:shd w:val="clear" w:color="000000" w:fill="0C2749"/>
            <w:vAlign w:val="center"/>
            <w:hideMark/>
          </w:tcPr>
          <w:p w:rsidR="0098508C" w:rsidRPr="005028E4" w:rsidRDefault="0098508C"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2022</w:t>
            </w:r>
          </w:p>
        </w:tc>
        <w:tc>
          <w:tcPr>
            <w:tcW w:w="468" w:type="pct"/>
            <w:shd w:val="clear" w:color="000000" w:fill="0C2749"/>
            <w:vAlign w:val="center"/>
            <w:hideMark/>
          </w:tcPr>
          <w:p w:rsidR="0098508C" w:rsidRPr="005028E4" w:rsidRDefault="0098508C"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2023</w:t>
            </w:r>
          </w:p>
        </w:tc>
        <w:tc>
          <w:tcPr>
            <w:tcW w:w="391" w:type="pct"/>
            <w:shd w:val="clear" w:color="000000" w:fill="0C2749"/>
            <w:vAlign w:val="center"/>
            <w:hideMark/>
          </w:tcPr>
          <w:p w:rsidR="0098508C" w:rsidRPr="005028E4" w:rsidRDefault="0098508C"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2024</w:t>
            </w:r>
          </w:p>
        </w:tc>
        <w:tc>
          <w:tcPr>
            <w:tcW w:w="391" w:type="pct"/>
            <w:shd w:val="clear" w:color="000000" w:fill="0C2749"/>
            <w:vAlign w:val="center"/>
            <w:hideMark/>
          </w:tcPr>
          <w:p w:rsidR="0098508C" w:rsidRPr="005028E4" w:rsidRDefault="0098508C"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2025</w:t>
            </w:r>
          </w:p>
        </w:tc>
        <w:tc>
          <w:tcPr>
            <w:tcW w:w="391" w:type="pct"/>
            <w:shd w:val="clear" w:color="000000" w:fill="0C2749"/>
            <w:vAlign w:val="center"/>
            <w:hideMark/>
          </w:tcPr>
          <w:p w:rsidR="0098508C" w:rsidRPr="005028E4" w:rsidRDefault="0098508C"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2026</w:t>
            </w:r>
          </w:p>
        </w:tc>
        <w:tc>
          <w:tcPr>
            <w:tcW w:w="388" w:type="pct"/>
            <w:shd w:val="clear" w:color="000000" w:fill="0C2749"/>
            <w:vAlign w:val="center"/>
            <w:hideMark/>
          </w:tcPr>
          <w:p w:rsidR="0098508C" w:rsidRPr="005028E4" w:rsidRDefault="0098508C"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2027</w:t>
            </w:r>
          </w:p>
        </w:tc>
      </w:tr>
      <w:tr w:rsidR="00E51190" w:rsidRPr="005028E4" w:rsidTr="000323CC">
        <w:trPr>
          <w:trHeight w:val="288"/>
          <w:jc w:val="center"/>
        </w:trPr>
        <w:tc>
          <w:tcPr>
            <w:tcW w:w="1564" w:type="pct"/>
            <w:shd w:val="clear" w:color="auto" w:fill="auto"/>
            <w:noWrap/>
            <w:vAlign w:val="center"/>
            <w:hideMark/>
          </w:tcPr>
          <w:p w:rsidR="00E51190" w:rsidRPr="005028E4" w:rsidRDefault="00E51190" w:rsidP="00E51190">
            <w:pPr>
              <w:spacing w:after="0" w:line="240" w:lineRule="auto"/>
              <w:rPr>
                <w:rFonts w:ascii="Calibri" w:eastAsia="Times New Roman" w:hAnsi="Calibri" w:cs="Calibri"/>
                <w:color w:val="000000"/>
                <w:sz w:val="16"/>
                <w:szCs w:val="16"/>
              </w:rPr>
            </w:pPr>
            <w:r w:rsidRPr="005028E4">
              <w:rPr>
                <w:rFonts w:ascii="Calibri" w:eastAsia="Times New Roman" w:hAnsi="Calibri" w:cs="Calibri"/>
                <w:color w:val="000000"/>
                <w:sz w:val="16"/>
                <w:szCs w:val="16"/>
              </w:rPr>
              <w:t>Access.FTTH - Unbundled at DN level (PTP) .Wholesale - Local Access Lines - Market 3A.Access</w:t>
            </w:r>
          </w:p>
        </w:tc>
        <w:tc>
          <w:tcPr>
            <w:tcW w:w="625" w:type="pct"/>
            <w:shd w:val="clear" w:color="auto" w:fill="auto"/>
            <w:noWrap/>
            <w:vAlign w:val="center"/>
            <w:hideMark/>
          </w:tcPr>
          <w:p w:rsidR="00E51190" w:rsidRPr="005028E4" w:rsidRDefault="00E51190" w:rsidP="00E51190">
            <w:pPr>
              <w:spacing w:after="0" w:line="240" w:lineRule="auto"/>
              <w:jc w:val="center"/>
              <w:rPr>
                <w:rFonts w:ascii="Calibri" w:eastAsia="Times New Roman" w:hAnsi="Calibri" w:cs="Calibri"/>
                <w:color w:val="000000"/>
                <w:sz w:val="16"/>
                <w:szCs w:val="16"/>
              </w:rPr>
            </w:pPr>
            <w:r w:rsidRPr="005028E4">
              <w:rPr>
                <w:rFonts w:ascii="Calibri" w:eastAsia="Times New Roman" w:hAnsi="Calibri" w:cs="Calibri"/>
                <w:color w:val="000000"/>
                <w:sz w:val="16"/>
                <w:szCs w:val="16"/>
              </w:rPr>
              <w:t>HRK / Mjesečno / Linij</w:t>
            </w:r>
            <w:r w:rsidR="00D84FC4">
              <w:rPr>
                <w:rFonts w:ascii="Calibri" w:eastAsia="Times New Roman" w:hAnsi="Calibri" w:cs="Calibri"/>
                <w:color w:val="000000"/>
                <w:sz w:val="16"/>
                <w:szCs w:val="16"/>
              </w:rPr>
              <w:t>a</w:t>
            </w:r>
          </w:p>
        </w:tc>
        <w:tc>
          <w:tcPr>
            <w:tcW w:w="390"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53,10</w:t>
            </w:r>
          </w:p>
        </w:tc>
        <w:tc>
          <w:tcPr>
            <w:tcW w:w="391"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53,96</w:t>
            </w:r>
          </w:p>
        </w:tc>
        <w:tc>
          <w:tcPr>
            <w:tcW w:w="468"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54,85</w:t>
            </w:r>
          </w:p>
        </w:tc>
        <w:tc>
          <w:tcPr>
            <w:tcW w:w="391"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56,00</w:t>
            </w:r>
          </w:p>
        </w:tc>
        <w:tc>
          <w:tcPr>
            <w:tcW w:w="391"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56,95</w:t>
            </w:r>
          </w:p>
        </w:tc>
        <w:tc>
          <w:tcPr>
            <w:tcW w:w="391" w:type="pct"/>
            <w:shd w:val="clear" w:color="auto" w:fill="auto"/>
            <w:noWrap/>
            <w:vAlign w:val="center"/>
            <w:hideMark/>
          </w:tcPr>
          <w:p w:rsidR="00E51190" w:rsidRPr="005028E4" w:rsidRDefault="00E51190" w:rsidP="00E51190">
            <w:pPr>
              <w:spacing w:after="0" w:line="240" w:lineRule="auto"/>
              <w:jc w:val="right"/>
              <w:rPr>
                <w:rFonts w:ascii="Calibri" w:eastAsia="Times New Roman" w:hAnsi="Calibri" w:cs="Calibri"/>
                <w:color w:val="000000"/>
                <w:sz w:val="20"/>
                <w:szCs w:val="20"/>
              </w:rPr>
            </w:pPr>
            <w:r w:rsidRPr="005028E4">
              <w:rPr>
                <w:sz w:val="20"/>
                <w:szCs w:val="20"/>
              </w:rPr>
              <w:t>57,86</w:t>
            </w:r>
          </w:p>
        </w:tc>
        <w:tc>
          <w:tcPr>
            <w:tcW w:w="388" w:type="pct"/>
            <w:shd w:val="clear" w:color="auto" w:fill="auto"/>
            <w:noWrap/>
            <w:vAlign w:val="center"/>
            <w:hideMark/>
          </w:tcPr>
          <w:p w:rsidR="00E51190" w:rsidRPr="005028E4" w:rsidRDefault="00E51190" w:rsidP="00E51190">
            <w:pPr>
              <w:keepNext/>
              <w:spacing w:after="0" w:line="240" w:lineRule="auto"/>
              <w:jc w:val="right"/>
              <w:rPr>
                <w:rFonts w:ascii="Calibri" w:eastAsia="Times New Roman" w:hAnsi="Calibri" w:cs="Calibri"/>
                <w:color w:val="000000"/>
                <w:sz w:val="20"/>
                <w:szCs w:val="20"/>
              </w:rPr>
            </w:pPr>
            <w:r w:rsidRPr="005028E4">
              <w:rPr>
                <w:sz w:val="20"/>
                <w:szCs w:val="20"/>
              </w:rPr>
              <w:t>58,72</w:t>
            </w:r>
          </w:p>
        </w:tc>
      </w:tr>
    </w:tbl>
    <w:p w:rsidR="00F93C9F" w:rsidRPr="005028E4" w:rsidRDefault="00F93C9F">
      <w:pPr>
        <w:pStyle w:val="Caption"/>
      </w:pPr>
      <w:bookmarkStart w:id="676" w:name="_Ref52544860"/>
      <w:bookmarkStart w:id="677" w:name="_Toc54079573"/>
      <w:bookmarkStart w:id="678" w:name="_Toc54159169"/>
      <w:bookmarkStart w:id="679" w:name="_Toc54159303"/>
      <w:bookmarkStart w:id="680" w:name="_Toc54159999"/>
      <w:bookmarkStart w:id="681" w:name="_Toc54175824"/>
      <w:bookmarkStart w:id="682" w:name="_Toc54179452"/>
      <w:bookmarkStart w:id="683" w:name="_Toc54261732"/>
      <w:r w:rsidRPr="005028E4">
        <w:t xml:space="preserve">Tablica </w:t>
      </w:r>
      <w:r w:rsidR="00A410B6" w:rsidRPr="005028E4">
        <w:rPr>
          <w:noProof/>
        </w:rPr>
        <w:fldChar w:fldCharType="begin"/>
      </w:r>
      <w:r w:rsidR="00A410B6" w:rsidRPr="005028E4">
        <w:rPr>
          <w:noProof/>
        </w:rPr>
        <w:instrText xml:space="preserve"> SEQ Tablica \* ARABIC </w:instrText>
      </w:r>
      <w:r w:rsidR="00A410B6" w:rsidRPr="005028E4">
        <w:rPr>
          <w:noProof/>
        </w:rPr>
        <w:fldChar w:fldCharType="separate"/>
      </w:r>
      <w:r w:rsidR="00B047B3">
        <w:rPr>
          <w:noProof/>
        </w:rPr>
        <w:t>9</w:t>
      </w:r>
      <w:r w:rsidR="00A410B6" w:rsidRPr="005028E4">
        <w:rPr>
          <w:noProof/>
        </w:rPr>
        <w:fldChar w:fldCharType="end"/>
      </w:r>
      <w:bookmarkEnd w:id="676"/>
      <w:r w:rsidRPr="005028E4">
        <w:t xml:space="preserve"> - Jedinični troškovi veleprodajne usluge </w:t>
      </w:r>
      <w:r w:rsidR="00D84FC4" w:rsidRPr="005028E4">
        <w:t>izdvajanja</w:t>
      </w:r>
      <w:r w:rsidRPr="005028E4">
        <w:t xml:space="preserve"> svjetlovodne niti na DN-u (Izvor: Troškovni model)</w:t>
      </w:r>
      <w:bookmarkEnd w:id="677"/>
      <w:bookmarkEnd w:id="678"/>
      <w:bookmarkEnd w:id="679"/>
      <w:bookmarkEnd w:id="680"/>
      <w:bookmarkEnd w:id="681"/>
      <w:bookmarkEnd w:id="682"/>
      <w:bookmarkEnd w:id="683"/>
    </w:p>
    <w:p w:rsidR="00C00568" w:rsidRPr="005028E4" w:rsidRDefault="00C00568" w:rsidP="00C00568"/>
    <w:p w:rsidR="0098508C" w:rsidRPr="005028E4" w:rsidRDefault="00F93C9F" w:rsidP="00B50762">
      <w:pPr>
        <w:jc w:val="both"/>
        <w:rPr>
          <w:bCs/>
          <w:sz w:val="24"/>
          <w:szCs w:val="24"/>
        </w:rPr>
      </w:pPr>
      <w:r w:rsidRPr="005028E4">
        <w:rPr>
          <w:b/>
          <w:bCs/>
          <w:color w:val="4F81BD" w:themeColor="accent1"/>
          <w:sz w:val="24"/>
          <w:szCs w:val="24"/>
        </w:rPr>
        <w:fldChar w:fldCharType="begin"/>
      </w:r>
      <w:r w:rsidRPr="005028E4">
        <w:rPr>
          <w:sz w:val="24"/>
          <w:szCs w:val="24"/>
        </w:rPr>
        <w:instrText xml:space="preserve"> REF _Ref52544860 \h  \* MERGEFORMAT </w:instrText>
      </w:r>
      <w:r w:rsidRPr="005028E4">
        <w:rPr>
          <w:b/>
          <w:bCs/>
          <w:color w:val="4F81BD" w:themeColor="accent1"/>
          <w:sz w:val="24"/>
          <w:szCs w:val="24"/>
        </w:rPr>
      </w:r>
      <w:r w:rsidRPr="005028E4">
        <w:rPr>
          <w:b/>
          <w:bCs/>
          <w:color w:val="4F81BD" w:themeColor="accent1"/>
          <w:sz w:val="24"/>
          <w:szCs w:val="24"/>
        </w:rPr>
        <w:fldChar w:fldCharType="separate"/>
      </w:r>
      <w:r w:rsidR="00B047B3" w:rsidRPr="00B047B3">
        <w:rPr>
          <w:sz w:val="24"/>
          <w:szCs w:val="24"/>
        </w:rPr>
        <w:t>Tablica 9</w:t>
      </w:r>
      <w:r w:rsidRPr="005028E4">
        <w:rPr>
          <w:b/>
          <w:bCs/>
          <w:color w:val="4F81BD" w:themeColor="accent1"/>
          <w:sz w:val="24"/>
          <w:szCs w:val="24"/>
        </w:rPr>
        <w:fldChar w:fldCharType="end"/>
      </w:r>
      <w:r w:rsidRPr="005028E4">
        <w:rPr>
          <w:sz w:val="24"/>
          <w:szCs w:val="24"/>
        </w:rPr>
        <w:t xml:space="preserve"> </w:t>
      </w:r>
      <w:r w:rsidR="00B50762" w:rsidRPr="005028E4">
        <w:rPr>
          <w:sz w:val="24"/>
          <w:szCs w:val="24"/>
        </w:rPr>
        <w:t xml:space="preserve">prikazuje jedinične troškove gore opisane usluge </w:t>
      </w:r>
      <w:r w:rsidR="00C13AFD" w:rsidRPr="005028E4">
        <w:rPr>
          <w:b/>
          <w:bCs/>
          <w:sz w:val="24"/>
          <w:szCs w:val="24"/>
        </w:rPr>
        <w:t>Access.FTTH - Unbundled at DN level (PTP) .Wholesale - Local Access Lines - Market 3A.Access</w:t>
      </w:r>
      <w:r w:rsidR="00B50762" w:rsidRPr="005028E4">
        <w:rPr>
          <w:b/>
          <w:bCs/>
          <w:sz w:val="24"/>
          <w:szCs w:val="24"/>
        </w:rPr>
        <w:t xml:space="preserve"> </w:t>
      </w:r>
      <w:r w:rsidR="00B50762" w:rsidRPr="005028E4">
        <w:rPr>
          <w:bCs/>
          <w:sz w:val="24"/>
          <w:szCs w:val="24"/>
        </w:rPr>
        <w:t>uz primjenu metode ekonomske amortizacije. Ovdje je važno za istaknuti da su u jedinični trošak prikazan u gornjoj tablici uključeni i troškovi ONT-a i kućne instalacije u prostoru krajnjeg korisnika koji nisu dio ekvivalentne usluge HT-a i odgovornost su operatora korisnika. Stoga će se prilikom određivanja veleprodajnih cijena ti troškovi oduzeti. Također, uključeni su i  troškovi svjetlovodne instalacije unutar višestambenih zgrada, koja u određenim slučajevima nije dio veleprodajne usluge HT-a (u slučajevima kada HT nije vlasnik svjetlovodne instalacije unutar zgrade). Stoga će se prilikom određivanja veleprodajnih cijena odrediti dvije cijene: s uključenom svjetlovodnom instalacijom i bez uključene svjetlovodne instalacije unutar zgrade</w:t>
      </w:r>
      <w:r w:rsidR="00CF5627" w:rsidRPr="005028E4">
        <w:rPr>
          <w:bCs/>
          <w:sz w:val="24"/>
          <w:szCs w:val="24"/>
        </w:rPr>
        <w:t>, kao i cijena najma kućne svjetlovodne instalacije u prostoru krajnjeg korisnika</w:t>
      </w:r>
      <w:r w:rsidR="00B50762" w:rsidRPr="005028E4">
        <w:rPr>
          <w:bCs/>
          <w:sz w:val="24"/>
          <w:szCs w:val="24"/>
        </w:rPr>
        <w:t>.</w:t>
      </w:r>
    </w:p>
    <w:p w:rsidR="00C00568" w:rsidRPr="005028E4" w:rsidRDefault="00C00568" w:rsidP="00B50762">
      <w:pPr>
        <w:jc w:val="both"/>
        <w:rPr>
          <w:sz w:val="24"/>
          <w:szCs w:val="24"/>
        </w:rPr>
      </w:pPr>
    </w:p>
    <w:p w:rsidR="00C54253" w:rsidRPr="005028E4" w:rsidRDefault="00C54253" w:rsidP="00981AB4">
      <w:pPr>
        <w:pStyle w:val="Heading3"/>
      </w:pPr>
      <w:bookmarkStart w:id="684" w:name="_Toc52465675"/>
      <w:bookmarkStart w:id="685" w:name="_Toc52545224"/>
      <w:bookmarkStart w:id="686" w:name="_Toc53063935"/>
      <w:bookmarkStart w:id="687" w:name="_Ref52514695"/>
      <w:bookmarkStart w:id="688" w:name="_Ref52514700"/>
      <w:bookmarkStart w:id="689" w:name="_Ref52515123"/>
      <w:bookmarkStart w:id="690" w:name="_Toc53941995"/>
      <w:bookmarkStart w:id="691" w:name="_Toc54250966"/>
      <w:bookmarkStart w:id="692" w:name="_Toc54252864"/>
      <w:bookmarkStart w:id="693" w:name="_Toc54261676"/>
      <w:bookmarkEnd w:id="684"/>
      <w:bookmarkEnd w:id="685"/>
      <w:bookmarkEnd w:id="686"/>
      <w:r w:rsidRPr="005028E4">
        <w:t>D</w:t>
      </w:r>
      <w:r w:rsidR="008B2068" w:rsidRPr="005028E4">
        <w:t xml:space="preserve">odatne </w:t>
      </w:r>
      <w:r w:rsidRPr="005028E4">
        <w:t>usluge</w:t>
      </w:r>
      <w:r w:rsidR="00981AB4" w:rsidRPr="005028E4">
        <w:t xml:space="preserve"> na tržištu M3a</w:t>
      </w:r>
      <w:bookmarkEnd w:id="687"/>
      <w:bookmarkEnd w:id="688"/>
      <w:bookmarkEnd w:id="689"/>
      <w:bookmarkEnd w:id="690"/>
      <w:bookmarkEnd w:id="691"/>
      <w:bookmarkEnd w:id="692"/>
      <w:bookmarkEnd w:id="693"/>
    </w:p>
    <w:p w:rsidR="00D95011" w:rsidRPr="005028E4" w:rsidRDefault="00981AB4" w:rsidP="00D95011">
      <w:pPr>
        <w:autoSpaceDE w:val="0"/>
        <w:autoSpaceDN w:val="0"/>
        <w:adjustRightInd w:val="0"/>
        <w:spacing w:after="0" w:line="240" w:lineRule="auto"/>
        <w:jc w:val="both"/>
        <w:rPr>
          <w:rFonts w:eastAsia="Times New Roman" w:cs="Times New Roman"/>
          <w:sz w:val="24"/>
          <w:szCs w:val="24"/>
        </w:rPr>
      </w:pPr>
      <w:r w:rsidRPr="005028E4">
        <w:rPr>
          <w:rFonts w:eastAsia="Times New Roman" w:cs="Times New Roman"/>
          <w:sz w:val="24"/>
          <w:szCs w:val="24"/>
        </w:rPr>
        <w:t xml:space="preserve">Troškovni model ima posebni modul koji omogućuje izračun jediničnog troška usluge najma svjetlovodne niti bez prijenosne opreme (eng. </w:t>
      </w:r>
      <w:r w:rsidRPr="005028E4">
        <w:rPr>
          <w:rFonts w:eastAsia="Times New Roman" w:cs="Times New Roman"/>
          <w:i/>
          <w:sz w:val="24"/>
          <w:szCs w:val="24"/>
        </w:rPr>
        <w:t>dark fibre</w:t>
      </w:r>
      <w:r w:rsidRPr="005028E4">
        <w:rPr>
          <w:rFonts w:eastAsia="Times New Roman" w:cs="Times New Roman"/>
          <w:sz w:val="24"/>
          <w:szCs w:val="24"/>
        </w:rPr>
        <w:t xml:space="preserve">). Naime, s obzirom da je HAKOM Analizom tržišta M3a odredio obvezu </w:t>
      </w:r>
      <w:r w:rsidR="00D23D0E" w:rsidRPr="005028E4">
        <w:rPr>
          <w:rFonts w:eastAsia="Times New Roman" w:cs="Times New Roman"/>
          <w:sz w:val="24"/>
          <w:szCs w:val="24"/>
        </w:rPr>
        <w:t xml:space="preserve">pružanja </w:t>
      </w:r>
      <w:r w:rsidRPr="005028E4">
        <w:rPr>
          <w:rFonts w:eastAsia="Times New Roman" w:cs="Times New Roman"/>
          <w:sz w:val="24"/>
          <w:szCs w:val="24"/>
        </w:rPr>
        <w:t xml:space="preserve">navedene usluge </w:t>
      </w:r>
      <w:r w:rsidR="00D23D0E" w:rsidRPr="005028E4">
        <w:rPr>
          <w:rFonts w:eastAsia="Times New Roman" w:cs="Times New Roman"/>
          <w:sz w:val="24"/>
          <w:szCs w:val="24"/>
        </w:rPr>
        <w:t>u svrhu omogućavanja pristupa operatorima korisnicima do pristupnih točaka, odnosno povezivanja pristupnih točaka i mreže operatora korisnika</w:t>
      </w:r>
      <w:r w:rsidRPr="005028E4">
        <w:rPr>
          <w:rFonts w:eastAsia="Times New Roman" w:cs="Times New Roman"/>
          <w:sz w:val="24"/>
          <w:szCs w:val="24"/>
        </w:rPr>
        <w:t xml:space="preserve"> te budući da i cijena te usluge mora biti troškovno usmjerena, HAKOM je od Axona zatražio da se u Troškovnom modelu omogući i izračun troška te usluge.</w:t>
      </w:r>
    </w:p>
    <w:p w:rsidR="00EA66BB" w:rsidRPr="005028E4" w:rsidRDefault="00EA66BB" w:rsidP="00D95011">
      <w:pPr>
        <w:autoSpaceDE w:val="0"/>
        <w:autoSpaceDN w:val="0"/>
        <w:adjustRightInd w:val="0"/>
        <w:spacing w:after="0" w:line="240" w:lineRule="auto"/>
        <w:jc w:val="both"/>
        <w:rPr>
          <w:rFonts w:eastAsia="Times New Roman" w:cs="Times New Roman"/>
          <w:sz w:val="24"/>
          <w:szCs w:val="24"/>
        </w:rPr>
      </w:pPr>
    </w:p>
    <w:p w:rsidR="00B817EE" w:rsidRPr="005028E4" w:rsidRDefault="00B817EE" w:rsidP="00D95011">
      <w:pPr>
        <w:autoSpaceDE w:val="0"/>
        <w:autoSpaceDN w:val="0"/>
        <w:adjustRightInd w:val="0"/>
        <w:spacing w:after="0" w:line="240" w:lineRule="auto"/>
        <w:jc w:val="both"/>
        <w:rPr>
          <w:rFonts w:eastAsia="Times New Roman" w:cs="Times New Roman"/>
          <w:sz w:val="24"/>
          <w:szCs w:val="24"/>
        </w:rPr>
      </w:pPr>
      <w:r w:rsidRPr="005028E4">
        <w:rPr>
          <w:rFonts w:eastAsia="Times New Roman" w:cs="Times New Roman"/>
          <w:sz w:val="24"/>
          <w:szCs w:val="24"/>
        </w:rPr>
        <w:t xml:space="preserve">Za izračun troška usluge </w:t>
      </w:r>
      <w:r w:rsidR="00EA66BB" w:rsidRPr="005028E4">
        <w:rPr>
          <w:rFonts w:eastAsia="Times New Roman" w:cs="Times New Roman"/>
          <w:i/>
          <w:sz w:val="24"/>
          <w:szCs w:val="24"/>
        </w:rPr>
        <w:t xml:space="preserve">dark </w:t>
      </w:r>
      <w:r w:rsidRPr="005028E4">
        <w:rPr>
          <w:rFonts w:eastAsia="Times New Roman" w:cs="Times New Roman"/>
          <w:i/>
          <w:sz w:val="24"/>
          <w:szCs w:val="24"/>
        </w:rPr>
        <w:t xml:space="preserve">fibre </w:t>
      </w:r>
      <w:r w:rsidRPr="005028E4">
        <w:rPr>
          <w:rFonts w:eastAsia="Times New Roman" w:cs="Times New Roman"/>
          <w:sz w:val="24"/>
          <w:szCs w:val="24"/>
        </w:rPr>
        <w:t xml:space="preserve">u Troškovni model su pored ulaznih podataka koji su opisani u poglavlju </w:t>
      </w:r>
      <w:r w:rsidRPr="005028E4">
        <w:rPr>
          <w:rFonts w:eastAsia="Times New Roman" w:cs="Times New Roman"/>
          <w:sz w:val="24"/>
          <w:szCs w:val="24"/>
        </w:rPr>
        <w:fldChar w:fldCharType="begin"/>
      </w:r>
      <w:r w:rsidRPr="005028E4">
        <w:rPr>
          <w:rFonts w:eastAsia="Times New Roman" w:cs="Times New Roman"/>
          <w:sz w:val="24"/>
          <w:szCs w:val="24"/>
        </w:rPr>
        <w:instrText xml:space="preserve"> REF _Ref52265939 \r \h </w:instrText>
      </w:r>
      <w:r w:rsidRPr="005028E4">
        <w:rPr>
          <w:rFonts w:eastAsia="Times New Roman" w:cs="Times New Roman"/>
          <w:sz w:val="24"/>
          <w:szCs w:val="24"/>
        </w:rPr>
      </w:r>
      <w:r w:rsidRPr="005028E4">
        <w:rPr>
          <w:rFonts w:eastAsia="Times New Roman" w:cs="Times New Roman"/>
          <w:sz w:val="24"/>
          <w:szCs w:val="24"/>
        </w:rPr>
        <w:fldChar w:fldCharType="separate"/>
      </w:r>
      <w:r w:rsidR="00B047B3">
        <w:rPr>
          <w:rFonts w:eastAsia="Times New Roman" w:cs="Times New Roman"/>
          <w:sz w:val="24"/>
          <w:szCs w:val="24"/>
        </w:rPr>
        <w:t>4</w:t>
      </w:r>
      <w:r w:rsidRPr="005028E4">
        <w:rPr>
          <w:rFonts w:eastAsia="Times New Roman" w:cs="Times New Roman"/>
          <w:sz w:val="24"/>
          <w:szCs w:val="24"/>
        </w:rPr>
        <w:fldChar w:fldCharType="end"/>
      </w:r>
      <w:r w:rsidRPr="005028E4">
        <w:rPr>
          <w:rFonts w:eastAsia="Times New Roman" w:cs="Times New Roman"/>
          <w:sz w:val="24"/>
          <w:szCs w:val="24"/>
        </w:rPr>
        <w:t xml:space="preserve">, </w:t>
      </w:r>
      <w:r w:rsidR="00D84FC4" w:rsidRPr="005028E4">
        <w:rPr>
          <w:rFonts w:eastAsia="Times New Roman" w:cs="Times New Roman"/>
          <w:sz w:val="24"/>
          <w:szCs w:val="24"/>
        </w:rPr>
        <w:t>uneseni</w:t>
      </w:r>
      <w:r w:rsidRPr="005028E4">
        <w:rPr>
          <w:rFonts w:eastAsia="Times New Roman" w:cs="Times New Roman"/>
          <w:sz w:val="24"/>
          <w:szCs w:val="24"/>
        </w:rPr>
        <w:t xml:space="preserve"> dodatni ulazni podaci:</w:t>
      </w:r>
    </w:p>
    <w:p w:rsidR="00B817EE" w:rsidRPr="005028E4" w:rsidRDefault="00B817EE" w:rsidP="00D95011">
      <w:pPr>
        <w:autoSpaceDE w:val="0"/>
        <w:autoSpaceDN w:val="0"/>
        <w:adjustRightInd w:val="0"/>
        <w:spacing w:after="0" w:line="240" w:lineRule="auto"/>
        <w:jc w:val="both"/>
        <w:rPr>
          <w:rFonts w:eastAsia="Times New Roman" w:cs="Times New Roman"/>
          <w:sz w:val="24"/>
          <w:szCs w:val="24"/>
        </w:rPr>
      </w:pPr>
    </w:p>
    <w:p w:rsidR="00B817EE" w:rsidRPr="005028E4" w:rsidRDefault="00B817EE" w:rsidP="00B817EE">
      <w:pPr>
        <w:pStyle w:val="ListParagraph"/>
        <w:numPr>
          <w:ilvl w:val="0"/>
          <w:numId w:val="34"/>
        </w:numPr>
        <w:autoSpaceDE w:val="0"/>
        <w:autoSpaceDN w:val="0"/>
        <w:adjustRightInd w:val="0"/>
        <w:spacing w:after="0" w:line="240" w:lineRule="auto"/>
        <w:jc w:val="both"/>
        <w:rPr>
          <w:rFonts w:eastAsia="Times New Roman" w:cs="Times New Roman"/>
          <w:sz w:val="24"/>
          <w:szCs w:val="24"/>
        </w:rPr>
      </w:pPr>
      <w:r w:rsidRPr="005028E4">
        <w:rPr>
          <w:rFonts w:eastAsia="Times New Roman" w:cs="Times New Roman"/>
          <w:sz w:val="24"/>
          <w:szCs w:val="24"/>
        </w:rPr>
        <w:t>prosječan broj niti u svjetlovodnom kabelu</w:t>
      </w:r>
    </w:p>
    <w:p w:rsidR="00B817EE" w:rsidRPr="005028E4" w:rsidRDefault="00B817EE" w:rsidP="00B817EE">
      <w:pPr>
        <w:pStyle w:val="ListParagraph"/>
        <w:numPr>
          <w:ilvl w:val="0"/>
          <w:numId w:val="34"/>
        </w:numPr>
        <w:autoSpaceDE w:val="0"/>
        <w:autoSpaceDN w:val="0"/>
        <w:adjustRightInd w:val="0"/>
        <w:spacing w:after="0" w:line="240" w:lineRule="auto"/>
        <w:jc w:val="both"/>
        <w:rPr>
          <w:rFonts w:eastAsia="Times New Roman" w:cs="Times New Roman"/>
          <w:sz w:val="24"/>
          <w:szCs w:val="24"/>
        </w:rPr>
      </w:pPr>
      <w:r w:rsidRPr="005028E4">
        <w:rPr>
          <w:rFonts w:eastAsia="Times New Roman" w:cs="Times New Roman"/>
          <w:sz w:val="24"/>
          <w:szCs w:val="24"/>
        </w:rPr>
        <w:t xml:space="preserve">prosječan postotak korištenih niti u svjetlovodnim kabelima </w:t>
      </w:r>
    </w:p>
    <w:p w:rsidR="00B817EE" w:rsidRPr="005028E4" w:rsidRDefault="00B817EE" w:rsidP="00B817EE">
      <w:pPr>
        <w:pStyle w:val="ListParagraph"/>
        <w:numPr>
          <w:ilvl w:val="0"/>
          <w:numId w:val="34"/>
        </w:numPr>
        <w:autoSpaceDE w:val="0"/>
        <w:autoSpaceDN w:val="0"/>
        <w:adjustRightInd w:val="0"/>
        <w:spacing w:after="0" w:line="240" w:lineRule="auto"/>
        <w:jc w:val="both"/>
        <w:rPr>
          <w:rFonts w:eastAsia="Times New Roman" w:cs="Times New Roman"/>
          <w:sz w:val="24"/>
          <w:szCs w:val="24"/>
        </w:rPr>
      </w:pPr>
      <w:r w:rsidRPr="005028E4">
        <w:rPr>
          <w:rFonts w:eastAsia="Times New Roman" w:cs="Times New Roman"/>
          <w:sz w:val="24"/>
          <w:szCs w:val="24"/>
        </w:rPr>
        <w:t>dodatak za specifične veleprodajne troškove</w:t>
      </w:r>
    </w:p>
    <w:p w:rsidR="008801CD" w:rsidRPr="005028E4" w:rsidRDefault="008801CD" w:rsidP="00B817EE">
      <w:pPr>
        <w:autoSpaceDE w:val="0"/>
        <w:autoSpaceDN w:val="0"/>
        <w:adjustRightInd w:val="0"/>
        <w:spacing w:after="0" w:line="240" w:lineRule="auto"/>
        <w:jc w:val="both"/>
        <w:rPr>
          <w:rFonts w:eastAsia="Times New Roman" w:cs="Times New Roman"/>
          <w:sz w:val="24"/>
          <w:szCs w:val="24"/>
        </w:rPr>
      </w:pPr>
    </w:p>
    <w:p w:rsidR="00AC1A3A" w:rsidRPr="005028E4" w:rsidRDefault="008801CD" w:rsidP="00B817EE">
      <w:pPr>
        <w:autoSpaceDE w:val="0"/>
        <w:autoSpaceDN w:val="0"/>
        <w:adjustRightInd w:val="0"/>
        <w:spacing w:after="0" w:line="240" w:lineRule="auto"/>
        <w:jc w:val="both"/>
        <w:rPr>
          <w:rFonts w:eastAsia="Times New Roman" w:cs="Times New Roman"/>
          <w:sz w:val="24"/>
          <w:szCs w:val="24"/>
        </w:rPr>
      </w:pPr>
      <w:r w:rsidRPr="005028E4">
        <w:rPr>
          <w:rFonts w:eastAsia="Times New Roman" w:cs="Times New Roman"/>
          <w:sz w:val="24"/>
          <w:szCs w:val="24"/>
        </w:rPr>
        <w:t>Na temelju tih i ostalih ulaznih podataka u modelu, primjenom algoritama koji su detaljno opisani u priručniku iz Pri</w:t>
      </w:r>
      <w:r w:rsidR="007101A3" w:rsidRPr="005028E4">
        <w:rPr>
          <w:rFonts w:eastAsia="Times New Roman" w:cs="Times New Roman"/>
          <w:sz w:val="24"/>
          <w:szCs w:val="24"/>
        </w:rPr>
        <w:t xml:space="preserve">vitka </w:t>
      </w:r>
      <w:r w:rsidR="007101A3" w:rsidRPr="005028E4">
        <w:rPr>
          <w:rFonts w:eastAsia="Times New Roman" w:cs="Times New Roman"/>
          <w:sz w:val="24"/>
          <w:szCs w:val="24"/>
        </w:rPr>
        <w:fldChar w:fldCharType="begin"/>
      </w:r>
      <w:r w:rsidR="007101A3" w:rsidRPr="005028E4">
        <w:rPr>
          <w:rFonts w:eastAsia="Times New Roman" w:cs="Times New Roman"/>
          <w:sz w:val="24"/>
          <w:szCs w:val="24"/>
        </w:rPr>
        <w:instrText xml:space="preserve"> REF _Ref53665160 \r \h  \* MERGEFORMAT </w:instrText>
      </w:r>
      <w:r w:rsidR="007101A3" w:rsidRPr="005028E4">
        <w:rPr>
          <w:rFonts w:eastAsia="Times New Roman" w:cs="Times New Roman"/>
          <w:sz w:val="24"/>
          <w:szCs w:val="24"/>
        </w:rPr>
      </w:r>
      <w:r w:rsidR="007101A3" w:rsidRPr="005028E4">
        <w:rPr>
          <w:rFonts w:eastAsia="Times New Roman" w:cs="Times New Roman"/>
          <w:sz w:val="24"/>
          <w:szCs w:val="24"/>
        </w:rPr>
        <w:fldChar w:fldCharType="separate"/>
      </w:r>
      <w:r w:rsidR="00B047B3">
        <w:rPr>
          <w:rFonts w:eastAsia="Times New Roman" w:cs="Times New Roman"/>
          <w:sz w:val="24"/>
          <w:szCs w:val="24"/>
        </w:rPr>
        <w:t>8.2</w:t>
      </w:r>
      <w:r w:rsidR="007101A3" w:rsidRPr="005028E4">
        <w:rPr>
          <w:rFonts w:eastAsia="Times New Roman" w:cs="Times New Roman"/>
          <w:sz w:val="24"/>
          <w:szCs w:val="24"/>
        </w:rPr>
        <w:fldChar w:fldCharType="end"/>
      </w:r>
      <w:r w:rsidRPr="005028E4">
        <w:rPr>
          <w:rFonts w:eastAsia="Times New Roman" w:cs="Times New Roman"/>
          <w:sz w:val="24"/>
          <w:szCs w:val="24"/>
        </w:rPr>
        <w:t xml:space="preserve">, izračunati su jedinični troškovi </w:t>
      </w:r>
      <w:r w:rsidR="00535FFC" w:rsidRPr="005028E4">
        <w:rPr>
          <w:rFonts w:eastAsia="Times New Roman" w:cs="Times New Roman"/>
          <w:sz w:val="24"/>
          <w:szCs w:val="24"/>
        </w:rPr>
        <w:t xml:space="preserve">usluge </w:t>
      </w:r>
      <w:r w:rsidR="00EA66BB" w:rsidRPr="005028E4">
        <w:rPr>
          <w:rFonts w:eastAsia="Times New Roman" w:cs="Times New Roman"/>
          <w:i/>
          <w:sz w:val="24"/>
          <w:szCs w:val="24"/>
        </w:rPr>
        <w:t xml:space="preserve">dark </w:t>
      </w:r>
      <w:r w:rsidR="00535FFC" w:rsidRPr="005028E4">
        <w:rPr>
          <w:rFonts w:eastAsia="Times New Roman" w:cs="Times New Roman"/>
          <w:i/>
          <w:sz w:val="24"/>
          <w:szCs w:val="24"/>
        </w:rPr>
        <w:t xml:space="preserve">fibre </w:t>
      </w:r>
      <w:r w:rsidR="00535FFC" w:rsidRPr="005028E4">
        <w:rPr>
          <w:rFonts w:eastAsia="Times New Roman" w:cs="Times New Roman"/>
          <w:sz w:val="24"/>
          <w:szCs w:val="24"/>
        </w:rPr>
        <w:t>u pristupnoj mreži i u prijenosnoj mreži HT-a</w:t>
      </w:r>
      <w:r w:rsidR="003103BF" w:rsidRPr="005028E4">
        <w:rPr>
          <w:rFonts w:eastAsia="Times New Roman" w:cs="Times New Roman"/>
          <w:sz w:val="24"/>
          <w:szCs w:val="24"/>
        </w:rPr>
        <w:t xml:space="preserve"> (</w:t>
      </w:r>
      <w:r w:rsidR="004F4816" w:rsidRPr="005028E4">
        <w:rPr>
          <w:rFonts w:eastAsia="Times New Roman" w:cs="Times New Roman"/>
          <w:sz w:val="24"/>
          <w:szCs w:val="24"/>
        </w:rPr>
        <w:fldChar w:fldCharType="begin"/>
      </w:r>
      <w:r w:rsidR="004F4816" w:rsidRPr="005028E4">
        <w:rPr>
          <w:rFonts w:eastAsia="Times New Roman" w:cs="Times New Roman"/>
          <w:sz w:val="24"/>
          <w:szCs w:val="24"/>
        </w:rPr>
        <w:instrText xml:space="preserve"> REF _Ref52514382 \h  \* MERGEFORMAT </w:instrText>
      </w:r>
      <w:r w:rsidR="004F4816" w:rsidRPr="005028E4">
        <w:rPr>
          <w:rFonts w:eastAsia="Times New Roman" w:cs="Times New Roman"/>
          <w:sz w:val="24"/>
          <w:szCs w:val="24"/>
        </w:rPr>
      </w:r>
      <w:r w:rsidR="004F4816" w:rsidRPr="005028E4">
        <w:rPr>
          <w:rFonts w:eastAsia="Times New Roman" w:cs="Times New Roman"/>
          <w:sz w:val="24"/>
          <w:szCs w:val="24"/>
        </w:rPr>
        <w:fldChar w:fldCharType="separate"/>
      </w:r>
      <w:r w:rsidR="00B047B3" w:rsidRPr="00B047B3">
        <w:rPr>
          <w:rFonts w:eastAsia="Times New Roman" w:cs="Times New Roman"/>
          <w:sz w:val="24"/>
          <w:szCs w:val="24"/>
        </w:rPr>
        <w:t>Tablica 10</w:t>
      </w:r>
      <w:r w:rsidR="004F4816" w:rsidRPr="005028E4">
        <w:rPr>
          <w:rFonts w:eastAsia="Times New Roman" w:cs="Times New Roman"/>
          <w:sz w:val="24"/>
          <w:szCs w:val="24"/>
        </w:rPr>
        <w:fldChar w:fldCharType="end"/>
      </w:r>
      <w:r w:rsidR="003103BF" w:rsidRPr="005028E4">
        <w:rPr>
          <w:rFonts w:eastAsia="Times New Roman" w:cs="Times New Roman"/>
          <w:sz w:val="24"/>
          <w:szCs w:val="24"/>
        </w:rPr>
        <w:t>)</w:t>
      </w:r>
      <w:r w:rsidR="00535FFC" w:rsidRPr="005028E4">
        <w:rPr>
          <w:rFonts w:eastAsia="Times New Roman" w:cs="Times New Roman"/>
          <w:sz w:val="24"/>
          <w:szCs w:val="24"/>
        </w:rPr>
        <w:t>.</w:t>
      </w:r>
    </w:p>
    <w:p w:rsidR="00B817EE" w:rsidRPr="005028E4" w:rsidRDefault="00B817EE" w:rsidP="00B817EE">
      <w:pPr>
        <w:autoSpaceDE w:val="0"/>
        <w:autoSpaceDN w:val="0"/>
        <w:adjustRightInd w:val="0"/>
        <w:spacing w:after="0" w:line="240" w:lineRule="auto"/>
        <w:jc w:val="both"/>
        <w:rPr>
          <w:rFonts w:eastAsia="Times New Roman" w:cs="Times New Roman"/>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702"/>
        <w:gridCol w:w="850"/>
        <w:gridCol w:w="710"/>
        <w:gridCol w:w="848"/>
        <w:gridCol w:w="709"/>
        <w:gridCol w:w="709"/>
        <w:gridCol w:w="709"/>
        <w:gridCol w:w="703"/>
      </w:tblGrid>
      <w:tr w:rsidR="00AC1A3A" w:rsidRPr="005028E4" w:rsidTr="003C777B">
        <w:trPr>
          <w:trHeight w:val="300"/>
          <w:jc w:val="center"/>
        </w:trPr>
        <w:tc>
          <w:tcPr>
            <w:tcW w:w="1170" w:type="pct"/>
            <w:shd w:val="clear" w:color="000000" w:fill="0C2749"/>
            <w:vAlign w:val="center"/>
            <w:hideMark/>
          </w:tcPr>
          <w:p w:rsidR="00AC1A3A" w:rsidRPr="005028E4" w:rsidRDefault="00AC1A3A"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USLUGA</w:t>
            </w:r>
          </w:p>
        </w:tc>
        <w:tc>
          <w:tcPr>
            <w:tcW w:w="939" w:type="pct"/>
            <w:shd w:val="clear" w:color="000000" w:fill="0C2749"/>
            <w:vAlign w:val="center"/>
            <w:hideMark/>
          </w:tcPr>
          <w:p w:rsidR="00AC1A3A" w:rsidRPr="005028E4" w:rsidRDefault="00AC1A3A"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Jedinica</w:t>
            </w:r>
          </w:p>
        </w:tc>
        <w:tc>
          <w:tcPr>
            <w:tcW w:w="469" w:type="pct"/>
            <w:shd w:val="clear" w:color="000000" w:fill="0C2749"/>
            <w:vAlign w:val="center"/>
            <w:hideMark/>
          </w:tcPr>
          <w:p w:rsidR="00AC1A3A" w:rsidRPr="005028E4" w:rsidRDefault="00AC1A3A"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2021</w:t>
            </w:r>
          </w:p>
        </w:tc>
        <w:tc>
          <w:tcPr>
            <w:tcW w:w="392" w:type="pct"/>
            <w:shd w:val="clear" w:color="000000" w:fill="0C2749"/>
            <w:vAlign w:val="center"/>
            <w:hideMark/>
          </w:tcPr>
          <w:p w:rsidR="00AC1A3A" w:rsidRPr="005028E4" w:rsidRDefault="00AC1A3A"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2022</w:t>
            </w:r>
          </w:p>
        </w:tc>
        <w:tc>
          <w:tcPr>
            <w:tcW w:w="468" w:type="pct"/>
            <w:shd w:val="clear" w:color="000000" w:fill="0C2749"/>
            <w:vAlign w:val="center"/>
            <w:hideMark/>
          </w:tcPr>
          <w:p w:rsidR="00AC1A3A" w:rsidRPr="005028E4" w:rsidRDefault="00AC1A3A"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2023</w:t>
            </w:r>
          </w:p>
        </w:tc>
        <w:tc>
          <w:tcPr>
            <w:tcW w:w="391" w:type="pct"/>
            <w:shd w:val="clear" w:color="000000" w:fill="0C2749"/>
            <w:vAlign w:val="center"/>
            <w:hideMark/>
          </w:tcPr>
          <w:p w:rsidR="00AC1A3A" w:rsidRPr="005028E4" w:rsidRDefault="00AC1A3A"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2024</w:t>
            </w:r>
          </w:p>
        </w:tc>
        <w:tc>
          <w:tcPr>
            <w:tcW w:w="391" w:type="pct"/>
            <w:shd w:val="clear" w:color="000000" w:fill="0C2749"/>
            <w:vAlign w:val="center"/>
            <w:hideMark/>
          </w:tcPr>
          <w:p w:rsidR="00AC1A3A" w:rsidRPr="005028E4" w:rsidRDefault="00AC1A3A"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2025</w:t>
            </w:r>
          </w:p>
        </w:tc>
        <w:tc>
          <w:tcPr>
            <w:tcW w:w="391" w:type="pct"/>
            <w:shd w:val="clear" w:color="000000" w:fill="0C2749"/>
            <w:vAlign w:val="center"/>
            <w:hideMark/>
          </w:tcPr>
          <w:p w:rsidR="00AC1A3A" w:rsidRPr="005028E4" w:rsidRDefault="00AC1A3A"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2026</w:t>
            </w:r>
          </w:p>
        </w:tc>
        <w:tc>
          <w:tcPr>
            <w:tcW w:w="388" w:type="pct"/>
            <w:shd w:val="clear" w:color="000000" w:fill="0C2749"/>
            <w:vAlign w:val="center"/>
            <w:hideMark/>
          </w:tcPr>
          <w:p w:rsidR="00AC1A3A" w:rsidRPr="005028E4" w:rsidRDefault="00AC1A3A" w:rsidP="00180F19">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2027</w:t>
            </w:r>
          </w:p>
        </w:tc>
      </w:tr>
      <w:tr w:rsidR="00CF5627" w:rsidRPr="005028E4" w:rsidTr="000323CC">
        <w:trPr>
          <w:trHeight w:val="288"/>
          <w:jc w:val="center"/>
        </w:trPr>
        <w:tc>
          <w:tcPr>
            <w:tcW w:w="1170" w:type="pct"/>
            <w:shd w:val="clear" w:color="auto" w:fill="auto"/>
            <w:noWrap/>
            <w:vAlign w:val="center"/>
            <w:hideMark/>
          </w:tcPr>
          <w:p w:rsidR="00CF5627" w:rsidRPr="005028E4" w:rsidRDefault="00CF5627" w:rsidP="00CF5627">
            <w:pPr>
              <w:spacing w:after="0" w:line="240" w:lineRule="auto"/>
              <w:rPr>
                <w:rFonts w:ascii="Calibri" w:eastAsia="Times New Roman" w:hAnsi="Calibri" w:cs="Calibri"/>
                <w:color w:val="000000"/>
                <w:sz w:val="16"/>
                <w:szCs w:val="16"/>
              </w:rPr>
            </w:pPr>
            <w:r w:rsidRPr="005028E4">
              <w:rPr>
                <w:sz w:val="16"/>
                <w:szCs w:val="16"/>
              </w:rPr>
              <w:t>Dark Fibre – prijenosna mreža</w:t>
            </w:r>
          </w:p>
        </w:tc>
        <w:tc>
          <w:tcPr>
            <w:tcW w:w="939" w:type="pct"/>
            <w:shd w:val="clear" w:color="auto" w:fill="auto"/>
            <w:noWrap/>
            <w:vAlign w:val="center"/>
            <w:hideMark/>
          </w:tcPr>
          <w:p w:rsidR="00CF5627" w:rsidRPr="005028E4" w:rsidRDefault="00CF5627" w:rsidP="00CF5627">
            <w:pPr>
              <w:spacing w:after="0" w:line="240" w:lineRule="auto"/>
              <w:jc w:val="center"/>
              <w:rPr>
                <w:rFonts w:ascii="Calibri" w:eastAsia="Times New Roman" w:hAnsi="Calibri" w:cs="Calibri"/>
                <w:color w:val="000000"/>
                <w:sz w:val="16"/>
                <w:szCs w:val="16"/>
              </w:rPr>
            </w:pPr>
            <w:r w:rsidRPr="005028E4">
              <w:rPr>
                <w:rFonts w:ascii="Calibri" w:eastAsia="Times New Roman" w:hAnsi="Calibri" w:cs="Calibri"/>
                <w:color w:val="000000"/>
                <w:sz w:val="16"/>
                <w:szCs w:val="16"/>
              </w:rPr>
              <w:t>HRK/nit/m/mjesečno</w:t>
            </w:r>
          </w:p>
        </w:tc>
        <w:tc>
          <w:tcPr>
            <w:tcW w:w="469" w:type="pct"/>
            <w:shd w:val="clear" w:color="auto" w:fill="auto"/>
            <w:noWrap/>
            <w:vAlign w:val="center"/>
            <w:hideMark/>
          </w:tcPr>
          <w:p w:rsidR="00CF5627" w:rsidRPr="005028E4" w:rsidRDefault="00CF5627" w:rsidP="00CF5627">
            <w:pPr>
              <w:spacing w:after="0" w:line="240" w:lineRule="auto"/>
              <w:jc w:val="right"/>
              <w:rPr>
                <w:rFonts w:ascii="Calibri" w:eastAsia="Times New Roman" w:hAnsi="Calibri" w:cs="Calibri"/>
                <w:color w:val="000000"/>
                <w:sz w:val="16"/>
                <w:szCs w:val="16"/>
              </w:rPr>
            </w:pPr>
            <w:r w:rsidRPr="005028E4">
              <w:rPr>
                <w:sz w:val="16"/>
                <w:szCs w:val="16"/>
              </w:rPr>
              <w:t>0,07</w:t>
            </w:r>
          </w:p>
        </w:tc>
        <w:tc>
          <w:tcPr>
            <w:tcW w:w="392" w:type="pct"/>
            <w:shd w:val="clear" w:color="auto" w:fill="auto"/>
            <w:noWrap/>
            <w:vAlign w:val="center"/>
            <w:hideMark/>
          </w:tcPr>
          <w:p w:rsidR="00CF5627" w:rsidRPr="005028E4" w:rsidRDefault="00CF5627" w:rsidP="00CF5627">
            <w:pPr>
              <w:spacing w:after="0" w:line="240" w:lineRule="auto"/>
              <w:jc w:val="right"/>
              <w:rPr>
                <w:rFonts w:ascii="Calibri" w:eastAsia="Times New Roman" w:hAnsi="Calibri" w:cs="Calibri"/>
                <w:color w:val="000000"/>
                <w:sz w:val="16"/>
                <w:szCs w:val="16"/>
              </w:rPr>
            </w:pPr>
            <w:r w:rsidRPr="005028E4">
              <w:rPr>
                <w:sz w:val="16"/>
                <w:szCs w:val="16"/>
              </w:rPr>
              <w:t>0,07</w:t>
            </w:r>
          </w:p>
        </w:tc>
        <w:tc>
          <w:tcPr>
            <w:tcW w:w="468" w:type="pct"/>
            <w:shd w:val="clear" w:color="auto" w:fill="auto"/>
            <w:noWrap/>
            <w:vAlign w:val="center"/>
            <w:hideMark/>
          </w:tcPr>
          <w:p w:rsidR="00CF5627" w:rsidRPr="005028E4" w:rsidRDefault="00CF5627" w:rsidP="00CF5627">
            <w:pPr>
              <w:spacing w:after="0" w:line="240" w:lineRule="auto"/>
              <w:jc w:val="right"/>
              <w:rPr>
                <w:rFonts w:ascii="Calibri" w:eastAsia="Times New Roman" w:hAnsi="Calibri" w:cs="Calibri"/>
                <w:color w:val="000000"/>
                <w:sz w:val="16"/>
                <w:szCs w:val="16"/>
              </w:rPr>
            </w:pPr>
            <w:r w:rsidRPr="005028E4">
              <w:rPr>
                <w:sz w:val="16"/>
                <w:szCs w:val="16"/>
              </w:rPr>
              <w:t>0,07</w:t>
            </w:r>
          </w:p>
        </w:tc>
        <w:tc>
          <w:tcPr>
            <w:tcW w:w="391" w:type="pct"/>
            <w:shd w:val="clear" w:color="auto" w:fill="auto"/>
            <w:noWrap/>
            <w:vAlign w:val="center"/>
            <w:hideMark/>
          </w:tcPr>
          <w:p w:rsidR="00CF5627" w:rsidRPr="005028E4" w:rsidRDefault="00CF5627" w:rsidP="00CF5627">
            <w:pPr>
              <w:spacing w:after="0" w:line="240" w:lineRule="auto"/>
              <w:jc w:val="right"/>
              <w:rPr>
                <w:rFonts w:ascii="Calibri" w:eastAsia="Times New Roman" w:hAnsi="Calibri" w:cs="Calibri"/>
                <w:color w:val="000000"/>
                <w:sz w:val="16"/>
                <w:szCs w:val="16"/>
              </w:rPr>
            </w:pPr>
            <w:r w:rsidRPr="005028E4">
              <w:rPr>
                <w:sz w:val="16"/>
                <w:szCs w:val="16"/>
              </w:rPr>
              <w:t>0,07</w:t>
            </w:r>
          </w:p>
        </w:tc>
        <w:tc>
          <w:tcPr>
            <w:tcW w:w="391" w:type="pct"/>
            <w:shd w:val="clear" w:color="auto" w:fill="auto"/>
            <w:noWrap/>
            <w:vAlign w:val="center"/>
            <w:hideMark/>
          </w:tcPr>
          <w:p w:rsidR="00CF5627" w:rsidRPr="005028E4" w:rsidRDefault="00CF5627" w:rsidP="00CF5627">
            <w:pPr>
              <w:spacing w:after="0" w:line="240" w:lineRule="auto"/>
              <w:jc w:val="right"/>
              <w:rPr>
                <w:rFonts w:ascii="Calibri" w:eastAsia="Times New Roman" w:hAnsi="Calibri" w:cs="Calibri"/>
                <w:color w:val="000000"/>
                <w:sz w:val="16"/>
                <w:szCs w:val="16"/>
              </w:rPr>
            </w:pPr>
            <w:r w:rsidRPr="005028E4">
              <w:rPr>
                <w:sz w:val="16"/>
                <w:szCs w:val="16"/>
              </w:rPr>
              <w:t>0,07</w:t>
            </w:r>
          </w:p>
        </w:tc>
        <w:tc>
          <w:tcPr>
            <w:tcW w:w="391" w:type="pct"/>
            <w:shd w:val="clear" w:color="auto" w:fill="auto"/>
            <w:noWrap/>
            <w:vAlign w:val="center"/>
            <w:hideMark/>
          </w:tcPr>
          <w:p w:rsidR="00CF5627" w:rsidRPr="005028E4" w:rsidRDefault="00CF5627" w:rsidP="00CF5627">
            <w:pPr>
              <w:spacing w:after="0" w:line="240" w:lineRule="auto"/>
              <w:jc w:val="right"/>
              <w:rPr>
                <w:rFonts w:ascii="Calibri" w:eastAsia="Times New Roman" w:hAnsi="Calibri" w:cs="Calibri"/>
                <w:color w:val="000000"/>
                <w:sz w:val="16"/>
                <w:szCs w:val="16"/>
              </w:rPr>
            </w:pPr>
            <w:r w:rsidRPr="005028E4">
              <w:rPr>
                <w:sz w:val="16"/>
                <w:szCs w:val="16"/>
              </w:rPr>
              <w:t>0,07</w:t>
            </w:r>
          </w:p>
        </w:tc>
        <w:tc>
          <w:tcPr>
            <w:tcW w:w="388" w:type="pct"/>
            <w:shd w:val="clear" w:color="auto" w:fill="auto"/>
            <w:noWrap/>
            <w:vAlign w:val="center"/>
            <w:hideMark/>
          </w:tcPr>
          <w:p w:rsidR="00CF5627" w:rsidRPr="005028E4" w:rsidRDefault="00CF5627" w:rsidP="00CF5627">
            <w:pPr>
              <w:keepNext/>
              <w:spacing w:after="0" w:line="240" w:lineRule="auto"/>
              <w:jc w:val="right"/>
              <w:rPr>
                <w:rFonts w:ascii="Calibri" w:eastAsia="Times New Roman" w:hAnsi="Calibri" w:cs="Calibri"/>
                <w:color w:val="000000"/>
                <w:sz w:val="16"/>
                <w:szCs w:val="16"/>
              </w:rPr>
            </w:pPr>
            <w:r w:rsidRPr="005028E4">
              <w:rPr>
                <w:sz w:val="16"/>
                <w:szCs w:val="16"/>
              </w:rPr>
              <w:t>0,08</w:t>
            </w:r>
          </w:p>
        </w:tc>
      </w:tr>
      <w:tr w:rsidR="00CF5627" w:rsidRPr="005028E4" w:rsidTr="000323CC">
        <w:trPr>
          <w:trHeight w:val="288"/>
          <w:jc w:val="center"/>
        </w:trPr>
        <w:tc>
          <w:tcPr>
            <w:tcW w:w="1170" w:type="pct"/>
            <w:shd w:val="clear" w:color="auto" w:fill="auto"/>
            <w:noWrap/>
            <w:vAlign w:val="center"/>
          </w:tcPr>
          <w:p w:rsidR="00CF5627" w:rsidRPr="005028E4" w:rsidRDefault="00CF5627" w:rsidP="00CF5627">
            <w:pPr>
              <w:spacing w:after="0" w:line="240" w:lineRule="auto"/>
              <w:rPr>
                <w:rFonts w:ascii="Calibri" w:eastAsia="Times New Roman" w:hAnsi="Calibri" w:cs="Calibri"/>
                <w:color w:val="000000"/>
                <w:sz w:val="16"/>
                <w:szCs w:val="16"/>
              </w:rPr>
            </w:pPr>
            <w:r w:rsidRPr="005028E4">
              <w:rPr>
                <w:sz w:val="16"/>
                <w:szCs w:val="16"/>
              </w:rPr>
              <w:t>Dark Fibre – pristupna mreža</w:t>
            </w:r>
          </w:p>
        </w:tc>
        <w:tc>
          <w:tcPr>
            <w:tcW w:w="939" w:type="pct"/>
            <w:shd w:val="clear" w:color="auto" w:fill="auto"/>
            <w:noWrap/>
            <w:vAlign w:val="center"/>
          </w:tcPr>
          <w:p w:rsidR="00CF5627" w:rsidRPr="005028E4" w:rsidRDefault="00CF5627" w:rsidP="00CF5627">
            <w:pPr>
              <w:spacing w:after="0" w:line="240" w:lineRule="auto"/>
              <w:jc w:val="center"/>
              <w:rPr>
                <w:rFonts w:ascii="Calibri" w:eastAsia="Times New Roman" w:hAnsi="Calibri" w:cs="Calibri"/>
                <w:color w:val="000000"/>
                <w:sz w:val="16"/>
                <w:szCs w:val="16"/>
              </w:rPr>
            </w:pPr>
            <w:r w:rsidRPr="005028E4">
              <w:rPr>
                <w:rFonts w:ascii="Calibri" w:eastAsia="Times New Roman" w:hAnsi="Calibri" w:cs="Calibri"/>
                <w:color w:val="000000"/>
                <w:sz w:val="16"/>
                <w:szCs w:val="16"/>
              </w:rPr>
              <w:t>HRK/nit/m/mjesečno</w:t>
            </w:r>
          </w:p>
        </w:tc>
        <w:tc>
          <w:tcPr>
            <w:tcW w:w="469" w:type="pct"/>
            <w:shd w:val="clear" w:color="auto" w:fill="auto"/>
            <w:noWrap/>
            <w:vAlign w:val="center"/>
          </w:tcPr>
          <w:p w:rsidR="00CF5627" w:rsidRPr="005028E4" w:rsidRDefault="00CF5627" w:rsidP="00CF5627">
            <w:pPr>
              <w:spacing w:after="0" w:line="240" w:lineRule="auto"/>
              <w:jc w:val="right"/>
              <w:rPr>
                <w:sz w:val="16"/>
                <w:szCs w:val="16"/>
              </w:rPr>
            </w:pPr>
            <w:r w:rsidRPr="005028E4">
              <w:rPr>
                <w:sz w:val="16"/>
                <w:szCs w:val="16"/>
              </w:rPr>
              <w:t>0,11</w:t>
            </w:r>
          </w:p>
        </w:tc>
        <w:tc>
          <w:tcPr>
            <w:tcW w:w="392" w:type="pct"/>
            <w:shd w:val="clear" w:color="auto" w:fill="auto"/>
            <w:noWrap/>
            <w:vAlign w:val="center"/>
          </w:tcPr>
          <w:p w:rsidR="00CF5627" w:rsidRPr="005028E4" w:rsidRDefault="00CF5627" w:rsidP="00CF5627">
            <w:pPr>
              <w:spacing w:after="0" w:line="240" w:lineRule="auto"/>
              <w:jc w:val="right"/>
              <w:rPr>
                <w:sz w:val="16"/>
                <w:szCs w:val="16"/>
              </w:rPr>
            </w:pPr>
            <w:r w:rsidRPr="005028E4">
              <w:rPr>
                <w:sz w:val="16"/>
                <w:szCs w:val="16"/>
              </w:rPr>
              <w:t>0,12</w:t>
            </w:r>
          </w:p>
        </w:tc>
        <w:tc>
          <w:tcPr>
            <w:tcW w:w="468" w:type="pct"/>
            <w:shd w:val="clear" w:color="auto" w:fill="auto"/>
            <w:noWrap/>
            <w:vAlign w:val="center"/>
          </w:tcPr>
          <w:p w:rsidR="00CF5627" w:rsidRPr="005028E4" w:rsidRDefault="00CF5627" w:rsidP="00CF5627">
            <w:pPr>
              <w:spacing w:after="0" w:line="240" w:lineRule="auto"/>
              <w:jc w:val="right"/>
              <w:rPr>
                <w:sz w:val="16"/>
                <w:szCs w:val="16"/>
              </w:rPr>
            </w:pPr>
            <w:r w:rsidRPr="005028E4">
              <w:rPr>
                <w:sz w:val="16"/>
                <w:szCs w:val="16"/>
              </w:rPr>
              <w:t>0,12</w:t>
            </w:r>
          </w:p>
        </w:tc>
        <w:tc>
          <w:tcPr>
            <w:tcW w:w="391" w:type="pct"/>
            <w:shd w:val="clear" w:color="auto" w:fill="auto"/>
            <w:noWrap/>
            <w:vAlign w:val="center"/>
          </w:tcPr>
          <w:p w:rsidR="00CF5627" w:rsidRPr="005028E4" w:rsidRDefault="00CF5627" w:rsidP="00CF5627">
            <w:pPr>
              <w:spacing w:after="0" w:line="240" w:lineRule="auto"/>
              <w:jc w:val="right"/>
              <w:rPr>
                <w:sz w:val="16"/>
                <w:szCs w:val="16"/>
              </w:rPr>
            </w:pPr>
            <w:r w:rsidRPr="005028E4">
              <w:rPr>
                <w:sz w:val="16"/>
                <w:szCs w:val="16"/>
              </w:rPr>
              <w:t>0,13</w:t>
            </w:r>
          </w:p>
        </w:tc>
        <w:tc>
          <w:tcPr>
            <w:tcW w:w="391" w:type="pct"/>
            <w:shd w:val="clear" w:color="auto" w:fill="auto"/>
            <w:noWrap/>
            <w:vAlign w:val="center"/>
          </w:tcPr>
          <w:p w:rsidR="00CF5627" w:rsidRPr="005028E4" w:rsidRDefault="00CF5627" w:rsidP="00CF5627">
            <w:pPr>
              <w:spacing w:after="0" w:line="240" w:lineRule="auto"/>
              <w:jc w:val="right"/>
              <w:rPr>
                <w:sz w:val="16"/>
                <w:szCs w:val="16"/>
              </w:rPr>
            </w:pPr>
            <w:r w:rsidRPr="005028E4">
              <w:rPr>
                <w:sz w:val="16"/>
                <w:szCs w:val="16"/>
              </w:rPr>
              <w:t>0,13</w:t>
            </w:r>
          </w:p>
        </w:tc>
        <w:tc>
          <w:tcPr>
            <w:tcW w:w="391" w:type="pct"/>
            <w:shd w:val="clear" w:color="auto" w:fill="auto"/>
            <w:noWrap/>
            <w:vAlign w:val="center"/>
          </w:tcPr>
          <w:p w:rsidR="00CF5627" w:rsidRPr="005028E4" w:rsidRDefault="00CF5627" w:rsidP="00CF5627">
            <w:pPr>
              <w:spacing w:after="0" w:line="240" w:lineRule="auto"/>
              <w:jc w:val="right"/>
              <w:rPr>
                <w:sz w:val="16"/>
                <w:szCs w:val="16"/>
              </w:rPr>
            </w:pPr>
            <w:r w:rsidRPr="005028E4">
              <w:rPr>
                <w:sz w:val="16"/>
                <w:szCs w:val="16"/>
              </w:rPr>
              <w:t>0,14</w:t>
            </w:r>
          </w:p>
        </w:tc>
        <w:tc>
          <w:tcPr>
            <w:tcW w:w="388" w:type="pct"/>
            <w:shd w:val="clear" w:color="auto" w:fill="auto"/>
            <w:noWrap/>
            <w:vAlign w:val="center"/>
          </w:tcPr>
          <w:p w:rsidR="00CF5627" w:rsidRPr="005028E4" w:rsidRDefault="00CF5627" w:rsidP="00CF5627">
            <w:pPr>
              <w:keepNext/>
              <w:spacing w:after="0" w:line="240" w:lineRule="auto"/>
              <w:jc w:val="right"/>
              <w:rPr>
                <w:sz w:val="16"/>
                <w:szCs w:val="16"/>
              </w:rPr>
            </w:pPr>
            <w:r w:rsidRPr="005028E4">
              <w:rPr>
                <w:sz w:val="16"/>
                <w:szCs w:val="16"/>
              </w:rPr>
              <w:t>0,15</w:t>
            </w:r>
          </w:p>
        </w:tc>
      </w:tr>
    </w:tbl>
    <w:p w:rsidR="003103BF" w:rsidRPr="005028E4" w:rsidRDefault="003103BF">
      <w:pPr>
        <w:pStyle w:val="Caption"/>
      </w:pPr>
      <w:bookmarkStart w:id="694" w:name="_Ref52514382"/>
      <w:bookmarkStart w:id="695" w:name="_Toc54079574"/>
      <w:bookmarkStart w:id="696" w:name="_Toc54159170"/>
      <w:bookmarkStart w:id="697" w:name="_Toc54159304"/>
      <w:bookmarkStart w:id="698" w:name="_Toc54160000"/>
      <w:bookmarkStart w:id="699" w:name="_Toc54175825"/>
      <w:bookmarkStart w:id="700" w:name="_Toc54179453"/>
      <w:bookmarkStart w:id="701" w:name="_Toc54261733"/>
      <w:r w:rsidRPr="005028E4">
        <w:t xml:space="preserve">Tablica </w:t>
      </w:r>
      <w:r w:rsidR="00A410B6" w:rsidRPr="005028E4">
        <w:rPr>
          <w:noProof/>
        </w:rPr>
        <w:fldChar w:fldCharType="begin"/>
      </w:r>
      <w:r w:rsidR="00A410B6" w:rsidRPr="005028E4">
        <w:rPr>
          <w:noProof/>
        </w:rPr>
        <w:instrText xml:space="preserve"> SEQ Tablica \* ARABIC </w:instrText>
      </w:r>
      <w:r w:rsidR="00A410B6" w:rsidRPr="005028E4">
        <w:rPr>
          <w:noProof/>
        </w:rPr>
        <w:fldChar w:fldCharType="separate"/>
      </w:r>
      <w:r w:rsidR="00B047B3">
        <w:rPr>
          <w:noProof/>
        </w:rPr>
        <w:t>10</w:t>
      </w:r>
      <w:r w:rsidR="00A410B6" w:rsidRPr="005028E4">
        <w:rPr>
          <w:noProof/>
        </w:rPr>
        <w:fldChar w:fldCharType="end"/>
      </w:r>
      <w:bookmarkEnd w:id="694"/>
      <w:r w:rsidRPr="005028E4">
        <w:t xml:space="preserve"> - Jedinični troškovi usluge </w:t>
      </w:r>
      <w:r w:rsidR="00EA66BB" w:rsidRPr="005028E4">
        <w:rPr>
          <w:i/>
        </w:rPr>
        <w:t xml:space="preserve">dark </w:t>
      </w:r>
      <w:r w:rsidRPr="005028E4">
        <w:rPr>
          <w:i/>
        </w:rPr>
        <w:t>fibre</w:t>
      </w:r>
      <w:r w:rsidRPr="005028E4">
        <w:t xml:space="preserve"> (Izvor: Troškovni model)</w:t>
      </w:r>
      <w:bookmarkEnd w:id="695"/>
      <w:bookmarkEnd w:id="696"/>
      <w:bookmarkEnd w:id="697"/>
      <w:bookmarkEnd w:id="698"/>
      <w:bookmarkEnd w:id="699"/>
      <w:bookmarkEnd w:id="700"/>
      <w:bookmarkEnd w:id="701"/>
    </w:p>
    <w:p w:rsidR="00C00568" w:rsidRPr="005028E4" w:rsidRDefault="00C00568" w:rsidP="00C00568"/>
    <w:p w:rsidR="00D0690C" w:rsidRPr="005028E4" w:rsidRDefault="00D0690C" w:rsidP="00DD0407">
      <w:pPr>
        <w:pStyle w:val="Heading1"/>
      </w:pPr>
      <w:bookmarkStart w:id="702" w:name="_Toc53761313"/>
      <w:bookmarkStart w:id="703" w:name="_Toc53063937"/>
      <w:bookmarkStart w:id="704" w:name="_Toc53063938"/>
      <w:bookmarkStart w:id="705" w:name="_Toc51676931"/>
      <w:bookmarkStart w:id="706" w:name="_Ref52286553"/>
      <w:bookmarkStart w:id="707" w:name="_Ref52287742"/>
      <w:bookmarkStart w:id="708" w:name="_Toc53941996"/>
      <w:bookmarkStart w:id="709" w:name="_Toc54250967"/>
      <w:bookmarkStart w:id="710" w:name="_Toc54252865"/>
      <w:bookmarkStart w:id="711" w:name="_Toc54261677"/>
      <w:bookmarkEnd w:id="702"/>
      <w:bookmarkEnd w:id="703"/>
      <w:bookmarkEnd w:id="704"/>
      <w:r w:rsidRPr="005028E4">
        <w:t xml:space="preserve">Određivanje </w:t>
      </w:r>
      <w:r w:rsidR="000B7347" w:rsidRPr="005028E4">
        <w:t>veleprodajnih cijena na tržištu M3a</w:t>
      </w:r>
      <w:bookmarkEnd w:id="705"/>
      <w:bookmarkEnd w:id="706"/>
      <w:bookmarkEnd w:id="707"/>
      <w:bookmarkEnd w:id="708"/>
      <w:bookmarkEnd w:id="709"/>
      <w:bookmarkEnd w:id="710"/>
      <w:bookmarkEnd w:id="711"/>
    </w:p>
    <w:p w:rsidR="005E0F66" w:rsidRPr="005028E4" w:rsidRDefault="00865E13" w:rsidP="00AF52F7">
      <w:pPr>
        <w:jc w:val="both"/>
        <w:rPr>
          <w:sz w:val="24"/>
          <w:szCs w:val="24"/>
        </w:rPr>
      </w:pPr>
      <w:r w:rsidRPr="005028E4">
        <w:rPr>
          <w:sz w:val="24"/>
          <w:szCs w:val="24"/>
        </w:rPr>
        <w:t xml:space="preserve">HAKOM je zadnjom analizom tržišta M3a </w:t>
      </w:r>
      <w:r w:rsidR="005E0F66" w:rsidRPr="005028E4">
        <w:rPr>
          <w:sz w:val="24"/>
          <w:szCs w:val="24"/>
        </w:rPr>
        <w:t>HT-u odredio, između ostalih regulatornih obveza, i regulatornu obvezu nadzora cijena i vođenja troškovnog računovodstva. Regulatorna obveza nadzora cijena i vođenja troškovnog računovodstva, između ostalog, uključuje i obvezu troškovne usmjerenosti cijena. Tri su glavna HAKOM-ova cilja kod uvođenja mjere t</w:t>
      </w:r>
      <w:r w:rsidR="00AF52F7" w:rsidRPr="005028E4">
        <w:rPr>
          <w:sz w:val="24"/>
          <w:szCs w:val="24"/>
        </w:rPr>
        <w:t xml:space="preserve">roškovno-usmjerenog određivanja </w:t>
      </w:r>
      <w:r w:rsidR="005E0F66" w:rsidRPr="005028E4">
        <w:rPr>
          <w:sz w:val="24"/>
          <w:szCs w:val="24"/>
        </w:rPr>
        <w:t>cijena:</w:t>
      </w:r>
    </w:p>
    <w:p w:rsidR="005E0F66" w:rsidRPr="005028E4" w:rsidRDefault="005E0F66" w:rsidP="00CE6F90">
      <w:pPr>
        <w:pStyle w:val="ListParagraph"/>
        <w:numPr>
          <w:ilvl w:val="0"/>
          <w:numId w:val="35"/>
        </w:numPr>
        <w:jc w:val="both"/>
        <w:rPr>
          <w:sz w:val="24"/>
          <w:szCs w:val="24"/>
        </w:rPr>
      </w:pPr>
      <w:r w:rsidRPr="005028E4">
        <w:rPr>
          <w:sz w:val="24"/>
          <w:szCs w:val="24"/>
        </w:rPr>
        <w:t>promicanje učinkovitosti</w:t>
      </w:r>
    </w:p>
    <w:p w:rsidR="005E0F66" w:rsidRPr="005028E4" w:rsidRDefault="005E0F66" w:rsidP="00CE6F90">
      <w:pPr>
        <w:pStyle w:val="ListParagraph"/>
        <w:numPr>
          <w:ilvl w:val="0"/>
          <w:numId w:val="35"/>
        </w:numPr>
        <w:jc w:val="both"/>
        <w:rPr>
          <w:sz w:val="24"/>
          <w:szCs w:val="24"/>
        </w:rPr>
      </w:pPr>
      <w:r w:rsidRPr="005028E4">
        <w:rPr>
          <w:sz w:val="24"/>
          <w:szCs w:val="24"/>
        </w:rPr>
        <w:t>promicanje održivog tržišnog natjecanja</w:t>
      </w:r>
    </w:p>
    <w:p w:rsidR="00865E13" w:rsidRPr="005028E4" w:rsidRDefault="005E0F66" w:rsidP="00CE6F90">
      <w:pPr>
        <w:pStyle w:val="ListParagraph"/>
        <w:numPr>
          <w:ilvl w:val="0"/>
          <w:numId w:val="35"/>
        </w:numPr>
        <w:jc w:val="both"/>
      </w:pPr>
      <w:r w:rsidRPr="005028E4">
        <w:rPr>
          <w:sz w:val="24"/>
          <w:szCs w:val="24"/>
        </w:rPr>
        <w:t>osiguravanje najvećih koristi za korisnike.</w:t>
      </w:r>
    </w:p>
    <w:p w:rsidR="00AF52F7" w:rsidRPr="005028E4" w:rsidRDefault="00AF52F7" w:rsidP="00AF52F7">
      <w:pPr>
        <w:jc w:val="both"/>
        <w:rPr>
          <w:sz w:val="24"/>
          <w:szCs w:val="24"/>
        </w:rPr>
      </w:pPr>
      <w:r w:rsidRPr="005028E4">
        <w:rPr>
          <w:sz w:val="24"/>
          <w:szCs w:val="24"/>
        </w:rPr>
        <w:t>Dakle, uzimajući u obzir navedene ciljeve, HAKOM želi osigurati da svi načini povrata troškova i metodologije određivanja cijena, koje su određene operatorima budu usmjerene na promicanje djelotvornosti i održivog tržišnog natjecanja te na ostvarenje najvećih koristi za krajnje korisnike.</w:t>
      </w:r>
    </w:p>
    <w:p w:rsidR="00AF52F7" w:rsidRPr="005028E4" w:rsidRDefault="00AF52F7" w:rsidP="00AF52F7">
      <w:pPr>
        <w:jc w:val="both"/>
        <w:rPr>
          <w:sz w:val="24"/>
          <w:szCs w:val="24"/>
        </w:rPr>
      </w:pPr>
      <w:r w:rsidRPr="005028E4">
        <w:rPr>
          <w:sz w:val="24"/>
          <w:szCs w:val="24"/>
        </w:rPr>
        <w:t xml:space="preserve">Trenutne veleprodajne cijene na tržištu M3a određene su temeljem rezultata postojećeg troškovnog modela koji je ažuriran 2016. Međutim, kao što je u prethodnim poglavljima već objašnjeno, zbog velikih promjena u mreži HT-a bilo je potrebno </w:t>
      </w:r>
      <w:r w:rsidR="00D84FC4" w:rsidRPr="005028E4">
        <w:rPr>
          <w:sz w:val="24"/>
          <w:szCs w:val="24"/>
        </w:rPr>
        <w:t>izraditi</w:t>
      </w:r>
      <w:r w:rsidRPr="005028E4">
        <w:rPr>
          <w:sz w:val="24"/>
          <w:szCs w:val="24"/>
        </w:rPr>
        <w:t xml:space="preserve"> novi Troškovni model, kako bi se odredile nove veleprodajne cijene na tržištu M3a koje bolje odražavaju realnosti HT-ove nepokretne mreže.</w:t>
      </w:r>
    </w:p>
    <w:p w:rsidR="00AF52F7" w:rsidRPr="005028E4" w:rsidRDefault="00AF52F7" w:rsidP="00AF52F7">
      <w:pPr>
        <w:jc w:val="both"/>
        <w:rPr>
          <w:sz w:val="24"/>
          <w:szCs w:val="24"/>
        </w:rPr>
      </w:pPr>
      <w:r w:rsidRPr="005028E4">
        <w:rPr>
          <w:sz w:val="24"/>
          <w:szCs w:val="24"/>
        </w:rPr>
        <w:t xml:space="preserve">U prethodnom poglavlju opisan je Troškovni model, metodološka načela </w:t>
      </w:r>
      <w:r w:rsidR="00D84FC4" w:rsidRPr="005028E4">
        <w:rPr>
          <w:sz w:val="24"/>
          <w:szCs w:val="24"/>
        </w:rPr>
        <w:t>primijenjena</w:t>
      </w:r>
      <w:r w:rsidRPr="005028E4">
        <w:rPr>
          <w:sz w:val="24"/>
          <w:szCs w:val="24"/>
        </w:rPr>
        <w:t xml:space="preserve"> u njegovoj izradi te njegovi rezultati u smislu resursa u nepokretnoj mreži, ukupnih troškova nepokretne mreže te jediničnih troškova veleprodajnih usluga. </w:t>
      </w:r>
      <w:r w:rsidR="003A5470" w:rsidRPr="005028E4">
        <w:rPr>
          <w:sz w:val="24"/>
          <w:szCs w:val="24"/>
        </w:rPr>
        <w:t>Ovo poglavlje se bavi pristupom HAKOM-a u određivanju cijena reguliranih veleprodajnih usluga na tržištu M3a na temelju rezultata Troškovnog modela. Veleprodajne usluge na tržištu M3a čije se cijene određuju u ovom postupku su:</w:t>
      </w:r>
    </w:p>
    <w:p w:rsidR="003A5470" w:rsidRPr="005028E4" w:rsidRDefault="003A5470" w:rsidP="00CE6F90">
      <w:pPr>
        <w:pStyle w:val="ListParagraph"/>
        <w:numPr>
          <w:ilvl w:val="0"/>
          <w:numId w:val="36"/>
        </w:numPr>
        <w:jc w:val="both"/>
        <w:rPr>
          <w:sz w:val="24"/>
          <w:szCs w:val="24"/>
        </w:rPr>
      </w:pPr>
      <w:r w:rsidRPr="005028E4">
        <w:rPr>
          <w:sz w:val="24"/>
          <w:szCs w:val="24"/>
        </w:rPr>
        <w:t>Usluga izdvojenog pristupa lokalnoj petlji na temelju bakrene parice (</w:t>
      </w:r>
      <w:r w:rsidR="007E3C26" w:rsidRPr="005028E4">
        <w:rPr>
          <w:sz w:val="24"/>
          <w:szCs w:val="24"/>
        </w:rPr>
        <w:t>LLU</w:t>
      </w:r>
      <w:r w:rsidRPr="005028E4">
        <w:rPr>
          <w:sz w:val="24"/>
          <w:szCs w:val="24"/>
        </w:rPr>
        <w:t>)</w:t>
      </w:r>
    </w:p>
    <w:p w:rsidR="003A5470" w:rsidRPr="005028E4" w:rsidRDefault="003A5470" w:rsidP="00CE6F90">
      <w:pPr>
        <w:pStyle w:val="ListParagraph"/>
        <w:numPr>
          <w:ilvl w:val="0"/>
          <w:numId w:val="36"/>
        </w:numPr>
        <w:jc w:val="both"/>
        <w:rPr>
          <w:sz w:val="24"/>
          <w:szCs w:val="24"/>
        </w:rPr>
      </w:pPr>
      <w:r w:rsidRPr="005028E4">
        <w:rPr>
          <w:sz w:val="24"/>
          <w:szCs w:val="24"/>
        </w:rPr>
        <w:t>Usluga pristupa pasivnoj pristupnoj svjetlovodnoj mreži na lokaciji distribucijskog čvora (FA PON)</w:t>
      </w:r>
    </w:p>
    <w:p w:rsidR="00E7456D" w:rsidRPr="005028E4" w:rsidRDefault="003A5470" w:rsidP="00CE6F90">
      <w:pPr>
        <w:pStyle w:val="ListParagraph"/>
        <w:numPr>
          <w:ilvl w:val="0"/>
          <w:numId w:val="36"/>
        </w:numPr>
        <w:jc w:val="both"/>
        <w:rPr>
          <w:sz w:val="24"/>
          <w:szCs w:val="24"/>
        </w:rPr>
      </w:pPr>
      <w:r w:rsidRPr="005028E4">
        <w:rPr>
          <w:sz w:val="24"/>
          <w:szCs w:val="24"/>
        </w:rPr>
        <w:t>Usluga najma svjetlovodne niti bez prijenosne opreme (</w:t>
      </w:r>
      <w:r w:rsidR="00EA66BB" w:rsidRPr="005028E4">
        <w:rPr>
          <w:i/>
          <w:sz w:val="24"/>
          <w:szCs w:val="24"/>
        </w:rPr>
        <w:t xml:space="preserve">dark </w:t>
      </w:r>
      <w:r w:rsidRPr="005028E4">
        <w:rPr>
          <w:i/>
          <w:sz w:val="24"/>
          <w:szCs w:val="24"/>
        </w:rPr>
        <w:t>fibre</w:t>
      </w:r>
      <w:r w:rsidRPr="005028E4">
        <w:rPr>
          <w:sz w:val="24"/>
          <w:szCs w:val="24"/>
        </w:rPr>
        <w:t>)</w:t>
      </w:r>
      <w:r w:rsidR="00357272" w:rsidRPr="005028E4">
        <w:rPr>
          <w:sz w:val="24"/>
          <w:szCs w:val="24"/>
        </w:rPr>
        <w:t xml:space="preserve"> za povezivanje mreže operatora korisnika i pristupnog čvora na kojem se koristi </w:t>
      </w:r>
      <w:r w:rsidR="007E3C26" w:rsidRPr="005028E4">
        <w:rPr>
          <w:sz w:val="24"/>
          <w:szCs w:val="24"/>
        </w:rPr>
        <w:t>LLU</w:t>
      </w:r>
      <w:r w:rsidR="00357272" w:rsidRPr="005028E4">
        <w:rPr>
          <w:sz w:val="24"/>
          <w:szCs w:val="24"/>
        </w:rPr>
        <w:t xml:space="preserve"> ili FA PON usluga</w:t>
      </w:r>
    </w:p>
    <w:p w:rsidR="00C00568" w:rsidRPr="005028E4" w:rsidRDefault="00C00568" w:rsidP="00C00568">
      <w:pPr>
        <w:pStyle w:val="ListParagraph"/>
        <w:jc w:val="both"/>
        <w:rPr>
          <w:sz w:val="24"/>
          <w:szCs w:val="24"/>
        </w:rPr>
      </w:pPr>
    </w:p>
    <w:p w:rsidR="00E61AFB" w:rsidRPr="005028E4" w:rsidRDefault="00E61AFB" w:rsidP="00E61AFB">
      <w:pPr>
        <w:pStyle w:val="Heading2"/>
        <w:rPr>
          <w:sz w:val="24"/>
          <w:szCs w:val="24"/>
        </w:rPr>
      </w:pPr>
      <w:bookmarkStart w:id="712" w:name="_Toc53941997"/>
      <w:bookmarkStart w:id="713" w:name="_Toc54250968"/>
      <w:bookmarkStart w:id="714" w:name="_Toc54252866"/>
      <w:bookmarkStart w:id="715" w:name="_Toc54261678"/>
      <w:r w:rsidRPr="005028E4">
        <w:t>Struktura cijena na tržištu M3a</w:t>
      </w:r>
      <w:bookmarkEnd w:id="712"/>
      <w:bookmarkEnd w:id="713"/>
      <w:bookmarkEnd w:id="714"/>
      <w:bookmarkEnd w:id="715"/>
    </w:p>
    <w:p w:rsidR="00E7456D" w:rsidRPr="005028E4" w:rsidRDefault="00E7456D" w:rsidP="00E7456D">
      <w:pPr>
        <w:jc w:val="both"/>
        <w:rPr>
          <w:sz w:val="24"/>
          <w:szCs w:val="24"/>
        </w:rPr>
      </w:pPr>
      <w:r w:rsidRPr="005028E4">
        <w:rPr>
          <w:sz w:val="24"/>
          <w:szCs w:val="24"/>
        </w:rPr>
        <w:t>Na samom početku postupka određivanja veleprodajnih cijena, HAKOM je porukom elektroničke pošte od 4. rujna 2020. uputio poziv svim operatorima koji su do tada aktivno sudjelovali u aktivnostima vezano uz projekt da dostave svoje mišljenje o strukturi veleprodajnih cijena na tržištima M3a, M3b i M4 &amp; exM14. Pozivom je od operatora zatraženo da se izjasne da li je postojeću strukturu veleprodajnih cijena potrebno mijenjati te ako smatraju da je potrebno, da svoj stav detaljno obrazlože i predlože drugačiju strukturu cijena. Dok su se operatori uglavnom očitovali o potrebi izmjene strukture cijena na tržištu M3b, takav stav za</w:t>
      </w:r>
      <w:r w:rsidR="00B35A4E" w:rsidRPr="005028E4">
        <w:rPr>
          <w:sz w:val="24"/>
          <w:szCs w:val="24"/>
        </w:rPr>
        <w:t xml:space="preserve"> usluge na tržištu</w:t>
      </w:r>
      <w:r w:rsidRPr="005028E4">
        <w:rPr>
          <w:sz w:val="24"/>
          <w:szCs w:val="24"/>
        </w:rPr>
        <w:t xml:space="preserve"> M3a nije iskazao niti jedan operator.</w:t>
      </w:r>
    </w:p>
    <w:p w:rsidR="00C00568" w:rsidRPr="005028E4" w:rsidRDefault="00E7456D" w:rsidP="00E7456D">
      <w:pPr>
        <w:jc w:val="both"/>
        <w:rPr>
          <w:sz w:val="24"/>
          <w:szCs w:val="24"/>
        </w:rPr>
      </w:pPr>
      <w:r w:rsidRPr="005028E4">
        <w:rPr>
          <w:sz w:val="24"/>
          <w:szCs w:val="24"/>
        </w:rPr>
        <w:t>HAKOM, uzimajući u obzir i činjenicu da niti operatori ne traže izmjenu postojećih struktura cijena na tržištu M3a, također smatra da se postojeća struktura cijena na tržištu M3a može zadržati.</w:t>
      </w:r>
      <w:r w:rsidR="00921EAE" w:rsidRPr="005028E4">
        <w:rPr>
          <w:sz w:val="24"/>
          <w:szCs w:val="24"/>
        </w:rPr>
        <w:t xml:space="preserve"> Dakle, struktura cijena veleprodajnih usluga na tržištu M3a je takva da se cijena izražava u HRK/mjesečno</w:t>
      </w:r>
      <w:r w:rsidR="00FF7D18" w:rsidRPr="005028E4">
        <w:rPr>
          <w:sz w:val="24"/>
          <w:szCs w:val="24"/>
        </w:rPr>
        <w:t>/liniji</w:t>
      </w:r>
      <w:r w:rsidR="00921EAE" w:rsidRPr="005028E4">
        <w:rPr>
          <w:sz w:val="24"/>
          <w:szCs w:val="24"/>
        </w:rPr>
        <w:t xml:space="preserve">, a </w:t>
      </w:r>
      <w:r w:rsidR="00972917" w:rsidRPr="005028E4">
        <w:rPr>
          <w:sz w:val="24"/>
          <w:szCs w:val="24"/>
        </w:rPr>
        <w:t>određuje se na temelju jediničnih</w:t>
      </w:r>
      <w:r w:rsidR="00921EAE" w:rsidRPr="005028E4">
        <w:rPr>
          <w:sz w:val="24"/>
          <w:szCs w:val="24"/>
        </w:rPr>
        <w:t xml:space="preserve"> trošk</w:t>
      </w:r>
      <w:r w:rsidR="00972917" w:rsidRPr="005028E4">
        <w:rPr>
          <w:sz w:val="24"/>
          <w:szCs w:val="24"/>
        </w:rPr>
        <w:t>ova</w:t>
      </w:r>
      <w:r w:rsidR="00921EAE" w:rsidRPr="005028E4">
        <w:rPr>
          <w:sz w:val="24"/>
          <w:szCs w:val="24"/>
        </w:rPr>
        <w:t xml:space="preserve"> kako </w:t>
      </w:r>
      <w:r w:rsidR="00B7757F" w:rsidRPr="005028E4">
        <w:rPr>
          <w:sz w:val="24"/>
          <w:szCs w:val="24"/>
        </w:rPr>
        <w:t>su</w:t>
      </w:r>
      <w:r w:rsidR="00921EAE" w:rsidRPr="005028E4">
        <w:rPr>
          <w:sz w:val="24"/>
          <w:szCs w:val="24"/>
        </w:rPr>
        <w:t xml:space="preserve"> izračunat</w:t>
      </w:r>
      <w:r w:rsidR="00B7757F" w:rsidRPr="005028E4">
        <w:rPr>
          <w:sz w:val="24"/>
          <w:szCs w:val="24"/>
        </w:rPr>
        <w:t>i</w:t>
      </w:r>
      <w:r w:rsidR="00921EAE" w:rsidRPr="005028E4">
        <w:rPr>
          <w:sz w:val="24"/>
          <w:szCs w:val="24"/>
        </w:rPr>
        <w:t xml:space="preserve"> u Troškovnom modelu (vidi poglavlje </w:t>
      </w:r>
      <w:r w:rsidR="00921EAE" w:rsidRPr="005028E4">
        <w:rPr>
          <w:sz w:val="24"/>
          <w:szCs w:val="24"/>
        </w:rPr>
        <w:fldChar w:fldCharType="begin"/>
      </w:r>
      <w:r w:rsidR="00921EAE" w:rsidRPr="005028E4">
        <w:rPr>
          <w:sz w:val="24"/>
          <w:szCs w:val="24"/>
        </w:rPr>
        <w:instrText xml:space="preserve"> REF _Ref52289937 \r \h </w:instrText>
      </w:r>
      <w:r w:rsidR="00433C48" w:rsidRPr="005028E4">
        <w:rPr>
          <w:sz w:val="24"/>
          <w:szCs w:val="24"/>
        </w:rPr>
        <w:instrText xml:space="preserve"> \* MERGEFORMAT </w:instrText>
      </w:r>
      <w:r w:rsidR="00921EAE" w:rsidRPr="005028E4">
        <w:rPr>
          <w:sz w:val="24"/>
          <w:szCs w:val="24"/>
        </w:rPr>
      </w:r>
      <w:r w:rsidR="00921EAE" w:rsidRPr="005028E4">
        <w:rPr>
          <w:sz w:val="24"/>
          <w:szCs w:val="24"/>
        </w:rPr>
        <w:fldChar w:fldCharType="separate"/>
      </w:r>
      <w:r w:rsidR="00B047B3">
        <w:rPr>
          <w:sz w:val="24"/>
          <w:szCs w:val="24"/>
        </w:rPr>
        <w:t>4.9.3</w:t>
      </w:r>
      <w:r w:rsidR="00921EAE" w:rsidRPr="005028E4">
        <w:rPr>
          <w:sz w:val="24"/>
          <w:szCs w:val="24"/>
        </w:rPr>
        <w:fldChar w:fldCharType="end"/>
      </w:r>
      <w:r w:rsidR="00921EAE" w:rsidRPr="005028E4">
        <w:rPr>
          <w:sz w:val="24"/>
          <w:szCs w:val="24"/>
        </w:rPr>
        <w:t>).</w:t>
      </w:r>
    </w:p>
    <w:p w:rsidR="00C00568" w:rsidRPr="005028E4" w:rsidRDefault="00C00568" w:rsidP="00E7456D">
      <w:pPr>
        <w:jc w:val="both"/>
        <w:rPr>
          <w:sz w:val="24"/>
          <w:szCs w:val="24"/>
        </w:rPr>
      </w:pPr>
    </w:p>
    <w:p w:rsidR="00061AD3" w:rsidRPr="005028E4" w:rsidRDefault="00B974EE" w:rsidP="00061AD3">
      <w:pPr>
        <w:pStyle w:val="Heading2"/>
      </w:pPr>
      <w:bookmarkStart w:id="716" w:name="_Ref53063530"/>
      <w:bookmarkStart w:id="717" w:name="_Toc53941998"/>
      <w:bookmarkStart w:id="718" w:name="_Toc54250969"/>
      <w:bookmarkStart w:id="719" w:name="_Toc54252867"/>
      <w:bookmarkStart w:id="720" w:name="_Toc54261679"/>
      <w:r w:rsidRPr="005028E4">
        <w:t>Razdoblje</w:t>
      </w:r>
      <w:r w:rsidR="00061AD3" w:rsidRPr="005028E4">
        <w:t xml:space="preserve"> kontrole cijena</w:t>
      </w:r>
      <w:bookmarkEnd w:id="716"/>
      <w:bookmarkEnd w:id="717"/>
      <w:bookmarkEnd w:id="718"/>
      <w:bookmarkEnd w:id="719"/>
      <w:bookmarkEnd w:id="720"/>
    </w:p>
    <w:p w:rsidR="00061AD3" w:rsidRPr="005028E4" w:rsidRDefault="00061AD3" w:rsidP="00061AD3">
      <w:pPr>
        <w:jc w:val="both"/>
        <w:rPr>
          <w:sz w:val="24"/>
          <w:szCs w:val="24"/>
        </w:rPr>
      </w:pPr>
      <w:r w:rsidRPr="005028E4">
        <w:rPr>
          <w:sz w:val="24"/>
          <w:szCs w:val="24"/>
        </w:rPr>
        <w:t xml:space="preserve">HAKOM u ovom poglavlju razmatra različite opcije povezane s načinom određivanja cijena na tržištu M3a u smislu da li odrediti jedinstvenu cijenu koja će vrijediti za </w:t>
      </w:r>
      <w:r w:rsidR="00B974EE" w:rsidRPr="005028E4">
        <w:rPr>
          <w:sz w:val="24"/>
          <w:szCs w:val="24"/>
        </w:rPr>
        <w:t>određeno razdoblje</w:t>
      </w:r>
      <w:r w:rsidRPr="005028E4">
        <w:rPr>
          <w:sz w:val="24"/>
          <w:szCs w:val="24"/>
        </w:rPr>
        <w:t xml:space="preserve"> ili za svaku godinu unutar određenog perioda odrediti posebnu cijenu. HAKOM je identificirao tri različite opcije:</w:t>
      </w:r>
    </w:p>
    <w:p w:rsidR="00061AD3" w:rsidRPr="005028E4" w:rsidRDefault="00061AD3" w:rsidP="00061AD3">
      <w:pPr>
        <w:pStyle w:val="ListParagraph"/>
        <w:numPr>
          <w:ilvl w:val="0"/>
          <w:numId w:val="41"/>
        </w:numPr>
        <w:jc w:val="both"/>
        <w:rPr>
          <w:b/>
          <w:sz w:val="24"/>
          <w:szCs w:val="24"/>
        </w:rPr>
      </w:pPr>
      <w:r w:rsidRPr="005028E4">
        <w:rPr>
          <w:b/>
          <w:sz w:val="24"/>
          <w:szCs w:val="24"/>
        </w:rPr>
        <w:t xml:space="preserve">Opcija 1 – </w:t>
      </w:r>
      <w:r w:rsidRPr="005028E4">
        <w:rPr>
          <w:sz w:val="24"/>
          <w:szCs w:val="24"/>
        </w:rPr>
        <w:t>Cijena usluge se određuje na temelju rezultata Troškovnog modela kao prosjek troška usluge za godine 2021, 2022 i 2023 iz gornje tablice. Tako određena cijena vrijedi tri godine od</w:t>
      </w:r>
      <w:r w:rsidR="00E61AFB" w:rsidRPr="005028E4">
        <w:rPr>
          <w:sz w:val="24"/>
          <w:szCs w:val="24"/>
        </w:rPr>
        <w:t xml:space="preserve"> dana </w:t>
      </w:r>
      <w:r w:rsidRPr="005028E4">
        <w:rPr>
          <w:sz w:val="24"/>
          <w:szCs w:val="24"/>
        </w:rPr>
        <w:t>stupanja na snagu.</w:t>
      </w:r>
    </w:p>
    <w:p w:rsidR="00061AD3" w:rsidRPr="005028E4" w:rsidRDefault="00061AD3" w:rsidP="00061AD3">
      <w:pPr>
        <w:pStyle w:val="ListParagraph"/>
        <w:numPr>
          <w:ilvl w:val="0"/>
          <w:numId w:val="41"/>
        </w:numPr>
        <w:jc w:val="both"/>
        <w:rPr>
          <w:b/>
          <w:sz w:val="24"/>
          <w:szCs w:val="24"/>
        </w:rPr>
      </w:pPr>
      <w:r w:rsidRPr="005028E4">
        <w:rPr>
          <w:b/>
          <w:sz w:val="24"/>
          <w:szCs w:val="24"/>
        </w:rPr>
        <w:t xml:space="preserve">Opcija 2 – </w:t>
      </w:r>
      <w:r w:rsidRPr="005028E4">
        <w:rPr>
          <w:sz w:val="24"/>
          <w:szCs w:val="24"/>
        </w:rPr>
        <w:t>Cijena usluge se određuje na temelju rezultata Troškovno</w:t>
      </w:r>
      <w:r w:rsidR="00E61AFB" w:rsidRPr="005028E4">
        <w:rPr>
          <w:sz w:val="24"/>
          <w:szCs w:val="24"/>
        </w:rPr>
        <w:t xml:space="preserve">g modela kao prosjek troška </w:t>
      </w:r>
      <w:r w:rsidRPr="005028E4">
        <w:rPr>
          <w:sz w:val="24"/>
          <w:szCs w:val="24"/>
        </w:rPr>
        <w:t>usluge za godine 2021, 2022, 2023, 2024 i 2025. Tako određena cijena vrijedi pet godina</w:t>
      </w:r>
      <w:r w:rsidR="00E61AFB" w:rsidRPr="005028E4">
        <w:rPr>
          <w:sz w:val="24"/>
          <w:szCs w:val="24"/>
        </w:rPr>
        <w:t xml:space="preserve"> od dana stupanja na snagu</w:t>
      </w:r>
      <w:r w:rsidRPr="005028E4">
        <w:rPr>
          <w:sz w:val="24"/>
          <w:szCs w:val="24"/>
        </w:rPr>
        <w:t>.</w:t>
      </w:r>
    </w:p>
    <w:p w:rsidR="00061AD3" w:rsidRPr="005028E4" w:rsidRDefault="00061AD3" w:rsidP="00C03C68">
      <w:pPr>
        <w:jc w:val="both"/>
        <w:rPr>
          <w:sz w:val="24"/>
          <w:szCs w:val="24"/>
        </w:rPr>
      </w:pPr>
      <w:r w:rsidRPr="005028E4">
        <w:rPr>
          <w:b/>
          <w:sz w:val="24"/>
          <w:szCs w:val="24"/>
        </w:rPr>
        <w:t xml:space="preserve">Opcija 3 – </w:t>
      </w:r>
      <w:r w:rsidR="00E61AFB" w:rsidRPr="005028E4">
        <w:rPr>
          <w:sz w:val="24"/>
          <w:szCs w:val="24"/>
        </w:rPr>
        <w:t>Cijena</w:t>
      </w:r>
      <w:r w:rsidRPr="005028E4">
        <w:rPr>
          <w:sz w:val="24"/>
          <w:szCs w:val="24"/>
        </w:rPr>
        <w:t xml:space="preserve"> usluge se određuje na temelju Troš</w:t>
      </w:r>
      <w:r w:rsidR="00E61AFB" w:rsidRPr="005028E4">
        <w:rPr>
          <w:sz w:val="24"/>
          <w:szCs w:val="24"/>
        </w:rPr>
        <w:t>kovnog modela na način da je</w:t>
      </w:r>
      <w:r w:rsidRPr="005028E4">
        <w:rPr>
          <w:sz w:val="24"/>
          <w:szCs w:val="24"/>
        </w:rPr>
        <w:t xml:space="preserve"> cijena za </w:t>
      </w:r>
      <w:r w:rsidR="00E61AFB" w:rsidRPr="005028E4">
        <w:rPr>
          <w:sz w:val="24"/>
          <w:szCs w:val="24"/>
        </w:rPr>
        <w:t xml:space="preserve">svaku godinu jednaka trošku </w:t>
      </w:r>
      <w:r w:rsidRPr="005028E4">
        <w:rPr>
          <w:sz w:val="24"/>
          <w:szCs w:val="24"/>
        </w:rPr>
        <w:t>usluge. Tako određene</w:t>
      </w:r>
      <w:r w:rsidR="00E61AFB" w:rsidRPr="005028E4">
        <w:rPr>
          <w:sz w:val="24"/>
          <w:szCs w:val="24"/>
        </w:rPr>
        <w:t xml:space="preserve"> cijene vrijede </w:t>
      </w:r>
      <w:r w:rsidRPr="005028E4">
        <w:rPr>
          <w:sz w:val="24"/>
          <w:szCs w:val="24"/>
        </w:rPr>
        <w:t xml:space="preserve">tri godine </w:t>
      </w:r>
      <w:r w:rsidR="00E61AFB" w:rsidRPr="005028E4">
        <w:rPr>
          <w:sz w:val="24"/>
          <w:szCs w:val="24"/>
        </w:rPr>
        <w:t>od dana stupanja na snagu</w:t>
      </w:r>
      <w:r w:rsidRPr="005028E4">
        <w:rPr>
          <w:sz w:val="24"/>
          <w:szCs w:val="24"/>
        </w:rPr>
        <w:t>.</w:t>
      </w:r>
    </w:p>
    <w:p w:rsidR="00E61AFB" w:rsidRPr="005028E4" w:rsidRDefault="00E61AFB" w:rsidP="00E61AFB">
      <w:pPr>
        <w:jc w:val="both"/>
        <w:rPr>
          <w:sz w:val="24"/>
          <w:szCs w:val="24"/>
        </w:rPr>
      </w:pPr>
      <w:r w:rsidRPr="005028E4">
        <w:rPr>
          <w:sz w:val="24"/>
          <w:szCs w:val="24"/>
        </w:rPr>
        <w:t>Ne razrađujući detaljno prednosti i nedostatke gornjih opcija, zbog jednostavnosti primjene</w:t>
      </w:r>
      <w:r w:rsidR="00C03C68" w:rsidRPr="005028E4">
        <w:rPr>
          <w:sz w:val="24"/>
          <w:szCs w:val="24"/>
        </w:rPr>
        <w:t>,</w:t>
      </w:r>
      <w:r w:rsidRPr="005028E4">
        <w:rPr>
          <w:sz w:val="24"/>
          <w:szCs w:val="24"/>
        </w:rPr>
        <w:t xml:space="preserve"> </w:t>
      </w:r>
      <w:r w:rsidR="00C03C68" w:rsidRPr="005028E4">
        <w:rPr>
          <w:sz w:val="24"/>
          <w:szCs w:val="24"/>
        </w:rPr>
        <w:t>HAKOM</w:t>
      </w:r>
      <w:r w:rsidRPr="005028E4">
        <w:rPr>
          <w:sz w:val="24"/>
          <w:szCs w:val="24"/>
        </w:rPr>
        <w:t xml:space="preserve"> daje prednost Opciji 1. Naime, sve tri opcije osiguravaju regulatornu predvidljivost, budući da su unaprijed određene. Glavni nedostatak Opcije 2, zbog koje HAKOM daje prednost odabiru Opcije 1 predstavlja ipak možda </w:t>
      </w:r>
      <w:r w:rsidR="00B974EE" w:rsidRPr="005028E4">
        <w:rPr>
          <w:sz w:val="24"/>
          <w:szCs w:val="24"/>
        </w:rPr>
        <w:t>predugačko razdoblje</w:t>
      </w:r>
      <w:r w:rsidRPr="005028E4">
        <w:rPr>
          <w:sz w:val="24"/>
          <w:szCs w:val="24"/>
        </w:rPr>
        <w:t xml:space="preserve"> njezinog važenja. S druge strane Opcija 3, koja najtočnije održava stvarni trošak </w:t>
      </w:r>
      <w:r w:rsidR="007E3C26" w:rsidRPr="005028E4">
        <w:rPr>
          <w:sz w:val="24"/>
          <w:szCs w:val="24"/>
        </w:rPr>
        <w:t>LLU</w:t>
      </w:r>
      <w:r w:rsidRPr="005028E4">
        <w:rPr>
          <w:sz w:val="24"/>
          <w:szCs w:val="24"/>
        </w:rPr>
        <w:t xml:space="preserve"> usluge kroz godine, zbog kompleksnije primjene gubi prednost u odnosu na Opciju 1. Naime, ta opcija pretpostavlja određene radnje koje HT i ostali operatori trebaju poduzimati (poput izmjene Standardne ponude, izmjena maloprodajnih cijena i cjenika itd.), što bi stvaralo nerazmjerno visoke troškove primjene te opcije u odnosu na koristi.</w:t>
      </w:r>
    </w:p>
    <w:p w:rsidR="00C00568" w:rsidRPr="005028E4" w:rsidRDefault="00C00568" w:rsidP="00E61AFB">
      <w:pPr>
        <w:jc w:val="both"/>
        <w:rPr>
          <w:sz w:val="24"/>
          <w:szCs w:val="24"/>
        </w:rPr>
      </w:pPr>
    </w:p>
    <w:p w:rsidR="00D0690C" w:rsidRPr="005028E4" w:rsidRDefault="000B7347" w:rsidP="009F21BC">
      <w:pPr>
        <w:pStyle w:val="Heading2"/>
      </w:pPr>
      <w:bookmarkStart w:id="721" w:name="_Toc53063942"/>
      <w:bookmarkStart w:id="722" w:name="_Toc51676932"/>
      <w:bookmarkStart w:id="723" w:name="_Toc53941999"/>
      <w:bookmarkStart w:id="724" w:name="_Toc54250970"/>
      <w:bookmarkStart w:id="725" w:name="_Toc54252868"/>
      <w:bookmarkStart w:id="726" w:name="_Toc54261680"/>
      <w:bookmarkEnd w:id="721"/>
      <w:r w:rsidRPr="005028E4">
        <w:t xml:space="preserve">Određivanje </w:t>
      </w:r>
      <w:bookmarkEnd w:id="722"/>
      <w:r w:rsidR="003A5470" w:rsidRPr="005028E4">
        <w:t xml:space="preserve">cijene </w:t>
      </w:r>
      <w:r w:rsidR="00797B8D" w:rsidRPr="005028E4">
        <w:t>usluge</w:t>
      </w:r>
      <w:r w:rsidR="003A5470" w:rsidRPr="005028E4">
        <w:t xml:space="preserve"> izdvojenog pristupa lokalnoj petlji na temelju bakrene parice (</w:t>
      </w:r>
      <w:r w:rsidR="007E3C26" w:rsidRPr="005028E4">
        <w:t>LLU</w:t>
      </w:r>
      <w:r w:rsidR="003A5470" w:rsidRPr="005028E4">
        <w:t>)</w:t>
      </w:r>
      <w:bookmarkEnd w:id="723"/>
      <w:bookmarkEnd w:id="724"/>
      <w:bookmarkEnd w:id="725"/>
      <w:bookmarkEnd w:id="726"/>
    </w:p>
    <w:p w:rsidR="00E861AB" w:rsidRPr="005028E4" w:rsidRDefault="00E861AB" w:rsidP="00E861AB">
      <w:pPr>
        <w:jc w:val="both"/>
        <w:rPr>
          <w:sz w:val="24"/>
          <w:szCs w:val="24"/>
        </w:rPr>
      </w:pPr>
      <w:r w:rsidRPr="005028E4">
        <w:rPr>
          <w:sz w:val="24"/>
          <w:szCs w:val="24"/>
        </w:rPr>
        <w:t xml:space="preserve">Kao što je u poglavlju </w:t>
      </w:r>
      <w:r w:rsidRPr="005028E4">
        <w:rPr>
          <w:sz w:val="24"/>
          <w:szCs w:val="24"/>
        </w:rPr>
        <w:fldChar w:fldCharType="begin"/>
      </w:r>
      <w:r w:rsidRPr="005028E4">
        <w:rPr>
          <w:sz w:val="24"/>
          <w:szCs w:val="24"/>
        </w:rPr>
        <w:instrText xml:space="preserve"> REF _Ref52282354 \r \h </w:instrText>
      </w:r>
      <w:r w:rsidR="00C03C68" w:rsidRPr="005028E4">
        <w:rPr>
          <w:sz w:val="24"/>
          <w:szCs w:val="24"/>
        </w:rPr>
        <w:instrText xml:space="preserve"> \* MERGEFORMAT </w:instrText>
      </w:r>
      <w:r w:rsidRPr="005028E4">
        <w:rPr>
          <w:sz w:val="24"/>
          <w:szCs w:val="24"/>
        </w:rPr>
      </w:r>
      <w:r w:rsidRPr="005028E4">
        <w:rPr>
          <w:sz w:val="24"/>
          <w:szCs w:val="24"/>
        </w:rPr>
        <w:fldChar w:fldCharType="separate"/>
      </w:r>
      <w:r w:rsidR="00B047B3">
        <w:rPr>
          <w:sz w:val="24"/>
          <w:szCs w:val="24"/>
        </w:rPr>
        <w:t>2.1</w:t>
      </w:r>
      <w:r w:rsidRPr="005028E4">
        <w:rPr>
          <w:sz w:val="24"/>
          <w:szCs w:val="24"/>
        </w:rPr>
        <w:fldChar w:fldCharType="end"/>
      </w:r>
      <w:r w:rsidRPr="005028E4">
        <w:rPr>
          <w:sz w:val="24"/>
          <w:szCs w:val="24"/>
        </w:rPr>
        <w:t xml:space="preserve">, već rečeno, HAKOM je Odlukom iz svibnja 2016. definirao najvišu razinu mjesečne naknade za uslugu potpuno izdvojenog pristupa lokalnoj petlji na temelju bakrene parice, koja je određena temeljem rezultata BU-LRAIC+ troškovnog modela koji je izrađen 2012. i ažuriran 2016. </w:t>
      </w:r>
    </w:p>
    <w:p w:rsidR="00E861AB" w:rsidRPr="005028E4" w:rsidRDefault="00797B8D" w:rsidP="00E861AB">
      <w:pPr>
        <w:jc w:val="both"/>
        <w:rPr>
          <w:sz w:val="24"/>
          <w:szCs w:val="24"/>
        </w:rPr>
      </w:pPr>
      <w:r w:rsidRPr="005028E4">
        <w:rPr>
          <w:sz w:val="24"/>
          <w:szCs w:val="24"/>
        </w:rPr>
        <w:t>HAKOM je pri tom, s</w:t>
      </w:r>
      <w:r w:rsidR="00E861AB" w:rsidRPr="005028E4">
        <w:rPr>
          <w:sz w:val="24"/>
          <w:szCs w:val="24"/>
        </w:rPr>
        <w:t xml:space="preserve"> obzirom </w:t>
      </w:r>
      <w:r w:rsidRPr="005028E4">
        <w:rPr>
          <w:sz w:val="24"/>
          <w:szCs w:val="24"/>
        </w:rPr>
        <w:t>na postojanje područja na</w:t>
      </w:r>
      <w:r w:rsidR="00E861AB" w:rsidRPr="005028E4">
        <w:rPr>
          <w:sz w:val="24"/>
          <w:szCs w:val="24"/>
        </w:rPr>
        <w:t xml:space="preserve"> kojima nije moguće ili nije ekonomski opravdano izdvajati lokalnu petlju,</w:t>
      </w:r>
      <w:r w:rsidRPr="005028E4">
        <w:rPr>
          <w:sz w:val="24"/>
          <w:szCs w:val="24"/>
        </w:rPr>
        <w:t xml:space="preserve"> </w:t>
      </w:r>
      <w:r w:rsidR="00E861AB" w:rsidRPr="005028E4">
        <w:rPr>
          <w:sz w:val="24"/>
          <w:szCs w:val="24"/>
        </w:rPr>
        <w:t>smatrao opravdanim pri određivanju mjesečne naknade za LLU uslugu uključiti samo one troškove koji se odnose na područja na kojima se navedena usluga danas koristi ili će se u narednim godinama koristiti. Stoga je HAKOM posebno izračunao troškove za sva područja na kojima su danas izdvojene lokalne petlje te za područja na kojima do sada niti jedan operator nije izdvojio lokalnu petlju, pri čemu je pri izračunu prosječnog troška primijenjen omjer 97,5%:2,5% u korist MDF područja na kojima se LLU usluga danas koristi.</w:t>
      </w:r>
    </w:p>
    <w:p w:rsidR="00E725EC" w:rsidRPr="005028E4" w:rsidRDefault="000F2C5D" w:rsidP="00E861AB">
      <w:pPr>
        <w:jc w:val="both"/>
        <w:rPr>
          <w:sz w:val="24"/>
          <w:szCs w:val="24"/>
        </w:rPr>
      </w:pPr>
      <w:r w:rsidRPr="005028E4">
        <w:rPr>
          <w:sz w:val="24"/>
          <w:szCs w:val="24"/>
        </w:rPr>
        <w:t>HAKOM je novu</w:t>
      </w:r>
      <w:r w:rsidR="00E725EC" w:rsidRPr="005028E4">
        <w:rPr>
          <w:sz w:val="24"/>
          <w:szCs w:val="24"/>
        </w:rPr>
        <w:t xml:space="preserve"> veleprodajn</w:t>
      </w:r>
      <w:r w:rsidRPr="005028E4">
        <w:rPr>
          <w:sz w:val="24"/>
          <w:szCs w:val="24"/>
        </w:rPr>
        <w:t>u cijenu</w:t>
      </w:r>
      <w:r w:rsidR="00E725EC" w:rsidRPr="005028E4">
        <w:rPr>
          <w:sz w:val="24"/>
          <w:szCs w:val="24"/>
        </w:rPr>
        <w:t xml:space="preserve"> za </w:t>
      </w:r>
      <w:r w:rsidR="007E3C26" w:rsidRPr="005028E4">
        <w:rPr>
          <w:sz w:val="24"/>
          <w:szCs w:val="24"/>
        </w:rPr>
        <w:t>LLU</w:t>
      </w:r>
      <w:r w:rsidR="00E725EC" w:rsidRPr="005028E4">
        <w:rPr>
          <w:sz w:val="24"/>
          <w:szCs w:val="24"/>
        </w:rPr>
        <w:t xml:space="preserve"> uslugu odredio na temelju rezultata Troškovnog modela. Sama metodologija i način izračuna troškova u Troškovnom modelu su detaljno opisani u prethodnim poglavljima i u ovom poglavlju neće biti ponavljano.</w:t>
      </w:r>
    </w:p>
    <w:p w:rsidR="000B7347" w:rsidRPr="005028E4" w:rsidRDefault="000B7347" w:rsidP="009F21BC">
      <w:pPr>
        <w:pStyle w:val="Heading3"/>
      </w:pPr>
      <w:bookmarkStart w:id="727" w:name="_Ref52515270"/>
      <w:bookmarkStart w:id="728" w:name="_Toc53942000"/>
      <w:bookmarkStart w:id="729" w:name="_Toc54250971"/>
      <w:bookmarkStart w:id="730" w:name="_Toc54252869"/>
      <w:bookmarkStart w:id="731" w:name="_Toc54261681"/>
      <w:r w:rsidRPr="005028E4">
        <w:t xml:space="preserve">Razmatrane opcije kod određivanja </w:t>
      </w:r>
      <w:r w:rsidR="00A91207" w:rsidRPr="005028E4">
        <w:t xml:space="preserve">cijene </w:t>
      </w:r>
      <w:r w:rsidR="007E3C26" w:rsidRPr="005028E4">
        <w:t>LLU</w:t>
      </w:r>
      <w:r w:rsidRPr="005028E4">
        <w:t xml:space="preserve"> </w:t>
      </w:r>
      <w:r w:rsidR="00A91207" w:rsidRPr="005028E4">
        <w:t>usluge</w:t>
      </w:r>
      <w:bookmarkEnd w:id="727"/>
      <w:bookmarkEnd w:id="728"/>
      <w:bookmarkEnd w:id="729"/>
      <w:bookmarkEnd w:id="730"/>
      <w:bookmarkEnd w:id="731"/>
    </w:p>
    <w:p w:rsidR="003F7B4B" w:rsidRPr="005028E4" w:rsidRDefault="00DE00F4" w:rsidP="005A772C">
      <w:pPr>
        <w:jc w:val="both"/>
        <w:rPr>
          <w:sz w:val="24"/>
          <w:szCs w:val="24"/>
        </w:rPr>
      </w:pPr>
      <w:r w:rsidRPr="005028E4">
        <w:rPr>
          <w:sz w:val="24"/>
          <w:szCs w:val="24"/>
        </w:rPr>
        <w:t>Budući da je</w:t>
      </w:r>
      <w:r w:rsidR="00DD6BEF" w:rsidRPr="005028E4">
        <w:rPr>
          <w:sz w:val="24"/>
          <w:szCs w:val="24"/>
        </w:rPr>
        <w:t xml:space="preserve"> tržište M3a analizom tržišta određeno kao nacionalno, </w:t>
      </w:r>
      <w:r w:rsidRPr="005028E4">
        <w:rPr>
          <w:sz w:val="24"/>
          <w:szCs w:val="24"/>
        </w:rPr>
        <w:t>HAKOM</w:t>
      </w:r>
      <w:r w:rsidR="00AE5E75" w:rsidRPr="005028E4">
        <w:rPr>
          <w:sz w:val="24"/>
          <w:szCs w:val="24"/>
        </w:rPr>
        <w:t xml:space="preserve"> će odrediti </w:t>
      </w:r>
      <w:r w:rsidRPr="005028E4">
        <w:rPr>
          <w:sz w:val="24"/>
          <w:szCs w:val="24"/>
        </w:rPr>
        <w:t xml:space="preserve">nacionalnu cijenu </w:t>
      </w:r>
      <w:r w:rsidR="007E3C26" w:rsidRPr="005028E4">
        <w:rPr>
          <w:sz w:val="24"/>
          <w:szCs w:val="24"/>
        </w:rPr>
        <w:t>LLU</w:t>
      </w:r>
      <w:r w:rsidRPr="005028E4">
        <w:rPr>
          <w:sz w:val="24"/>
          <w:szCs w:val="24"/>
        </w:rPr>
        <w:t xml:space="preserve"> usluge koja vrijedi na cijelom teritoriju Republike Hrvatske. Međutim, da bi se pravilno odredila cijena </w:t>
      </w:r>
      <w:r w:rsidR="007E3C26" w:rsidRPr="005028E4">
        <w:rPr>
          <w:sz w:val="24"/>
          <w:szCs w:val="24"/>
        </w:rPr>
        <w:t>LLU</w:t>
      </w:r>
      <w:r w:rsidRPr="005028E4">
        <w:rPr>
          <w:sz w:val="24"/>
          <w:szCs w:val="24"/>
        </w:rPr>
        <w:t xml:space="preserve"> usluge, potrebno je ipak razmotriti određene geografske razlike prilikom njezinog određivanja. Stoga je HAKOM već prije same izrade Troškovnog modela definirao dvije vrste geotipova s obzirom na korištenje </w:t>
      </w:r>
      <w:r w:rsidR="007E3C26" w:rsidRPr="005028E4">
        <w:rPr>
          <w:sz w:val="24"/>
          <w:szCs w:val="24"/>
        </w:rPr>
        <w:t>LLU</w:t>
      </w:r>
      <w:r w:rsidRPr="005028E4">
        <w:rPr>
          <w:sz w:val="24"/>
          <w:szCs w:val="24"/>
        </w:rPr>
        <w:t xml:space="preserve"> usluge (vidi poglavlje </w:t>
      </w:r>
      <w:r w:rsidRPr="005028E4">
        <w:rPr>
          <w:sz w:val="24"/>
          <w:szCs w:val="24"/>
        </w:rPr>
        <w:fldChar w:fldCharType="begin"/>
      </w:r>
      <w:r w:rsidRPr="005028E4">
        <w:rPr>
          <w:sz w:val="24"/>
          <w:szCs w:val="24"/>
        </w:rPr>
        <w:instrText xml:space="preserve"> REF _Ref52459830 \r \h </w:instrText>
      </w:r>
      <w:r w:rsidRPr="005028E4">
        <w:rPr>
          <w:sz w:val="24"/>
          <w:szCs w:val="24"/>
        </w:rPr>
      </w:r>
      <w:r w:rsidRPr="005028E4">
        <w:rPr>
          <w:sz w:val="24"/>
          <w:szCs w:val="24"/>
        </w:rPr>
        <w:fldChar w:fldCharType="separate"/>
      </w:r>
      <w:r w:rsidR="00B047B3">
        <w:rPr>
          <w:sz w:val="24"/>
          <w:szCs w:val="24"/>
        </w:rPr>
        <w:t>4.4.3</w:t>
      </w:r>
      <w:r w:rsidRPr="005028E4">
        <w:rPr>
          <w:sz w:val="24"/>
          <w:szCs w:val="24"/>
        </w:rPr>
        <w:fldChar w:fldCharType="end"/>
      </w:r>
      <w:r w:rsidRPr="005028E4">
        <w:rPr>
          <w:sz w:val="24"/>
          <w:szCs w:val="24"/>
        </w:rPr>
        <w:t xml:space="preserve">). U tom smislu HAKOM je kao i kod određivanja trenutne cijene </w:t>
      </w:r>
      <w:r w:rsidR="007E3C26" w:rsidRPr="005028E4">
        <w:rPr>
          <w:sz w:val="24"/>
          <w:szCs w:val="24"/>
        </w:rPr>
        <w:t>LLU</w:t>
      </w:r>
      <w:r w:rsidR="00AE5E75" w:rsidRPr="005028E4">
        <w:rPr>
          <w:sz w:val="24"/>
          <w:szCs w:val="24"/>
        </w:rPr>
        <w:t xml:space="preserve"> usluge, </w:t>
      </w:r>
      <w:r w:rsidRPr="005028E4">
        <w:rPr>
          <w:sz w:val="24"/>
          <w:szCs w:val="24"/>
        </w:rPr>
        <w:t xml:space="preserve">razmatrao </w:t>
      </w:r>
      <w:r w:rsidR="00AE5E75" w:rsidRPr="005028E4">
        <w:rPr>
          <w:sz w:val="24"/>
          <w:szCs w:val="24"/>
        </w:rPr>
        <w:t xml:space="preserve">da li u trošak pružanja </w:t>
      </w:r>
      <w:r w:rsidR="007E3C26" w:rsidRPr="005028E4">
        <w:rPr>
          <w:sz w:val="24"/>
          <w:szCs w:val="24"/>
        </w:rPr>
        <w:t>LLU</w:t>
      </w:r>
      <w:r w:rsidR="00AE5E75" w:rsidRPr="005028E4">
        <w:rPr>
          <w:sz w:val="24"/>
          <w:szCs w:val="24"/>
        </w:rPr>
        <w:t xml:space="preserve"> usluge uključiti i u kojoj mjeri i troškove područja pokrivanja MDF-ova gdje se </w:t>
      </w:r>
      <w:r w:rsidR="007E3C26" w:rsidRPr="005028E4">
        <w:rPr>
          <w:sz w:val="24"/>
          <w:szCs w:val="24"/>
        </w:rPr>
        <w:t>LLU</w:t>
      </w:r>
      <w:r w:rsidR="00AE5E75" w:rsidRPr="005028E4">
        <w:rPr>
          <w:sz w:val="24"/>
          <w:szCs w:val="24"/>
        </w:rPr>
        <w:t xml:space="preserve"> usluga trenutno ne koristi.</w:t>
      </w:r>
      <w:r w:rsidR="003F7B4B" w:rsidRPr="005028E4">
        <w:rPr>
          <w:sz w:val="24"/>
          <w:szCs w:val="24"/>
        </w:rPr>
        <w:t xml:space="preserve"> Uz to, HAKOM je razmatrao da li odrediti posebno cijenu za </w:t>
      </w:r>
      <w:r w:rsidR="007E3C26" w:rsidRPr="005028E4">
        <w:rPr>
          <w:sz w:val="24"/>
          <w:szCs w:val="24"/>
        </w:rPr>
        <w:t>LLU</w:t>
      </w:r>
      <w:r w:rsidR="003F7B4B" w:rsidRPr="005028E4">
        <w:rPr>
          <w:sz w:val="24"/>
          <w:szCs w:val="24"/>
        </w:rPr>
        <w:t xml:space="preserve"> uslugu, a posebno naknadu za </w:t>
      </w:r>
      <w:r w:rsidR="000A46AF" w:rsidRPr="005028E4">
        <w:rPr>
          <w:sz w:val="24"/>
          <w:szCs w:val="24"/>
        </w:rPr>
        <w:t>korištenje</w:t>
      </w:r>
      <w:r w:rsidR="003F7B4B" w:rsidRPr="005028E4">
        <w:rPr>
          <w:sz w:val="24"/>
          <w:szCs w:val="24"/>
        </w:rPr>
        <w:t xml:space="preserve"> bakren</w:t>
      </w:r>
      <w:r w:rsidR="000A46AF" w:rsidRPr="005028E4">
        <w:rPr>
          <w:sz w:val="24"/>
          <w:szCs w:val="24"/>
        </w:rPr>
        <w:t>e pristupne</w:t>
      </w:r>
      <w:r w:rsidR="003F7B4B" w:rsidRPr="005028E4">
        <w:rPr>
          <w:sz w:val="24"/>
          <w:szCs w:val="24"/>
        </w:rPr>
        <w:t xml:space="preserve"> mreži koja je dio cijene usluge</w:t>
      </w:r>
      <w:r w:rsidR="000A46AF" w:rsidRPr="005028E4">
        <w:rPr>
          <w:sz w:val="24"/>
          <w:szCs w:val="24"/>
        </w:rPr>
        <w:t xml:space="preserve"> bitstream pristupa</w:t>
      </w:r>
      <w:r w:rsidR="003F7B4B" w:rsidRPr="005028E4">
        <w:rPr>
          <w:sz w:val="24"/>
          <w:szCs w:val="24"/>
        </w:rPr>
        <w:t>. Naime, iako usluga</w:t>
      </w:r>
      <w:r w:rsidR="000A46AF" w:rsidRPr="005028E4">
        <w:rPr>
          <w:sz w:val="24"/>
          <w:szCs w:val="24"/>
        </w:rPr>
        <w:t xml:space="preserve"> bitstream pristupa</w:t>
      </w:r>
      <w:r w:rsidR="003F7B4B" w:rsidRPr="005028E4">
        <w:rPr>
          <w:sz w:val="24"/>
          <w:szCs w:val="24"/>
        </w:rPr>
        <w:t xml:space="preserve"> pripada tržištu M3b čije se cijene određuju u posebnom postupku, s obzirom da naknada za </w:t>
      </w:r>
      <w:r w:rsidR="000A46AF" w:rsidRPr="005028E4">
        <w:rPr>
          <w:sz w:val="24"/>
          <w:szCs w:val="24"/>
        </w:rPr>
        <w:t xml:space="preserve">korištenje bakrene pristupne mreže kao dio </w:t>
      </w:r>
      <w:r w:rsidR="00B6359E" w:rsidRPr="005028E4">
        <w:rPr>
          <w:sz w:val="24"/>
          <w:szCs w:val="24"/>
        </w:rPr>
        <w:t xml:space="preserve">cijene </w:t>
      </w:r>
      <w:r w:rsidR="000A46AF" w:rsidRPr="005028E4">
        <w:rPr>
          <w:sz w:val="24"/>
          <w:szCs w:val="24"/>
        </w:rPr>
        <w:t>usluge bitstream pristupa</w:t>
      </w:r>
      <w:r w:rsidR="003F7B4B" w:rsidRPr="005028E4">
        <w:rPr>
          <w:sz w:val="24"/>
          <w:szCs w:val="24"/>
        </w:rPr>
        <w:t xml:space="preserve"> i </w:t>
      </w:r>
      <w:r w:rsidR="007E3C26" w:rsidRPr="005028E4">
        <w:rPr>
          <w:sz w:val="24"/>
          <w:szCs w:val="24"/>
        </w:rPr>
        <w:t>LLU</w:t>
      </w:r>
      <w:r w:rsidR="003F7B4B" w:rsidRPr="005028E4">
        <w:rPr>
          <w:sz w:val="24"/>
          <w:szCs w:val="24"/>
        </w:rPr>
        <w:t xml:space="preserve"> usluga trebaju </w:t>
      </w:r>
      <w:r w:rsidR="00D84FC4" w:rsidRPr="005028E4">
        <w:rPr>
          <w:sz w:val="24"/>
          <w:szCs w:val="24"/>
        </w:rPr>
        <w:t>nadoknaditi</w:t>
      </w:r>
      <w:r w:rsidR="003F7B4B" w:rsidRPr="005028E4">
        <w:rPr>
          <w:sz w:val="24"/>
          <w:szCs w:val="24"/>
        </w:rPr>
        <w:t xml:space="preserve"> troškove istih mrežnih elemenata, potrebno je razmotriti i međusobni utjecaj te dvije usluge.</w:t>
      </w:r>
    </w:p>
    <w:p w:rsidR="005A772C" w:rsidRPr="005028E4" w:rsidRDefault="003F7B4B" w:rsidP="005A772C">
      <w:pPr>
        <w:jc w:val="both"/>
        <w:rPr>
          <w:sz w:val="24"/>
          <w:szCs w:val="24"/>
        </w:rPr>
      </w:pPr>
      <w:r w:rsidRPr="005028E4">
        <w:rPr>
          <w:sz w:val="24"/>
          <w:szCs w:val="24"/>
        </w:rPr>
        <w:t>Nastavno na navedeno</w:t>
      </w:r>
      <w:r w:rsidR="005A772C" w:rsidRPr="005028E4">
        <w:rPr>
          <w:sz w:val="24"/>
          <w:szCs w:val="24"/>
        </w:rPr>
        <w:t xml:space="preserve"> , HAKOM je razmatrao dvije opcije:</w:t>
      </w:r>
    </w:p>
    <w:p w:rsidR="005A772C" w:rsidRPr="005028E4" w:rsidRDefault="005A772C" w:rsidP="00CE6F90">
      <w:pPr>
        <w:pStyle w:val="ListParagraph"/>
        <w:numPr>
          <w:ilvl w:val="0"/>
          <w:numId w:val="37"/>
        </w:numPr>
        <w:jc w:val="both"/>
        <w:rPr>
          <w:b/>
        </w:rPr>
      </w:pPr>
      <w:r w:rsidRPr="005028E4">
        <w:rPr>
          <w:b/>
          <w:sz w:val="24"/>
          <w:szCs w:val="24"/>
        </w:rPr>
        <w:t xml:space="preserve">Opcija 1 – </w:t>
      </w:r>
      <w:r w:rsidRPr="005028E4">
        <w:rPr>
          <w:sz w:val="24"/>
          <w:szCs w:val="24"/>
        </w:rPr>
        <w:t xml:space="preserve">kod određivanja cijene </w:t>
      </w:r>
      <w:r w:rsidR="007E3C26" w:rsidRPr="005028E4">
        <w:rPr>
          <w:sz w:val="24"/>
          <w:szCs w:val="24"/>
        </w:rPr>
        <w:t>LLU</w:t>
      </w:r>
      <w:r w:rsidRPr="005028E4">
        <w:rPr>
          <w:sz w:val="24"/>
          <w:szCs w:val="24"/>
        </w:rPr>
        <w:t xml:space="preserve">-a na temelju rezultata Troškovnog modela primijeniti gore opisani isti pristup kao što je primijenjen i za određivanje trenutno važeće cijene </w:t>
      </w:r>
      <w:r w:rsidR="007E3C26" w:rsidRPr="005028E4">
        <w:rPr>
          <w:sz w:val="24"/>
          <w:szCs w:val="24"/>
        </w:rPr>
        <w:t>LLU</w:t>
      </w:r>
      <w:r w:rsidRPr="005028E4">
        <w:rPr>
          <w:sz w:val="24"/>
          <w:szCs w:val="24"/>
        </w:rPr>
        <w:t xml:space="preserve">-a. Dakle, za izračun prosječne veleprodajne cijene usluge </w:t>
      </w:r>
      <w:r w:rsidR="007E3C26" w:rsidRPr="005028E4">
        <w:rPr>
          <w:sz w:val="24"/>
          <w:szCs w:val="24"/>
        </w:rPr>
        <w:t>LLU</w:t>
      </w:r>
      <w:r w:rsidRPr="005028E4">
        <w:rPr>
          <w:sz w:val="24"/>
          <w:szCs w:val="24"/>
        </w:rPr>
        <w:t xml:space="preserve">-a </w:t>
      </w:r>
      <w:r w:rsidR="00D84FC4" w:rsidRPr="005028E4">
        <w:rPr>
          <w:sz w:val="24"/>
          <w:szCs w:val="24"/>
        </w:rPr>
        <w:t>primijenio</w:t>
      </w:r>
      <w:r w:rsidRPr="005028E4">
        <w:rPr>
          <w:sz w:val="24"/>
          <w:szCs w:val="24"/>
        </w:rPr>
        <w:t xml:space="preserve"> bi se omjer 97,5%:2,5% u korist područja pokrivanja MDF-ova na kojima se </w:t>
      </w:r>
      <w:r w:rsidR="007E3C26" w:rsidRPr="005028E4">
        <w:rPr>
          <w:sz w:val="24"/>
          <w:szCs w:val="24"/>
        </w:rPr>
        <w:t>LLU</w:t>
      </w:r>
      <w:r w:rsidRPr="005028E4">
        <w:rPr>
          <w:sz w:val="24"/>
          <w:szCs w:val="24"/>
        </w:rPr>
        <w:t xml:space="preserve"> usluga danas koristi. </w:t>
      </w:r>
      <w:r w:rsidR="003F7B4B" w:rsidRPr="005028E4">
        <w:rPr>
          <w:sz w:val="24"/>
          <w:szCs w:val="24"/>
        </w:rPr>
        <w:t xml:space="preserve">Tako dobivena cijena </w:t>
      </w:r>
      <w:r w:rsidR="007E3C26" w:rsidRPr="005028E4">
        <w:rPr>
          <w:sz w:val="24"/>
          <w:szCs w:val="24"/>
        </w:rPr>
        <w:t>LLU</w:t>
      </w:r>
      <w:r w:rsidR="003F7B4B" w:rsidRPr="005028E4">
        <w:rPr>
          <w:sz w:val="24"/>
          <w:szCs w:val="24"/>
        </w:rPr>
        <w:t xml:space="preserve"> usluge, umanjena za specifične veleprodajne troškove čini naknadu za </w:t>
      </w:r>
      <w:r w:rsidR="00B6359E" w:rsidRPr="005028E4">
        <w:rPr>
          <w:sz w:val="24"/>
          <w:szCs w:val="24"/>
        </w:rPr>
        <w:t>korištenje</w:t>
      </w:r>
      <w:r w:rsidR="003F7B4B" w:rsidRPr="005028E4">
        <w:rPr>
          <w:sz w:val="24"/>
          <w:szCs w:val="24"/>
        </w:rPr>
        <w:t xml:space="preserve"> bakren</w:t>
      </w:r>
      <w:r w:rsidR="00B6359E" w:rsidRPr="005028E4">
        <w:rPr>
          <w:sz w:val="24"/>
          <w:szCs w:val="24"/>
        </w:rPr>
        <w:t xml:space="preserve">e pristupne </w:t>
      </w:r>
      <w:r w:rsidR="003F7B4B" w:rsidRPr="005028E4">
        <w:rPr>
          <w:sz w:val="24"/>
          <w:szCs w:val="24"/>
        </w:rPr>
        <w:t>mrež</w:t>
      </w:r>
      <w:r w:rsidR="00B6359E" w:rsidRPr="005028E4">
        <w:rPr>
          <w:sz w:val="24"/>
          <w:szCs w:val="24"/>
        </w:rPr>
        <w:t>e kao dijela</w:t>
      </w:r>
      <w:r w:rsidR="003F7B4B" w:rsidRPr="005028E4">
        <w:rPr>
          <w:sz w:val="24"/>
          <w:szCs w:val="24"/>
        </w:rPr>
        <w:t xml:space="preserve"> </w:t>
      </w:r>
      <w:r w:rsidR="00B6359E" w:rsidRPr="005028E4">
        <w:rPr>
          <w:sz w:val="24"/>
          <w:szCs w:val="24"/>
        </w:rPr>
        <w:t xml:space="preserve">cijene </w:t>
      </w:r>
      <w:r w:rsidR="003F7B4B" w:rsidRPr="005028E4">
        <w:rPr>
          <w:sz w:val="24"/>
          <w:szCs w:val="24"/>
        </w:rPr>
        <w:t>usluge</w:t>
      </w:r>
      <w:r w:rsidR="00B6359E" w:rsidRPr="005028E4">
        <w:rPr>
          <w:sz w:val="24"/>
          <w:szCs w:val="24"/>
        </w:rPr>
        <w:t xml:space="preserve"> bitstream pristupa</w:t>
      </w:r>
      <w:r w:rsidR="003F7B4B" w:rsidRPr="005028E4">
        <w:rPr>
          <w:sz w:val="24"/>
          <w:szCs w:val="24"/>
        </w:rPr>
        <w:t xml:space="preserve"> putem bakrene mreže za brzine do 30 Mbit/s.</w:t>
      </w:r>
    </w:p>
    <w:p w:rsidR="005A772C" w:rsidRPr="005028E4" w:rsidRDefault="005A772C" w:rsidP="005A772C">
      <w:pPr>
        <w:pStyle w:val="ListParagraph"/>
        <w:jc w:val="both"/>
        <w:rPr>
          <w:b/>
        </w:rPr>
      </w:pPr>
    </w:p>
    <w:p w:rsidR="005263C7" w:rsidRPr="005028E4" w:rsidRDefault="005A772C" w:rsidP="003F7B4B">
      <w:pPr>
        <w:pStyle w:val="ListParagraph"/>
        <w:numPr>
          <w:ilvl w:val="0"/>
          <w:numId w:val="44"/>
        </w:numPr>
        <w:jc w:val="both"/>
        <w:rPr>
          <w:sz w:val="24"/>
          <w:szCs w:val="24"/>
        </w:rPr>
      </w:pPr>
      <w:r w:rsidRPr="005028E4">
        <w:rPr>
          <w:b/>
          <w:sz w:val="24"/>
          <w:szCs w:val="24"/>
        </w:rPr>
        <w:t>Opcija 2 –</w:t>
      </w:r>
      <w:r w:rsidRPr="005028E4">
        <w:t xml:space="preserve"> </w:t>
      </w:r>
      <w:r w:rsidR="005263C7" w:rsidRPr="005028E4">
        <w:rPr>
          <w:sz w:val="24"/>
          <w:szCs w:val="24"/>
        </w:rPr>
        <w:t xml:space="preserve">Određuje se jedinstvena cijena </w:t>
      </w:r>
      <w:r w:rsidR="007E3C26" w:rsidRPr="005028E4">
        <w:rPr>
          <w:sz w:val="24"/>
          <w:szCs w:val="24"/>
        </w:rPr>
        <w:t>LLU</w:t>
      </w:r>
      <w:r w:rsidR="005263C7" w:rsidRPr="005028E4">
        <w:rPr>
          <w:sz w:val="24"/>
          <w:szCs w:val="24"/>
        </w:rPr>
        <w:t xml:space="preserve"> usluge i naknade </w:t>
      </w:r>
      <w:r w:rsidR="004B4747" w:rsidRPr="005028E4">
        <w:rPr>
          <w:sz w:val="24"/>
          <w:szCs w:val="24"/>
        </w:rPr>
        <w:t xml:space="preserve">za korištenje </w:t>
      </w:r>
      <w:r w:rsidR="005263C7" w:rsidRPr="005028E4">
        <w:rPr>
          <w:sz w:val="24"/>
          <w:szCs w:val="24"/>
        </w:rPr>
        <w:t xml:space="preserve">bakrene pristupne mreže kao dio cijene usluge </w:t>
      </w:r>
      <w:r w:rsidR="00B6359E" w:rsidRPr="005028E4">
        <w:rPr>
          <w:sz w:val="24"/>
          <w:szCs w:val="24"/>
        </w:rPr>
        <w:t xml:space="preserve">bitstream pristupa </w:t>
      </w:r>
      <w:r w:rsidR="005263C7" w:rsidRPr="005028E4">
        <w:rPr>
          <w:sz w:val="24"/>
          <w:szCs w:val="24"/>
        </w:rPr>
        <w:t xml:space="preserve">putem bakrene pristupne mreže kada se DSLAM nalazi na staroj CO lokaciji  ili FTTN lokaciji. </w:t>
      </w:r>
    </w:p>
    <w:p w:rsidR="005263C7" w:rsidRPr="005028E4" w:rsidRDefault="005263C7" w:rsidP="005263C7">
      <w:pPr>
        <w:ind w:left="720"/>
        <w:contextualSpacing/>
        <w:jc w:val="both"/>
        <w:rPr>
          <w:sz w:val="24"/>
          <w:szCs w:val="24"/>
        </w:rPr>
      </w:pPr>
      <w:r w:rsidRPr="005028E4">
        <w:rPr>
          <w:sz w:val="24"/>
          <w:szCs w:val="24"/>
        </w:rPr>
        <w:t xml:space="preserve">Trošak </w:t>
      </w:r>
      <w:r w:rsidR="007E3C26" w:rsidRPr="005028E4">
        <w:rPr>
          <w:sz w:val="24"/>
          <w:szCs w:val="24"/>
        </w:rPr>
        <w:t>LLU</w:t>
      </w:r>
      <w:r w:rsidRPr="005028E4">
        <w:rPr>
          <w:sz w:val="24"/>
          <w:szCs w:val="24"/>
        </w:rPr>
        <w:t xml:space="preserve"> usluge se računa na način da se uzimaju u obzir troškovi bakrenih parica duljine do 2300 m, tj. koje omogućavaju silaznu brzinu (brzinu u smjeru prema korisniku, </w:t>
      </w:r>
      <w:r w:rsidRPr="005028E4">
        <w:rPr>
          <w:i/>
          <w:sz w:val="24"/>
          <w:szCs w:val="24"/>
        </w:rPr>
        <w:t>eng. download</w:t>
      </w:r>
      <w:r w:rsidRPr="005028E4">
        <w:rPr>
          <w:sz w:val="24"/>
          <w:szCs w:val="24"/>
        </w:rPr>
        <w:t xml:space="preserve">) od barem 8 Mbit/s, u područjima pokrivanja MDF-ova na kojima se koristi </w:t>
      </w:r>
      <w:r w:rsidR="007E3C26" w:rsidRPr="005028E4">
        <w:rPr>
          <w:sz w:val="24"/>
          <w:szCs w:val="24"/>
        </w:rPr>
        <w:t>LLU</w:t>
      </w:r>
      <w:r w:rsidRPr="005028E4">
        <w:rPr>
          <w:sz w:val="24"/>
          <w:szCs w:val="24"/>
        </w:rPr>
        <w:t xml:space="preserve"> usluga.</w:t>
      </w:r>
    </w:p>
    <w:p w:rsidR="005263C7" w:rsidRPr="005028E4" w:rsidRDefault="005263C7" w:rsidP="005263C7">
      <w:pPr>
        <w:ind w:left="720"/>
        <w:contextualSpacing/>
        <w:rPr>
          <w:sz w:val="24"/>
          <w:szCs w:val="24"/>
        </w:rPr>
      </w:pPr>
    </w:p>
    <w:p w:rsidR="005263C7" w:rsidRPr="005028E4" w:rsidRDefault="005263C7" w:rsidP="005263C7">
      <w:pPr>
        <w:ind w:left="720"/>
        <w:contextualSpacing/>
        <w:jc w:val="both"/>
        <w:rPr>
          <w:sz w:val="24"/>
          <w:szCs w:val="24"/>
        </w:rPr>
      </w:pPr>
      <w:r w:rsidRPr="005028E4">
        <w:rPr>
          <w:sz w:val="24"/>
          <w:szCs w:val="24"/>
        </w:rPr>
        <w:t xml:space="preserve">Trošak bakrene pristupne mreže koji se uzima u obzir kod određivanja </w:t>
      </w:r>
      <w:r w:rsidR="00E30FD2" w:rsidRPr="005028E4">
        <w:rPr>
          <w:sz w:val="24"/>
          <w:szCs w:val="24"/>
        </w:rPr>
        <w:t xml:space="preserve">naknade za korištenje bakrene pristupne mreže </w:t>
      </w:r>
      <w:r w:rsidR="00B6359E" w:rsidRPr="005028E4">
        <w:rPr>
          <w:sz w:val="24"/>
          <w:szCs w:val="24"/>
        </w:rPr>
        <w:t>kao dijela cijene usluge bitstream pristupa</w:t>
      </w:r>
      <w:r w:rsidR="00E30FD2" w:rsidRPr="005028E4">
        <w:rPr>
          <w:sz w:val="24"/>
          <w:szCs w:val="24"/>
        </w:rPr>
        <w:t xml:space="preserve"> </w:t>
      </w:r>
      <w:r w:rsidRPr="005028E4">
        <w:rPr>
          <w:sz w:val="24"/>
          <w:szCs w:val="24"/>
        </w:rPr>
        <w:t xml:space="preserve">koja se pruža putem bakrene mreže za slučaj kada je DSLAM smješten na staroj CO lokaciji ili FTTN lokaciji određuje se na način da se uzme ponderirani prosječni trošak (eng. </w:t>
      </w:r>
      <w:r w:rsidRPr="005028E4">
        <w:rPr>
          <w:i/>
          <w:sz w:val="24"/>
          <w:szCs w:val="24"/>
        </w:rPr>
        <w:t>weighted average</w:t>
      </w:r>
      <w:r w:rsidRPr="005028E4">
        <w:rPr>
          <w:sz w:val="24"/>
          <w:szCs w:val="24"/>
        </w:rPr>
        <w:t xml:space="preserve">) bakrene pristupne mreže u područjima pokrivanja MDF-ova na kojima se koristi </w:t>
      </w:r>
      <w:r w:rsidR="007E3C26" w:rsidRPr="005028E4">
        <w:rPr>
          <w:sz w:val="24"/>
          <w:szCs w:val="24"/>
        </w:rPr>
        <w:t>LLU</w:t>
      </w:r>
      <w:r w:rsidRPr="005028E4">
        <w:rPr>
          <w:sz w:val="24"/>
          <w:szCs w:val="24"/>
        </w:rPr>
        <w:t xml:space="preserve"> usluga i bakrene pristupne mreže u područjima pokrivanja MDF-ova na kojima se ne koristi </w:t>
      </w:r>
      <w:r w:rsidR="007E3C26" w:rsidRPr="005028E4">
        <w:rPr>
          <w:sz w:val="24"/>
          <w:szCs w:val="24"/>
        </w:rPr>
        <w:t>LLU</w:t>
      </w:r>
      <w:r w:rsidRPr="005028E4">
        <w:rPr>
          <w:sz w:val="24"/>
          <w:szCs w:val="24"/>
        </w:rPr>
        <w:t xml:space="preserve"> usluga uz sljedeće uvjete:</w:t>
      </w:r>
    </w:p>
    <w:p w:rsidR="005263C7" w:rsidRPr="005028E4" w:rsidRDefault="005263C7" w:rsidP="005263C7">
      <w:pPr>
        <w:ind w:left="720"/>
        <w:contextualSpacing/>
        <w:rPr>
          <w:sz w:val="24"/>
          <w:szCs w:val="24"/>
        </w:rPr>
      </w:pPr>
    </w:p>
    <w:p w:rsidR="005263C7" w:rsidRPr="005028E4" w:rsidRDefault="005263C7" w:rsidP="005263C7">
      <w:pPr>
        <w:numPr>
          <w:ilvl w:val="1"/>
          <w:numId w:val="44"/>
        </w:numPr>
        <w:contextualSpacing/>
        <w:jc w:val="both"/>
        <w:rPr>
          <w:sz w:val="24"/>
          <w:szCs w:val="24"/>
        </w:rPr>
      </w:pPr>
      <w:r w:rsidRPr="005028E4">
        <w:rPr>
          <w:sz w:val="24"/>
          <w:szCs w:val="24"/>
        </w:rPr>
        <w:t>u obzir se uzima trošak bakrenih parica duljine do 2300 m koje omogućuju prijenosne brzine u silaznom smjeru barem od 8 Mbit/s</w:t>
      </w:r>
    </w:p>
    <w:p w:rsidR="005263C7" w:rsidRPr="005028E4" w:rsidRDefault="005263C7" w:rsidP="005263C7">
      <w:pPr>
        <w:numPr>
          <w:ilvl w:val="1"/>
          <w:numId w:val="44"/>
        </w:numPr>
        <w:contextualSpacing/>
        <w:jc w:val="both"/>
        <w:rPr>
          <w:sz w:val="24"/>
          <w:szCs w:val="24"/>
        </w:rPr>
      </w:pPr>
      <w:r w:rsidRPr="005028E4">
        <w:rPr>
          <w:sz w:val="24"/>
          <w:szCs w:val="24"/>
        </w:rPr>
        <w:t xml:space="preserve">težinski faktori (ponderi) </w:t>
      </w:r>
      <w:r w:rsidR="00D84FC4">
        <w:rPr>
          <w:sz w:val="24"/>
          <w:szCs w:val="24"/>
        </w:rPr>
        <w:t xml:space="preserve">jednaki </w:t>
      </w:r>
      <w:r w:rsidRPr="005028E4">
        <w:rPr>
          <w:sz w:val="24"/>
          <w:szCs w:val="24"/>
        </w:rPr>
        <w:t xml:space="preserve">su postotku </w:t>
      </w:r>
      <w:r w:rsidR="004B4747" w:rsidRPr="005028E4">
        <w:rPr>
          <w:sz w:val="24"/>
          <w:szCs w:val="24"/>
        </w:rPr>
        <w:t>bitstream</w:t>
      </w:r>
      <w:r w:rsidRPr="005028E4">
        <w:rPr>
          <w:sz w:val="24"/>
          <w:szCs w:val="24"/>
        </w:rPr>
        <w:t xml:space="preserve"> linija u području pokrivanja MDF-ova na kojima se koristi </w:t>
      </w:r>
      <w:r w:rsidR="007E3C26" w:rsidRPr="005028E4">
        <w:rPr>
          <w:sz w:val="24"/>
          <w:szCs w:val="24"/>
        </w:rPr>
        <w:t>LLU</w:t>
      </w:r>
      <w:r w:rsidRPr="005028E4">
        <w:rPr>
          <w:sz w:val="24"/>
          <w:szCs w:val="24"/>
        </w:rPr>
        <w:t xml:space="preserve"> usluga, odnosno u području pokrivanja MDF-ova na kojima se ne koristi </w:t>
      </w:r>
      <w:r w:rsidR="007E3C26" w:rsidRPr="005028E4">
        <w:rPr>
          <w:sz w:val="24"/>
          <w:szCs w:val="24"/>
        </w:rPr>
        <w:t>LLU</w:t>
      </w:r>
      <w:r w:rsidRPr="005028E4">
        <w:rPr>
          <w:sz w:val="24"/>
          <w:szCs w:val="24"/>
        </w:rPr>
        <w:t xml:space="preserve"> usluga</w:t>
      </w:r>
    </w:p>
    <w:p w:rsidR="005263C7" w:rsidRPr="005028E4" w:rsidRDefault="005263C7" w:rsidP="005263C7">
      <w:pPr>
        <w:ind w:left="720"/>
        <w:contextualSpacing/>
        <w:jc w:val="both"/>
        <w:rPr>
          <w:sz w:val="24"/>
          <w:szCs w:val="24"/>
        </w:rPr>
      </w:pPr>
    </w:p>
    <w:p w:rsidR="005263C7" w:rsidRPr="005028E4" w:rsidRDefault="005263C7" w:rsidP="005263C7">
      <w:pPr>
        <w:ind w:left="720"/>
        <w:contextualSpacing/>
        <w:jc w:val="both"/>
        <w:rPr>
          <w:sz w:val="24"/>
          <w:szCs w:val="24"/>
        </w:rPr>
      </w:pPr>
      <w:r w:rsidRPr="005028E4">
        <w:rPr>
          <w:sz w:val="24"/>
          <w:szCs w:val="24"/>
        </w:rPr>
        <w:t xml:space="preserve">Na </w:t>
      </w:r>
      <w:r w:rsidR="00E30FD2" w:rsidRPr="005028E4">
        <w:rPr>
          <w:sz w:val="24"/>
          <w:szCs w:val="24"/>
        </w:rPr>
        <w:t>temelju</w:t>
      </w:r>
      <w:r w:rsidRPr="005028E4">
        <w:rPr>
          <w:sz w:val="24"/>
          <w:szCs w:val="24"/>
        </w:rPr>
        <w:t xml:space="preserve"> tako dobivenih troškova , određuje se jedinstvena veleprodajna cijena </w:t>
      </w:r>
      <w:r w:rsidR="007E3C26" w:rsidRPr="005028E4">
        <w:rPr>
          <w:sz w:val="24"/>
          <w:szCs w:val="24"/>
        </w:rPr>
        <w:t>LLU</w:t>
      </w:r>
      <w:r w:rsidRPr="005028E4">
        <w:rPr>
          <w:sz w:val="24"/>
          <w:szCs w:val="24"/>
        </w:rPr>
        <w:t xml:space="preserve"> usluge i naknade za </w:t>
      </w:r>
      <w:r w:rsidR="004B4747" w:rsidRPr="005028E4">
        <w:rPr>
          <w:sz w:val="24"/>
          <w:szCs w:val="24"/>
        </w:rPr>
        <w:t>korištenje</w:t>
      </w:r>
      <w:r w:rsidRPr="005028E4">
        <w:rPr>
          <w:sz w:val="24"/>
          <w:szCs w:val="24"/>
        </w:rPr>
        <w:t xml:space="preserve"> bakren</w:t>
      </w:r>
      <w:r w:rsidR="004B4747" w:rsidRPr="005028E4">
        <w:rPr>
          <w:sz w:val="24"/>
          <w:szCs w:val="24"/>
        </w:rPr>
        <w:t xml:space="preserve">e pristupne </w:t>
      </w:r>
      <w:r w:rsidRPr="005028E4">
        <w:rPr>
          <w:sz w:val="24"/>
          <w:szCs w:val="24"/>
        </w:rPr>
        <w:t>mrež</w:t>
      </w:r>
      <w:r w:rsidR="004B4747" w:rsidRPr="005028E4">
        <w:rPr>
          <w:sz w:val="24"/>
          <w:szCs w:val="24"/>
        </w:rPr>
        <w:t>e</w:t>
      </w:r>
      <w:r w:rsidRPr="005028E4">
        <w:rPr>
          <w:sz w:val="24"/>
          <w:szCs w:val="24"/>
        </w:rPr>
        <w:t xml:space="preserve"> </w:t>
      </w:r>
      <w:r w:rsidR="00B6359E" w:rsidRPr="005028E4">
        <w:rPr>
          <w:sz w:val="24"/>
          <w:szCs w:val="24"/>
        </w:rPr>
        <w:t>kao dijela cijene usluge bitstream pristupa</w:t>
      </w:r>
      <w:r w:rsidR="00E30FD2" w:rsidRPr="005028E4">
        <w:rPr>
          <w:sz w:val="24"/>
          <w:szCs w:val="24"/>
        </w:rPr>
        <w:t xml:space="preserve"> </w:t>
      </w:r>
      <w:r w:rsidRPr="005028E4">
        <w:rPr>
          <w:sz w:val="24"/>
          <w:szCs w:val="24"/>
        </w:rPr>
        <w:t xml:space="preserve">putem bakrene mreže u slučaju kada se DSLAM nalazi na staroj CO ili FTTN lokaciji i to kao ponderirani prosjek ta dva troška gdje su težinski faktori (ponderi) </w:t>
      </w:r>
      <w:r w:rsidR="00D84FC4">
        <w:rPr>
          <w:sz w:val="24"/>
          <w:szCs w:val="24"/>
        </w:rPr>
        <w:t xml:space="preserve">jednaki </w:t>
      </w:r>
      <w:r w:rsidRPr="005028E4">
        <w:rPr>
          <w:sz w:val="24"/>
          <w:szCs w:val="24"/>
        </w:rPr>
        <w:t xml:space="preserve">postotcima </w:t>
      </w:r>
      <w:r w:rsidR="007E3C26" w:rsidRPr="005028E4">
        <w:rPr>
          <w:sz w:val="24"/>
          <w:szCs w:val="24"/>
        </w:rPr>
        <w:t>LLU</w:t>
      </w:r>
      <w:r w:rsidRPr="005028E4">
        <w:rPr>
          <w:sz w:val="24"/>
          <w:szCs w:val="24"/>
        </w:rPr>
        <w:t xml:space="preserve">, odnosno </w:t>
      </w:r>
      <w:r w:rsidR="00E30FD2" w:rsidRPr="005028E4">
        <w:rPr>
          <w:sz w:val="24"/>
          <w:szCs w:val="24"/>
        </w:rPr>
        <w:t>bitstream</w:t>
      </w:r>
      <w:r w:rsidRPr="005028E4">
        <w:rPr>
          <w:sz w:val="24"/>
          <w:szCs w:val="24"/>
        </w:rPr>
        <w:t xml:space="preserve"> veleprodajnih linija u ukupnom broj veleprodajnih linija (</w:t>
      </w:r>
      <w:r w:rsidR="00E30FD2" w:rsidRPr="005028E4">
        <w:rPr>
          <w:sz w:val="24"/>
          <w:szCs w:val="24"/>
        </w:rPr>
        <w:t>bitstream pristup</w:t>
      </w:r>
      <w:r w:rsidRPr="005028E4">
        <w:rPr>
          <w:sz w:val="24"/>
          <w:szCs w:val="24"/>
        </w:rPr>
        <w:t>+</w:t>
      </w:r>
      <w:r w:rsidR="007E3C26" w:rsidRPr="005028E4">
        <w:rPr>
          <w:sz w:val="24"/>
          <w:szCs w:val="24"/>
        </w:rPr>
        <w:t>LLU</w:t>
      </w:r>
      <w:r w:rsidRPr="005028E4">
        <w:rPr>
          <w:sz w:val="24"/>
          <w:szCs w:val="24"/>
        </w:rPr>
        <w:t>).</w:t>
      </w:r>
    </w:p>
    <w:p w:rsidR="005263C7" w:rsidRPr="005028E4" w:rsidRDefault="005263C7" w:rsidP="005263C7">
      <w:pPr>
        <w:ind w:left="720"/>
        <w:contextualSpacing/>
        <w:jc w:val="both"/>
        <w:rPr>
          <w:sz w:val="24"/>
          <w:szCs w:val="24"/>
          <w:highlight w:val="yellow"/>
        </w:rPr>
      </w:pPr>
    </w:p>
    <w:p w:rsidR="00180F19" w:rsidRPr="005028E4" w:rsidRDefault="00180F19" w:rsidP="00180F19">
      <w:pPr>
        <w:pStyle w:val="Subtitle"/>
      </w:pPr>
      <w:r w:rsidRPr="005028E4">
        <w:t>Opcija 1</w:t>
      </w:r>
    </w:p>
    <w:p w:rsidR="00180F19" w:rsidRPr="005028E4" w:rsidRDefault="00180F19" w:rsidP="00180F19">
      <w:pPr>
        <w:jc w:val="both"/>
        <w:rPr>
          <w:sz w:val="24"/>
          <w:szCs w:val="24"/>
        </w:rPr>
      </w:pPr>
      <w:r w:rsidRPr="005028E4">
        <w:rPr>
          <w:sz w:val="24"/>
          <w:szCs w:val="24"/>
        </w:rPr>
        <w:t xml:space="preserve">Odabir Opcije 1 bi predstavljao nastavak primjene istog pristupa kod određivanja cijene </w:t>
      </w:r>
      <w:r w:rsidR="007E3C26" w:rsidRPr="005028E4">
        <w:rPr>
          <w:sz w:val="24"/>
          <w:szCs w:val="24"/>
        </w:rPr>
        <w:t>LLU</w:t>
      </w:r>
      <w:r w:rsidRPr="005028E4">
        <w:rPr>
          <w:sz w:val="24"/>
          <w:szCs w:val="24"/>
        </w:rPr>
        <w:t xml:space="preserve"> usluge koji je primijenjen i prilikom određivanja sadašnje cijene </w:t>
      </w:r>
      <w:r w:rsidR="007E3C26" w:rsidRPr="005028E4">
        <w:rPr>
          <w:sz w:val="24"/>
          <w:szCs w:val="24"/>
        </w:rPr>
        <w:t>LLU</w:t>
      </w:r>
      <w:r w:rsidRPr="005028E4">
        <w:rPr>
          <w:sz w:val="24"/>
          <w:szCs w:val="24"/>
        </w:rPr>
        <w:t>-a. Taj pristup bi davao određenu mogućnost s vjero</w:t>
      </w:r>
      <w:r w:rsidR="00C03C68" w:rsidRPr="005028E4">
        <w:rPr>
          <w:sz w:val="24"/>
          <w:szCs w:val="24"/>
        </w:rPr>
        <w:t>j</w:t>
      </w:r>
      <w:r w:rsidRPr="005028E4">
        <w:rPr>
          <w:sz w:val="24"/>
          <w:szCs w:val="24"/>
        </w:rPr>
        <w:t xml:space="preserve">atnošću od 2,5% da će se </w:t>
      </w:r>
      <w:r w:rsidR="007E3C26" w:rsidRPr="005028E4">
        <w:rPr>
          <w:sz w:val="24"/>
          <w:szCs w:val="24"/>
        </w:rPr>
        <w:t>LLU</w:t>
      </w:r>
      <w:r w:rsidRPr="005028E4">
        <w:rPr>
          <w:sz w:val="24"/>
          <w:szCs w:val="24"/>
        </w:rPr>
        <w:t xml:space="preserve"> usluga početi koristiti i na MDF-ovima na kojima se trenutno ne koristi. Taj pristup je u proteklom razdoblju bio opravdan, međutim, opravdanost njegova daljnje primjene za određivanje cijena </w:t>
      </w:r>
      <w:r w:rsidR="007E3C26" w:rsidRPr="005028E4">
        <w:rPr>
          <w:sz w:val="24"/>
          <w:szCs w:val="24"/>
        </w:rPr>
        <w:t>LLU</w:t>
      </w:r>
      <w:r w:rsidRPr="005028E4">
        <w:rPr>
          <w:sz w:val="24"/>
          <w:szCs w:val="24"/>
        </w:rPr>
        <w:t xml:space="preserve"> usluge u narednom razdoblju je potrebno preispitati.</w:t>
      </w:r>
    </w:p>
    <w:p w:rsidR="00D04AEE" w:rsidRPr="005028E4" w:rsidRDefault="00180F19" w:rsidP="00180F19">
      <w:pPr>
        <w:jc w:val="both"/>
        <w:rPr>
          <w:sz w:val="24"/>
          <w:szCs w:val="24"/>
        </w:rPr>
      </w:pPr>
      <w:r w:rsidRPr="005028E4">
        <w:rPr>
          <w:sz w:val="24"/>
          <w:szCs w:val="24"/>
        </w:rPr>
        <w:t>Prvo, činjenica je da se</w:t>
      </w:r>
      <w:r w:rsidR="00DA1A6C" w:rsidRPr="005028E4">
        <w:rPr>
          <w:sz w:val="24"/>
          <w:szCs w:val="24"/>
        </w:rPr>
        <w:t xml:space="preserve"> danas</w:t>
      </w:r>
      <w:r w:rsidRPr="005028E4">
        <w:rPr>
          <w:sz w:val="24"/>
          <w:szCs w:val="24"/>
        </w:rPr>
        <w:t xml:space="preserve"> na niti jednom dodatnom MDF-u u odnosu na vrijeme donošenja odluke o određivanju postojeće cijene </w:t>
      </w:r>
      <w:r w:rsidR="007E3C26" w:rsidRPr="005028E4">
        <w:rPr>
          <w:sz w:val="24"/>
          <w:szCs w:val="24"/>
        </w:rPr>
        <w:t>LLU</w:t>
      </w:r>
      <w:r w:rsidRPr="005028E4">
        <w:rPr>
          <w:sz w:val="24"/>
          <w:szCs w:val="24"/>
        </w:rPr>
        <w:t xml:space="preserve">-a </w:t>
      </w:r>
      <w:r w:rsidR="00DA1A6C" w:rsidRPr="005028E4">
        <w:rPr>
          <w:sz w:val="24"/>
          <w:szCs w:val="24"/>
        </w:rPr>
        <w:t xml:space="preserve">ne koristi usluga </w:t>
      </w:r>
      <w:r w:rsidR="007E3C26" w:rsidRPr="005028E4">
        <w:rPr>
          <w:sz w:val="24"/>
          <w:szCs w:val="24"/>
        </w:rPr>
        <w:t>LLU</w:t>
      </w:r>
      <w:r w:rsidR="00DA1A6C" w:rsidRPr="005028E4">
        <w:rPr>
          <w:sz w:val="24"/>
          <w:szCs w:val="24"/>
        </w:rPr>
        <w:t xml:space="preserve">-a. </w:t>
      </w:r>
      <w:r w:rsidR="00D04AEE" w:rsidRPr="005028E4">
        <w:rPr>
          <w:sz w:val="24"/>
          <w:szCs w:val="24"/>
        </w:rPr>
        <w:t xml:space="preserve">Očigledno je da operatori korisnici ne smatraju, zbog velikih potrebnih ulaganja, ekonomski održivim koristiti </w:t>
      </w:r>
      <w:r w:rsidR="007E3C26" w:rsidRPr="005028E4">
        <w:rPr>
          <w:sz w:val="24"/>
          <w:szCs w:val="24"/>
        </w:rPr>
        <w:t>LLU</w:t>
      </w:r>
      <w:r w:rsidR="00D04AEE" w:rsidRPr="005028E4">
        <w:rPr>
          <w:sz w:val="24"/>
          <w:szCs w:val="24"/>
        </w:rPr>
        <w:t xml:space="preserve"> uslugu na drugim područjima osim onih na kojima se već duže vrijeme koristi. </w:t>
      </w:r>
    </w:p>
    <w:p w:rsidR="00E8192B" w:rsidRPr="005028E4" w:rsidRDefault="00D04AEE" w:rsidP="00180F19">
      <w:pPr>
        <w:jc w:val="both"/>
        <w:rPr>
          <w:sz w:val="24"/>
          <w:szCs w:val="24"/>
        </w:rPr>
      </w:pPr>
      <w:r w:rsidRPr="005028E4">
        <w:rPr>
          <w:sz w:val="24"/>
          <w:szCs w:val="24"/>
        </w:rPr>
        <w:t>Također</w:t>
      </w:r>
      <w:r w:rsidR="00DA1A6C" w:rsidRPr="005028E4">
        <w:rPr>
          <w:sz w:val="24"/>
          <w:szCs w:val="24"/>
        </w:rPr>
        <w:t xml:space="preserve">, ako pogledamo </w:t>
      </w:r>
      <w:r w:rsidR="00B112C3" w:rsidRPr="005028E4">
        <w:rPr>
          <w:sz w:val="24"/>
          <w:szCs w:val="24"/>
        </w:rPr>
        <w:t xml:space="preserve">podatke o korištenju veleprodajnih usluga </w:t>
      </w:r>
      <w:r w:rsidR="00E50726" w:rsidRPr="005028E4">
        <w:rPr>
          <w:sz w:val="24"/>
          <w:szCs w:val="24"/>
        </w:rPr>
        <w:t xml:space="preserve">(poglavlje </w:t>
      </w:r>
      <w:r w:rsidR="00E8192B" w:rsidRPr="005028E4">
        <w:rPr>
          <w:sz w:val="24"/>
          <w:szCs w:val="24"/>
        </w:rPr>
        <w:fldChar w:fldCharType="begin"/>
      </w:r>
      <w:r w:rsidR="00E8192B" w:rsidRPr="005028E4">
        <w:rPr>
          <w:sz w:val="24"/>
          <w:szCs w:val="24"/>
        </w:rPr>
        <w:instrText xml:space="preserve"> REF _Ref52286065 \r \h </w:instrText>
      </w:r>
      <w:r w:rsidR="00E8192B" w:rsidRPr="005028E4">
        <w:rPr>
          <w:sz w:val="24"/>
          <w:szCs w:val="24"/>
        </w:rPr>
      </w:r>
      <w:r w:rsidR="00E8192B" w:rsidRPr="005028E4">
        <w:rPr>
          <w:sz w:val="24"/>
          <w:szCs w:val="24"/>
        </w:rPr>
        <w:fldChar w:fldCharType="separate"/>
      </w:r>
      <w:r w:rsidR="00B047B3">
        <w:rPr>
          <w:sz w:val="24"/>
          <w:szCs w:val="24"/>
        </w:rPr>
        <w:t>3.5</w:t>
      </w:r>
      <w:r w:rsidR="00E8192B" w:rsidRPr="005028E4">
        <w:rPr>
          <w:sz w:val="24"/>
          <w:szCs w:val="24"/>
        </w:rPr>
        <w:fldChar w:fldCharType="end"/>
      </w:r>
      <w:r w:rsidR="00E8192B" w:rsidRPr="005028E4">
        <w:rPr>
          <w:sz w:val="24"/>
          <w:szCs w:val="24"/>
        </w:rPr>
        <w:t xml:space="preserve">), vidljiv je trend pada priključaka koji se ostvaruju putem veleprodajne usluge </w:t>
      </w:r>
      <w:r w:rsidR="007E3C26" w:rsidRPr="005028E4">
        <w:rPr>
          <w:sz w:val="24"/>
          <w:szCs w:val="24"/>
        </w:rPr>
        <w:t>LLU</w:t>
      </w:r>
      <w:r w:rsidR="00E8192B" w:rsidRPr="005028E4">
        <w:rPr>
          <w:sz w:val="24"/>
          <w:szCs w:val="24"/>
        </w:rPr>
        <w:t xml:space="preserve">-a. Ne ulazeći u razloge tom padu, može se zaključiti da se s obzirom na rečeni pad korištenja usluge </w:t>
      </w:r>
      <w:r w:rsidR="007E3C26" w:rsidRPr="005028E4">
        <w:rPr>
          <w:sz w:val="24"/>
          <w:szCs w:val="24"/>
        </w:rPr>
        <w:t>LLU</w:t>
      </w:r>
      <w:r w:rsidR="00E8192B" w:rsidRPr="005028E4">
        <w:rPr>
          <w:sz w:val="24"/>
          <w:szCs w:val="24"/>
        </w:rPr>
        <w:t xml:space="preserve">-a, ne može očekivati korištenje </w:t>
      </w:r>
      <w:r w:rsidR="007E3C26" w:rsidRPr="005028E4">
        <w:rPr>
          <w:sz w:val="24"/>
          <w:szCs w:val="24"/>
        </w:rPr>
        <w:t>LLU</w:t>
      </w:r>
      <w:r w:rsidR="00E8192B" w:rsidRPr="005028E4">
        <w:rPr>
          <w:sz w:val="24"/>
          <w:szCs w:val="24"/>
        </w:rPr>
        <w:t xml:space="preserve"> usluge na MDF-ovima na kojima se trenutno ne koristi. Taj zaključak se još dodatno može potkrijepiti i općenitom migracijom korisnika s bakrene mreže na svjetlovodnu mrežu</w:t>
      </w:r>
      <w:r w:rsidR="004B4747" w:rsidRPr="005028E4">
        <w:rPr>
          <w:sz w:val="24"/>
          <w:szCs w:val="24"/>
        </w:rPr>
        <w:t xml:space="preserve"> i druge pristupne infrastrukture</w:t>
      </w:r>
      <w:r w:rsidR="00E8192B" w:rsidRPr="005028E4">
        <w:rPr>
          <w:sz w:val="24"/>
          <w:szCs w:val="24"/>
        </w:rPr>
        <w:t>.</w:t>
      </w:r>
    </w:p>
    <w:p w:rsidR="00877AB7" w:rsidRPr="005028E4" w:rsidRDefault="00877AB7" w:rsidP="00180F19">
      <w:pPr>
        <w:jc w:val="both"/>
        <w:rPr>
          <w:sz w:val="24"/>
          <w:szCs w:val="24"/>
        </w:rPr>
      </w:pPr>
      <w:r w:rsidRPr="005028E4">
        <w:rPr>
          <w:sz w:val="24"/>
          <w:szCs w:val="24"/>
        </w:rPr>
        <w:t xml:space="preserve">S druge strane, s obzirom da je tako </w:t>
      </w:r>
      <w:r w:rsidR="00D84FC4" w:rsidRPr="005028E4">
        <w:rPr>
          <w:sz w:val="24"/>
          <w:szCs w:val="24"/>
        </w:rPr>
        <w:t>izračunata</w:t>
      </w:r>
      <w:r w:rsidRPr="005028E4">
        <w:rPr>
          <w:sz w:val="24"/>
          <w:szCs w:val="24"/>
        </w:rPr>
        <w:t xml:space="preserve"> cijena </w:t>
      </w:r>
      <w:r w:rsidR="007E3C26" w:rsidRPr="005028E4">
        <w:rPr>
          <w:sz w:val="24"/>
          <w:szCs w:val="24"/>
        </w:rPr>
        <w:t>LLU</w:t>
      </w:r>
      <w:r w:rsidR="00684C9D" w:rsidRPr="005028E4">
        <w:rPr>
          <w:sz w:val="24"/>
          <w:szCs w:val="24"/>
        </w:rPr>
        <w:t xml:space="preserve"> usluge</w:t>
      </w:r>
      <w:r w:rsidR="004B4747" w:rsidRPr="005028E4">
        <w:rPr>
          <w:sz w:val="24"/>
          <w:szCs w:val="24"/>
        </w:rPr>
        <w:t xml:space="preserve"> (</w:t>
      </w:r>
      <w:r w:rsidRPr="005028E4">
        <w:rPr>
          <w:sz w:val="24"/>
          <w:szCs w:val="24"/>
        </w:rPr>
        <w:t xml:space="preserve">koja ne uzima u obzir bakrene parice sa svih MDF-ova u onom opsegu u kojem se putem tih istih parica pružaju </w:t>
      </w:r>
      <w:r w:rsidR="004B4747" w:rsidRPr="005028E4">
        <w:rPr>
          <w:sz w:val="24"/>
          <w:szCs w:val="24"/>
        </w:rPr>
        <w:t>usluge bitstream pristupa) i</w:t>
      </w:r>
      <w:r w:rsidRPr="005028E4">
        <w:rPr>
          <w:sz w:val="24"/>
          <w:szCs w:val="24"/>
        </w:rPr>
        <w:t xml:space="preserve"> umanjena za specifične veleprodajne troškove ujedno i naknada za pristup bakrenoj mreži kod</w:t>
      </w:r>
      <w:r w:rsidR="004B4747" w:rsidRPr="005028E4">
        <w:rPr>
          <w:sz w:val="24"/>
          <w:szCs w:val="24"/>
        </w:rPr>
        <w:t xml:space="preserve"> </w:t>
      </w:r>
      <w:r w:rsidRPr="005028E4">
        <w:rPr>
          <w:sz w:val="24"/>
          <w:szCs w:val="24"/>
        </w:rPr>
        <w:t xml:space="preserve">usluge </w:t>
      </w:r>
      <w:r w:rsidR="004B4747" w:rsidRPr="005028E4">
        <w:rPr>
          <w:sz w:val="24"/>
          <w:szCs w:val="24"/>
        </w:rPr>
        <w:t xml:space="preserve">bitstream pristupa </w:t>
      </w:r>
      <w:r w:rsidRPr="005028E4">
        <w:rPr>
          <w:sz w:val="24"/>
          <w:szCs w:val="24"/>
        </w:rPr>
        <w:t xml:space="preserve">za brzine do 30 Mbit/s, </w:t>
      </w:r>
      <w:r w:rsidR="004B4747" w:rsidRPr="005028E4">
        <w:rPr>
          <w:sz w:val="24"/>
          <w:szCs w:val="24"/>
        </w:rPr>
        <w:t xml:space="preserve">postoji rizik da se </w:t>
      </w:r>
      <w:r w:rsidRPr="005028E4">
        <w:rPr>
          <w:sz w:val="24"/>
          <w:szCs w:val="24"/>
        </w:rPr>
        <w:t xml:space="preserve">troškovi usluge </w:t>
      </w:r>
      <w:r w:rsidR="004B4747" w:rsidRPr="005028E4">
        <w:rPr>
          <w:sz w:val="24"/>
          <w:szCs w:val="24"/>
        </w:rPr>
        <w:t xml:space="preserve">bitstream pristupa ne nadoknade </w:t>
      </w:r>
      <w:r w:rsidRPr="005028E4">
        <w:rPr>
          <w:sz w:val="24"/>
          <w:szCs w:val="24"/>
        </w:rPr>
        <w:t>u potpunosti na taj način.</w:t>
      </w:r>
    </w:p>
    <w:p w:rsidR="00DA1A6C" w:rsidRPr="005028E4" w:rsidRDefault="00E8192B" w:rsidP="00180F19">
      <w:pPr>
        <w:jc w:val="both"/>
        <w:rPr>
          <w:sz w:val="24"/>
          <w:szCs w:val="24"/>
        </w:rPr>
      </w:pPr>
      <w:r w:rsidRPr="005028E4">
        <w:rPr>
          <w:sz w:val="24"/>
          <w:szCs w:val="24"/>
        </w:rPr>
        <w:t xml:space="preserve">Dakle, nastavno na navedeno, HAKOM je mišljenja da odabir Opcije 1 ne bio opravdan </w:t>
      </w:r>
      <w:r w:rsidR="00A82D53" w:rsidRPr="005028E4">
        <w:rPr>
          <w:sz w:val="24"/>
          <w:szCs w:val="24"/>
        </w:rPr>
        <w:t>jer</w:t>
      </w:r>
      <w:r w:rsidRPr="005028E4">
        <w:rPr>
          <w:sz w:val="24"/>
          <w:szCs w:val="24"/>
        </w:rPr>
        <w:t xml:space="preserve"> njezin odabir </w:t>
      </w:r>
      <w:r w:rsidR="00877AB7" w:rsidRPr="005028E4">
        <w:rPr>
          <w:sz w:val="24"/>
          <w:szCs w:val="24"/>
        </w:rPr>
        <w:t xml:space="preserve">ne bi </w:t>
      </w:r>
      <w:r w:rsidR="00A82D53" w:rsidRPr="005028E4">
        <w:rPr>
          <w:sz w:val="24"/>
          <w:szCs w:val="24"/>
        </w:rPr>
        <w:t xml:space="preserve">kao rezultat dao </w:t>
      </w:r>
      <w:r w:rsidR="00425915" w:rsidRPr="005028E4">
        <w:rPr>
          <w:sz w:val="24"/>
          <w:szCs w:val="24"/>
        </w:rPr>
        <w:t xml:space="preserve">potpuno </w:t>
      </w:r>
      <w:r w:rsidR="00877AB7" w:rsidRPr="005028E4">
        <w:rPr>
          <w:sz w:val="24"/>
          <w:szCs w:val="24"/>
        </w:rPr>
        <w:t>troškovno usmjerene cijene</w:t>
      </w:r>
      <w:r w:rsidR="00A60C8A" w:rsidRPr="005028E4">
        <w:rPr>
          <w:sz w:val="24"/>
          <w:szCs w:val="24"/>
        </w:rPr>
        <w:t>.</w:t>
      </w:r>
    </w:p>
    <w:p w:rsidR="00A60C8A" w:rsidRPr="005028E4" w:rsidRDefault="00A60C8A" w:rsidP="00A60C8A">
      <w:pPr>
        <w:pStyle w:val="Subtitle"/>
      </w:pPr>
      <w:r w:rsidRPr="005028E4">
        <w:t>Opcija 2</w:t>
      </w:r>
    </w:p>
    <w:p w:rsidR="00932C8F" w:rsidRPr="005028E4" w:rsidRDefault="0072694C" w:rsidP="00A60C8A">
      <w:pPr>
        <w:jc w:val="both"/>
        <w:rPr>
          <w:sz w:val="24"/>
          <w:szCs w:val="24"/>
        </w:rPr>
      </w:pPr>
      <w:r w:rsidRPr="005028E4">
        <w:rPr>
          <w:sz w:val="24"/>
          <w:szCs w:val="24"/>
        </w:rPr>
        <w:t xml:space="preserve">Opcija 2 polazi od nekoliko pretpostavki. Prva je da će se u budućem razdoblju </w:t>
      </w:r>
      <w:r w:rsidR="007E3C26" w:rsidRPr="005028E4">
        <w:rPr>
          <w:sz w:val="24"/>
          <w:szCs w:val="24"/>
        </w:rPr>
        <w:t>LLU</w:t>
      </w:r>
      <w:r w:rsidRPr="005028E4">
        <w:rPr>
          <w:sz w:val="24"/>
          <w:szCs w:val="24"/>
        </w:rPr>
        <w:t xml:space="preserve"> usluga koristiti samo na područjima pokrivanja MDF-ova na kojima se i trenutno koristi. Druga pretpostavka je da se </w:t>
      </w:r>
      <w:r w:rsidR="007E3C26" w:rsidRPr="005028E4">
        <w:rPr>
          <w:sz w:val="24"/>
          <w:szCs w:val="24"/>
        </w:rPr>
        <w:t>LLU</w:t>
      </w:r>
      <w:r w:rsidRPr="005028E4">
        <w:rPr>
          <w:sz w:val="24"/>
          <w:szCs w:val="24"/>
        </w:rPr>
        <w:t xml:space="preserve"> usluga koristi za pružanje usluga pristupa internetu i IPTV-a te da se te usluge na tržištu Republike Hrvatske uglavnom pružaju zajedno. Treća pretpostavka je da se </w:t>
      </w:r>
      <w:r w:rsidR="007E3C26" w:rsidRPr="005028E4">
        <w:rPr>
          <w:sz w:val="24"/>
          <w:szCs w:val="24"/>
        </w:rPr>
        <w:t>LLU</w:t>
      </w:r>
      <w:r w:rsidRPr="005028E4">
        <w:rPr>
          <w:sz w:val="24"/>
          <w:szCs w:val="24"/>
        </w:rPr>
        <w:t xml:space="preserve"> usluga koristi na područjima na kojima postoji dovoljna ekonomija razmjera za operatore korisnike, dok se na ostalim područjima, gdje ne postoji dovoljna ekonomija razmjera</w:t>
      </w:r>
      <w:r w:rsidR="00425915" w:rsidRPr="005028E4">
        <w:rPr>
          <w:sz w:val="24"/>
          <w:szCs w:val="24"/>
        </w:rPr>
        <w:t>,</w:t>
      </w:r>
      <w:r w:rsidRPr="005028E4">
        <w:rPr>
          <w:sz w:val="24"/>
          <w:szCs w:val="24"/>
        </w:rPr>
        <w:t xml:space="preserve"> što korištenje usluge </w:t>
      </w:r>
      <w:r w:rsidR="007E3C26" w:rsidRPr="005028E4">
        <w:rPr>
          <w:sz w:val="24"/>
          <w:szCs w:val="24"/>
        </w:rPr>
        <w:t>LLU</w:t>
      </w:r>
      <w:r w:rsidRPr="005028E4">
        <w:rPr>
          <w:sz w:val="24"/>
          <w:szCs w:val="24"/>
        </w:rPr>
        <w:t xml:space="preserve"> čini neisplativim, koristi </w:t>
      </w:r>
      <w:r w:rsidR="00425915" w:rsidRPr="005028E4">
        <w:rPr>
          <w:sz w:val="24"/>
          <w:szCs w:val="24"/>
        </w:rPr>
        <w:t>usluga bitstream pristupa</w:t>
      </w:r>
      <w:r w:rsidRPr="005028E4">
        <w:rPr>
          <w:sz w:val="24"/>
          <w:szCs w:val="24"/>
        </w:rPr>
        <w:t xml:space="preserve">. </w:t>
      </w:r>
    </w:p>
    <w:p w:rsidR="00932C8F" w:rsidRPr="005028E4" w:rsidRDefault="005D073C" w:rsidP="00932C8F">
      <w:pPr>
        <w:jc w:val="both"/>
        <w:rPr>
          <w:sz w:val="24"/>
          <w:szCs w:val="24"/>
        </w:rPr>
      </w:pPr>
      <w:r w:rsidRPr="005028E4">
        <w:rPr>
          <w:sz w:val="24"/>
          <w:szCs w:val="24"/>
        </w:rPr>
        <w:t xml:space="preserve">Nastavno na te pretpostavke, odabir </w:t>
      </w:r>
      <w:r w:rsidR="00A60C8A" w:rsidRPr="005028E4">
        <w:rPr>
          <w:sz w:val="24"/>
          <w:szCs w:val="24"/>
        </w:rPr>
        <w:t>Opcij</w:t>
      </w:r>
      <w:r w:rsidRPr="005028E4">
        <w:rPr>
          <w:sz w:val="24"/>
          <w:szCs w:val="24"/>
        </w:rPr>
        <w:t>e</w:t>
      </w:r>
      <w:r w:rsidR="00A60C8A" w:rsidRPr="005028E4">
        <w:rPr>
          <w:sz w:val="24"/>
          <w:szCs w:val="24"/>
        </w:rPr>
        <w:t xml:space="preserve"> 2</w:t>
      </w:r>
      <w:r w:rsidRPr="005028E4">
        <w:rPr>
          <w:sz w:val="24"/>
          <w:szCs w:val="24"/>
        </w:rPr>
        <w:t xml:space="preserve"> znači da</w:t>
      </w:r>
      <w:r w:rsidR="00A60C8A" w:rsidRPr="005028E4">
        <w:rPr>
          <w:sz w:val="24"/>
          <w:szCs w:val="24"/>
        </w:rPr>
        <w:t xml:space="preserve"> se </w:t>
      </w:r>
      <w:r w:rsidRPr="005028E4">
        <w:rPr>
          <w:sz w:val="24"/>
          <w:szCs w:val="24"/>
        </w:rPr>
        <w:t xml:space="preserve">za izračun troškova </w:t>
      </w:r>
      <w:r w:rsidR="007E3C26" w:rsidRPr="005028E4">
        <w:rPr>
          <w:sz w:val="24"/>
          <w:szCs w:val="24"/>
        </w:rPr>
        <w:t>LLU</w:t>
      </w:r>
      <w:r w:rsidRPr="005028E4">
        <w:rPr>
          <w:sz w:val="24"/>
          <w:szCs w:val="24"/>
        </w:rPr>
        <w:t xml:space="preserve"> usluge uzimaju u </w:t>
      </w:r>
      <w:r w:rsidR="00A60C8A" w:rsidRPr="005028E4">
        <w:rPr>
          <w:sz w:val="24"/>
          <w:szCs w:val="24"/>
        </w:rPr>
        <w:t>obzir samo troškovi</w:t>
      </w:r>
      <w:r w:rsidRPr="005028E4">
        <w:rPr>
          <w:sz w:val="24"/>
          <w:szCs w:val="24"/>
        </w:rPr>
        <w:t xml:space="preserve"> bakrenih parica koji omogućuju istovremeno pružanje usluge pristupa internetu brzine od barem 4 Mbit/s u smjeru prema korisniku (eng. </w:t>
      </w:r>
      <w:r w:rsidRPr="005028E4">
        <w:rPr>
          <w:i/>
          <w:sz w:val="24"/>
          <w:szCs w:val="24"/>
        </w:rPr>
        <w:t>download</w:t>
      </w:r>
      <w:r w:rsidRPr="005028E4">
        <w:rPr>
          <w:sz w:val="24"/>
          <w:szCs w:val="24"/>
        </w:rPr>
        <w:t>) (univerzalna usluga)</w:t>
      </w:r>
      <w:r w:rsidR="00A60C8A" w:rsidRPr="005028E4">
        <w:rPr>
          <w:sz w:val="24"/>
          <w:szCs w:val="24"/>
        </w:rPr>
        <w:t xml:space="preserve"> te usluge </w:t>
      </w:r>
      <w:r w:rsidRPr="005028E4">
        <w:rPr>
          <w:sz w:val="24"/>
          <w:szCs w:val="24"/>
        </w:rPr>
        <w:t>IPTV-a SD/HD kvalitete, odnosno troškovi bakrenih parica koji omogućuju ukupnu brzinu u smjeru prema korisniku od barem 8 Mbit/s(</w:t>
      </w:r>
      <w:r w:rsidR="00672C91" w:rsidRPr="005028E4">
        <w:rPr>
          <w:sz w:val="24"/>
          <w:szCs w:val="24"/>
        </w:rPr>
        <w:t>4 Mbit/s za uslugu pristupa internetu i 4 Mbit/s</w:t>
      </w:r>
      <w:r w:rsidR="00B31F9B" w:rsidRPr="005028E4">
        <w:rPr>
          <w:rStyle w:val="FootnoteReference"/>
          <w:sz w:val="24"/>
          <w:szCs w:val="24"/>
        </w:rPr>
        <w:footnoteReference w:id="23"/>
      </w:r>
      <w:r w:rsidR="00672C91" w:rsidRPr="005028E4">
        <w:rPr>
          <w:sz w:val="24"/>
          <w:szCs w:val="24"/>
        </w:rPr>
        <w:t xml:space="preserve"> za IPTV SD/HD kvalitete) i to u</w:t>
      </w:r>
      <w:r w:rsidR="00A60C8A" w:rsidRPr="005028E4">
        <w:rPr>
          <w:sz w:val="24"/>
          <w:szCs w:val="24"/>
        </w:rPr>
        <w:t xml:space="preserve"> područjima pokrivanja MDF-ova na kojima se danas koristi usluga </w:t>
      </w:r>
      <w:r w:rsidR="007E3C26" w:rsidRPr="005028E4">
        <w:rPr>
          <w:sz w:val="24"/>
          <w:szCs w:val="24"/>
        </w:rPr>
        <w:t>LLU</w:t>
      </w:r>
      <w:r w:rsidR="00A60C8A" w:rsidRPr="005028E4">
        <w:rPr>
          <w:sz w:val="24"/>
          <w:szCs w:val="24"/>
        </w:rPr>
        <w:t>-a.</w:t>
      </w:r>
      <w:r w:rsidR="00672C91" w:rsidRPr="005028E4">
        <w:rPr>
          <w:sz w:val="24"/>
          <w:szCs w:val="24"/>
        </w:rPr>
        <w:t xml:space="preserve"> Bakrene parice koje zadovoljavaju navedeni kriterij su dugačke maksimalno 2300 m</w:t>
      </w:r>
      <w:r w:rsidR="00672C91" w:rsidRPr="005028E4">
        <w:rPr>
          <w:rStyle w:val="FootnoteReference"/>
          <w:sz w:val="24"/>
          <w:szCs w:val="24"/>
        </w:rPr>
        <w:footnoteReference w:id="24"/>
      </w:r>
      <w:r w:rsidR="00672C91" w:rsidRPr="005028E4">
        <w:rPr>
          <w:sz w:val="24"/>
          <w:szCs w:val="24"/>
        </w:rPr>
        <w:t xml:space="preserve">. </w:t>
      </w:r>
    </w:p>
    <w:p w:rsidR="00A60C8A" w:rsidRPr="005028E4" w:rsidRDefault="00672C91" w:rsidP="00A60C8A">
      <w:pPr>
        <w:jc w:val="both"/>
        <w:rPr>
          <w:sz w:val="24"/>
          <w:szCs w:val="24"/>
        </w:rPr>
      </w:pPr>
      <w:r w:rsidRPr="005028E4">
        <w:rPr>
          <w:sz w:val="24"/>
          <w:szCs w:val="24"/>
        </w:rPr>
        <w:t xml:space="preserve">Isti kriterij duljine parice </w:t>
      </w:r>
      <w:r w:rsidR="00D84FC4" w:rsidRPr="005028E4">
        <w:rPr>
          <w:sz w:val="24"/>
          <w:szCs w:val="24"/>
        </w:rPr>
        <w:t>primjenjuje</w:t>
      </w:r>
      <w:r w:rsidRPr="005028E4">
        <w:rPr>
          <w:sz w:val="24"/>
          <w:szCs w:val="24"/>
        </w:rPr>
        <w:t xml:space="preserve"> se i kod izračuna troška </w:t>
      </w:r>
      <w:r w:rsidR="00B31F9B" w:rsidRPr="005028E4">
        <w:rPr>
          <w:sz w:val="24"/>
          <w:szCs w:val="24"/>
        </w:rPr>
        <w:t>korištenja</w:t>
      </w:r>
      <w:r w:rsidRPr="005028E4">
        <w:rPr>
          <w:sz w:val="24"/>
          <w:szCs w:val="24"/>
        </w:rPr>
        <w:t xml:space="preserve"> bakren</w:t>
      </w:r>
      <w:r w:rsidR="00B31F9B" w:rsidRPr="005028E4">
        <w:rPr>
          <w:sz w:val="24"/>
          <w:szCs w:val="24"/>
        </w:rPr>
        <w:t>e pristupne</w:t>
      </w:r>
      <w:r w:rsidRPr="005028E4">
        <w:rPr>
          <w:sz w:val="24"/>
          <w:szCs w:val="24"/>
        </w:rPr>
        <w:t xml:space="preserve"> mrež</w:t>
      </w:r>
      <w:r w:rsidR="00B31F9B" w:rsidRPr="005028E4">
        <w:rPr>
          <w:sz w:val="24"/>
          <w:szCs w:val="24"/>
        </w:rPr>
        <w:t>e</w:t>
      </w:r>
      <w:r w:rsidRPr="005028E4">
        <w:rPr>
          <w:sz w:val="24"/>
          <w:szCs w:val="24"/>
        </w:rPr>
        <w:t xml:space="preserve"> kao dijelu usluge</w:t>
      </w:r>
      <w:r w:rsidR="00B31F9B" w:rsidRPr="005028E4">
        <w:rPr>
          <w:sz w:val="24"/>
          <w:szCs w:val="24"/>
        </w:rPr>
        <w:t xml:space="preserve"> bitstream pristupa</w:t>
      </w:r>
      <w:r w:rsidRPr="005028E4">
        <w:rPr>
          <w:sz w:val="24"/>
          <w:szCs w:val="24"/>
        </w:rPr>
        <w:t xml:space="preserve">, međutim, uzimajući u obzir sve takve parice sa područja pokrivanja svih MDF-ova (neovisno o statusu „raspetljanosti“). Naime, trošak </w:t>
      </w:r>
      <w:r w:rsidR="00B31F9B" w:rsidRPr="005028E4">
        <w:rPr>
          <w:sz w:val="24"/>
          <w:szCs w:val="24"/>
        </w:rPr>
        <w:t xml:space="preserve">korištenja </w:t>
      </w:r>
      <w:r w:rsidRPr="005028E4">
        <w:rPr>
          <w:sz w:val="24"/>
          <w:szCs w:val="24"/>
        </w:rPr>
        <w:t>bakren</w:t>
      </w:r>
      <w:r w:rsidR="00B31F9B" w:rsidRPr="005028E4">
        <w:rPr>
          <w:sz w:val="24"/>
          <w:szCs w:val="24"/>
        </w:rPr>
        <w:t>e</w:t>
      </w:r>
      <w:r w:rsidRPr="005028E4">
        <w:rPr>
          <w:sz w:val="24"/>
          <w:szCs w:val="24"/>
        </w:rPr>
        <w:t xml:space="preserve"> pristupn</w:t>
      </w:r>
      <w:r w:rsidR="00B31F9B" w:rsidRPr="005028E4">
        <w:rPr>
          <w:sz w:val="24"/>
          <w:szCs w:val="24"/>
        </w:rPr>
        <w:t xml:space="preserve">e </w:t>
      </w:r>
      <w:r w:rsidRPr="005028E4">
        <w:rPr>
          <w:sz w:val="24"/>
          <w:szCs w:val="24"/>
        </w:rPr>
        <w:t>mrež</w:t>
      </w:r>
      <w:r w:rsidR="00B31F9B" w:rsidRPr="005028E4">
        <w:rPr>
          <w:sz w:val="24"/>
          <w:szCs w:val="24"/>
        </w:rPr>
        <w:t>e</w:t>
      </w:r>
      <w:r w:rsidRPr="005028E4">
        <w:rPr>
          <w:sz w:val="24"/>
          <w:szCs w:val="24"/>
        </w:rPr>
        <w:t xml:space="preserve"> kao di</w:t>
      </w:r>
      <w:r w:rsidR="00B31F9B" w:rsidRPr="005028E4">
        <w:rPr>
          <w:sz w:val="24"/>
          <w:szCs w:val="24"/>
        </w:rPr>
        <w:t>jela</w:t>
      </w:r>
      <w:r w:rsidRPr="005028E4">
        <w:rPr>
          <w:sz w:val="24"/>
          <w:szCs w:val="24"/>
        </w:rPr>
        <w:t xml:space="preserve"> troška usluge</w:t>
      </w:r>
      <w:r w:rsidR="00B31F9B" w:rsidRPr="005028E4">
        <w:rPr>
          <w:sz w:val="24"/>
          <w:szCs w:val="24"/>
        </w:rPr>
        <w:t xml:space="preserve"> bitstream pristupa</w:t>
      </w:r>
      <w:r w:rsidRPr="005028E4">
        <w:rPr>
          <w:sz w:val="24"/>
          <w:szCs w:val="24"/>
        </w:rPr>
        <w:t xml:space="preserve"> se računa kao prosječni ponderirani trošak bakrenih parica duljine do 2300 m na svim tipovima MDF-a (na kojima se koristi </w:t>
      </w:r>
      <w:r w:rsidR="007E3C26" w:rsidRPr="005028E4">
        <w:rPr>
          <w:sz w:val="24"/>
          <w:szCs w:val="24"/>
        </w:rPr>
        <w:t>LLU</w:t>
      </w:r>
      <w:r w:rsidRPr="005028E4">
        <w:rPr>
          <w:sz w:val="24"/>
          <w:szCs w:val="24"/>
        </w:rPr>
        <w:t xml:space="preserve"> usluga i na kojima se ne koristi) uz težinske faktore (pondere) koji su </w:t>
      </w:r>
      <w:r w:rsidR="00D84FC4">
        <w:rPr>
          <w:sz w:val="24"/>
          <w:szCs w:val="24"/>
        </w:rPr>
        <w:t xml:space="preserve">jednaki </w:t>
      </w:r>
      <w:r w:rsidR="00932C8F" w:rsidRPr="005028E4">
        <w:rPr>
          <w:sz w:val="24"/>
          <w:szCs w:val="24"/>
        </w:rPr>
        <w:t xml:space="preserve">postotcima </w:t>
      </w:r>
      <w:r w:rsidR="00B31F9B" w:rsidRPr="005028E4">
        <w:rPr>
          <w:sz w:val="24"/>
          <w:szCs w:val="24"/>
        </w:rPr>
        <w:t xml:space="preserve">bitstream </w:t>
      </w:r>
      <w:r w:rsidR="00932C8F" w:rsidRPr="005028E4">
        <w:rPr>
          <w:sz w:val="24"/>
          <w:szCs w:val="24"/>
        </w:rPr>
        <w:t>linija u područjima „raspetljanih“, odnosno „neraspetljanih“ MDF-ova.</w:t>
      </w:r>
    </w:p>
    <w:p w:rsidR="00932C8F" w:rsidRPr="005028E4" w:rsidRDefault="00932C8F" w:rsidP="00A60C8A">
      <w:pPr>
        <w:jc w:val="both"/>
        <w:rPr>
          <w:sz w:val="24"/>
          <w:szCs w:val="24"/>
        </w:rPr>
      </w:pPr>
      <w:r w:rsidRPr="005028E4">
        <w:rPr>
          <w:sz w:val="24"/>
          <w:szCs w:val="24"/>
        </w:rPr>
        <w:t xml:space="preserve">Opcija 2 podrazumijeva izračun jedinstvene cijene </w:t>
      </w:r>
      <w:r w:rsidR="007E3C26" w:rsidRPr="005028E4">
        <w:rPr>
          <w:sz w:val="24"/>
          <w:szCs w:val="24"/>
        </w:rPr>
        <w:t>LLU</w:t>
      </w:r>
      <w:r w:rsidRPr="005028E4">
        <w:rPr>
          <w:sz w:val="24"/>
          <w:szCs w:val="24"/>
        </w:rPr>
        <w:t xml:space="preserve"> usluge, odnosno naknade za korištenje </w:t>
      </w:r>
      <w:r w:rsidR="00B31F9B" w:rsidRPr="005028E4">
        <w:rPr>
          <w:sz w:val="24"/>
          <w:szCs w:val="24"/>
        </w:rPr>
        <w:t xml:space="preserve">bakrene pristupne mreže kao dijela cijene </w:t>
      </w:r>
      <w:r w:rsidRPr="005028E4">
        <w:rPr>
          <w:sz w:val="24"/>
          <w:szCs w:val="24"/>
        </w:rPr>
        <w:t>usluge</w:t>
      </w:r>
      <w:r w:rsidR="00B31F9B" w:rsidRPr="005028E4">
        <w:rPr>
          <w:sz w:val="24"/>
          <w:szCs w:val="24"/>
        </w:rPr>
        <w:t xml:space="preserve"> bitstream pristupa</w:t>
      </w:r>
      <w:r w:rsidRPr="005028E4">
        <w:rPr>
          <w:sz w:val="24"/>
          <w:szCs w:val="24"/>
        </w:rPr>
        <w:t xml:space="preserve">, koja se računa kao prosječni ponderirani trošak </w:t>
      </w:r>
      <w:r w:rsidR="007E3C26" w:rsidRPr="005028E4">
        <w:rPr>
          <w:sz w:val="24"/>
          <w:szCs w:val="24"/>
        </w:rPr>
        <w:t>LLU</w:t>
      </w:r>
      <w:r w:rsidRPr="005028E4">
        <w:rPr>
          <w:sz w:val="24"/>
          <w:szCs w:val="24"/>
        </w:rPr>
        <w:t xml:space="preserve"> usluge, odnosno naknade za korištenje bakrene pristupne mreže </w:t>
      </w:r>
      <w:r w:rsidR="00B31F9B" w:rsidRPr="005028E4">
        <w:rPr>
          <w:sz w:val="24"/>
          <w:szCs w:val="24"/>
        </w:rPr>
        <w:t xml:space="preserve">kao dijela </w:t>
      </w:r>
      <w:r w:rsidR="00B6359E" w:rsidRPr="005028E4">
        <w:rPr>
          <w:sz w:val="24"/>
          <w:szCs w:val="24"/>
        </w:rPr>
        <w:t xml:space="preserve">cijene </w:t>
      </w:r>
      <w:r w:rsidRPr="005028E4">
        <w:rPr>
          <w:sz w:val="24"/>
          <w:szCs w:val="24"/>
        </w:rPr>
        <w:t>usluge</w:t>
      </w:r>
      <w:r w:rsidR="00B31F9B" w:rsidRPr="005028E4">
        <w:rPr>
          <w:sz w:val="24"/>
          <w:szCs w:val="24"/>
        </w:rPr>
        <w:t xml:space="preserve"> bitstream pristupa</w:t>
      </w:r>
      <w:r w:rsidRPr="005028E4">
        <w:rPr>
          <w:sz w:val="24"/>
          <w:szCs w:val="24"/>
        </w:rPr>
        <w:t xml:space="preserve">, kako je prethodno opisano. Pri tom su težinski faktori (ponderi) </w:t>
      </w:r>
      <w:r w:rsidR="009D64AF">
        <w:rPr>
          <w:sz w:val="24"/>
          <w:szCs w:val="24"/>
        </w:rPr>
        <w:t xml:space="preserve">jednaki </w:t>
      </w:r>
      <w:r w:rsidRPr="005028E4">
        <w:rPr>
          <w:sz w:val="24"/>
          <w:szCs w:val="24"/>
        </w:rPr>
        <w:t xml:space="preserve">udjelu </w:t>
      </w:r>
      <w:r w:rsidR="007E3C26" w:rsidRPr="005028E4">
        <w:rPr>
          <w:sz w:val="24"/>
          <w:szCs w:val="24"/>
        </w:rPr>
        <w:t>LLU</w:t>
      </w:r>
      <w:r w:rsidRPr="005028E4">
        <w:rPr>
          <w:sz w:val="24"/>
          <w:szCs w:val="24"/>
        </w:rPr>
        <w:t>, odnosno usluga</w:t>
      </w:r>
      <w:r w:rsidR="00B31F9B" w:rsidRPr="005028E4">
        <w:rPr>
          <w:sz w:val="24"/>
          <w:szCs w:val="24"/>
        </w:rPr>
        <w:t xml:space="preserve"> bitstream pristupa</w:t>
      </w:r>
      <w:r w:rsidRPr="005028E4">
        <w:rPr>
          <w:sz w:val="24"/>
          <w:szCs w:val="24"/>
        </w:rPr>
        <w:t xml:space="preserve"> u veleprodajnim uslugama (</w:t>
      </w:r>
      <w:r w:rsidR="007E3C26" w:rsidRPr="005028E4">
        <w:rPr>
          <w:sz w:val="24"/>
          <w:szCs w:val="24"/>
        </w:rPr>
        <w:t>LLU</w:t>
      </w:r>
      <w:r w:rsidRPr="005028E4">
        <w:rPr>
          <w:sz w:val="24"/>
          <w:szCs w:val="24"/>
        </w:rPr>
        <w:t xml:space="preserve"> + BSA) putem kojih se pruža usluga širokopojasnog pristupa krajnjim korisnicima.</w:t>
      </w:r>
      <w:r w:rsidR="007B0EAA" w:rsidRPr="005028E4">
        <w:rPr>
          <w:sz w:val="24"/>
          <w:szCs w:val="24"/>
        </w:rPr>
        <w:t xml:space="preserve"> Jedinstvena cijena za </w:t>
      </w:r>
      <w:r w:rsidR="007E3C26" w:rsidRPr="005028E4">
        <w:rPr>
          <w:sz w:val="24"/>
          <w:szCs w:val="24"/>
        </w:rPr>
        <w:t>LLU</w:t>
      </w:r>
      <w:r w:rsidR="007B0EAA" w:rsidRPr="005028E4">
        <w:rPr>
          <w:sz w:val="24"/>
          <w:szCs w:val="24"/>
        </w:rPr>
        <w:t xml:space="preserve"> uslugu i pristup bakrenoj mreži kod BSA usluge je opravdana</w:t>
      </w:r>
      <w:r w:rsidR="003B2828" w:rsidRPr="005028E4">
        <w:rPr>
          <w:sz w:val="24"/>
          <w:szCs w:val="24"/>
        </w:rPr>
        <w:t xml:space="preserve"> budući da obje usluge koriste iste mrežne elemente t</w:t>
      </w:r>
      <w:r w:rsidR="007B0EAA" w:rsidRPr="005028E4">
        <w:rPr>
          <w:sz w:val="24"/>
          <w:szCs w:val="24"/>
        </w:rPr>
        <w:t>e</w:t>
      </w:r>
      <w:r w:rsidR="003B2828" w:rsidRPr="005028E4">
        <w:rPr>
          <w:sz w:val="24"/>
          <w:szCs w:val="24"/>
        </w:rPr>
        <w:t xml:space="preserve"> se</w:t>
      </w:r>
      <w:r w:rsidR="007B0EAA" w:rsidRPr="005028E4">
        <w:rPr>
          <w:sz w:val="24"/>
          <w:szCs w:val="24"/>
        </w:rPr>
        <w:t xml:space="preserve"> na taj način izjednačavaju troškovi pružanja usluga širokopojasnog pristupa na cijelom području Republike Hrvatske. Naime, ako bi imali različite cijene za </w:t>
      </w:r>
      <w:r w:rsidR="007E3C26" w:rsidRPr="005028E4">
        <w:rPr>
          <w:sz w:val="24"/>
          <w:szCs w:val="24"/>
        </w:rPr>
        <w:t>LLU</w:t>
      </w:r>
      <w:r w:rsidR="007B0EAA" w:rsidRPr="005028E4">
        <w:rPr>
          <w:sz w:val="24"/>
          <w:szCs w:val="24"/>
        </w:rPr>
        <w:t xml:space="preserve"> uslugu i </w:t>
      </w:r>
      <w:r w:rsidR="00B31F9B" w:rsidRPr="005028E4">
        <w:rPr>
          <w:sz w:val="24"/>
          <w:szCs w:val="24"/>
        </w:rPr>
        <w:t xml:space="preserve">naknade za korištenje </w:t>
      </w:r>
      <w:r w:rsidR="007B0EAA" w:rsidRPr="005028E4">
        <w:rPr>
          <w:sz w:val="24"/>
          <w:szCs w:val="24"/>
        </w:rPr>
        <w:t>bakren</w:t>
      </w:r>
      <w:r w:rsidR="00B31F9B" w:rsidRPr="005028E4">
        <w:rPr>
          <w:sz w:val="24"/>
          <w:szCs w:val="24"/>
        </w:rPr>
        <w:t>e pristupne</w:t>
      </w:r>
      <w:r w:rsidR="007B0EAA" w:rsidRPr="005028E4">
        <w:rPr>
          <w:sz w:val="24"/>
          <w:szCs w:val="24"/>
        </w:rPr>
        <w:t xml:space="preserve"> mrež</w:t>
      </w:r>
      <w:r w:rsidR="00B31F9B" w:rsidRPr="005028E4">
        <w:rPr>
          <w:sz w:val="24"/>
          <w:szCs w:val="24"/>
        </w:rPr>
        <w:t>e</w:t>
      </w:r>
      <w:r w:rsidR="007B0EAA" w:rsidRPr="005028E4">
        <w:rPr>
          <w:sz w:val="24"/>
          <w:szCs w:val="24"/>
        </w:rPr>
        <w:t xml:space="preserve"> kao di</w:t>
      </w:r>
      <w:r w:rsidR="00B31F9B" w:rsidRPr="005028E4">
        <w:rPr>
          <w:sz w:val="24"/>
          <w:szCs w:val="24"/>
        </w:rPr>
        <w:t xml:space="preserve">jela </w:t>
      </w:r>
      <w:r w:rsidR="00B6359E" w:rsidRPr="005028E4">
        <w:rPr>
          <w:sz w:val="24"/>
          <w:szCs w:val="24"/>
        </w:rPr>
        <w:t xml:space="preserve">cijene </w:t>
      </w:r>
      <w:r w:rsidR="007B0EAA" w:rsidRPr="005028E4">
        <w:rPr>
          <w:sz w:val="24"/>
          <w:szCs w:val="24"/>
        </w:rPr>
        <w:t>usluge</w:t>
      </w:r>
      <w:r w:rsidR="00B31F9B" w:rsidRPr="005028E4">
        <w:rPr>
          <w:sz w:val="24"/>
          <w:szCs w:val="24"/>
        </w:rPr>
        <w:t xml:space="preserve"> bitstream pristupa</w:t>
      </w:r>
      <w:r w:rsidR="003B2828" w:rsidRPr="005028E4">
        <w:rPr>
          <w:sz w:val="24"/>
          <w:szCs w:val="24"/>
        </w:rPr>
        <w:t>, a s obzirom da razlika u jediničnim troškovima tih usluga proizlazi prvenstveno iz demografskih ra</w:t>
      </w:r>
      <w:r w:rsidR="009655C7" w:rsidRPr="005028E4">
        <w:rPr>
          <w:sz w:val="24"/>
          <w:szCs w:val="24"/>
        </w:rPr>
        <w:t>zlika (manja</w:t>
      </w:r>
      <w:r w:rsidR="003B2828" w:rsidRPr="005028E4">
        <w:rPr>
          <w:sz w:val="24"/>
          <w:szCs w:val="24"/>
        </w:rPr>
        <w:t xml:space="preserve"> gustoća naseljenosti), troškovi pružanja maloprodajnih usluga korisnicima koji žive u takvim područjima bi bili veći, što bi u konačnici imalo negativan utjecaj na tržišno natjecanje i razvoj širokopojasnog pristupa u tim područjima.</w:t>
      </w:r>
    </w:p>
    <w:p w:rsidR="007B0EAA" w:rsidRPr="005028E4" w:rsidRDefault="007B0EAA" w:rsidP="007B0EAA">
      <w:pPr>
        <w:jc w:val="both"/>
        <w:rPr>
          <w:sz w:val="24"/>
          <w:szCs w:val="24"/>
        </w:rPr>
      </w:pPr>
      <w:r w:rsidRPr="005028E4">
        <w:rPr>
          <w:sz w:val="24"/>
          <w:szCs w:val="24"/>
        </w:rPr>
        <w:t xml:space="preserve">Odabir Opcije 2 pretpostavlja </w:t>
      </w:r>
      <w:r w:rsidR="00810BB9" w:rsidRPr="005028E4">
        <w:rPr>
          <w:sz w:val="24"/>
          <w:szCs w:val="24"/>
        </w:rPr>
        <w:t xml:space="preserve">i </w:t>
      </w:r>
      <w:r w:rsidRPr="005028E4">
        <w:rPr>
          <w:sz w:val="24"/>
          <w:szCs w:val="24"/>
        </w:rPr>
        <w:t xml:space="preserve">da se usluga </w:t>
      </w:r>
      <w:r w:rsidR="007E3C26" w:rsidRPr="005028E4">
        <w:rPr>
          <w:sz w:val="24"/>
          <w:szCs w:val="24"/>
        </w:rPr>
        <w:t>LLU</w:t>
      </w:r>
      <w:r w:rsidRPr="005028E4">
        <w:rPr>
          <w:sz w:val="24"/>
          <w:szCs w:val="24"/>
        </w:rPr>
        <w:t xml:space="preserve">-a neće početi koristiti na MDF-ovima na kojima se trenutno ne koristi. To nosi određeni rizik da HT ne bi imao povrat stvarnih troškova ukoliko bi se </w:t>
      </w:r>
      <w:r w:rsidR="007E3C26" w:rsidRPr="005028E4">
        <w:rPr>
          <w:sz w:val="24"/>
          <w:szCs w:val="24"/>
        </w:rPr>
        <w:t>LLU</w:t>
      </w:r>
      <w:r w:rsidRPr="005028E4">
        <w:rPr>
          <w:sz w:val="24"/>
          <w:szCs w:val="24"/>
        </w:rPr>
        <w:t xml:space="preserve"> usluga ipak počela koristiti na novim MDF-ovima. Međutim, uzimajući u obzir činjenice da se u proteklom razdoblju to nije dogodilo te trend pada korištenja </w:t>
      </w:r>
      <w:r w:rsidR="007E3C26" w:rsidRPr="005028E4">
        <w:rPr>
          <w:sz w:val="24"/>
          <w:szCs w:val="24"/>
        </w:rPr>
        <w:t>LLU</w:t>
      </w:r>
      <w:r w:rsidRPr="005028E4">
        <w:rPr>
          <w:sz w:val="24"/>
          <w:szCs w:val="24"/>
        </w:rPr>
        <w:t xml:space="preserve"> usluga (opisan u poglavlju </w:t>
      </w:r>
      <w:r w:rsidRPr="005028E4">
        <w:rPr>
          <w:sz w:val="24"/>
          <w:szCs w:val="24"/>
        </w:rPr>
        <w:fldChar w:fldCharType="begin"/>
      </w:r>
      <w:r w:rsidRPr="005028E4">
        <w:rPr>
          <w:sz w:val="24"/>
          <w:szCs w:val="24"/>
        </w:rPr>
        <w:instrText xml:space="preserve"> REF _Ref52287078 \r \h </w:instrText>
      </w:r>
      <w:r w:rsidRPr="005028E4">
        <w:rPr>
          <w:sz w:val="24"/>
          <w:szCs w:val="24"/>
        </w:rPr>
      </w:r>
      <w:r w:rsidRPr="005028E4">
        <w:rPr>
          <w:sz w:val="24"/>
          <w:szCs w:val="24"/>
        </w:rPr>
        <w:fldChar w:fldCharType="separate"/>
      </w:r>
      <w:r w:rsidR="00B047B3">
        <w:rPr>
          <w:sz w:val="24"/>
          <w:szCs w:val="24"/>
        </w:rPr>
        <w:t>3.5</w:t>
      </w:r>
      <w:r w:rsidRPr="005028E4">
        <w:rPr>
          <w:sz w:val="24"/>
          <w:szCs w:val="24"/>
        </w:rPr>
        <w:fldChar w:fldCharType="end"/>
      </w:r>
      <w:r w:rsidRPr="005028E4">
        <w:rPr>
          <w:sz w:val="24"/>
          <w:szCs w:val="24"/>
        </w:rPr>
        <w:t xml:space="preserve">), HAKOM smatra da je vjerojatnost da se to dogodi vrlo niska. Ako bi do toga i došlo, s obzirom da operatori </w:t>
      </w:r>
      <w:r w:rsidR="007E3C26" w:rsidRPr="005028E4">
        <w:rPr>
          <w:sz w:val="24"/>
          <w:szCs w:val="24"/>
        </w:rPr>
        <w:t>LLU</w:t>
      </w:r>
      <w:r w:rsidRPr="005028E4">
        <w:rPr>
          <w:sz w:val="24"/>
          <w:szCs w:val="24"/>
        </w:rPr>
        <w:t xml:space="preserve"> uslugu koriste u područjima s nižim jediničnim troškovima, to nužno ne znači da bi se značajno povećali jedinični troškovi </w:t>
      </w:r>
      <w:r w:rsidR="007E3C26" w:rsidRPr="005028E4">
        <w:rPr>
          <w:sz w:val="24"/>
          <w:szCs w:val="24"/>
        </w:rPr>
        <w:t>LLU</w:t>
      </w:r>
      <w:r w:rsidRPr="005028E4">
        <w:rPr>
          <w:sz w:val="24"/>
          <w:szCs w:val="24"/>
        </w:rPr>
        <w:t xml:space="preserve">-usluge, odnosno da HT ne bi ostvario povrat svih troškova. S druge strane, puno je veća vjerojatnost da neće doći do korištenja </w:t>
      </w:r>
      <w:r w:rsidR="007E3C26" w:rsidRPr="005028E4">
        <w:rPr>
          <w:sz w:val="24"/>
          <w:szCs w:val="24"/>
        </w:rPr>
        <w:t>LLU</w:t>
      </w:r>
      <w:r w:rsidRPr="005028E4">
        <w:rPr>
          <w:sz w:val="24"/>
          <w:szCs w:val="24"/>
        </w:rPr>
        <w:t xml:space="preserve"> usluge na dodatnim MDF-ovima u odnosu na MDF-ove na kojima se trenutno koristi i rizik da bi, ako se ne bi odabrala Opcija 2 kod određivanja cijene usluge </w:t>
      </w:r>
      <w:r w:rsidR="007E3C26" w:rsidRPr="005028E4">
        <w:rPr>
          <w:sz w:val="24"/>
          <w:szCs w:val="24"/>
        </w:rPr>
        <w:t>LLU</w:t>
      </w:r>
      <w:r w:rsidRPr="005028E4">
        <w:rPr>
          <w:sz w:val="24"/>
          <w:szCs w:val="24"/>
        </w:rPr>
        <w:t>-a, HT ostvarivao veći povrat od stvarnih troškova.</w:t>
      </w:r>
    </w:p>
    <w:p w:rsidR="004D4A9D" w:rsidRPr="005028E4" w:rsidRDefault="0023561C" w:rsidP="00A60C8A">
      <w:pPr>
        <w:jc w:val="both"/>
        <w:rPr>
          <w:sz w:val="24"/>
          <w:szCs w:val="24"/>
        </w:rPr>
      </w:pPr>
      <w:r w:rsidRPr="005028E4">
        <w:rPr>
          <w:sz w:val="24"/>
          <w:szCs w:val="24"/>
        </w:rPr>
        <w:t>HAKOM je dakle mišljenja, uzimajući u obzir</w:t>
      </w:r>
      <w:r w:rsidR="00262825" w:rsidRPr="005028E4">
        <w:rPr>
          <w:sz w:val="24"/>
          <w:szCs w:val="24"/>
        </w:rPr>
        <w:t xml:space="preserve"> gore navedeno, </w:t>
      </w:r>
      <w:r w:rsidRPr="005028E4">
        <w:rPr>
          <w:sz w:val="24"/>
          <w:szCs w:val="24"/>
        </w:rPr>
        <w:t>da primjena Opcije 2 u određivan</w:t>
      </w:r>
      <w:r w:rsidR="00262825" w:rsidRPr="005028E4">
        <w:rPr>
          <w:sz w:val="24"/>
          <w:szCs w:val="24"/>
        </w:rPr>
        <w:t>j</w:t>
      </w:r>
      <w:r w:rsidRPr="005028E4">
        <w:rPr>
          <w:sz w:val="24"/>
          <w:szCs w:val="24"/>
        </w:rPr>
        <w:t xml:space="preserve">u cijene </w:t>
      </w:r>
      <w:r w:rsidR="007E3C26" w:rsidRPr="005028E4">
        <w:rPr>
          <w:sz w:val="24"/>
          <w:szCs w:val="24"/>
        </w:rPr>
        <w:t>LLU</w:t>
      </w:r>
      <w:r w:rsidRPr="005028E4">
        <w:rPr>
          <w:sz w:val="24"/>
          <w:szCs w:val="24"/>
        </w:rPr>
        <w:t xml:space="preserve"> usluge </w:t>
      </w:r>
      <w:r w:rsidR="003B2828" w:rsidRPr="005028E4">
        <w:rPr>
          <w:sz w:val="24"/>
          <w:szCs w:val="24"/>
        </w:rPr>
        <w:t xml:space="preserve">više </w:t>
      </w:r>
      <w:r w:rsidRPr="005028E4">
        <w:rPr>
          <w:sz w:val="24"/>
          <w:szCs w:val="24"/>
        </w:rPr>
        <w:t xml:space="preserve">doprinosi ostvarenju ciljeva iz poglavlja </w:t>
      </w:r>
      <w:r w:rsidRPr="005028E4">
        <w:rPr>
          <w:sz w:val="24"/>
          <w:szCs w:val="24"/>
        </w:rPr>
        <w:fldChar w:fldCharType="begin"/>
      </w:r>
      <w:r w:rsidRPr="005028E4">
        <w:rPr>
          <w:sz w:val="24"/>
          <w:szCs w:val="24"/>
        </w:rPr>
        <w:instrText xml:space="preserve"> REF _Ref52287742 \r \h </w:instrText>
      </w:r>
      <w:r w:rsidR="007F6DF9" w:rsidRPr="005028E4">
        <w:rPr>
          <w:sz w:val="24"/>
          <w:szCs w:val="24"/>
        </w:rPr>
        <w:instrText xml:space="preserve"> \* MERGEFORMAT </w:instrText>
      </w:r>
      <w:r w:rsidRPr="005028E4">
        <w:rPr>
          <w:sz w:val="24"/>
          <w:szCs w:val="24"/>
        </w:rPr>
      </w:r>
      <w:r w:rsidRPr="005028E4">
        <w:rPr>
          <w:sz w:val="24"/>
          <w:szCs w:val="24"/>
        </w:rPr>
        <w:fldChar w:fldCharType="separate"/>
      </w:r>
      <w:r w:rsidR="00B047B3">
        <w:rPr>
          <w:sz w:val="24"/>
          <w:szCs w:val="24"/>
        </w:rPr>
        <w:t>5</w:t>
      </w:r>
      <w:r w:rsidRPr="005028E4">
        <w:rPr>
          <w:sz w:val="24"/>
          <w:szCs w:val="24"/>
        </w:rPr>
        <w:fldChar w:fldCharType="end"/>
      </w:r>
      <w:r w:rsidR="003B2828" w:rsidRPr="005028E4">
        <w:rPr>
          <w:sz w:val="24"/>
          <w:szCs w:val="24"/>
        </w:rPr>
        <w:t xml:space="preserve"> od Opcije 1</w:t>
      </w:r>
      <w:r w:rsidRPr="005028E4">
        <w:rPr>
          <w:sz w:val="24"/>
          <w:szCs w:val="24"/>
        </w:rPr>
        <w:t xml:space="preserve">, </w:t>
      </w:r>
      <w:r w:rsidR="00262825" w:rsidRPr="005028E4">
        <w:rPr>
          <w:sz w:val="24"/>
          <w:szCs w:val="24"/>
        </w:rPr>
        <w:t>odnosno da promiče učinkovitost, promiče održivo tržišno natjecanje i osigurava najveće koristi za krajnje korisnike.</w:t>
      </w:r>
    </w:p>
    <w:p w:rsidR="00DF6FED" w:rsidRPr="005028E4" w:rsidRDefault="00DF6FED" w:rsidP="00A60C8A">
      <w:pPr>
        <w:jc w:val="both"/>
        <w:rPr>
          <w:sz w:val="24"/>
          <w:szCs w:val="24"/>
        </w:rPr>
      </w:pPr>
      <w:r w:rsidRPr="005028E4">
        <w:rPr>
          <w:sz w:val="24"/>
          <w:szCs w:val="24"/>
        </w:rPr>
        <w:fldChar w:fldCharType="begin"/>
      </w:r>
      <w:r w:rsidRPr="005028E4">
        <w:rPr>
          <w:sz w:val="24"/>
          <w:szCs w:val="24"/>
        </w:rPr>
        <w:instrText xml:space="preserve"> REF _Ref52290967 \h  \* MERGEFORMAT </w:instrText>
      </w:r>
      <w:r w:rsidRPr="005028E4">
        <w:rPr>
          <w:sz w:val="24"/>
          <w:szCs w:val="24"/>
        </w:rPr>
      </w:r>
      <w:r w:rsidRPr="005028E4">
        <w:rPr>
          <w:sz w:val="24"/>
          <w:szCs w:val="24"/>
        </w:rPr>
        <w:fldChar w:fldCharType="separate"/>
      </w:r>
      <w:r w:rsidR="00B047B3" w:rsidRPr="00B047B3">
        <w:rPr>
          <w:sz w:val="24"/>
          <w:szCs w:val="24"/>
        </w:rPr>
        <w:t xml:space="preserve">Tablica </w:t>
      </w:r>
      <w:r w:rsidR="00B047B3" w:rsidRPr="00B047B3">
        <w:rPr>
          <w:noProof/>
          <w:sz w:val="24"/>
          <w:szCs w:val="24"/>
        </w:rPr>
        <w:t>11</w:t>
      </w:r>
      <w:r w:rsidRPr="005028E4">
        <w:rPr>
          <w:sz w:val="24"/>
          <w:szCs w:val="24"/>
        </w:rPr>
        <w:fldChar w:fldCharType="end"/>
      </w:r>
      <w:r w:rsidRPr="005028E4">
        <w:rPr>
          <w:sz w:val="24"/>
          <w:szCs w:val="24"/>
        </w:rPr>
        <w:t xml:space="preserve"> prikazuje jedinični trošak pružanja </w:t>
      </w:r>
      <w:r w:rsidR="007E3C26" w:rsidRPr="005028E4">
        <w:rPr>
          <w:sz w:val="24"/>
          <w:szCs w:val="24"/>
        </w:rPr>
        <w:t>LLU</w:t>
      </w:r>
      <w:r w:rsidRPr="005028E4">
        <w:rPr>
          <w:sz w:val="24"/>
          <w:szCs w:val="24"/>
        </w:rPr>
        <w:t xml:space="preserve"> usluge po godinama od 2021-2027., koji je rezultat Troškovnog modela uz primjenu odabrane Opcije 2.</w:t>
      </w:r>
      <w:r w:rsidR="007F6DF9" w:rsidRPr="005028E4">
        <w:rPr>
          <w:sz w:val="24"/>
          <w:szCs w:val="24"/>
        </w:rPr>
        <w:t xml:space="preserve"> Dakle, na osnovu jediničnih troškova </w:t>
      </w:r>
      <w:r w:rsidR="007E3C26" w:rsidRPr="005028E4">
        <w:rPr>
          <w:sz w:val="24"/>
          <w:szCs w:val="24"/>
        </w:rPr>
        <w:t>LLU</w:t>
      </w:r>
      <w:r w:rsidR="007F6DF9" w:rsidRPr="005028E4">
        <w:rPr>
          <w:sz w:val="24"/>
          <w:szCs w:val="24"/>
        </w:rPr>
        <w:t xml:space="preserve"> usluge</w:t>
      </w:r>
      <w:r w:rsidR="00586B80" w:rsidRPr="005028E4">
        <w:rPr>
          <w:sz w:val="24"/>
          <w:szCs w:val="24"/>
        </w:rPr>
        <w:t xml:space="preserve"> i troškova </w:t>
      </w:r>
      <w:r w:rsidR="00810BB9" w:rsidRPr="005028E4">
        <w:rPr>
          <w:sz w:val="24"/>
          <w:szCs w:val="24"/>
        </w:rPr>
        <w:t>korištenja</w:t>
      </w:r>
      <w:r w:rsidR="00586B80" w:rsidRPr="005028E4">
        <w:rPr>
          <w:sz w:val="24"/>
          <w:szCs w:val="24"/>
        </w:rPr>
        <w:t xml:space="preserve"> bakren</w:t>
      </w:r>
      <w:r w:rsidR="00810BB9" w:rsidRPr="005028E4">
        <w:rPr>
          <w:sz w:val="24"/>
          <w:szCs w:val="24"/>
        </w:rPr>
        <w:t>e pristupne</w:t>
      </w:r>
      <w:r w:rsidR="00586B80" w:rsidRPr="005028E4">
        <w:rPr>
          <w:sz w:val="24"/>
          <w:szCs w:val="24"/>
        </w:rPr>
        <w:t xml:space="preserve"> mrež</w:t>
      </w:r>
      <w:r w:rsidR="00810BB9" w:rsidRPr="005028E4">
        <w:rPr>
          <w:sz w:val="24"/>
          <w:szCs w:val="24"/>
        </w:rPr>
        <w:t>e ako dijela usluge bitstream pristupa</w:t>
      </w:r>
      <w:r w:rsidR="007F6DF9" w:rsidRPr="005028E4">
        <w:rPr>
          <w:sz w:val="24"/>
          <w:szCs w:val="24"/>
        </w:rPr>
        <w:t xml:space="preserve"> iz </w:t>
      </w:r>
      <w:r w:rsidR="00586B80" w:rsidRPr="005028E4">
        <w:rPr>
          <w:sz w:val="24"/>
          <w:szCs w:val="24"/>
        </w:rPr>
        <w:t>donje tablice</w:t>
      </w:r>
      <w:r w:rsidR="007F6DF9" w:rsidRPr="005028E4">
        <w:rPr>
          <w:sz w:val="24"/>
          <w:szCs w:val="24"/>
        </w:rPr>
        <w:t xml:space="preserve">, primjenom Opcije 1 iz poglavlja </w:t>
      </w:r>
      <w:r w:rsidR="007F6DF9" w:rsidRPr="005028E4">
        <w:rPr>
          <w:sz w:val="24"/>
          <w:szCs w:val="24"/>
        </w:rPr>
        <w:fldChar w:fldCharType="begin"/>
      </w:r>
      <w:r w:rsidR="007F6DF9" w:rsidRPr="005028E4">
        <w:rPr>
          <w:sz w:val="24"/>
          <w:szCs w:val="24"/>
        </w:rPr>
        <w:instrText xml:space="preserve"> REF _Ref53063530 \r \h  \* MERGEFORMAT </w:instrText>
      </w:r>
      <w:r w:rsidR="007F6DF9" w:rsidRPr="005028E4">
        <w:rPr>
          <w:sz w:val="24"/>
          <w:szCs w:val="24"/>
        </w:rPr>
      </w:r>
      <w:r w:rsidR="007F6DF9" w:rsidRPr="005028E4">
        <w:rPr>
          <w:sz w:val="24"/>
          <w:szCs w:val="24"/>
        </w:rPr>
        <w:fldChar w:fldCharType="separate"/>
      </w:r>
      <w:r w:rsidR="00B047B3">
        <w:rPr>
          <w:sz w:val="24"/>
          <w:szCs w:val="24"/>
        </w:rPr>
        <w:t>5.2</w:t>
      </w:r>
      <w:r w:rsidR="007F6DF9" w:rsidRPr="005028E4">
        <w:rPr>
          <w:sz w:val="24"/>
          <w:szCs w:val="24"/>
        </w:rPr>
        <w:fldChar w:fldCharType="end"/>
      </w:r>
      <w:r w:rsidR="007F6DF9" w:rsidRPr="005028E4">
        <w:rPr>
          <w:sz w:val="24"/>
          <w:szCs w:val="24"/>
        </w:rPr>
        <w:t xml:space="preserve"> izračunati će se jedinstvena cijena </w:t>
      </w:r>
      <w:r w:rsidR="007E3C26" w:rsidRPr="005028E4">
        <w:rPr>
          <w:sz w:val="24"/>
          <w:szCs w:val="24"/>
        </w:rPr>
        <w:t>LLU</w:t>
      </w:r>
      <w:r w:rsidR="007F6DF9" w:rsidRPr="005028E4">
        <w:rPr>
          <w:sz w:val="24"/>
          <w:szCs w:val="24"/>
        </w:rPr>
        <w:t xml:space="preserve"> usluge kao </w:t>
      </w:r>
      <w:r w:rsidR="00586B80" w:rsidRPr="005028E4">
        <w:rPr>
          <w:sz w:val="24"/>
          <w:szCs w:val="24"/>
        </w:rPr>
        <w:t xml:space="preserve">ponderirani prosjek troškova </w:t>
      </w:r>
      <w:r w:rsidR="007E3C26" w:rsidRPr="005028E4">
        <w:rPr>
          <w:sz w:val="24"/>
          <w:szCs w:val="24"/>
        </w:rPr>
        <w:t>LLU</w:t>
      </w:r>
      <w:r w:rsidR="00586B80" w:rsidRPr="005028E4">
        <w:rPr>
          <w:sz w:val="24"/>
          <w:szCs w:val="24"/>
        </w:rPr>
        <w:t xml:space="preserve"> usluge i </w:t>
      </w:r>
      <w:r w:rsidR="00E30FD2" w:rsidRPr="005028E4">
        <w:rPr>
          <w:sz w:val="24"/>
          <w:szCs w:val="24"/>
        </w:rPr>
        <w:t>troškova korištenja</w:t>
      </w:r>
      <w:r w:rsidR="00810BB9" w:rsidRPr="005028E4">
        <w:rPr>
          <w:sz w:val="24"/>
          <w:szCs w:val="24"/>
        </w:rPr>
        <w:t xml:space="preserve"> bakrene </w:t>
      </w:r>
      <w:r w:rsidR="00586B80" w:rsidRPr="005028E4">
        <w:rPr>
          <w:sz w:val="24"/>
          <w:szCs w:val="24"/>
        </w:rPr>
        <w:t>pristup</w:t>
      </w:r>
      <w:r w:rsidR="00810BB9" w:rsidRPr="005028E4">
        <w:rPr>
          <w:sz w:val="24"/>
          <w:szCs w:val="24"/>
        </w:rPr>
        <w:t xml:space="preserve">ne </w:t>
      </w:r>
      <w:r w:rsidR="00586B80" w:rsidRPr="005028E4">
        <w:rPr>
          <w:sz w:val="24"/>
          <w:szCs w:val="24"/>
        </w:rPr>
        <w:t>mrež</w:t>
      </w:r>
      <w:r w:rsidR="00810BB9" w:rsidRPr="005028E4">
        <w:rPr>
          <w:sz w:val="24"/>
          <w:szCs w:val="24"/>
        </w:rPr>
        <w:t xml:space="preserve">e kao </w:t>
      </w:r>
      <w:r w:rsidR="00E30FD2" w:rsidRPr="005028E4">
        <w:rPr>
          <w:sz w:val="24"/>
          <w:szCs w:val="24"/>
        </w:rPr>
        <w:t xml:space="preserve">dijela </w:t>
      </w:r>
      <w:r w:rsidR="00B6359E" w:rsidRPr="005028E4">
        <w:rPr>
          <w:sz w:val="24"/>
          <w:szCs w:val="24"/>
        </w:rPr>
        <w:t xml:space="preserve">troškova </w:t>
      </w:r>
      <w:r w:rsidR="00586B80" w:rsidRPr="005028E4">
        <w:rPr>
          <w:sz w:val="24"/>
          <w:szCs w:val="24"/>
        </w:rPr>
        <w:t>usluge</w:t>
      </w:r>
      <w:r w:rsidR="00E30FD2" w:rsidRPr="005028E4">
        <w:rPr>
          <w:sz w:val="24"/>
          <w:szCs w:val="24"/>
        </w:rPr>
        <w:t xml:space="preserve"> bitstream pristupa.</w:t>
      </w:r>
    </w:p>
    <w:p w:rsidR="00E30FD2" w:rsidRPr="005028E4" w:rsidRDefault="00E30FD2" w:rsidP="00A60C8A">
      <w:pPr>
        <w:jc w:val="both"/>
        <w:rPr>
          <w:sz w:val="24"/>
          <w:szCs w:val="24"/>
        </w:rPr>
      </w:pPr>
    </w:p>
    <w:tbl>
      <w:tblPr>
        <w:tblW w:w="49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4114"/>
        <w:gridCol w:w="1126"/>
        <w:gridCol w:w="709"/>
        <w:gridCol w:w="709"/>
        <w:gridCol w:w="852"/>
        <w:gridCol w:w="1416"/>
      </w:tblGrid>
      <w:tr w:rsidR="00586B80" w:rsidRPr="005028E4" w:rsidTr="00F443DD">
        <w:trPr>
          <w:trHeight w:val="300"/>
          <w:jc w:val="center"/>
        </w:trPr>
        <w:tc>
          <w:tcPr>
            <w:tcW w:w="2304" w:type="pct"/>
            <w:shd w:val="clear" w:color="auto" w:fill="0C2749"/>
            <w:vAlign w:val="center"/>
            <w:hideMark/>
          </w:tcPr>
          <w:p w:rsidR="00586B80" w:rsidRPr="005028E4" w:rsidRDefault="00586B80" w:rsidP="00D65CDF">
            <w:pPr>
              <w:spacing w:after="0" w:line="240" w:lineRule="auto"/>
              <w:jc w:val="center"/>
              <w:rPr>
                <w:rFonts w:eastAsia="Times New Roman" w:cstheme="minorHAnsi"/>
                <w:b/>
                <w:bCs/>
                <w:color w:val="FFFFFF" w:themeColor="background1"/>
                <w:sz w:val="20"/>
                <w:szCs w:val="20"/>
              </w:rPr>
            </w:pPr>
            <w:r w:rsidRPr="005028E4">
              <w:rPr>
                <w:rFonts w:eastAsia="Times New Roman" w:cstheme="minorHAnsi"/>
                <w:b/>
                <w:bCs/>
                <w:color w:val="FFFFFF" w:themeColor="background1"/>
                <w:sz w:val="20"/>
                <w:szCs w:val="20"/>
              </w:rPr>
              <w:t>USLUGA</w:t>
            </w:r>
          </w:p>
        </w:tc>
        <w:tc>
          <w:tcPr>
            <w:tcW w:w="631" w:type="pct"/>
            <w:shd w:val="clear" w:color="auto" w:fill="0C2749"/>
            <w:vAlign w:val="center"/>
            <w:hideMark/>
          </w:tcPr>
          <w:p w:rsidR="00586B80" w:rsidRPr="005028E4" w:rsidRDefault="00586B80" w:rsidP="00D65CDF">
            <w:pPr>
              <w:spacing w:after="0" w:line="240" w:lineRule="auto"/>
              <w:jc w:val="center"/>
              <w:rPr>
                <w:rFonts w:eastAsia="Times New Roman" w:cstheme="minorHAnsi"/>
                <w:b/>
                <w:bCs/>
                <w:color w:val="FFFFFF" w:themeColor="background1"/>
                <w:sz w:val="20"/>
                <w:szCs w:val="20"/>
              </w:rPr>
            </w:pPr>
            <w:r w:rsidRPr="005028E4">
              <w:rPr>
                <w:rFonts w:eastAsia="Times New Roman" w:cstheme="minorHAnsi"/>
                <w:b/>
                <w:bCs/>
                <w:color w:val="FFFFFF" w:themeColor="background1"/>
                <w:sz w:val="20"/>
                <w:szCs w:val="20"/>
              </w:rPr>
              <w:t>Jedinica</w:t>
            </w:r>
          </w:p>
        </w:tc>
        <w:tc>
          <w:tcPr>
            <w:tcW w:w="397" w:type="pct"/>
            <w:shd w:val="clear" w:color="auto" w:fill="0C2749"/>
            <w:vAlign w:val="center"/>
            <w:hideMark/>
          </w:tcPr>
          <w:p w:rsidR="00586B80" w:rsidRPr="005028E4" w:rsidRDefault="00586B80" w:rsidP="00D65CDF">
            <w:pPr>
              <w:spacing w:after="0" w:line="240" w:lineRule="auto"/>
              <w:jc w:val="center"/>
              <w:rPr>
                <w:rFonts w:eastAsia="Times New Roman" w:cstheme="minorHAnsi"/>
                <w:b/>
                <w:bCs/>
                <w:color w:val="FFFFFF" w:themeColor="background1"/>
                <w:sz w:val="20"/>
                <w:szCs w:val="20"/>
              </w:rPr>
            </w:pPr>
            <w:r w:rsidRPr="005028E4">
              <w:rPr>
                <w:rFonts w:eastAsia="Times New Roman" w:cstheme="minorHAnsi"/>
                <w:b/>
                <w:bCs/>
                <w:color w:val="FFFFFF" w:themeColor="background1"/>
                <w:sz w:val="20"/>
                <w:szCs w:val="20"/>
              </w:rPr>
              <w:t>2021</w:t>
            </w:r>
          </w:p>
        </w:tc>
        <w:tc>
          <w:tcPr>
            <w:tcW w:w="397" w:type="pct"/>
            <w:shd w:val="clear" w:color="auto" w:fill="0C2749"/>
            <w:vAlign w:val="center"/>
            <w:hideMark/>
          </w:tcPr>
          <w:p w:rsidR="00586B80" w:rsidRPr="005028E4" w:rsidRDefault="00586B80" w:rsidP="00D65CDF">
            <w:pPr>
              <w:spacing w:after="0" w:line="240" w:lineRule="auto"/>
              <w:jc w:val="center"/>
              <w:rPr>
                <w:rFonts w:eastAsia="Times New Roman" w:cstheme="minorHAnsi"/>
                <w:b/>
                <w:bCs/>
                <w:color w:val="FFFFFF" w:themeColor="background1"/>
                <w:sz w:val="20"/>
                <w:szCs w:val="20"/>
              </w:rPr>
            </w:pPr>
            <w:r w:rsidRPr="005028E4">
              <w:rPr>
                <w:rFonts w:eastAsia="Times New Roman" w:cstheme="minorHAnsi"/>
                <w:b/>
                <w:bCs/>
                <w:color w:val="FFFFFF" w:themeColor="background1"/>
                <w:sz w:val="20"/>
                <w:szCs w:val="20"/>
              </w:rPr>
              <w:t>2022</w:t>
            </w:r>
          </w:p>
        </w:tc>
        <w:tc>
          <w:tcPr>
            <w:tcW w:w="477" w:type="pct"/>
            <w:shd w:val="clear" w:color="auto" w:fill="0C2749"/>
            <w:vAlign w:val="center"/>
            <w:hideMark/>
          </w:tcPr>
          <w:p w:rsidR="00586B80" w:rsidRPr="005028E4" w:rsidRDefault="00586B80" w:rsidP="00D65CDF">
            <w:pPr>
              <w:spacing w:after="0" w:line="240" w:lineRule="auto"/>
              <w:jc w:val="center"/>
              <w:rPr>
                <w:rFonts w:eastAsia="Times New Roman" w:cstheme="minorHAnsi"/>
                <w:b/>
                <w:bCs/>
                <w:color w:val="FFFFFF" w:themeColor="background1"/>
                <w:sz w:val="20"/>
                <w:szCs w:val="20"/>
              </w:rPr>
            </w:pPr>
            <w:r w:rsidRPr="005028E4">
              <w:rPr>
                <w:rFonts w:eastAsia="Times New Roman" w:cstheme="minorHAnsi"/>
                <w:b/>
                <w:bCs/>
                <w:color w:val="FFFFFF" w:themeColor="background1"/>
                <w:sz w:val="20"/>
                <w:szCs w:val="20"/>
              </w:rPr>
              <w:t>2023</w:t>
            </w:r>
          </w:p>
        </w:tc>
        <w:tc>
          <w:tcPr>
            <w:tcW w:w="793" w:type="pct"/>
            <w:shd w:val="clear" w:color="auto" w:fill="0C2749"/>
            <w:vAlign w:val="center"/>
            <w:hideMark/>
          </w:tcPr>
          <w:p w:rsidR="00586B80" w:rsidRPr="005028E4" w:rsidRDefault="00D61F5A" w:rsidP="00586B80">
            <w:pPr>
              <w:spacing w:after="0" w:line="240" w:lineRule="auto"/>
              <w:jc w:val="center"/>
              <w:rPr>
                <w:rFonts w:eastAsia="Times New Roman" w:cstheme="minorHAnsi"/>
                <w:b/>
                <w:bCs/>
                <w:color w:val="FFFFFF" w:themeColor="background1"/>
                <w:sz w:val="20"/>
                <w:szCs w:val="20"/>
              </w:rPr>
            </w:pPr>
            <w:r w:rsidRPr="005028E4">
              <w:rPr>
                <w:rFonts w:eastAsia="Times New Roman" w:cstheme="minorHAnsi"/>
                <w:b/>
                <w:bCs/>
                <w:color w:val="FFFFFF" w:themeColor="background1"/>
                <w:sz w:val="20"/>
                <w:szCs w:val="20"/>
              </w:rPr>
              <w:t xml:space="preserve">Prosjek </w:t>
            </w:r>
            <w:r w:rsidR="00586B80" w:rsidRPr="005028E4">
              <w:rPr>
                <w:rFonts w:eastAsia="Times New Roman" w:cstheme="minorHAnsi"/>
                <w:b/>
                <w:bCs/>
                <w:color w:val="FFFFFF" w:themeColor="background1"/>
                <w:sz w:val="20"/>
                <w:szCs w:val="20"/>
              </w:rPr>
              <w:t>2021-2023</w:t>
            </w:r>
          </w:p>
        </w:tc>
      </w:tr>
      <w:tr w:rsidR="00F443DD" w:rsidRPr="005028E4" w:rsidTr="00F443DD">
        <w:trPr>
          <w:trHeight w:val="288"/>
          <w:jc w:val="center"/>
        </w:trPr>
        <w:tc>
          <w:tcPr>
            <w:tcW w:w="2304" w:type="pct"/>
            <w:shd w:val="clear" w:color="auto" w:fill="FFFFFF" w:themeFill="background1"/>
            <w:noWrap/>
            <w:vAlign w:val="center"/>
            <w:hideMark/>
          </w:tcPr>
          <w:p w:rsidR="003C777B" w:rsidRPr="005028E4" w:rsidRDefault="003C777B" w:rsidP="003C777B">
            <w:pPr>
              <w:spacing w:after="0" w:line="240" w:lineRule="auto"/>
              <w:rPr>
                <w:rFonts w:ascii="Calibri" w:eastAsia="Times New Roman" w:hAnsi="Calibri" w:cs="Calibri"/>
                <w:color w:val="000000"/>
                <w:sz w:val="18"/>
                <w:szCs w:val="18"/>
              </w:rPr>
            </w:pPr>
            <w:r w:rsidRPr="005028E4">
              <w:rPr>
                <w:rFonts w:ascii="Calibri" w:eastAsia="Times New Roman" w:hAnsi="Calibri" w:cs="Calibri"/>
                <w:color w:val="000000"/>
                <w:sz w:val="18"/>
                <w:szCs w:val="18"/>
              </w:rPr>
              <w:t>Access.LLU.Wholesale - Local Access Lines - Market 3A.Access</w:t>
            </w:r>
          </w:p>
        </w:tc>
        <w:tc>
          <w:tcPr>
            <w:tcW w:w="631" w:type="pct"/>
            <w:vMerge w:val="restart"/>
            <w:shd w:val="clear" w:color="auto" w:fill="FFFFFF" w:themeFill="background1"/>
            <w:noWrap/>
            <w:vAlign w:val="center"/>
            <w:hideMark/>
          </w:tcPr>
          <w:p w:rsidR="003C777B" w:rsidRPr="005028E4" w:rsidRDefault="003C777B" w:rsidP="003C777B">
            <w:pPr>
              <w:spacing w:after="0" w:line="240" w:lineRule="auto"/>
              <w:jc w:val="center"/>
              <w:rPr>
                <w:rFonts w:ascii="Calibri" w:eastAsia="Times New Roman" w:hAnsi="Calibri" w:cs="Calibri"/>
                <w:color w:val="000000"/>
                <w:sz w:val="18"/>
                <w:szCs w:val="18"/>
              </w:rPr>
            </w:pPr>
            <w:r w:rsidRPr="005028E4">
              <w:rPr>
                <w:rFonts w:ascii="Calibri" w:eastAsia="Times New Roman" w:hAnsi="Calibri" w:cs="Calibri"/>
                <w:color w:val="000000"/>
                <w:sz w:val="18"/>
                <w:szCs w:val="18"/>
              </w:rPr>
              <w:t>HRK / Mjesečno / Linij</w:t>
            </w:r>
            <w:r w:rsidR="009D64AF">
              <w:rPr>
                <w:rFonts w:ascii="Calibri" w:eastAsia="Times New Roman" w:hAnsi="Calibri" w:cs="Calibri"/>
                <w:color w:val="000000"/>
                <w:sz w:val="18"/>
                <w:szCs w:val="18"/>
              </w:rPr>
              <w:t>a</w:t>
            </w:r>
          </w:p>
        </w:tc>
        <w:tc>
          <w:tcPr>
            <w:tcW w:w="397" w:type="pct"/>
            <w:shd w:val="clear" w:color="auto" w:fill="FFFFFF" w:themeFill="background1"/>
            <w:noWrap/>
            <w:vAlign w:val="center"/>
            <w:hideMark/>
          </w:tcPr>
          <w:p w:rsidR="003C777B" w:rsidRPr="005028E4" w:rsidRDefault="003C777B" w:rsidP="003C777B">
            <w:pPr>
              <w:spacing w:after="0" w:line="240" w:lineRule="auto"/>
              <w:jc w:val="center"/>
              <w:rPr>
                <w:rFonts w:ascii="Calibri" w:eastAsia="Times New Roman" w:hAnsi="Calibri" w:cs="Calibri"/>
                <w:color w:val="000000"/>
                <w:sz w:val="20"/>
                <w:szCs w:val="20"/>
                <w:highlight w:val="yellow"/>
              </w:rPr>
            </w:pPr>
            <w:r w:rsidRPr="005028E4">
              <w:rPr>
                <w:sz w:val="20"/>
                <w:szCs w:val="20"/>
              </w:rPr>
              <w:t>33,52</w:t>
            </w:r>
          </w:p>
        </w:tc>
        <w:tc>
          <w:tcPr>
            <w:tcW w:w="397" w:type="pct"/>
            <w:shd w:val="clear" w:color="auto" w:fill="FFFFFF" w:themeFill="background1"/>
            <w:noWrap/>
            <w:vAlign w:val="center"/>
            <w:hideMark/>
          </w:tcPr>
          <w:p w:rsidR="003C777B" w:rsidRPr="005028E4" w:rsidRDefault="003C777B" w:rsidP="003C777B">
            <w:pPr>
              <w:spacing w:after="0" w:line="240" w:lineRule="auto"/>
              <w:jc w:val="center"/>
              <w:rPr>
                <w:rFonts w:ascii="Calibri" w:eastAsia="Times New Roman" w:hAnsi="Calibri" w:cs="Calibri"/>
                <w:color w:val="000000"/>
                <w:sz w:val="20"/>
                <w:szCs w:val="20"/>
                <w:highlight w:val="yellow"/>
              </w:rPr>
            </w:pPr>
            <w:r w:rsidRPr="005028E4">
              <w:rPr>
                <w:sz w:val="20"/>
                <w:szCs w:val="20"/>
              </w:rPr>
              <w:t>34,11</w:t>
            </w:r>
          </w:p>
        </w:tc>
        <w:tc>
          <w:tcPr>
            <w:tcW w:w="477" w:type="pct"/>
            <w:shd w:val="clear" w:color="auto" w:fill="FFFFFF" w:themeFill="background1"/>
            <w:noWrap/>
            <w:vAlign w:val="center"/>
            <w:hideMark/>
          </w:tcPr>
          <w:p w:rsidR="003C777B" w:rsidRPr="005028E4" w:rsidRDefault="003C777B" w:rsidP="003C777B">
            <w:pPr>
              <w:spacing w:after="0" w:line="240" w:lineRule="auto"/>
              <w:jc w:val="center"/>
              <w:rPr>
                <w:rFonts w:ascii="Calibri" w:eastAsia="Times New Roman" w:hAnsi="Calibri" w:cs="Calibri"/>
                <w:color w:val="000000"/>
                <w:sz w:val="20"/>
                <w:szCs w:val="20"/>
                <w:highlight w:val="yellow"/>
              </w:rPr>
            </w:pPr>
            <w:r w:rsidRPr="005028E4">
              <w:rPr>
                <w:sz w:val="20"/>
                <w:szCs w:val="20"/>
              </w:rPr>
              <w:t>34,69</w:t>
            </w:r>
          </w:p>
        </w:tc>
        <w:tc>
          <w:tcPr>
            <w:tcW w:w="793" w:type="pct"/>
            <w:shd w:val="clear" w:color="auto" w:fill="FFFFFF" w:themeFill="background1"/>
            <w:noWrap/>
            <w:vAlign w:val="center"/>
          </w:tcPr>
          <w:p w:rsidR="003C777B" w:rsidRPr="005028E4" w:rsidRDefault="003C777B" w:rsidP="003C777B">
            <w:pPr>
              <w:spacing w:after="0" w:line="240" w:lineRule="auto"/>
              <w:jc w:val="center"/>
              <w:rPr>
                <w:rFonts w:ascii="Calibri" w:eastAsia="Times New Roman" w:hAnsi="Calibri" w:cs="Calibri"/>
                <w:color w:val="000000"/>
                <w:sz w:val="20"/>
                <w:szCs w:val="20"/>
              </w:rPr>
            </w:pPr>
            <w:r w:rsidRPr="005028E4">
              <w:rPr>
                <w:sz w:val="20"/>
                <w:szCs w:val="20"/>
              </w:rPr>
              <w:t>34,08</w:t>
            </w:r>
          </w:p>
        </w:tc>
      </w:tr>
      <w:tr w:rsidR="00F443DD" w:rsidRPr="005028E4" w:rsidTr="00F443DD">
        <w:trPr>
          <w:trHeight w:val="288"/>
          <w:jc w:val="center"/>
        </w:trPr>
        <w:tc>
          <w:tcPr>
            <w:tcW w:w="2304" w:type="pct"/>
            <w:shd w:val="clear" w:color="auto" w:fill="FFFFFF" w:themeFill="background1"/>
            <w:noWrap/>
            <w:vAlign w:val="center"/>
          </w:tcPr>
          <w:p w:rsidR="003C777B" w:rsidRPr="005028E4" w:rsidRDefault="003C777B" w:rsidP="003C777B">
            <w:pPr>
              <w:spacing w:after="0" w:line="240" w:lineRule="auto"/>
              <w:rPr>
                <w:rFonts w:ascii="Calibri" w:eastAsia="Times New Roman" w:hAnsi="Calibri" w:cs="Calibri"/>
                <w:color w:val="000000"/>
                <w:sz w:val="18"/>
                <w:szCs w:val="18"/>
              </w:rPr>
            </w:pPr>
            <w:r w:rsidRPr="005028E4">
              <w:rPr>
                <w:rFonts w:ascii="Calibri" w:eastAsia="Times New Roman" w:hAnsi="Calibri" w:cs="Calibri"/>
                <w:color w:val="000000"/>
                <w:sz w:val="18"/>
                <w:szCs w:val="18"/>
              </w:rPr>
              <w:t>Access.Copper.Wholesale - Central Access Lines - Market 3B.Access</w:t>
            </w:r>
          </w:p>
        </w:tc>
        <w:tc>
          <w:tcPr>
            <w:tcW w:w="631" w:type="pct"/>
            <w:vMerge/>
            <w:shd w:val="clear" w:color="auto" w:fill="FFFFFF" w:themeFill="background1"/>
            <w:noWrap/>
            <w:vAlign w:val="center"/>
          </w:tcPr>
          <w:p w:rsidR="003C777B" w:rsidRPr="005028E4" w:rsidRDefault="003C777B" w:rsidP="003C777B">
            <w:pPr>
              <w:spacing w:after="0" w:line="240" w:lineRule="auto"/>
              <w:jc w:val="center"/>
              <w:rPr>
                <w:rFonts w:ascii="Calibri" w:eastAsia="Times New Roman" w:hAnsi="Calibri" w:cs="Calibri"/>
                <w:color w:val="000000"/>
                <w:sz w:val="18"/>
                <w:szCs w:val="18"/>
              </w:rPr>
            </w:pPr>
          </w:p>
        </w:tc>
        <w:tc>
          <w:tcPr>
            <w:tcW w:w="397" w:type="pct"/>
            <w:shd w:val="clear" w:color="auto" w:fill="FFFFFF" w:themeFill="background1"/>
            <w:noWrap/>
            <w:vAlign w:val="center"/>
          </w:tcPr>
          <w:p w:rsidR="003C777B" w:rsidRPr="005028E4" w:rsidRDefault="003C777B" w:rsidP="003C777B">
            <w:pPr>
              <w:spacing w:after="0" w:line="240" w:lineRule="auto"/>
              <w:jc w:val="center"/>
              <w:rPr>
                <w:rFonts w:ascii="Calibri" w:hAnsi="Calibri" w:cs="Calibri"/>
                <w:color w:val="000000"/>
                <w:sz w:val="20"/>
                <w:szCs w:val="20"/>
                <w:highlight w:val="yellow"/>
              </w:rPr>
            </w:pPr>
            <w:r w:rsidRPr="005028E4">
              <w:rPr>
                <w:sz w:val="20"/>
                <w:szCs w:val="20"/>
              </w:rPr>
              <w:t>51,77</w:t>
            </w:r>
          </w:p>
        </w:tc>
        <w:tc>
          <w:tcPr>
            <w:tcW w:w="397" w:type="pct"/>
            <w:shd w:val="clear" w:color="auto" w:fill="FFFFFF" w:themeFill="background1"/>
            <w:noWrap/>
            <w:vAlign w:val="center"/>
          </w:tcPr>
          <w:p w:rsidR="003C777B" w:rsidRPr="005028E4" w:rsidRDefault="003C777B" w:rsidP="003C777B">
            <w:pPr>
              <w:spacing w:after="0" w:line="240" w:lineRule="auto"/>
              <w:jc w:val="center"/>
              <w:rPr>
                <w:rFonts w:ascii="Calibri" w:hAnsi="Calibri" w:cs="Calibri"/>
                <w:color w:val="000000"/>
                <w:sz w:val="20"/>
                <w:szCs w:val="20"/>
                <w:highlight w:val="yellow"/>
              </w:rPr>
            </w:pPr>
            <w:r w:rsidRPr="005028E4">
              <w:rPr>
                <w:sz w:val="20"/>
                <w:szCs w:val="20"/>
              </w:rPr>
              <w:t>51,49</w:t>
            </w:r>
          </w:p>
        </w:tc>
        <w:tc>
          <w:tcPr>
            <w:tcW w:w="477" w:type="pct"/>
            <w:shd w:val="clear" w:color="auto" w:fill="FFFFFF" w:themeFill="background1"/>
            <w:noWrap/>
            <w:vAlign w:val="center"/>
          </w:tcPr>
          <w:p w:rsidR="003C777B" w:rsidRPr="005028E4" w:rsidRDefault="003C777B" w:rsidP="003C777B">
            <w:pPr>
              <w:spacing w:after="0" w:line="240" w:lineRule="auto"/>
              <w:jc w:val="center"/>
              <w:rPr>
                <w:rFonts w:ascii="Calibri" w:hAnsi="Calibri" w:cs="Calibri"/>
                <w:color w:val="000000"/>
                <w:sz w:val="20"/>
                <w:szCs w:val="20"/>
                <w:highlight w:val="yellow"/>
              </w:rPr>
            </w:pPr>
            <w:r w:rsidRPr="005028E4">
              <w:rPr>
                <w:sz w:val="20"/>
                <w:szCs w:val="20"/>
              </w:rPr>
              <w:t>50,94</w:t>
            </w:r>
          </w:p>
        </w:tc>
        <w:tc>
          <w:tcPr>
            <w:tcW w:w="793" w:type="pct"/>
            <w:shd w:val="clear" w:color="auto" w:fill="FFFFFF" w:themeFill="background1"/>
            <w:noWrap/>
            <w:vAlign w:val="center"/>
          </w:tcPr>
          <w:p w:rsidR="003C777B" w:rsidRPr="005028E4" w:rsidDel="00586B80" w:rsidRDefault="003C777B" w:rsidP="003C777B">
            <w:pPr>
              <w:spacing w:after="0" w:line="240" w:lineRule="auto"/>
              <w:jc w:val="center"/>
              <w:rPr>
                <w:rFonts w:ascii="Calibri" w:hAnsi="Calibri" w:cs="Calibri"/>
                <w:color w:val="000000"/>
                <w:sz w:val="20"/>
                <w:szCs w:val="20"/>
              </w:rPr>
            </w:pPr>
            <w:r w:rsidRPr="005028E4">
              <w:rPr>
                <w:sz w:val="20"/>
                <w:szCs w:val="20"/>
              </w:rPr>
              <w:t>51,42</w:t>
            </w:r>
          </w:p>
        </w:tc>
      </w:tr>
      <w:tr w:rsidR="00F443DD" w:rsidRPr="005028E4" w:rsidTr="00F443DD">
        <w:trPr>
          <w:trHeight w:val="288"/>
          <w:jc w:val="center"/>
        </w:trPr>
        <w:tc>
          <w:tcPr>
            <w:tcW w:w="2304" w:type="pct"/>
            <w:shd w:val="clear" w:color="auto" w:fill="FFFFFF" w:themeFill="background1"/>
            <w:noWrap/>
            <w:vAlign w:val="center"/>
          </w:tcPr>
          <w:p w:rsidR="003C777B" w:rsidRPr="005028E4" w:rsidRDefault="003C777B" w:rsidP="00E30FD2">
            <w:pPr>
              <w:spacing w:after="0" w:line="240" w:lineRule="auto"/>
              <w:rPr>
                <w:rFonts w:ascii="Calibri" w:eastAsia="Times New Roman" w:hAnsi="Calibri" w:cs="Calibri"/>
                <w:b/>
                <w:color w:val="000000"/>
                <w:sz w:val="18"/>
                <w:szCs w:val="18"/>
              </w:rPr>
            </w:pPr>
            <w:r w:rsidRPr="005028E4">
              <w:rPr>
                <w:rFonts w:ascii="Calibri" w:eastAsia="Times New Roman" w:hAnsi="Calibri" w:cs="Calibri"/>
                <w:b/>
                <w:color w:val="000000"/>
                <w:sz w:val="18"/>
                <w:szCs w:val="18"/>
              </w:rPr>
              <w:t xml:space="preserve">Jedinstvena cijena </w:t>
            </w:r>
            <w:r w:rsidR="007E3C26" w:rsidRPr="005028E4">
              <w:rPr>
                <w:rFonts w:ascii="Calibri" w:eastAsia="Times New Roman" w:hAnsi="Calibri" w:cs="Calibri"/>
                <w:b/>
                <w:color w:val="000000"/>
                <w:sz w:val="18"/>
                <w:szCs w:val="18"/>
              </w:rPr>
              <w:t>LLU</w:t>
            </w:r>
            <w:r w:rsidRPr="005028E4">
              <w:rPr>
                <w:rFonts w:ascii="Calibri" w:eastAsia="Times New Roman" w:hAnsi="Calibri" w:cs="Calibri"/>
                <w:b/>
                <w:color w:val="000000"/>
                <w:sz w:val="18"/>
                <w:szCs w:val="18"/>
              </w:rPr>
              <w:t xml:space="preserve"> usluge i </w:t>
            </w:r>
            <w:r w:rsidR="00E30FD2" w:rsidRPr="005028E4">
              <w:rPr>
                <w:rFonts w:ascii="Calibri" w:eastAsia="Times New Roman" w:hAnsi="Calibri" w:cs="Calibri"/>
                <w:b/>
                <w:color w:val="000000"/>
                <w:sz w:val="18"/>
                <w:szCs w:val="18"/>
              </w:rPr>
              <w:t xml:space="preserve">naknade za korištenje </w:t>
            </w:r>
            <w:r w:rsidRPr="005028E4">
              <w:rPr>
                <w:rFonts w:ascii="Calibri" w:eastAsia="Times New Roman" w:hAnsi="Calibri" w:cs="Calibri"/>
                <w:b/>
                <w:color w:val="000000"/>
                <w:sz w:val="18"/>
                <w:szCs w:val="18"/>
              </w:rPr>
              <w:t>bakren</w:t>
            </w:r>
            <w:r w:rsidR="00E30FD2" w:rsidRPr="005028E4">
              <w:rPr>
                <w:rFonts w:ascii="Calibri" w:eastAsia="Times New Roman" w:hAnsi="Calibri" w:cs="Calibri"/>
                <w:b/>
                <w:color w:val="000000"/>
                <w:sz w:val="18"/>
                <w:szCs w:val="18"/>
              </w:rPr>
              <w:t>e pristupne</w:t>
            </w:r>
            <w:r w:rsidRPr="005028E4">
              <w:rPr>
                <w:rFonts w:ascii="Calibri" w:eastAsia="Times New Roman" w:hAnsi="Calibri" w:cs="Calibri"/>
                <w:b/>
                <w:color w:val="000000"/>
                <w:sz w:val="18"/>
                <w:szCs w:val="18"/>
              </w:rPr>
              <w:t xml:space="preserve"> mrež</w:t>
            </w:r>
            <w:r w:rsidR="00E30FD2" w:rsidRPr="005028E4">
              <w:rPr>
                <w:rFonts w:ascii="Calibri" w:eastAsia="Times New Roman" w:hAnsi="Calibri" w:cs="Calibri"/>
                <w:b/>
                <w:color w:val="000000"/>
                <w:sz w:val="18"/>
                <w:szCs w:val="18"/>
              </w:rPr>
              <w:t xml:space="preserve">e kao dijela </w:t>
            </w:r>
            <w:r w:rsidR="00B6359E" w:rsidRPr="005028E4">
              <w:rPr>
                <w:rFonts w:ascii="Calibri" w:eastAsia="Times New Roman" w:hAnsi="Calibri" w:cs="Calibri"/>
                <w:b/>
                <w:color w:val="000000"/>
                <w:sz w:val="18"/>
                <w:szCs w:val="18"/>
              </w:rPr>
              <w:t xml:space="preserve">cijene </w:t>
            </w:r>
            <w:r w:rsidRPr="005028E4">
              <w:rPr>
                <w:rFonts w:ascii="Calibri" w:eastAsia="Times New Roman" w:hAnsi="Calibri" w:cs="Calibri"/>
                <w:b/>
                <w:color w:val="000000"/>
                <w:sz w:val="18"/>
                <w:szCs w:val="18"/>
              </w:rPr>
              <w:t>usluge</w:t>
            </w:r>
            <w:r w:rsidR="00E30FD2" w:rsidRPr="005028E4">
              <w:rPr>
                <w:rFonts w:ascii="Calibri" w:eastAsia="Times New Roman" w:hAnsi="Calibri" w:cs="Calibri"/>
                <w:b/>
                <w:color w:val="000000"/>
                <w:sz w:val="18"/>
                <w:szCs w:val="18"/>
              </w:rPr>
              <w:t xml:space="preserve"> bitstream pristupa</w:t>
            </w:r>
            <w:r w:rsidR="00F443DD" w:rsidRPr="005028E4">
              <w:rPr>
                <w:rFonts w:ascii="Calibri" w:eastAsia="Times New Roman" w:hAnsi="Calibri" w:cs="Calibri"/>
                <w:b/>
                <w:color w:val="000000"/>
                <w:sz w:val="18"/>
                <w:szCs w:val="18"/>
              </w:rPr>
              <w:t xml:space="preserve"> (ponderirani prosjek)</w:t>
            </w:r>
          </w:p>
        </w:tc>
        <w:tc>
          <w:tcPr>
            <w:tcW w:w="631" w:type="pct"/>
            <w:vMerge/>
            <w:shd w:val="clear" w:color="auto" w:fill="FFFFFF" w:themeFill="background1"/>
            <w:noWrap/>
            <w:vAlign w:val="center"/>
          </w:tcPr>
          <w:p w:rsidR="003C777B" w:rsidRPr="005028E4" w:rsidRDefault="003C777B" w:rsidP="003C777B">
            <w:pPr>
              <w:spacing w:after="0" w:line="240" w:lineRule="auto"/>
              <w:jc w:val="center"/>
              <w:rPr>
                <w:rFonts w:ascii="Calibri" w:eastAsia="Times New Roman" w:hAnsi="Calibri" w:cs="Calibri"/>
                <w:color w:val="000000"/>
                <w:sz w:val="18"/>
                <w:szCs w:val="18"/>
              </w:rPr>
            </w:pPr>
          </w:p>
        </w:tc>
        <w:tc>
          <w:tcPr>
            <w:tcW w:w="397" w:type="pct"/>
            <w:shd w:val="clear" w:color="auto" w:fill="FFFFFF" w:themeFill="background1"/>
            <w:noWrap/>
            <w:vAlign w:val="center"/>
          </w:tcPr>
          <w:p w:rsidR="003C777B" w:rsidRPr="005028E4" w:rsidRDefault="003C777B" w:rsidP="003C777B">
            <w:pPr>
              <w:spacing w:after="0" w:line="240" w:lineRule="auto"/>
              <w:jc w:val="center"/>
              <w:rPr>
                <w:rFonts w:ascii="Calibri" w:hAnsi="Calibri" w:cs="Calibri"/>
                <w:color w:val="000000"/>
                <w:sz w:val="20"/>
                <w:szCs w:val="20"/>
                <w:highlight w:val="yellow"/>
              </w:rPr>
            </w:pPr>
            <w:r w:rsidRPr="005028E4">
              <w:rPr>
                <w:sz w:val="20"/>
                <w:szCs w:val="20"/>
              </w:rPr>
              <w:t>41,67</w:t>
            </w:r>
          </w:p>
        </w:tc>
        <w:tc>
          <w:tcPr>
            <w:tcW w:w="397" w:type="pct"/>
            <w:shd w:val="clear" w:color="auto" w:fill="FFFFFF" w:themeFill="background1"/>
            <w:noWrap/>
            <w:vAlign w:val="center"/>
          </w:tcPr>
          <w:p w:rsidR="003C777B" w:rsidRPr="005028E4" w:rsidRDefault="003C777B" w:rsidP="003C777B">
            <w:pPr>
              <w:spacing w:after="0" w:line="240" w:lineRule="auto"/>
              <w:jc w:val="center"/>
              <w:rPr>
                <w:rFonts w:ascii="Calibri" w:hAnsi="Calibri" w:cs="Calibri"/>
                <w:color w:val="000000"/>
                <w:sz w:val="20"/>
                <w:szCs w:val="20"/>
                <w:highlight w:val="yellow"/>
              </w:rPr>
            </w:pPr>
            <w:r w:rsidRPr="005028E4">
              <w:rPr>
                <w:sz w:val="20"/>
                <w:szCs w:val="20"/>
              </w:rPr>
              <w:t>41,87</w:t>
            </w:r>
          </w:p>
        </w:tc>
        <w:tc>
          <w:tcPr>
            <w:tcW w:w="477" w:type="pct"/>
            <w:shd w:val="clear" w:color="auto" w:fill="FFFFFF" w:themeFill="background1"/>
            <w:noWrap/>
            <w:vAlign w:val="center"/>
          </w:tcPr>
          <w:p w:rsidR="003C777B" w:rsidRPr="005028E4" w:rsidRDefault="003C777B" w:rsidP="003C777B">
            <w:pPr>
              <w:spacing w:after="0" w:line="240" w:lineRule="auto"/>
              <w:jc w:val="center"/>
              <w:rPr>
                <w:rFonts w:ascii="Calibri" w:hAnsi="Calibri" w:cs="Calibri"/>
                <w:color w:val="000000"/>
                <w:sz w:val="20"/>
                <w:szCs w:val="20"/>
                <w:highlight w:val="yellow"/>
              </w:rPr>
            </w:pPr>
            <w:r w:rsidRPr="005028E4">
              <w:rPr>
                <w:sz w:val="20"/>
                <w:szCs w:val="20"/>
              </w:rPr>
              <w:t>41,94</w:t>
            </w:r>
          </w:p>
        </w:tc>
        <w:tc>
          <w:tcPr>
            <w:tcW w:w="793" w:type="pct"/>
            <w:shd w:val="clear" w:color="auto" w:fill="FFFFFF" w:themeFill="background1"/>
            <w:noWrap/>
            <w:vAlign w:val="center"/>
          </w:tcPr>
          <w:p w:rsidR="003C777B" w:rsidRPr="005028E4" w:rsidDel="00586B80" w:rsidRDefault="003C777B" w:rsidP="003C777B">
            <w:pPr>
              <w:spacing w:after="0" w:line="240" w:lineRule="auto"/>
              <w:jc w:val="center"/>
              <w:rPr>
                <w:rFonts w:ascii="Calibri" w:hAnsi="Calibri" w:cs="Calibri"/>
                <w:b/>
                <w:color w:val="000000"/>
                <w:sz w:val="20"/>
                <w:szCs w:val="20"/>
              </w:rPr>
            </w:pPr>
            <w:r w:rsidRPr="005028E4">
              <w:rPr>
                <w:b/>
                <w:sz w:val="20"/>
                <w:szCs w:val="20"/>
              </w:rPr>
              <w:t>41,82</w:t>
            </w:r>
          </w:p>
        </w:tc>
      </w:tr>
    </w:tbl>
    <w:p w:rsidR="005A772C" w:rsidRPr="005028E4" w:rsidRDefault="00DF6FED" w:rsidP="00DF6FED">
      <w:pPr>
        <w:pStyle w:val="Caption"/>
      </w:pPr>
      <w:bookmarkStart w:id="732" w:name="_Ref52290967"/>
      <w:bookmarkStart w:id="733" w:name="_Ref52460717"/>
      <w:bookmarkStart w:id="734" w:name="_Toc54079575"/>
      <w:bookmarkStart w:id="735" w:name="_Toc54159171"/>
      <w:bookmarkStart w:id="736" w:name="_Toc54159305"/>
      <w:bookmarkStart w:id="737" w:name="_Toc54160001"/>
      <w:bookmarkStart w:id="738" w:name="_Toc54175826"/>
      <w:bookmarkStart w:id="739" w:name="_Toc54179454"/>
      <w:bookmarkStart w:id="740" w:name="_Toc54261734"/>
      <w:r w:rsidRPr="005028E4">
        <w:t xml:space="preserve">Tablica </w:t>
      </w:r>
      <w:r w:rsidR="00A410B6" w:rsidRPr="005028E4">
        <w:rPr>
          <w:noProof/>
        </w:rPr>
        <w:fldChar w:fldCharType="begin"/>
      </w:r>
      <w:r w:rsidR="00A410B6" w:rsidRPr="005028E4">
        <w:rPr>
          <w:noProof/>
        </w:rPr>
        <w:instrText xml:space="preserve"> SEQ Tablica \* ARABIC </w:instrText>
      </w:r>
      <w:r w:rsidR="00A410B6" w:rsidRPr="005028E4">
        <w:rPr>
          <w:noProof/>
        </w:rPr>
        <w:fldChar w:fldCharType="separate"/>
      </w:r>
      <w:r w:rsidR="00B047B3">
        <w:rPr>
          <w:noProof/>
        </w:rPr>
        <w:t>11</w:t>
      </w:r>
      <w:r w:rsidR="00A410B6" w:rsidRPr="005028E4">
        <w:rPr>
          <w:noProof/>
        </w:rPr>
        <w:fldChar w:fldCharType="end"/>
      </w:r>
      <w:bookmarkEnd w:id="732"/>
      <w:r w:rsidRPr="005028E4">
        <w:t xml:space="preserve"> </w:t>
      </w:r>
      <w:r w:rsidR="008A67C5" w:rsidRPr="005028E4">
        <w:t>–</w:t>
      </w:r>
      <w:r w:rsidRPr="005028E4">
        <w:t xml:space="preserve"> </w:t>
      </w:r>
      <w:r w:rsidR="009D64AF" w:rsidRPr="005028E4">
        <w:t>Jedinični</w:t>
      </w:r>
      <w:r w:rsidR="008A67C5" w:rsidRPr="005028E4">
        <w:t xml:space="preserve"> trošak i cijena</w:t>
      </w:r>
      <w:r w:rsidRPr="005028E4">
        <w:t xml:space="preserve"> </w:t>
      </w:r>
      <w:r w:rsidR="007E3C26" w:rsidRPr="005028E4">
        <w:t>LLU</w:t>
      </w:r>
      <w:r w:rsidRPr="005028E4">
        <w:t xml:space="preserve"> usluge (Izvor: Troškovni model)</w:t>
      </w:r>
      <w:bookmarkEnd w:id="733"/>
      <w:bookmarkEnd w:id="734"/>
      <w:bookmarkEnd w:id="735"/>
      <w:bookmarkEnd w:id="736"/>
      <w:bookmarkEnd w:id="737"/>
      <w:bookmarkEnd w:id="738"/>
      <w:bookmarkEnd w:id="739"/>
      <w:bookmarkEnd w:id="740"/>
    </w:p>
    <w:p w:rsidR="004D4A9D" w:rsidRPr="005028E4" w:rsidRDefault="004D4A9D" w:rsidP="004D4A9D"/>
    <w:p w:rsidR="00A91207" w:rsidRPr="005028E4" w:rsidRDefault="00B766B1" w:rsidP="009F21BC">
      <w:pPr>
        <w:pStyle w:val="Heading3"/>
      </w:pPr>
      <w:bookmarkStart w:id="741" w:name="_Toc53942001"/>
      <w:bookmarkStart w:id="742" w:name="_Toc54250972"/>
      <w:bookmarkStart w:id="743" w:name="_Toc54252870"/>
      <w:bookmarkStart w:id="744" w:name="_Toc54261682"/>
      <w:bookmarkStart w:id="745" w:name="_Toc51676933"/>
      <w:r w:rsidRPr="005028E4">
        <w:t>C</w:t>
      </w:r>
      <w:r w:rsidR="00A91207" w:rsidRPr="005028E4">
        <w:t>ijen</w:t>
      </w:r>
      <w:r w:rsidRPr="005028E4">
        <w:t>a</w:t>
      </w:r>
      <w:r w:rsidR="00A91207" w:rsidRPr="005028E4">
        <w:t xml:space="preserve"> </w:t>
      </w:r>
      <w:r w:rsidR="007E3C26" w:rsidRPr="005028E4">
        <w:t>LLU</w:t>
      </w:r>
      <w:r w:rsidR="00A91207" w:rsidRPr="005028E4">
        <w:t xml:space="preserve"> usluge</w:t>
      </w:r>
      <w:bookmarkEnd w:id="741"/>
      <w:bookmarkEnd w:id="742"/>
      <w:bookmarkEnd w:id="743"/>
      <w:bookmarkEnd w:id="744"/>
    </w:p>
    <w:p w:rsidR="00DD6BEF" w:rsidRPr="005028E4" w:rsidRDefault="00E707B7" w:rsidP="00DD6BEF">
      <w:pPr>
        <w:jc w:val="both"/>
        <w:rPr>
          <w:sz w:val="24"/>
          <w:szCs w:val="24"/>
        </w:rPr>
      </w:pPr>
      <w:r w:rsidRPr="005028E4">
        <w:rPr>
          <w:sz w:val="24"/>
          <w:szCs w:val="24"/>
        </w:rPr>
        <w:t xml:space="preserve">Nastavno na prethodna poglavlja i u njima razmatrane opcije, HAKOM </w:t>
      </w:r>
      <w:r w:rsidR="00B766B1" w:rsidRPr="005028E4">
        <w:rPr>
          <w:sz w:val="24"/>
          <w:szCs w:val="24"/>
        </w:rPr>
        <w:t>određuje</w:t>
      </w:r>
      <w:r w:rsidRPr="005028E4">
        <w:rPr>
          <w:sz w:val="24"/>
          <w:szCs w:val="24"/>
        </w:rPr>
        <w:t xml:space="preserve"> cijene </w:t>
      </w:r>
      <w:r w:rsidR="007E3C26" w:rsidRPr="005028E4">
        <w:rPr>
          <w:sz w:val="24"/>
          <w:szCs w:val="24"/>
        </w:rPr>
        <w:t>LLU</w:t>
      </w:r>
      <w:r w:rsidRPr="005028E4">
        <w:rPr>
          <w:sz w:val="24"/>
          <w:szCs w:val="24"/>
        </w:rPr>
        <w:t xml:space="preserve"> usluge kako slijedi:</w:t>
      </w:r>
    </w:p>
    <w:p w:rsidR="00E707B7" w:rsidRPr="005028E4" w:rsidRDefault="00E707B7" w:rsidP="00CE6F90">
      <w:pPr>
        <w:pStyle w:val="ListParagraph"/>
        <w:numPr>
          <w:ilvl w:val="0"/>
          <w:numId w:val="42"/>
        </w:numPr>
        <w:jc w:val="both"/>
        <w:rPr>
          <w:b/>
          <w:sz w:val="24"/>
          <w:szCs w:val="24"/>
        </w:rPr>
      </w:pPr>
      <w:r w:rsidRPr="005028E4">
        <w:rPr>
          <w:sz w:val="24"/>
          <w:szCs w:val="24"/>
        </w:rPr>
        <w:t xml:space="preserve">Cijena </w:t>
      </w:r>
      <w:r w:rsidR="007E3C26" w:rsidRPr="005028E4">
        <w:rPr>
          <w:sz w:val="24"/>
          <w:szCs w:val="24"/>
        </w:rPr>
        <w:t>LLU</w:t>
      </w:r>
      <w:r w:rsidRPr="005028E4">
        <w:rPr>
          <w:sz w:val="24"/>
          <w:szCs w:val="24"/>
        </w:rPr>
        <w:t xml:space="preserve"> usluge iznosi </w:t>
      </w:r>
      <w:r w:rsidRPr="005028E4">
        <w:rPr>
          <w:b/>
          <w:sz w:val="24"/>
          <w:szCs w:val="24"/>
        </w:rPr>
        <w:t>4</w:t>
      </w:r>
      <w:r w:rsidR="00F443DD" w:rsidRPr="005028E4">
        <w:rPr>
          <w:b/>
          <w:sz w:val="24"/>
          <w:szCs w:val="24"/>
        </w:rPr>
        <w:t>1,82</w:t>
      </w:r>
      <w:r w:rsidRPr="005028E4">
        <w:rPr>
          <w:b/>
          <w:sz w:val="24"/>
          <w:szCs w:val="24"/>
        </w:rPr>
        <w:t xml:space="preserve"> HRK/mjesečno/liniji</w:t>
      </w:r>
    </w:p>
    <w:p w:rsidR="00E707B7" w:rsidRPr="005028E4" w:rsidRDefault="00E707B7" w:rsidP="00E707B7">
      <w:pPr>
        <w:jc w:val="both"/>
        <w:rPr>
          <w:sz w:val="24"/>
          <w:szCs w:val="24"/>
        </w:rPr>
      </w:pPr>
      <w:r w:rsidRPr="005028E4">
        <w:rPr>
          <w:sz w:val="24"/>
          <w:szCs w:val="24"/>
        </w:rPr>
        <w:t xml:space="preserve">Gore navedena cijena vrijedi </w:t>
      </w:r>
      <w:r w:rsidR="0056620F" w:rsidRPr="005028E4">
        <w:rPr>
          <w:b/>
          <w:sz w:val="24"/>
          <w:szCs w:val="24"/>
        </w:rPr>
        <w:t>3 godine</w:t>
      </w:r>
      <w:r w:rsidR="0056620F" w:rsidRPr="005028E4">
        <w:rPr>
          <w:sz w:val="24"/>
          <w:szCs w:val="24"/>
        </w:rPr>
        <w:t xml:space="preserve"> </w:t>
      </w:r>
      <w:r w:rsidRPr="005028E4">
        <w:rPr>
          <w:sz w:val="24"/>
          <w:szCs w:val="24"/>
        </w:rPr>
        <w:t>od dana stupanja na snagu</w:t>
      </w:r>
      <w:r w:rsidR="0056620F" w:rsidRPr="005028E4">
        <w:rPr>
          <w:sz w:val="24"/>
          <w:szCs w:val="24"/>
        </w:rPr>
        <w:t>.</w:t>
      </w:r>
      <w:r w:rsidRPr="005028E4">
        <w:rPr>
          <w:sz w:val="24"/>
          <w:szCs w:val="24"/>
        </w:rPr>
        <w:t xml:space="preserve"> </w:t>
      </w:r>
    </w:p>
    <w:p w:rsidR="004D4A9D" w:rsidRPr="005028E4" w:rsidRDefault="004D4A9D" w:rsidP="00E707B7">
      <w:pPr>
        <w:jc w:val="both"/>
        <w:rPr>
          <w:sz w:val="24"/>
          <w:szCs w:val="24"/>
        </w:rPr>
      </w:pPr>
    </w:p>
    <w:p w:rsidR="00006CEA" w:rsidRPr="005028E4" w:rsidRDefault="000B7347" w:rsidP="009F21BC">
      <w:pPr>
        <w:pStyle w:val="Heading2"/>
      </w:pPr>
      <w:bookmarkStart w:id="746" w:name="_Toc53942002"/>
      <w:bookmarkStart w:id="747" w:name="_Toc54250973"/>
      <w:bookmarkStart w:id="748" w:name="_Toc54252871"/>
      <w:bookmarkStart w:id="749" w:name="_Toc54261683"/>
      <w:r w:rsidRPr="005028E4">
        <w:t>Određivanje</w:t>
      </w:r>
      <w:r w:rsidR="00006CEA" w:rsidRPr="005028E4">
        <w:t xml:space="preserve"> </w:t>
      </w:r>
      <w:r w:rsidRPr="005028E4">
        <w:t>cijene</w:t>
      </w:r>
      <w:bookmarkEnd w:id="745"/>
      <w:r w:rsidR="00006CEA" w:rsidRPr="005028E4">
        <w:t xml:space="preserve"> usluge pristupa pasivnoj pristupnoj svjetlovodnoj mreži na lokaciji distribucijskog čvora (FA PON)</w:t>
      </w:r>
      <w:bookmarkEnd w:id="746"/>
      <w:bookmarkEnd w:id="747"/>
      <w:bookmarkEnd w:id="748"/>
      <w:bookmarkEnd w:id="749"/>
    </w:p>
    <w:p w:rsidR="00D65CDF" w:rsidRPr="005028E4" w:rsidRDefault="00D65CDF" w:rsidP="00D65CDF">
      <w:pPr>
        <w:jc w:val="both"/>
        <w:rPr>
          <w:sz w:val="24"/>
          <w:szCs w:val="24"/>
        </w:rPr>
      </w:pPr>
      <w:r w:rsidRPr="005028E4">
        <w:rPr>
          <w:sz w:val="24"/>
          <w:szCs w:val="24"/>
        </w:rPr>
        <w:t xml:space="preserve">Trenutna mjesečna naknada za uslugu pristupa pasivnoj pristupnoj svjetlovodnoj mreži na lokaciji distribucijskog čvora (FA PON) određena je temeljem rezultata ažuriranog BU-LRAIC+ troškovnog modela, te se razlikuje ovisno o tome koristi li se HT-ova svjetlovodna okosnica zgrade ili ne. Pri tom je, s obzirom da u vrijeme kada je HAKOM izrađivao </w:t>
      </w:r>
      <w:r w:rsidR="008A30D2" w:rsidRPr="005028E4">
        <w:rPr>
          <w:sz w:val="24"/>
          <w:szCs w:val="24"/>
        </w:rPr>
        <w:t xml:space="preserve">postojeći </w:t>
      </w:r>
      <w:r w:rsidRPr="005028E4">
        <w:rPr>
          <w:sz w:val="24"/>
          <w:szCs w:val="24"/>
        </w:rPr>
        <w:t>BU-LRAIC+ troškovni model nisu bili poznati planovi HT-a o budućem pokrivanju svjetlovodnih pristupnih mreža, pretpostavljeno da će HT svjetlovodnu mrežu graditi samo u komercijalno isplativim područjima.</w:t>
      </w:r>
    </w:p>
    <w:p w:rsidR="00D65CDF" w:rsidRPr="005028E4" w:rsidRDefault="00D65CDF" w:rsidP="00D65CDF">
      <w:pPr>
        <w:jc w:val="both"/>
        <w:rPr>
          <w:sz w:val="24"/>
          <w:szCs w:val="24"/>
        </w:rPr>
      </w:pPr>
      <w:r w:rsidRPr="005028E4">
        <w:rPr>
          <w:sz w:val="24"/>
          <w:szCs w:val="24"/>
        </w:rPr>
        <w:t xml:space="preserve">HAKOM je za potrebe izrade Troškovnog modela </w:t>
      </w:r>
      <w:r w:rsidR="002B1D29" w:rsidRPr="005028E4">
        <w:rPr>
          <w:sz w:val="24"/>
          <w:szCs w:val="24"/>
        </w:rPr>
        <w:t>u postupku prikupljanja podataka prikupio</w:t>
      </w:r>
      <w:r w:rsidRPr="005028E4">
        <w:rPr>
          <w:sz w:val="24"/>
          <w:szCs w:val="24"/>
        </w:rPr>
        <w:t xml:space="preserve"> podatke od HT-a o planiranim ulaganjima i pokrivanjima svjetlovodnih pristupnih mreža za modelirano razdoblje te je </w:t>
      </w:r>
      <w:r w:rsidR="000127A4" w:rsidRPr="005028E4">
        <w:rPr>
          <w:sz w:val="24"/>
          <w:szCs w:val="24"/>
        </w:rPr>
        <w:t>HT-ove</w:t>
      </w:r>
      <w:r w:rsidR="002B1D29" w:rsidRPr="005028E4">
        <w:rPr>
          <w:sz w:val="24"/>
          <w:szCs w:val="24"/>
        </w:rPr>
        <w:t xml:space="preserve"> podatke u potpunosti prihvatio kao ulazni podatak Troškovnog modela, kako je i opisano u poglavlju </w:t>
      </w:r>
      <w:r w:rsidR="002B1D29" w:rsidRPr="005028E4">
        <w:rPr>
          <w:sz w:val="24"/>
          <w:szCs w:val="24"/>
        </w:rPr>
        <w:fldChar w:fldCharType="begin"/>
      </w:r>
      <w:r w:rsidR="002B1D29" w:rsidRPr="005028E4">
        <w:rPr>
          <w:sz w:val="24"/>
          <w:szCs w:val="24"/>
        </w:rPr>
        <w:instrText xml:space="preserve"> REF _Ref50991042 \r \h </w:instrText>
      </w:r>
      <w:r w:rsidR="002B1D29" w:rsidRPr="005028E4">
        <w:rPr>
          <w:sz w:val="24"/>
          <w:szCs w:val="24"/>
        </w:rPr>
      </w:r>
      <w:r w:rsidR="002B1D29" w:rsidRPr="005028E4">
        <w:rPr>
          <w:sz w:val="24"/>
          <w:szCs w:val="24"/>
        </w:rPr>
        <w:fldChar w:fldCharType="separate"/>
      </w:r>
      <w:r w:rsidR="00B047B3">
        <w:rPr>
          <w:sz w:val="24"/>
          <w:szCs w:val="24"/>
        </w:rPr>
        <w:t>4.3.1</w:t>
      </w:r>
      <w:r w:rsidR="002B1D29" w:rsidRPr="005028E4">
        <w:rPr>
          <w:sz w:val="24"/>
          <w:szCs w:val="24"/>
        </w:rPr>
        <w:fldChar w:fldCharType="end"/>
      </w:r>
      <w:r w:rsidR="002B1D29" w:rsidRPr="005028E4">
        <w:rPr>
          <w:sz w:val="24"/>
          <w:szCs w:val="24"/>
        </w:rPr>
        <w:t xml:space="preserve">. </w:t>
      </w:r>
    </w:p>
    <w:p w:rsidR="00A91207" w:rsidRPr="005028E4" w:rsidRDefault="00A91207" w:rsidP="009F21BC">
      <w:pPr>
        <w:pStyle w:val="Heading3"/>
      </w:pPr>
      <w:bookmarkStart w:id="750" w:name="_Toc53946537"/>
      <w:bookmarkStart w:id="751" w:name="_Ref52515282"/>
      <w:bookmarkStart w:id="752" w:name="_Toc53942003"/>
      <w:bookmarkStart w:id="753" w:name="_Toc54250974"/>
      <w:bookmarkStart w:id="754" w:name="_Toc54252872"/>
      <w:bookmarkStart w:id="755" w:name="_Toc54261684"/>
      <w:bookmarkEnd w:id="750"/>
      <w:r w:rsidRPr="005028E4">
        <w:t>Razmatrane opcije kod od</w:t>
      </w:r>
      <w:r w:rsidR="000127A4" w:rsidRPr="005028E4">
        <w:t>r</w:t>
      </w:r>
      <w:r w:rsidRPr="005028E4">
        <w:t>eđivanja cijene usluge pristupa pasivnoj pristupnoj svjetlovodnoj mreži na lokaciji distribucijskog čvora (FA PON)</w:t>
      </w:r>
      <w:bookmarkEnd w:id="751"/>
      <w:bookmarkEnd w:id="752"/>
      <w:bookmarkEnd w:id="753"/>
      <w:bookmarkEnd w:id="754"/>
      <w:bookmarkEnd w:id="755"/>
    </w:p>
    <w:p w:rsidR="000C1B9E" w:rsidRPr="005028E4" w:rsidRDefault="00A91207" w:rsidP="000C1B9E">
      <w:pPr>
        <w:jc w:val="both"/>
        <w:rPr>
          <w:sz w:val="24"/>
          <w:szCs w:val="24"/>
        </w:rPr>
      </w:pPr>
      <w:r w:rsidRPr="005028E4">
        <w:rPr>
          <w:sz w:val="24"/>
          <w:szCs w:val="24"/>
        </w:rPr>
        <w:t>S obzirom da se veleprodajne cijene, kako je objašnjeno u prethodnim poglavljima, određuju temeljem rezultata Troškovnog modela, a njegovi rezultati prvenstveno ovise o ulaznim podacima, HAKOM je već prilikom izrade Troškovnog modela identificirao dvije opcije o čijem odabiru ovisi trošak i cijena veleprodajne usluge pristupa pasivnoj pristupnoj svjetlovodnoj mreži na lokaciji distribucijskog čvora (FA PON)</w:t>
      </w:r>
      <w:r w:rsidR="000C1B9E" w:rsidRPr="005028E4">
        <w:rPr>
          <w:sz w:val="24"/>
          <w:szCs w:val="24"/>
        </w:rPr>
        <w:t>:</w:t>
      </w:r>
    </w:p>
    <w:p w:rsidR="000C1B9E" w:rsidRPr="005028E4" w:rsidRDefault="000C1B9E" w:rsidP="00CE6F90">
      <w:pPr>
        <w:pStyle w:val="ListParagraph"/>
        <w:numPr>
          <w:ilvl w:val="0"/>
          <w:numId w:val="40"/>
        </w:numPr>
        <w:jc w:val="both"/>
        <w:rPr>
          <w:b/>
          <w:sz w:val="24"/>
          <w:szCs w:val="24"/>
        </w:rPr>
      </w:pPr>
      <w:r w:rsidRPr="005028E4">
        <w:rPr>
          <w:b/>
          <w:sz w:val="24"/>
          <w:szCs w:val="24"/>
        </w:rPr>
        <w:t>Opcija 1.</w:t>
      </w:r>
      <w:r w:rsidRPr="005028E4">
        <w:rPr>
          <w:sz w:val="24"/>
          <w:szCs w:val="24"/>
        </w:rPr>
        <w:t xml:space="preserve"> –</w:t>
      </w:r>
      <w:r w:rsidRPr="005028E4">
        <w:rPr>
          <w:b/>
          <w:sz w:val="24"/>
          <w:szCs w:val="24"/>
        </w:rPr>
        <w:t xml:space="preserve"> </w:t>
      </w:r>
      <w:r w:rsidRPr="005028E4">
        <w:rPr>
          <w:sz w:val="24"/>
          <w:szCs w:val="24"/>
        </w:rPr>
        <w:t xml:space="preserve">Ulazni podaci o potražnji usluga na svjetlovodnoj mreži HT-a su </w:t>
      </w:r>
      <w:r w:rsidR="009D64AF">
        <w:rPr>
          <w:sz w:val="24"/>
          <w:szCs w:val="24"/>
        </w:rPr>
        <w:t xml:space="preserve">jednaki </w:t>
      </w:r>
      <w:r w:rsidRPr="005028E4">
        <w:rPr>
          <w:sz w:val="24"/>
          <w:szCs w:val="24"/>
        </w:rPr>
        <w:t>podacima koje je dostavio HT</w:t>
      </w:r>
    </w:p>
    <w:p w:rsidR="000C1B9E" w:rsidRPr="005028E4" w:rsidRDefault="000C1B9E" w:rsidP="00CE6F90">
      <w:pPr>
        <w:pStyle w:val="ListParagraph"/>
        <w:numPr>
          <w:ilvl w:val="0"/>
          <w:numId w:val="40"/>
        </w:numPr>
        <w:jc w:val="both"/>
        <w:rPr>
          <w:b/>
          <w:sz w:val="24"/>
          <w:szCs w:val="24"/>
        </w:rPr>
      </w:pPr>
      <w:r w:rsidRPr="005028E4">
        <w:rPr>
          <w:b/>
          <w:sz w:val="24"/>
          <w:szCs w:val="24"/>
        </w:rPr>
        <w:t>Opcija 2 –</w:t>
      </w:r>
      <w:r w:rsidRPr="005028E4">
        <w:rPr>
          <w:b/>
        </w:rPr>
        <w:t xml:space="preserve"> </w:t>
      </w:r>
      <w:r w:rsidRPr="005028E4">
        <w:rPr>
          <w:sz w:val="24"/>
          <w:szCs w:val="24"/>
        </w:rPr>
        <w:t>Umjesto ulaznih podataka o potražnji usluga na svjetlovodnoj mreži HT-a u Troškovnom modelu će se koristiti alternativni podaci</w:t>
      </w:r>
    </w:p>
    <w:p w:rsidR="00A96F89" w:rsidRPr="005028E4" w:rsidRDefault="00750A8D" w:rsidP="00750A8D">
      <w:pPr>
        <w:jc w:val="both"/>
        <w:rPr>
          <w:sz w:val="24"/>
          <w:szCs w:val="24"/>
        </w:rPr>
      </w:pPr>
      <w:r w:rsidRPr="005028E4">
        <w:rPr>
          <w:sz w:val="24"/>
          <w:szCs w:val="24"/>
        </w:rPr>
        <w:t xml:space="preserve">Potrebno je naglasiti da su jedinični troškovi usluga veoma osjetljivi na predviđanje </w:t>
      </w:r>
      <w:r w:rsidRPr="005028E4">
        <w:rPr>
          <w:i/>
          <w:sz w:val="24"/>
          <w:szCs w:val="24"/>
        </w:rPr>
        <w:t>take up-a</w:t>
      </w:r>
      <w:r w:rsidRPr="005028E4">
        <w:rPr>
          <w:sz w:val="24"/>
          <w:szCs w:val="24"/>
        </w:rPr>
        <w:t xml:space="preserve"> u budućem razdoblju. Drugim riječima ako se prognozira viši </w:t>
      </w:r>
      <w:r w:rsidRPr="005028E4">
        <w:rPr>
          <w:i/>
          <w:sz w:val="24"/>
          <w:szCs w:val="24"/>
        </w:rPr>
        <w:t>take up</w:t>
      </w:r>
      <w:r w:rsidRPr="005028E4">
        <w:rPr>
          <w:sz w:val="24"/>
          <w:szCs w:val="24"/>
        </w:rPr>
        <w:t xml:space="preserve"> u budućnosti, to kao rezultat donosi niže jedinične troškove i obrnuto. Stoga je vrlo važno pravilno prognozirati taj podatak, kako bi se izbjegla situacija prekomjernog povrata troškova u slučaju neopravdano </w:t>
      </w:r>
      <w:r w:rsidR="00A96F89" w:rsidRPr="005028E4">
        <w:rPr>
          <w:sz w:val="24"/>
          <w:szCs w:val="24"/>
        </w:rPr>
        <w:t>visok</w:t>
      </w:r>
      <w:r w:rsidRPr="005028E4">
        <w:rPr>
          <w:sz w:val="24"/>
          <w:szCs w:val="24"/>
        </w:rPr>
        <w:t xml:space="preserve">ih cijena kao rezultat procjene nižeg </w:t>
      </w:r>
      <w:r w:rsidRPr="005028E4">
        <w:rPr>
          <w:i/>
          <w:sz w:val="24"/>
          <w:szCs w:val="24"/>
        </w:rPr>
        <w:t>take up-a</w:t>
      </w:r>
      <w:r w:rsidR="00A96F89" w:rsidRPr="005028E4">
        <w:rPr>
          <w:sz w:val="24"/>
          <w:szCs w:val="24"/>
        </w:rPr>
        <w:t xml:space="preserve">, ali i situacija s neopravdano nižim cijenama kojima se ne bi u potpunosti nadoknadili troškovi u slučaju procjene više razine </w:t>
      </w:r>
      <w:r w:rsidR="00A96F89" w:rsidRPr="005028E4">
        <w:rPr>
          <w:i/>
          <w:sz w:val="24"/>
          <w:szCs w:val="24"/>
        </w:rPr>
        <w:t xml:space="preserve">take up-a </w:t>
      </w:r>
      <w:r w:rsidR="00A96F89" w:rsidRPr="005028E4">
        <w:rPr>
          <w:sz w:val="24"/>
          <w:szCs w:val="24"/>
        </w:rPr>
        <w:t xml:space="preserve">od realnog. Iz prognoziranog </w:t>
      </w:r>
      <w:r w:rsidR="00A96F89" w:rsidRPr="005028E4">
        <w:rPr>
          <w:i/>
          <w:sz w:val="24"/>
          <w:szCs w:val="24"/>
        </w:rPr>
        <w:t xml:space="preserve">take up-a </w:t>
      </w:r>
      <w:r w:rsidR="00A96F89" w:rsidRPr="005028E4">
        <w:rPr>
          <w:sz w:val="24"/>
          <w:szCs w:val="24"/>
        </w:rPr>
        <w:t>izravno proizlazi podatak o potražnji, s obzirom da se za podatak o pokrivanju prihvaća  podatak koji je dostavio HT, i koji ovisi isključivo o planovima HT-a.</w:t>
      </w:r>
    </w:p>
    <w:p w:rsidR="00750A8D" w:rsidRPr="005028E4" w:rsidRDefault="00A96F89" w:rsidP="00750A8D">
      <w:pPr>
        <w:jc w:val="both"/>
        <w:rPr>
          <w:sz w:val="24"/>
          <w:szCs w:val="24"/>
        </w:rPr>
      </w:pPr>
      <w:r w:rsidRPr="005028E4">
        <w:rPr>
          <w:sz w:val="24"/>
          <w:szCs w:val="24"/>
        </w:rPr>
        <w:t xml:space="preserve">U nastavku HAKOM opisuje obje opcije </w:t>
      </w:r>
      <w:r w:rsidR="00FD12E5" w:rsidRPr="005028E4">
        <w:rPr>
          <w:sz w:val="24"/>
          <w:szCs w:val="24"/>
        </w:rPr>
        <w:t>i obraz</w:t>
      </w:r>
      <w:r w:rsidRPr="005028E4">
        <w:rPr>
          <w:sz w:val="24"/>
          <w:szCs w:val="24"/>
        </w:rPr>
        <w:t xml:space="preserve">laže konačni odabir, iako je odabir već dijelom obrazložen i u </w:t>
      </w:r>
      <w:r w:rsidR="009D64AF" w:rsidRPr="005028E4">
        <w:rPr>
          <w:sz w:val="24"/>
          <w:szCs w:val="24"/>
        </w:rPr>
        <w:t>poglavlju</w:t>
      </w:r>
      <w:r w:rsidRPr="005028E4">
        <w:rPr>
          <w:sz w:val="24"/>
          <w:szCs w:val="24"/>
        </w:rPr>
        <w:t xml:space="preserve"> </w:t>
      </w:r>
      <w:r w:rsidRPr="005028E4">
        <w:rPr>
          <w:sz w:val="24"/>
          <w:szCs w:val="24"/>
        </w:rPr>
        <w:fldChar w:fldCharType="begin"/>
      </w:r>
      <w:r w:rsidRPr="005028E4">
        <w:rPr>
          <w:sz w:val="24"/>
          <w:szCs w:val="24"/>
        </w:rPr>
        <w:instrText xml:space="preserve"> REF _Ref52440299 \r \h </w:instrText>
      </w:r>
      <w:r w:rsidRPr="005028E4">
        <w:rPr>
          <w:sz w:val="24"/>
          <w:szCs w:val="24"/>
        </w:rPr>
      </w:r>
      <w:r w:rsidRPr="005028E4">
        <w:rPr>
          <w:sz w:val="24"/>
          <w:szCs w:val="24"/>
        </w:rPr>
        <w:fldChar w:fldCharType="separate"/>
      </w:r>
      <w:r w:rsidR="00B047B3">
        <w:rPr>
          <w:sz w:val="24"/>
          <w:szCs w:val="24"/>
        </w:rPr>
        <w:t>4.3.2</w:t>
      </w:r>
      <w:r w:rsidRPr="005028E4">
        <w:rPr>
          <w:sz w:val="24"/>
          <w:szCs w:val="24"/>
        </w:rPr>
        <w:fldChar w:fldCharType="end"/>
      </w:r>
      <w:r w:rsidRPr="005028E4">
        <w:rPr>
          <w:sz w:val="24"/>
          <w:szCs w:val="24"/>
        </w:rPr>
        <w:t>.</w:t>
      </w:r>
    </w:p>
    <w:p w:rsidR="000C1B9E" w:rsidRPr="005028E4" w:rsidRDefault="000C1B9E" w:rsidP="000C1B9E">
      <w:pPr>
        <w:pStyle w:val="Subtitle"/>
      </w:pPr>
      <w:r w:rsidRPr="005028E4">
        <w:t>Opcija 1</w:t>
      </w:r>
    </w:p>
    <w:p w:rsidR="00ED4D66" w:rsidRPr="005028E4" w:rsidRDefault="002B1D29" w:rsidP="00A96EBC">
      <w:pPr>
        <w:jc w:val="both"/>
        <w:rPr>
          <w:sz w:val="24"/>
          <w:szCs w:val="24"/>
        </w:rPr>
      </w:pPr>
      <w:r w:rsidRPr="005028E4">
        <w:rPr>
          <w:sz w:val="24"/>
          <w:szCs w:val="24"/>
        </w:rPr>
        <w:t xml:space="preserve">HT je u postupku prikupljanja podataka, osim podataka o pokrivanju, dostavio i podatke o potražnji za uslugama koje se pružaju putem svjetlovodnih pristupnih mreža. </w:t>
      </w:r>
      <w:r w:rsidR="000C1B9E" w:rsidRPr="005028E4">
        <w:rPr>
          <w:sz w:val="24"/>
          <w:szCs w:val="24"/>
        </w:rPr>
        <w:t xml:space="preserve">Uvidom u iste HAKOM je zaključio da bi, ako bi se u obzir uzeli ti podaci, </w:t>
      </w:r>
      <w:r w:rsidR="000C1B9E" w:rsidRPr="005028E4">
        <w:rPr>
          <w:i/>
          <w:sz w:val="24"/>
          <w:szCs w:val="24"/>
        </w:rPr>
        <w:t xml:space="preserve">take up </w:t>
      </w:r>
      <w:r w:rsidR="000C1B9E" w:rsidRPr="005028E4">
        <w:rPr>
          <w:sz w:val="24"/>
          <w:szCs w:val="24"/>
        </w:rPr>
        <w:t>(broj aktivnih korisnika u odnosu na broj pokrivenih korisnika) na HT-ovoj svjetlovodnoj mreži u 2027. bio oko 2</w:t>
      </w:r>
      <w:r w:rsidR="00C91D9C" w:rsidRPr="005028E4">
        <w:rPr>
          <w:sz w:val="24"/>
          <w:szCs w:val="24"/>
        </w:rPr>
        <w:t>5</w:t>
      </w:r>
      <w:r w:rsidR="000C1B9E" w:rsidRPr="005028E4">
        <w:rPr>
          <w:sz w:val="24"/>
          <w:szCs w:val="24"/>
        </w:rPr>
        <w:t>%</w:t>
      </w:r>
      <w:r w:rsidR="00750A8D" w:rsidRPr="005028E4">
        <w:rPr>
          <w:sz w:val="24"/>
          <w:szCs w:val="24"/>
        </w:rPr>
        <w:t xml:space="preserve">. </w:t>
      </w:r>
    </w:p>
    <w:p w:rsidR="00A96EBC" w:rsidRPr="005028E4" w:rsidRDefault="00750A8D" w:rsidP="00A96EBC">
      <w:pPr>
        <w:jc w:val="both"/>
        <w:rPr>
          <w:sz w:val="24"/>
          <w:szCs w:val="24"/>
        </w:rPr>
      </w:pPr>
      <w:r w:rsidRPr="005028E4">
        <w:rPr>
          <w:sz w:val="24"/>
          <w:szCs w:val="24"/>
        </w:rPr>
        <w:t xml:space="preserve">Iako je trenutno </w:t>
      </w:r>
      <w:r w:rsidRPr="005028E4">
        <w:rPr>
          <w:i/>
          <w:sz w:val="24"/>
          <w:szCs w:val="24"/>
        </w:rPr>
        <w:t>take up</w:t>
      </w:r>
      <w:r w:rsidRPr="005028E4">
        <w:rPr>
          <w:sz w:val="24"/>
          <w:szCs w:val="24"/>
        </w:rPr>
        <w:t xml:space="preserve"> na svjetlovodnoj mreži HT-a relativno nizak (oko 19%)</w:t>
      </w:r>
      <w:r w:rsidR="00A96F89" w:rsidRPr="005028E4">
        <w:rPr>
          <w:sz w:val="24"/>
          <w:szCs w:val="24"/>
        </w:rPr>
        <w:t xml:space="preserve">, HAKOM HT-ovu procjenu takvog </w:t>
      </w:r>
      <w:r w:rsidR="00A96F89" w:rsidRPr="005028E4">
        <w:rPr>
          <w:i/>
          <w:sz w:val="24"/>
          <w:szCs w:val="24"/>
        </w:rPr>
        <w:t xml:space="preserve">take up-a </w:t>
      </w:r>
      <w:r w:rsidR="000127A4" w:rsidRPr="005028E4">
        <w:rPr>
          <w:sz w:val="24"/>
          <w:szCs w:val="24"/>
        </w:rPr>
        <w:t xml:space="preserve">smatra </w:t>
      </w:r>
      <w:r w:rsidR="00A96F89" w:rsidRPr="005028E4">
        <w:rPr>
          <w:sz w:val="24"/>
          <w:szCs w:val="24"/>
        </w:rPr>
        <w:t xml:space="preserve">prilično </w:t>
      </w:r>
      <w:r w:rsidR="009D64AF" w:rsidRPr="005028E4">
        <w:rPr>
          <w:sz w:val="24"/>
          <w:szCs w:val="24"/>
        </w:rPr>
        <w:t>pesimističnom</w:t>
      </w:r>
      <w:r w:rsidR="00A96F89" w:rsidRPr="005028E4">
        <w:rPr>
          <w:sz w:val="24"/>
          <w:szCs w:val="24"/>
        </w:rPr>
        <w:t xml:space="preserve">, posebno ako se uzmu u obzir podaci o trenutno prosječnom </w:t>
      </w:r>
      <w:r w:rsidR="00A96F89" w:rsidRPr="005028E4">
        <w:rPr>
          <w:i/>
          <w:sz w:val="24"/>
          <w:szCs w:val="24"/>
        </w:rPr>
        <w:t>take up-u</w:t>
      </w:r>
      <w:r w:rsidR="00A96F89" w:rsidRPr="005028E4">
        <w:rPr>
          <w:sz w:val="24"/>
          <w:szCs w:val="24"/>
        </w:rPr>
        <w:t xml:space="preserve"> u drugim europskim zemljama koji trenutno iznosi nešto iznad 40% i u stalnom je porastu</w:t>
      </w:r>
      <w:r w:rsidR="00A96EBC" w:rsidRPr="005028E4">
        <w:rPr>
          <w:sz w:val="24"/>
          <w:szCs w:val="24"/>
        </w:rPr>
        <w:t xml:space="preserve"> (vidi poglavlje </w:t>
      </w:r>
      <w:r w:rsidR="00A96EBC" w:rsidRPr="005028E4">
        <w:rPr>
          <w:sz w:val="24"/>
          <w:szCs w:val="24"/>
        </w:rPr>
        <w:fldChar w:fldCharType="begin"/>
      </w:r>
      <w:r w:rsidR="00A96EBC" w:rsidRPr="005028E4">
        <w:rPr>
          <w:sz w:val="24"/>
          <w:szCs w:val="24"/>
        </w:rPr>
        <w:instrText xml:space="preserve"> REF _Ref52440790 \r \h </w:instrText>
      </w:r>
      <w:r w:rsidR="00A96EBC" w:rsidRPr="005028E4">
        <w:rPr>
          <w:sz w:val="24"/>
          <w:szCs w:val="24"/>
        </w:rPr>
      </w:r>
      <w:r w:rsidR="00A96EBC" w:rsidRPr="005028E4">
        <w:rPr>
          <w:sz w:val="24"/>
          <w:szCs w:val="24"/>
        </w:rPr>
        <w:fldChar w:fldCharType="separate"/>
      </w:r>
      <w:r w:rsidR="00B047B3">
        <w:rPr>
          <w:sz w:val="24"/>
          <w:szCs w:val="24"/>
        </w:rPr>
        <w:t>4.3.2</w:t>
      </w:r>
      <w:r w:rsidR="00A96EBC" w:rsidRPr="005028E4">
        <w:rPr>
          <w:sz w:val="24"/>
          <w:szCs w:val="24"/>
        </w:rPr>
        <w:fldChar w:fldCharType="end"/>
      </w:r>
      <w:r w:rsidR="00A96EBC" w:rsidRPr="005028E4">
        <w:rPr>
          <w:sz w:val="24"/>
          <w:szCs w:val="24"/>
        </w:rPr>
        <w:t>)</w:t>
      </w:r>
      <w:r w:rsidR="00A96F89" w:rsidRPr="005028E4">
        <w:rPr>
          <w:sz w:val="24"/>
          <w:szCs w:val="24"/>
        </w:rPr>
        <w:t>.</w:t>
      </w:r>
      <w:r w:rsidR="00A96EBC" w:rsidRPr="005028E4">
        <w:rPr>
          <w:sz w:val="24"/>
          <w:szCs w:val="24"/>
        </w:rPr>
        <w:t xml:space="preserve"> S obzirom na osjetljivost jediničnog troška usluge na </w:t>
      </w:r>
      <w:r w:rsidR="00A96EBC" w:rsidRPr="005028E4">
        <w:rPr>
          <w:i/>
          <w:sz w:val="24"/>
          <w:szCs w:val="24"/>
        </w:rPr>
        <w:t xml:space="preserve">take up, </w:t>
      </w:r>
      <w:r w:rsidR="00A96EBC" w:rsidRPr="005028E4">
        <w:rPr>
          <w:sz w:val="24"/>
          <w:szCs w:val="24"/>
        </w:rPr>
        <w:t xml:space="preserve">HAKOM smatra da u slučaju prihvaćanja HT-ove procjene postoji veliki rizik određivanja previsoke veleprodajne cijene koja bi uzrokovala preveliki povrat HT-u. Također, previsoka veleprodajna cijena bi još dodatno smanjila </w:t>
      </w:r>
      <w:r w:rsidR="00A96EBC" w:rsidRPr="005028E4">
        <w:rPr>
          <w:i/>
          <w:sz w:val="24"/>
          <w:szCs w:val="24"/>
        </w:rPr>
        <w:t xml:space="preserve">take up </w:t>
      </w:r>
      <w:r w:rsidR="00FD12E5" w:rsidRPr="005028E4">
        <w:rPr>
          <w:sz w:val="24"/>
          <w:szCs w:val="24"/>
        </w:rPr>
        <w:t>s obzirom da bi i</w:t>
      </w:r>
      <w:r w:rsidR="00A96EBC" w:rsidRPr="005028E4">
        <w:rPr>
          <w:sz w:val="24"/>
          <w:szCs w:val="24"/>
        </w:rPr>
        <w:t xml:space="preserve"> maloprodajne cijene</w:t>
      </w:r>
      <w:r w:rsidR="00FD12E5" w:rsidRPr="005028E4">
        <w:rPr>
          <w:sz w:val="24"/>
          <w:szCs w:val="24"/>
        </w:rPr>
        <w:t xml:space="preserve"> </w:t>
      </w:r>
      <w:r w:rsidR="00206F91" w:rsidRPr="005028E4">
        <w:rPr>
          <w:sz w:val="24"/>
          <w:szCs w:val="24"/>
        </w:rPr>
        <w:t>mogle biti</w:t>
      </w:r>
      <w:r w:rsidR="00FD12E5" w:rsidRPr="005028E4">
        <w:rPr>
          <w:sz w:val="24"/>
          <w:szCs w:val="24"/>
        </w:rPr>
        <w:t xml:space="preserve"> više. Dakle, i krajnji korisnici bi osjetili negativan utjecaj previsokih veleprodajnih cijena. I konačno, prema mišljenju HAKOM-a, sve bi to zajedno imalo negativan utjecaj na tržišno natjecanje, budući da operatori koji isključivo ovise o veleprodajnim uslugama HT-a dugoročno ne bi mogli opstati uz tako nizak </w:t>
      </w:r>
      <w:r w:rsidR="00FD12E5" w:rsidRPr="005028E4">
        <w:rPr>
          <w:i/>
          <w:sz w:val="24"/>
          <w:szCs w:val="24"/>
        </w:rPr>
        <w:t>take up</w:t>
      </w:r>
      <w:r w:rsidR="00FD12E5" w:rsidRPr="005028E4">
        <w:rPr>
          <w:sz w:val="24"/>
          <w:szCs w:val="24"/>
        </w:rPr>
        <w:t xml:space="preserve"> i posljedično previsoke veleprodajne cijene. </w:t>
      </w:r>
    </w:p>
    <w:p w:rsidR="000C1B9E" w:rsidRPr="005028E4" w:rsidRDefault="00FD12E5" w:rsidP="00D65CDF">
      <w:pPr>
        <w:jc w:val="both"/>
        <w:rPr>
          <w:sz w:val="24"/>
          <w:szCs w:val="24"/>
        </w:rPr>
      </w:pPr>
      <w:r w:rsidRPr="005028E4">
        <w:rPr>
          <w:sz w:val="24"/>
          <w:szCs w:val="24"/>
        </w:rPr>
        <w:t xml:space="preserve">S obzirom da nije identificirao niti jednu dobru stranu kod Opcije 1, koja bi doprinosila ciljevima HAKOM-a, osim eventualno niskog rizika da HT ne bi </w:t>
      </w:r>
      <w:r w:rsidR="000127A4" w:rsidRPr="005028E4">
        <w:rPr>
          <w:sz w:val="24"/>
          <w:szCs w:val="24"/>
        </w:rPr>
        <w:t>ostvario</w:t>
      </w:r>
      <w:r w:rsidRPr="005028E4">
        <w:rPr>
          <w:sz w:val="24"/>
          <w:szCs w:val="24"/>
        </w:rPr>
        <w:t xml:space="preserve"> povrat troškova, HAKOM smatra da Opcija 1 nije prihvatljiva, odnosno da je potrebno razmotriti alternativne opcije za prognozu </w:t>
      </w:r>
      <w:r w:rsidRPr="005028E4">
        <w:rPr>
          <w:i/>
          <w:sz w:val="24"/>
          <w:szCs w:val="24"/>
        </w:rPr>
        <w:t>take up-a</w:t>
      </w:r>
      <w:r w:rsidRPr="005028E4">
        <w:rPr>
          <w:sz w:val="24"/>
          <w:szCs w:val="24"/>
        </w:rPr>
        <w:t>, odnosno potražnje na svjetlovodnim pristupnim mrežama HT-a.</w:t>
      </w:r>
    </w:p>
    <w:p w:rsidR="00C00568" w:rsidRPr="005028E4" w:rsidRDefault="00C00568" w:rsidP="00D65CDF">
      <w:pPr>
        <w:jc w:val="both"/>
        <w:rPr>
          <w:sz w:val="24"/>
          <w:szCs w:val="24"/>
        </w:rPr>
      </w:pPr>
    </w:p>
    <w:p w:rsidR="00FD12E5" w:rsidRPr="005028E4" w:rsidRDefault="00FD12E5" w:rsidP="00FD12E5">
      <w:pPr>
        <w:pStyle w:val="Subtitle"/>
      </w:pPr>
      <w:r w:rsidRPr="005028E4">
        <w:t>Opcija 2</w:t>
      </w:r>
    </w:p>
    <w:p w:rsidR="001C7302" w:rsidRPr="005028E4" w:rsidRDefault="001C7302" w:rsidP="00D65CDF">
      <w:pPr>
        <w:jc w:val="both"/>
        <w:rPr>
          <w:sz w:val="24"/>
          <w:szCs w:val="24"/>
        </w:rPr>
      </w:pPr>
      <w:r w:rsidRPr="005028E4">
        <w:rPr>
          <w:sz w:val="24"/>
          <w:szCs w:val="24"/>
        </w:rPr>
        <w:t xml:space="preserve">Opcija 2 predstavlja korištenje alternativnih podataka o potražnji za uslugama koje se pružaju putem svjetlovodnih pristupnih mreža (koji su izračunati na temelju prognoze HAKOM-a o očekivanom </w:t>
      </w:r>
      <w:r w:rsidRPr="005028E4">
        <w:rPr>
          <w:i/>
          <w:sz w:val="24"/>
          <w:szCs w:val="24"/>
        </w:rPr>
        <w:t>take up-u</w:t>
      </w:r>
      <w:r w:rsidRPr="005028E4">
        <w:rPr>
          <w:sz w:val="24"/>
          <w:szCs w:val="24"/>
        </w:rPr>
        <w:t xml:space="preserve"> na svjetlovodnim mrežama HT-a u modeliranom razdoblju) umjesto podataka o potražnji koje je dostavio HT u postupku prikupljanja podataka. </w:t>
      </w:r>
    </w:p>
    <w:p w:rsidR="002B1D29" w:rsidRPr="005028E4" w:rsidRDefault="001C7302" w:rsidP="00D65CDF">
      <w:pPr>
        <w:jc w:val="both"/>
        <w:rPr>
          <w:sz w:val="24"/>
          <w:szCs w:val="24"/>
        </w:rPr>
      </w:pPr>
      <w:r w:rsidRPr="005028E4">
        <w:rPr>
          <w:sz w:val="24"/>
          <w:szCs w:val="24"/>
        </w:rPr>
        <w:t xml:space="preserve">HAKOM </w:t>
      </w:r>
      <w:r w:rsidR="002B1D29" w:rsidRPr="005028E4">
        <w:rPr>
          <w:sz w:val="24"/>
          <w:szCs w:val="24"/>
        </w:rPr>
        <w:t>j</w:t>
      </w:r>
      <w:r w:rsidRPr="005028E4">
        <w:rPr>
          <w:sz w:val="24"/>
          <w:szCs w:val="24"/>
        </w:rPr>
        <w:t>e, kako je već i obrazloženo u</w:t>
      </w:r>
      <w:r w:rsidR="002B1D29" w:rsidRPr="005028E4">
        <w:rPr>
          <w:sz w:val="24"/>
          <w:szCs w:val="24"/>
        </w:rPr>
        <w:t xml:space="preserve"> poglavlj</w:t>
      </w:r>
      <w:r w:rsidRPr="005028E4">
        <w:rPr>
          <w:sz w:val="24"/>
          <w:szCs w:val="24"/>
        </w:rPr>
        <w:t>u</w:t>
      </w:r>
      <w:r w:rsidR="002B1D29" w:rsidRPr="005028E4">
        <w:rPr>
          <w:sz w:val="24"/>
          <w:szCs w:val="24"/>
        </w:rPr>
        <w:t xml:space="preserve"> </w:t>
      </w:r>
      <w:r w:rsidR="002B1D29" w:rsidRPr="005028E4">
        <w:rPr>
          <w:sz w:val="24"/>
          <w:szCs w:val="24"/>
        </w:rPr>
        <w:fldChar w:fldCharType="begin"/>
      </w:r>
      <w:r w:rsidR="002B1D29" w:rsidRPr="005028E4">
        <w:rPr>
          <w:sz w:val="24"/>
          <w:szCs w:val="24"/>
        </w:rPr>
        <w:instrText xml:space="preserve"> REF _Ref52361888 \r \h </w:instrText>
      </w:r>
      <w:r w:rsidR="002B1D29" w:rsidRPr="005028E4">
        <w:rPr>
          <w:sz w:val="24"/>
          <w:szCs w:val="24"/>
        </w:rPr>
      </w:r>
      <w:r w:rsidR="002B1D29" w:rsidRPr="005028E4">
        <w:rPr>
          <w:sz w:val="24"/>
          <w:szCs w:val="24"/>
        </w:rPr>
        <w:fldChar w:fldCharType="separate"/>
      </w:r>
      <w:r w:rsidR="00B047B3">
        <w:rPr>
          <w:sz w:val="24"/>
          <w:szCs w:val="24"/>
        </w:rPr>
        <w:t>4.3.2</w:t>
      </w:r>
      <w:r w:rsidR="002B1D29" w:rsidRPr="005028E4">
        <w:rPr>
          <w:sz w:val="24"/>
          <w:szCs w:val="24"/>
        </w:rPr>
        <w:fldChar w:fldCharType="end"/>
      </w:r>
      <w:r w:rsidR="002B1D29" w:rsidRPr="005028E4">
        <w:rPr>
          <w:sz w:val="24"/>
          <w:szCs w:val="24"/>
        </w:rPr>
        <w:t xml:space="preserve">, koristio alternativne podatke o potražnji za uslugama na svjetlovodnim pristupnim mrežama. Ti alternativni podaci o potražnji, koji su onda korišteni u Troškovnom modelu kao ulazni podatak, izračunati su temeljem pretpostavke da učinkoviti operator mora imati </w:t>
      </w:r>
      <w:r w:rsidR="002B1D29" w:rsidRPr="005028E4">
        <w:rPr>
          <w:i/>
          <w:sz w:val="24"/>
          <w:szCs w:val="24"/>
        </w:rPr>
        <w:t xml:space="preserve">take up </w:t>
      </w:r>
      <w:r w:rsidR="002B1D29" w:rsidRPr="005028E4">
        <w:rPr>
          <w:sz w:val="24"/>
          <w:szCs w:val="24"/>
        </w:rPr>
        <w:t xml:space="preserve">svjetlovodne pristupne mreže u 2027. godini od barem </w:t>
      </w:r>
      <w:r w:rsidR="000F2C5D" w:rsidRPr="005028E4">
        <w:rPr>
          <w:sz w:val="24"/>
          <w:szCs w:val="24"/>
        </w:rPr>
        <w:t>45% na komercijalnim područjima, odnosno 60% na mrežama koje će se graditi uz pomoć sredstava državnih potpora iz ONP-a.</w:t>
      </w:r>
      <w:r w:rsidRPr="005028E4">
        <w:rPr>
          <w:sz w:val="24"/>
          <w:szCs w:val="24"/>
        </w:rPr>
        <w:t xml:space="preserve"> Pretpostavka o </w:t>
      </w:r>
      <w:r w:rsidRPr="005028E4">
        <w:rPr>
          <w:i/>
          <w:sz w:val="24"/>
          <w:szCs w:val="24"/>
        </w:rPr>
        <w:t xml:space="preserve">take up-u </w:t>
      </w:r>
      <w:r w:rsidRPr="005028E4">
        <w:rPr>
          <w:sz w:val="24"/>
          <w:szCs w:val="24"/>
        </w:rPr>
        <w:t xml:space="preserve">od 45% na komercijalnim područjima je prema mišljenju HAKOM-a prilično konzervativna budući da je u europskim zemljama prosječni </w:t>
      </w:r>
      <w:r w:rsidRPr="005028E4">
        <w:rPr>
          <w:i/>
          <w:sz w:val="24"/>
          <w:szCs w:val="24"/>
        </w:rPr>
        <w:t>take up</w:t>
      </w:r>
      <w:r w:rsidRPr="005028E4">
        <w:rPr>
          <w:sz w:val="24"/>
          <w:szCs w:val="24"/>
        </w:rPr>
        <w:t xml:space="preserve"> već sada blizu te brojke i stalno raste, dok je </w:t>
      </w:r>
      <w:r w:rsidRPr="005028E4">
        <w:rPr>
          <w:i/>
          <w:sz w:val="24"/>
          <w:szCs w:val="24"/>
        </w:rPr>
        <w:t xml:space="preserve">take up </w:t>
      </w:r>
      <w:r w:rsidRPr="005028E4">
        <w:rPr>
          <w:sz w:val="24"/>
          <w:szCs w:val="24"/>
        </w:rPr>
        <w:t>od 60% na nekomercijalnim područjima temeljen na specifičnostima projekata koji se financiraju sredstvima državnih potpora te činjenicom da se na tim područjima ne očekuje gradnja paralelnih infrastruktura</w:t>
      </w:r>
      <w:r w:rsidR="00ED4D66" w:rsidRPr="005028E4">
        <w:rPr>
          <w:sz w:val="24"/>
          <w:szCs w:val="24"/>
        </w:rPr>
        <w:t xml:space="preserve"> drugih operatora na koje bi se mogao spojiti dio korisnika i time smanjiti </w:t>
      </w:r>
      <w:r w:rsidR="00ED4D66" w:rsidRPr="005028E4">
        <w:rPr>
          <w:i/>
          <w:sz w:val="24"/>
          <w:szCs w:val="24"/>
        </w:rPr>
        <w:t xml:space="preserve">take up </w:t>
      </w:r>
      <w:r w:rsidR="00ED4D66" w:rsidRPr="005028E4">
        <w:rPr>
          <w:sz w:val="24"/>
          <w:szCs w:val="24"/>
        </w:rPr>
        <w:t>na HT-ovo svjetlovodnoj mreži.</w:t>
      </w:r>
    </w:p>
    <w:p w:rsidR="00ED4D66" w:rsidRPr="005028E4" w:rsidRDefault="00ED4D66" w:rsidP="00D65CDF">
      <w:pPr>
        <w:jc w:val="both"/>
        <w:rPr>
          <w:sz w:val="24"/>
          <w:szCs w:val="24"/>
        </w:rPr>
      </w:pPr>
      <w:r w:rsidRPr="005028E4">
        <w:rPr>
          <w:sz w:val="24"/>
          <w:szCs w:val="24"/>
        </w:rPr>
        <w:t xml:space="preserve">HAKOM-ova procjena </w:t>
      </w:r>
      <w:r w:rsidRPr="005028E4">
        <w:rPr>
          <w:i/>
          <w:sz w:val="24"/>
          <w:szCs w:val="24"/>
        </w:rPr>
        <w:t xml:space="preserve">take up-a, </w:t>
      </w:r>
      <w:r w:rsidRPr="005028E4">
        <w:rPr>
          <w:sz w:val="24"/>
          <w:szCs w:val="24"/>
        </w:rPr>
        <w:t>odnosno potražnje koja iz nje izravno proizlazi,</w:t>
      </w:r>
      <w:r w:rsidRPr="005028E4">
        <w:rPr>
          <w:i/>
          <w:sz w:val="24"/>
          <w:szCs w:val="24"/>
        </w:rPr>
        <w:t xml:space="preserve"> </w:t>
      </w:r>
      <w:r w:rsidRPr="005028E4">
        <w:rPr>
          <w:sz w:val="24"/>
          <w:szCs w:val="24"/>
        </w:rPr>
        <w:t>a</w:t>
      </w:r>
      <w:r w:rsidRPr="005028E4">
        <w:rPr>
          <w:i/>
          <w:sz w:val="24"/>
          <w:szCs w:val="24"/>
        </w:rPr>
        <w:t xml:space="preserve"> </w:t>
      </w:r>
      <w:r w:rsidRPr="005028E4">
        <w:rPr>
          <w:sz w:val="24"/>
          <w:szCs w:val="24"/>
        </w:rPr>
        <w:t>s obzirom na osjetljivost rezultata Troškovnog modela na potražnju, donosi kao rezultat niže jedinične troškove i posljedično nižu veleprodajnu cijenu FA PON usluge .</w:t>
      </w:r>
    </w:p>
    <w:p w:rsidR="00ED4D66" w:rsidRPr="005028E4" w:rsidRDefault="00ED4D66" w:rsidP="00D65CDF">
      <w:pPr>
        <w:jc w:val="both"/>
        <w:rPr>
          <w:sz w:val="24"/>
          <w:szCs w:val="24"/>
        </w:rPr>
      </w:pPr>
      <w:r w:rsidRPr="005028E4">
        <w:rPr>
          <w:sz w:val="24"/>
          <w:szCs w:val="24"/>
        </w:rPr>
        <w:t xml:space="preserve">S obzirom da je HAKOM-ova procjena </w:t>
      </w:r>
      <w:r w:rsidRPr="005028E4">
        <w:rPr>
          <w:i/>
          <w:sz w:val="24"/>
          <w:szCs w:val="24"/>
        </w:rPr>
        <w:t xml:space="preserve">take up-a </w:t>
      </w:r>
      <w:r w:rsidRPr="005028E4">
        <w:rPr>
          <w:sz w:val="24"/>
          <w:szCs w:val="24"/>
        </w:rPr>
        <w:t>prilično konzervativna, HAKOM je stava da je ona realno i ostvariva te da postoji nizak rizik od opasnosti da HT ne ostvari povrat troškova. S druge strane, niže veleprodajne cijene i s time povezane niže maloprodajne cijen</w:t>
      </w:r>
      <w:r w:rsidR="00837D4E" w:rsidRPr="005028E4">
        <w:rPr>
          <w:sz w:val="24"/>
          <w:szCs w:val="24"/>
        </w:rPr>
        <w:t>e</w:t>
      </w:r>
      <w:r w:rsidRPr="005028E4">
        <w:rPr>
          <w:sz w:val="24"/>
          <w:szCs w:val="24"/>
        </w:rPr>
        <w:t xml:space="preserve"> mogu dodatno </w:t>
      </w:r>
      <w:r w:rsidR="009D64AF" w:rsidRPr="005028E4">
        <w:rPr>
          <w:sz w:val="24"/>
          <w:szCs w:val="24"/>
        </w:rPr>
        <w:t>doprinijeti</w:t>
      </w:r>
      <w:r w:rsidRPr="005028E4">
        <w:rPr>
          <w:sz w:val="24"/>
          <w:szCs w:val="24"/>
        </w:rPr>
        <w:t xml:space="preserve"> većem </w:t>
      </w:r>
      <w:r w:rsidRPr="005028E4">
        <w:rPr>
          <w:i/>
          <w:sz w:val="24"/>
          <w:szCs w:val="24"/>
        </w:rPr>
        <w:t>take up-u</w:t>
      </w:r>
      <w:r w:rsidRPr="005028E4">
        <w:rPr>
          <w:sz w:val="24"/>
          <w:szCs w:val="24"/>
        </w:rPr>
        <w:t xml:space="preserve"> , pa čak i većem od HAKOM-ove procjene</w:t>
      </w:r>
      <w:r w:rsidR="003D061E" w:rsidRPr="005028E4">
        <w:rPr>
          <w:sz w:val="24"/>
          <w:szCs w:val="24"/>
        </w:rPr>
        <w:t xml:space="preserve">, što bi onda dovelo do prekomjernog povrata troškova. Međutim, HAKOM u ovom trenutku, uzimajući u obzir i trenutni </w:t>
      </w:r>
      <w:r w:rsidR="003D061E" w:rsidRPr="005028E4">
        <w:rPr>
          <w:i/>
          <w:sz w:val="24"/>
          <w:szCs w:val="24"/>
        </w:rPr>
        <w:t>take up</w:t>
      </w:r>
      <w:r w:rsidR="003D061E" w:rsidRPr="005028E4">
        <w:rPr>
          <w:sz w:val="24"/>
          <w:szCs w:val="24"/>
        </w:rPr>
        <w:t>, takvu situaciju ipak ne smatra izglednom.</w:t>
      </w:r>
    </w:p>
    <w:p w:rsidR="003D061E" w:rsidRPr="005028E4" w:rsidRDefault="003D061E" w:rsidP="00D65CDF">
      <w:pPr>
        <w:jc w:val="both"/>
        <w:rPr>
          <w:sz w:val="24"/>
          <w:szCs w:val="24"/>
        </w:rPr>
      </w:pPr>
      <w:r w:rsidRPr="005028E4">
        <w:rPr>
          <w:sz w:val="24"/>
          <w:szCs w:val="24"/>
        </w:rPr>
        <w:t xml:space="preserve">Odabir Opcije 2 donosi izravne koristi operatorima korisnicima jer im omogućuje niže veleprodajne cijene i viši </w:t>
      </w:r>
      <w:r w:rsidRPr="005028E4">
        <w:rPr>
          <w:i/>
          <w:sz w:val="24"/>
          <w:szCs w:val="24"/>
        </w:rPr>
        <w:t>take up</w:t>
      </w:r>
      <w:r w:rsidRPr="005028E4">
        <w:rPr>
          <w:sz w:val="24"/>
          <w:szCs w:val="24"/>
        </w:rPr>
        <w:t xml:space="preserve">, što onda posljedično ima i pozitivan utjecaj na tržišno natjecanje. Krajnji korisnici će također imati koristi u slučaju odabira Opcije 2, budući da će kao krajnju posljedicu omogućiti niže cijene za krajnje korisnike. </w:t>
      </w:r>
    </w:p>
    <w:p w:rsidR="006E438B" w:rsidRPr="005028E4" w:rsidRDefault="006E438B" w:rsidP="006E438B">
      <w:pPr>
        <w:jc w:val="both"/>
        <w:rPr>
          <w:sz w:val="24"/>
          <w:szCs w:val="24"/>
        </w:rPr>
      </w:pPr>
      <w:r w:rsidRPr="005028E4">
        <w:rPr>
          <w:sz w:val="24"/>
          <w:szCs w:val="24"/>
        </w:rPr>
        <w:t xml:space="preserve">HAKOM je dakle mišljenja, uzimajući u obzir gore navedeno, da primjena Opcije 2 u određivanju cijene FA PON usluge doprinosi ostvarenju ciljeva iz poglavlja </w:t>
      </w:r>
      <w:r w:rsidRPr="005028E4">
        <w:rPr>
          <w:sz w:val="24"/>
          <w:szCs w:val="24"/>
        </w:rPr>
        <w:fldChar w:fldCharType="begin"/>
      </w:r>
      <w:r w:rsidRPr="005028E4">
        <w:rPr>
          <w:sz w:val="24"/>
          <w:szCs w:val="24"/>
        </w:rPr>
        <w:instrText xml:space="preserve"> REF _Ref52287742 \r \h </w:instrText>
      </w:r>
      <w:r w:rsidRPr="005028E4">
        <w:rPr>
          <w:sz w:val="24"/>
          <w:szCs w:val="24"/>
        </w:rPr>
      </w:r>
      <w:r w:rsidRPr="005028E4">
        <w:rPr>
          <w:sz w:val="24"/>
          <w:szCs w:val="24"/>
        </w:rPr>
        <w:fldChar w:fldCharType="separate"/>
      </w:r>
      <w:r w:rsidR="00B047B3">
        <w:rPr>
          <w:sz w:val="24"/>
          <w:szCs w:val="24"/>
        </w:rPr>
        <w:t>5</w:t>
      </w:r>
      <w:r w:rsidRPr="005028E4">
        <w:rPr>
          <w:sz w:val="24"/>
          <w:szCs w:val="24"/>
        </w:rPr>
        <w:fldChar w:fldCharType="end"/>
      </w:r>
      <w:r w:rsidRPr="005028E4">
        <w:rPr>
          <w:sz w:val="24"/>
          <w:szCs w:val="24"/>
        </w:rPr>
        <w:t>, odnosno da promiče učinkovitost, promiče održivo tržišno natjecanje i osigurava najveće koristi za krajnje korisnike.</w:t>
      </w:r>
    </w:p>
    <w:p w:rsidR="004C6C95" w:rsidRPr="005028E4" w:rsidRDefault="003D061E" w:rsidP="004C6C95">
      <w:pPr>
        <w:jc w:val="both"/>
        <w:rPr>
          <w:b/>
          <w:sz w:val="24"/>
          <w:szCs w:val="24"/>
        </w:rPr>
      </w:pPr>
      <w:r w:rsidRPr="005028E4">
        <w:rPr>
          <w:sz w:val="24"/>
          <w:szCs w:val="24"/>
        </w:rPr>
        <w:t>Dakle, veleprodajna cijena za</w:t>
      </w:r>
      <w:r w:rsidR="004C6C95" w:rsidRPr="005028E4">
        <w:rPr>
          <w:sz w:val="24"/>
          <w:szCs w:val="24"/>
        </w:rPr>
        <w:t xml:space="preserve"> FA PON uslugu odredi</w:t>
      </w:r>
      <w:r w:rsidRPr="005028E4">
        <w:rPr>
          <w:sz w:val="24"/>
          <w:szCs w:val="24"/>
        </w:rPr>
        <w:t>t će se</w:t>
      </w:r>
      <w:r w:rsidR="004C6C95" w:rsidRPr="005028E4">
        <w:rPr>
          <w:sz w:val="24"/>
          <w:szCs w:val="24"/>
        </w:rPr>
        <w:t xml:space="preserve"> na temelju rezultata troškova veleprodajne usluge </w:t>
      </w:r>
      <w:r w:rsidR="004C6C95" w:rsidRPr="005028E4">
        <w:rPr>
          <w:b/>
          <w:sz w:val="24"/>
          <w:szCs w:val="24"/>
        </w:rPr>
        <w:t>Access.FTTH - Unbundled at DN level (PTP) .Wholesale - Local Access Lines - Market 3A.Access</w:t>
      </w:r>
      <w:r w:rsidR="004C6C95" w:rsidRPr="005028E4">
        <w:rPr>
          <w:sz w:val="24"/>
          <w:szCs w:val="24"/>
        </w:rPr>
        <w:t xml:space="preserve"> iz Troškovnog modela, koja je opisana u prethodnom poglavlju</w:t>
      </w:r>
      <w:r w:rsidRPr="005028E4">
        <w:rPr>
          <w:sz w:val="24"/>
          <w:szCs w:val="24"/>
        </w:rPr>
        <w:t>, uz odabir Opcije 2</w:t>
      </w:r>
      <w:r w:rsidR="004C6C95" w:rsidRPr="005028E4">
        <w:rPr>
          <w:sz w:val="24"/>
          <w:szCs w:val="24"/>
        </w:rPr>
        <w:t>. Struktura same cijene će ostati</w:t>
      </w:r>
      <w:r w:rsidR="009D64AF">
        <w:rPr>
          <w:sz w:val="24"/>
          <w:szCs w:val="24"/>
        </w:rPr>
        <w:t xml:space="preserve"> nepromijenjena</w:t>
      </w:r>
      <w:r w:rsidR="004C6C95" w:rsidRPr="005028E4">
        <w:rPr>
          <w:sz w:val="24"/>
          <w:szCs w:val="24"/>
        </w:rPr>
        <w:t>, što znači da će biti jednaka trošku gore navedene veleprodajne usluge iz Troškovnog modela. Također, odrediti će se dvije cijene, s uključenom i bez uključene svjetlovodne instalacije unutar višestambene zgrade, ovisno o tome da li je ista u vla</w:t>
      </w:r>
      <w:r w:rsidR="00A91207" w:rsidRPr="005028E4">
        <w:rPr>
          <w:sz w:val="24"/>
          <w:szCs w:val="24"/>
        </w:rPr>
        <w:t>s</w:t>
      </w:r>
      <w:r w:rsidR="004C6C95" w:rsidRPr="005028E4">
        <w:rPr>
          <w:sz w:val="24"/>
          <w:szCs w:val="24"/>
        </w:rPr>
        <w:t>ništvu HT-a ili ne.</w:t>
      </w:r>
      <w:r w:rsidR="00E61AFB" w:rsidRPr="005028E4">
        <w:rPr>
          <w:sz w:val="24"/>
          <w:szCs w:val="24"/>
        </w:rPr>
        <w:t xml:space="preserve"> </w:t>
      </w:r>
      <w:r w:rsidR="007F6DF9" w:rsidRPr="005028E4">
        <w:rPr>
          <w:sz w:val="24"/>
          <w:szCs w:val="24"/>
        </w:rPr>
        <w:t xml:space="preserve">Nakon toga će se primjenom Opcije 1 iz poglavlja </w:t>
      </w:r>
      <w:r w:rsidR="007F6DF9" w:rsidRPr="005028E4">
        <w:rPr>
          <w:sz w:val="24"/>
          <w:szCs w:val="24"/>
        </w:rPr>
        <w:fldChar w:fldCharType="begin"/>
      </w:r>
      <w:r w:rsidR="007F6DF9" w:rsidRPr="005028E4">
        <w:rPr>
          <w:sz w:val="24"/>
          <w:szCs w:val="24"/>
        </w:rPr>
        <w:instrText xml:space="preserve"> REF _Ref53063530 \r \h </w:instrText>
      </w:r>
      <w:r w:rsidR="007F6DF9" w:rsidRPr="005028E4">
        <w:rPr>
          <w:sz w:val="24"/>
          <w:szCs w:val="24"/>
        </w:rPr>
      </w:r>
      <w:r w:rsidR="007F6DF9" w:rsidRPr="005028E4">
        <w:rPr>
          <w:sz w:val="24"/>
          <w:szCs w:val="24"/>
        </w:rPr>
        <w:fldChar w:fldCharType="separate"/>
      </w:r>
      <w:r w:rsidR="00B047B3">
        <w:rPr>
          <w:sz w:val="24"/>
          <w:szCs w:val="24"/>
        </w:rPr>
        <w:t>5.2</w:t>
      </w:r>
      <w:r w:rsidR="007F6DF9" w:rsidRPr="005028E4">
        <w:rPr>
          <w:sz w:val="24"/>
          <w:szCs w:val="24"/>
        </w:rPr>
        <w:fldChar w:fldCharType="end"/>
      </w:r>
      <w:r w:rsidR="007F6DF9" w:rsidRPr="005028E4">
        <w:rPr>
          <w:sz w:val="24"/>
          <w:szCs w:val="24"/>
        </w:rPr>
        <w:t xml:space="preserve"> izračunati jedinstvena cijena kao prosjek dobivenih cijena za godine 2021, 2022 i 2023.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89"/>
        <w:gridCol w:w="1133"/>
        <w:gridCol w:w="707"/>
        <w:gridCol w:w="707"/>
        <w:gridCol w:w="850"/>
        <w:gridCol w:w="1276"/>
      </w:tblGrid>
      <w:tr w:rsidR="00F443DD" w:rsidRPr="005028E4" w:rsidTr="00F443DD">
        <w:trPr>
          <w:trHeight w:val="300"/>
          <w:jc w:val="center"/>
        </w:trPr>
        <w:tc>
          <w:tcPr>
            <w:tcW w:w="2422" w:type="pct"/>
            <w:shd w:val="clear" w:color="000000" w:fill="0C2749"/>
            <w:vAlign w:val="center"/>
            <w:hideMark/>
          </w:tcPr>
          <w:p w:rsidR="003C777B" w:rsidRPr="005028E4" w:rsidRDefault="003C777B" w:rsidP="0051055D">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USLUGA</w:t>
            </w:r>
          </w:p>
        </w:tc>
        <w:tc>
          <w:tcPr>
            <w:tcW w:w="625" w:type="pct"/>
            <w:shd w:val="clear" w:color="000000" w:fill="0C2749"/>
            <w:vAlign w:val="center"/>
            <w:hideMark/>
          </w:tcPr>
          <w:p w:rsidR="003C777B" w:rsidRPr="005028E4" w:rsidRDefault="003C777B" w:rsidP="0051055D">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Jedinica</w:t>
            </w:r>
          </w:p>
        </w:tc>
        <w:tc>
          <w:tcPr>
            <w:tcW w:w="390" w:type="pct"/>
            <w:shd w:val="clear" w:color="000000" w:fill="0C2749"/>
            <w:vAlign w:val="center"/>
            <w:hideMark/>
          </w:tcPr>
          <w:p w:rsidR="003C777B" w:rsidRPr="005028E4" w:rsidRDefault="003C777B" w:rsidP="0051055D">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2021</w:t>
            </w:r>
          </w:p>
        </w:tc>
        <w:tc>
          <w:tcPr>
            <w:tcW w:w="390" w:type="pct"/>
            <w:shd w:val="clear" w:color="000000" w:fill="0C2749"/>
            <w:vAlign w:val="center"/>
            <w:hideMark/>
          </w:tcPr>
          <w:p w:rsidR="003C777B" w:rsidRPr="005028E4" w:rsidRDefault="003C777B" w:rsidP="0051055D">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2022</w:t>
            </w:r>
          </w:p>
        </w:tc>
        <w:tc>
          <w:tcPr>
            <w:tcW w:w="469" w:type="pct"/>
            <w:shd w:val="clear" w:color="000000" w:fill="0C2749"/>
            <w:vAlign w:val="center"/>
            <w:hideMark/>
          </w:tcPr>
          <w:p w:rsidR="003C777B" w:rsidRPr="005028E4" w:rsidRDefault="003C777B" w:rsidP="0051055D">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2023</w:t>
            </w:r>
          </w:p>
        </w:tc>
        <w:tc>
          <w:tcPr>
            <w:tcW w:w="704" w:type="pct"/>
            <w:shd w:val="clear" w:color="000000" w:fill="0C2749"/>
            <w:vAlign w:val="center"/>
            <w:hideMark/>
          </w:tcPr>
          <w:p w:rsidR="003C777B" w:rsidRPr="005028E4" w:rsidRDefault="00D61F5A" w:rsidP="0051055D">
            <w:pPr>
              <w:spacing w:after="0" w:line="240" w:lineRule="auto"/>
              <w:jc w:val="center"/>
              <w:rPr>
                <w:rFonts w:ascii="Verdana" w:eastAsia="Times New Roman" w:hAnsi="Verdana" w:cs="Calibri"/>
                <w:b/>
                <w:bCs/>
                <w:color w:val="FFFFFF"/>
                <w:sz w:val="16"/>
                <w:szCs w:val="16"/>
              </w:rPr>
            </w:pPr>
            <w:r w:rsidRPr="005028E4">
              <w:rPr>
                <w:rFonts w:ascii="Verdana" w:eastAsia="Times New Roman" w:hAnsi="Verdana" w:cs="Calibri"/>
                <w:b/>
                <w:bCs/>
                <w:color w:val="FFFFFF"/>
                <w:sz w:val="16"/>
                <w:szCs w:val="16"/>
              </w:rPr>
              <w:t xml:space="preserve">Prosjek </w:t>
            </w:r>
            <w:r w:rsidR="003C777B" w:rsidRPr="005028E4">
              <w:rPr>
                <w:rFonts w:ascii="Verdana" w:eastAsia="Times New Roman" w:hAnsi="Verdana" w:cs="Calibri"/>
                <w:b/>
                <w:bCs/>
                <w:color w:val="FFFFFF"/>
                <w:sz w:val="16"/>
                <w:szCs w:val="16"/>
              </w:rPr>
              <w:t>2021-2023</w:t>
            </w:r>
          </w:p>
        </w:tc>
      </w:tr>
      <w:tr w:rsidR="00F443DD" w:rsidRPr="005028E4" w:rsidTr="00F443DD">
        <w:trPr>
          <w:trHeight w:val="288"/>
          <w:jc w:val="center"/>
        </w:trPr>
        <w:tc>
          <w:tcPr>
            <w:tcW w:w="2422" w:type="pct"/>
            <w:shd w:val="clear" w:color="auto" w:fill="auto"/>
            <w:noWrap/>
            <w:vAlign w:val="center"/>
            <w:hideMark/>
          </w:tcPr>
          <w:p w:rsidR="00F443DD" w:rsidRPr="005028E4" w:rsidRDefault="00F443DD" w:rsidP="00F443DD">
            <w:pPr>
              <w:spacing w:after="0" w:line="240" w:lineRule="auto"/>
              <w:rPr>
                <w:rFonts w:ascii="Calibri" w:eastAsia="Times New Roman" w:hAnsi="Calibri" w:cs="Calibri"/>
                <w:color w:val="000000"/>
                <w:sz w:val="20"/>
                <w:szCs w:val="20"/>
              </w:rPr>
            </w:pPr>
            <w:r w:rsidRPr="005028E4">
              <w:rPr>
                <w:rFonts w:ascii="Calibri" w:eastAsia="Times New Roman" w:hAnsi="Calibri" w:cs="Calibri"/>
                <w:color w:val="000000"/>
                <w:sz w:val="20"/>
                <w:szCs w:val="20"/>
              </w:rPr>
              <w:t>FA PON sa svjetlovodnom instalacijom zgrade</w:t>
            </w:r>
          </w:p>
        </w:tc>
        <w:tc>
          <w:tcPr>
            <w:tcW w:w="625" w:type="pct"/>
            <w:vMerge w:val="restart"/>
            <w:shd w:val="clear" w:color="auto" w:fill="auto"/>
            <w:noWrap/>
            <w:vAlign w:val="center"/>
            <w:hideMark/>
          </w:tcPr>
          <w:p w:rsidR="00F443DD" w:rsidRPr="005028E4" w:rsidRDefault="00F443DD" w:rsidP="00F443DD">
            <w:pPr>
              <w:spacing w:after="0" w:line="240" w:lineRule="auto"/>
              <w:jc w:val="center"/>
              <w:rPr>
                <w:rFonts w:ascii="Calibri" w:eastAsia="Times New Roman" w:hAnsi="Calibri" w:cs="Calibri"/>
                <w:color w:val="000000"/>
                <w:sz w:val="20"/>
                <w:szCs w:val="20"/>
              </w:rPr>
            </w:pPr>
            <w:r w:rsidRPr="005028E4">
              <w:rPr>
                <w:rFonts w:ascii="Calibri" w:eastAsia="Times New Roman" w:hAnsi="Calibri" w:cs="Calibri"/>
                <w:color w:val="000000"/>
                <w:sz w:val="20"/>
                <w:szCs w:val="20"/>
              </w:rPr>
              <w:t>HRK / Mjesečno / korisniku</w:t>
            </w:r>
          </w:p>
        </w:tc>
        <w:tc>
          <w:tcPr>
            <w:tcW w:w="390" w:type="pct"/>
            <w:shd w:val="clear" w:color="auto" w:fill="auto"/>
            <w:noWrap/>
            <w:vAlign w:val="center"/>
            <w:hideMark/>
          </w:tcPr>
          <w:p w:rsidR="00F443DD" w:rsidRPr="005028E4" w:rsidRDefault="00F443DD" w:rsidP="00F443DD">
            <w:pPr>
              <w:spacing w:after="0" w:line="240" w:lineRule="auto"/>
              <w:jc w:val="center"/>
              <w:rPr>
                <w:rFonts w:ascii="Calibri" w:eastAsia="Times New Roman" w:hAnsi="Calibri" w:cs="Calibri"/>
                <w:color w:val="000000"/>
                <w:sz w:val="20"/>
                <w:szCs w:val="20"/>
              </w:rPr>
            </w:pPr>
            <w:r w:rsidRPr="005028E4">
              <w:rPr>
                <w:sz w:val="20"/>
                <w:szCs w:val="20"/>
              </w:rPr>
              <w:t>48,29</w:t>
            </w:r>
          </w:p>
        </w:tc>
        <w:tc>
          <w:tcPr>
            <w:tcW w:w="390" w:type="pct"/>
            <w:shd w:val="clear" w:color="auto" w:fill="auto"/>
            <w:noWrap/>
            <w:vAlign w:val="center"/>
            <w:hideMark/>
          </w:tcPr>
          <w:p w:rsidR="00F443DD" w:rsidRPr="005028E4" w:rsidRDefault="00F443DD" w:rsidP="00F443DD">
            <w:pPr>
              <w:spacing w:after="0" w:line="240" w:lineRule="auto"/>
              <w:jc w:val="center"/>
              <w:rPr>
                <w:rFonts w:ascii="Calibri" w:eastAsia="Times New Roman" w:hAnsi="Calibri" w:cs="Calibri"/>
                <w:color w:val="000000"/>
                <w:sz w:val="20"/>
                <w:szCs w:val="20"/>
              </w:rPr>
            </w:pPr>
            <w:r w:rsidRPr="005028E4">
              <w:rPr>
                <w:sz w:val="20"/>
                <w:szCs w:val="20"/>
              </w:rPr>
              <w:t>49,17</w:t>
            </w:r>
          </w:p>
        </w:tc>
        <w:tc>
          <w:tcPr>
            <w:tcW w:w="469" w:type="pct"/>
            <w:shd w:val="clear" w:color="auto" w:fill="auto"/>
            <w:noWrap/>
            <w:vAlign w:val="center"/>
            <w:hideMark/>
          </w:tcPr>
          <w:p w:rsidR="00F443DD" w:rsidRPr="005028E4" w:rsidRDefault="00F443DD" w:rsidP="00F443DD">
            <w:pPr>
              <w:spacing w:after="0" w:line="240" w:lineRule="auto"/>
              <w:jc w:val="center"/>
              <w:rPr>
                <w:rFonts w:ascii="Calibri" w:eastAsia="Times New Roman" w:hAnsi="Calibri" w:cs="Calibri"/>
                <w:color w:val="000000"/>
                <w:sz w:val="20"/>
                <w:szCs w:val="20"/>
              </w:rPr>
            </w:pPr>
            <w:r w:rsidRPr="005028E4">
              <w:rPr>
                <w:sz w:val="20"/>
                <w:szCs w:val="20"/>
              </w:rPr>
              <w:t>50,09</w:t>
            </w:r>
          </w:p>
        </w:tc>
        <w:tc>
          <w:tcPr>
            <w:tcW w:w="704" w:type="pct"/>
            <w:shd w:val="clear" w:color="auto" w:fill="auto"/>
            <w:noWrap/>
            <w:vAlign w:val="center"/>
            <w:hideMark/>
          </w:tcPr>
          <w:p w:rsidR="00F443DD" w:rsidRPr="005028E4" w:rsidRDefault="00F443DD" w:rsidP="00F443DD">
            <w:pPr>
              <w:spacing w:after="0" w:line="240" w:lineRule="auto"/>
              <w:jc w:val="center"/>
              <w:rPr>
                <w:rFonts w:ascii="Calibri" w:eastAsia="Times New Roman" w:hAnsi="Calibri" w:cs="Calibri"/>
                <w:b/>
                <w:color w:val="000000"/>
                <w:sz w:val="20"/>
                <w:szCs w:val="20"/>
              </w:rPr>
            </w:pPr>
            <w:r w:rsidRPr="005028E4">
              <w:rPr>
                <w:b/>
                <w:sz w:val="20"/>
                <w:szCs w:val="20"/>
              </w:rPr>
              <w:t>49,18</w:t>
            </w:r>
          </w:p>
        </w:tc>
      </w:tr>
      <w:tr w:rsidR="00F443DD" w:rsidRPr="005028E4" w:rsidTr="00F443DD">
        <w:trPr>
          <w:trHeight w:val="288"/>
          <w:jc w:val="center"/>
        </w:trPr>
        <w:tc>
          <w:tcPr>
            <w:tcW w:w="2422" w:type="pct"/>
            <w:shd w:val="clear" w:color="auto" w:fill="auto"/>
            <w:noWrap/>
            <w:vAlign w:val="center"/>
          </w:tcPr>
          <w:p w:rsidR="00F443DD" w:rsidRPr="005028E4" w:rsidRDefault="00F443DD" w:rsidP="00F443DD">
            <w:pPr>
              <w:spacing w:after="0" w:line="240" w:lineRule="auto"/>
              <w:rPr>
                <w:rFonts w:ascii="Calibri" w:eastAsia="Times New Roman" w:hAnsi="Calibri" w:cs="Calibri"/>
                <w:color w:val="000000"/>
                <w:sz w:val="20"/>
                <w:szCs w:val="20"/>
              </w:rPr>
            </w:pPr>
            <w:r w:rsidRPr="005028E4">
              <w:rPr>
                <w:rFonts w:ascii="Calibri" w:eastAsia="Times New Roman" w:hAnsi="Calibri" w:cs="Calibri"/>
                <w:color w:val="000000"/>
                <w:sz w:val="20"/>
                <w:szCs w:val="20"/>
              </w:rPr>
              <w:t>FA PON bez svjetlovodne instalacije u zgradi</w:t>
            </w:r>
          </w:p>
        </w:tc>
        <w:tc>
          <w:tcPr>
            <w:tcW w:w="625" w:type="pct"/>
            <w:vMerge/>
            <w:shd w:val="clear" w:color="auto" w:fill="auto"/>
            <w:noWrap/>
            <w:vAlign w:val="center"/>
          </w:tcPr>
          <w:p w:rsidR="00F443DD" w:rsidRPr="005028E4" w:rsidRDefault="00F443DD" w:rsidP="00F443DD">
            <w:pPr>
              <w:spacing w:after="0" w:line="240" w:lineRule="auto"/>
              <w:jc w:val="center"/>
              <w:rPr>
                <w:rFonts w:ascii="Calibri" w:eastAsia="Times New Roman" w:hAnsi="Calibri" w:cs="Calibri"/>
                <w:color w:val="000000"/>
                <w:sz w:val="16"/>
                <w:szCs w:val="16"/>
              </w:rPr>
            </w:pPr>
          </w:p>
        </w:tc>
        <w:tc>
          <w:tcPr>
            <w:tcW w:w="390" w:type="pct"/>
            <w:shd w:val="clear" w:color="auto" w:fill="auto"/>
            <w:noWrap/>
            <w:vAlign w:val="center"/>
          </w:tcPr>
          <w:p w:rsidR="00F443DD" w:rsidRPr="005028E4" w:rsidRDefault="00F443DD" w:rsidP="00F443DD">
            <w:pPr>
              <w:spacing w:after="0" w:line="240" w:lineRule="auto"/>
              <w:jc w:val="center"/>
              <w:rPr>
                <w:sz w:val="20"/>
                <w:szCs w:val="20"/>
              </w:rPr>
            </w:pPr>
            <w:r w:rsidRPr="005028E4">
              <w:rPr>
                <w:sz w:val="20"/>
                <w:szCs w:val="20"/>
              </w:rPr>
              <w:t>41,85</w:t>
            </w:r>
          </w:p>
        </w:tc>
        <w:tc>
          <w:tcPr>
            <w:tcW w:w="390" w:type="pct"/>
            <w:shd w:val="clear" w:color="auto" w:fill="auto"/>
            <w:noWrap/>
            <w:vAlign w:val="center"/>
          </w:tcPr>
          <w:p w:rsidR="00F443DD" w:rsidRPr="005028E4" w:rsidRDefault="00F443DD" w:rsidP="00F443DD">
            <w:pPr>
              <w:spacing w:after="0" w:line="240" w:lineRule="auto"/>
              <w:jc w:val="center"/>
              <w:rPr>
                <w:sz w:val="20"/>
                <w:szCs w:val="20"/>
              </w:rPr>
            </w:pPr>
            <w:r w:rsidRPr="005028E4">
              <w:rPr>
                <w:sz w:val="20"/>
                <w:szCs w:val="20"/>
              </w:rPr>
              <w:t>42,79</w:t>
            </w:r>
          </w:p>
        </w:tc>
        <w:tc>
          <w:tcPr>
            <w:tcW w:w="469" w:type="pct"/>
            <w:shd w:val="clear" w:color="auto" w:fill="auto"/>
            <w:noWrap/>
            <w:vAlign w:val="center"/>
          </w:tcPr>
          <w:p w:rsidR="00F443DD" w:rsidRPr="005028E4" w:rsidRDefault="00F443DD" w:rsidP="00F443DD">
            <w:pPr>
              <w:spacing w:after="0" w:line="240" w:lineRule="auto"/>
              <w:jc w:val="center"/>
              <w:rPr>
                <w:sz w:val="20"/>
                <w:szCs w:val="20"/>
              </w:rPr>
            </w:pPr>
            <w:r w:rsidRPr="005028E4">
              <w:rPr>
                <w:sz w:val="20"/>
                <w:szCs w:val="20"/>
              </w:rPr>
              <w:t>43,76</w:t>
            </w:r>
          </w:p>
        </w:tc>
        <w:tc>
          <w:tcPr>
            <w:tcW w:w="704" w:type="pct"/>
            <w:shd w:val="clear" w:color="auto" w:fill="auto"/>
            <w:noWrap/>
            <w:vAlign w:val="center"/>
          </w:tcPr>
          <w:p w:rsidR="00F443DD" w:rsidRPr="005028E4" w:rsidRDefault="00F443DD" w:rsidP="00F443DD">
            <w:pPr>
              <w:spacing w:after="0" w:line="240" w:lineRule="auto"/>
              <w:jc w:val="center"/>
              <w:rPr>
                <w:b/>
                <w:sz w:val="20"/>
                <w:szCs w:val="20"/>
              </w:rPr>
            </w:pPr>
            <w:r w:rsidRPr="005028E4">
              <w:rPr>
                <w:b/>
                <w:sz w:val="20"/>
                <w:szCs w:val="20"/>
              </w:rPr>
              <w:t>42,80</w:t>
            </w:r>
          </w:p>
        </w:tc>
      </w:tr>
      <w:tr w:rsidR="00F443DD" w:rsidRPr="005028E4" w:rsidTr="000323CC">
        <w:trPr>
          <w:trHeight w:val="288"/>
          <w:jc w:val="center"/>
        </w:trPr>
        <w:tc>
          <w:tcPr>
            <w:tcW w:w="2422" w:type="pct"/>
            <w:shd w:val="clear" w:color="auto" w:fill="auto"/>
            <w:noWrap/>
            <w:vAlign w:val="center"/>
          </w:tcPr>
          <w:p w:rsidR="00F443DD" w:rsidRPr="005028E4" w:rsidRDefault="00F443DD" w:rsidP="00F443DD">
            <w:pPr>
              <w:spacing w:after="0" w:line="240" w:lineRule="auto"/>
              <w:rPr>
                <w:rFonts w:ascii="Calibri" w:eastAsia="Times New Roman" w:hAnsi="Calibri" w:cs="Calibri"/>
                <w:color w:val="000000"/>
                <w:sz w:val="20"/>
                <w:szCs w:val="20"/>
              </w:rPr>
            </w:pPr>
            <w:r w:rsidRPr="005028E4">
              <w:rPr>
                <w:rFonts w:ascii="Calibri" w:eastAsia="Times New Roman" w:hAnsi="Calibri" w:cs="Calibri"/>
                <w:color w:val="000000"/>
                <w:sz w:val="20"/>
                <w:szCs w:val="20"/>
              </w:rPr>
              <w:t>Cijena najma kućne svjetlovodne instalacije u prostoru krajnjeg korisnika</w:t>
            </w:r>
          </w:p>
        </w:tc>
        <w:tc>
          <w:tcPr>
            <w:tcW w:w="625" w:type="pct"/>
            <w:vMerge/>
            <w:shd w:val="clear" w:color="auto" w:fill="auto"/>
            <w:noWrap/>
            <w:vAlign w:val="center"/>
          </w:tcPr>
          <w:p w:rsidR="00F443DD" w:rsidRPr="005028E4" w:rsidRDefault="00F443DD" w:rsidP="00F443DD">
            <w:pPr>
              <w:spacing w:after="0" w:line="240" w:lineRule="auto"/>
              <w:jc w:val="center"/>
              <w:rPr>
                <w:rFonts w:ascii="Calibri" w:eastAsia="Times New Roman" w:hAnsi="Calibri" w:cs="Calibri"/>
                <w:color w:val="000000"/>
                <w:sz w:val="16"/>
                <w:szCs w:val="16"/>
              </w:rPr>
            </w:pPr>
          </w:p>
        </w:tc>
        <w:tc>
          <w:tcPr>
            <w:tcW w:w="390" w:type="pct"/>
            <w:shd w:val="clear" w:color="auto" w:fill="auto"/>
            <w:noWrap/>
            <w:vAlign w:val="center"/>
          </w:tcPr>
          <w:p w:rsidR="00F443DD" w:rsidRPr="005028E4" w:rsidRDefault="00F443DD" w:rsidP="00F443DD">
            <w:pPr>
              <w:spacing w:after="0" w:line="240" w:lineRule="auto"/>
              <w:jc w:val="center"/>
              <w:rPr>
                <w:sz w:val="20"/>
                <w:szCs w:val="20"/>
              </w:rPr>
            </w:pPr>
            <w:r w:rsidRPr="005028E4">
              <w:t>3,16</w:t>
            </w:r>
          </w:p>
        </w:tc>
        <w:tc>
          <w:tcPr>
            <w:tcW w:w="390" w:type="pct"/>
            <w:shd w:val="clear" w:color="auto" w:fill="auto"/>
            <w:noWrap/>
            <w:vAlign w:val="center"/>
          </w:tcPr>
          <w:p w:rsidR="00F443DD" w:rsidRPr="005028E4" w:rsidRDefault="00F443DD" w:rsidP="00F443DD">
            <w:pPr>
              <w:spacing w:after="0" w:line="240" w:lineRule="auto"/>
              <w:jc w:val="center"/>
              <w:rPr>
                <w:sz w:val="20"/>
                <w:szCs w:val="20"/>
              </w:rPr>
            </w:pPr>
            <w:r w:rsidRPr="005028E4">
              <w:t>3,15</w:t>
            </w:r>
          </w:p>
        </w:tc>
        <w:tc>
          <w:tcPr>
            <w:tcW w:w="469" w:type="pct"/>
            <w:shd w:val="clear" w:color="auto" w:fill="auto"/>
            <w:noWrap/>
            <w:vAlign w:val="center"/>
          </w:tcPr>
          <w:p w:rsidR="00F443DD" w:rsidRPr="005028E4" w:rsidRDefault="00F443DD" w:rsidP="00F443DD">
            <w:pPr>
              <w:spacing w:after="0" w:line="240" w:lineRule="auto"/>
              <w:jc w:val="center"/>
              <w:rPr>
                <w:sz w:val="20"/>
                <w:szCs w:val="20"/>
              </w:rPr>
            </w:pPr>
            <w:r w:rsidRPr="005028E4">
              <w:t>3,14</w:t>
            </w:r>
          </w:p>
        </w:tc>
        <w:tc>
          <w:tcPr>
            <w:tcW w:w="704" w:type="pct"/>
            <w:shd w:val="clear" w:color="auto" w:fill="auto"/>
            <w:noWrap/>
            <w:vAlign w:val="center"/>
          </w:tcPr>
          <w:p w:rsidR="00F443DD" w:rsidRPr="005028E4" w:rsidRDefault="00F443DD" w:rsidP="00F443DD">
            <w:pPr>
              <w:spacing w:after="0" w:line="240" w:lineRule="auto"/>
              <w:jc w:val="center"/>
              <w:rPr>
                <w:b/>
                <w:sz w:val="20"/>
                <w:szCs w:val="20"/>
              </w:rPr>
            </w:pPr>
            <w:r w:rsidRPr="005028E4">
              <w:rPr>
                <w:b/>
                <w:sz w:val="20"/>
                <w:szCs w:val="20"/>
              </w:rPr>
              <w:t>3,15</w:t>
            </w:r>
          </w:p>
        </w:tc>
      </w:tr>
    </w:tbl>
    <w:p w:rsidR="00D65CDF" w:rsidRPr="005028E4" w:rsidRDefault="003D061E" w:rsidP="003D061E">
      <w:pPr>
        <w:pStyle w:val="Caption"/>
      </w:pPr>
      <w:bookmarkStart w:id="756" w:name="_Ref52464575"/>
      <w:bookmarkStart w:id="757" w:name="_Toc54079576"/>
      <w:bookmarkStart w:id="758" w:name="_Toc54159172"/>
      <w:bookmarkStart w:id="759" w:name="_Toc54159306"/>
      <w:bookmarkStart w:id="760" w:name="_Toc54160002"/>
      <w:bookmarkStart w:id="761" w:name="_Toc54175827"/>
      <w:bookmarkStart w:id="762" w:name="_Toc54179455"/>
      <w:bookmarkStart w:id="763" w:name="_Toc54261735"/>
      <w:r w:rsidRPr="005028E4">
        <w:t xml:space="preserve">Tablica </w:t>
      </w:r>
      <w:r w:rsidR="00A410B6" w:rsidRPr="005028E4">
        <w:rPr>
          <w:noProof/>
        </w:rPr>
        <w:fldChar w:fldCharType="begin"/>
      </w:r>
      <w:r w:rsidR="00A410B6" w:rsidRPr="005028E4">
        <w:rPr>
          <w:noProof/>
        </w:rPr>
        <w:instrText xml:space="preserve"> SEQ Tablica \* ARABIC </w:instrText>
      </w:r>
      <w:r w:rsidR="00A410B6" w:rsidRPr="005028E4">
        <w:rPr>
          <w:noProof/>
        </w:rPr>
        <w:fldChar w:fldCharType="separate"/>
      </w:r>
      <w:r w:rsidR="00B047B3">
        <w:rPr>
          <w:noProof/>
        </w:rPr>
        <w:t>12</w:t>
      </w:r>
      <w:r w:rsidR="00A410B6" w:rsidRPr="005028E4">
        <w:rPr>
          <w:noProof/>
        </w:rPr>
        <w:fldChar w:fldCharType="end"/>
      </w:r>
      <w:bookmarkEnd w:id="756"/>
      <w:r w:rsidRPr="005028E4">
        <w:t xml:space="preserve"> - </w:t>
      </w:r>
      <w:r w:rsidR="00F443DD" w:rsidRPr="005028E4">
        <w:t>Cijene</w:t>
      </w:r>
      <w:r w:rsidRPr="005028E4">
        <w:t xml:space="preserve"> FA PON usluge uz odabir Opcije 2</w:t>
      </w:r>
      <w:bookmarkEnd w:id="757"/>
      <w:bookmarkEnd w:id="758"/>
      <w:bookmarkEnd w:id="759"/>
      <w:bookmarkEnd w:id="760"/>
      <w:bookmarkEnd w:id="761"/>
      <w:bookmarkEnd w:id="762"/>
      <w:bookmarkEnd w:id="763"/>
    </w:p>
    <w:p w:rsidR="00C00568" w:rsidRPr="005028E4" w:rsidRDefault="00C00568" w:rsidP="00C00568"/>
    <w:p w:rsidR="00B31B56" w:rsidRPr="005028E4" w:rsidRDefault="00B766B1" w:rsidP="009F21BC">
      <w:pPr>
        <w:pStyle w:val="Heading3"/>
      </w:pPr>
      <w:bookmarkStart w:id="764" w:name="_Toc53942004"/>
      <w:bookmarkStart w:id="765" w:name="_Toc54250975"/>
      <w:bookmarkStart w:id="766" w:name="_Toc54252873"/>
      <w:bookmarkStart w:id="767" w:name="_Toc54261685"/>
      <w:r w:rsidRPr="005028E4">
        <w:t>C</w:t>
      </w:r>
      <w:r w:rsidR="00B31B56" w:rsidRPr="005028E4">
        <w:t>ijen</w:t>
      </w:r>
      <w:r w:rsidRPr="005028E4">
        <w:t>e</w:t>
      </w:r>
      <w:r w:rsidR="00B31B56" w:rsidRPr="005028E4">
        <w:t xml:space="preserve"> FA PON usluge</w:t>
      </w:r>
      <w:bookmarkEnd w:id="764"/>
      <w:bookmarkEnd w:id="765"/>
      <w:bookmarkEnd w:id="766"/>
      <w:bookmarkEnd w:id="767"/>
    </w:p>
    <w:p w:rsidR="00587587" w:rsidRPr="005028E4" w:rsidRDefault="00587587" w:rsidP="00587587">
      <w:pPr>
        <w:jc w:val="both"/>
        <w:rPr>
          <w:sz w:val="24"/>
          <w:szCs w:val="24"/>
        </w:rPr>
      </w:pPr>
      <w:r w:rsidRPr="005028E4">
        <w:rPr>
          <w:sz w:val="24"/>
          <w:szCs w:val="24"/>
        </w:rPr>
        <w:t xml:space="preserve">Nastavno na prethodna poglavlja i u njima razmatrane opcije, HAKOM </w:t>
      </w:r>
      <w:r w:rsidR="00B766B1" w:rsidRPr="005028E4">
        <w:rPr>
          <w:sz w:val="24"/>
          <w:szCs w:val="24"/>
        </w:rPr>
        <w:t>određuje</w:t>
      </w:r>
      <w:r w:rsidRPr="005028E4">
        <w:rPr>
          <w:sz w:val="24"/>
          <w:szCs w:val="24"/>
        </w:rPr>
        <w:t xml:space="preserve"> cijene FA PON usluge kako slijedi:</w:t>
      </w:r>
    </w:p>
    <w:p w:rsidR="00587587" w:rsidRPr="005028E4" w:rsidRDefault="00587587" w:rsidP="00CE6F90">
      <w:pPr>
        <w:pStyle w:val="ListParagraph"/>
        <w:numPr>
          <w:ilvl w:val="0"/>
          <w:numId w:val="42"/>
        </w:numPr>
        <w:jc w:val="both"/>
        <w:rPr>
          <w:b/>
          <w:sz w:val="24"/>
          <w:szCs w:val="24"/>
        </w:rPr>
      </w:pPr>
      <w:r w:rsidRPr="005028E4">
        <w:rPr>
          <w:sz w:val="24"/>
          <w:szCs w:val="24"/>
        </w:rPr>
        <w:t xml:space="preserve">Cijena FA PON usluge sa svjetlovodnom instalacijom u zgradi iznosi </w:t>
      </w:r>
      <w:r w:rsidR="00F443DD" w:rsidRPr="005028E4">
        <w:rPr>
          <w:b/>
          <w:sz w:val="24"/>
          <w:szCs w:val="24"/>
        </w:rPr>
        <w:t>49,18</w:t>
      </w:r>
      <w:r w:rsidRPr="005028E4">
        <w:rPr>
          <w:b/>
          <w:sz w:val="24"/>
          <w:szCs w:val="24"/>
        </w:rPr>
        <w:t xml:space="preserve"> </w:t>
      </w:r>
      <w:r w:rsidRPr="005028E4">
        <w:rPr>
          <w:sz w:val="24"/>
          <w:szCs w:val="24"/>
        </w:rPr>
        <w:t>HRK/mjesečno/</w:t>
      </w:r>
      <w:r w:rsidR="00CD21F6">
        <w:rPr>
          <w:sz w:val="24"/>
          <w:szCs w:val="24"/>
        </w:rPr>
        <w:t>liniji</w:t>
      </w:r>
    </w:p>
    <w:p w:rsidR="00587587" w:rsidRPr="005028E4" w:rsidRDefault="00587587" w:rsidP="00CE6F90">
      <w:pPr>
        <w:pStyle w:val="ListParagraph"/>
        <w:numPr>
          <w:ilvl w:val="0"/>
          <w:numId w:val="42"/>
        </w:numPr>
        <w:jc w:val="both"/>
        <w:rPr>
          <w:sz w:val="24"/>
          <w:szCs w:val="24"/>
        </w:rPr>
      </w:pPr>
      <w:r w:rsidRPr="005028E4">
        <w:rPr>
          <w:sz w:val="24"/>
          <w:szCs w:val="24"/>
        </w:rPr>
        <w:t xml:space="preserve">Cijena FA PON usluge bez svjetlovodne instalacije u zgradi iznosi </w:t>
      </w:r>
      <w:r w:rsidR="00F443DD" w:rsidRPr="005028E4">
        <w:rPr>
          <w:b/>
          <w:sz w:val="24"/>
          <w:szCs w:val="24"/>
        </w:rPr>
        <w:t>42,80</w:t>
      </w:r>
      <w:r w:rsidRPr="005028E4">
        <w:rPr>
          <w:b/>
          <w:sz w:val="24"/>
          <w:szCs w:val="24"/>
        </w:rPr>
        <w:t xml:space="preserve"> </w:t>
      </w:r>
      <w:r w:rsidRPr="005028E4">
        <w:rPr>
          <w:sz w:val="24"/>
          <w:szCs w:val="24"/>
        </w:rPr>
        <w:t>HRK/mjesečno/</w:t>
      </w:r>
      <w:r w:rsidR="00CD21F6">
        <w:rPr>
          <w:sz w:val="24"/>
          <w:szCs w:val="24"/>
        </w:rPr>
        <w:t>liniji</w:t>
      </w:r>
    </w:p>
    <w:p w:rsidR="00F443DD" w:rsidRPr="005028E4" w:rsidRDefault="00F443DD" w:rsidP="00F443DD">
      <w:pPr>
        <w:pStyle w:val="ListParagraph"/>
        <w:numPr>
          <w:ilvl w:val="0"/>
          <w:numId w:val="42"/>
        </w:numPr>
        <w:jc w:val="both"/>
        <w:rPr>
          <w:b/>
          <w:sz w:val="24"/>
          <w:szCs w:val="24"/>
        </w:rPr>
      </w:pPr>
      <w:r w:rsidRPr="005028E4">
        <w:rPr>
          <w:b/>
          <w:sz w:val="24"/>
          <w:szCs w:val="24"/>
        </w:rPr>
        <w:t xml:space="preserve">Cijena najma kućne svjetlovodne instalacije u prostoru krajnjeg korisnika </w:t>
      </w:r>
      <w:r w:rsidRPr="005028E4">
        <w:rPr>
          <w:sz w:val="24"/>
          <w:szCs w:val="24"/>
        </w:rPr>
        <w:t xml:space="preserve">iznosi </w:t>
      </w:r>
      <w:r w:rsidRPr="005028E4">
        <w:rPr>
          <w:b/>
          <w:sz w:val="24"/>
          <w:szCs w:val="24"/>
        </w:rPr>
        <w:t>3,15</w:t>
      </w:r>
      <w:r w:rsidRPr="005028E4">
        <w:rPr>
          <w:sz w:val="24"/>
          <w:szCs w:val="24"/>
        </w:rPr>
        <w:t xml:space="preserve"> HRK/mjesečno/</w:t>
      </w:r>
      <w:r w:rsidR="00CD21F6">
        <w:rPr>
          <w:sz w:val="24"/>
          <w:szCs w:val="24"/>
        </w:rPr>
        <w:t>liniji</w:t>
      </w:r>
    </w:p>
    <w:p w:rsidR="00587587" w:rsidRPr="005028E4" w:rsidRDefault="00587587" w:rsidP="00587587">
      <w:pPr>
        <w:jc w:val="both"/>
        <w:rPr>
          <w:sz w:val="24"/>
          <w:szCs w:val="24"/>
        </w:rPr>
      </w:pPr>
      <w:r w:rsidRPr="005028E4">
        <w:rPr>
          <w:sz w:val="24"/>
          <w:szCs w:val="24"/>
        </w:rPr>
        <w:t>Gore navedene cijene</w:t>
      </w:r>
      <w:r w:rsidR="00E61AFB" w:rsidRPr="005028E4">
        <w:rPr>
          <w:sz w:val="24"/>
          <w:szCs w:val="24"/>
        </w:rPr>
        <w:t xml:space="preserve"> vrijede tri</w:t>
      </w:r>
      <w:r w:rsidR="008A67C5" w:rsidRPr="005028E4">
        <w:rPr>
          <w:sz w:val="24"/>
          <w:szCs w:val="24"/>
        </w:rPr>
        <w:t xml:space="preserve"> </w:t>
      </w:r>
      <w:r w:rsidR="00E61AFB" w:rsidRPr="005028E4">
        <w:rPr>
          <w:sz w:val="24"/>
          <w:szCs w:val="24"/>
        </w:rPr>
        <w:t xml:space="preserve">godine od dana </w:t>
      </w:r>
      <w:r w:rsidRPr="005028E4">
        <w:rPr>
          <w:sz w:val="24"/>
          <w:szCs w:val="24"/>
        </w:rPr>
        <w:t>stupanja na snagu</w:t>
      </w:r>
      <w:r w:rsidR="00E61AFB" w:rsidRPr="005028E4">
        <w:rPr>
          <w:sz w:val="24"/>
          <w:szCs w:val="24"/>
        </w:rPr>
        <w:t>.</w:t>
      </w:r>
    </w:p>
    <w:p w:rsidR="00C00568" w:rsidRPr="005028E4" w:rsidRDefault="00C00568" w:rsidP="00587587">
      <w:pPr>
        <w:jc w:val="both"/>
        <w:rPr>
          <w:sz w:val="24"/>
          <w:szCs w:val="24"/>
        </w:rPr>
      </w:pPr>
    </w:p>
    <w:p w:rsidR="004F4816" w:rsidRPr="005028E4" w:rsidRDefault="004F4816" w:rsidP="004F4816">
      <w:pPr>
        <w:pStyle w:val="Heading3"/>
      </w:pPr>
      <w:bookmarkStart w:id="768" w:name="_Toc53946540"/>
      <w:bookmarkStart w:id="769" w:name="_Toc53942005"/>
      <w:bookmarkStart w:id="770" w:name="_Toc54250976"/>
      <w:bookmarkStart w:id="771" w:name="_Toc54252874"/>
      <w:bookmarkStart w:id="772" w:name="_Toc54261686"/>
      <w:bookmarkEnd w:id="768"/>
      <w:r w:rsidRPr="005028E4">
        <w:t>Određivanje cijene usluge najma svjetlovodne niti bez prijenosne opreme (</w:t>
      </w:r>
      <w:r w:rsidR="004F413B" w:rsidRPr="005028E4">
        <w:rPr>
          <w:i/>
        </w:rPr>
        <w:t xml:space="preserve">dark </w:t>
      </w:r>
      <w:r w:rsidRPr="005028E4">
        <w:rPr>
          <w:i/>
        </w:rPr>
        <w:t>fibre</w:t>
      </w:r>
      <w:r w:rsidRPr="005028E4">
        <w:t>)</w:t>
      </w:r>
      <w:bookmarkEnd w:id="769"/>
      <w:bookmarkEnd w:id="770"/>
      <w:bookmarkEnd w:id="771"/>
      <w:bookmarkEnd w:id="772"/>
    </w:p>
    <w:p w:rsidR="004F4816" w:rsidRPr="005028E4" w:rsidRDefault="004F4816" w:rsidP="004F4816">
      <w:pPr>
        <w:jc w:val="both"/>
        <w:rPr>
          <w:sz w:val="24"/>
          <w:szCs w:val="24"/>
        </w:rPr>
      </w:pPr>
      <w:r w:rsidRPr="005028E4">
        <w:rPr>
          <w:sz w:val="24"/>
          <w:szCs w:val="24"/>
        </w:rPr>
        <w:t xml:space="preserve">HAKOM je Analizom tržišta M3a odredio obvezu omogućavanja usluge </w:t>
      </w:r>
      <w:r w:rsidR="004F413B" w:rsidRPr="005028E4">
        <w:rPr>
          <w:i/>
          <w:sz w:val="24"/>
          <w:szCs w:val="24"/>
        </w:rPr>
        <w:t xml:space="preserve">dark </w:t>
      </w:r>
      <w:r w:rsidRPr="005028E4">
        <w:rPr>
          <w:i/>
          <w:sz w:val="24"/>
          <w:szCs w:val="24"/>
        </w:rPr>
        <w:t xml:space="preserve">fibre </w:t>
      </w:r>
      <w:r w:rsidRPr="005028E4">
        <w:rPr>
          <w:sz w:val="24"/>
          <w:szCs w:val="24"/>
        </w:rPr>
        <w:t xml:space="preserve">u svrhu </w:t>
      </w:r>
      <w:r w:rsidR="00B54B50" w:rsidRPr="005028E4">
        <w:rPr>
          <w:sz w:val="24"/>
          <w:szCs w:val="24"/>
        </w:rPr>
        <w:t xml:space="preserve">omogućavanja pristupa operatorima korisnicima do pristupnih točaka, odnosno </w:t>
      </w:r>
      <w:r w:rsidRPr="005028E4">
        <w:rPr>
          <w:sz w:val="24"/>
          <w:szCs w:val="24"/>
        </w:rPr>
        <w:t xml:space="preserve">povezivanja pristupnih </w:t>
      </w:r>
      <w:r w:rsidR="00A0051B" w:rsidRPr="005028E4">
        <w:rPr>
          <w:sz w:val="24"/>
          <w:szCs w:val="24"/>
        </w:rPr>
        <w:t>točaka</w:t>
      </w:r>
      <w:r w:rsidRPr="005028E4">
        <w:rPr>
          <w:sz w:val="24"/>
          <w:szCs w:val="24"/>
        </w:rPr>
        <w:t xml:space="preserve"> i mreže operatora korisnika te budući da i cijena te usluge mora biti troškovno usmjerena, HAKOM je na osnovu rezultata Troškovnog modela odredio i cijenu te usluge, kako je već i rečeno u poglavlju </w:t>
      </w:r>
      <w:r w:rsidRPr="005028E4">
        <w:rPr>
          <w:sz w:val="24"/>
          <w:szCs w:val="24"/>
        </w:rPr>
        <w:fldChar w:fldCharType="begin"/>
      </w:r>
      <w:r w:rsidRPr="005028E4">
        <w:rPr>
          <w:sz w:val="24"/>
          <w:szCs w:val="24"/>
        </w:rPr>
        <w:instrText xml:space="preserve"> REF _Ref52514700 \r \h </w:instrText>
      </w:r>
      <w:r w:rsidRPr="005028E4">
        <w:rPr>
          <w:sz w:val="24"/>
          <w:szCs w:val="24"/>
        </w:rPr>
      </w:r>
      <w:r w:rsidRPr="005028E4">
        <w:rPr>
          <w:sz w:val="24"/>
          <w:szCs w:val="24"/>
        </w:rPr>
        <w:fldChar w:fldCharType="separate"/>
      </w:r>
      <w:r w:rsidR="00B047B3">
        <w:rPr>
          <w:sz w:val="24"/>
          <w:szCs w:val="24"/>
        </w:rPr>
        <w:t>4.9.4</w:t>
      </w:r>
      <w:r w:rsidRPr="005028E4">
        <w:rPr>
          <w:sz w:val="24"/>
          <w:szCs w:val="24"/>
        </w:rPr>
        <w:fldChar w:fldCharType="end"/>
      </w:r>
      <w:r w:rsidRPr="005028E4">
        <w:rPr>
          <w:sz w:val="24"/>
          <w:szCs w:val="24"/>
        </w:rPr>
        <w:t>.</w:t>
      </w:r>
    </w:p>
    <w:p w:rsidR="00C8005D" w:rsidRPr="005028E4" w:rsidRDefault="00C8005D" w:rsidP="004F4816">
      <w:pPr>
        <w:jc w:val="both"/>
        <w:rPr>
          <w:sz w:val="24"/>
          <w:szCs w:val="24"/>
        </w:rPr>
      </w:pPr>
      <w:r w:rsidRPr="005028E4">
        <w:rPr>
          <w:sz w:val="24"/>
          <w:szCs w:val="24"/>
        </w:rPr>
        <w:t xml:space="preserve">Iako </w:t>
      </w:r>
      <w:r w:rsidR="004F4816" w:rsidRPr="005028E4">
        <w:rPr>
          <w:sz w:val="24"/>
          <w:szCs w:val="24"/>
        </w:rPr>
        <w:t xml:space="preserve">Troškovni model omogućuje izračun jediničnih troškova </w:t>
      </w:r>
      <w:r w:rsidRPr="005028E4">
        <w:rPr>
          <w:sz w:val="24"/>
          <w:szCs w:val="24"/>
        </w:rPr>
        <w:t xml:space="preserve">usluge </w:t>
      </w:r>
      <w:r w:rsidR="004F413B" w:rsidRPr="005028E4">
        <w:rPr>
          <w:i/>
          <w:sz w:val="24"/>
          <w:szCs w:val="24"/>
        </w:rPr>
        <w:t xml:space="preserve">dark </w:t>
      </w:r>
      <w:r w:rsidRPr="005028E4">
        <w:rPr>
          <w:i/>
          <w:sz w:val="24"/>
          <w:szCs w:val="24"/>
        </w:rPr>
        <w:t>fibre</w:t>
      </w:r>
      <w:r w:rsidRPr="005028E4">
        <w:rPr>
          <w:sz w:val="24"/>
          <w:szCs w:val="24"/>
        </w:rPr>
        <w:t xml:space="preserve"> u pristupnoj mreži i u prijenosnoj mreži HT-a, HAKOM je odredio jedinstvenu cijenu bez obzira u kojem dijelu mreže HT-a se ista pruža iz razloga jednostavnosti primjene i izbjegavanja sporova koji bi se mogli očekivati u vezi toga koja cijena se primjenjuje, </w:t>
      </w:r>
      <w:r w:rsidR="0094133E" w:rsidRPr="005028E4">
        <w:rPr>
          <w:sz w:val="24"/>
          <w:szCs w:val="24"/>
        </w:rPr>
        <w:t xml:space="preserve">ukoliko bi postojale </w:t>
      </w:r>
      <w:r w:rsidRPr="005028E4">
        <w:rPr>
          <w:sz w:val="24"/>
          <w:szCs w:val="24"/>
        </w:rPr>
        <w:t>dvije cijene.</w:t>
      </w:r>
    </w:p>
    <w:p w:rsidR="00C8005D" w:rsidRPr="005028E4" w:rsidRDefault="00C8005D" w:rsidP="004F4816">
      <w:pPr>
        <w:jc w:val="both"/>
        <w:rPr>
          <w:sz w:val="24"/>
          <w:szCs w:val="24"/>
        </w:rPr>
      </w:pPr>
      <w:r w:rsidRPr="005028E4">
        <w:rPr>
          <w:sz w:val="24"/>
          <w:szCs w:val="24"/>
        </w:rPr>
        <w:t>J</w:t>
      </w:r>
      <w:r w:rsidR="00D325A7" w:rsidRPr="005028E4">
        <w:rPr>
          <w:sz w:val="24"/>
          <w:szCs w:val="24"/>
        </w:rPr>
        <w:t>edin</w:t>
      </w:r>
      <w:r w:rsidRPr="005028E4">
        <w:rPr>
          <w:sz w:val="24"/>
          <w:szCs w:val="24"/>
        </w:rPr>
        <w:t xml:space="preserve">stvena cijena je utvrđena na sljedeći način. Prvo je na osnovu jediničnih troškova usluge koji su prikazani u poglavlju </w:t>
      </w:r>
      <w:r w:rsidRPr="005028E4">
        <w:rPr>
          <w:sz w:val="24"/>
          <w:szCs w:val="24"/>
        </w:rPr>
        <w:fldChar w:fldCharType="begin"/>
      </w:r>
      <w:r w:rsidRPr="005028E4">
        <w:rPr>
          <w:sz w:val="24"/>
          <w:szCs w:val="24"/>
        </w:rPr>
        <w:instrText xml:space="preserve"> REF _Ref52515123 \r \h </w:instrText>
      </w:r>
      <w:r w:rsidRPr="005028E4">
        <w:rPr>
          <w:sz w:val="24"/>
          <w:szCs w:val="24"/>
        </w:rPr>
      </w:r>
      <w:r w:rsidRPr="005028E4">
        <w:rPr>
          <w:sz w:val="24"/>
          <w:szCs w:val="24"/>
        </w:rPr>
        <w:fldChar w:fldCharType="separate"/>
      </w:r>
      <w:r w:rsidR="00B047B3">
        <w:rPr>
          <w:sz w:val="24"/>
          <w:szCs w:val="24"/>
        </w:rPr>
        <w:t>4.9.4</w:t>
      </w:r>
      <w:r w:rsidRPr="005028E4">
        <w:rPr>
          <w:sz w:val="24"/>
          <w:szCs w:val="24"/>
        </w:rPr>
        <w:fldChar w:fldCharType="end"/>
      </w:r>
      <w:r w:rsidR="0094133E" w:rsidRPr="005028E4">
        <w:rPr>
          <w:sz w:val="24"/>
          <w:szCs w:val="24"/>
        </w:rPr>
        <w:t xml:space="preserve"> </w:t>
      </w:r>
      <w:r w:rsidRPr="005028E4">
        <w:rPr>
          <w:sz w:val="24"/>
          <w:szCs w:val="24"/>
        </w:rPr>
        <w:t>(</w:t>
      </w:r>
      <w:r w:rsidRPr="005028E4">
        <w:rPr>
          <w:sz w:val="24"/>
          <w:szCs w:val="24"/>
        </w:rPr>
        <w:fldChar w:fldCharType="begin"/>
      </w:r>
      <w:r w:rsidRPr="005028E4">
        <w:rPr>
          <w:sz w:val="24"/>
          <w:szCs w:val="24"/>
        </w:rPr>
        <w:instrText xml:space="preserve"> REF _Ref52514382 \h  \* MERGEFORMAT </w:instrText>
      </w:r>
      <w:r w:rsidRPr="005028E4">
        <w:rPr>
          <w:sz w:val="24"/>
          <w:szCs w:val="24"/>
        </w:rPr>
      </w:r>
      <w:r w:rsidRPr="005028E4">
        <w:rPr>
          <w:sz w:val="24"/>
          <w:szCs w:val="24"/>
        </w:rPr>
        <w:fldChar w:fldCharType="separate"/>
      </w:r>
      <w:r w:rsidR="00B047B3" w:rsidRPr="00B047B3">
        <w:rPr>
          <w:sz w:val="24"/>
          <w:szCs w:val="24"/>
        </w:rPr>
        <w:t>Tablica 10</w:t>
      </w:r>
      <w:r w:rsidRPr="005028E4">
        <w:rPr>
          <w:sz w:val="24"/>
          <w:szCs w:val="24"/>
        </w:rPr>
        <w:fldChar w:fldCharType="end"/>
      </w:r>
      <w:r w:rsidRPr="005028E4">
        <w:rPr>
          <w:sz w:val="24"/>
          <w:szCs w:val="24"/>
        </w:rPr>
        <w:t>) izračunata prosječna cijena po godinama</w:t>
      </w:r>
      <w:r w:rsidR="0094133E" w:rsidRPr="005028E4">
        <w:rPr>
          <w:sz w:val="24"/>
          <w:szCs w:val="24"/>
        </w:rPr>
        <w:t xml:space="preserve"> </w:t>
      </w:r>
      <w:r w:rsidRPr="005028E4">
        <w:rPr>
          <w:sz w:val="24"/>
          <w:szCs w:val="24"/>
        </w:rPr>
        <w:t xml:space="preserve">(kao </w:t>
      </w:r>
      <w:r w:rsidR="0094133E" w:rsidRPr="005028E4">
        <w:rPr>
          <w:sz w:val="24"/>
          <w:szCs w:val="24"/>
        </w:rPr>
        <w:t>ponderirani trošak</w:t>
      </w:r>
      <w:r w:rsidRPr="005028E4">
        <w:rPr>
          <w:sz w:val="24"/>
          <w:szCs w:val="24"/>
        </w:rPr>
        <w:t xml:space="preserve"> između jediničnih troškova u</w:t>
      </w:r>
      <w:r w:rsidR="00F07E45">
        <w:rPr>
          <w:sz w:val="24"/>
          <w:szCs w:val="24"/>
        </w:rPr>
        <w:t xml:space="preserve">sluge </w:t>
      </w:r>
      <w:r w:rsidR="00F07E45" w:rsidRPr="00F07E45">
        <w:rPr>
          <w:i/>
          <w:sz w:val="24"/>
          <w:szCs w:val="24"/>
        </w:rPr>
        <w:t>Dark fibre</w:t>
      </w:r>
      <w:r w:rsidRPr="005028E4">
        <w:rPr>
          <w:sz w:val="24"/>
          <w:szCs w:val="24"/>
        </w:rPr>
        <w:t xml:space="preserve"> </w:t>
      </w:r>
      <w:r w:rsidR="00354F32">
        <w:rPr>
          <w:sz w:val="24"/>
          <w:szCs w:val="24"/>
        </w:rPr>
        <w:t xml:space="preserve">u </w:t>
      </w:r>
      <w:r w:rsidRPr="005028E4">
        <w:rPr>
          <w:sz w:val="24"/>
          <w:szCs w:val="24"/>
        </w:rPr>
        <w:t>pristupnoj i prijenosnoj mreži). Nakon toga je primjenom Opcije 1 iz poglavlja</w:t>
      </w:r>
      <w:r w:rsidR="00E61AFB" w:rsidRPr="005028E4">
        <w:rPr>
          <w:sz w:val="24"/>
          <w:szCs w:val="24"/>
        </w:rPr>
        <w:t xml:space="preserve"> </w:t>
      </w:r>
      <w:r w:rsidR="00E61AFB" w:rsidRPr="005028E4">
        <w:rPr>
          <w:sz w:val="24"/>
          <w:szCs w:val="24"/>
        </w:rPr>
        <w:fldChar w:fldCharType="begin"/>
      </w:r>
      <w:r w:rsidR="00E61AFB" w:rsidRPr="005028E4">
        <w:rPr>
          <w:sz w:val="24"/>
          <w:szCs w:val="24"/>
        </w:rPr>
        <w:instrText xml:space="preserve"> REF _Ref53063530 \r \h </w:instrText>
      </w:r>
      <w:r w:rsidR="00E61AFB" w:rsidRPr="005028E4">
        <w:rPr>
          <w:sz w:val="24"/>
          <w:szCs w:val="24"/>
        </w:rPr>
      </w:r>
      <w:r w:rsidR="00E61AFB" w:rsidRPr="005028E4">
        <w:rPr>
          <w:sz w:val="24"/>
          <w:szCs w:val="24"/>
        </w:rPr>
        <w:fldChar w:fldCharType="separate"/>
      </w:r>
      <w:r w:rsidR="00B047B3">
        <w:rPr>
          <w:sz w:val="24"/>
          <w:szCs w:val="24"/>
        </w:rPr>
        <w:t>5.2</w:t>
      </w:r>
      <w:r w:rsidR="00E61AFB" w:rsidRPr="005028E4">
        <w:rPr>
          <w:sz w:val="24"/>
          <w:szCs w:val="24"/>
        </w:rPr>
        <w:fldChar w:fldCharType="end"/>
      </w:r>
      <w:r w:rsidRPr="005028E4">
        <w:rPr>
          <w:sz w:val="24"/>
          <w:szCs w:val="24"/>
        </w:rPr>
        <w:t xml:space="preserve"> izračunata </w:t>
      </w:r>
      <w:r w:rsidR="00CE6F90" w:rsidRPr="005028E4">
        <w:rPr>
          <w:sz w:val="24"/>
          <w:szCs w:val="24"/>
        </w:rPr>
        <w:t>jedinstvena cijena kao prosjek dobivenih</w:t>
      </w:r>
      <w:r w:rsidRPr="005028E4">
        <w:rPr>
          <w:sz w:val="24"/>
          <w:szCs w:val="24"/>
        </w:rPr>
        <w:t xml:space="preserve"> cijena za godine 2021, 2022 i 2023</w:t>
      </w:r>
      <w:r w:rsidR="004D4A9D" w:rsidRPr="005028E4">
        <w:rPr>
          <w:sz w:val="24"/>
          <w:szCs w:val="24"/>
        </w:rPr>
        <w:t xml:space="preserve"> (</w:t>
      </w:r>
      <w:r w:rsidR="004D4A9D" w:rsidRPr="005028E4">
        <w:rPr>
          <w:sz w:val="24"/>
          <w:szCs w:val="24"/>
        </w:rPr>
        <w:fldChar w:fldCharType="begin"/>
      </w:r>
      <w:r w:rsidR="004D4A9D" w:rsidRPr="005028E4">
        <w:rPr>
          <w:sz w:val="24"/>
          <w:szCs w:val="24"/>
        </w:rPr>
        <w:instrText xml:space="preserve"> REF _Ref53872177 \h  \* MERGEFORMAT </w:instrText>
      </w:r>
      <w:r w:rsidR="004D4A9D" w:rsidRPr="005028E4">
        <w:rPr>
          <w:sz w:val="24"/>
          <w:szCs w:val="24"/>
        </w:rPr>
      </w:r>
      <w:r w:rsidR="004D4A9D" w:rsidRPr="005028E4">
        <w:rPr>
          <w:sz w:val="24"/>
          <w:szCs w:val="24"/>
        </w:rPr>
        <w:fldChar w:fldCharType="separate"/>
      </w:r>
      <w:r w:rsidR="00B047B3" w:rsidRPr="00B047B3">
        <w:rPr>
          <w:sz w:val="24"/>
          <w:szCs w:val="24"/>
        </w:rPr>
        <w:t>Tablica 13</w:t>
      </w:r>
      <w:r w:rsidR="004D4A9D" w:rsidRPr="005028E4">
        <w:rPr>
          <w:sz w:val="24"/>
          <w:szCs w:val="24"/>
        </w:rPr>
        <w:fldChar w:fldCharType="end"/>
      </w:r>
      <w:r w:rsidR="004D4A9D" w:rsidRPr="005028E4">
        <w:rPr>
          <w:sz w:val="24"/>
          <w:szCs w:val="24"/>
        </w:rPr>
        <w:t>)</w:t>
      </w:r>
      <w:r w:rsidRPr="005028E4">
        <w:rPr>
          <w:sz w:val="24"/>
          <w:szCs w:val="24"/>
        </w:rPr>
        <w:t>.</w:t>
      </w:r>
    </w:p>
    <w:p w:rsidR="004D4A9D" w:rsidRPr="005028E4" w:rsidRDefault="00CE6F90" w:rsidP="004D4A9D">
      <w:pPr>
        <w:jc w:val="both"/>
        <w:rPr>
          <w:sz w:val="24"/>
          <w:szCs w:val="24"/>
        </w:rPr>
      </w:pPr>
      <w:r w:rsidRPr="005028E4">
        <w:rPr>
          <w:sz w:val="24"/>
          <w:szCs w:val="24"/>
        </w:rPr>
        <w:t xml:space="preserve">Nastavno na navedeno, HAKOM </w:t>
      </w:r>
      <w:r w:rsidR="00B766B1" w:rsidRPr="005028E4">
        <w:rPr>
          <w:sz w:val="24"/>
          <w:szCs w:val="24"/>
        </w:rPr>
        <w:t>određuje</w:t>
      </w:r>
      <w:r w:rsidRPr="005028E4">
        <w:rPr>
          <w:sz w:val="24"/>
          <w:szCs w:val="24"/>
        </w:rPr>
        <w:t xml:space="preserve"> cijenu usluge najma svjetlovodne niti bez prijenosne opreme (</w:t>
      </w:r>
      <w:r w:rsidR="004F413B" w:rsidRPr="005028E4">
        <w:rPr>
          <w:i/>
          <w:sz w:val="24"/>
          <w:szCs w:val="24"/>
        </w:rPr>
        <w:t xml:space="preserve">dark </w:t>
      </w:r>
      <w:r w:rsidRPr="005028E4">
        <w:rPr>
          <w:i/>
          <w:sz w:val="24"/>
          <w:szCs w:val="24"/>
        </w:rPr>
        <w:t>fibre</w:t>
      </w:r>
      <w:r w:rsidRPr="005028E4">
        <w:rPr>
          <w:sz w:val="24"/>
          <w:szCs w:val="24"/>
        </w:rPr>
        <w:t>) kako slijedi:</w:t>
      </w:r>
    </w:p>
    <w:p w:rsidR="004D4A9D" w:rsidRPr="005028E4" w:rsidRDefault="004D4A9D" w:rsidP="004D4A9D">
      <w:pPr>
        <w:pStyle w:val="ListParagraph"/>
        <w:numPr>
          <w:ilvl w:val="0"/>
          <w:numId w:val="43"/>
        </w:numPr>
        <w:jc w:val="both"/>
        <w:rPr>
          <w:b/>
          <w:sz w:val="24"/>
          <w:szCs w:val="24"/>
        </w:rPr>
      </w:pPr>
      <w:r w:rsidRPr="005028E4">
        <w:rPr>
          <w:sz w:val="24"/>
          <w:szCs w:val="24"/>
        </w:rPr>
        <w:t>Cijena usluge najma svjetlovodne niti bez prijenosne opreme (</w:t>
      </w:r>
      <w:r w:rsidR="004F413B" w:rsidRPr="005028E4">
        <w:rPr>
          <w:i/>
          <w:sz w:val="24"/>
          <w:szCs w:val="24"/>
        </w:rPr>
        <w:t xml:space="preserve">dark </w:t>
      </w:r>
      <w:r w:rsidRPr="005028E4">
        <w:rPr>
          <w:i/>
          <w:sz w:val="24"/>
          <w:szCs w:val="24"/>
        </w:rPr>
        <w:t>fibre)</w:t>
      </w:r>
      <w:r w:rsidRPr="005028E4">
        <w:rPr>
          <w:sz w:val="24"/>
          <w:szCs w:val="24"/>
        </w:rPr>
        <w:t xml:space="preserve"> iznosi </w:t>
      </w:r>
      <w:r w:rsidRPr="005028E4">
        <w:rPr>
          <w:b/>
          <w:sz w:val="24"/>
          <w:szCs w:val="24"/>
        </w:rPr>
        <w:t>0,086 HRK/nit/m /mjesečno</w:t>
      </w:r>
      <w:r w:rsidRPr="005028E4" w:rsidDel="008A67C5">
        <w:rPr>
          <w:b/>
          <w:sz w:val="24"/>
          <w:szCs w:val="24"/>
        </w:rPr>
        <w:t xml:space="preserve"> </w:t>
      </w:r>
    </w:p>
    <w:p w:rsidR="004D4A9D" w:rsidRPr="005028E4" w:rsidRDefault="004D4A9D" w:rsidP="004D4A9D">
      <w:pPr>
        <w:jc w:val="both"/>
        <w:rPr>
          <w:sz w:val="24"/>
          <w:szCs w:val="24"/>
        </w:rPr>
      </w:pPr>
      <w:r w:rsidRPr="005028E4">
        <w:rPr>
          <w:sz w:val="24"/>
          <w:szCs w:val="24"/>
        </w:rPr>
        <w:t>Gornja cijena vrijedi 3 (tri )godine od dana stupanja na snagu.</w:t>
      </w:r>
    </w:p>
    <w:p w:rsidR="00C00568" w:rsidRPr="005028E4" w:rsidRDefault="00C00568" w:rsidP="004D4A9D">
      <w:pPr>
        <w:jc w:val="both"/>
        <w:rPr>
          <w:sz w:val="24"/>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2061"/>
        <w:gridCol w:w="785"/>
        <w:gridCol w:w="1025"/>
        <w:gridCol w:w="961"/>
        <w:gridCol w:w="1547"/>
      </w:tblGrid>
      <w:tr w:rsidR="008A67C5" w:rsidRPr="005028E4" w:rsidTr="00F07E45">
        <w:trPr>
          <w:trHeight w:val="300"/>
        </w:trPr>
        <w:tc>
          <w:tcPr>
            <w:tcW w:w="3397" w:type="dxa"/>
            <w:shd w:val="clear" w:color="000000" w:fill="0C2749"/>
            <w:vAlign w:val="center"/>
            <w:hideMark/>
          </w:tcPr>
          <w:p w:rsidR="008A67C5" w:rsidRPr="005028E4" w:rsidRDefault="008A67C5" w:rsidP="00B540C8">
            <w:pPr>
              <w:spacing w:after="0" w:line="240" w:lineRule="auto"/>
              <w:jc w:val="center"/>
              <w:rPr>
                <w:rFonts w:ascii="Verdana" w:eastAsia="Times New Roman" w:hAnsi="Verdana" w:cs="Calibri"/>
                <w:b/>
                <w:bCs/>
                <w:color w:val="FFFFFF"/>
                <w:sz w:val="20"/>
                <w:szCs w:val="20"/>
              </w:rPr>
            </w:pPr>
            <w:r w:rsidRPr="005028E4">
              <w:rPr>
                <w:rFonts w:ascii="Verdana" w:eastAsia="Times New Roman" w:hAnsi="Verdana" w:cs="Calibri"/>
                <w:b/>
                <w:bCs/>
                <w:color w:val="FFFFFF"/>
                <w:sz w:val="20"/>
                <w:szCs w:val="20"/>
              </w:rPr>
              <w:t>USLUGA</w:t>
            </w:r>
          </w:p>
        </w:tc>
        <w:tc>
          <w:tcPr>
            <w:tcW w:w="2061" w:type="dxa"/>
            <w:shd w:val="clear" w:color="000000" w:fill="0C2749"/>
            <w:vAlign w:val="center"/>
            <w:hideMark/>
          </w:tcPr>
          <w:p w:rsidR="008A67C5" w:rsidRPr="005028E4" w:rsidRDefault="008A67C5" w:rsidP="00B540C8">
            <w:pPr>
              <w:spacing w:after="0" w:line="240" w:lineRule="auto"/>
              <w:jc w:val="center"/>
              <w:rPr>
                <w:rFonts w:ascii="Verdana" w:eastAsia="Times New Roman" w:hAnsi="Verdana" w:cs="Calibri"/>
                <w:b/>
                <w:bCs/>
                <w:color w:val="FFFFFF"/>
                <w:sz w:val="20"/>
                <w:szCs w:val="20"/>
              </w:rPr>
            </w:pPr>
            <w:r w:rsidRPr="005028E4">
              <w:rPr>
                <w:rFonts w:ascii="Verdana" w:eastAsia="Times New Roman" w:hAnsi="Verdana" w:cs="Calibri"/>
                <w:b/>
                <w:bCs/>
                <w:color w:val="FFFFFF"/>
                <w:sz w:val="20"/>
                <w:szCs w:val="20"/>
              </w:rPr>
              <w:t>JEDINICE</w:t>
            </w:r>
          </w:p>
        </w:tc>
        <w:tc>
          <w:tcPr>
            <w:tcW w:w="785" w:type="dxa"/>
            <w:shd w:val="clear" w:color="000000" w:fill="0C2749"/>
            <w:vAlign w:val="center"/>
            <w:hideMark/>
          </w:tcPr>
          <w:p w:rsidR="008A67C5" w:rsidRPr="005028E4" w:rsidRDefault="008A67C5" w:rsidP="00B540C8">
            <w:pPr>
              <w:spacing w:after="0" w:line="240" w:lineRule="auto"/>
              <w:jc w:val="center"/>
              <w:rPr>
                <w:rFonts w:ascii="Verdana" w:eastAsia="Times New Roman" w:hAnsi="Verdana" w:cs="Calibri"/>
                <w:b/>
                <w:bCs/>
                <w:color w:val="FFFFFF"/>
                <w:sz w:val="20"/>
                <w:szCs w:val="20"/>
              </w:rPr>
            </w:pPr>
            <w:r w:rsidRPr="005028E4">
              <w:rPr>
                <w:rFonts w:ascii="Verdana" w:eastAsia="Times New Roman" w:hAnsi="Verdana" w:cs="Calibri"/>
                <w:b/>
                <w:bCs/>
                <w:color w:val="FFFFFF"/>
                <w:sz w:val="20"/>
                <w:szCs w:val="20"/>
              </w:rPr>
              <w:t>2021</w:t>
            </w:r>
          </w:p>
        </w:tc>
        <w:tc>
          <w:tcPr>
            <w:tcW w:w="1025" w:type="dxa"/>
            <w:shd w:val="clear" w:color="000000" w:fill="0C2749"/>
            <w:vAlign w:val="center"/>
            <w:hideMark/>
          </w:tcPr>
          <w:p w:rsidR="008A67C5" w:rsidRPr="005028E4" w:rsidRDefault="008A67C5" w:rsidP="00B540C8">
            <w:pPr>
              <w:spacing w:after="0" w:line="240" w:lineRule="auto"/>
              <w:jc w:val="center"/>
              <w:rPr>
                <w:rFonts w:ascii="Verdana" w:eastAsia="Times New Roman" w:hAnsi="Verdana" w:cs="Calibri"/>
                <w:b/>
                <w:bCs/>
                <w:color w:val="FFFFFF"/>
                <w:sz w:val="20"/>
                <w:szCs w:val="20"/>
              </w:rPr>
            </w:pPr>
            <w:r w:rsidRPr="005028E4">
              <w:rPr>
                <w:rFonts w:ascii="Verdana" w:eastAsia="Times New Roman" w:hAnsi="Verdana" w:cs="Calibri"/>
                <w:b/>
                <w:bCs/>
                <w:color w:val="FFFFFF"/>
                <w:sz w:val="20"/>
                <w:szCs w:val="20"/>
              </w:rPr>
              <w:t>2022</w:t>
            </w:r>
          </w:p>
        </w:tc>
        <w:tc>
          <w:tcPr>
            <w:tcW w:w="961" w:type="dxa"/>
            <w:shd w:val="clear" w:color="000000" w:fill="0C2749"/>
            <w:vAlign w:val="center"/>
            <w:hideMark/>
          </w:tcPr>
          <w:p w:rsidR="008A67C5" w:rsidRPr="005028E4" w:rsidRDefault="008A67C5" w:rsidP="00B540C8">
            <w:pPr>
              <w:spacing w:after="0" w:line="240" w:lineRule="auto"/>
              <w:jc w:val="center"/>
              <w:rPr>
                <w:rFonts w:ascii="Verdana" w:eastAsia="Times New Roman" w:hAnsi="Verdana" w:cs="Calibri"/>
                <w:b/>
                <w:bCs/>
                <w:color w:val="FFFFFF"/>
                <w:sz w:val="20"/>
                <w:szCs w:val="20"/>
              </w:rPr>
            </w:pPr>
            <w:r w:rsidRPr="005028E4">
              <w:rPr>
                <w:rFonts w:ascii="Verdana" w:eastAsia="Times New Roman" w:hAnsi="Verdana" w:cs="Calibri"/>
                <w:b/>
                <w:bCs/>
                <w:color w:val="FFFFFF"/>
                <w:sz w:val="20"/>
                <w:szCs w:val="20"/>
              </w:rPr>
              <w:t>2023</w:t>
            </w:r>
          </w:p>
        </w:tc>
        <w:tc>
          <w:tcPr>
            <w:tcW w:w="1547" w:type="dxa"/>
            <w:shd w:val="clear" w:color="000000" w:fill="0C2749"/>
          </w:tcPr>
          <w:p w:rsidR="008A67C5" w:rsidRPr="005028E4" w:rsidRDefault="00D61F5A" w:rsidP="00B540C8">
            <w:pPr>
              <w:spacing w:after="0" w:line="240" w:lineRule="auto"/>
              <w:jc w:val="center"/>
              <w:rPr>
                <w:rFonts w:ascii="Verdana" w:eastAsia="Times New Roman" w:hAnsi="Verdana" w:cs="Calibri"/>
                <w:b/>
                <w:bCs/>
                <w:color w:val="FFFFFF"/>
                <w:sz w:val="20"/>
                <w:szCs w:val="20"/>
              </w:rPr>
            </w:pPr>
            <w:r w:rsidRPr="005028E4">
              <w:rPr>
                <w:rFonts w:ascii="Verdana" w:eastAsia="Times New Roman" w:hAnsi="Verdana" w:cs="Calibri"/>
                <w:b/>
                <w:bCs/>
                <w:color w:val="FFFFFF"/>
                <w:sz w:val="20"/>
                <w:szCs w:val="20"/>
              </w:rPr>
              <w:t xml:space="preserve">Prosjek </w:t>
            </w:r>
            <w:r w:rsidR="008A67C5" w:rsidRPr="005028E4">
              <w:rPr>
                <w:rFonts w:ascii="Verdana" w:eastAsia="Times New Roman" w:hAnsi="Verdana" w:cs="Calibri"/>
                <w:b/>
                <w:bCs/>
                <w:color w:val="FFFFFF"/>
                <w:sz w:val="20"/>
                <w:szCs w:val="20"/>
              </w:rPr>
              <w:t>2021-2023</w:t>
            </w:r>
          </w:p>
        </w:tc>
      </w:tr>
      <w:tr w:rsidR="008A67C5" w:rsidRPr="005028E4" w:rsidTr="00F07E45">
        <w:trPr>
          <w:trHeight w:val="300"/>
        </w:trPr>
        <w:tc>
          <w:tcPr>
            <w:tcW w:w="3397" w:type="dxa"/>
            <w:shd w:val="clear" w:color="auto" w:fill="auto"/>
            <w:noWrap/>
            <w:vAlign w:val="center"/>
            <w:hideMark/>
          </w:tcPr>
          <w:p w:rsidR="008A67C5" w:rsidRPr="005028E4" w:rsidRDefault="008A67C5" w:rsidP="00B540C8">
            <w:pPr>
              <w:spacing w:after="0" w:line="240" w:lineRule="auto"/>
              <w:jc w:val="center"/>
              <w:rPr>
                <w:rFonts w:ascii="Calibri" w:eastAsia="Times New Roman" w:hAnsi="Calibri" w:cs="Calibri"/>
                <w:color w:val="000000"/>
                <w:sz w:val="20"/>
                <w:szCs w:val="20"/>
              </w:rPr>
            </w:pPr>
            <w:r w:rsidRPr="005028E4">
              <w:rPr>
                <w:rFonts w:ascii="Calibri" w:eastAsia="Times New Roman" w:hAnsi="Calibri" w:cs="Calibri"/>
                <w:color w:val="000000"/>
                <w:sz w:val="20"/>
                <w:szCs w:val="20"/>
              </w:rPr>
              <w:t>Najam svjetlovodne niti bez prijenosne opreme (</w:t>
            </w:r>
            <w:r w:rsidR="004F413B" w:rsidRPr="005028E4">
              <w:rPr>
                <w:rFonts w:ascii="Calibri" w:eastAsia="Times New Roman" w:hAnsi="Calibri" w:cs="Calibri"/>
                <w:color w:val="000000"/>
                <w:sz w:val="20"/>
                <w:szCs w:val="20"/>
              </w:rPr>
              <w:t>d</w:t>
            </w:r>
            <w:r w:rsidRPr="005028E4">
              <w:rPr>
                <w:rFonts w:ascii="Calibri" w:eastAsia="Times New Roman" w:hAnsi="Calibri" w:cs="Calibri"/>
                <w:color w:val="000000"/>
                <w:sz w:val="20"/>
                <w:szCs w:val="20"/>
              </w:rPr>
              <w:t>ark fibre)</w:t>
            </w:r>
          </w:p>
        </w:tc>
        <w:tc>
          <w:tcPr>
            <w:tcW w:w="2061" w:type="dxa"/>
            <w:shd w:val="clear" w:color="auto" w:fill="auto"/>
            <w:noWrap/>
            <w:vAlign w:val="center"/>
            <w:hideMark/>
          </w:tcPr>
          <w:p w:rsidR="008A67C5" w:rsidRPr="005028E4" w:rsidRDefault="008A67C5" w:rsidP="00B540C8">
            <w:pPr>
              <w:spacing w:after="0" w:line="240" w:lineRule="auto"/>
              <w:jc w:val="center"/>
              <w:rPr>
                <w:rFonts w:ascii="Calibri" w:eastAsia="Times New Roman" w:hAnsi="Calibri" w:cs="Calibri"/>
                <w:color w:val="000000"/>
                <w:sz w:val="20"/>
                <w:szCs w:val="20"/>
              </w:rPr>
            </w:pPr>
            <w:r w:rsidRPr="005028E4">
              <w:rPr>
                <w:rFonts w:ascii="Calibri" w:eastAsia="Times New Roman" w:hAnsi="Calibri" w:cs="Calibri"/>
                <w:color w:val="000000"/>
                <w:sz w:val="20"/>
                <w:szCs w:val="20"/>
              </w:rPr>
              <w:t>HRK/nit/m/mjesečno</w:t>
            </w:r>
          </w:p>
        </w:tc>
        <w:tc>
          <w:tcPr>
            <w:tcW w:w="785" w:type="dxa"/>
            <w:shd w:val="clear" w:color="auto" w:fill="auto"/>
            <w:noWrap/>
            <w:vAlign w:val="center"/>
            <w:hideMark/>
          </w:tcPr>
          <w:p w:rsidR="008A67C5" w:rsidRPr="005028E4" w:rsidRDefault="008A67C5" w:rsidP="00B540C8">
            <w:pPr>
              <w:spacing w:after="0" w:line="240" w:lineRule="auto"/>
              <w:jc w:val="center"/>
              <w:rPr>
                <w:rFonts w:ascii="Calibri" w:eastAsia="Times New Roman" w:hAnsi="Calibri" w:cs="Calibri"/>
                <w:color w:val="000000"/>
                <w:sz w:val="20"/>
                <w:szCs w:val="20"/>
              </w:rPr>
            </w:pPr>
            <w:r w:rsidRPr="005028E4">
              <w:t>0,075</w:t>
            </w:r>
          </w:p>
        </w:tc>
        <w:tc>
          <w:tcPr>
            <w:tcW w:w="1025" w:type="dxa"/>
            <w:shd w:val="clear" w:color="auto" w:fill="auto"/>
            <w:noWrap/>
            <w:vAlign w:val="center"/>
            <w:hideMark/>
          </w:tcPr>
          <w:p w:rsidR="008A67C5" w:rsidRPr="005028E4" w:rsidRDefault="008A67C5" w:rsidP="00B540C8">
            <w:pPr>
              <w:spacing w:after="0" w:line="240" w:lineRule="auto"/>
              <w:jc w:val="center"/>
              <w:rPr>
                <w:rFonts w:ascii="Calibri" w:eastAsia="Times New Roman" w:hAnsi="Calibri" w:cs="Calibri"/>
                <w:color w:val="000000"/>
                <w:sz w:val="20"/>
                <w:szCs w:val="20"/>
              </w:rPr>
            </w:pPr>
            <w:r w:rsidRPr="005028E4">
              <w:t>0,081</w:t>
            </w:r>
          </w:p>
        </w:tc>
        <w:tc>
          <w:tcPr>
            <w:tcW w:w="961" w:type="dxa"/>
            <w:shd w:val="clear" w:color="auto" w:fill="auto"/>
            <w:noWrap/>
            <w:vAlign w:val="center"/>
            <w:hideMark/>
          </w:tcPr>
          <w:p w:rsidR="008A67C5" w:rsidRPr="005028E4" w:rsidRDefault="008A67C5" w:rsidP="00B540C8">
            <w:pPr>
              <w:spacing w:after="0" w:line="240" w:lineRule="auto"/>
              <w:jc w:val="center"/>
              <w:rPr>
                <w:rFonts w:ascii="Calibri" w:eastAsia="Times New Roman" w:hAnsi="Calibri" w:cs="Calibri"/>
                <w:color w:val="000000"/>
                <w:sz w:val="20"/>
                <w:szCs w:val="20"/>
              </w:rPr>
            </w:pPr>
            <w:r w:rsidRPr="005028E4">
              <w:t>0,086</w:t>
            </w:r>
          </w:p>
        </w:tc>
        <w:tc>
          <w:tcPr>
            <w:tcW w:w="1547" w:type="dxa"/>
            <w:vAlign w:val="center"/>
          </w:tcPr>
          <w:p w:rsidR="008A67C5" w:rsidRPr="005028E4" w:rsidRDefault="008A67C5" w:rsidP="008A67C5">
            <w:pPr>
              <w:keepNext/>
              <w:spacing w:after="0" w:line="240" w:lineRule="auto"/>
              <w:jc w:val="center"/>
              <w:rPr>
                <w:rFonts w:ascii="Calibri" w:eastAsia="Times New Roman" w:hAnsi="Calibri" w:cs="Calibri"/>
                <w:b/>
                <w:color w:val="000000"/>
                <w:sz w:val="20"/>
                <w:szCs w:val="20"/>
              </w:rPr>
            </w:pPr>
            <w:r w:rsidRPr="005028E4">
              <w:rPr>
                <w:rFonts w:ascii="Calibri" w:eastAsia="Times New Roman" w:hAnsi="Calibri" w:cs="Calibri"/>
                <w:b/>
                <w:color w:val="000000"/>
                <w:sz w:val="20"/>
                <w:szCs w:val="20"/>
              </w:rPr>
              <w:t>0,086</w:t>
            </w:r>
          </w:p>
        </w:tc>
      </w:tr>
    </w:tbl>
    <w:p w:rsidR="008A67C5" w:rsidRPr="005028E4" w:rsidRDefault="008A67C5" w:rsidP="008A67C5">
      <w:pPr>
        <w:pStyle w:val="Caption"/>
        <w:rPr>
          <w:sz w:val="24"/>
          <w:szCs w:val="24"/>
        </w:rPr>
      </w:pPr>
      <w:bookmarkStart w:id="773" w:name="_Ref53872177"/>
      <w:bookmarkStart w:id="774" w:name="_Toc54079577"/>
      <w:bookmarkStart w:id="775" w:name="_Toc54159173"/>
      <w:bookmarkStart w:id="776" w:name="_Toc54159307"/>
      <w:bookmarkStart w:id="777" w:name="_Toc54160003"/>
      <w:bookmarkStart w:id="778" w:name="_Toc54175828"/>
      <w:bookmarkStart w:id="779" w:name="_Toc54179456"/>
      <w:bookmarkStart w:id="780" w:name="_Toc54261736"/>
      <w:r w:rsidRPr="005028E4">
        <w:t xml:space="preserve">Tablica </w:t>
      </w:r>
      <w:r w:rsidR="00B540C8" w:rsidRPr="005028E4">
        <w:rPr>
          <w:noProof/>
        </w:rPr>
        <w:fldChar w:fldCharType="begin"/>
      </w:r>
      <w:r w:rsidR="00B540C8" w:rsidRPr="005028E4">
        <w:rPr>
          <w:noProof/>
        </w:rPr>
        <w:instrText xml:space="preserve"> SEQ Tablica \* ARABIC </w:instrText>
      </w:r>
      <w:r w:rsidR="00B540C8" w:rsidRPr="005028E4">
        <w:rPr>
          <w:noProof/>
        </w:rPr>
        <w:fldChar w:fldCharType="separate"/>
      </w:r>
      <w:r w:rsidR="00B047B3">
        <w:rPr>
          <w:noProof/>
        </w:rPr>
        <w:t>13</w:t>
      </w:r>
      <w:r w:rsidR="00B540C8" w:rsidRPr="005028E4">
        <w:rPr>
          <w:noProof/>
        </w:rPr>
        <w:fldChar w:fldCharType="end"/>
      </w:r>
      <w:bookmarkEnd w:id="773"/>
      <w:r w:rsidRPr="005028E4">
        <w:t xml:space="preserve"> - Cijena najma svjetlovodne niti bez prijenosne opreme</w:t>
      </w:r>
      <w:bookmarkEnd w:id="774"/>
      <w:bookmarkEnd w:id="775"/>
      <w:bookmarkEnd w:id="776"/>
      <w:bookmarkEnd w:id="777"/>
      <w:bookmarkEnd w:id="778"/>
      <w:bookmarkEnd w:id="779"/>
      <w:bookmarkEnd w:id="780"/>
    </w:p>
    <w:p w:rsidR="008664D4" w:rsidRPr="005028E4" w:rsidRDefault="00EA66BB" w:rsidP="004F4816">
      <w:pPr>
        <w:jc w:val="both"/>
      </w:pPr>
      <w:r w:rsidRPr="005028E4">
        <w:br w:type="page"/>
      </w:r>
    </w:p>
    <w:p w:rsidR="000E267F" w:rsidRPr="005028E4" w:rsidRDefault="000E267F" w:rsidP="00DD0407">
      <w:pPr>
        <w:pStyle w:val="Heading1"/>
      </w:pPr>
      <w:bookmarkStart w:id="781" w:name="_Toc53946542"/>
      <w:bookmarkStart w:id="782" w:name="_Toc53761324"/>
      <w:bookmarkStart w:id="783" w:name="_Toc53063948"/>
      <w:bookmarkStart w:id="784" w:name="_Toc53761326"/>
      <w:bookmarkStart w:id="785" w:name="_Toc53761327"/>
      <w:bookmarkStart w:id="786" w:name="_Toc51676939"/>
      <w:bookmarkStart w:id="787" w:name="_Toc53942006"/>
      <w:bookmarkStart w:id="788" w:name="_Toc54250977"/>
      <w:bookmarkStart w:id="789" w:name="_Toc54252875"/>
      <w:bookmarkStart w:id="790" w:name="_Toc54261687"/>
      <w:bookmarkEnd w:id="781"/>
      <w:bookmarkEnd w:id="782"/>
      <w:bookmarkEnd w:id="783"/>
      <w:bookmarkEnd w:id="784"/>
      <w:bookmarkEnd w:id="785"/>
      <w:r w:rsidRPr="005028E4">
        <w:t>Popis slika</w:t>
      </w:r>
      <w:bookmarkEnd w:id="786"/>
      <w:bookmarkEnd w:id="787"/>
      <w:bookmarkEnd w:id="788"/>
      <w:bookmarkEnd w:id="789"/>
      <w:bookmarkEnd w:id="790"/>
    </w:p>
    <w:p w:rsidR="00B047B3" w:rsidRDefault="00631C1D">
      <w:pPr>
        <w:pStyle w:val="TableofFigures"/>
        <w:tabs>
          <w:tab w:val="right" w:leader="dot" w:pos="9062"/>
        </w:tabs>
        <w:rPr>
          <w:rFonts w:asciiTheme="minorHAnsi" w:eastAsiaTheme="minorEastAsia" w:hAnsiTheme="minorHAnsi"/>
          <w:noProof/>
          <w:lang w:val="en-US"/>
        </w:rPr>
      </w:pPr>
      <w:r w:rsidRPr="005028E4">
        <w:rPr>
          <w:highlight w:val="yellow"/>
        </w:rPr>
        <w:fldChar w:fldCharType="begin"/>
      </w:r>
      <w:r w:rsidRPr="005028E4">
        <w:rPr>
          <w:highlight w:val="yellow"/>
        </w:rPr>
        <w:instrText xml:space="preserve"> TOC \h \z \c "Slika" </w:instrText>
      </w:r>
      <w:r w:rsidRPr="005028E4">
        <w:rPr>
          <w:highlight w:val="yellow"/>
        </w:rPr>
        <w:fldChar w:fldCharType="separate"/>
      </w:r>
      <w:bookmarkStart w:id="791" w:name="_Toc53863201"/>
      <w:bookmarkStart w:id="792" w:name="_Toc53863202"/>
      <w:bookmarkStart w:id="793" w:name="_Toc53863203"/>
      <w:bookmarkStart w:id="794" w:name="_Toc53863204"/>
      <w:bookmarkStart w:id="795" w:name="_Toc53863205"/>
      <w:bookmarkStart w:id="796" w:name="_Toc53863206"/>
      <w:bookmarkStart w:id="797" w:name="_Toc53863207"/>
      <w:bookmarkStart w:id="798" w:name="_Toc53863208"/>
      <w:bookmarkStart w:id="799" w:name="_Toc53863209"/>
      <w:bookmarkStart w:id="800" w:name="_Toc53863210"/>
      <w:bookmarkStart w:id="801" w:name="_Toc53863211"/>
      <w:bookmarkStart w:id="802" w:name="_Toc53863212"/>
      <w:bookmarkStart w:id="803" w:name="_Toc53863213"/>
      <w:bookmarkStart w:id="804" w:name="_Toc53863214"/>
      <w:bookmarkStart w:id="805" w:name="_Toc53863215"/>
      <w:bookmarkStart w:id="806" w:name="_Toc53863216"/>
      <w:bookmarkStart w:id="807" w:name="_Toc53863217"/>
      <w:bookmarkStart w:id="808" w:name="_Toc53863218"/>
      <w:bookmarkStart w:id="809" w:name="_Toc53863219"/>
      <w:bookmarkStart w:id="810" w:name="_Toc53863220"/>
      <w:bookmarkStart w:id="811" w:name="_Toc53863221"/>
      <w:bookmarkStart w:id="812" w:name="_Toc53863222"/>
      <w:bookmarkStart w:id="813" w:name="_Toc53863223"/>
      <w:bookmarkStart w:id="814" w:name="_Toc53863224"/>
      <w:bookmarkStart w:id="815" w:name="_Toc53863225"/>
      <w:bookmarkStart w:id="816" w:name="_Toc53863226"/>
      <w:bookmarkStart w:id="817" w:name="_Toc53863227"/>
      <w:bookmarkStart w:id="818" w:name="_Toc53863228"/>
      <w:bookmarkStart w:id="819" w:name="_Toc53863229"/>
      <w:bookmarkStart w:id="820" w:name="_Toc53863230"/>
      <w:bookmarkStart w:id="821" w:name="_Toc53863231"/>
      <w:bookmarkStart w:id="822" w:name="_Toc53063952"/>
      <w:bookmarkStart w:id="823" w:name="_Toc53063953"/>
      <w:bookmarkStart w:id="824" w:name="_Toc53063954"/>
      <w:bookmarkStart w:id="825" w:name="_Toc53063955"/>
      <w:bookmarkStart w:id="826" w:name="_Toc53063956"/>
      <w:bookmarkStart w:id="827" w:name="_Toc53063957"/>
      <w:bookmarkStart w:id="828" w:name="_Toc53063958"/>
      <w:bookmarkStart w:id="829" w:name="_Toc53063959"/>
      <w:bookmarkStart w:id="830" w:name="_Toc53063960"/>
      <w:bookmarkStart w:id="831" w:name="_Toc53063961"/>
      <w:bookmarkStart w:id="832" w:name="_Toc53063962"/>
      <w:bookmarkStart w:id="833" w:name="_Toc53063963"/>
      <w:bookmarkStart w:id="834" w:name="_Toc53063964"/>
      <w:bookmarkStart w:id="835" w:name="_Toc53063965"/>
      <w:bookmarkStart w:id="836" w:name="_Toc53063966"/>
      <w:bookmarkStart w:id="837" w:name="_Toc53063967"/>
      <w:bookmarkStart w:id="838" w:name="_Toc53063968"/>
      <w:bookmarkStart w:id="839" w:name="_Toc53063969"/>
      <w:bookmarkStart w:id="840" w:name="_Toc53063970"/>
      <w:bookmarkStart w:id="841" w:name="_Toc53063971"/>
      <w:bookmarkStart w:id="842" w:name="_Toc53063972"/>
      <w:bookmarkStart w:id="843" w:name="_Toc53063973"/>
      <w:bookmarkStart w:id="844" w:name="_Toc52545238"/>
      <w:bookmarkStart w:id="845" w:name="_Toc53063974"/>
      <w:bookmarkStart w:id="846" w:name="_Toc52545239"/>
      <w:bookmarkStart w:id="847" w:name="_Toc52545240"/>
      <w:bookmarkStart w:id="848" w:name="_Toc52545241"/>
      <w:bookmarkStart w:id="849" w:name="_Toc52545242"/>
      <w:bookmarkStart w:id="850" w:name="_Toc52545243"/>
      <w:bookmarkStart w:id="851" w:name="_Toc52545244"/>
      <w:bookmarkStart w:id="852" w:name="_Toc52545245"/>
      <w:bookmarkStart w:id="853" w:name="_Toc52545246"/>
      <w:bookmarkStart w:id="854" w:name="_Toc52545247"/>
      <w:bookmarkStart w:id="855" w:name="_Toc52545248"/>
      <w:bookmarkStart w:id="856" w:name="_Toc52545249"/>
      <w:bookmarkStart w:id="857" w:name="_Toc52545250"/>
      <w:bookmarkStart w:id="858" w:name="_Toc52545251"/>
      <w:bookmarkStart w:id="859" w:name="_Toc52545252"/>
      <w:bookmarkStart w:id="860" w:name="_Toc52545253"/>
      <w:bookmarkStart w:id="861" w:name="_Toc52545254"/>
      <w:bookmarkStart w:id="862" w:name="_Toc52545255"/>
      <w:bookmarkStart w:id="863" w:name="_Toc52545256"/>
      <w:bookmarkStart w:id="864" w:name="_Toc52545257"/>
      <w:bookmarkStart w:id="865" w:name="_Toc52545258"/>
      <w:bookmarkStart w:id="866" w:name="_Toc52545259"/>
      <w:bookmarkStart w:id="867" w:name="_Toc52545260"/>
      <w:bookmarkStart w:id="868" w:name="_Toc52545261"/>
      <w:bookmarkStart w:id="869" w:name="_Toc52545262"/>
      <w:bookmarkStart w:id="870" w:name="_Toc52545263"/>
      <w:bookmarkStart w:id="871" w:name="_Toc53063975"/>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r w:rsidR="00B047B3" w:rsidRPr="00557BAF">
        <w:rPr>
          <w:rStyle w:val="Hyperlink"/>
          <w:noProof/>
        </w:rPr>
        <w:fldChar w:fldCharType="begin"/>
      </w:r>
      <w:r w:rsidR="00B047B3" w:rsidRPr="00557BAF">
        <w:rPr>
          <w:rStyle w:val="Hyperlink"/>
          <w:noProof/>
        </w:rPr>
        <w:instrText xml:space="preserve"> </w:instrText>
      </w:r>
      <w:r w:rsidR="00B047B3">
        <w:rPr>
          <w:noProof/>
        </w:rPr>
        <w:instrText>HYPERLINK \l "_Toc54261693"</w:instrText>
      </w:r>
      <w:r w:rsidR="00B047B3" w:rsidRPr="00557BAF">
        <w:rPr>
          <w:rStyle w:val="Hyperlink"/>
          <w:noProof/>
        </w:rPr>
        <w:instrText xml:space="preserve"> </w:instrText>
      </w:r>
      <w:r w:rsidR="00B047B3" w:rsidRPr="00557BAF">
        <w:rPr>
          <w:rStyle w:val="Hyperlink"/>
          <w:noProof/>
        </w:rPr>
        <w:fldChar w:fldCharType="separate"/>
      </w:r>
      <w:r w:rsidR="00B047B3" w:rsidRPr="00557BAF">
        <w:rPr>
          <w:rStyle w:val="Hyperlink"/>
          <w:noProof/>
        </w:rPr>
        <w:t>Slika 1 - Dostupnost širokopojasnog pristupa u Republici Hrvatskoj u odnosu na prosjek EU-a</w:t>
      </w:r>
      <w:r w:rsidR="00B047B3">
        <w:rPr>
          <w:noProof/>
          <w:webHidden/>
        </w:rPr>
        <w:tab/>
      </w:r>
      <w:r w:rsidR="00B047B3">
        <w:rPr>
          <w:noProof/>
          <w:webHidden/>
        </w:rPr>
        <w:fldChar w:fldCharType="begin"/>
      </w:r>
      <w:r w:rsidR="00B047B3">
        <w:rPr>
          <w:noProof/>
          <w:webHidden/>
        </w:rPr>
        <w:instrText xml:space="preserve"> PAGEREF _Toc54261693 \h </w:instrText>
      </w:r>
      <w:r w:rsidR="00B047B3">
        <w:rPr>
          <w:noProof/>
          <w:webHidden/>
        </w:rPr>
      </w:r>
      <w:r w:rsidR="00B047B3">
        <w:rPr>
          <w:noProof/>
          <w:webHidden/>
        </w:rPr>
        <w:fldChar w:fldCharType="separate"/>
      </w:r>
      <w:r w:rsidR="00B047B3">
        <w:rPr>
          <w:noProof/>
          <w:webHidden/>
        </w:rPr>
        <w:t>8</w:t>
      </w:r>
      <w:r w:rsidR="00B047B3">
        <w:rPr>
          <w:noProof/>
          <w:webHidden/>
        </w:rPr>
        <w:fldChar w:fldCharType="end"/>
      </w:r>
      <w:r w:rsidR="00B047B3" w:rsidRPr="00557BAF">
        <w:rPr>
          <w:rStyle w:val="Hyperlink"/>
          <w:noProof/>
        </w:rPr>
        <w:fldChar w:fldCharType="end"/>
      </w:r>
    </w:p>
    <w:p w:rsidR="00B047B3" w:rsidRDefault="00864638">
      <w:pPr>
        <w:pStyle w:val="TableofFigures"/>
        <w:tabs>
          <w:tab w:val="right" w:leader="dot" w:pos="9062"/>
        </w:tabs>
        <w:rPr>
          <w:rFonts w:asciiTheme="minorHAnsi" w:eastAsiaTheme="minorEastAsia" w:hAnsiTheme="minorHAnsi"/>
          <w:noProof/>
          <w:lang w:val="en-US"/>
        </w:rPr>
      </w:pPr>
      <w:hyperlink w:anchor="_Toc54261694" w:history="1">
        <w:r w:rsidR="00B047B3" w:rsidRPr="00557BAF">
          <w:rPr>
            <w:rStyle w:val="Hyperlink"/>
            <w:noProof/>
          </w:rPr>
          <w:t>Slika 2 - Prosječna gustoća priključaka putem nepokretne mreže (Izvor: HAKOM)</w:t>
        </w:r>
        <w:r w:rsidR="00B047B3">
          <w:rPr>
            <w:noProof/>
            <w:webHidden/>
          </w:rPr>
          <w:tab/>
        </w:r>
        <w:r w:rsidR="00B047B3">
          <w:rPr>
            <w:noProof/>
            <w:webHidden/>
          </w:rPr>
          <w:fldChar w:fldCharType="begin"/>
        </w:r>
        <w:r w:rsidR="00B047B3">
          <w:rPr>
            <w:noProof/>
            <w:webHidden/>
          </w:rPr>
          <w:instrText xml:space="preserve"> PAGEREF _Toc54261694 \h </w:instrText>
        </w:r>
        <w:r w:rsidR="00B047B3">
          <w:rPr>
            <w:noProof/>
            <w:webHidden/>
          </w:rPr>
        </w:r>
        <w:r w:rsidR="00B047B3">
          <w:rPr>
            <w:noProof/>
            <w:webHidden/>
          </w:rPr>
          <w:fldChar w:fldCharType="separate"/>
        </w:r>
        <w:r w:rsidR="00B047B3">
          <w:rPr>
            <w:noProof/>
            <w:webHidden/>
          </w:rPr>
          <w:t>9</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695" w:history="1">
        <w:r w:rsidR="00B047B3" w:rsidRPr="00557BAF">
          <w:rPr>
            <w:rStyle w:val="Hyperlink"/>
            <w:noProof/>
          </w:rPr>
          <w:t>Slika 3 - Gustoća priključaka širokopojasnog pristupa po županijama (Izvor: HAKOM)</w:t>
        </w:r>
        <w:r w:rsidR="00B047B3">
          <w:rPr>
            <w:noProof/>
            <w:webHidden/>
          </w:rPr>
          <w:tab/>
        </w:r>
        <w:r w:rsidR="00B047B3">
          <w:rPr>
            <w:noProof/>
            <w:webHidden/>
          </w:rPr>
          <w:fldChar w:fldCharType="begin"/>
        </w:r>
        <w:r w:rsidR="00B047B3">
          <w:rPr>
            <w:noProof/>
            <w:webHidden/>
          </w:rPr>
          <w:instrText xml:space="preserve"> PAGEREF _Toc54261695 \h </w:instrText>
        </w:r>
        <w:r w:rsidR="00B047B3">
          <w:rPr>
            <w:noProof/>
            <w:webHidden/>
          </w:rPr>
        </w:r>
        <w:r w:rsidR="00B047B3">
          <w:rPr>
            <w:noProof/>
            <w:webHidden/>
          </w:rPr>
          <w:fldChar w:fldCharType="separate"/>
        </w:r>
        <w:r w:rsidR="00B047B3">
          <w:rPr>
            <w:noProof/>
            <w:webHidden/>
          </w:rPr>
          <w:t>10</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696" w:history="1">
        <w:r w:rsidR="00B047B3" w:rsidRPr="00557BAF">
          <w:rPr>
            <w:rStyle w:val="Hyperlink"/>
            <w:noProof/>
          </w:rPr>
          <w:t>Slika 4 - Raspodjela korištenja pojedinih načina širokopojasnog pristupa internetu (Izvor: HAKOM)</w:t>
        </w:r>
        <w:r w:rsidR="00B047B3">
          <w:rPr>
            <w:noProof/>
            <w:webHidden/>
          </w:rPr>
          <w:tab/>
        </w:r>
        <w:r w:rsidR="00B047B3">
          <w:rPr>
            <w:noProof/>
            <w:webHidden/>
          </w:rPr>
          <w:fldChar w:fldCharType="begin"/>
        </w:r>
        <w:r w:rsidR="00B047B3">
          <w:rPr>
            <w:noProof/>
            <w:webHidden/>
          </w:rPr>
          <w:instrText xml:space="preserve"> PAGEREF _Toc54261696 \h </w:instrText>
        </w:r>
        <w:r w:rsidR="00B047B3">
          <w:rPr>
            <w:noProof/>
            <w:webHidden/>
          </w:rPr>
        </w:r>
        <w:r w:rsidR="00B047B3">
          <w:rPr>
            <w:noProof/>
            <w:webHidden/>
          </w:rPr>
          <w:fldChar w:fldCharType="separate"/>
        </w:r>
        <w:r w:rsidR="00B047B3">
          <w:rPr>
            <w:noProof/>
            <w:webHidden/>
          </w:rPr>
          <w:t>11</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697" w:history="1">
        <w:r w:rsidR="00B047B3" w:rsidRPr="00557BAF">
          <w:rPr>
            <w:rStyle w:val="Hyperlink"/>
            <w:noProof/>
          </w:rPr>
          <w:t>Slika 5 - Raspodjela širokopojasnih priključaka prema brzinama pristupa (Izvor: HAKOM)</w:t>
        </w:r>
        <w:r w:rsidR="00B047B3">
          <w:rPr>
            <w:noProof/>
            <w:webHidden/>
          </w:rPr>
          <w:tab/>
        </w:r>
        <w:r w:rsidR="00B047B3">
          <w:rPr>
            <w:noProof/>
            <w:webHidden/>
          </w:rPr>
          <w:fldChar w:fldCharType="begin"/>
        </w:r>
        <w:r w:rsidR="00B047B3">
          <w:rPr>
            <w:noProof/>
            <w:webHidden/>
          </w:rPr>
          <w:instrText xml:space="preserve"> PAGEREF _Toc54261697 \h </w:instrText>
        </w:r>
        <w:r w:rsidR="00B047B3">
          <w:rPr>
            <w:noProof/>
            <w:webHidden/>
          </w:rPr>
        </w:r>
        <w:r w:rsidR="00B047B3">
          <w:rPr>
            <w:noProof/>
            <w:webHidden/>
          </w:rPr>
          <w:fldChar w:fldCharType="separate"/>
        </w:r>
        <w:r w:rsidR="00B047B3">
          <w:rPr>
            <w:noProof/>
            <w:webHidden/>
          </w:rPr>
          <w:t>12</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698" w:history="1">
        <w:r w:rsidR="00B047B3" w:rsidRPr="00557BAF">
          <w:rPr>
            <w:rStyle w:val="Hyperlink"/>
            <w:noProof/>
          </w:rPr>
          <w:t>Slika 6 - Tržišni udjeli na maloprodajnom tržištu širokopojasnog pristupa (Izvor: HAKOM)</w:t>
        </w:r>
        <w:r w:rsidR="00B047B3">
          <w:rPr>
            <w:noProof/>
            <w:webHidden/>
          </w:rPr>
          <w:tab/>
        </w:r>
        <w:r w:rsidR="00B047B3">
          <w:rPr>
            <w:noProof/>
            <w:webHidden/>
          </w:rPr>
          <w:fldChar w:fldCharType="begin"/>
        </w:r>
        <w:r w:rsidR="00B047B3">
          <w:rPr>
            <w:noProof/>
            <w:webHidden/>
          </w:rPr>
          <w:instrText xml:space="preserve"> PAGEREF _Toc54261698 \h </w:instrText>
        </w:r>
        <w:r w:rsidR="00B047B3">
          <w:rPr>
            <w:noProof/>
            <w:webHidden/>
          </w:rPr>
        </w:r>
        <w:r w:rsidR="00B047B3">
          <w:rPr>
            <w:noProof/>
            <w:webHidden/>
          </w:rPr>
          <w:fldChar w:fldCharType="separate"/>
        </w:r>
        <w:r w:rsidR="00B047B3">
          <w:rPr>
            <w:noProof/>
            <w:webHidden/>
          </w:rPr>
          <w:t>12</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699" w:history="1">
        <w:r w:rsidR="00B047B3" w:rsidRPr="00557BAF">
          <w:rPr>
            <w:rStyle w:val="Hyperlink"/>
            <w:noProof/>
          </w:rPr>
          <w:t>Slika 7 - Broj veleprodajnih priključaka prema vrsti veleprodajne usluge (Izvor: HAKOM)</w:t>
        </w:r>
        <w:r w:rsidR="00B047B3">
          <w:rPr>
            <w:noProof/>
            <w:webHidden/>
          </w:rPr>
          <w:tab/>
        </w:r>
        <w:r w:rsidR="00B047B3">
          <w:rPr>
            <w:noProof/>
            <w:webHidden/>
          </w:rPr>
          <w:fldChar w:fldCharType="begin"/>
        </w:r>
        <w:r w:rsidR="00B047B3">
          <w:rPr>
            <w:noProof/>
            <w:webHidden/>
          </w:rPr>
          <w:instrText xml:space="preserve"> PAGEREF _Toc54261699 \h </w:instrText>
        </w:r>
        <w:r w:rsidR="00B047B3">
          <w:rPr>
            <w:noProof/>
            <w:webHidden/>
          </w:rPr>
        </w:r>
        <w:r w:rsidR="00B047B3">
          <w:rPr>
            <w:noProof/>
            <w:webHidden/>
          </w:rPr>
          <w:fldChar w:fldCharType="separate"/>
        </w:r>
        <w:r w:rsidR="00B047B3">
          <w:rPr>
            <w:noProof/>
            <w:webHidden/>
          </w:rPr>
          <w:t>13</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0" w:history="1">
        <w:r w:rsidR="00B047B3" w:rsidRPr="00557BAF">
          <w:rPr>
            <w:rStyle w:val="Hyperlink"/>
            <w:noProof/>
          </w:rPr>
          <w:t>Slika 8 - Bitstream usluge ovisno o pristupnoj mreži (Izvor: HAKOM)</w:t>
        </w:r>
        <w:r w:rsidR="00B047B3">
          <w:rPr>
            <w:noProof/>
            <w:webHidden/>
          </w:rPr>
          <w:tab/>
        </w:r>
        <w:r w:rsidR="00B047B3">
          <w:rPr>
            <w:noProof/>
            <w:webHidden/>
          </w:rPr>
          <w:fldChar w:fldCharType="begin"/>
        </w:r>
        <w:r w:rsidR="00B047B3">
          <w:rPr>
            <w:noProof/>
            <w:webHidden/>
          </w:rPr>
          <w:instrText xml:space="preserve"> PAGEREF _Toc54261700 \h </w:instrText>
        </w:r>
        <w:r w:rsidR="00B047B3">
          <w:rPr>
            <w:noProof/>
            <w:webHidden/>
          </w:rPr>
        </w:r>
        <w:r w:rsidR="00B047B3">
          <w:rPr>
            <w:noProof/>
            <w:webHidden/>
          </w:rPr>
          <w:fldChar w:fldCharType="separate"/>
        </w:r>
        <w:r w:rsidR="00B047B3">
          <w:rPr>
            <w:noProof/>
            <w:webHidden/>
          </w:rPr>
          <w:t>14</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1" w:history="1">
        <w:r w:rsidR="00B047B3" w:rsidRPr="00557BAF">
          <w:rPr>
            <w:rStyle w:val="Hyperlink"/>
            <w:noProof/>
          </w:rPr>
          <w:t>Slika 9 - Broj korisnika usluga naplatne televizije u RH po tehnologijama (Izvor: HAKOM)</w:t>
        </w:r>
        <w:r w:rsidR="00B047B3">
          <w:rPr>
            <w:noProof/>
            <w:webHidden/>
          </w:rPr>
          <w:tab/>
        </w:r>
        <w:r w:rsidR="00B047B3">
          <w:rPr>
            <w:noProof/>
            <w:webHidden/>
          </w:rPr>
          <w:fldChar w:fldCharType="begin"/>
        </w:r>
        <w:r w:rsidR="00B047B3">
          <w:rPr>
            <w:noProof/>
            <w:webHidden/>
          </w:rPr>
          <w:instrText xml:space="preserve"> PAGEREF _Toc54261701 \h </w:instrText>
        </w:r>
        <w:r w:rsidR="00B047B3">
          <w:rPr>
            <w:noProof/>
            <w:webHidden/>
          </w:rPr>
        </w:r>
        <w:r w:rsidR="00B047B3">
          <w:rPr>
            <w:noProof/>
            <w:webHidden/>
          </w:rPr>
          <w:fldChar w:fldCharType="separate"/>
        </w:r>
        <w:r w:rsidR="00B047B3">
          <w:rPr>
            <w:noProof/>
            <w:webHidden/>
          </w:rPr>
          <w:t>14</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2" w:history="1">
        <w:r w:rsidR="00B047B3" w:rsidRPr="00557BAF">
          <w:rPr>
            <w:rStyle w:val="Hyperlink"/>
            <w:noProof/>
          </w:rPr>
          <w:t>Slika 10 - Tržišni udjeli na tržištu IPTV usluge (Izvor: HAKOM)</w:t>
        </w:r>
        <w:r w:rsidR="00B047B3">
          <w:rPr>
            <w:noProof/>
            <w:webHidden/>
          </w:rPr>
          <w:tab/>
        </w:r>
        <w:r w:rsidR="00B047B3">
          <w:rPr>
            <w:noProof/>
            <w:webHidden/>
          </w:rPr>
          <w:fldChar w:fldCharType="begin"/>
        </w:r>
        <w:r w:rsidR="00B047B3">
          <w:rPr>
            <w:noProof/>
            <w:webHidden/>
          </w:rPr>
          <w:instrText xml:space="preserve"> PAGEREF _Toc54261702 \h </w:instrText>
        </w:r>
        <w:r w:rsidR="00B047B3">
          <w:rPr>
            <w:noProof/>
            <w:webHidden/>
          </w:rPr>
        </w:r>
        <w:r w:rsidR="00B047B3">
          <w:rPr>
            <w:noProof/>
            <w:webHidden/>
          </w:rPr>
          <w:fldChar w:fldCharType="separate"/>
        </w:r>
        <w:r w:rsidR="00B047B3">
          <w:rPr>
            <w:noProof/>
            <w:webHidden/>
          </w:rPr>
          <w:t>15</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3" w:history="1">
        <w:r w:rsidR="00B047B3" w:rsidRPr="00557BAF">
          <w:rPr>
            <w:rStyle w:val="Hyperlink"/>
            <w:noProof/>
          </w:rPr>
          <w:t>Slika 11- Struktura Troškovnog modela (izvor: Axon)</w:t>
        </w:r>
        <w:r w:rsidR="00B047B3">
          <w:rPr>
            <w:noProof/>
            <w:webHidden/>
          </w:rPr>
          <w:tab/>
        </w:r>
        <w:r w:rsidR="00B047B3">
          <w:rPr>
            <w:noProof/>
            <w:webHidden/>
          </w:rPr>
          <w:fldChar w:fldCharType="begin"/>
        </w:r>
        <w:r w:rsidR="00B047B3">
          <w:rPr>
            <w:noProof/>
            <w:webHidden/>
          </w:rPr>
          <w:instrText xml:space="preserve"> PAGEREF _Toc54261703 \h </w:instrText>
        </w:r>
        <w:r w:rsidR="00B047B3">
          <w:rPr>
            <w:noProof/>
            <w:webHidden/>
          </w:rPr>
        </w:r>
        <w:r w:rsidR="00B047B3">
          <w:rPr>
            <w:noProof/>
            <w:webHidden/>
          </w:rPr>
          <w:fldChar w:fldCharType="separate"/>
        </w:r>
        <w:r w:rsidR="00B047B3">
          <w:rPr>
            <w:noProof/>
            <w:webHidden/>
          </w:rPr>
          <w:t>19</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4" w:history="1">
        <w:r w:rsidR="00B047B3" w:rsidRPr="00557BAF">
          <w:rPr>
            <w:rStyle w:val="Hyperlink"/>
            <w:noProof/>
          </w:rPr>
          <w:sym w:font="Wingdings 2" w:char="F026"/>
        </w:r>
        <w:r w:rsidR="00B047B3" w:rsidRPr="00557BAF">
          <w:rPr>
            <w:rStyle w:val="Hyperlink"/>
            <w:noProof/>
          </w:rPr>
          <w:t>Slika 12 - Broj pokrivenih korisničkih jedinica po pristupnoj mreži (izvor: HAKOM na temelju podataka operatora)</w:t>
        </w:r>
        <w:r w:rsidR="00B047B3">
          <w:rPr>
            <w:noProof/>
            <w:webHidden/>
          </w:rPr>
          <w:tab/>
        </w:r>
        <w:r w:rsidR="00B047B3">
          <w:rPr>
            <w:noProof/>
            <w:webHidden/>
          </w:rPr>
          <w:fldChar w:fldCharType="begin"/>
        </w:r>
        <w:r w:rsidR="00B047B3">
          <w:rPr>
            <w:noProof/>
            <w:webHidden/>
          </w:rPr>
          <w:instrText xml:space="preserve"> PAGEREF _Toc54261704 \h </w:instrText>
        </w:r>
        <w:r w:rsidR="00B047B3">
          <w:rPr>
            <w:noProof/>
            <w:webHidden/>
          </w:rPr>
        </w:r>
        <w:r w:rsidR="00B047B3">
          <w:rPr>
            <w:noProof/>
            <w:webHidden/>
          </w:rPr>
          <w:fldChar w:fldCharType="separate"/>
        </w:r>
        <w:r w:rsidR="00B047B3">
          <w:rPr>
            <w:noProof/>
            <w:webHidden/>
          </w:rPr>
          <w:t>21</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5" w:history="1">
        <w:r w:rsidR="00B047B3" w:rsidRPr="00557BAF">
          <w:rPr>
            <w:rStyle w:val="Hyperlink"/>
            <w:noProof/>
          </w:rPr>
          <w:sym w:font="Wingdings 2" w:char="F026"/>
        </w:r>
        <w:r w:rsidR="00B047B3" w:rsidRPr="00557BAF">
          <w:rPr>
            <w:rStyle w:val="Hyperlink"/>
            <w:noProof/>
          </w:rPr>
          <w:t>Slika 13 - Potražnja usluga pristupa prema pristupnoj mreži u razdoblju 2017-2027. (Izvor: HAKOM osnovu podataka operatora)</w:t>
        </w:r>
        <w:r w:rsidR="00B047B3">
          <w:rPr>
            <w:noProof/>
            <w:webHidden/>
          </w:rPr>
          <w:tab/>
        </w:r>
        <w:r w:rsidR="00B047B3">
          <w:rPr>
            <w:noProof/>
            <w:webHidden/>
          </w:rPr>
          <w:fldChar w:fldCharType="begin"/>
        </w:r>
        <w:r w:rsidR="00B047B3">
          <w:rPr>
            <w:noProof/>
            <w:webHidden/>
          </w:rPr>
          <w:instrText xml:space="preserve"> PAGEREF _Toc54261705 \h </w:instrText>
        </w:r>
        <w:r w:rsidR="00B047B3">
          <w:rPr>
            <w:noProof/>
            <w:webHidden/>
          </w:rPr>
        </w:r>
        <w:r w:rsidR="00B047B3">
          <w:rPr>
            <w:noProof/>
            <w:webHidden/>
          </w:rPr>
          <w:fldChar w:fldCharType="separate"/>
        </w:r>
        <w:r w:rsidR="00B047B3">
          <w:rPr>
            <w:noProof/>
            <w:webHidden/>
          </w:rPr>
          <w:t>22</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6" w:history="1">
        <w:r w:rsidR="00B047B3" w:rsidRPr="00557BAF">
          <w:rPr>
            <w:rStyle w:val="Hyperlink"/>
            <w:noProof/>
          </w:rPr>
          <w:sym w:font="Wingdings 2" w:char="F026"/>
        </w:r>
        <w:r w:rsidR="00B047B3" w:rsidRPr="00557BAF">
          <w:rPr>
            <w:rStyle w:val="Hyperlink"/>
            <w:noProof/>
          </w:rPr>
          <w:t>Slika 14 - Take up usluga pristupa po pristupnoj mreži u periodu 2017-2027. (Izvor: HAKOM na osnovu na podataka operatora)</w:t>
        </w:r>
        <w:r w:rsidR="00B047B3">
          <w:rPr>
            <w:noProof/>
            <w:webHidden/>
          </w:rPr>
          <w:tab/>
        </w:r>
        <w:r w:rsidR="00B047B3">
          <w:rPr>
            <w:noProof/>
            <w:webHidden/>
          </w:rPr>
          <w:fldChar w:fldCharType="begin"/>
        </w:r>
        <w:r w:rsidR="00B047B3">
          <w:rPr>
            <w:noProof/>
            <w:webHidden/>
          </w:rPr>
          <w:instrText xml:space="preserve"> PAGEREF _Toc54261706 \h </w:instrText>
        </w:r>
        <w:r w:rsidR="00B047B3">
          <w:rPr>
            <w:noProof/>
            <w:webHidden/>
          </w:rPr>
        </w:r>
        <w:r w:rsidR="00B047B3">
          <w:rPr>
            <w:noProof/>
            <w:webHidden/>
          </w:rPr>
          <w:fldChar w:fldCharType="separate"/>
        </w:r>
        <w:r w:rsidR="00B047B3">
          <w:rPr>
            <w:noProof/>
            <w:webHidden/>
          </w:rPr>
          <w:t>22</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7" w:history="1">
        <w:r w:rsidR="00B047B3" w:rsidRPr="00557BAF">
          <w:rPr>
            <w:rStyle w:val="Hyperlink"/>
            <w:noProof/>
          </w:rPr>
          <w:sym w:font="Wingdings 2" w:char="F026"/>
        </w:r>
        <w:r w:rsidR="00B047B3" w:rsidRPr="00557BAF">
          <w:rPr>
            <w:rStyle w:val="Hyperlink"/>
            <w:noProof/>
          </w:rPr>
          <w:t>Slika 15 - Potražnja za uslugama na bakrenoj mreži u područjima koja nisu pokrivena svjetlovodnom mrežom (Izvor: HAKOM na osnovu podataka operatora)</w:t>
        </w:r>
        <w:r w:rsidR="00B047B3">
          <w:rPr>
            <w:noProof/>
            <w:webHidden/>
          </w:rPr>
          <w:tab/>
        </w:r>
        <w:r w:rsidR="00B047B3">
          <w:rPr>
            <w:noProof/>
            <w:webHidden/>
          </w:rPr>
          <w:fldChar w:fldCharType="begin"/>
        </w:r>
        <w:r w:rsidR="00B047B3">
          <w:rPr>
            <w:noProof/>
            <w:webHidden/>
          </w:rPr>
          <w:instrText xml:space="preserve"> PAGEREF _Toc54261707 \h </w:instrText>
        </w:r>
        <w:r w:rsidR="00B047B3">
          <w:rPr>
            <w:noProof/>
            <w:webHidden/>
          </w:rPr>
        </w:r>
        <w:r w:rsidR="00B047B3">
          <w:rPr>
            <w:noProof/>
            <w:webHidden/>
          </w:rPr>
          <w:fldChar w:fldCharType="separate"/>
        </w:r>
        <w:r w:rsidR="00B047B3">
          <w:rPr>
            <w:noProof/>
            <w:webHidden/>
          </w:rPr>
          <w:t>26</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8" w:history="1">
        <w:r w:rsidR="00B047B3" w:rsidRPr="00557BAF">
          <w:rPr>
            <w:rStyle w:val="Hyperlink"/>
            <w:noProof/>
          </w:rPr>
          <w:sym w:font="Wingdings 2" w:char="F026"/>
        </w:r>
        <w:r w:rsidR="00B047B3" w:rsidRPr="00557BAF">
          <w:rPr>
            <w:rStyle w:val="Hyperlink"/>
            <w:noProof/>
          </w:rPr>
          <w:t>Slika 16 – Širokopojasni promet u razdoblju 2017-2027 (Izvor: HAKOM na osnovu podataka operatora)</w:t>
        </w:r>
        <w:r w:rsidR="00B047B3">
          <w:rPr>
            <w:noProof/>
            <w:webHidden/>
          </w:rPr>
          <w:tab/>
        </w:r>
        <w:r w:rsidR="00B047B3">
          <w:rPr>
            <w:noProof/>
            <w:webHidden/>
          </w:rPr>
          <w:fldChar w:fldCharType="begin"/>
        </w:r>
        <w:r w:rsidR="00B047B3">
          <w:rPr>
            <w:noProof/>
            <w:webHidden/>
          </w:rPr>
          <w:instrText xml:space="preserve"> PAGEREF _Toc54261708 \h </w:instrText>
        </w:r>
        <w:r w:rsidR="00B047B3">
          <w:rPr>
            <w:noProof/>
            <w:webHidden/>
          </w:rPr>
        </w:r>
        <w:r w:rsidR="00B047B3">
          <w:rPr>
            <w:noProof/>
            <w:webHidden/>
          </w:rPr>
          <w:fldChar w:fldCharType="separate"/>
        </w:r>
        <w:r w:rsidR="00B047B3">
          <w:rPr>
            <w:noProof/>
            <w:webHidden/>
          </w:rPr>
          <w:t>26</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09" w:history="1">
        <w:r w:rsidR="00B047B3" w:rsidRPr="00557BAF">
          <w:rPr>
            <w:rStyle w:val="Hyperlink"/>
            <w:noProof/>
          </w:rPr>
          <w:t>Slika 17 - Arhitektura vanjskog modela razvijenog u R-u za geografsku analizu (izvor: Axon)</w:t>
        </w:r>
        <w:r w:rsidR="00B047B3">
          <w:rPr>
            <w:noProof/>
            <w:webHidden/>
          </w:rPr>
          <w:tab/>
        </w:r>
        <w:r w:rsidR="00B047B3">
          <w:rPr>
            <w:noProof/>
            <w:webHidden/>
          </w:rPr>
          <w:fldChar w:fldCharType="begin"/>
        </w:r>
        <w:r w:rsidR="00B047B3">
          <w:rPr>
            <w:noProof/>
            <w:webHidden/>
          </w:rPr>
          <w:instrText xml:space="preserve"> PAGEREF _Toc54261709 \h </w:instrText>
        </w:r>
        <w:r w:rsidR="00B047B3">
          <w:rPr>
            <w:noProof/>
            <w:webHidden/>
          </w:rPr>
        </w:r>
        <w:r w:rsidR="00B047B3">
          <w:rPr>
            <w:noProof/>
            <w:webHidden/>
          </w:rPr>
          <w:fldChar w:fldCharType="separate"/>
        </w:r>
        <w:r w:rsidR="00B047B3">
          <w:rPr>
            <w:noProof/>
            <w:webHidden/>
          </w:rPr>
          <w:t>33</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0" w:history="1">
        <w:r w:rsidR="00B047B3" w:rsidRPr="00557BAF">
          <w:rPr>
            <w:rStyle w:val="Hyperlink"/>
            <w:noProof/>
          </w:rPr>
          <w:t>Slika 18 - Izvadak zgrada iz SRPJ-a (izvor: Axon na osnovu podataka DGU-a)</w:t>
        </w:r>
        <w:r w:rsidR="00B047B3">
          <w:rPr>
            <w:noProof/>
            <w:webHidden/>
          </w:rPr>
          <w:tab/>
        </w:r>
        <w:r w:rsidR="00B047B3">
          <w:rPr>
            <w:noProof/>
            <w:webHidden/>
          </w:rPr>
          <w:fldChar w:fldCharType="begin"/>
        </w:r>
        <w:r w:rsidR="00B047B3">
          <w:rPr>
            <w:noProof/>
            <w:webHidden/>
          </w:rPr>
          <w:instrText xml:space="preserve"> PAGEREF _Toc54261710 \h </w:instrText>
        </w:r>
        <w:r w:rsidR="00B047B3">
          <w:rPr>
            <w:noProof/>
            <w:webHidden/>
          </w:rPr>
        </w:r>
        <w:r w:rsidR="00B047B3">
          <w:rPr>
            <w:noProof/>
            <w:webHidden/>
          </w:rPr>
          <w:fldChar w:fldCharType="separate"/>
        </w:r>
        <w:r w:rsidR="00B047B3">
          <w:rPr>
            <w:noProof/>
            <w:webHidden/>
          </w:rPr>
          <w:t>35</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1" w:history="1">
        <w:r w:rsidR="00B047B3" w:rsidRPr="00557BAF">
          <w:rPr>
            <w:rStyle w:val="Hyperlink"/>
            <w:noProof/>
          </w:rPr>
          <w:t>Slika 19 - Izvadak iz HT-ove GIS EKI baze (izvor: Axon na osnovu podataka HT-a)</w:t>
        </w:r>
        <w:r w:rsidR="00B047B3">
          <w:rPr>
            <w:noProof/>
            <w:webHidden/>
          </w:rPr>
          <w:tab/>
        </w:r>
        <w:r w:rsidR="00B047B3">
          <w:rPr>
            <w:noProof/>
            <w:webHidden/>
          </w:rPr>
          <w:fldChar w:fldCharType="begin"/>
        </w:r>
        <w:r w:rsidR="00B047B3">
          <w:rPr>
            <w:noProof/>
            <w:webHidden/>
          </w:rPr>
          <w:instrText xml:space="preserve"> PAGEREF _Toc54261711 \h </w:instrText>
        </w:r>
        <w:r w:rsidR="00B047B3">
          <w:rPr>
            <w:noProof/>
            <w:webHidden/>
          </w:rPr>
        </w:r>
        <w:r w:rsidR="00B047B3">
          <w:rPr>
            <w:noProof/>
            <w:webHidden/>
          </w:rPr>
          <w:fldChar w:fldCharType="separate"/>
        </w:r>
        <w:r w:rsidR="00B047B3">
          <w:rPr>
            <w:noProof/>
            <w:webHidden/>
          </w:rPr>
          <w:t>36</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2" w:history="1">
        <w:r w:rsidR="00B047B3" w:rsidRPr="00557BAF">
          <w:rPr>
            <w:rStyle w:val="Hyperlink"/>
            <w:noProof/>
          </w:rPr>
          <w:t>Slika 20 - Primjer MDF-ova i njihovih područja pokrivanja (izvor: Axon na osnovu podataka HT-a)</w:t>
        </w:r>
        <w:r w:rsidR="00B047B3">
          <w:rPr>
            <w:noProof/>
            <w:webHidden/>
          </w:rPr>
          <w:tab/>
        </w:r>
        <w:r w:rsidR="00B047B3">
          <w:rPr>
            <w:noProof/>
            <w:webHidden/>
          </w:rPr>
          <w:fldChar w:fldCharType="begin"/>
        </w:r>
        <w:r w:rsidR="00B047B3">
          <w:rPr>
            <w:noProof/>
            <w:webHidden/>
          </w:rPr>
          <w:instrText xml:space="preserve"> PAGEREF _Toc54261712 \h </w:instrText>
        </w:r>
        <w:r w:rsidR="00B047B3">
          <w:rPr>
            <w:noProof/>
            <w:webHidden/>
          </w:rPr>
        </w:r>
        <w:r w:rsidR="00B047B3">
          <w:rPr>
            <w:noProof/>
            <w:webHidden/>
          </w:rPr>
          <w:fldChar w:fldCharType="separate"/>
        </w:r>
        <w:r w:rsidR="00B047B3">
          <w:rPr>
            <w:noProof/>
            <w:webHidden/>
          </w:rPr>
          <w:t>37</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3" w:history="1">
        <w:r w:rsidR="00B047B3" w:rsidRPr="00557BAF">
          <w:rPr>
            <w:rStyle w:val="Hyperlink"/>
            <w:noProof/>
          </w:rPr>
          <w:t>Slika 21 - Primjer veza između zgrada i izvoda (DP) kod bakrene mreže (Izvor: Axon)</w:t>
        </w:r>
        <w:r w:rsidR="00B047B3">
          <w:rPr>
            <w:noProof/>
            <w:webHidden/>
          </w:rPr>
          <w:tab/>
        </w:r>
        <w:r w:rsidR="00B047B3">
          <w:rPr>
            <w:noProof/>
            <w:webHidden/>
          </w:rPr>
          <w:fldChar w:fldCharType="begin"/>
        </w:r>
        <w:r w:rsidR="00B047B3">
          <w:rPr>
            <w:noProof/>
            <w:webHidden/>
          </w:rPr>
          <w:instrText xml:space="preserve"> PAGEREF _Toc54261713 \h </w:instrText>
        </w:r>
        <w:r w:rsidR="00B047B3">
          <w:rPr>
            <w:noProof/>
            <w:webHidden/>
          </w:rPr>
        </w:r>
        <w:r w:rsidR="00B047B3">
          <w:rPr>
            <w:noProof/>
            <w:webHidden/>
          </w:rPr>
          <w:fldChar w:fldCharType="separate"/>
        </w:r>
        <w:r w:rsidR="00B047B3">
          <w:rPr>
            <w:noProof/>
            <w:webHidden/>
          </w:rPr>
          <w:t>38</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4" w:history="1">
        <w:r w:rsidR="00B047B3" w:rsidRPr="00557BAF">
          <w:rPr>
            <w:rStyle w:val="Hyperlink"/>
            <w:noProof/>
          </w:rPr>
          <w:t>Slika 22 - Primjer pridruživanja DP-ova MDF-ovima (Izvor: Axon)</w:t>
        </w:r>
        <w:r w:rsidR="00B047B3">
          <w:rPr>
            <w:noProof/>
            <w:webHidden/>
          </w:rPr>
          <w:tab/>
        </w:r>
        <w:r w:rsidR="00B047B3">
          <w:rPr>
            <w:noProof/>
            <w:webHidden/>
          </w:rPr>
          <w:fldChar w:fldCharType="begin"/>
        </w:r>
        <w:r w:rsidR="00B047B3">
          <w:rPr>
            <w:noProof/>
            <w:webHidden/>
          </w:rPr>
          <w:instrText xml:space="preserve"> PAGEREF _Toc54261714 \h </w:instrText>
        </w:r>
        <w:r w:rsidR="00B047B3">
          <w:rPr>
            <w:noProof/>
            <w:webHidden/>
          </w:rPr>
        </w:r>
        <w:r w:rsidR="00B047B3">
          <w:rPr>
            <w:noProof/>
            <w:webHidden/>
          </w:rPr>
          <w:fldChar w:fldCharType="separate"/>
        </w:r>
        <w:r w:rsidR="00B047B3">
          <w:rPr>
            <w:noProof/>
            <w:webHidden/>
          </w:rPr>
          <w:t>39</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5" w:history="1">
        <w:r w:rsidR="00B047B3" w:rsidRPr="00557BAF">
          <w:rPr>
            <w:rStyle w:val="Hyperlink"/>
            <w:noProof/>
          </w:rPr>
          <w:t>Slika 23 - Karakterizacija područja MDF-ova u geotipove (Izvor: Axon)</w:t>
        </w:r>
        <w:r w:rsidR="00B047B3">
          <w:rPr>
            <w:noProof/>
            <w:webHidden/>
          </w:rPr>
          <w:tab/>
        </w:r>
        <w:r w:rsidR="00B047B3">
          <w:rPr>
            <w:noProof/>
            <w:webHidden/>
          </w:rPr>
          <w:fldChar w:fldCharType="begin"/>
        </w:r>
        <w:r w:rsidR="00B047B3">
          <w:rPr>
            <w:noProof/>
            <w:webHidden/>
          </w:rPr>
          <w:instrText xml:space="preserve"> PAGEREF _Toc54261715 \h </w:instrText>
        </w:r>
        <w:r w:rsidR="00B047B3">
          <w:rPr>
            <w:noProof/>
            <w:webHidden/>
          </w:rPr>
        </w:r>
        <w:r w:rsidR="00B047B3">
          <w:rPr>
            <w:noProof/>
            <w:webHidden/>
          </w:rPr>
          <w:fldChar w:fldCharType="separate"/>
        </w:r>
        <w:r w:rsidR="00B047B3">
          <w:rPr>
            <w:noProof/>
            <w:webHidden/>
          </w:rPr>
          <w:t>40</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6" w:history="1">
        <w:r w:rsidR="00B047B3" w:rsidRPr="00557BAF">
          <w:rPr>
            <w:rStyle w:val="Hyperlink"/>
            <w:noProof/>
          </w:rPr>
          <w:t>Slika 24 - Klasifikacija područja pokrivanja u Hrvatskoj u geotipove (Izvor: Axon)</w:t>
        </w:r>
        <w:r w:rsidR="00B047B3">
          <w:rPr>
            <w:noProof/>
            <w:webHidden/>
          </w:rPr>
          <w:tab/>
        </w:r>
        <w:r w:rsidR="00B047B3">
          <w:rPr>
            <w:noProof/>
            <w:webHidden/>
          </w:rPr>
          <w:fldChar w:fldCharType="begin"/>
        </w:r>
        <w:r w:rsidR="00B047B3">
          <w:rPr>
            <w:noProof/>
            <w:webHidden/>
          </w:rPr>
          <w:instrText xml:space="preserve"> PAGEREF _Toc54261716 \h </w:instrText>
        </w:r>
        <w:r w:rsidR="00B047B3">
          <w:rPr>
            <w:noProof/>
            <w:webHidden/>
          </w:rPr>
        </w:r>
        <w:r w:rsidR="00B047B3">
          <w:rPr>
            <w:noProof/>
            <w:webHidden/>
          </w:rPr>
          <w:fldChar w:fldCharType="separate"/>
        </w:r>
        <w:r w:rsidR="00B047B3">
          <w:rPr>
            <w:noProof/>
            <w:webHidden/>
          </w:rPr>
          <w:t>41</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7" w:history="1">
        <w:r w:rsidR="00B047B3" w:rsidRPr="00557BAF">
          <w:rPr>
            <w:rStyle w:val="Hyperlink"/>
            <w:noProof/>
          </w:rPr>
          <w:t>Slika 25- Arhitekture modeliranih pristupnih mreža (Izvor: Axon)</w:t>
        </w:r>
        <w:r w:rsidR="00B047B3">
          <w:rPr>
            <w:noProof/>
            <w:webHidden/>
          </w:rPr>
          <w:tab/>
        </w:r>
        <w:r w:rsidR="00B047B3">
          <w:rPr>
            <w:noProof/>
            <w:webHidden/>
          </w:rPr>
          <w:fldChar w:fldCharType="begin"/>
        </w:r>
        <w:r w:rsidR="00B047B3">
          <w:rPr>
            <w:noProof/>
            <w:webHidden/>
          </w:rPr>
          <w:instrText xml:space="preserve"> PAGEREF _Toc54261717 \h </w:instrText>
        </w:r>
        <w:r w:rsidR="00B047B3">
          <w:rPr>
            <w:noProof/>
            <w:webHidden/>
          </w:rPr>
        </w:r>
        <w:r w:rsidR="00B047B3">
          <w:rPr>
            <w:noProof/>
            <w:webHidden/>
          </w:rPr>
          <w:fldChar w:fldCharType="separate"/>
        </w:r>
        <w:r w:rsidR="00B047B3">
          <w:rPr>
            <w:noProof/>
            <w:webHidden/>
          </w:rPr>
          <w:t>42</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8" w:history="1">
        <w:r w:rsidR="00B047B3" w:rsidRPr="00557BAF">
          <w:rPr>
            <w:rStyle w:val="Hyperlink"/>
            <w:noProof/>
          </w:rPr>
          <w:t>Slika 26 – Arhitektura WDM mreže modeliranog operatora (Izvor: AXON)</w:t>
        </w:r>
        <w:r w:rsidR="00B047B3">
          <w:rPr>
            <w:noProof/>
            <w:webHidden/>
          </w:rPr>
          <w:tab/>
        </w:r>
        <w:r w:rsidR="00B047B3">
          <w:rPr>
            <w:noProof/>
            <w:webHidden/>
          </w:rPr>
          <w:fldChar w:fldCharType="begin"/>
        </w:r>
        <w:r w:rsidR="00B047B3">
          <w:rPr>
            <w:noProof/>
            <w:webHidden/>
          </w:rPr>
          <w:instrText xml:space="preserve"> PAGEREF _Toc54261718 \h </w:instrText>
        </w:r>
        <w:r w:rsidR="00B047B3">
          <w:rPr>
            <w:noProof/>
            <w:webHidden/>
          </w:rPr>
        </w:r>
        <w:r w:rsidR="00B047B3">
          <w:rPr>
            <w:noProof/>
            <w:webHidden/>
          </w:rPr>
          <w:fldChar w:fldCharType="separate"/>
        </w:r>
        <w:r w:rsidR="00B047B3">
          <w:rPr>
            <w:noProof/>
            <w:webHidden/>
          </w:rPr>
          <w:t>45</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19" w:history="1">
        <w:r w:rsidR="00B047B3" w:rsidRPr="00557BAF">
          <w:rPr>
            <w:rStyle w:val="Hyperlink"/>
            <w:noProof/>
          </w:rPr>
          <w:t>Slika 27 - Arhitektura IP/MPLS mreže koja je uzeta u obzir u Troškovnom modelu (Izvor: Axon)</w:t>
        </w:r>
        <w:r w:rsidR="00B047B3">
          <w:rPr>
            <w:noProof/>
            <w:webHidden/>
          </w:rPr>
          <w:tab/>
        </w:r>
        <w:r w:rsidR="00B047B3">
          <w:rPr>
            <w:noProof/>
            <w:webHidden/>
          </w:rPr>
          <w:fldChar w:fldCharType="begin"/>
        </w:r>
        <w:r w:rsidR="00B047B3">
          <w:rPr>
            <w:noProof/>
            <w:webHidden/>
          </w:rPr>
          <w:instrText xml:space="preserve"> PAGEREF _Toc54261719 \h </w:instrText>
        </w:r>
        <w:r w:rsidR="00B047B3">
          <w:rPr>
            <w:noProof/>
            <w:webHidden/>
          </w:rPr>
        </w:r>
        <w:r w:rsidR="00B047B3">
          <w:rPr>
            <w:noProof/>
            <w:webHidden/>
          </w:rPr>
          <w:fldChar w:fldCharType="separate"/>
        </w:r>
        <w:r w:rsidR="00B047B3">
          <w:rPr>
            <w:noProof/>
            <w:webHidden/>
          </w:rPr>
          <w:t>46</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20" w:history="1">
        <w:r w:rsidR="00B047B3" w:rsidRPr="00557BAF">
          <w:rPr>
            <w:rStyle w:val="Hyperlink"/>
            <w:noProof/>
          </w:rPr>
          <w:t>Slika 28 - Korisnici po pristupnoj tehnologiji u RH (Izvor: HAKOM)</w:t>
        </w:r>
        <w:r w:rsidR="00B047B3">
          <w:rPr>
            <w:noProof/>
            <w:webHidden/>
          </w:rPr>
          <w:tab/>
        </w:r>
        <w:r w:rsidR="00B047B3">
          <w:rPr>
            <w:noProof/>
            <w:webHidden/>
          </w:rPr>
          <w:fldChar w:fldCharType="begin"/>
        </w:r>
        <w:r w:rsidR="00B047B3">
          <w:rPr>
            <w:noProof/>
            <w:webHidden/>
          </w:rPr>
          <w:instrText xml:space="preserve"> PAGEREF _Toc54261720 \h </w:instrText>
        </w:r>
        <w:r w:rsidR="00B047B3">
          <w:rPr>
            <w:noProof/>
            <w:webHidden/>
          </w:rPr>
        </w:r>
        <w:r w:rsidR="00B047B3">
          <w:rPr>
            <w:noProof/>
            <w:webHidden/>
          </w:rPr>
          <w:fldChar w:fldCharType="separate"/>
        </w:r>
        <w:r w:rsidR="00B047B3">
          <w:rPr>
            <w:noProof/>
            <w:webHidden/>
          </w:rPr>
          <w:t>52</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21" w:history="1">
        <w:r w:rsidR="00B047B3" w:rsidRPr="00557BAF">
          <w:rPr>
            <w:rStyle w:val="Hyperlink"/>
            <w:noProof/>
          </w:rPr>
          <w:t>Slika 29 - Jedinični trošak LLU usluge ovisno o metodi amortizacije (Izvor: Troškovni model)</w:t>
        </w:r>
        <w:r w:rsidR="00B047B3">
          <w:rPr>
            <w:noProof/>
            <w:webHidden/>
          </w:rPr>
          <w:tab/>
        </w:r>
        <w:r w:rsidR="00B047B3">
          <w:rPr>
            <w:noProof/>
            <w:webHidden/>
          </w:rPr>
          <w:fldChar w:fldCharType="begin"/>
        </w:r>
        <w:r w:rsidR="00B047B3">
          <w:rPr>
            <w:noProof/>
            <w:webHidden/>
          </w:rPr>
          <w:instrText xml:space="preserve"> PAGEREF _Toc54261721 \h </w:instrText>
        </w:r>
        <w:r w:rsidR="00B047B3">
          <w:rPr>
            <w:noProof/>
            <w:webHidden/>
          </w:rPr>
        </w:r>
        <w:r w:rsidR="00B047B3">
          <w:rPr>
            <w:noProof/>
            <w:webHidden/>
          </w:rPr>
          <w:fldChar w:fldCharType="separate"/>
        </w:r>
        <w:r w:rsidR="00B047B3">
          <w:rPr>
            <w:noProof/>
            <w:webHidden/>
          </w:rPr>
          <w:t>53</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22" w:history="1">
        <w:r w:rsidR="00B047B3" w:rsidRPr="00557BAF">
          <w:rPr>
            <w:rStyle w:val="Hyperlink"/>
            <w:noProof/>
          </w:rPr>
          <w:t>Slika 30 - Jedinični trošak fizičkog pristupa FTTH mreži ovisno o metodi amortizacije (Izvor: Troškovni model)</w:t>
        </w:r>
        <w:r w:rsidR="00B047B3">
          <w:rPr>
            <w:noProof/>
            <w:webHidden/>
          </w:rPr>
          <w:tab/>
        </w:r>
        <w:r w:rsidR="00B047B3">
          <w:rPr>
            <w:noProof/>
            <w:webHidden/>
          </w:rPr>
          <w:fldChar w:fldCharType="begin"/>
        </w:r>
        <w:r w:rsidR="00B047B3">
          <w:rPr>
            <w:noProof/>
            <w:webHidden/>
          </w:rPr>
          <w:instrText xml:space="preserve"> PAGEREF _Toc54261722 \h </w:instrText>
        </w:r>
        <w:r w:rsidR="00B047B3">
          <w:rPr>
            <w:noProof/>
            <w:webHidden/>
          </w:rPr>
        </w:r>
        <w:r w:rsidR="00B047B3">
          <w:rPr>
            <w:noProof/>
            <w:webHidden/>
          </w:rPr>
          <w:fldChar w:fldCharType="separate"/>
        </w:r>
        <w:r w:rsidR="00B047B3">
          <w:rPr>
            <w:noProof/>
            <w:webHidden/>
          </w:rPr>
          <w:t>54</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23" w:history="1">
        <w:r w:rsidR="00B047B3" w:rsidRPr="00557BAF">
          <w:rPr>
            <w:rStyle w:val="Hyperlink"/>
            <w:noProof/>
          </w:rPr>
          <w:sym w:font="Wingdings 2" w:char="F026"/>
        </w:r>
        <w:r w:rsidR="00B047B3" w:rsidRPr="00557BAF">
          <w:rPr>
            <w:rStyle w:val="Hyperlink"/>
            <w:noProof/>
          </w:rPr>
          <w:t>Slika 31 - Troškovna osnovica referentnog operatora za nepokretnu mrežu (Izvor: Troškovni model)</w:t>
        </w:r>
        <w:r w:rsidR="00B047B3">
          <w:rPr>
            <w:noProof/>
            <w:webHidden/>
          </w:rPr>
          <w:tab/>
        </w:r>
        <w:r w:rsidR="00B047B3">
          <w:rPr>
            <w:noProof/>
            <w:webHidden/>
          </w:rPr>
          <w:fldChar w:fldCharType="begin"/>
        </w:r>
        <w:r w:rsidR="00B047B3">
          <w:rPr>
            <w:noProof/>
            <w:webHidden/>
          </w:rPr>
          <w:instrText xml:space="preserve"> PAGEREF _Toc54261723 \h </w:instrText>
        </w:r>
        <w:r w:rsidR="00B047B3">
          <w:rPr>
            <w:noProof/>
            <w:webHidden/>
          </w:rPr>
        </w:r>
        <w:r w:rsidR="00B047B3">
          <w:rPr>
            <w:noProof/>
            <w:webHidden/>
          </w:rPr>
          <w:fldChar w:fldCharType="separate"/>
        </w:r>
        <w:r w:rsidR="00B047B3">
          <w:rPr>
            <w:noProof/>
            <w:webHidden/>
          </w:rPr>
          <w:t>57</w:t>
        </w:r>
        <w:r w:rsidR="00B047B3">
          <w:rPr>
            <w:noProof/>
            <w:webHidden/>
          </w:rPr>
          <w:fldChar w:fldCharType="end"/>
        </w:r>
      </w:hyperlink>
    </w:p>
    <w:p w:rsidR="00A9474E" w:rsidRPr="005028E4" w:rsidRDefault="00631C1D" w:rsidP="00A9474E">
      <w:r w:rsidRPr="005028E4">
        <w:rPr>
          <w:highlight w:val="yellow"/>
        </w:rPr>
        <w:fldChar w:fldCharType="end"/>
      </w:r>
    </w:p>
    <w:p w:rsidR="00A9474E" w:rsidRPr="005028E4" w:rsidRDefault="00A9474E" w:rsidP="00A9474E"/>
    <w:p w:rsidR="00C61B2C" w:rsidRPr="005028E4" w:rsidRDefault="00BC29CD" w:rsidP="00DD0407">
      <w:pPr>
        <w:pStyle w:val="Heading1"/>
      </w:pPr>
      <w:r w:rsidRPr="005028E4">
        <w:t xml:space="preserve"> </w:t>
      </w:r>
      <w:bookmarkStart w:id="872" w:name="_Toc53942007"/>
      <w:bookmarkStart w:id="873" w:name="_Toc54250978"/>
      <w:bookmarkStart w:id="874" w:name="_Toc54252876"/>
      <w:bookmarkStart w:id="875" w:name="_Toc54261688"/>
      <w:r w:rsidR="00F63F87" w:rsidRPr="005028E4">
        <w:t>Popis tablica</w:t>
      </w:r>
      <w:bookmarkEnd w:id="872"/>
      <w:bookmarkEnd w:id="873"/>
      <w:bookmarkEnd w:id="874"/>
      <w:bookmarkEnd w:id="875"/>
    </w:p>
    <w:p w:rsidR="00B047B3" w:rsidRDefault="00C00568">
      <w:pPr>
        <w:pStyle w:val="TableofFigures"/>
        <w:tabs>
          <w:tab w:val="right" w:leader="dot" w:pos="9062"/>
        </w:tabs>
        <w:rPr>
          <w:rFonts w:asciiTheme="minorHAnsi" w:eastAsiaTheme="minorEastAsia" w:hAnsiTheme="minorHAnsi"/>
          <w:noProof/>
          <w:lang w:val="en-US"/>
        </w:rPr>
      </w:pPr>
      <w:r w:rsidRPr="005028E4">
        <w:fldChar w:fldCharType="begin"/>
      </w:r>
      <w:r w:rsidRPr="005028E4">
        <w:instrText xml:space="preserve"> TOC \h \z \c "Tablica" \b Dokument </w:instrText>
      </w:r>
      <w:r w:rsidRPr="005028E4">
        <w:fldChar w:fldCharType="separate"/>
      </w:r>
      <w:hyperlink w:anchor="_Toc54261724" w:history="1">
        <w:r w:rsidR="00B047B3" w:rsidRPr="007F4C3F">
          <w:rPr>
            <w:rStyle w:val="Hyperlink"/>
            <w:noProof/>
          </w:rPr>
          <w:t>Tablica 1- Sažetak metodoloških načela</w:t>
        </w:r>
        <w:r w:rsidR="00B047B3">
          <w:rPr>
            <w:noProof/>
            <w:webHidden/>
          </w:rPr>
          <w:tab/>
        </w:r>
        <w:r w:rsidR="00B047B3">
          <w:rPr>
            <w:noProof/>
            <w:webHidden/>
          </w:rPr>
          <w:fldChar w:fldCharType="begin"/>
        </w:r>
        <w:r w:rsidR="00B047B3">
          <w:rPr>
            <w:noProof/>
            <w:webHidden/>
          </w:rPr>
          <w:instrText xml:space="preserve"> PAGEREF _Toc54261724 \h </w:instrText>
        </w:r>
        <w:r w:rsidR="00B047B3">
          <w:rPr>
            <w:noProof/>
            <w:webHidden/>
          </w:rPr>
        </w:r>
        <w:r w:rsidR="00B047B3">
          <w:rPr>
            <w:noProof/>
            <w:webHidden/>
          </w:rPr>
          <w:fldChar w:fldCharType="separate"/>
        </w:r>
        <w:r w:rsidR="00B047B3">
          <w:rPr>
            <w:noProof/>
            <w:webHidden/>
          </w:rPr>
          <w:t>18</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25" w:history="1">
        <w:r w:rsidR="00B047B3" w:rsidRPr="007F4C3F">
          <w:rPr>
            <w:rStyle w:val="Hyperlink"/>
            <w:noProof/>
          </w:rPr>
          <w:t>Tablica 2 – Sažetak korisnih vjekova upotrebe koji su primijenjeni u Troškovnom modelu za referentnog operatora (Izvor: HAKOM na osnovu informacija od operatora)</w:t>
        </w:r>
        <w:r w:rsidR="00B047B3">
          <w:rPr>
            <w:noProof/>
            <w:webHidden/>
          </w:rPr>
          <w:tab/>
        </w:r>
        <w:r w:rsidR="00B047B3">
          <w:rPr>
            <w:noProof/>
            <w:webHidden/>
          </w:rPr>
          <w:fldChar w:fldCharType="begin"/>
        </w:r>
        <w:r w:rsidR="00B047B3">
          <w:rPr>
            <w:noProof/>
            <w:webHidden/>
          </w:rPr>
          <w:instrText xml:space="preserve"> PAGEREF _Toc54261725 \h </w:instrText>
        </w:r>
        <w:r w:rsidR="00B047B3">
          <w:rPr>
            <w:noProof/>
            <w:webHidden/>
          </w:rPr>
        </w:r>
        <w:r w:rsidR="00B047B3">
          <w:rPr>
            <w:noProof/>
            <w:webHidden/>
          </w:rPr>
          <w:fldChar w:fldCharType="separate"/>
        </w:r>
        <w:r w:rsidR="00B047B3">
          <w:rPr>
            <w:noProof/>
            <w:webHidden/>
          </w:rPr>
          <w:t>29</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26" w:history="1">
        <w:r w:rsidR="00B047B3" w:rsidRPr="007F4C3F">
          <w:rPr>
            <w:rStyle w:val="Hyperlink"/>
            <w:noProof/>
          </w:rPr>
          <w:sym w:font="Wingdings 2" w:char="F026"/>
        </w:r>
        <w:r w:rsidR="00B047B3" w:rsidRPr="007F4C3F">
          <w:rPr>
            <w:rStyle w:val="Hyperlink"/>
            <w:noProof/>
          </w:rPr>
          <w:t>Tablica 3 - Izračun imovine u nepokretnoj mreži HT-a koja generira troškove</w:t>
        </w:r>
        <w:r w:rsidR="00B047B3">
          <w:rPr>
            <w:noProof/>
            <w:webHidden/>
          </w:rPr>
          <w:tab/>
        </w:r>
        <w:r w:rsidR="00B047B3">
          <w:rPr>
            <w:noProof/>
            <w:webHidden/>
          </w:rPr>
          <w:fldChar w:fldCharType="begin"/>
        </w:r>
        <w:r w:rsidR="00B047B3">
          <w:rPr>
            <w:noProof/>
            <w:webHidden/>
          </w:rPr>
          <w:instrText xml:space="preserve"> PAGEREF _Toc54261726 \h </w:instrText>
        </w:r>
        <w:r w:rsidR="00B047B3">
          <w:rPr>
            <w:noProof/>
            <w:webHidden/>
          </w:rPr>
        </w:r>
        <w:r w:rsidR="00B047B3">
          <w:rPr>
            <w:noProof/>
            <w:webHidden/>
          </w:rPr>
          <w:fldChar w:fldCharType="separate"/>
        </w:r>
        <w:r w:rsidR="00B047B3">
          <w:rPr>
            <w:noProof/>
            <w:webHidden/>
          </w:rPr>
          <w:t>32</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27" w:history="1">
        <w:r w:rsidR="00B047B3" w:rsidRPr="007F4C3F">
          <w:rPr>
            <w:rStyle w:val="Hyperlink"/>
            <w:noProof/>
          </w:rPr>
          <w:t>Tablica 4 - Podaci i njihovi izvori koji su se koristili u geografskoj analizi</w:t>
        </w:r>
        <w:r w:rsidR="00B047B3">
          <w:rPr>
            <w:noProof/>
            <w:webHidden/>
          </w:rPr>
          <w:tab/>
        </w:r>
        <w:r w:rsidR="00B047B3">
          <w:rPr>
            <w:noProof/>
            <w:webHidden/>
          </w:rPr>
          <w:fldChar w:fldCharType="begin"/>
        </w:r>
        <w:r w:rsidR="00B047B3">
          <w:rPr>
            <w:noProof/>
            <w:webHidden/>
          </w:rPr>
          <w:instrText xml:space="preserve"> PAGEREF _Toc54261727 \h </w:instrText>
        </w:r>
        <w:r w:rsidR="00B047B3">
          <w:rPr>
            <w:noProof/>
            <w:webHidden/>
          </w:rPr>
        </w:r>
        <w:r w:rsidR="00B047B3">
          <w:rPr>
            <w:noProof/>
            <w:webHidden/>
          </w:rPr>
          <w:fldChar w:fldCharType="separate"/>
        </w:r>
        <w:r w:rsidR="00B047B3">
          <w:rPr>
            <w:noProof/>
            <w:webHidden/>
          </w:rPr>
          <w:t>34</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28" w:history="1">
        <w:r w:rsidR="00B047B3" w:rsidRPr="007F4C3F">
          <w:rPr>
            <w:rStyle w:val="Hyperlink"/>
            <w:noProof/>
          </w:rPr>
          <w:t>Tablica 5 - Prednosti i nedostaci metode kosih anuiteta (Izvor: Axon)</w:t>
        </w:r>
        <w:r w:rsidR="00B047B3">
          <w:rPr>
            <w:noProof/>
            <w:webHidden/>
          </w:rPr>
          <w:tab/>
        </w:r>
        <w:r w:rsidR="00B047B3">
          <w:rPr>
            <w:noProof/>
            <w:webHidden/>
          </w:rPr>
          <w:fldChar w:fldCharType="begin"/>
        </w:r>
        <w:r w:rsidR="00B047B3">
          <w:rPr>
            <w:noProof/>
            <w:webHidden/>
          </w:rPr>
          <w:instrText xml:space="preserve"> PAGEREF _Toc54261728 \h </w:instrText>
        </w:r>
        <w:r w:rsidR="00B047B3">
          <w:rPr>
            <w:noProof/>
            <w:webHidden/>
          </w:rPr>
        </w:r>
        <w:r w:rsidR="00B047B3">
          <w:rPr>
            <w:noProof/>
            <w:webHidden/>
          </w:rPr>
          <w:fldChar w:fldCharType="separate"/>
        </w:r>
        <w:r w:rsidR="00B047B3">
          <w:rPr>
            <w:noProof/>
            <w:webHidden/>
          </w:rPr>
          <w:t>50</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29" w:history="1">
        <w:r w:rsidR="00B047B3" w:rsidRPr="007F4C3F">
          <w:rPr>
            <w:rStyle w:val="Hyperlink"/>
            <w:noProof/>
          </w:rPr>
          <w:t>Tablica 6 - Prednosti i nedostaci metode ekonomske amortizacije (Izvor: Axon)</w:t>
        </w:r>
        <w:r w:rsidR="00B047B3">
          <w:rPr>
            <w:noProof/>
            <w:webHidden/>
          </w:rPr>
          <w:tab/>
        </w:r>
        <w:r w:rsidR="00B047B3">
          <w:rPr>
            <w:noProof/>
            <w:webHidden/>
          </w:rPr>
          <w:fldChar w:fldCharType="begin"/>
        </w:r>
        <w:r w:rsidR="00B047B3">
          <w:rPr>
            <w:noProof/>
            <w:webHidden/>
          </w:rPr>
          <w:instrText xml:space="preserve"> PAGEREF _Toc54261729 \h </w:instrText>
        </w:r>
        <w:r w:rsidR="00B047B3">
          <w:rPr>
            <w:noProof/>
            <w:webHidden/>
          </w:rPr>
        </w:r>
        <w:r w:rsidR="00B047B3">
          <w:rPr>
            <w:noProof/>
            <w:webHidden/>
          </w:rPr>
          <w:fldChar w:fldCharType="separate"/>
        </w:r>
        <w:r w:rsidR="00B047B3">
          <w:rPr>
            <w:noProof/>
            <w:webHidden/>
          </w:rPr>
          <w:t>53</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30" w:history="1">
        <w:r w:rsidR="00B047B3" w:rsidRPr="007F4C3F">
          <w:rPr>
            <w:rStyle w:val="Hyperlink"/>
            <w:noProof/>
          </w:rPr>
          <w:sym w:font="Wingdings 2" w:char="F026"/>
        </w:r>
        <w:r w:rsidR="00B047B3" w:rsidRPr="007F4C3F">
          <w:rPr>
            <w:rStyle w:val="Hyperlink"/>
            <w:noProof/>
          </w:rPr>
          <w:t>Tablica 7 - Sažetak mrežnih elemenata referentnog operatora za nepokretnu mrežu (Izvor: Troškovni model)</w:t>
        </w:r>
        <w:r w:rsidR="00B047B3">
          <w:rPr>
            <w:noProof/>
            <w:webHidden/>
          </w:rPr>
          <w:tab/>
        </w:r>
        <w:r w:rsidR="00B047B3">
          <w:rPr>
            <w:noProof/>
            <w:webHidden/>
          </w:rPr>
          <w:fldChar w:fldCharType="begin"/>
        </w:r>
        <w:r w:rsidR="00B047B3">
          <w:rPr>
            <w:noProof/>
            <w:webHidden/>
          </w:rPr>
          <w:instrText xml:space="preserve"> PAGEREF _Toc54261730 \h </w:instrText>
        </w:r>
        <w:r w:rsidR="00B047B3">
          <w:rPr>
            <w:noProof/>
            <w:webHidden/>
          </w:rPr>
        </w:r>
        <w:r w:rsidR="00B047B3">
          <w:rPr>
            <w:noProof/>
            <w:webHidden/>
          </w:rPr>
          <w:fldChar w:fldCharType="separate"/>
        </w:r>
        <w:r w:rsidR="00B047B3">
          <w:rPr>
            <w:noProof/>
            <w:webHidden/>
          </w:rPr>
          <w:t>56</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31" w:history="1">
        <w:r w:rsidR="00B047B3" w:rsidRPr="007F4C3F">
          <w:rPr>
            <w:rStyle w:val="Hyperlink"/>
            <w:noProof/>
          </w:rPr>
          <w:t>Tablica 8 - Jedinični trošak veleprodajnog fizičkog pristupa bakrenoj mreži (Izvor: Troškovni model)</w:t>
        </w:r>
        <w:r w:rsidR="00B047B3">
          <w:rPr>
            <w:noProof/>
            <w:webHidden/>
          </w:rPr>
          <w:tab/>
        </w:r>
        <w:r w:rsidR="00B047B3">
          <w:rPr>
            <w:noProof/>
            <w:webHidden/>
          </w:rPr>
          <w:fldChar w:fldCharType="begin"/>
        </w:r>
        <w:r w:rsidR="00B047B3">
          <w:rPr>
            <w:noProof/>
            <w:webHidden/>
          </w:rPr>
          <w:instrText xml:space="preserve"> PAGEREF _Toc54261731 \h </w:instrText>
        </w:r>
        <w:r w:rsidR="00B047B3">
          <w:rPr>
            <w:noProof/>
            <w:webHidden/>
          </w:rPr>
        </w:r>
        <w:r w:rsidR="00B047B3">
          <w:rPr>
            <w:noProof/>
            <w:webHidden/>
          </w:rPr>
          <w:fldChar w:fldCharType="separate"/>
        </w:r>
        <w:r w:rsidR="00B047B3">
          <w:rPr>
            <w:noProof/>
            <w:webHidden/>
          </w:rPr>
          <w:t>57</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32" w:history="1">
        <w:r w:rsidR="00B047B3" w:rsidRPr="007F4C3F">
          <w:rPr>
            <w:rStyle w:val="Hyperlink"/>
            <w:noProof/>
          </w:rPr>
          <w:t>Tablica 9 - Jedinični troškovi veleprodajne usluge izdvajanja svjetlovodne niti na DN-u (Izvor: Troškovni model)</w:t>
        </w:r>
        <w:r w:rsidR="00B047B3">
          <w:rPr>
            <w:noProof/>
            <w:webHidden/>
          </w:rPr>
          <w:tab/>
        </w:r>
        <w:r w:rsidR="00B047B3">
          <w:rPr>
            <w:noProof/>
            <w:webHidden/>
          </w:rPr>
          <w:fldChar w:fldCharType="begin"/>
        </w:r>
        <w:r w:rsidR="00B047B3">
          <w:rPr>
            <w:noProof/>
            <w:webHidden/>
          </w:rPr>
          <w:instrText xml:space="preserve"> PAGEREF _Toc54261732 \h </w:instrText>
        </w:r>
        <w:r w:rsidR="00B047B3">
          <w:rPr>
            <w:noProof/>
            <w:webHidden/>
          </w:rPr>
        </w:r>
        <w:r w:rsidR="00B047B3">
          <w:rPr>
            <w:noProof/>
            <w:webHidden/>
          </w:rPr>
          <w:fldChar w:fldCharType="separate"/>
        </w:r>
        <w:r w:rsidR="00B047B3">
          <w:rPr>
            <w:noProof/>
            <w:webHidden/>
          </w:rPr>
          <w:t>58</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33" w:history="1">
        <w:r w:rsidR="00B047B3" w:rsidRPr="007F4C3F">
          <w:rPr>
            <w:rStyle w:val="Hyperlink"/>
            <w:noProof/>
          </w:rPr>
          <w:t xml:space="preserve">Tablica 10 - Jedinični troškovi usluge </w:t>
        </w:r>
        <w:r w:rsidR="00B047B3" w:rsidRPr="007F4C3F">
          <w:rPr>
            <w:rStyle w:val="Hyperlink"/>
            <w:i/>
            <w:noProof/>
          </w:rPr>
          <w:t>dark fibre</w:t>
        </w:r>
        <w:r w:rsidR="00B047B3" w:rsidRPr="007F4C3F">
          <w:rPr>
            <w:rStyle w:val="Hyperlink"/>
            <w:noProof/>
          </w:rPr>
          <w:t xml:space="preserve"> (Izvor: Troškovni model)</w:t>
        </w:r>
        <w:r w:rsidR="00B047B3">
          <w:rPr>
            <w:noProof/>
            <w:webHidden/>
          </w:rPr>
          <w:tab/>
        </w:r>
        <w:r w:rsidR="00B047B3">
          <w:rPr>
            <w:noProof/>
            <w:webHidden/>
          </w:rPr>
          <w:fldChar w:fldCharType="begin"/>
        </w:r>
        <w:r w:rsidR="00B047B3">
          <w:rPr>
            <w:noProof/>
            <w:webHidden/>
          </w:rPr>
          <w:instrText xml:space="preserve"> PAGEREF _Toc54261733 \h </w:instrText>
        </w:r>
        <w:r w:rsidR="00B047B3">
          <w:rPr>
            <w:noProof/>
            <w:webHidden/>
          </w:rPr>
        </w:r>
        <w:r w:rsidR="00B047B3">
          <w:rPr>
            <w:noProof/>
            <w:webHidden/>
          </w:rPr>
          <w:fldChar w:fldCharType="separate"/>
        </w:r>
        <w:r w:rsidR="00B047B3">
          <w:rPr>
            <w:noProof/>
            <w:webHidden/>
          </w:rPr>
          <w:t>59</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34" w:history="1">
        <w:r w:rsidR="00B047B3" w:rsidRPr="007F4C3F">
          <w:rPr>
            <w:rStyle w:val="Hyperlink"/>
            <w:noProof/>
          </w:rPr>
          <w:t>Tablica 11 – Jedinični trošak i cijena LLU usluge (Izvor: Troškovni model)</w:t>
        </w:r>
        <w:r w:rsidR="00B047B3">
          <w:rPr>
            <w:noProof/>
            <w:webHidden/>
          </w:rPr>
          <w:tab/>
        </w:r>
        <w:r w:rsidR="00B047B3">
          <w:rPr>
            <w:noProof/>
            <w:webHidden/>
          </w:rPr>
          <w:fldChar w:fldCharType="begin"/>
        </w:r>
        <w:r w:rsidR="00B047B3">
          <w:rPr>
            <w:noProof/>
            <w:webHidden/>
          </w:rPr>
          <w:instrText xml:space="preserve"> PAGEREF _Toc54261734 \h </w:instrText>
        </w:r>
        <w:r w:rsidR="00B047B3">
          <w:rPr>
            <w:noProof/>
            <w:webHidden/>
          </w:rPr>
        </w:r>
        <w:r w:rsidR="00B047B3">
          <w:rPr>
            <w:noProof/>
            <w:webHidden/>
          </w:rPr>
          <w:fldChar w:fldCharType="separate"/>
        </w:r>
        <w:r w:rsidR="00B047B3">
          <w:rPr>
            <w:noProof/>
            <w:webHidden/>
          </w:rPr>
          <w:t>65</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35" w:history="1">
        <w:r w:rsidR="00B047B3" w:rsidRPr="007F4C3F">
          <w:rPr>
            <w:rStyle w:val="Hyperlink"/>
            <w:noProof/>
          </w:rPr>
          <w:t>Tablica 12 - Cijene FA PON usluge uz odabir Opcije 2</w:t>
        </w:r>
        <w:r w:rsidR="00B047B3">
          <w:rPr>
            <w:noProof/>
            <w:webHidden/>
          </w:rPr>
          <w:tab/>
        </w:r>
        <w:r w:rsidR="00B047B3">
          <w:rPr>
            <w:noProof/>
            <w:webHidden/>
          </w:rPr>
          <w:fldChar w:fldCharType="begin"/>
        </w:r>
        <w:r w:rsidR="00B047B3">
          <w:rPr>
            <w:noProof/>
            <w:webHidden/>
          </w:rPr>
          <w:instrText xml:space="preserve"> PAGEREF _Toc54261735 \h </w:instrText>
        </w:r>
        <w:r w:rsidR="00B047B3">
          <w:rPr>
            <w:noProof/>
            <w:webHidden/>
          </w:rPr>
        </w:r>
        <w:r w:rsidR="00B047B3">
          <w:rPr>
            <w:noProof/>
            <w:webHidden/>
          </w:rPr>
          <w:fldChar w:fldCharType="separate"/>
        </w:r>
        <w:r w:rsidR="00B047B3">
          <w:rPr>
            <w:noProof/>
            <w:webHidden/>
          </w:rPr>
          <w:t>68</w:t>
        </w:r>
        <w:r w:rsidR="00B047B3">
          <w:rPr>
            <w:noProof/>
            <w:webHidden/>
          </w:rPr>
          <w:fldChar w:fldCharType="end"/>
        </w:r>
      </w:hyperlink>
    </w:p>
    <w:p w:rsidR="00B047B3" w:rsidRDefault="00864638">
      <w:pPr>
        <w:pStyle w:val="TableofFigures"/>
        <w:tabs>
          <w:tab w:val="right" w:leader="dot" w:pos="9062"/>
        </w:tabs>
        <w:rPr>
          <w:rFonts w:asciiTheme="minorHAnsi" w:eastAsiaTheme="minorEastAsia" w:hAnsiTheme="minorHAnsi"/>
          <w:noProof/>
          <w:lang w:val="en-US"/>
        </w:rPr>
      </w:pPr>
      <w:hyperlink w:anchor="_Toc54261736" w:history="1">
        <w:r w:rsidR="00B047B3" w:rsidRPr="007F4C3F">
          <w:rPr>
            <w:rStyle w:val="Hyperlink"/>
            <w:noProof/>
          </w:rPr>
          <w:t>Tablica 13 - Cijena najma svjetlovodne niti bez prijenosne opreme</w:t>
        </w:r>
        <w:r w:rsidR="00B047B3">
          <w:rPr>
            <w:noProof/>
            <w:webHidden/>
          </w:rPr>
          <w:tab/>
        </w:r>
        <w:r w:rsidR="00B047B3">
          <w:rPr>
            <w:noProof/>
            <w:webHidden/>
          </w:rPr>
          <w:fldChar w:fldCharType="begin"/>
        </w:r>
        <w:r w:rsidR="00B047B3">
          <w:rPr>
            <w:noProof/>
            <w:webHidden/>
          </w:rPr>
          <w:instrText xml:space="preserve"> PAGEREF _Toc54261736 \h </w:instrText>
        </w:r>
        <w:r w:rsidR="00B047B3">
          <w:rPr>
            <w:noProof/>
            <w:webHidden/>
          </w:rPr>
        </w:r>
        <w:r w:rsidR="00B047B3">
          <w:rPr>
            <w:noProof/>
            <w:webHidden/>
          </w:rPr>
          <w:fldChar w:fldCharType="separate"/>
        </w:r>
        <w:r w:rsidR="00B047B3">
          <w:rPr>
            <w:noProof/>
            <w:webHidden/>
          </w:rPr>
          <w:t>70</w:t>
        </w:r>
        <w:r w:rsidR="00B047B3">
          <w:rPr>
            <w:noProof/>
            <w:webHidden/>
          </w:rPr>
          <w:fldChar w:fldCharType="end"/>
        </w:r>
      </w:hyperlink>
    </w:p>
    <w:p w:rsidR="0011331D" w:rsidRDefault="00C00568" w:rsidP="00AB67D4">
      <w:pPr>
        <w:pStyle w:val="TableofFigures"/>
        <w:tabs>
          <w:tab w:val="right" w:leader="dot" w:pos="9062"/>
        </w:tabs>
        <w:rPr>
          <w:rStyle w:val="Hyperlink"/>
          <w:noProof/>
          <w:color w:val="auto"/>
        </w:rPr>
      </w:pPr>
      <w:r w:rsidRPr="005028E4">
        <w:fldChar w:fldCharType="end"/>
      </w:r>
    </w:p>
    <w:p w:rsidR="000603CE" w:rsidRDefault="000603CE" w:rsidP="000C271C">
      <w:pPr>
        <w:pStyle w:val="TableofFigures"/>
        <w:tabs>
          <w:tab w:val="left" w:pos="7212"/>
        </w:tabs>
        <w:rPr>
          <w:rStyle w:val="Hyperlink"/>
          <w:noProof/>
          <w:color w:val="auto"/>
        </w:rPr>
        <w:sectPr w:rsidR="000603CE" w:rsidSect="00902A9A">
          <w:headerReference w:type="default" r:id="rId44"/>
          <w:footerReference w:type="default" r:id="rId45"/>
          <w:pgSz w:w="11906" w:h="16838"/>
          <w:pgMar w:top="1417" w:right="1417" w:bottom="1417" w:left="1417" w:header="708" w:footer="708" w:gutter="0"/>
          <w:pgNumType w:start="1"/>
          <w:cols w:space="708"/>
          <w:docGrid w:linePitch="360"/>
        </w:sectPr>
      </w:pPr>
    </w:p>
    <w:p w:rsidR="009D3A12" w:rsidRPr="004D4A9D" w:rsidRDefault="009D3A12" w:rsidP="000C271C">
      <w:pPr>
        <w:pStyle w:val="TableofFigures"/>
        <w:tabs>
          <w:tab w:val="left" w:pos="7212"/>
        </w:tabs>
        <w:rPr>
          <w:bCs/>
        </w:rPr>
      </w:pPr>
    </w:p>
    <w:p w:rsidR="0056602B" w:rsidRPr="009F47C8" w:rsidRDefault="0056602B" w:rsidP="00DD0407">
      <w:pPr>
        <w:pStyle w:val="Heading1"/>
      </w:pPr>
      <w:bookmarkStart w:id="876" w:name="_Toc422141605"/>
      <w:bookmarkStart w:id="877" w:name="_Toc53662165"/>
      <w:bookmarkStart w:id="878" w:name="_Toc53662239"/>
      <w:bookmarkStart w:id="879" w:name="_Toc53664619"/>
      <w:bookmarkStart w:id="880" w:name="_Toc53664695"/>
      <w:bookmarkStart w:id="881" w:name="_Toc53694322"/>
      <w:bookmarkStart w:id="882" w:name="_Toc53696860"/>
      <w:bookmarkStart w:id="883" w:name="_Toc53761330"/>
      <w:bookmarkStart w:id="884" w:name="_Toc51252394"/>
      <w:bookmarkStart w:id="885" w:name="_Toc51666157"/>
      <w:bookmarkStart w:id="886" w:name="_Toc52890424"/>
      <w:bookmarkStart w:id="887" w:name="_Toc52891362"/>
      <w:bookmarkStart w:id="888" w:name="_Toc53588742"/>
      <w:bookmarkStart w:id="889" w:name="_Toc53942008"/>
      <w:bookmarkStart w:id="890" w:name="_Toc54250979"/>
      <w:bookmarkStart w:id="891" w:name="_Toc54252877"/>
      <w:bookmarkStart w:id="892" w:name="_Toc54261689"/>
      <w:bookmarkEnd w:id="876"/>
      <w:bookmarkEnd w:id="877"/>
      <w:bookmarkEnd w:id="878"/>
      <w:bookmarkEnd w:id="879"/>
      <w:bookmarkEnd w:id="880"/>
      <w:bookmarkEnd w:id="881"/>
      <w:bookmarkEnd w:id="882"/>
      <w:bookmarkEnd w:id="883"/>
      <w:r w:rsidRPr="009F47C8">
        <w:t>Privitci</w:t>
      </w:r>
      <w:bookmarkEnd w:id="884"/>
      <w:bookmarkEnd w:id="885"/>
      <w:bookmarkEnd w:id="886"/>
      <w:bookmarkEnd w:id="887"/>
      <w:bookmarkEnd w:id="888"/>
      <w:bookmarkEnd w:id="889"/>
      <w:bookmarkEnd w:id="890"/>
      <w:bookmarkEnd w:id="891"/>
      <w:bookmarkEnd w:id="892"/>
    </w:p>
    <w:p w:rsidR="0056602B" w:rsidRDefault="0056602B" w:rsidP="009F47C8">
      <w:pPr>
        <w:pStyle w:val="Heading2"/>
      </w:pPr>
      <w:bookmarkStart w:id="893" w:name="_Ref53664787"/>
      <w:bookmarkStart w:id="894" w:name="_Ref53664916"/>
      <w:bookmarkStart w:id="895" w:name="_Toc53942009"/>
      <w:bookmarkStart w:id="896" w:name="_Toc54250980"/>
      <w:bookmarkStart w:id="897" w:name="_Toc54252878"/>
      <w:bookmarkStart w:id="898" w:name="_Toc54261690"/>
      <w:r w:rsidRPr="009F47C8">
        <w:t>Izvještaj o metodološkim načelima</w:t>
      </w:r>
      <w:bookmarkEnd w:id="893"/>
      <w:bookmarkEnd w:id="894"/>
      <w:bookmarkEnd w:id="895"/>
      <w:bookmarkEnd w:id="896"/>
      <w:bookmarkEnd w:id="897"/>
      <w:bookmarkEnd w:id="898"/>
    </w:p>
    <w:p w:rsidR="002D1142" w:rsidRPr="002D1142" w:rsidRDefault="002D1142" w:rsidP="002D1142">
      <w:r>
        <w:t>Dokument je dostupan na poveznici u opisu javne rasprave.</w:t>
      </w:r>
    </w:p>
    <w:p w:rsidR="00BB451C" w:rsidRPr="00BB451C" w:rsidRDefault="00BB451C" w:rsidP="00BB451C"/>
    <w:p w:rsidR="0056602B" w:rsidRDefault="0056602B" w:rsidP="0056602B">
      <w:pPr>
        <w:pStyle w:val="Heading2"/>
      </w:pPr>
      <w:bookmarkStart w:id="899" w:name="_Ref53664969"/>
      <w:bookmarkStart w:id="900" w:name="_Ref53664996"/>
      <w:bookmarkStart w:id="901" w:name="_Ref53665036"/>
      <w:bookmarkStart w:id="902" w:name="_Ref53665083"/>
      <w:bookmarkStart w:id="903" w:name="_Ref53665134"/>
      <w:bookmarkStart w:id="904" w:name="_Ref53665160"/>
      <w:bookmarkStart w:id="905" w:name="_Toc53942010"/>
      <w:bookmarkStart w:id="906" w:name="_Toc54250981"/>
      <w:bookmarkStart w:id="907" w:name="_Toc54252879"/>
      <w:bookmarkStart w:id="908" w:name="_Toc54261691"/>
      <w:r>
        <w:t xml:space="preserve">Opisni priručnik Troškovnog modela (eng. </w:t>
      </w:r>
      <w:r w:rsidRPr="00622104">
        <w:rPr>
          <w:i/>
        </w:rPr>
        <w:t>Descriptive Manual</w:t>
      </w:r>
      <w:r>
        <w:t>)</w:t>
      </w:r>
      <w:bookmarkEnd w:id="899"/>
      <w:bookmarkEnd w:id="900"/>
      <w:bookmarkEnd w:id="901"/>
      <w:bookmarkEnd w:id="902"/>
      <w:bookmarkEnd w:id="903"/>
      <w:bookmarkEnd w:id="904"/>
      <w:bookmarkEnd w:id="905"/>
      <w:bookmarkEnd w:id="906"/>
      <w:bookmarkEnd w:id="907"/>
      <w:bookmarkEnd w:id="908"/>
    </w:p>
    <w:p w:rsidR="00A9474E" w:rsidRPr="00A9474E" w:rsidRDefault="002D1142" w:rsidP="00A9474E">
      <w:r w:rsidRPr="002D1142">
        <w:t>Dokument je dostupan na poveznici u opisu javne rasprave</w:t>
      </w:r>
      <w:r>
        <w:t>.</w:t>
      </w:r>
    </w:p>
    <w:p w:rsidR="00A9474E" w:rsidRDefault="00A9474E" w:rsidP="00E42C4E">
      <w:pPr>
        <w:pStyle w:val="Heading2"/>
        <w:rPr>
          <w:b w:val="0"/>
          <w:bCs w:val="0"/>
        </w:rPr>
      </w:pPr>
      <w:bookmarkStart w:id="909" w:name="_Toc53994541"/>
      <w:bookmarkStart w:id="910" w:name="_Toc54250982"/>
      <w:bookmarkStart w:id="911" w:name="_Toc54252880"/>
      <w:bookmarkStart w:id="912" w:name="_Toc54261692"/>
      <w:r w:rsidRPr="00A9474E">
        <w:t>Popis korištenih kratica i izraza</w:t>
      </w:r>
      <w:bookmarkEnd w:id="909"/>
      <w:bookmarkEnd w:id="910"/>
      <w:bookmarkEnd w:id="911"/>
      <w:bookmarkEnd w:id="912"/>
    </w:p>
    <w:tbl>
      <w:tblPr>
        <w:tblW w:w="0" w:type="auto"/>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492"/>
        <w:gridCol w:w="3456"/>
        <w:gridCol w:w="4112"/>
      </w:tblGrid>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sidRPr="004454E8">
              <w:t>AAC</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t xml:space="preserve"> Average Avoidable Costs</w:t>
            </w:r>
          </w:p>
        </w:tc>
        <w:tc>
          <w:tcPr>
            <w:tcW w:w="4112" w:type="dxa"/>
            <w:shd w:val="clear" w:color="auto" w:fill="auto"/>
            <w:vAlign w:val="center"/>
          </w:tcPr>
          <w:p w:rsidR="00E6032F" w:rsidRPr="00CE7D9C" w:rsidRDefault="00E6032F" w:rsidP="00E6032F">
            <w:pPr>
              <w:rPr>
                <w:rFonts w:ascii="Calibri" w:eastAsia="Calibri" w:hAnsi="Calibri"/>
              </w:rPr>
            </w:pPr>
            <w:r w:rsidRPr="004454E8">
              <w:t>Prosječni izbježivi troškovi</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ADSL</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Asymetric Digital Subscriber Line</w:t>
            </w:r>
          </w:p>
        </w:tc>
        <w:tc>
          <w:tcPr>
            <w:tcW w:w="4112" w:type="dxa"/>
            <w:shd w:val="clear" w:color="auto" w:fill="auto"/>
            <w:vAlign w:val="center"/>
            <w:hideMark/>
          </w:tcPr>
          <w:p w:rsidR="00E6032F" w:rsidRPr="008579EF" w:rsidRDefault="00E6032F" w:rsidP="00E6032F">
            <w:pPr>
              <w:rPr>
                <w:rFonts w:ascii="Calibri" w:eastAsia="Calibri" w:hAnsi="Calibri"/>
              </w:rPr>
            </w:pPr>
            <w:r w:rsidRPr="00CE7D9C">
              <w:rPr>
                <w:rFonts w:ascii="Calibri" w:eastAsia="Calibri" w:hAnsi="Calibri"/>
              </w:rPr>
              <w:t xml:space="preserve">asimetrična digitalna pretplatnička linija, inačice: </w:t>
            </w:r>
            <w:r>
              <w:rPr>
                <w:rFonts w:ascii="Calibri" w:eastAsia="Calibri" w:hAnsi="Calibri"/>
              </w:rPr>
              <w:t xml:space="preserve">ADSL, </w:t>
            </w:r>
            <w:r w:rsidRPr="00CE7D9C">
              <w:rPr>
                <w:rFonts w:ascii="Calibri" w:eastAsia="Calibri" w:hAnsi="Calibri"/>
              </w:rPr>
              <w:t>ADSL2, ADSL2+</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sidRPr="00CD123B">
              <w:rPr>
                <w:rFonts w:ascii="Calibri" w:eastAsia="Times New Roman" w:hAnsi="Calibri" w:cs="Calibri"/>
                <w:lang w:eastAsia="hr-HR"/>
              </w:rPr>
              <w:t>BSA</w:t>
            </w:r>
          </w:p>
        </w:tc>
        <w:tc>
          <w:tcPr>
            <w:tcW w:w="3456" w:type="dxa"/>
            <w:shd w:val="clear" w:color="auto" w:fill="auto"/>
            <w:vAlign w:val="center"/>
          </w:tcPr>
          <w:p w:rsidR="00E6032F" w:rsidRPr="004A39BD" w:rsidRDefault="00E6032F" w:rsidP="00E6032F">
            <w:pPr>
              <w:rPr>
                <w:rFonts w:ascii="Calibri" w:eastAsia="Calibri" w:hAnsi="Calibri"/>
                <w:iCs/>
              </w:rPr>
            </w:pPr>
            <w:r w:rsidRPr="004A39BD">
              <w:rPr>
                <w:rFonts w:ascii="Calibri" w:eastAsia="Times New Roman" w:hAnsi="Calibri" w:cs="Calibri"/>
                <w:lang w:eastAsia="hr-HR"/>
              </w:rPr>
              <w:t>Bitstream Access</w:t>
            </w:r>
          </w:p>
        </w:tc>
        <w:tc>
          <w:tcPr>
            <w:tcW w:w="4112" w:type="dxa"/>
            <w:shd w:val="clear" w:color="auto" w:fill="auto"/>
            <w:vAlign w:val="center"/>
          </w:tcPr>
          <w:p w:rsidR="00E6032F" w:rsidRPr="00CD123B" w:rsidRDefault="00E6032F" w:rsidP="00E6032F">
            <w:pPr>
              <w:rPr>
                <w:rFonts w:ascii="Calibri" w:eastAsia="Times New Roman" w:hAnsi="Calibri" w:cs="Calibri"/>
                <w:lang w:eastAsia="hr-HR"/>
              </w:rPr>
            </w:pPr>
            <w:r w:rsidRPr="00CD123B">
              <w:rPr>
                <w:rFonts w:ascii="Calibri" w:eastAsia="Times New Roman" w:hAnsi="Calibri" w:cs="Calibri"/>
                <w:lang w:eastAsia="hr-HR"/>
              </w:rPr>
              <w:t xml:space="preserve">Usluga veleprodajnog širokopojasnog pristupa – </w:t>
            </w:r>
            <w:r w:rsidRPr="00CD123B">
              <w:rPr>
                <w:rFonts w:ascii="Calibri" w:eastAsia="Times New Roman" w:hAnsi="Calibri" w:cs="Calibri"/>
                <w:i/>
                <w:lang w:eastAsia="hr-HR"/>
              </w:rPr>
              <w:t>bitstream</w:t>
            </w:r>
            <w:r w:rsidRPr="00CD123B">
              <w:rPr>
                <w:rFonts w:ascii="Calibri" w:eastAsia="Times New Roman" w:hAnsi="Calibri" w:cs="Calibri"/>
                <w:lang w:eastAsia="hr-HR"/>
              </w:rPr>
              <w:t xml:space="preserve"> usluga</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BRAS</w:t>
            </w:r>
          </w:p>
        </w:tc>
        <w:tc>
          <w:tcPr>
            <w:tcW w:w="3456" w:type="dxa"/>
            <w:shd w:val="clear" w:color="auto" w:fill="auto"/>
            <w:vAlign w:val="center"/>
          </w:tcPr>
          <w:p w:rsidR="00E6032F" w:rsidRPr="004A39BD" w:rsidRDefault="00E6032F" w:rsidP="00E6032F">
            <w:pPr>
              <w:rPr>
                <w:rFonts w:ascii="Calibri" w:eastAsia="Calibri" w:hAnsi="Calibri"/>
                <w:iCs/>
              </w:rPr>
            </w:pPr>
            <w:r w:rsidRPr="004A39BD">
              <w:rPr>
                <w:rFonts w:ascii="Calibri" w:eastAsia="Calibri" w:hAnsi="Calibri"/>
                <w:iCs/>
              </w:rPr>
              <w:t>Broadband Remote Access Server</w:t>
            </w:r>
          </w:p>
        </w:tc>
        <w:tc>
          <w:tcPr>
            <w:tcW w:w="4112" w:type="dxa"/>
            <w:shd w:val="clear" w:color="auto" w:fill="auto"/>
            <w:vAlign w:val="center"/>
          </w:tcPr>
          <w:p w:rsidR="00E6032F" w:rsidRPr="00CD123B" w:rsidRDefault="00E6032F" w:rsidP="00E6032F">
            <w:pPr>
              <w:rPr>
                <w:rFonts w:ascii="Calibri" w:eastAsia="Times New Roman" w:hAnsi="Calibri" w:cs="Calibri"/>
                <w:lang w:eastAsia="hr-HR"/>
              </w:rPr>
            </w:pPr>
            <w:r>
              <w:rPr>
                <w:rFonts w:ascii="Calibri" w:eastAsia="Times New Roman" w:hAnsi="Calibri" w:cs="Calibri"/>
                <w:lang w:eastAsia="hr-HR"/>
              </w:rPr>
              <w:t>Server za agregiranje sesija korisnika od pristupne mreže na internet</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BU</w:t>
            </w:r>
          </w:p>
        </w:tc>
        <w:tc>
          <w:tcPr>
            <w:tcW w:w="3456" w:type="dxa"/>
            <w:shd w:val="clear" w:color="auto" w:fill="auto"/>
            <w:vAlign w:val="center"/>
          </w:tcPr>
          <w:p w:rsidR="00E6032F" w:rsidRPr="004A39BD" w:rsidRDefault="00E6032F" w:rsidP="00E6032F">
            <w:pPr>
              <w:rPr>
                <w:rFonts w:ascii="Calibri" w:eastAsia="Calibri" w:hAnsi="Calibri"/>
                <w:iCs/>
              </w:rPr>
            </w:pPr>
            <w:r w:rsidRPr="004A39BD">
              <w:rPr>
                <w:rFonts w:ascii="Calibri" w:eastAsia="Calibri" w:hAnsi="Calibri"/>
                <w:iCs/>
              </w:rPr>
              <w:t>Bottom Up</w:t>
            </w:r>
          </w:p>
        </w:tc>
        <w:tc>
          <w:tcPr>
            <w:tcW w:w="4112" w:type="dxa"/>
            <w:shd w:val="clear" w:color="auto" w:fill="auto"/>
            <w:vAlign w:val="center"/>
          </w:tcPr>
          <w:p w:rsidR="00E6032F" w:rsidRDefault="00E6032F" w:rsidP="00E6032F">
            <w:pPr>
              <w:rPr>
                <w:rFonts w:ascii="Calibri" w:eastAsia="Times New Roman" w:hAnsi="Calibri" w:cs="Calibri"/>
                <w:lang w:eastAsia="hr-HR"/>
              </w:rPr>
            </w:pPr>
            <w:r>
              <w:rPr>
                <w:rFonts w:ascii="Calibri" w:eastAsia="Times New Roman" w:hAnsi="Calibri" w:cs="Calibri"/>
                <w:lang w:eastAsia="hr-HR"/>
              </w:rPr>
              <w:t>Odozod prema gore</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BU-LRAIC</w:t>
            </w:r>
          </w:p>
        </w:tc>
        <w:tc>
          <w:tcPr>
            <w:tcW w:w="3456" w:type="dxa"/>
            <w:shd w:val="clear" w:color="auto" w:fill="auto"/>
            <w:vAlign w:val="center"/>
          </w:tcPr>
          <w:p w:rsidR="00E6032F" w:rsidRPr="004A39BD" w:rsidRDefault="00E6032F" w:rsidP="00E6032F">
            <w:pPr>
              <w:rPr>
                <w:rFonts w:ascii="Calibri" w:eastAsia="Calibri" w:hAnsi="Calibri"/>
                <w:iCs/>
              </w:rPr>
            </w:pPr>
            <w:r w:rsidRPr="004A39BD">
              <w:rPr>
                <w:rFonts w:ascii="Calibri" w:eastAsia="Calibri" w:hAnsi="Calibri"/>
                <w:iCs/>
              </w:rPr>
              <w:t>Bottom Up Long Run Incremental Cost</w:t>
            </w:r>
          </w:p>
        </w:tc>
        <w:tc>
          <w:tcPr>
            <w:tcW w:w="4112" w:type="dxa"/>
            <w:shd w:val="clear" w:color="auto" w:fill="auto"/>
            <w:vAlign w:val="center"/>
          </w:tcPr>
          <w:p w:rsidR="00E6032F" w:rsidRPr="008579EF" w:rsidRDefault="00E6032F" w:rsidP="00E6032F">
            <w:pPr>
              <w:rPr>
                <w:rFonts w:ascii="Calibri" w:eastAsia="Calibri" w:hAnsi="Calibri"/>
              </w:rPr>
            </w:pPr>
            <w:r w:rsidRPr="00CD123B">
              <w:rPr>
                <w:rFonts w:ascii="Calibri" w:eastAsia="Times New Roman" w:hAnsi="Calibri" w:cs="Calibri"/>
                <w:lang w:eastAsia="hr-HR"/>
              </w:rPr>
              <w:t xml:space="preserve">LRIC troškovni standard s pristupom odozdo prema gore </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CAPEX</w:t>
            </w:r>
          </w:p>
        </w:tc>
        <w:tc>
          <w:tcPr>
            <w:tcW w:w="3456" w:type="dxa"/>
            <w:shd w:val="clear" w:color="auto" w:fill="auto"/>
            <w:vAlign w:val="center"/>
          </w:tcPr>
          <w:p w:rsidR="00E6032F" w:rsidRPr="004A39BD" w:rsidRDefault="00E6032F" w:rsidP="00E6032F">
            <w:pPr>
              <w:rPr>
                <w:rFonts w:ascii="Calibri" w:eastAsia="Calibri" w:hAnsi="Calibri"/>
                <w:iCs/>
              </w:rPr>
            </w:pPr>
            <w:r w:rsidRPr="004A39BD">
              <w:rPr>
                <w:rFonts w:ascii="Calibri" w:eastAsia="Calibri" w:hAnsi="Calibri"/>
                <w:iCs/>
              </w:rPr>
              <w:t>Capital Expenditure</w:t>
            </w:r>
          </w:p>
        </w:tc>
        <w:tc>
          <w:tcPr>
            <w:tcW w:w="4112" w:type="dxa"/>
            <w:shd w:val="clear" w:color="auto" w:fill="auto"/>
            <w:vAlign w:val="center"/>
          </w:tcPr>
          <w:p w:rsidR="00E6032F" w:rsidRPr="00CD123B" w:rsidRDefault="00E6032F" w:rsidP="00E6032F">
            <w:pPr>
              <w:rPr>
                <w:rFonts w:ascii="Calibri" w:eastAsia="Times New Roman" w:hAnsi="Calibri" w:cs="Calibri"/>
                <w:lang w:eastAsia="hr-HR"/>
              </w:rPr>
            </w:pPr>
            <w:r>
              <w:rPr>
                <w:rFonts w:ascii="Calibri" w:eastAsia="Times New Roman" w:hAnsi="Calibri" w:cs="Calibri"/>
                <w:lang w:eastAsia="hr-HR"/>
              </w:rPr>
              <w:t>Kapitalni izdaci</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CCA</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Current Cost Accounting</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Tekuće troškovno računovodstvo</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CO</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Central Office</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Centrala</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CWDM</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Coarse Wavelength Division multiplexing</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Valno multipleksiranje s grubom podjelom valnih duljina</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i/>
                <w:iCs/>
              </w:rPr>
            </w:pPr>
            <w:r>
              <w:rPr>
                <w:rFonts w:ascii="Calibri" w:eastAsia="Calibri" w:hAnsi="Calibri"/>
                <w:i/>
                <w:iCs/>
              </w:rPr>
              <w:t>D</w:t>
            </w:r>
            <w:r w:rsidRPr="008579EF">
              <w:rPr>
                <w:rFonts w:ascii="Calibri" w:eastAsia="Calibri" w:hAnsi="Calibri"/>
                <w:i/>
                <w:iCs/>
              </w:rPr>
              <w:t xml:space="preserve">ark </w:t>
            </w:r>
            <w:r>
              <w:rPr>
                <w:rFonts w:ascii="Calibri" w:eastAsia="Calibri" w:hAnsi="Calibri"/>
                <w:i/>
                <w:iCs/>
              </w:rPr>
              <w:t>F</w:t>
            </w:r>
            <w:r w:rsidRPr="008579EF">
              <w:rPr>
                <w:rFonts w:ascii="Calibri" w:eastAsia="Calibri" w:hAnsi="Calibri"/>
                <w:i/>
                <w:iCs/>
              </w:rPr>
              <w:t>ibre</w:t>
            </w:r>
            <w:r w:rsidRPr="008579EF">
              <w:rPr>
                <w:rFonts w:ascii="Calibri" w:eastAsia="Calibri" w:hAnsi="Calibri"/>
              </w:rPr>
              <w:t xml:space="preserve"> </w:t>
            </w:r>
          </w:p>
        </w:tc>
        <w:tc>
          <w:tcPr>
            <w:tcW w:w="7568" w:type="dxa"/>
            <w:gridSpan w:val="2"/>
            <w:shd w:val="clear" w:color="auto" w:fill="auto"/>
            <w:noWrap/>
            <w:vAlign w:val="center"/>
            <w:hideMark/>
          </w:tcPr>
          <w:p w:rsidR="00E6032F" w:rsidRPr="004A39BD" w:rsidRDefault="00E6032F" w:rsidP="00E6032F">
            <w:pPr>
              <w:rPr>
                <w:rFonts w:ascii="Calibri" w:eastAsia="Calibri" w:hAnsi="Calibri"/>
              </w:rPr>
            </w:pPr>
            <w:r w:rsidRPr="004A39BD">
              <w:rPr>
                <w:rFonts w:ascii="Calibri" w:eastAsia="Calibri" w:hAnsi="Calibri"/>
              </w:rPr>
              <w:t xml:space="preserve">svjetlovodna nit/svjetlovodne niti bez prijenosne opreme </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DESI</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Digital Economy and Society Indeks</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Indeks gospodarske i društvene digitalizacije koji je razvila Europska komisija</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DF</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Distribution Frame</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Distribucijski razdjelnik</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DNS</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Domain Name System</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Pretvaranje naziva domena u numeričke IP adrese</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DOCSIS</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Data Over Cable Service Interface Specification</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Specifikacije sučelja za prijenos podataka preko kabelskih mreža</w:t>
            </w:r>
          </w:p>
        </w:tc>
      </w:tr>
      <w:tr w:rsidR="00E6032F" w:rsidRPr="00243F8D" w:rsidTr="00E6032F">
        <w:trPr>
          <w:trHeight w:val="315"/>
        </w:trPr>
        <w:tc>
          <w:tcPr>
            <w:tcW w:w="1492" w:type="dxa"/>
            <w:shd w:val="clear" w:color="auto" w:fill="auto"/>
            <w:noWrap/>
            <w:vAlign w:val="center"/>
          </w:tcPr>
          <w:p w:rsidR="00E6032F" w:rsidRPr="007F5348" w:rsidRDefault="00E6032F" w:rsidP="00E6032F">
            <w:pPr>
              <w:rPr>
                <w:rFonts w:ascii="Calibri" w:eastAsia="Calibri" w:hAnsi="Calibri"/>
              </w:rPr>
            </w:pPr>
            <w:r>
              <w:rPr>
                <w:rFonts w:ascii="Calibri" w:eastAsia="Calibri" w:hAnsi="Calibri"/>
              </w:rPr>
              <w:t>DN</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Distribution Node</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Distribucijski čvor</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DP</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Distribution Point</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 xml:space="preserve">Distribucijska točka </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DSL</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Digital Subscriber Line</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digitalna pretplatnička linija </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DSLAM</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Digital Subscriber Line Access Multiplexer</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pristupni multipleksor digitalne pretplatničke linije </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DWDM</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Dense Wavelenght Division Multiplexing</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Valno multipleksiranje s gustom podjelom valnih duljina</w:t>
            </w:r>
          </w:p>
        </w:tc>
      </w:tr>
      <w:tr w:rsidR="00E6032F" w:rsidRPr="00243F8D" w:rsidTr="00E6032F">
        <w:trPr>
          <w:trHeight w:val="630"/>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EPMU</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Equi-Proportional Mark-Up</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Metoda jednako proporcionalnog dodatka</w:t>
            </w:r>
          </w:p>
        </w:tc>
      </w:tr>
      <w:tr w:rsidR="00E6032F" w:rsidRPr="00243F8D" w:rsidTr="00E6032F">
        <w:trPr>
          <w:trHeight w:val="630"/>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FA-PON</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Fibre Access – Passive Optical Network</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Pristup pasivnoj pristupnoj svjetlovodnoj mreži na lokaciji distribucijskog čvora za svjetlovodne distribucijske mreže</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FAC</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Fully Allocated Costs</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Potpuno raspodijeljeni troškovi</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FAR</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t>Fixed Assets Register</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 xml:space="preserve">Knjiga osnovnih sredstava </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FTTA</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Fiber to the Area</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Svjetlovod od područja</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FTTB</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Fibre to the Building</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koncept svjetlovodne niti do zgrade </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FTTC</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Fibre to the Cabinet</w:t>
            </w:r>
          </w:p>
          <w:p w:rsidR="00E6032F" w:rsidRPr="004A39BD" w:rsidRDefault="00E6032F" w:rsidP="00E6032F">
            <w:pPr>
              <w:rPr>
                <w:rFonts w:ascii="Calibri" w:eastAsia="Calibri" w:hAnsi="Calibri"/>
                <w:iCs/>
              </w:rPr>
            </w:pPr>
            <w:r w:rsidRPr="004A39BD">
              <w:rPr>
                <w:rFonts w:ascii="Calibri" w:eastAsia="Calibri" w:hAnsi="Calibri"/>
                <w:iCs/>
              </w:rPr>
              <w:t>Fibre to the Curb</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koncept svjetlovodne niti do uličnog kabineta (zavisnog čvora)</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FTTDP</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Fibre to the Distribution Point</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Koncept svjetlovodne niti do distribucijskog čvora</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FTTH</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Fibre to the Home</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koncept svjetlovodne niti do stana </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FTTN </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Fibre to the Node</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koncept svjetlovodne niti do nezavisnog čvora </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FWA</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t>Fixed Wireless Access</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Nepokretni bežični pristup</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G &amp; A</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General and Administrative Expenses</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Opći i administrativni troškovi</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GBV</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t>Gross Book Value</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Bruto knjigovodstvena vrijednost</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GRC</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Gross Replacement Cost</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Bruto trošak zamjene</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HDTV</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High Definition Television</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televizija visoke kakvoće</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HSS</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Home Subscriber Server</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Poslužitelj (server) za čuvanje podataka o pretplatnicima</w:t>
            </w:r>
          </w:p>
        </w:tc>
      </w:tr>
      <w:tr w:rsidR="00E6032F" w:rsidRPr="00243F8D" w:rsidTr="00E6032F">
        <w:trPr>
          <w:trHeight w:val="94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IP</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Internet Protocol</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mrežni protokol za prijenos podataka kojeg koriste izvorišna i odredišna računala za uspostavu podatkovne komunikacije preko računalne mreže</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IPTV </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Internet Protocol Television</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usluga digitalne televizije koja koristi internetski protokol</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KTV</w:t>
            </w:r>
          </w:p>
        </w:tc>
        <w:tc>
          <w:tcPr>
            <w:tcW w:w="7568" w:type="dxa"/>
            <w:gridSpan w:val="2"/>
            <w:shd w:val="clear" w:color="auto" w:fill="auto"/>
            <w:noWrap/>
            <w:vAlign w:val="center"/>
            <w:hideMark/>
          </w:tcPr>
          <w:p w:rsidR="00E6032F" w:rsidRPr="004A39BD" w:rsidRDefault="00E6032F" w:rsidP="00E6032F">
            <w:pPr>
              <w:rPr>
                <w:rFonts w:ascii="Calibri" w:eastAsia="Calibri" w:hAnsi="Calibri"/>
              </w:rPr>
            </w:pPr>
            <w:r w:rsidRPr="004A39BD">
              <w:rPr>
                <w:rFonts w:ascii="Calibri" w:eastAsia="Calibri" w:hAnsi="Calibri"/>
              </w:rPr>
              <w:t>Kabelska televizija, pristup putem kabelskih mreža</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LLU</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Local Loop Unbundling</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izdvojeni pristup lokalnoj petlji</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LRAIC</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Long Run Average Incremental Cost</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Metoda dugoročnih prosječnih inkrementalnih troškova</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LRIC</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Long Run Incremental Cost</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Metoda dugoročnih inkrementalnih troškova</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MDF</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Main Distribution Frame</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glavni razdjelnik</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MPLS</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Multiprotocol Label Switching</w:t>
            </w:r>
          </w:p>
        </w:tc>
        <w:tc>
          <w:tcPr>
            <w:tcW w:w="4112" w:type="dxa"/>
            <w:shd w:val="clear" w:color="auto" w:fill="auto"/>
            <w:vAlign w:val="center"/>
          </w:tcPr>
          <w:p w:rsidR="00E6032F" w:rsidRPr="008579EF" w:rsidRDefault="00E6032F" w:rsidP="00E6032F">
            <w:pPr>
              <w:rPr>
                <w:rFonts w:ascii="Calibri" w:eastAsia="Calibri" w:hAnsi="Calibri"/>
              </w:rPr>
            </w:pPr>
            <w:r>
              <w:rPr>
                <w:rFonts w:ascii="Calibri" w:eastAsia="Calibri" w:hAnsi="Calibri"/>
              </w:rPr>
              <w:t>Tehnologija prosljeđivanja paketa zamjenom oznaka</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MSAN</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Multiservice Access Node</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Pristupni čvor za više usluga</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NBV</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t>Net Book Value</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Neto knjigovodstvena vrijednost</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NGA</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Next Generation Access</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pristupn</w:t>
            </w:r>
            <w:r>
              <w:rPr>
                <w:rFonts w:ascii="Calibri" w:eastAsia="Calibri" w:hAnsi="Calibri"/>
              </w:rPr>
              <w:t xml:space="preserve">a </w:t>
            </w:r>
            <w:r w:rsidRPr="008579EF">
              <w:rPr>
                <w:rFonts w:ascii="Calibri" w:eastAsia="Calibri" w:hAnsi="Calibri"/>
              </w:rPr>
              <w:t>mrež</w:t>
            </w:r>
            <w:r>
              <w:rPr>
                <w:rFonts w:ascii="Calibri" w:eastAsia="Calibri" w:hAnsi="Calibri"/>
              </w:rPr>
              <w:t xml:space="preserve">a sljedeće </w:t>
            </w:r>
            <w:r w:rsidRPr="008579EF">
              <w:rPr>
                <w:rFonts w:ascii="Calibri" w:eastAsia="Calibri" w:hAnsi="Calibri"/>
              </w:rPr>
              <w:t>generacije</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NGN</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Next Generation Network</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mreža </w:t>
            </w:r>
            <w:r>
              <w:rPr>
                <w:rFonts w:ascii="Calibri" w:eastAsia="Calibri" w:hAnsi="Calibri"/>
              </w:rPr>
              <w:t>sljedeće</w:t>
            </w:r>
            <w:r w:rsidRPr="008579EF">
              <w:rPr>
                <w:rFonts w:ascii="Calibri" w:eastAsia="Calibri" w:hAnsi="Calibri"/>
              </w:rPr>
              <w:t xml:space="preserve"> generacije</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ODF</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Optical Distribution Frame</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svjetlovodni razdjelnik</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OLT</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Optical Line Termination</w:t>
            </w:r>
          </w:p>
        </w:tc>
        <w:tc>
          <w:tcPr>
            <w:tcW w:w="411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završna točka svjetlovodne linije</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ONP</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Okvirni nacionalni program</w:t>
            </w:r>
          </w:p>
        </w:tc>
        <w:tc>
          <w:tcPr>
            <w:tcW w:w="411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Razvoj širokopojasnih pristupnih mreža gdje ne postoji komercijalni interes</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OPEX</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Operating Expenditure</w:t>
            </w:r>
          </w:p>
        </w:tc>
        <w:tc>
          <w:tcPr>
            <w:tcW w:w="411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Operativni troškovi</w:t>
            </w:r>
          </w:p>
        </w:tc>
      </w:tr>
      <w:tr w:rsidR="00E6032F" w:rsidRPr="00243F8D" w:rsidTr="00E6032F">
        <w:trPr>
          <w:trHeight w:val="315"/>
        </w:trPr>
        <w:tc>
          <w:tcPr>
            <w:tcW w:w="1492" w:type="dxa"/>
            <w:shd w:val="clear" w:color="auto" w:fill="auto"/>
            <w:noWrap/>
            <w:vAlign w:val="center"/>
          </w:tcPr>
          <w:p w:rsidR="00E6032F" w:rsidRDefault="00E6032F" w:rsidP="00E6032F">
            <w:pPr>
              <w:rPr>
                <w:rFonts w:ascii="Calibri" w:eastAsia="Calibri" w:hAnsi="Calibri"/>
              </w:rPr>
            </w:pPr>
            <w:r>
              <w:rPr>
                <w:rFonts w:ascii="Calibri" w:eastAsia="Calibri" w:hAnsi="Calibri"/>
              </w:rPr>
              <w:t>OTT</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Over the Top</w:t>
            </w:r>
          </w:p>
        </w:tc>
        <w:tc>
          <w:tcPr>
            <w:tcW w:w="4112" w:type="dxa"/>
            <w:shd w:val="clear" w:color="auto" w:fill="auto"/>
            <w:noWrap/>
            <w:vAlign w:val="center"/>
          </w:tcPr>
          <w:p w:rsidR="00E6032F" w:rsidRDefault="00E6032F" w:rsidP="00E6032F">
            <w:pPr>
              <w:rPr>
                <w:rFonts w:ascii="Calibri" w:eastAsia="Calibri" w:hAnsi="Calibri"/>
              </w:rPr>
            </w:pPr>
            <w:r>
              <w:rPr>
                <w:rFonts w:ascii="Calibri" w:eastAsia="Calibri" w:hAnsi="Calibri"/>
              </w:rPr>
              <w:t>Usluge povrh IP protokola</w:t>
            </w:r>
          </w:p>
        </w:tc>
      </w:tr>
      <w:tr w:rsidR="00E6032F" w:rsidRPr="00243F8D" w:rsidTr="00E6032F">
        <w:trPr>
          <w:trHeight w:val="476"/>
        </w:trPr>
        <w:tc>
          <w:tcPr>
            <w:tcW w:w="1492" w:type="dxa"/>
            <w:shd w:val="clear" w:color="auto" w:fill="auto"/>
            <w:noWrap/>
            <w:vAlign w:val="center"/>
            <w:hideMark/>
          </w:tcPr>
          <w:p w:rsidR="00E6032F" w:rsidRPr="008579EF" w:rsidRDefault="00E6032F" w:rsidP="00E6032F">
            <w:pPr>
              <w:rPr>
                <w:rFonts w:ascii="Calibri" w:eastAsia="Calibri" w:hAnsi="Calibri"/>
              </w:rPr>
            </w:pPr>
            <w:r>
              <w:rPr>
                <w:rFonts w:ascii="Calibri" w:eastAsia="Calibri" w:hAnsi="Calibri"/>
              </w:rPr>
              <w:t>P2M</w:t>
            </w:r>
            <w:r w:rsidRPr="008579EF">
              <w:rPr>
                <w:rFonts w:ascii="Calibri" w:eastAsia="Calibri" w:hAnsi="Calibri"/>
              </w:rPr>
              <w:t xml:space="preserve">P </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Point- to-Multipoint</w:t>
            </w:r>
          </w:p>
        </w:tc>
        <w:tc>
          <w:tcPr>
            <w:tcW w:w="4112" w:type="dxa"/>
            <w:shd w:val="clear" w:color="auto" w:fill="auto"/>
            <w:hideMark/>
          </w:tcPr>
          <w:p w:rsidR="00E6032F" w:rsidRPr="00CE7D9C" w:rsidRDefault="00E6032F" w:rsidP="00E6032F">
            <w:pPr>
              <w:rPr>
                <w:rFonts w:ascii="Calibri" w:eastAsia="Calibri" w:hAnsi="Calibri"/>
              </w:rPr>
            </w:pPr>
            <w:r>
              <w:rPr>
                <w:rFonts w:ascii="Calibri" w:eastAsia="Calibri" w:hAnsi="Calibri"/>
              </w:rPr>
              <w:t>mrežna topologija</w:t>
            </w:r>
            <w:r w:rsidRPr="00CE7D9C">
              <w:rPr>
                <w:rFonts w:ascii="Calibri" w:eastAsia="Calibri" w:hAnsi="Calibri"/>
              </w:rPr>
              <w:t xml:space="preserve"> </w:t>
            </w:r>
            <w:r>
              <w:rPr>
                <w:rFonts w:ascii="Calibri" w:eastAsia="Calibri" w:hAnsi="Calibri"/>
              </w:rPr>
              <w:t>točka-više točaka u FTTH pristupnim mrežama</w:t>
            </w:r>
          </w:p>
        </w:tc>
      </w:tr>
      <w:tr w:rsidR="00E6032F" w:rsidRPr="00243F8D" w:rsidTr="00E6032F">
        <w:trPr>
          <w:trHeight w:val="569"/>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P2P </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Point-to-Point</w:t>
            </w:r>
          </w:p>
        </w:tc>
        <w:tc>
          <w:tcPr>
            <w:tcW w:w="4112" w:type="dxa"/>
            <w:shd w:val="clear" w:color="auto" w:fill="auto"/>
            <w:hideMark/>
          </w:tcPr>
          <w:p w:rsidR="00E6032F" w:rsidRPr="00CE7D9C" w:rsidRDefault="00E6032F" w:rsidP="00E6032F">
            <w:pPr>
              <w:rPr>
                <w:rFonts w:ascii="Calibri" w:eastAsia="Calibri" w:hAnsi="Calibri"/>
              </w:rPr>
            </w:pPr>
            <w:r>
              <w:rPr>
                <w:rFonts w:ascii="Calibri" w:eastAsia="Calibri" w:hAnsi="Calibri"/>
              </w:rPr>
              <w:t>mrežna topologija</w:t>
            </w:r>
            <w:r w:rsidRPr="00CE7D9C">
              <w:rPr>
                <w:rFonts w:ascii="Calibri" w:eastAsia="Calibri" w:hAnsi="Calibri"/>
              </w:rPr>
              <w:t xml:space="preserve"> </w:t>
            </w:r>
            <w:r>
              <w:rPr>
                <w:rFonts w:ascii="Calibri" w:eastAsia="Calibri" w:hAnsi="Calibri"/>
              </w:rPr>
              <w:t>točka- točka u FTTH pristupnim mrežama</w:t>
            </w:r>
          </w:p>
        </w:tc>
      </w:tr>
      <w:tr w:rsidR="00E6032F" w:rsidRPr="00243F8D" w:rsidTr="00E6032F">
        <w:trPr>
          <w:trHeight w:val="563"/>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PON FTTH</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Passive Optical Network</w:t>
            </w:r>
          </w:p>
        </w:tc>
        <w:tc>
          <w:tcPr>
            <w:tcW w:w="4112" w:type="dxa"/>
            <w:shd w:val="clear" w:color="auto" w:fill="auto"/>
            <w:hideMark/>
          </w:tcPr>
          <w:p w:rsidR="00E6032F" w:rsidRPr="00CE7D9C" w:rsidRDefault="00E6032F" w:rsidP="00E6032F">
            <w:pPr>
              <w:rPr>
                <w:rFonts w:ascii="Calibri" w:eastAsia="Calibri" w:hAnsi="Calibri"/>
              </w:rPr>
            </w:pPr>
            <w:r w:rsidRPr="00CE7D9C">
              <w:rPr>
                <w:rFonts w:ascii="Calibri" w:eastAsia="Calibri" w:hAnsi="Calibri"/>
              </w:rPr>
              <w:t xml:space="preserve">pasivna svjetlovodna mreža </w:t>
            </w:r>
            <w:r>
              <w:rPr>
                <w:rFonts w:ascii="Calibri" w:eastAsia="Calibri" w:hAnsi="Calibri"/>
              </w:rPr>
              <w:t>temeljena na topologiji točka-više točaka</w:t>
            </w:r>
          </w:p>
        </w:tc>
      </w:tr>
      <w:tr w:rsidR="00E6032F" w:rsidRPr="00243F8D" w:rsidTr="00E6032F">
        <w:trPr>
          <w:trHeight w:val="563"/>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RADIUS</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eastAsiaTheme="minorEastAsia"/>
              </w:rPr>
              <w:t>Remote Autentification Dial-In User Service</w:t>
            </w:r>
          </w:p>
        </w:tc>
        <w:tc>
          <w:tcPr>
            <w:tcW w:w="4112" w:type="dxa"/>
            <w:shd w:val="clear" w:color="auto" w:fill="auto"/>
          </w:tcPr>
          <w:p w:rsidR="00E6032F" w:rsidRPr="00CE7D9C" w:rsidRDefault="00E6032F" w:rsidP="00E6032F">
            <w:pPr>
              <w:rPr>
                <w:rFonts w:ascii="Calibri" w:eastAsia="Calibri" w:hAnsi="Calibri"/>
              </w:rPr>
            </w:pPr>
          </w:p>
        </w:tc>
      </w:tr>
      <w:tr w:rsidR="00E6032F" w:rsidRPr="00243F8D" w:rsidTr="00E6032F">
        <w:trPr>
          <w:trHeight w:val="630"/>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VDSL</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Very High Bitrate Digital Subscriber Line</w:t>
            </w:r>
          </w:p>
        </w:tc>
        <w:tc>
          <w:tcPr>
            <w:tcW w:w="4112" w:type="dxa"/>
            <w:shd w:val="clear" w:color="auto" w:fill="auto"/>
            <w:vAlign w:val="center"/>
            <w:hideMark/>
          </w:tcPr>
          <w:p w:rsidR="00E6032F" w:rsidRPr="008579EF" w:rsidRDefault="00E6032F" w:rsidP="00E6032F">
            <w:pPr>
              <w:rPr>
                <w:rFonts w:ascii="Calibri" w:eastAsia="Calibri" w:hAnsi="Calibri"/>
              </w:rPr>
            </w:pPr>
            <w:r w:rsidRPr="00CE7D9C">
              <w:rPr>
                <w:rFonts w:ascii="Calibri" w:eastAsia="Calibri" w:hAnsi="Calibri"/>
              </w:rPr>
              <w:t>digitalna pretplatnička linija vrlo velike brzine prijenosa, inačic</w:t>
            </w:r>
            <w:r>
              <w:rPr>
                <w:rFonts w:ascii="Calibri" w:eastAsia="Calibri" w:hAnsi="Calibri"/>
              </w:rPr>
              <w:t xml:space="preserve">e: VDSL, </w:t>
            </w:r>
            <w:r w:rsidRPr="00CE7D9C">
              <w:rPr>
                <w:rFonts w:ascii="Calibri" w:eastAsia="Calibri" w:hAnsi="Calibri"/>
              </w:rPr>
              <w:t>VDSL2</w:t>
            </w:r>
          </w:p>
        </w:tc>
      </w:tr>
      <w:tr w:rsidR="00E6032F" w:rsidRPr="00243F8D" w:rsidTr="00E6032F">
        <w:trPr>
          <w:trHeight w:val="630"/>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VHCN</w:t>
            </w:r>
          </w:p>
        </w:tc>
        <w:tc>
          <w:tcPr>
            <w:tcW w:w="3456" w:type="dxa"/>
            <w:shd w:val="clear" w:color="auto" w:fill="auto"/>
            <w:noWrap/>
            <w:vAlign w:val="center"/>
          </w:tcPr>
          <w:p w:rsidR="00E6032F" w:rsidRPr="004A39BD" w:rsidRDefault="00E6032F" w:rsidP="00E6032F">
            <w:pPr>
              <w:rPr>
                <w:rFonts w:ascii="Calibri" w:eastAsia="Calibri" w:hAnsi="Calibri"/>
                <w:iCs/>
              </w:rPr>
            </w:pPr>
            <w:r w:rsidRPr="004A39BD">
              <w:rPr>
                <w:rFonts w:ascii="Calibri" w:eastAsia="Calibri" w:hAnsi="Calibri"/>
                <w:iCs/>
              </w:rPr>
              <w:t>Very High Capacity Networks</w:t>
            </w:r>
          </w:p>
        </w:tc>
        <w:tc>
          <w:tcPr>
            <w:tcW w:w="4112" w:type="dxa"/>
            <w:shd w:val="clear" w:color="auto" w:fill="auto"/>
            <w:vAlign w:val="center"/>
          </w:tcPr>
          <w:p w:rsidR="00E6032F" w:rsidRPr="00CE7D9C" w:rsidRDefault="00E6032F" w:rsidP="00E6032F">
            <w:pPr>
              <w:rPr>
                <w:rFonts w:ascii="Calibri" w:eastAsia="Calibri" w:hAnsi="Calibri"/>
              </w:rPr>
            </w:pPr>
            <w:r>
              <w:rPr>
                <w:rFonts w:ascii="Calibri" w:eastAsia="Calibri" w:hAnsi="Calibri"/>
              </w:rPr>
              <w:t>Mreže vrlo velikog kapaciteta</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VoD</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Video on Demand</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video na zahtjev</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VoIP</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Voice Over Internet Protocol</w:t>
            </w:r>
          </w:p>
        </w:tc>
        <w:tc>
          <w:tcPr>
            <w:tcW w:w="4112" w:type="dxa"/>
            <w:shd w:val="clear" w:color="auto" w:fill="auto"/>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prijenos govora putem internetskog protokola </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VPN</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Virtual Private Network</w:t>
            </w:r>
          </w:p>
        </w:tc>
        <w:tc>
          <w:tcPr>
            <w:tcW w:w="4112" w:type="dxa"/>
            <w:shd w:val="clear" w:color="auto" w:fill="auto"/>
            <w:vAlign w:val="center"/>
            <w:hideMark/>
          </w:tcPr>
          <w:p w:rsidR="00E6032F" w:rsidRPr="008579EF" w:rsidRDefault="00E6032F" w:rsidP="00E6032F">
            <w:pPr>
              <w:rPr>
                <w:rFonts w:ascii="Calibri" w:eastAsia="Calibri" w:hAnsi="Calibri"/>
              </w:rPr>
            </w:pPr>
            <w:r>
              <w:rPr>
                <w:rFonts w:ascii="Calibri" w:eastAsia="Calibri" w:hAnsi="Calibri"/>
              </w:rPr>
              <w:t>virtualna privatna mreža</w:t>
            </w:r>
          </w:p>
        </w:tc>
      </w:tr>
      <w:tr w:rsidR="00E6032F" w:rsidRPr="00243F8D" w:rsidTr="00E6032F">
        <w:trPr>
          <w:trHeight w:val="315"/>
        </w:trPr>
        <w:tc>
          <w:tcPr>
            <w:tcW w:w="1492" w:type="dxa"/>
            <w:shd w:val="clear" w:color="auto" w:fill="auto"/>
            <w:noWrap/>
            <w:vAlign w:val="center"/>
          </w:tcPr>
          <w:p w:rsidR="00E6032F" w:rsidRPr="008579EF" w:rsidRDefault="00E6032F" w:rsidP="00E6032F">
            <w:pPr>
              <w:rPr>
                <w:rFonts w:ascii="Calibri" w:eastAsia="Calibri" w:hAnsi="Calibri"/>
              </w:rPr>
            </w:pPr>
            <w:r>
              <w:rPr>
                <w:rFonts w:ascii="Calibri" w:eastAsia="Calibri" w:hAnsi="Calibri"/>
              </w:rPr>
              <w:t>WACC</w:t>
            </w:r>
          </w:p>
        </w:tc>
        <w:tc>
          <w:tcPr>
            <w:tcW w:w="3456" w:type="dxa"/>
            <w:shd w:val="clear" w:color="auto" w:fill="auto"/>
            <w:noWrap/>
            <w:vAlign w:val="center"/>
          </w:tcPr>
          <w:p w:rsidR="00E6032F" w:rsidRPr="00B24D87" w:rsidRDefault="00E6032F" w:rsidP="00E6032F">
            <w:pPr>
              <w:rPr>
                <w:rFonts w:ascii="Calibri" w:eastAsia="Calibri" w:hAnsi="Calibri"/>
                <w:iCs/>
              </w:rPr>
            </w:pPr>
            <w:r w:rsidRPr="00B24D87">
              <w:rPr>
                <w:rFonts w:cstheme="minorHAnsi"/>
              </w:rPr>
              <w:t>Weighted Average Cost of Capital</w:t>
            </w:r>
          </w:p>
        </w:tc>
        <w:tc>
          <w:tcPr>
            <w:tcW w:w="4112" w:type="dxa"/>
            <w:shd w:val="clear" w:color="auto" w:fill="auto"/>
            <w:vAlign w:val="center"/>
          </w:tcPr>
          <w:p w:rsidR="00E6032F" w:rsidRDefault="00E6032F" w:rsidP="00E6032F">
            <w:pPr>
              <w:rPr>
                <w:rFonts w:ascii="Calibri" w:eastAsia="Calibri" w:hAnsi="Calibri"/>
              </w:rPr>
            </w:pPr>
            <w:r>
              <w:rPr>
                <w:rFonts w:ascii="Calibri" w:eastAsia="Calibri" w:hAnsi="Calibri"/>
              </w:rPr>
              <w:t>Ponderirani prosječni trošak kapitala</w:t>
            </w:r>
          </w:p>
        </w:tc>
      </w:tr>
      <w:tr w:rsidR="00E6032F" w:rsidRPr="00243F8D" w:rsidTr="00E6032F">
        <w:trPr>
          <w:trHeight w:val="315"/>
        </w:trPr>
        <w:tc>
          <w:tcPr>
            <w:tcW w:w="1492" w:type="dxa"/>
            <w:shd w:val="clear" w:color="auto" w:fill="auto"/>
            <w:noWrap/>
            <w:vAlign w:val="center"/>
            <w:hideMark/>
          </w:tcPr>
          <w:p w:rsidR="00E6032F" w:rsidRPr="008579EF" w:rsidRDefault="00E6032F" w:rsidP="00E6032F">
            <w:pPr>
              <w:rPr>
                <w:rFonts w:ascii="Calibri" w:eastAsia="Calibri" w:hAnsi="Calibri"/>
              </w:rPr>
            </w:pPr>
            <w:r w:rsidRPr="008579EF">
              <w:rPr>
                <w:rFonts w:ascii="Calibri" w:eastAsia="Calibri" w:hAnsi="Calibri"/>
              </w:rPr>
              <w:t xml:space="preserve">WDM </w:t>
            </w:r>
          </w:p>
        </w:tc>
        <w:tc>
          <w:tcPr>
            <w:tcW w:w="3456" w:type="dxa"/>
            <w:shd w:val="clear" w:color="auto" w:fill="auto"/>
            <w:noWrap/>
            <w:vAlign w:val="center"/>
            <w:hideMark/>
          </w:tcPr>
          <w:p w:rsidR="00E6032F" w:rsidRPr="004A39BD" w:rsidRDefault="00E6032F" w:rsidP="00E6032F">
            <w:pPr>
              <w:rPr>
                <w:rFonts w:ascii="Calibri" w:eastAsia="Calibri" w:hAnsi="Calibri"/>
                <w:iCs/>
              </w:rPr>
            </w:pPr>
            <w:r w:rsidRPr="004A39BD">
              <w:rPr>
                <w:rFonts w:ascii="Calibri" w:eastAsia="Calibri" w:hAnsi="Calibri"/>
                <w:iCs/>
              </w:rPr>
              <w:t>Wavelength Division Multiplexing</w:t>
            </w:r>
          </w:p>
        </w:tc>
        <w:tc>
          <w:tcPr>
            <w:tcW w:w="4112" w:type="dxa"/>
            <w:shd w:val="clear" w:color="auto" w:fill="auto"/>
            <w:vAlign w:val="center"/>
            <w:hideMark/>
          </w:tcPr>
          <w:p w:rsidR="00E6032F" w:rsidRPr="008579EF" w:rsidRDefault="00E6032F" w:rsidP="00E6032F">
            <w:pPr>
              <w:rPr>
                <w:rFonts w:ascii="Calibri" w:eastAsia="Calibri" w:hAnsi="Calibri"/>
              </w:rPr>
            </w:pPr>
            <w:r>
              <w:rPr>
                <w:rFonts w:ascii="Calibri" w:eastAsia="Calibri" w:hAnsi="Calibri"/>
              </w:rPr>
              <w:t>tehnologija pomoću koje</w:t>
            </w:r>
            <w:r w:rsidRPr="008579EF">
              <w:rPr>
                <w:rFonts w:ascii="Calibri" w:eastAsia="Calibri" w:hAnsi="Calibri"/>
              </w:rPr>
              <w:t xml:space="preserve"> </w:t>
            </w:r>
            <w:r>
              <w:rPr>
                <w:rFonts w:ascii="Calibri" w:eastAsia="Calibri" w:hAnsi="Calibri"/>
              </w:rPr>
              <w:t>se više signala prenosi simultano na raznim valnim duljinama u FTTx mrežama</w:t>
            </w:r>
          </w:p>
        </w:tc>
      </w:tr>
    </w:tbl>
    <w:p w:rsidR="00A9474E" w:rsidRPr="00A9474E" w:rsidRDefault="00A9474E" w:rsidP="00A9474E"/>
    <w:p w:rsidR="00A9474E" w:rsidRPr="00A9474E" w:rsidRDefault="00A9474E" w:rsidP="00A9474E"/>
    <w:bookmarkEnd w:id="2"/>
    <w:p w:rsidR="00157DFC" w:rsidRPr="00902A9A" w:rsidRDefault="00157DFC" w:rsidP="00832CC4">
      <w:pPr>
        <w:rPr>
          <w:sz w:val="24"/>
          <w:szCs w:val="24"/>
        </w:rPr>
      </w:pPr>
    </w:p>
    <w:sectPr w:rsidR="00157DFC" w:rsidRPr="00902A9A" w:rsidSect="000C67F3">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4638" w:rsidRDefault="00864638" w:rsidP="008B0F78">
      <w:pPr>
        <w:spacing w:after="0" w:line="240" w:lineRule="auto"/>
      </w:pPr>
      <w:r>
        <w:separator/>
      </w:r>
    </w:p>
  </w:endnote>
  <w:endnote w:type="continuationSeparator" w:id="0">
    <w:p w:rsidR="00864638" w:rsidRDefault="00864638" w:rsidP="008B0F78">
      <w:pPr>
        <w:spacing w:after="0" w:line="240" w:lineRule="auto"/>
      </w:pPr>
      <w:r>
        <w:continuationSeparator/>
      </w:r>
    </w:p>
  </w:endnote>
  <w:endnote w:type="continuationNotice" w:id="1">
    <w:p w:rsidR="00864638" w:rsidRDefault="008646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orbel">
    <w:panose1 w:val="020B0503020204020204"/>
    <w:charset w:val="EE"/>
    <w:family w:val="swiss"/>
    <w:pitch w:val="variable"/>
    <w:sig w:usb0="A00002EF" w:usb1="4000A44B" w:usb2="00000000" w:usb3="00000000" w:csb0="0000019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Wingdings 2">
    <w:panose1 w:val="05020102010507070707"/>
    <w:charset w:val="02"/>
    <w:family w:val="roman"/>
    <w:pitch w:val="variable"/>
    <w:sig w:usb0="00000000" w:usb1="10000000" w:usb2="00000000" w:usb3="00000000" w:csb0="80000000" w:csb1="00000000"/>
  </w:font>
  <w:font w:name="Times-Roman">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1AE7" w:rsidRPr="00D07C23" w:rsidRDefault="005B1AE7" w:rsidP="00D07C23">
    <w:pPr>
      <w:spacing w:after="0" w:line="240" w:lineRule="auto"/>
      <w:ind w:left="-357" w:right="-357"/>
      <w:jc w:val="center"/>
      <w:rPr>
        <w:rFonts w:ascii="DINCE-Regular" w:eastAsia="Times New Roman" w:hAnsi="DINCE-Regular" w:cs="Times New Roman"/>
        <w:color w:val="024182"/>
        <w:sz w:val="16"/>
        <w:szCs w:val="20"/>
        <w:lang w:eastAsia="hr-HR"/>
      </w:rPr>
    </w:pPr>
    <w:r w:rsidRPr="00D07C23">
      <w:rPr>
        <w:rFonts w:ascii="DINCE-Regular" w:eastAsia="Times New Roman" w:hAnsi="DINCE-Regular" w:cs="Times New Roman"/>
        <w:noProof/>
        <w:color w:val="024182"/>
        <w:sz w:val="16"/>
        <w:szCs w:val="20"/>
        <w:lang w:val="en-US"/>
      </w:rPr>
      <mc:AlternateContent>
        <mc:Choice Requires="wps">
          <w:drawing>
            <wp:inline distT="0" distB="0" distL="0" distR="0" wp14:anchorId="46EC3606" wp14:editId="6EE152DA">
              <wp:extent cx="6480175" cy="0"/>
              <wp:effectExtent l="9525" t="9525" r="6350" b="9525"/>
              <wp:docPr id="4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48D4531E"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q/Cm&#10;AxUCAAAqBAAADgAAAAAAAAAAAAAAAAAuAgAAZHJzL2Uyb0RvYy54bWxQSwECLQAUAAYACAAAACEA&#10;cqEVF9oAAAADAQAADwAAAAAAAAAAAAAAAABvBAAAZHJzL2Rvd25yZXYueG1sUEsFBgAAAAAEAAQA&#10;8wAAAHYFAAAAAA==&#10;" strokecolor="#024182" strokeweight=".1pt">
              <w10:anchorlock/>
            </v:line>
          </w:pict>
        </mc:Fallback>
      </mc:AlternateContent>
    </w:r>
  </w:p>
  <w:p w:rsidR="005B1AE7" w:rsidRPr="00D07C23" w:rsidRDefault="005B1AE7" w:rsidP="00D07C23">
    <w:pPr>
      <w:spacing w:before="80" w:after="0" w:line="360" w:lineRule="auto"/>
      <w:jc w:val="center"/>
      <w:rPr>
        <w:rFonts w:ascii="Corbel" w:eastAsia="Times New Roman" w:hAnsi="Corbel" w:cs="Times New Roman"/>
        <w:b/>
        <w:color w:val="024182"/>
        <w:sz w:val="15"/>
        <w:szCs w:val="15"/>
        <w:lang w:eastAsia="hr-HR"/>
      </w:rPr>
    </w:pPr>
    <w:r w:rsidRPr="00D07C23">
      <w:rPr>
        <w:rFonts w:ascii="Corbel" w:eastAsia="Times New Roman" w:hAnsi="Corbel" w:cs="Times New Roman"/>
        <w:b/>
        <w:color w:val="024182"/>
        <w:sz w:val="15"/>
        <w:szCs w:val="15"/>
        <w:lang w:eastAsia="hr-HR"/>
      </w:rPr>
      <w:t>HRVATSKA REGULATORNA AGENCIJA ZA MREŽNE DJELATNOSTI</w:t>
    </w:r>
  </w:p>
  <w:p w:rsidR="005B1AE7" w:rsidRPr="00D07C23" w:rsidRDefault="005B1AE7" w:rsidP="00D07C23">
    <w:pPr>
      <w:spacing w:after="0" w:line="360" w:lineRule="auto"/>
      <w:ind w:left="-142" w:right="-143"/>
      <w:jc w:val="center"/>
      <w:rPr>
        <w:rFonts w:ascii="Corbel" w:eastAsia="Times New Roman" w:hAnsi="Corbel" w:cs="Times New Roman"/>
        <w:color w:val="024182"/>
        <w:sz w:val="15"/>
        <w:szCs w:val="15"/>
        <w:lang w:eastAsia="hr-HR"/>
      </w:rPr>
    </w:pPr>
    <w:r w:rsidRPr="00D07C23">
      <w:rPr>
        <w:rFonts w:ascii="Corbel" w:eastAsia="Times New Roman" w:hAnsi="Corbel" w:cs="Times New Roman"/>
        <w:color w:val="024182"/>
        <w:sz w:val="15"/>
        <w:szCs w:val="15"/>
        <w:lang w:eastAsia="hr-HR"/>
      </w:rPr>
      <w:t>Roberta Frangeša Mihanovi</w:t>
    </w:r>
    <w:r w:rsidRPr="00D07C23">
      <w:rPr>
        <w:rFonts w:ascii="Corbel" w:eastAsia="Times New Roman" w:hAnsi="Corbel" w:cs="Cambria"/>
        <w:color w:val="024182"/>
        <w:sz w:val="15"/>
        <w:szCs w:val="15"/>
        <w:lang w:eastAsia="hr-HR"/>
      </w:rPr>
      <w:t>ć</w:t>
    </w:r>
    <w:r w:rsidRPr="00D07C23">
      <w:rPr>
        <w:rFonts w:ascii="Corbel" w:eastAsia="Times New Roman" w:hAnsi="Corbel" w:cs="Times New Roman"/>
        <w:color w:val="024182"/>
        <w:sz w:val="15"/>
        <w:szCs w:val="15"/>
        <w:lang w:eastAsia="hr-HR"/>
      </w:rPr>
      <w:t>a 9, 10110 Zagreb / OIB: 87950783661 / Tel: (01) 7007 007, Faks: (01) 7007 070 / www.hakom.hr</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1AE7" w:rsidRDefault="005B1AE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8"/>
      <w:gridCol w:w="1814"/>
    </w:tblGrid>
    <w:sdt>
      <w:sdtPr>
        <w:rPr>
          <w:rFonts w:asciiTheme="majorHAnsi" w:eastAsiaTheme="majorEastAsia" w:hAnsiTheme="majorHAnsi" w:cstheme="majorBidi"/>
          <w:sz w:val="20"/>
          <w:szCs w:val="20"/>
        </w:rPr>
        <w:id w:val="1693731171"/>
        <w:docPartObj>
          <w:docPartGallery w:val="Page Numbers (Bottom of Page)"/>
          <w:docPartUnique/>
        </w:docPartObj>
      </w:sdtPr>
      <w:sdtEndPr>
        <w:rPr>
          <w:rFonts w:asciiTheme="minorHAnsi" w:eastAsiaTheme="minorHAnsi" w:hAnsiTheme="minorHAnsi" w:cstheme="minorBidi"/>
          <w:sz w:val="22"/>
          <w:szCs w:val="22"/>
        </w:rPr>
      </w:sdtEndPr>
      <w:sdtContent>
        <w:tr w:rsidR="005B1AE7">
          <w:trPr>
            <w:trHeight w:val="727"/>
          </w:trPr>
          <w:tc>
            <w:tcPr>
              <w:tcW w:w="4000" w:type="pct"/>
              <w:tcBorders>
                <w:right w:val="triple" w:sz="4" w:space="0" w:color="4F81BD" w:themeColor="accent1"/>
              </w:tcBorders>
            </w:tcPr>
            <w:p w:rsidR="005B1AE7" w:rsidRDefault="005B1AE7">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rsidR="005B1AE7" w:rsidRDefault="005B1AE7">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104AB5">
                <w:rPr>
                  <w:noProof/>
                </w:rPr>
                <w:t>8</w:t>
              </w:r>
              <w:r>
                <w:fldChar w:fldCharType="end"/>
              </w:r>
            </w:p>
          </w:tc>
        </w:tr>
      </w:sdtContent>
    </w:sdt>
  </w:tbl>
  <w:p w:rsidR="005B1AE7" w:rsidRDefault="005B1AE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4638" w:rsidRDefault="00864638" w:rsidP="008B0F78">
      <w:pPr>
        <w:spacing w:after="0" w:line="240" w:lineRule="auto"/>
      </w:pPr>
      <w:r>
        <w:separator/>
      </w:r>
    </w:p>
  </w:footnote>
  <w:footnote w:type="continuationSeparator" w:id="0">
    <w:p w:rsidR="00864638" w:rsidRDefault="00864638" w:rsidP="008B0F78">
      <w:pPr>
        <w:spacing w:after="0" w:line="240" w:lineRule="auto"/>
      </w:pPr>
      <w:r>
        <w:continuationSeparator/>
      </w:r>
    </w:p>
  </w:footnote>
  <w:footnote w:type="continuationNotice" w:id="1">
    <w:p w:rsidR="00864638" w:rsidRDefault="00864638">
      <w:pPr>
        <w:spacing w:after="0" w:line="240" w:lineRule="auto"/>
      </w:pPr>
    </w:p>
  </w:footnote>
  <w:footnote w:id="2">
    <w:p w:rsidR="005B1AE7" w:rsidRPr="004A44D3" w:rsidRDefault="005B1AE7" w:rsidP="001E5C2E">
      <w:pPr>
        <w:pStyle w:val="FootnoteText"/>
        <w:jc w:val="both"/>
        <w:rPr>
          <w:rFonts w:asciiTheme="minorHAnsi" w:hAnsiTheme="minorHAnsi"/>
        </w:rPr>
      </w:pPr>
      <w:r w:rsidRPr="004A44D3">
        <w:rPr>
          <w:rStyle w:val="FootnoteReference"/>
          <w:rFonts w:asciiTheme="minorHAnsi" w:eastAsiaTheme="majorEastAsia" w:hAnsiTheme="minorHAnsi"/>
        </w:rPr>
        <w:footnoteRef/>
      </w:r>
      <w:r w:rsidRPr="004A44D3">
        <w:rPr>
          <w:rFonts w:asciiTheme="minorHAnsi" w:hAnsiTheme="minorHAnsi"/>
        </w:rPr>
        <w:t xml:space="preserve"> </w:t>
      </w:r>
      <w:r w:rsidRPr="00DD3F53">
        <w:rPr>
          <w:rFonts w:asciiTheme="minorHAnsi" w:hAnsiTheme="minorHAnsi"/>
        </w:rPr>
        <w:t xml:space="preserve">KLASA: </w:t>
      </w:r>
      <w:r w:rsidRPr="00F26ADC">
        <w:rPr>
          <w:rFonts w:asciiTheme="minorHAnsi" w:hAnsiTheme="minorHAnsi"/>
        </w:rPr>
        <w:t>UP/I-344-01/16-05/02</w:t>
      </w:r>
      <w:r w:rsidRPr="00DD3F53">
        <w:rPr>
          <w:rFonts w:asciiTheme="minorHAnsi" w:hAnsiTheme="minorHAnsi"/>
        </w:rPr>
        <w:t xml:space="preserve">; URBROJ: </w:t>
      </w:r>
      <w:r w:rsidRPr="00F26ADC">
        <w:rPr>
          <w:rFonts w:asciiTheme="minorHAnsi" w:hAnsiTheme="minorHAnsi"/>
        </w:rPr>
        <w:t>376-11-16-19</w:t>
      </w:r>
    </w:p>
  </w:footnote>
  <w:footnote w:id="3">
    <w:p w:rsidR="005B1AE7" w:rsidRPr="00727EB1" w:rsidRDefault="005B1AE7" w:rsidP="00727EB1">
      <w:pPr>
        <w:pStyle w:val="FootnoteText"/>
        <w:jc w:val="both"/>
        <w:rPr>
          <w:rFonts w:asciiTheme="minorHAnsi" w:hAnsiTheme="minorHAnsi"/>
        </w:rPr>
      </w:pPr>
      <w:r w:rsidRPr="00D2750C">
        <w:rPr>
          <w:rStyle w:val="FootnoteReference"/>
          <w:rFonts w:asciiTheme="minorHAnsi" w:hAnsiTheme="minorHAnsi" w:cstheme="minorHAnsi"/>
        </w:rPr>
        <w:footnoteRef/>
      </w:r>
      <w:r w:rsidRPr="00D2750C">
        <w:rPr>
          <w:rFonts w:asciiTheme="minorHAnsi" w:hAnsiTheme="minorHAnsi" w:cstheme="minorHAnsi"/>
        </w:rPr>
        <w:t xml:space="preserve"> </w:t>
      </w:r>
      <w:r w:rsidRPr="00727EB1">
        <w:rPr>
          <w:rFonts w:asciiTheme="minorHAnsi" w:hAnsiTheme="minorHAnsi"/>
        </w:rPr>
        <w:t>Standardna ponuda Hrvatskog Telekoma d.d. za uslugu pristupa pasivnoj pristupnoj svjetlovodnoj mreži na lokaciji distribucijskog čvora za svjetlovodne distribucijske mreže</w:t>
      </w:r>
      <w:r>
        <w:rPr>
          <w:rFonts w:asciiTheme="minorHAnsi" w:hAnsiTheme="minorHAnsi"/>
        </w:rPr>
        <w:t xml:space="preserve"> </w:t>
      </w:r>
      <w:r w:rsidRPr="00727EB1">
        <w:rPr>
          <w:rFonts w:asciiTheme="minorHAnsi" w:hAnsiTheme="minorHAnsi"/>
        </w:rPr>
        <w:t>izrađena je temeljem zahtjeva A1 Hrvatska d.o.o.</w:t>
      </w:r>
      <w:r>
        <w:rPr>
          <w:rFonts w:asciiTheme="minorHAnsi" w:hAnsiTheme="minorHAnsi"/>
        </w:rPr>
        <w:t xml:space="preserve"> te je u primjeni od veljače 2019., međutim navedena usluga se do donošenja prijedloga odluke na javnu raspravu još uvijek nije koristila.</w:t>
      </w:r>
    </w:p>
  </w:footnote>
  <w:footnote w:id="4">
    <w:p w:rsidR="005B1AE7" w:rsidRPr="00D2750C" w:rsidRDefault="005B1AE7" w:rsidP="001E5C2E">
      <w:pPr>
        <w:pStyle w:val="FootnoteText"/>
        <w:rPr>
          <w:rFonts w:asciiTheme="minorHAnsi" w:hAnsiTheme="minorHAnsi" w:cstheme="minorHAnsi"/>
        </w:rPr>
      </w:pPr>
      <w:r w:rsidRPr="00D2750C">
        <w:rPr>
          <w:rStyle w:val="FootnoteReference"/>
          <w:rFonts w:asciiTheme="minorHAnsi" w:hAnsiTheme="minorHAnsi" w:cstheme="minorHAnsi"/>
        </w:rPr>
        <w:footnoteRef/>
      </w:r>
      <w:r w:rsidRPr="00D2750C">
        <w:rPr>
          <w:rFonts w:asciiTheme="minorHAnsi" w:hAnsiTheme="minorHAnsi" w:cstheme="minorHAnsi"/>
        </w:rPr>
        <w:t xml:space="preserve"> </w:t>
      </w:r>
      <w:r w:rsidRPr="00CD72D2">
        <w:rPr>
          <w:rFonts w:asciiTheme="minorHAnsi" w:hAnsiTheme="minorHAnsi"/>
        </w:rPr>
        <w:t>KLASA: UP/I-344-01/19-05/02</w:t>
      </w:r>
      <w:r>
        <w:rPr>
          <w:rFonts w:asciiTheme="minorHAnsi" w:hAnsiTheme="minorHAnsi"/>
        </w:rPr>
        <w:t xml:space="preserve">, </w:t>
      </w:r>
      <w:r w:rsidRPr="00CD72D2">
        <w:rPr>
          <w:rFonts w:asciiTheme="minorHAnsi" w:hAnsiTheme="minorHAnsi"/>
        </w:rPr>
        <w:t>URBROJ: 376-05-1-19-8</w:t>
      </w:r>
    </w:p>
  </w:footnote>
  <w:footnote w:id="5">
    <w:p w:rsidR="005B1AE7" w:rsidRPr="00D2750C" w:rsidRDefault="005B1AE7" w:rsidP="0049620F">
      <w:pPr>
        <w:pStyle w:val="FootnoteText"/>
        <w:rPr>
          <w:rFonts w:asciiTheme="minorHAnsi" w:hAnsiTheme="minorHAnsi" w:cstheme="minorHAnsi"/>
        </w:rPr>
      </w:pPr>
      <w:r w:rsidRPr="00D2750C">
        <w:rPr>
          <w:rStyle w:val="FootnoteReference"/>
          <w:rFonts w:asciiTheme="minorHAnsi" w:hAnsiTheme="minorHAnsi" w:cstheme="minorHAnsi"/>
        </w:rPr>
        <w:footnoteRef/>
      </w:r>
      <w:r w:rsidRPr="00D2750C">
        <w:rPr>
          <w:rFonts w:asciiTheme="minorHAnsi" w:hAnsiTheme="minorHAnsi" w:cstheme="minorHAnsi"/>
        </w:rPr>
        <w:t xml:space="preserve"> Prema Preporuci Europske komisije o mjerodavnim tržištima 2014/710/EU iz 2014.</w:t>
      </w:r>
    </w:p>
  </w:footnote>
  <w:footnote w:id="6">
    <w:p w:rsidR="005B1AE7" w:rsidRPr="00D2750C" w:rsidRDefault="005B1AE7" w:rsidP="0049620F">
      <w:pPr>
        <w:pStyle w:val="FootnoteText"/>
        <w:rPr>
          <w:rFonts w:asciiTheme="minorHAnsi" w:hAnsiTheme="minorHAnsi" w:cstheme="minorHAnsi"/>
        </w:rPr>
      </w:pPr>
      <w:r w:rsidRPr="00D2750C">
        <w:rPr>
          <w:rStyle w:val="FootnoteReference"/>
          <w:rFonts w:asciiTheme="minorHAnsi" w:hAnsiTheme="minorHAnsi" w:cstheme="minorHAnsi"/>
        </w:rPr>
        <w:footnoteRef/>
      </w:r>
      <w:r w:rsidRPr="00D2750C">
        <w:rPr>
          <w:rFonts w:asciiTheme="minorHAnsi" w:hAnsiTheme="minorHAnsi" w:cstheme="minorHAnsi"/>
        </w:rPr>
        <w:t xml:space="preserve"> Prema Preporuci Europske komisije o mjerodavnim tržištima 2003/311/EC iz 2003.</w:t>
      </w:r>
    </w:p>
  </w:footnote>
  <w:footnote w:id="7">
    <w:p w:rsidR="005B1AE7" w:rsidRPr="00D2750C" w:rsidRDefault="005B1AE7" w:rsidP="00CC5CF9">
      <w:pPr>
        <w:pStyle w:val="FootnoteText"/>
        <w:rPr>
          <w:rFonts w:asciiTheme="minorHAnsi" w:hAnsiTheme="minorHAnsi" w:cstheme="minorHAnsi"/>
          <w:lang w:val="en-US"/>
        </w:rPr>
      </w:pPr>
      <w:r w:rsidRPr="00D2750C">
        <w:rPr>
          <w:rStyle w:val="FootnoteReference"/>
          <w:rFonts w:asciiTheme="minorHAnsi" w:hAnsiTheme="minorHAnsi" w:cstheme="minorHAnsi"/>
        </w:rPr>
        <w:footnoteRef/>
      </w:r>
      <w:r w:rsidRPr="00D2750C">
        <w:rPr>
          <w:rFonts w:asciiTheme="minorHAnsi" w:hAnsiTheme="minorHAnsi" w:cstheme="minorHAnsi"/>
        </w:rPr>
        <w:t xml:space="preserve"> HT je određen operatorom sa značajanom tržišnom snagom na tržištima M3a i M3b</w:t>
      </w:r>
    </w:p>
  </w:footnote>
  <w:footnote w:id="8">
    <w:p w:rsidR="005B1AE7" w:rsidRPr="00D2750C" w:rsidRDefault="005B1AE7" w:rsidP="00DD73FA">
      <w:pPr>
        <w:pStyle w:val="FootnoteText"/>
        <w:rPr>
          <w:rFonts w:asciiTheme="minorHAnsi" w:hAnsiTheme="minorHAnsi" w:cstheme="minorHAnsi"/>
        </w:rPr>
      </w:pPr>
      <w:r w:rsidRPr="00D2750C">
        <w:rPr>
          <w:rStyle w:val="FootnoteReference"/>
          <w:rFonts w:asciiTheme="minorHAnsi" w:hAnsiTheme="minorHAnsi" w:cstheme="minorHAnsi"/>
        </w:rPr>
        <w:footnoteRef/>
      </w:r>
      <w:r w:rsidRPr="00D2750C">
        <w:rPr>
          <w:rFonts w:asciiTheme="minorHAnsi" w:hAnsiTheme="minorHAnsi" w:cstheme="minorHAnsi"/>
        </w:rPr>
        <w:t xml:space="preserve"> Ukupan broj širokopojasnih priključaka u nepokretnoj telekomunikacijskoj mreži u odnosu na broj kućanstava sa zadnjeg popisa stanovništva 2011.</w:t>
      </w:r>
    </w:p>
  </w:footnote>
  <w:footnote w:id="9">
    <w:p w:rsidR="005B1AE7" w:rsidRPr="00D2750C" w:rsidRDefault="005B1AE7" w:rsidP="003D3219">
      <w:pPr>
        <w:pStyle w:val="FootnoteText"/>
        <w:rPr>
          <w:rFonts w:asciiTheme="minorHAnsi" w:hAnsiTheme="minorHAnsi" w:cstheme="minorHAnsi"/>
          <w:lang w:val="en-US"/>
        </w:rPr>
      </w:pPr>
      <w:r w:rsidRPr="00D2750C">
        <w:rPr>
          <w:rStyle w:val="FootnoteReference"/>
          <w:rFonts w:asciiTheme="minorHAnsi" w:hAnsiTheme="minorHAnsi" w:cstheme="minorHAnsi"/>
        </w:rPr>
        <w:footnoteRef/>
      </w:r>
      <w:r w:rsidRPr="00D2750C">
        <w:rPr>
          <w:rFonts w:asciiTheme="minorHAnsi" w:hAnsiTheme="minorHAnsi" w:cstheme="minorHAnsi"/>
        </w:rPr>
        <w:t xml:space="preserve"> </w:t>
      </w:r>
      <w:r w:rsidRPr="00D2750C">
        <w:rPr>
          <w:rFonts w:asciiTheme="minorHAnsi" w:hAnsiTheme="minorHAnsi" w:cstheme="minorHAnsi"/>
          <w:lang w:val="en-US"/>
        </w:rPr>
        <w:t xml:space="preserve">KLASA: UP/I-344-01/11-09/08; URBROJ: 376-11-12-13; veljača 2012.  </w:t>
      </w:r>
    </w:p>
  </w:footnote>
  <w:footnote w:id="10">
    <w:p w:rsidR="005B1AE7" w:rsidRPr="00D2750C" w:rsidRDefault="005B1AE7" w:rsidP="009B44A4">
      <w:pPr>
        <w:pStyle w:val="FootnoteText"/>
        <w:jc w:val="both"/>
        <w:rPr>
          <w:rFonts w:asciiTheme="minorHAnsi" w:hAnsiTheme="minorHAnsi" w:cstheme="minorHAnsi"/>
        </w:rPr>
      </w:pPr>
      <w:r w:rsidRPr="00D2750C">
        <w:rPr>
          <w:rStyle w:val="FootnoteReference"/>
          <w:rFonts w:asciiTheme="minorHAnsi" w:hAnsiTheme="minorHAnsi" w:cstheme="minorHAnsi"/>
        </w:rPr>
        <w:footnoteRef/>
      </w:r>
      <w:r w:rsidRPr="00D2750C">
        <w:rPr>
          <w:rFonts w:asciiTheme="minorHAnsi" w:hAnsiTheme="minorHAnsi" w:cstheme="minorHAnsi"/>
        </w:rPr>
        <w:t xml:space="preserve"> Project for calculating the costs and prices of services in the fixed network; Report on methodological principles, Axon Partners Group, December 2019</w:t>
      </w:r>
    </w:p>
  </w:footnote>
  <w:footnote w:id="11">
    <w:p w:rsidR="005B1AE7" w:rsidRPr="00D2750C" w:rsidRDefault="005B1AE7" w:rsidP="009B44A4">
      <w:pPr>
        <w:pStyle w:val="FootnoteText"/>
        <w:jc w:val="both"/>
        <w:rPr>
          <w:rFonts w:asciiTheme="minorHAnsi" w:hAnsiTheme="minorHAnsi" w:cstheme="minorHAnsi"/>
        </w:rPr>
      </w:pPr>
      <w:r w:rsidRPr="00D2750C">
        <w:rPr>
          <w:rStyle w:val="FootnoteReference"/>
          <w:rFonts w:asciiTheme="minorHAnsi" w:hAnsiTheme="minorHAnsi" w:cstheme="minorHAnsi"/>
        </w:rPr>
        <w:footnoteRef/>
      </w:r>
      <w:r w:rsidRPr="00D2750C">
        <w:rPr>
          <w:rFonts w:asciiTheme="minorHAnsi" w:hAnsiTheme="minorHAnsi" w:cstheme="minorHAnsi"/>
        </w:rPr>
        <w:t xml:space="preserve"> Preporuka o jedinstvenim obvezama nediskriminacije i troškovnim metodologijama u cilju promicanja tržišnog natjecanja i poboljšanja ulagačkog okruženja u području širokopojasnog pristupa (2013/466/EU)</w:t>
      </w:r>
    </w:p>
  </w:footnote>
  <w:footnote w:id="12">
    <w:p w:rsidR="005B1AE7" w:rsidRPr="00D2750C" w:rsidRDefault="005B1AE7" w:rsidP="009B44A4">
      <w:pPr>
        <w:pStyle w:val="FootnoteText"/>
        <w:jc w:val="both"/>
        <w:rPr>
          <w:rFonts w:asciiTheme="minorHAnsi" w:hAnsiTheme="minorHAnsi" w:cstheme="minorHAnsi"/>
        </w:rPr>
      </w:pPr>
      <w:r w:rsidRPr="00D2750C">
        <w:rPr>
          <w:rStyle w:val="FootnoteReference"/>
          <w:rFonts w:asciiTheme="minorHAnsi" w:hAnsiTheme="minorHAnsi" w:cstheme="minorHAnsi"/>
        </w:rPr>
        <w:footnoteRef/>
      </w:r>
      <w:r w:rsidRPr="00D2750C">
        <w:rPr>
          <w:rFonts w:asciiTheme="minorHAnsi" w:hAnsiTheme="minorHAnsi" w:cstheme="minorHAnsi"/>
        </w:rPr>
        <w:t xml:space="preserve"> Trošak kapitala će se temeljiti na WACC-u. Dodatno, za izračun troška kapitala imovine NGA mreže (za imovinu povezanu s pružanjem FTTH, FTTB i FTTD</w:t>
      </w:r>
      <w:r>
        <w:rPr>
          <w:rFonts w:asciiTheme="minorHAnsi" w:hAnsiTheme="minorHAnsi" w:cstheme="minorHAnsi"/>
        </w:rPr>
        <w:t>P</w:t>
      </w:r>
      <w:r w:rsidRPr="00D2750C">
        <w:rPr>
          <w:rFonts w:asciiTheme="minorHAnsi" w:hAnsiTheme="minorHAnsi" w:cstheme="minorHAnsi"/>
        </w:rPr>
        <w:t xml:space="preserve"> usluga) će se na na WACC dodati premija rizika.Premija rizika se s druge strane neće primjeniti na naslijeđenu građevinsku infrastrukturu.</w:t>
      </w:r>
    </w:p>
  </w:footnote>
  <w:footnote w:id="13">
    <w:p w:rsidR="005B1AE7" w:rsidRPr="00D2750C" w:rsidRDefault="005B1AE7" w:rsidP="003D3219">
      <w:pPr>
        <w:pStyle w:val="FootnoteText"/>
        <w:rPr>
          <w:rFonts w:asciiTheme="minorHAnsi" w:hAnsiTheme="minorHAnsi" w:cstheme="minorHAnsi"/>
        </w:rPr>
      </w:pPr>
      <w:r w:rsidRPr="00D2750C">
        <w:rPr>
          <w:rStyle w:val="FootnoteReference"/>
          <w:rFonts w:asciiTheme="minorHAnsi" w:hAnsiTheme="minorHAnsi" w:cstheme="minorHAnsi"/>
        </w:rPr>
        <w:footnoteRef/>
      </w:r>
      <w:r w:rsidRPr="00D2750C">
        <w:rPr>
          <w:rFonts w:asciiTheme="minorHAnsi" w:hAnsiTheme="minorHAnsi" w:cstheme="minorHAnsi"/>
        </w:rPr>
        <w:t xml:space="preserve"> Zakon o lokalnoj i područnoj (regionalnoj) samoupravi (NN 33/01, 60/01, 129/05, 109/07, 125/08, 36/09, 36/09, 150/11, 144/12, 19/13, 137/15, 123/17, 98/19)</w:t>
      </w:r>
    </w:p>
  </w:footnote>
  <w:footnote w:id="14">
    <w:p w:rsidR="005B1AE7" w:rsidRPr="00D2750C" w:rsidRDefault="005B1AE7" w:rsidP="003D3219">
      <w:pPr>
        <w:pStyle w:val="FootnoteText"/>
        <w:rPr>
          <w:rFonts w:asciiTheme="minorHAnsi" w:hAnsiTheme="minorHAnsi" w:cstheme="minorHAnsi"/>
          <w:lang w:val="en-US"/>
        </w:rPr>
      </w:pPr>
      <w:r w:rsidRPr="00D2750C">
        <w:rPr>
          <w:rStyle w:val="FootnoteReference"/>
          <w:rFonts w:asciiTheme="minorHAnsi" w:hAnsiTheme="minorHAnsi" w:cstheme="minorHAnsi"/>
        </w:rPr>
        <w:footnoteRef/>
      </w:r>
      <w:r w:rsidRPr="00D2750C">
        <w:rPr>
          <w:rFonts w:asciiTheme="minorHAnsi" w:hAnsiTheme="minorHAnsi" w:cstheme="minorHAnsi"/>
        </w:rPr>
        <w:t xml:space="preserve"> </w:t>
      </w:r>
      <w:r w:rsidRPr="00D2750C">
        <w:rPr>
          <w:rFonts w:asciiTheme="minorHAnsi" w:hAnsiTheme="minorHAnsi" w:cstheme="minorHAnsi"/>
          <w:lang w:val="en-US"/>
        </w:rPr>
        <w:t>Izvor:</w:t>
      </w:r>
      <w:r w:rsidRPr="00D2750C">
        <w:rPr>
          <w:rFonts w:asciiTheme="minorHAnsi" w:hAnsiTheme="minorHAnsi" w:cstheme="minorHAnsi"/>
        </w:rPr>
        <w:t xml:space="preserve"> </w:t>
      </w:r>
      <w:r w:rsidRPr="00D2750C">
        <w:rPr>
          <w:rFonts w:asciiTheme="minorHAnsi" w:hAnsiTheme="minorHAnsi" w:cstheme="minorHAnsi"/>
          <w:lang w:val="en-US"/>
        </w:rPr>
        <w:t>FTTH Council 2020 Report (www.ftthcouncil.eu/documents/PR%20Market%20Panorama%202020%20FINAL%202.pdf )</w:t>
      </w:r>
    </w:p>
  </w:footnote>
  <w:footnote w:id="15">
    <w:p w:rsidR="005B1AE7" w:rsidRPr="00D2750C" w:rsidRDefault="005B1AE7">
      <w:pPr>
        <w:pStyle w:val="FootnoteText"/>
        <w:rPr>
          <w:rFonts w:asciiTheme="minorHAnsi" w:hAnsiTheme="minorHAnsi" w:cstheme="minorHAnsi"/>
          <w:lang w:val="en-US"/>
        </w:rPr>
      </w:pPr>
      <w:r w:rsidRPr="00D2750C">
        <w:rPr>
          <w:rStyle w:val="FootnoteReference"/>
          <w:rFonts w:asciiTheme="minorHAnsi" w:hAnsiTheme="minorHAnsi" w:cstheme="minorHAnsi"/>
        </w:rPr>
        <w:footnoteRef/>
      </w:r>
      <w:r w:rsidRPr="00D2750C">
        <w:rPr>
          <w:rFonts w:asciiTheme="minorHAnsi" w:hAnsiTheme="minorHAnsi" w:cstheme="minorHAnsi"/>
        </w:rPr>
        <w:t xml:space="preserve"> Directive (EU) 2018/1972 of the European Parliament and of the Council of 11 December 2018 establishing the European Electronic Communications Code</w:t>
      </w:r>
    </w:p>
  </w:footnote>
  <w:footnote w:id="16">
    <w:p w:rsidR="005B1AE7" w:rsidRPr="00D2750C" w:rsidRDefault="005B1AE7" w:rsidP="003D3219">
      <w:pPr>
        <w:pStyle w:val="FootnoteText"/>
        <w:rPr>
          <w:rFonts w:asciiTheme="minorHAnsi" w:hAnsiTheme="minorHAnsi" w:cstheme="minorHAnsi"/>
          <w:lang w:val="en-GB"/>
        </w:rPr>
      </w:pPr>
      <w:r w:rsidRPr="00D2750C">
        <w:rPr>
          <w:rStyle w:val="FootnoteReference"/>
          <w:rFonts w:asciiTheme="minorHAnsi" w:hAnsiTheme="minorHAnsi" w:cstheme="minorHAnsi"/>
        </w:rPr>
        <w:footnoteRef/>
      </w:r>
      <w:r w:rsidRPr="00D2750C">
        <w:rPr>
          <w:rFonts w:asciiTheme="minorHAnsi" w:hAnsiTheme="minorHAnsi" w:cstheme="minorHAnsi"/>
        </w:rPr>
        <w:t xml:space="preserve"> Ova metoda revaluacije je u skladu s preporukom</w:t>
      </w:r>
      <w:r w:rsidRPr="00D2750C">
        <w:rPr>
          <w:rFonts w:asciiTheme="minorHAnsi" w:hAnsiTheme="minorHAnsi" w:cstheme="minorHAnsi"/>
          <w:lang w:val="en-GB"/>
        </w:rPr>
        <w:t xml:space="preserve"> 2013/466/EU koja navodi: </w:t>
      </w:r>
    </w:p>
    <w:p w:rsidR="005B1AE7" w:rsidRPr="00D2750C" w:rsidRDefault="005B1AE7" w:rsidP="003D3219">
      <w:pPr>
        <w:pStyle w:val="FootnoteText"/>
        <w:rPr>
          <w:rFonts w:asciiTheme="minorHAnsi" w:hAnsiTheme="minorHAnsi" w:cstheme="minorHAnsi"/>
          <w:i/>
        </w:rPr>
      </w:pPr>
      <w:r w:rsidRPr="00D2750C">
        <w:rPr>
          <w:rFonts w:asciiTheme="minorHAnsi" w:hAnsiTheme="minorHAnsi" w:cstheme="minorHAnsi"/>
          <w:i/>
          <w:lang w:val="en-GB"/>
        </w:rPr>
        <w:t xml:space="preserve">“(36) </w:t>
      </w:r>
      <w:r w:rsidRPr="00D2750C">
        <w:rPr>
          <w:rFonts w:asciiTheme="minorHAnsi" w:hAnsiTheme="minorHAnsi" w:cstheme="minorHAnsi"/>
          <w:i/>
        </w:rPr>
        <w:t>Za obračun tekućih troškova za regulatornu imovinsku osnovicu koja odgovara iskoristivoj naslijeđenoj građevinskoj imovini primjenjivala bi se metoda indeksiranja. Ta se metoda preporučuje jer je praktična, robusna i transparentna. Temeljila bi se na povijesnim podacima o troškovima, akumuliranoj amortizaciji i otuđenju imovine, do mjere do koje su oni dostupni u zakonskim i regulatornim računima te financijskim izvještajima SMP operatora i na javno dostupnom cjenovnom indeksu poput indeksa maloprodajnih cijena.“</w:t>
      </w:r>
    </w:p>
    <w:p w:rsidR="005B1AE7" w:rsidRPr="00D2750C" w:rsidRDefault="005B1AE7" w:rsidP="003D3219">
      <w:pPr>
        <w:pStyle w:val="FootnoteText"/>
        <w:rPr>
          <w:rFonts w:asciiTheme="minorHAnsi" w:hAnsiTheme="minorHAnsi" w:cstheme="minorHAnsi"/>
        </w:rPr>
      </w:pPr>
    </w:p>
    <w:p w:rsidR="005B1AE7" w:rsidRPr="00D2750C" w:rsidRDefault="005B1AE7" w:rsidP="003D3219">
      <w:pPr>
        <w:pStyle w:val="FootnoteText"/>
        <w:rPr>
          <w:rFonts w:asciiTheme="minorHAnsi" w:hAnsiTheme="minorHAnsi" w:cstheme="minorHAnsi"/>
        </w:rPr>
      </w:pPr>
      <w:r w:rsidRPr="00D2750C">
        <w:rPr>
          <w:rFonts w:asciiTheme="minorHAnsi" w:hAnsiTheme="minorHAnsi" w:cstheme="minorHAnsi"/>
        </w:rPr>
        <w:t>U našem slučaju, kao izvori indeksa maloprodajnih cijena korišteni su: Hrvatski zavod za statistiku za godine 2000-2018, Svjetska banka za godine 1995-1999 a za godine prije 1995. pretpostavljena je prosječna vrijednost od 4% .</w:t>
      </w:r>
    </w:p>
    <w:p w:rsidR="005B1AE7" w:rsidRPr="00D2750C" w:rsidRDefault="005B1AE7" w:rsidP="003D3219">
      <w:pPr>
        <w:pStyle w:val="FootnoteText"/>
        <w:rPr>
          <w:rFonts w:asciiTheme="minorHAnsi" w:hAnsiTheme="minorHAnsi" w:cstheme="minorHAnsi"/>
        </w:rPr>
      </w:pPr>
    </w:p>
  </w:footnote>
  <w:footnote w:id="17">
    <w:p w:rsidR="005B1AE7" w:rsidRPr="00D2750C" w:rsidRDefault="005B1AE7" w:rsidP="008D2898">
      <w:pPr>
        <w:pStyle w:val="FootnoteText"/>
        <w:rPr>
          <w:rFonts w:asciiTheme="minorHAnsi" w:hAnsiTheme="minorHAnsi" w:cstheme="minorHAnsi"/>
        </w:rPr>
      </w:pPr>
      <w:r w:rsidRPr="00D2750C">
        <w:rPr>
          <w:rStyle w:val="FootnoteReference"/>
          <w:rFonts w:asciiTheme="minorHAnsi" w:eastAsiaTheme="majorEastAsia" w:hAnsiTheme="minorHAnsi" w:cstheme="minorHAnsi"/>
        </w:rPr>
        <w:footnoteRef/>
      </w:r>
      <w:r w:rsidRPr="00D2750C">
        <w:rPr>
          <w:rFonts w:asciiTheme="minorHAnsi" w:hAnsiTheme="minorHAnsi" w:cstheme="minorHAnsi"/>
        </w:rPr>
        <w:t xml:space="preserve"> Vrijedno je istaknuti da HT građevinsku infrastrukturu naslijeđene mreže koja nije ponovno iskoristiva i povezane bakrene kabele financijski vodi zajedno, kao jedinstvenu kategoriju imovine. Iz tog razloga je izračunat zajednički postotak za tu imovinu. </w:t>
      </w:r>
    </w:p>
  </w:footnote>
  <w:footnote w:id="18">
    <w:p w:rsidR="005B1AE7" w:rsidRPr="00D2750C" w:rsidRDefault="005B1AE7" w:rsidP="0078713B">
      <w:pPr>
        <w:pStyle w:val="FootnoteText"/>
        <w:rPr>
          <w:rFonts w:asciiTheme="minorHAnsi" w:hAnsiTheme="minorHAnsi" w:cstheme="minorHAnsi"/>
          <w:lang w:val="de-DE"/>
        </w:rPr>
      </w:pPr>
      <w:r w:rsidRPr="00D2750C">
        <w:rPr>
          <w:rStyle w:val="FootnoteReference"/>
          <w:rFonts w:asciiTheme="minorHAnsi" w:hAnsiTheme="minorHAnsi" w:cstheme="minorHAnsi"/>
        </w:rPr>
        <w:footnoteRef/>
      </w:r>
      <w:r w:rsidRPr="00D2750C">
        <w:rPr>
          <w:rFonts w:asciiTheme="minorHAnsi" w:hAnsiTheme="minorHAnsi" w:cstheme="minorHAnsi"/>
        </w:rPr>
        <w:t xml:space="preserve"> R je besplatni programski jezik za statističke proračune i grafiku (https://www.r-project.org/)</w:t>
      </w:r>
    </w:p>
    <w:p w:rsidR="005B1AE7" w:rsidRPr="00D2750C" w:rsidRDefault="005B1AE7">
      <w:pPr>
        <w:pStyle w:val="FootnoteText"/>
        <w:rPr>
          <w:rFonts w:asciiTheme="minorHAnsi" w:hAnsiTheme="minorHAnsi" w:cstheme="minorHAnsi"/>
          <w:lang w:val="de-DE"/>
        </w:rPr>
      </w:pPr>
    </w:p>
  </w:footnote>
  <w:footnote w:id="19">
    <w:p w:rsidR="005B1AE7" w:rsidRPr="00D2750C" w:rsidRDefault="005B1AE7" w:rsidP="003D3219">
      <w:pPr>
        <w:pStyle w:val="FootnoteText"/>
        <w:rPr>
          <w:rFonts w:asciiTheme="minorHAnsi" w:hAnsiTheme="minorHAnsi" w:cstheme="minorHAnsi"/>
        </w:rPr>
      </w:pPr>
      <w:r w:rsidRPr="00D2750C">
        <w:rPr>
          <w:rStyle w:val="FootnoteReference"/>
          <w:rFonts w:asciiTheme="minorHAnsi" w:eastAsiaTheme="majorEastAsia" w:hAnsiTheme="minorHAnsi" w:cstheme="minorHAnsi"/>
        </w:rPr>
        <w:footnoteRef/>
      </w:r>
      <w:r w:rsidRPr="00D2750C">
        <w:rPr>
          <w:rFonts w:asciiTheme="minorHAnsi" w:hAnsiTheme="minorHAnsi" w:cstheme="minorHAnsi"/>
        </w:rPr>
        <w:t xml:space="preserve"> Informacije o rutama HT-ove mreže su uspoređeni s informacijama o ulicama/cestama iz Središnjeg registra prostornih jedinica Državne geodetske uprave (dalje: DGU), da bi se osiguralo da HT-ove rute ne predstavljaju neučinkovitosti. </w:t>
      </w:r>
    </w:p>
  </w:footnote>
  <w:footnote w:id="20">
    <w:p w:rsidR="005B1AE7" w:rsidRPr="00D2750C" w:rsidRDefault="005B1AE7">
      <w:pPr>
        <w:pStyle w:val="FootnoteText"/>
        <w:rPr>
          <w:rFonts w:asciiTheme="minorHAnsi" w:hAnsiTheme="minorHAnsi" w:cstheme="minorHAnsi"/>
          <w:lang w:val="en-US"/>
        </w:rPr>
      </w:pPr>
      <w:r w:rsidRPr="00D2750C">
        <w:rPr>
          <w:rStyle w:val="FootnoteReference"/>
          <w:rFonts w:asciiTheme="minorHAnsi" w:hAnsiTheme="minorHAnsi" w:cstheme="minorHAnsi"/>
        </w:rPr>
        <w:footnoteRef/>
      </w:r>
      <w:r w:rsidRPr="00D2750C">
        <w:rPr>
          <w:rFonts w:asciiTheme="minorHAnsi" w:hAnsiTheme="minorHAnsi" w:cstheme="minorHAnsi"/>
        </w:rPr>
        <w:t xml:space="preserve"> </w:t>
      </w:r>
      <w:r w:rsidRPr="00D2750C">
        <w:rPr>
          <w:rFonts w:asciiTheme="minorHAnsi" w:hAnsiTheme="minorHAnsi" w:cstheme="minorHAnsi"/>
          <w:lang w:val="en-US"/>
        </w:rPr>
        <w:t>Geographic Information System</w:t>
      </w:r>
    </w:p>
  </w:footnote>
  <w:footnote w:id="21">
    <w:p w:rsidR="005B1AE7" w:rsidRPr="00D2750C" w:rsidRDefault="005B1AE7" w:rsidP="003D3219">
      <w:pPr>
        <w:pStyle w:val="FootnoteText"/>
        <w:rPr>
          <w:rFonts w:asciiTheme="minorHAnsi" w:hAnsiTheme="minorHAnsi" w:cstheme="minorHAnsi"/>
          <w:lang w:val="de-DE"/>
        </w:rPr>
      </w:pPr>
      <w:r w:rsidRPr="00D2750C">
        <w:rPr>
          <w:rStyle w:val="FootnoteReference"/>
          <w:rFonts w:asciiTheme="minorHAnsi" w:hAnsiTheme="minorHAnsi" w:cstheme="minorHAnsi"/>
        </w:rPr>
        <w:footnoteRef/>
      </w:r>
      <w:r w:rsidRPr="00D2750C">
        <w:rPr>
          <w:rFonts w:asciiTheme="minorHAnsi" w:hAnsiTheme="minorHAnsi" w:cstheme="minorHAnsi"/>
        </w:rPr>
        <w:t xml:space="preserve"> </w:t>
      </w:r>
      <w:r w:rsidRPr="00D2750C">
        <w:rPr>
          <w:rFonts w:asciiTheme="minorHAnsi" w:hAnsiTheme="minorHAnsi" w:cstheme="minorHAnsi"/>
          <w:lang w:val="en-GB"/>
        </w:rPr>
        <w:t xml:space="preserve">“A K-Means Clustering Algoritm”, by J. A. Hartigan and M. A. Wong. </w:t>
      </w:r>
      <w:r w:rsidRPr="00D2750C">
        <w:rPr>
          <w:rFonts w:asciiTheme="minorHAnsi" w:hAnsiTheme="minorHAnsi" w:cstheme="minorHAnsi"/>
          <w:lang w:val="de-DE"/>
        </w:rPr>
        <w:t xml:space="preserve">Više detalja na: </w:t>
      </w:r>
      <w:hyperlink r:id="rId1" w:history="1">
        <w:r w:rsidRPr="00D2750C">
          <w:rPr>
            <w:rStyle w:val="Hyperlink"/>
            <w:rFonts w:asciiTheme="minorHAnsi" w:hAnsiTheme="minorHAnsi" w:cstheme="minorHAnsi"/>
            <w:lang w:val="de-DE"/>
          </w:rPr>
          <w:t>https://www.labri.fr/perso/bpinaud/userfiles/downloads/hartigan_1979_kmeans.pdf</w:t>
        </w:r>
      </w:hyperlink>
    </w:p>
  </w:footnote>
  <w:footnote w:id="22">
    <w:p w:rsidR="005B1AE7" w:rsidRPr="00D2750C" w:rsidRDefault="005B1AE7" w:rsidP="003D3219">
      <w:pPr>
        <w:pStyle w:val="FootnoteText"/>
        <w:rPr>
          <w:rFonts w:asciiTheme="minorHAnsi" w:hAnsiTheme="minorHAnsi" w:cstheme="minorHAnsi"/>
          <w:lang w:val="de-DE"/>
        </w:rPr>
      </w:pPr>
      <w:r w:rsidRPr="00D2750C">
        <w:rPr>
          <w:rStyle w:val="FootnoteReference"/>
          <w:rFonts w:asciiTheme="minorHAnsi" w:hAnsiTheme="minorHAnsi" w:cstheme="minorHAnsi"/>
        </w:rPr>
        <w:footnoteRef/>
      </w:r>
      <w:r w:rsidRPr="00D2750C">
        <w:rPr>
          <w:rFonts w:asciiTheme="minorHAnsi" w:hAnsiTheme="minorHAnsi" w:cstheme="minorHAnsi"/>
        </w:rPr>
        <w:t xml:space="preserve"> </w:t>
      </w:r>
      <w:r w:rsidRPr="00D2750C">
        <w:rPr>
          <w:rFonts w:asciiTheme="minorHAnsi" w:hAnsiTheme="minorHAnsi" w:cstheme="minorHAnsi"/>
          <w:lang w:val="de-DE"/>
        </w:rPr>
        <w:t>Prikazana troškovna osnovica odgovara pristupu kosih anuiteta (uključuje amortizaciju i trošak kapitala)</w:t>
      </w:r>
    </w:p>
  </w:footnote>
  <w:footnote w:id="23">
    <w:p w:rsidR="005B1AE7" w:rsidRPr="000F2758" w:rsidRDefault="005B1AE7">
      <w:pPr>
        <w:pStyle w:val="FootnoteText"/>
        <w:rPr>
          <w:lang w:val="de-DE"/>
        </w:rPr>
      </w:pPr>
      <w:r>
        <w:rPr>
          <w:rStyle w:val="FootnoteReference"/>
        </w:rPr>
        <w:footnoteRef/>
      </w:r>
      <w:r>
        <w:t xml:space="preserve"> Navedeni kapacitet</w:t>
      </w:r>
      <w:r w:rsidRPr="00B31F9B">
        <w:t xml:space="preserve"> je izračunat na temelju procijenjenog broja SD i HD kanala uz korištenje kapaciteta od 2,9</w:t>
      </w:r>
      <w:r>
        <w:t>5</w:t>
      </w:r>
      <w:r w:rsidRPr="00B31F9B">
        <w:t xml:space="preserve"> Mbit/s za SD i 8,5 Mbit/s za HD kanale</w:t>
      </w:r>
    </w:p>
  </w:footnote>
  <w:footnote w:id="24">
    <w:p w:rsidR="005B1AE7" w:rsidRPr="00D2750C" w:rsidRDefault="005B1AE7">
      <w:pPr>
        <w:pStyle w:val="FootnoteText"/>
        <w:rPr>
          <w:rFonts w:asciiTheme="minorHAnsi" w:hAnsiTheme="minorHAnsi" w:cstheme="minorHAnsi"/>
          <w:lang w:val="en-US"/>
        </w:rPr>
      </w:pPr>
      <w:r w:rsidRPr="00D2750C">
        <w:rPr>
          <w:rStyle w:val="FootnoteReference"/>
          <w:rFonts w:asciiTheme="minorHAnsi" w:hAnsiTheme="minorHAnsi" w:cstheme="minorHAnsi"/>
        </w:rPr>
        <w:footnoteRef/>
      </w:r>
      <w:r w:rsidRPr="00D2750C">
        <w:rPr>
          <w:rFonts w:asciiTheme="minorHAnsi" w:hAnsiTheme="minorHAnsi" w:cstheme="minorHAnsi"/>
        </w:rPr>
        <w:t xml:space="preserve"> Sukladno referentnoj tablici za ADSL2+ iz Dodatka 14. Standardne ponude HT-a za uslugu veleprodajnog širokopojasnog pristupa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1AE7" w:rsidRPr="002B4122" w:rsidRDefault="005B1AE7" w:rsidP="002B4122">
    <w:pPr>
      <w:spacing w:after="0" w:line="240" w:lineRule="auto"/>
      <w:ind w:left="-357" w:right="-357"/>
      <w:jc w:val="center"/>
      <w:rPr>
        <w:rFonts w:ascii="Calibri" w:eastAsia="Times New Roman" w:hAnsi="Calibri" w:cs="Times New Roman"/>
        <w:color w:val="024182"/>
        <w:sz w:val="16"/>
        <w:szCs w:val="24"/>
        <w:lang w:eastAsia="hr-HR"/>
      </w:rPr>
    </w:pPr>
    <w:r w:rsidRPr="002B4122">
      <w:rPr>
        <w:rFonts w:ascii="Calibri" w:eastAsia="Times New Roman" w:hAnsi="Calibri" w:cs="Times New Roman"/>
        <w:noProof/>
        <w:color w:val="024182"/>
        <w:sz w:val="16"/>
        <w:szCs w:val="24"/>
        <w:lang w:val="en-US"/>
      </w:rPr>
      <w:drawing>
        <wp:inline distT="0" distB="0" distL="0" distR="0" wp14:anchorId="65918AB4" wp14:editId="1B82F7C8">
          <wp:extent cx="1057523" cy="1025220"/>
          <wp:effectExtent l="0" t="0" r="0" b="3810"/>
          <wp:docPr id="12" name="Picture 1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rsidR="005B1AE7" w:rsidRPr="002B4122" w:rsidRDefault="005B1AE7" w:rsidP="002B4122">
    <w:pPr>
      <w:spacing w:after="0" w:line="240" w:lineRule="auto"/>
      <w:ind w:left="-357" w:right="-357"/>
      <w:jc w:val="center"/>
      <w:rPr>
        <w:rFonts w:ascii="Calibri" w:eastAsia="Times New Roman" w:hAnsi="Calibri" w:cs="Times New Roman"/>
        <w:color w:val="024182"/>
        <w:sz w:val="16"/>
        <w:szCs w:val="24"/>
        <w:lang w:eastAsia="hr-HR"/>
      </w:rPr>
    </w:pPr>
  </w:p>
  <w:p w:rsidR="005B1AE7" w:rsidRPr="002B4122" w:rsidRDefault="005B1AE7" w:rsidP="002B4122">
    <w:pPr>
      <w:spacing w:after="0" w:line="240" w:lineRule="auto"/>
      <w:ind w:left="-357" w:right="-357"/>
      <w:jc w:val="right"/>
      <w:rPr>
        <w:rFonts w:ascii="Corbel" w:eastAsia="Times New Roman" w:hAnsi="Corbel" w:cs="Times New Roman"/>
        <w:b/>
        <w:color w:val="024182"/>
        <w:sz w:val="20"/>
        <w:szCs w:val="24"/>
        <w:lang w:eastAsia="hr-HR"/>
      </w:rPr>
    </w:pPr>
  </w:p>
  <w:p w:rsidR="005B1AE7" w:rsidRPr="002B4122" w:rsidRDefault="005B1AE7" w:rsidP="002B4122">
    <w:pPr>
      <w:spacing w:after="0" w:line="240" w:lineRule="auto"/>
      <w:ind w:left="-357" w:right="-357"/>
      <w:jc w:val="right"/>
      <w:rPr>
        <w:rFonts w:ascii="Calibri" w:eastAsia="Times New Roman" w:hAnsi="Calibri" w:cs="Times New Roman"/>
        <w:color w:val="024182"/>
        <w:sz w:val="20"/>
        <w:szCs w:val="24"/>
        <w:lang w:eastAsia="hr-HR"/>
      </w:rPr>
    </w:pPr>
    <w:r w:rsidRPr="002B4122">
      <w:rPr>
        <w:rFonts w:ascii="Corbel" w:eastAsia="Times New Roman" w:hAnsi="Corbel" w:cs="Times New Roman"/>
        <w:b/>
        <w:color w:val="024182"/>
        <w:sz w:val="20"/>
        <w:szCs w:val="24"/>
        <w:lang w:eastAsia="hr-HR"/>
      </w:rPr>
      <w:t>PRIJEDLOG ZA JAVNU RASPRAVU</w:t>
    </w:r>
  </w:p>
  <w:p w:rsidR="005B1AE7" w:rsidRPr="002B4122" w:rsidRDefault="005B1AE7" w:rsidP="002B4122">
    <w:pPr>
      <w:spacing w:after="60" w:line="240" w:lineRule="auto"/>
      <w:ind w:right="96"/>
      <w:rPr>
        <w:rFonts w:ascii="Calibri" w:eastAsia="Times New Roman" w:hAnsi="Calibri" w:cs="Times New Roman"/>
        <w:color w:val="024182"/>
        <w:sz w:val="16"/>
        <w:szCs w:val="24"/>
        <w:lang w:eastAsia="hr-H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1AE7" w:rsidRPr="003E351E" w:rsidRDefault="005B1AE7" w:rsidP="003E351E">
    <w:pPr>
      <w:tabs>
        <w:tab w:val="left" w:pos="3150"/>
        <w:tab w:val="right" w:pos="9072"/>
      </w:tabs>
      <w:spacing w:after="0" w:line="240" w:lineRule="auto"/>
      <w:ind w:left="1416"/>
      <w:rPr>
        <w:rFonts w:eastAsia="Times New Roman"/>
        <w:sz w:val="18"/>
        <w:lang w:val="en-US" w:eastAsia="hr-HR"/>
      </w:rPr>
    </w:pPr>
    <w:r w:rsidRPr="00574F86">
      <w:rPr>
        <w:rFonts w:eastAsia="Times New Roman"/>
        <w:bCs/>
        <w:noProof/>
        <w:sz w:val="20"/>
        <w:lang w:val="en-US"/>
      </w:rPr>
      <w:drawing>
        <wp:anchor distT="0" distB="0" distL="114300" distR="114300" simplePos="0" relativeHeight="251658240" behindDoc="0" locked="0" layoutInCell="1" allowOverlap="1" wp14:anchorId="4C5AF56A" wp14:editId="0A392C2C">
          <wp:simplePos x="0" y="0"/>
          <wp:positionH relativeFrom="margin">
            <wp:align>left</wp:align>
          </wp:positionH>
          <wp:positionV relativeFrom="paragraph">
            <wp:posOffset>7620</wp:posOffset>
          </wp:positionV>
          <wp:extent cx="450000" cy="338400"/>
          <wp:effectExtent l="0" t="0" r="7620" b="508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450000" cy="338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351E">
      <w:rPr>
        <w:rFonts w:eastAsia="Times New Roman"/>
        <w:sz w:val="18"/>
        <w:lang w:eastAsia="hr-HR"/>
      </w:rPr>
      <w:t>Određivanje cijena v</w:t>
    </w:r>
    <w:r>
      <w:rPr>
        <w:rFonts w:eastAsia="Times New Roman"/>
        <w:sz w:val="18"/>
        <w:lang w:eastAsia="hr-HR"/>
      </w:rPr>
      <w:t>eleprodajnih usluga na tržištu</w:t>
    </w:r>
    <w:r w:rsidRPr="003E351E">
      <w:rPr>
        <w:rFonts w:eastAsia="Times New Roman"/>
        <w:sz w:val="18"/>
        <w:lang w:eastAsia="hr-HR"/>
      </w:rPr>
      <w:t xml:space="preserve"> </w:t>
    </w:r>
    <w:r w:rsidRPr="003E351E">
      <w:rPr>
        <w:rFonts w:eastAsia="Times New Roman"/>
        <w:sz w:val="18"/>
        <w:lang w:val="en-US" w:eastAsia="hr-HR"/>
      </w:rPr>
      <w:t xml:space="preserve"> veleprodajnog lokalnog pristupa koji se pruža na fiksnoj lokaciji (M3a</w:t>
    </w:r>
    <w:r>
      <w:rPr>
        <w:rFonts w:eastAsia="Times New Roman"/>
        <w:sz w:val="18"/>
        <w:lang w:val="en-US" w:eastAsia="hr-HR"/>
      </w:rPr>
      <w:t>)</w:t>
    </w:r>
  </w:p>
  <w:p w:rsidR="005B1AE7" w:rsidRPr="00574F86" w:rsidRDefault="005B1AE7" w:rsidP="00F87C66">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listopad 2020</w:t>
    </w:r>
    <w:r w:rsidRPr="00574F86">
      <w:rPr>
        <w:rFonts w:eastAsia="Times New Roman"/>
        <w:b/>
        <w:sz w:val="16"/>
        <w:lang w:eastAsia="hr-HR"/>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1AE7" w:rsidRPr="003E351E" w:rsidRDefault="005B1AE7" w:rsidP="003E351E">
    <w:pPr>
      <w:tabs>
        <w:tab w:val="left" w:pos="3150"/>
        <w:tab w:val="right" w:pos="9072"/>
      </w:tabs>
      <w:spacing w:after="0" w:line="240" w:lineRule="auto"/>
      <w:ind w:left="1416"/>
      <w:rPr>
        <w:rFonts w:eastAsia="Times New Roman"/>
        <w:sz w:val="18"/>
        <w:lang w:val="en-US" w:eastAsia="hr-HR"/>
      </w:rPr>
    </w:pPr>
    <w:r w:rsidRPr="00574F86">
      <w:rPr>
        <w:rFonts w:eastAsia="Times New Roman"/>
        <w:bCs/>
        <w:noProof/>
        <w:sz w:val="20"/>
        <w:lang w:val="en-US"/>
      </w:rPr>
      <w:drawing>
        <wp:anchor distT="0" distB="0" distL="114300" distR="114300" simplePos="0" relativeHeight="251658241" behindDoc="0" locked="0" layoutInCell="1" allowOverlap="1" wp14:anchorId="5608BE1B" wp14:editId="2871F743">
          <wp:simplePos x="0" y="0"/>
          <wp:positionH relativeFrom="margin">
            <wp:align>left</wp:align>
          </wp:positionH>
          <wp:positionV relativeFrom="paragraph">
            <wp:posOffset>7620</wp:posOffset>
          </wp:positionV>
          <wp:extent cx="450000" cy="338400"/>
          <wp:effectExtent l="0" t="0" r="7620" b="508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450000" cy="338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351E">
      <w:rPr>
        <w:rFonts w:eastAsia="Times New Roman"/>
        <w:sz w:val="18"/>
        <w:lang w:eastAsia="hr-HR"/>
      </w:rPr>
      <w:t>Određivanje cijena v</w:t>
    </w:r>
    <w:r>
      <w:rPr>
        <w:rFonts w:eastAsia="Times New Roman"/>
        <w:sz w:val="18"/>
        <w:lang w:eastAsia="hr-HR"/>
      </w:rPr>
      <w:t>eleprodajnih usluga na tržištu</w:t>
    </w:r>
    <w:r w:rsidRPr="003E351E">
      <w:rPr>
        <w:rFonts w:eastAsia="Times New Roman"/>
        <w:sz w:val="18"/>
        <w:lang w:eastAsia="hr-HR"/>
      </w:rPr>
      <w:t xml:space="preserve"> </w:t>
    </w:r>
    <w:r w:rsidRPr="003E351E">
      <w:rPr>
        <w:rFonts w:eastAsia="Times New Roman"/>
        <w:sz w:val="18"/>
        <w:lang w:val="en-US" w:eastAsia="hr-HR"/>
      </w:rPr>
      <w:t xml:space="preserve"> veleprodajnog lokalnog pristupa koji se pruža na fiksnoj lokaciji (M3a</w:t>
    </w:r>
    <w:r>
      <w:rPr>
        <w:rFonts w:eastAsia="Times New Roman"/>
        <w:sz w:val="18"/>
        <w:lang w:val="en-US" w:eastAsia="hr-HR"/>
      </w:rPr>
      <w:t>)</w:t>
    </w:r>
  </w:p>
  <w:p w:rsidR="005B1AE7" w:rsidRPr="00574F86" w:rsidRDefault="005B1AE7" w:rsidP="005D61E9">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listopad 2020</w:t>
    </w:r>
    <w:r w:rsidRPr="00574F86">
      <w:rPr>
        <w:rFonts w:eastAsia="Times New Roman"/>
        <w:b/>
        <w:sz w:val="16"/>
        <w:lang w:eastAsia="hr-HR"/>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8pt;height:36pt" o:bullet="t">
        <v:imagedata r:id="rId1" o:title="flecha"/>
      </v:shape>
    </w:pict>
  </w:numPicBullet>
  <w:abstractNum w:abstractNumId="0" w15:restartNumberingAfterBreak="0">
    <w:nsid w:val="FFFFFF89"/>
    <w:multiLevelType w:val="singleLevel"/>
    <w:tmpl w:val="DDDCB9E6"/>
    <w:lvl w:ilvl="0">
      <w:start w:val="1"/>
      <w:numFmt w:val="bullet"/>
      <w:pStyle w:val="ListBullet"/>
      <w:lvlText w:val=""/>
      <w:lvlJc w:val="left"/>
      <w:pPr>
        <w:tabs>
          <w:tab w:val="num" w:pos="1360"/>
        </w:tabs>
        <w:ind w:left="1360" w:hanging="360"/>
      </w:pPr>
      <w:rPr>
        <w:rFonts w:ascii="Symbol" w:hAnsi="Symbol" w:hint="default"/>
      </w:rPr>
    </w:lvl>
  </w:abstractNum>
  <w:abstractNum w:abstractNumId="1" w15:restartNumberingAfterBreak="0">
    <w:nsid w:val="03A73DFB"/>
    <w:multiLevelType w:val="hybridMultilevel"/>
    <w:tmpl w:val="1F5EC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7E1D55"/>
    <w:multiLevelType w:val="hybridMultilevel"/>
    <w:tmpl w:val="323805DC"/>
    <w:lvl w:ilvl="0" w:tplc="D988C6DA">
      <w:numFmt w:val="bullet"/>
      <w:lvlText w:val="•"/>
      <w:lvlJc w:val="left"/>
      <w:pPr>
        <w:ind w:left="1068" w:hanging="708"/>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1E50F3"/>
    <w:multiLevelType w:val="hybridMultilevel"/>
    <w:tmpl w:val="A54E38E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15:restartNumberingAfterBreak="0">
    <w:nsid w:val="112E43A3"/>
    <w:multiLevelType w:val="hybridMultilevel"/>
    <w:tmpl w:val="1E54E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C470FE"/>
    <w:multiLevelType w:val="multilevel"/>
    <w:tmpl w:val="0409001F"/>
    <w:styleLink w:val="Style2"/>
    <w:lvl w:ilvl="0">
      <w:start w:val="1"/>
      <w:numFmt w:val="upperRoman"/>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9F3D48"/>
    <w:multiLevelType w:val="hybridMultilevel"/>
    <w:tmpl w:val="5F7A66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7BA5E0A"/>
    <w:multiLevelType w:val="multilevel"/>
    <w:tmpl w:val="0409001F"/>
    <w:numStyleLink w:val="Style2"/>
  </w:abstractNum>
  <w:abstractNum w:abstractNumId="8" w15:restartNumberingAfterBreak="0">
    <w:nsid w:val="184D7865"/>
    <w:multiLevelType w:val="hybridMultilevel"/>
    <w:tmpl w:val="13A88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92F5006"/>
    <w:multiLevelType w:val="hybridMultilevel"/>
    <w:tmpl w:val="89644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D32272"/>
    <w:multiLevelType w:val="hybridMultilevel"/>
    <w:tmpl w:val="60806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21377F"/>
    <w:multiLevelType w:val="hybridMultilevel"/>
    <w:tmpl w:val="D8942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EA6D38"/>
    <w:multiLevelType w:val="hybridMultilevel"/>
    <w:tmpl w:val="7A069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40186F"/>
    <w:multiLevelType w:val="hybridMultilevel"/>
    <w:tmpl w:val="60088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9F7C54"/>
    <w:multiLevelType w:val="hybridMultilevel"/>
    <w:tmpl w:val="C6B0E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122E30"/>
    <w:multiLevelType w:val="hybridMultilevel"/>
    <w:tmpl w:val="634AA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6580C8E"/>
    <w:multiLevelType w:val="hybridMultilevel"/>
    <w:tmpl w:val="CCE85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65D4084"/>
    <w:multiLevelType w:val="hybridMultilevel"/>
    <w:tmpl w:val="84E85EB6"/>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9518DA"/>
    <w:multiLevelType w:val="hybridMultilevel"/>
    <w:tmpl w:val="3D1CDB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9E07AFD"/>
    <w:multiLevelType w:val="multilevel"/>
    <w:tmpl w:val="7D3AA7BE"/>
    <w:lvl w:ilvl="0">
      <w:start w:val="1"/>
      <w:numFmt w:val="bullet"/>
      <w:pStyle w:val="Bullet1"/>
      <w:lvlText w:val=""/>
      <w:lvlJc w:val="left"/>
      <w:pPr>
        <w:ind w:left="928" w:hanging="360"/>
      </w:pPr>
      <w:rPr>
        <w:rFonts w:ascii="Wingdings 3" w:hAnsi="Wingdings 3" w:cs="Wingdings 3" w:hint="default"/>
        <w:color w:val="FFC000"/>
        <w:sz w:val="22"/>
        <w:szCs w:val="22"/>
      </w:rPr>
    </w:lvl>
    <w:lvl w:ilvl="1">
      <w:start w:val="1"/>
      <w:numFmt w:val="bullet"/>
      <w:pStyle w:val="Bullet2"/>
      <w:lvlText w:val=""/>
      <w:lvlJc w:val="left"/>
      <w:pPr>
        <w:ind w:left="2206" w:hanging="360"/>
      </w:pPr>
      <w:rPr>
        <w:rFonts w:ascii="Symbol" w:hAnsi="Symbol" w:cs="Times New Roman" w:hint="default"/>
        <w:color w:val="FFC000"/>
      </w:rPr>
    </w:lvl>
    <w:lvl w:ilvl="2">
      <w:start w:val="1"/>
      <w:numFmt w:val="bullet"/>
      <w:pStyle w:val="Bullet3"/>
      <w:lvlText w:val="-"/>
      <w:lvlJc w:val="left"/>
      <w:pPr>
        <w:ind w:left="1637" w:hanging="360"/>
      </w:pPr>
      <w:rPr>
        <w:rFonts w:ascii="Verdana" w:hAnsi="Verdana" w:cs="Times New Roman" w:hint="default"/>
        <w:color w:val="FFC000"/>
      </w:rPr>
    </w:lvl>
    <w:lvl w:ilvl="3">
      <w:start w:val="1"/>
      <w:numFmt w:val="bullet"/>
      <w:lvlText w:val=""/>
      <w:lvlJc w:val="left"/>
      <w:pPr>
        <w:ind w:left="3646" w:hanging="360"/>
      </w:pPr>
      <w:rPr>
        <w:rFonts w:ascii="Symbol" w:hAnsi="Symbol" w:hint="default"/>
      </w:rPr>
    </w:lvl>
    <w:lvl w:ilvl="4">
      <w:start w:val="1"/>
      <w:numFmt w:val="bullet"/>
      <w:lvlText w:val="o"/>
      <w:lvlJc w:val="left"/>
      <w:pPr>
        <w:ind w:left="4366" w:hanging="360"/>
      </w:pPr>
      <w:rPr>
        <w:rFonts w:ascii="Courier New" w:hAnsi="Courier New" w:cs="Courier New" w:hint="default"/>
      </w:rPr>
    </w:lvl>
    <w:lvl w:ilvl="5">
      <w:start w:val="1"/>
      <w:numFmt w:val="bullet"/>
      <w:lvlText w:val=""/>
      <w:lvlJc w:val="left"/>
      <w:pPr>
        <w:ind w:left="5086" w:hanging="360"/>
      </w:pPr>
      <w:rPr>
        <w:rFonts w:ascii="Wingdings" w:hAnsi="Wingdings" w:hint="default"/>
      </w:rPr>
    </w:lvl>
    <w:lvl w:ilvl="6">
      <w:start w:val="1"/>
      <w:numFmt w:val="bullet"/>
      <w:lvlText w:val=""/>
      <w:lvlJc w:val="left"/>
      <w:pPr>
        <w:ind w:left="5806" w:hanging="360"/>
      </w:pPr>
      <w:rPr>
        <w:rFonts w:ascii="Symbol" w:hAnsi="Symbol" w:hint="default"/>
      </w:rPr>
    </w:lvl>
    <w:lvl w:ilvl="7">
      <w:start w:val="1"/>
      <w:numFmt w:val="bullet"/>
      <w:lvlText w:val="o"/>
      <w:lvlJc w:val="left"/>
      <w:pPr>
        <w:ind w:left="6526" w:hanging="360"/>
      </w:pPr>
      <w:rPr>
        <w:rFonts w:ascii="Courier New" w:hAnsi="Courier New" w:cs="Courier New" w:hint="default"/>
      </w:rPr>
    </w:lvl>
    <w:lvl w:ilvl="8">
      <w:start w:val="1"/>
      <w:numFmt w:val="bullet"/>
      <w:lvlText w:val=""/>
      <w:lvlJc w:val="left"/>
      <w:pPr>
        <w:ind w:left="7246" w:hanging="360"/>
      </w:pPr>
      <w:rPr>
        <w:rFonts w:ascii="Wingdings" w:hAnsi="Wingdings" w:hint="default"/>
      </w:rPr>
    </w:lvl>
  </w:abstractNum>
  <w:abstractNum w:abstractNumId="20" w15:restartNumberingAfterBreak="0">
    <w:nsid w:val="3C356B9A"/>
    <w:multiLevelType w:val="hybridMultilevel"/>
    <w:tmpl w:val="823A8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E4E7412"/>
    <w:multiLevelType w:val="hybridMultilevel"/>
    <w:tmpl w:val="657E2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ED11935"/>
    <w:multiLevelType w:val="hybridMultilevel"/>
    <w:tmpl w:val="0F1ADF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1672C8"/>
    <w:multiLevelType w:val="hybridMultilevel"/>
    <w:tmpl w:val="4FAE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8116C4C"/>
    <w:multiLevelType w:val="hybridMultilevel"/>
    <w:tmpl w:val="D6029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8716752"/>
    <w:multiLevelType w:val="hybridMultilevel"/>
    <w:tmpl w:val="05C22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8967861"/>
    <w:multiLevelType w:val="hybridMultilevel"/>
    <w:tmpl w:val="D7CA0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897064C"/>
    <w:multiLevelType w:val="hybridMultilevel"/>
    <w:tmpl w:val="9AF63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905796A"/>
    <w:multiLevelType w:val="hybridMultilevel"/>
    <w:tmpl w:val="55E6CD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AD35853"/>
    <w:multiLevelType w:val="hybridMultilevel"/>
    <w:tmpl w:val="86E48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F37301E"/>
    <w:multiLevelType w:val="hybridMultilevel"/>
    <w:tmpl w:val="657E0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28219BE"/>
    <w:multiLevelType w:val="hybridMultilevel"/>
    <w:tmpl w:val="2B802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6FF30DD"/>
    <w:multiLevelType w:val="hybridMultilevel"/>
    <w:tmpl w:val="94982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7496184"/>
    <w:multiLevelType w:val="hybridMultilevel"/>
    <w:tmpl w:val="950EB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AE70AA3"/>
    <w:multiLevelType w:val="hybridMultilevel"/>
    <w:tmpl w:val="ABEC115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5B6F725F"/>
    <w:multiLevelType w:val="hybridMultilevel"/>
    <w:tmpl w:val="EE42FF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E53660D"/>
    <w:multiLevelType w:val="hybridMultilevel"/>
    <w:tmpl w:val="8D3A5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4806058"/>
    <w:multiLevelType w:val="hybridMultilevel"/>
    <w:tmpl w:val="B040F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5E37E39"/>
    <w:multiLevelType w:val="hybridMultilevel"/>
    <w:tmpl w:val="3904D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8025D8C"/>
    <w:multiLevelType w:val="hybridMultilevel"/>
    <w:tmpl w:val="3FFC122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0" w15:restartNumberingAfterBreak="0">
    <w:nsid w:val="6B560EEA"/>
    <w:multiLevelType w:val="hybridMultilevel"/>
    <w:tmpl w:val="C4428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BF260F8"/>
    <w:multiLevelType w:val="hybridMultilevel"/>
    <w:tmpl w:val="9E1C3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C8A29C4"/>
    <w:multiLevelType w:val="hybridMultilevel"/>
    <w:tmpl w:val="D9923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CB11491"/>
    <w:multiLevelType w:val="multilevel"/>
    <w:tmpl w:val="863880B8"/>
    <w:lvl w:ilvl="0">
      <w:start w:val="1"/>
      <w:numFmt w:val="decimal"/>
      <w:pStyle w:val="Heading1"/>
      <w:lvlText w:val="%1"/>
      <w:lvlJc w:val="left"/>
      <w:pPr>
        <w:ind w:left="574"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1148"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4" w15:restartNumberingAfterBreak="0">
    <w:nsid w:val="6DB22170"/>
    <w:multiLevelType w:val="hybridMultilevel"/>
    <w:tmpl w:val="F8DC9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E3B248D"/>
    <w:multiLevelType w:val="hybridMultilevel"/>
    <w:tmpl w:val="D8E8D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E5B6D15"/>
    <w:multiLevelType w:val="hybridMultilevel"/>
    <w:tmpl w:val="F9002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6D77433"/>
    <w:multiLevelType w:val="hybridMultilevel"/>
    <w:tmpl w:val="4ECA05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709636F"/>
    <w:multiLevelType w:val="hybridMultilevel"/>
    <w:tmpl w:val="ACC6B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B7D36FA"/>
    <w:multiLevelType w:val="hybridMultilevel"/>
    <w:tmpl w:val="3C76D7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3"/>
  </w:num>
  <w:num w:numId="2">
    <w:abstractNumId w:val="17"/>
  </w:num>
  <w:num w:numId="3">
    <w:abstractNumId w:val="0"/>
  </w:num>
  <w:num w:numId="4">
    <w:abstractNumId w:val="40"/>
  </w:num>
  <w:num w:numId="5">
    <w:abstractNumId w:val="4"/>
  </w:num>
  <w:num w:numId="6">
    <w:abstractNumId w:val="25"/>
  </w:num>
  <w:num w:numId="7">
    <w:abstractNumId w:val="49"/>
  </w:num>
  <w:num w:numId="8">
    <w:abstractNumId w:val="1"/>
  </w:num>
  <w:num w:numId="9">
    <w:abstractNumId w:val="31"/>
  </w:num>
  <w:num w:numId="10">
    <w:abstractNumId w:val="19"/>
  </w:num>
  <w:num w:numId="11">
    <w:abstractNumId w:val="48"/>
  </w:num>
  <w:num w:numId="12">
    <w:abstractNumId w:val="16"/>
  </w:num>
  <w:num w:numId="13">
    <w:abstractNumId w:val="27"/>
  </w:num>
  <w:num w:numId="14">
    <w:abstractNumId w:val="18"/>
  </w:num>
  <w:num w:numId="15">
    <w:abstractNumId w:val="20"/>
  </w:num>
  <w:num w:numId="16">
    <w:abstractNumId w:val="36"/>
  </w:num>
  <w:num w:numId="17">
    <w:abstractNumId w:val="12"/>
  </w:num>
  <w:num w:numId="18">
    <w:abstractNumId w:val="44"/>
  </w:num>
  <w:num w:numId="19">
    <w:abstractNumId w:val="32"/>
  </w:num>
  <w:num w:numId="20">
    <w:abstractNumId w:val="24"/>
  </w:num>
  <w:num w:numId="21">
    <w:abstractNumId w:val="46"/>
  </w:num>
  <w:num w:numId="22">
    <w:abstractNumId w:val="45"/>
  </w:num>
  <w:num w:numId="23">
    <w:abstractNumId w:val="14"/>
  </w:num>
  <w:num w:numId="24">
    <w:abstractNumId w:val="23"/>
  </w:num>
  <w:num w:numId="25">
    <w:abstractNumId w:val="22"/>
  </w:num>
  <w:num w:numId="26">
    <w:abstractNumId w:val="15"/>
  </w:num>
  <w:num w:numId="27">
    <w:abstractNumId w:val="10"/>
  </w:num>
  <w:num w:numId="28">
    <w:abstractNumId w:val="13"/>
  </w:num>
  <w:num w:numId="29">
    <w:abstractNumId w:val="38"/>
  </w:num>
  <w:num w:numId="30">
    <w:abstractNumId w:val="28"/>
  </w:num>
  <w:num w:numId="31">
    <w:abstractNumId w:val="35"/>
  </w:num>
  <w:num w:numId="32">
    <w:abstractNumId w:val="29"/>
  </w:num>
  <w:num w:numId="33">
    <w:abstractNumId w:val="11"/>
  </w:num>
  <w:num w:numId="34">
    <w:abstractNumId w:val="9"/>
  </w:num>
  <w:num w:numId="35">
    <w:abstractNumId w:val="6"/>
  </w:num>
  <w:num w:numId="36">
    <w:abstractNumId w:val="41"/>
  </w:num>
  <w:num w:numId="37">
    <w:abstractNumId w:val="8"/>
  </w:num>
  <w:num w:numId="38">
    <w:abstractNumId w:val="34"/>
  </w:num>
  <w:num w:numId="39">
    <w:abstractNumId w:val="39"/>
  </w:num>
  <w:num w:numId="40">
    <w:abstractNumId w:val="42"/>
  </w:num>
  <w:num w:numId="41">
    <w:abstractNumId w:val="21"/>
  </w:num>
  <w:num w:numId="42">
    <w:abstractNumId w:val="33"/>
  </w:num>
  <w:num w:numId="43">
    <w:abstractNumId w:val="47"/>
  </w:num>
  <w:num w:numId="44">
    <w:abstractNumId w:val="37"/>
  </w:num>
  <w:num w:numId="45">
    <w:abstractNumId w:val="26"/>
  </w:num>
  <w:num w:numId="46">
    <w:abstractNumId w:val="30"/>
  </w:num>
  <w:num w:numId="47">
    <w:abstractNumId w:val="3"/>
  </w:num>
  <w:num w:numId="48">
    <w:abstractNumId w:val="7"/>
  </w:num>
  <w:num w:numId="49">
    <w:abstractNumId w:val="2"/>
  </w:num>
  <w:num w:numId="50">
    <w:abstractNumId w:val="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trackRevisions/>
  <w:doNotTrackFormatting/>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54CB"/>
    <w:rsid w:val="000063BB"/>
    <w:rsid w:val="00006985"/>
    <w:rsid w:val="00006CEA"/>
    <w:rsid w:val="000070FC"/>
    <w:rsid w:val="000127A4"/>
    <w:rsid w:val="00014DBA"/>
    <w:rsid w:val="00016FAF"/>
    <w:rsid w:val="0001715A"/>
    <w:rsid w:val="00017344"/>
    <w:rsid w:val="00017A81"/>
    <w:rsid w:val="00017BCC"/>
    <w:rsid w:val="0002012C"/>
    <w:rsid w:val="00022048"/>
    <w:rsid w:val="00022BEE"/>
    <w:rsid w:val="00024D8E"/>
    <w:rsid w:val="00025912"/>
    <w:rsid w:val="000268CC"/>
    <w:rsid w:val="0002719F"/>
    <w:rsid w:val="000323CC"/>
    <w:rsid w:val="000331D7"/>
    <w:rsid w:val="0003453E"/>
    <w:rsid w:val="00035052"/>
    <w:rsid w:val="000366D8"/>
    <w:rsid w:val="00044521"/>
    <w:rsid w:val="00046938"/>
    <w:rsid w:val="00046E84"/>
    <w:rsid w:val="000472AF"/>
    <w:rsid w:val="000477EC"/>
    <w:rsid w:val="00051E45"/>
    <w:rsid w:val="00052DCC"/>
    <w:rsid w:val="00052E41"/>
    <w:rsid w:val="00052EDD"/>
    <w:rsid w:val="00053570"/>
    <w:rsid w:val="000536E0"/>
    <w:rsid w:val="00055D52"/>
    <w:rsid w:val="00055DBA"/>
    <w:rsid w:val="0005608E"/>
    <w:rsid w:val="000562AF"/>
    <w:rsid w:val="000603CE"/>
    <w:rsid w:val="000609C1"/>
    <w:rsid w:val="00061AD3"/>
    <w:rsid w:val="0006300B"/>
    <w:rsid w:val="00063304"/>
    <w:rsid w:val="00063780"/>
    <w:rsid w:val="00063C7D"/>
    <w:rsid w:val="00064498"/>
    <w:rsid w:val="00064E69"/>
    <w:rsid w:val="0006707C"/>
    <w:rsid w:val="000676C1"/>
    <w:rsid w:val="00072563"/>
    <w:rsid w:val="00073E2A"/>
    <w:rsid w:val="0007764A"/>
    <w:rsid w:val="00080B46"/>
    <w:rsid w:val="00080D81"/>
    <w:rsid w:val="00081A4B"/>
    <w:rsid w:val="00082C59"/>
    <w:rsid w:val="00083A6C"/>
    <w:rsid w:val="00083EF1"/>
    <w:rsid w:val="00086317"/>
    <w:rsid w:val="00086FE4"/>
    <w:rsid w:val="00087118"/>
    <w:rsid w:val="00087F03"/>
    <w:rsid w:val="000901BE"/>
    <w:rsid w:val="00090916"/>
    <w:rsid w:val="00091BDD"/>
    <w:rsid w:val="00092F4C"/>
    <w:rsid w:val="00093851"/>
    <w:rsid w:val="00094B05"/>
    <w:rsid w:val="00094E70"/>
    <w:rsid w:val="00095E71"/>
    <w:rsid w:val="000968AB"/>
    <w:rsid w:val="00097BEE"/>
    <w:rsid w:val="00097FF2"/>
    <w:rsid w:val="000A094F"/>
    <w:rsid w:val="000A1B43"/>
    <w:rsid w:val="000A21C7"/>
    <w:rsid w:val="000A250B"/>
    <w:rsid w:val="000A3617"/>
    <w:rsid w:val="000A42FD"/>
    <w:rsid w:val="000A46AF"/>
    <w:rsid w:val="000A4E38"/>
    <w:rsid w:val="000A589E"/>
    <w:rsid w:val="000A632B"/>
    <w:rsid w:val="000A6FCC"/>
    <w:rsid w:val="000B004E"/>
    <w:rsid w:val="000B128F"/>
    <w:rsid w:val="000B3E4A"/>
    <w:rsid w:val="000B43F9"/>
    <w:rsid w:val="000B6660"/>
    <w:rsid w:val="000B7347"/>
    <w:rsid w:val="000C049E"/>
    <w:rsid w:val="000C0604"/>
    <w:rsid w:val="000C0B5B"/>
    <w:rsid w:val="000C0EFE"/>
    <w:rsid w:val="000C17EF"/>
    <w:rsid w:val="000C1B9E"/>
    <w:rsid w:val="000C1F24"/>
    <w:rsid w:val="000C2314"/>
    <w:rsid w:val="000C271C"/>
    <w:rsid w:val="000C2EAC"/>
    <w:rsid w:val="000C4133"/>
    <w:rsid w:val="000C5115"/>
    <w:rsid w:val="000C565E"/>
    <w:rsid w:val="000C6799"/>
    <w:rsid w:val="000C67F3"/>
    <w:rsid w:val="000D0AFA"/>
    <w:rsid w:val="000D0DF2"/>
    <w:rsid w:val="000D21A5"/>
    <w:rsid w:val="000D2723"/>
    <w:rsid w:val="000D5A9D"/>
    <w:rsid w:val="000D5B7E"/>
    <w:rsid w:val="000D5CEF"/>
    <w:rsid w:val="000D65EA"/>
    <w:rsid w:val="000D6B8E"/>
    <w:rsid w:val="000E0CEF"/>
    <w:rsid w:val="000E239D"/>
    <w:rsid w:val="000E250A"/>
    <w:rsid w:val="000E267F"/>
    <w:rsid w:val="000E4B27"/>
    <w:rsid w:val="000E4ECF"/>
    <w:rsid w:val="000E689A"/>
    <w:rsid w:val="000E699E"/>
    <w:rsid w:val="000F0588"/>
    <w:rsid w:val="000F0A57"/>
    <w:rsid w:val="000F17D0"/>
    <w:rsid w:val="000F2758"/>
    <w:rsid w:val="000F2A37"/>
    <w:rsid w:val="000F2C5D"/>
    <w:rsid w:val="000F39AC"/>
    <w:rsid w:val="00100760"/>
    <w:rsid w:val="00100E7B"/>
    <w:rsid w:val="00101950"/>
    <w:rsid w:val="00103316"/>
    <w:rsid w:val="00103BD7"/>
    <w:rsid w:val="00104AB5"/>
    <w:rsid w:val="00105AF8"/>
    <w:rsid w:val="001061D7"/>
    <w:rsid w:val="001066A9"/>
    <w:rsid w:val="001106AF"/>
    <w:rsid w:val="00110BF0"/>
    <w:rsid w:val="0011284E"/>
    <w:rsid w:val="00113045"/>
    <w:rsid w:val="0011331D"/>
    <w:rsid w:val="00113C7E"/>
    <w:rsid w:val="00116012"/>
    <w:rsid w:val="00120FA2"/>
    <w:rsid w:val="00121004"/>
    <w:rsid w:val="00121515"/>
    <w:rsid w:val="0012177E"/>
    <w:rsid w:val="00122B3B"/>
    <w:rsid w:val="0012589E"/>
    <w:rsid w:val="00126145"/>
    <w:rsid w:val="00126D4F"/>
    <w:rsid w:val="00127BB5"/>
    <w:rsid w:val="00127C39"/>
    <w:rsid w:val="00130E05"/>
    <w:rsid w:val="001312D0"/>
    <w:rsid w:val="001335FA"/>
    <w:rsid w:val="00134D52"/>
    <w:rsid w:val="00137C31"/>
    <w:rsid w:val="00142881"/>
    <w:rsid w:val="001443FF"/>
    <w:rsid w:val="001451F6"/>
    <w:rsid w:val="0014612A"/>
    <w:rsid w:val="00146DE4"/>
    <w:rsid w:val="001504C0"/>
    <w:rsid w:val="00153A69"/>
    <w:rsid w:val="00154758"/>
    <w:rsid w:val="001554C1"/>
    <w:rsid w:val="00157D9B"/>
    <w:rsid w:val="00157DFC"/>
    <w:rsid w:val="001602A2"/>
    <w:rsid w:val="001608ED"/>
    <w:rsid w:val="00160A82"/>
    <w:rsid w:val="00160F6E"/>
    <w:rsid w:val="0016145D"/>
    <w:rsid w:val="00161D23"/>
    <w:rsid w:val="001672C2"/>
    <w:rsid w:val="0017053E"/>
    <w:rsid w:val="00170A60"/>
    <w:rsid w:val="00171907"/>
    <w:rsid w:val="001721AA"/>
    <w:rsid w:val="0017374B"/>
    <w:rsid w:val="001741CA"/>
    <w:rsid w:val="00175764"/>
    <w:rsid w:val="00175A27"/>
    <w:rsid w:val="00176307"/>
    <w:rsid w:val="00176C79"/>
    <w:rsid w:val="00177BB9"/>
    <w:rsid w:val="00177E02"/>
    <w:rsid w:val="0018031D"/>
    <w:rsid w:val="001804C3"/>
    <w:rsid w:val="0018068F"/>
    <w:rsid w:val="00180C42"/>
    <w:rsid w:val="00180F19"/>
    <w:rsid w:val="00181E74"/>
    <w:rsid w:val="0018224A"/>
    <w:rsid w:val="00183466"/>
    <w:rsid w:val="001837F8"/>
    <w:rsid w:val="0018407D"/>
    <w:rsid w:val="00184148"/>
    <w:rsid w:val="0018454C"/>
    <w:rsid w:val="00187DA1"/>
    <w:rsid w:val="001902BB"/>
    <w:rsid w:val="001906B9"/>
    <w:rsid w:val="00190F8B"/>
    <w:rsid w:val="00191CE6"/>
    <w:rsid w:val="001931FF"/>
    <w:rsid w:val="001935F1"/>
    <w:rsid w:val="0019487A"/>
    <w:rsid w:val="0019667F"/>
    <w:rsid w:val="0019796F"/>
    <w:rsid w:val="00197A15"/>
    <w:rsid w:val="00197E19"/>
    <w:rsid w:val="001A0EBC"/>
    <w:rsid w:val="001A1E8F"/>
    <w:rsid w:val="001A248F"/>
    <w:rsid w:val="001A3007"/>
    <w:rsid w:val="001A3A21"/>
    <w:rsid w:val="001A3D9D"/>
    <w:rsid w:val="001A7B69"/>
    <w:rsid w:val="001B10F5"/>
    <w:rsid w:val="001B22A6"/>
    <w:rsid w:val="001B28D5"/>
    <w:rsid w:val="001B3E86"/>
    <w:rsid w:val="001B405E"/>
    <w:rsid w:val="001B416A"/>
    <w:rsid w:val="001B4C7A"/>
    <w:rsid w:val="001B5342"/>
    <w:rsid w:val="001B6580"/>
    <w:rsid w:val="001B7797"/>
    <w:rsid w:val="001C33BC"/>
    <w:rsid w:val="001C3780"/>
    <w:rsid w:val="001C37C8"/>
    <w:rsid w:val="001C48D1"/>
    <w:rsid w:val="001C7302"/>
    <w:rsid w:val="001C74C6"/>
    <w:rsid w:val="001D0B96"/>
    <w:rsid w:val="001D2A03"/>
    <w:rsid w:val="001D3E01"/>
    <w:rsid w:val="001D4081"/>
    <w:rsid w:val="001D421F"/>
    <w:rsid w:val="001D49F3"/>
    <w:rsid w:val="001D589E"/>
    <w:rsid w:val="001D5BE1"/>
    <w:rsid w:val="001D639B"/>
    <w:rsid w:val="001D7A2B"/>
    <w:rsid w:val="001E2FBD"/>
    <w:rsid w:val="001E5075"/>
    <w:rsid w:val="001E5C2E"/>
    <w:rsid w:val="001E5C98"/>
    <w:rsid w:val="001E78CC"/>
    <w:rsid w:val="001F0832"/>
    <w:rsid w:val="001F2ADE"/>
    <w:rsid w:val="001F3286"/>
    <w:rsid w:val="001F5CD3"/>
    <w:rsid w:val="001F61BB"/>
    <w:rsid w:val="001F65A5"/>
    <w:rsid w:val="001F6A53"/>
    <w:rsid w:val="001F70F9"/>
    <w:rsid w:val="0020035F"/>
    <w:rsid w:val="00200A36"/>
    <w:rsid w:val="00201DE0"/>
    <w:rsid w:val="00201ED2"/>
    <w:rsid w:val="002020E7"/>
    <w:rsid w:val="002035CE"/>
    <w:rsid w:val="00203C0C"/>
    <w:rsid w:val="00204C02"/>
    <w:rsid w:val="00204F7E"/>
    <w:rsid w:val="00206E7E"/>
    <w:rsid w:val="00206F91"/>
    <w:rsid w:val="002076C3"/>
    <w:rsid w:val="00207E91"/>
    <w:rsid w:val="00210965"/>
    <w:rsid w:val="00212274"/>
    <w:rsid w:val="002128C2"/>
    <w:rsid w:val="00213087"/>
    <w:rsid w:val="00213CBE"/>
    <w:rsid w:val="002150F2"/>
    <w:rsid w:val="00215A3A"/>
    <w:rsid w:val="002210BE"/>
    <w:rsid w:val="00221235"/>
    <w:rsid w:val="0022367B"/>
    <w:rsid w:val="00225A63"/>
    <w:rsid w:val="00226802"/>
    <w:rsid w:val="00230B6B"/>
    <w:rsid w:val="00232158"/>
    <w:rsid w:val="00232D4D"/>
    <w:rsid w:val="002330E6"/>
    <w:rsid w:val="00233770"/>
    <w:rsid w:val="00233B16"/>
    <w:rsid w:val="00233E21"/>
    <w:rsid w:val="00234192"/>
    <w:rsid w:val="0023561C"/>
    <w:rsid w:val="00236A83"/>
    <w:rsid w:val="00236D3D"/>
    <w:rsid w:val="0023787E"/>
    <w:rsid w:val="00237DE3"/>
    <w:rsid w:val="00240016"/>
    <w:rsid w:val="00242C6A"/>
    <w:rsid w:val="00243A49"/>
    <w:rsid w:val="0024487F"/>
    <w:rsid w:val="00244A84"/>
    <w:rsid w:val="002466DD"/>
    <w:rsid w:val="00247033"/>
    <w:rsid w:val="002474C5"/>
    <w:rsid w:val="00247DB1"/>
    <w:rsid w:val="00250C55"/>
    <w:rsid w:val="00250E12"/>
    <w:rsid w:val="00252389"/>
    <w:rsid w:val="0025281B"/>
    <w:rsid w:val="0025405A"/>
    <w:rsid w:val="002544D9"/>
    <w:rsid w:val="002554C1"/>
    <w:rsid w:val="00255B43"/>
    <w:rsid w:val="0025699B"/>
    <w:rsid w:val="002605C3"/>
    <w:rsid w:val="00260602"/>
    <w:rsid w:val="00260E25"/>
    <w:rsid w:val="00262825"/>
    <w:rsid w:val="0026505A"/>
    <w:rsid w:val="00265DC7"/>
    <w:rsid w:val="002665F4"/>
    <w:rsid w:val="002674E8"/>
    <w:rsid w:val="00267E3D"/>
    <w:rsid w:val="00270DC9"/>
    <w:rsid w:val="0027335F"/>
    <w:rsid w:val="00273407"/>
    <w:rsid w:val="00274283"/>
    <w:rsid w:val="00274378"/>
    <w:rsid w:val="00274B28"/>
    <w:rsid w:val="002754DF"/>
    <w:rsid w:val="0027626B"/>
    <w:rsid w:val="00277176"/>
    <w:rsid w:val="00277840"/>
    <w:rsid w:val="00281A74"/>
    <w:rsid w:val="00284AE3"/>
    <w:rsid w:val="002855FC"/>
    <w:rsid w:val="00285978"/>
    <w:rsid w:val="00286B09"/>
    <w:rsid w:val="00287FB7"/>
    <w:rsid w:val="002904CB"/>
    <w:rsid w:val="0029361B"/>
    <w:rsid w:val="00293E96"/>
    <w:rsid w:val="00294A27"/>
    <w:rsid w:val="00294DFC"/>
    <w:rsid w:val="00295692"/>
    <w:rsid w:val="00295BAC"/>
    <w:rsid w:val="002974FE"/>
    <w:rsid w:val="00297615"/>
    <w:rsid w:val="002A2A44"/>
    <w:rsid w:val="002A32B0"/>
    <w:rsid w:val="002A38BE"/>
    <w:rsid w:val="002A3B3F"/>
    <w:rsid w:val="002A4213"/>
    <w:rsid w:val="002A4AF2"/>
    <w:rsid w:val="002A6630"/>
    <w:rsid w:val="002A7114"/>
    <w:rsid w:val="002A7507"/>
    <w:rsid w:val="002B0805"/>
    <w:rsid w:val="002B1D29"/>
    <w:rsid w:val="002B2763"/>
    <w:rsid w:val="002B2C0A"/>
    <w:rsid w:val="002B3ECF"/>
    <w:rsid w:val="002B4122"/>
    <w:rsid w:val="002B4D92"/>
    <w:rsid w:val="002B5711"/>
    <w:rsid w:val="002B628A"/>
    <w:rsid w:val="002B71A8"/>
    <w:rsid w:val="002B71FF"/>
    <w:rsid w:val="002B7D0C"/>
    <w:rsid w:val="002C03E7"/>
    <w:rsid w:val="002C214C"/>
    <w:rsid w:val="002C2268"/>
    <w:rsid w:val="002C30FB"/>
    <w:rsid w:val="002C353C"/>
    <w:rsid w:val="002C4CC9"/>
    <w:rsid w:val="002C5FFF"/>
    <w:rsid w:val="002C6CAF"/>
    <w:rsid w:val="002C6FC8"/>
    <w:rsid w:val="002C7178"/>
    <w:rsid w:val="002D0288"/>
    <w:rsid w:val="002D1142"/>
    <w:rsid w:val="002D1BAD"/>
    <w:rsid w:val="002D22A9"/>
    <w:rsid w:val="002D2359"/>
    <w:rsid w:val="002D29CE"/>
    <w:rsid w:val="002D2F33"/>
    <w:rsid w:val="002D644D"/>
    <w:rsid w:val="002E0EFD"/>
    <w:rsid w:val="002E2317"/>
    <w:rsid w:val="002E2B22"/>
    <w:rsid w:val="002E3295"/>
    <w:rsid w:val="002E5B04"/>
    <w:rsid w:val="002F0DA9"/>
    <w:rsid w:val="002F2094"/>
    <w:rsid w:val="002F2FD0"/>
    <w:rsid w:val="002F4612"/>
    <w:rsid w:val="002F5CC9"/>
    <w:rsid w:val="002F635E"/>
    <w:rsid w:val="0030039C"/>
    <w:rsid w:val="003009F3"/>
    <w:rsid w:val="003010B8"/>
    <w:rsid w:val="003024AB"/>
    <w:rsid w:val="00304481"/>
    <w:rsid w:val="00305145"/>
    <w:rsid w:val="003051AC"/>
    <w:rsid w:val="00305251"/>
    <w:rsid w:val="003103BF"/>
    <w:rsid w:val="0031512B"/>
    <w:rsid w:val="0031589D"/>
    <w:rsid w:val="0031662C"/>
    <w:rsid w:val="00316D76"/>
    <w:rsid w:val="00317909"/>
    <w:rsid w:val="00317FBA"/>
    <w:rsid w:val="00320D82"/>
    <w:rsid w:val="00321008"/>
    <w:rsid w:val="00323239"/>
    <w:rsid w:val="00323C4C"/>
    <w:rsid w:val="003258B0"/>
    <w:rsid w:val="00325A7B"/>
    <w:rsid w:val="00325A9D"/>
    <w:rsid w:val="00332A9D"/>
    <w:rsid w:val="0033352D"/>
    <w:rsid w:val="00334168"/>
    <w:rsid w:val="00335BCA"/>
    <w:rsid w:val="00336B0F"/>
    <w:rsid w:val="00337EB9"/>
    <w:rsid w:val="003400FA"/>
    <w:rsid w:val="00341D37"/>
    <w:rsid w:val="0034314C"/>
    <w:rsid w:val="00343192"/>
    <w:rsid w:val="00343C07"/>
    <w:rsid w:val="00345468"/>
    <w:rsid w:val="003455E1"/>
    <w:rsid w:val="003478B4"/>
    <w:rsid w:val="00350698"/>
    <w:rsid w:val="00350E99"/>
    <w:rsid w:val="0035328D"/>
    <w:rsid w:val="00354F32"/>
    <w:rsid w:val="00356C37"/>
    <w:rsid w:val="00357272"/>
    <w:rsid w:val="00357A77"/>
    <w:rsid w:val="00362748"/>
    <w:rsid w:val="00362775"/>
    <w:rsid w:val="00362D8C"/>
    <w:rsid w:val="003632E2"/>
    <w:rsid w:val="003637A1"/>
    <w:rsid w:val="00363C08"/>
    <w:rsid w:val="003647D3"/>
    <w:rsid w:val="00365C84"/>
    <w:rsid w:val="0036651B"/>
    <w:rsid w:val="0037025B"/>
    <w:rsid w:val="0037025F"/>
    <w:rsid w:val="00370CC3"/>
    <w:rsid w:val="003730C2"/>
    <w:rsid w:val="0037551F"/>
    <w:rsid w:val="00375F87"/>
    <w:rsid w:val="00376186"/>
    <w:rsid w:val="00376830"/>
    <w:rsid w:val="00376D9E"/>
    <w:rsid w:val="00377B73"/>
    <w:rsid w:val="00380BB9"/>
    <w:rsid w:val="00381237"/>
    <w:rsid w:val="003815CA"/>
    <w:rsid w:val="003833B9"/>
    <w:rsid w:val="00383512"/>
    <w:rsid w:val="00383651"/>
    <w:rsid w:val="003839EA"/>
    <w:rsid w:val="003851B5"/>
    <w:rsid w:val="003873A8"/>
    <w:rsid w:val="00390263"/>
    <w:rsid w:val="003905C9"/>
    <w:rsid w:val="003905DA"/>
    <w:rsid w:val="00393033"/>
    <w:rsid w:val="00393558"/>
    <w:rsid w:val="003943AC"/>
    <w:rsid w:val="003A24A6"/>
    <w:rsid w:val="003A3EE6"/>
    <w:rsid w:val="003A3F28"/>
    <w:rsid w:val="003A5470"/>
    <w:rsid w:val="003A62BC"/>
    <w:rsid w:val="003A6F28"/>
    <w:rsid w:val="003B01FA"/>
    <w:rsid w:val="003B1B78"/>
    <w:rsid w:val="003B2828"/>
    <w:rsid w:val="003B2B98"/>
    <w:rsid w:val="003B2FFD"/>
    <w:rsid w:val="003B3200"/>
    <w:rsid w:val="003B6704"/>
    <w:rsid w:val="003B67CF"/>
    <w:rsid w:val="003B7B84"/>
    <w:rsid w:val="003C0AE9"/>
    <w:rsid w:val="003C4A82"/>
    <w:rsid w:val="003C4B07"/>
    <w:rsid w:val="003C4B0B"/>
    <w:rsid w:val="003C4F4A"/>
    <w:rsid w:val="003C5540"/>
    <w:rsid w:val="003C66EE"/>
    <w:rsid w:val="003C6F54"/>
    <w:rsid w:val="003C777B"/>
    <w:rsid w:val="003C7960"/>
    <w:rsid w:val="003C7B69"/>
    <w:rsid w:val="003D061E"/>
    <w:rsid w:val="003D1150"/>
    <w:rsid w:val="003D1CDB"/>
    <w:rsid w:val="003D1CFE"/>
    <w:rsid w:val="003D231C"/>
    <w:rsid w:val="003D2C6E"/>
    <w:rsid w:val="003D3219"/>
    <w:rsid w:val="003D33C4"/>
    <w:rsid w:val="003D4010"/>
    <w:rsid w:val="003D45D4"/>
    <w:rsid w:val="003D4C7F"/>
    <w:rsid w:val="003D54CD"/>
    <w:rsid w:val="003D5755"/>
    <w:rsid w:val="003D6291"/>
    <w:rsid w:val="003D7B66"/>
    <w:rsid w:val="003E0B7D"/>
    <w:rsid w:val="003E2C67"/>
    <w:rsid w:val="003E351E"/>
    <w:rsid w:val="003E404E"/>
    <w:rsid w:val="003E4C4B"/>
    <w:rsid w:val="003F04A8"/>
    <w:rsid w:val="003F0932"/>
    <w:rsid w:val="003F1390"/>
    <w:rsid w:val="003F18FD"/>
    <w:rsid w:val="003F1B36"/>
    <w:rsid w:val="003F23B9"/>
    <w:rsid w:val="003F58DC"/>
    <w:rsid w:val="003F5A1F"/>
    <w:rsid w:val="003F7B4B"/>
    <w:rsid w:val="003F7B6D"/>
    <w:rsid w:val="00400551"/>
    <w:rsid w:val="00401793"/>
    <w:rsid w:val="00402E0F"/>
    <w:rsid w:val="00403AEA"/>
    <w:rsid w:val="00404875"/>
    <w:rsid w:val="00404DCD"/>
    <w:rsid w:val="00406FEA"/>
    <w:rsid w:val="004074AB"/>
    <w:rsid w:val="00410492"/>
    <w:rsid w:val="00414A64"/>
    <w:rsid w:val="00414E4A"/>
    <w:rsid w:val="004167DF"/>
    <w:rsid w:val="00416F79"/>
    <w:rsid w:val="00417D43"/>
    <w:rsid w:val="00422A8E"/>
    <w:rsid w:val="00424DAC"/>
    <w:rsid w:val="00425915"/>
    <w:rsid w:val="004302B2"/>
    <w:rsid w:val="0043048F"/>
    <w:rsid w:val="0043254A"/>
    <w:rsid w:val="00432D03"/>
    <w:rsid w:val="00433C48"/>
    <w:rsid w:val="00437821"/>
    <w:rsid w:val="00437971"/>
    <w:rsid w:val="00440252"/>
    <w:rsid w:val="00444565"/>
    <w:rsid w:val="00444EDB"/>
    <w:rsid w:val="0044565F"/>
    <w:rsid w:val="0044656E"/>
    <w:rsid w:val="004516E2"/>
    <w:rsid w:val="004517E1"/>
    <w:rsid w:val="004522A2"/>
    <w:rsid w:val="0045240C"/>
    <w:rsid w:val="00452AB9"/>
    <w:rsid w:val="00452F21"/>
    <w:rsid w:val="00454A55"/>
    <w:rsid w:val="00455622"/>
    <w:rsid w:val="00455F3E"/>
    <w:rsid w:val="00456552"/>
    <w:rsid w:val="00460A39"/>
    <w:rsid w:val="00461256"/>
    <w:rsid w:val="00462558"/>
    <w:rsid w:val="00463046"/>
    <w:rsid w:val="00463652"/>
    <w:rsid w:val="00463A5F"/>
    <w:rsid w:val="0046407B"/>
    <w:rsid w:val="004648FE"/>
    <w:rsid w:val="00464D56"/>
    <w:rsid w:val="00465B65"/>
    <w:rsid w:val="00466334"/>
    <w:rsid w:val="00466AD0"/>
    <w:rsid w:val="00466E69"/>
    <w:rsid w:val="004675EA"/>
    <w:rsid w:val="00467C87"/>
    <w:rsid w:val="00467F15"/>
    <w:rsid w:val="004706D8"/>
    <w:rsid w:val="00470AB0"/>
    <w:rsid w:val="00471DED"/>
    <w:rsid w:val="00473001"/>
    <w:rsid w:val="0047447B"/>
    <w:rsid w:val="00474AD3"/>
    <w:rsid w:val="00475499"/>
    <w:rsid w:val="00476163"/>
    <w:rsid w:val="00480BF1"/>
    <w:rsid w:val="00481200"/>
    <w:rsid w:val="00484CE4"/>
    <w:rsid w:val="00485F66"/>
    <w:rsid w:val="00487A95"/>
    <w:rsid w:val="00487DFD"/>
    <w:rsid w:val="00487ED9"/>
    <w:rsid w:val="00490247"/>
    <w:rsid w:val="00490600"/>
    <w:rsid w:val="00493850"/>
    <w:rsid w:val="00494AF7"/>
    <w:rsid w:val="0049620F"/>
    <w:rsid w:val="00496E16"/>
    <w:rsid w:val="004A06FD"/>
    <w:rsid w:val="004A0CA2"/>
    <w:rsid w:val="004A1935"/>
    <w:rsid w:val="004A3D21"/>
    <w:rsid w:val="004A4B55"/>
    <w:rsid w:val="004A4C6A"/>
    <w:rsid w:val="004A5284"/>
    <w:rsid w:val="004A6931"/>
    <w:rsid w:val="004A7FEF"/>
    <w:rsid w:val="004B030C"/>
    <w:rsid w:val="004B04ED"/>
    <w:rsid w:val="004B0538"/>
    <w:rsid w:val="004B0785"/>
    <w:rsid w:val="004B332D"/>
    <w:rsid w:val="004B458F"/>
    <w:rsid w:val="004B4747"/>
    <w:rsid w:val="004B57FE"/>
    <w:rsid w:val="004B67F8"/>
    <w:rsid w:val="004B7132"/>
    <w:rsid w:val="004B79DE"/>
    <w:rsid w:val="004C2F5C"/>
    <w:rsid w:val="004C5DCE"/>
    <w:rsid w:val="004C681E"/>
    <w:rsid w:val="004C6C95"/>
    <w:rsid w:val="004C7685"/>
    <w:rsid w:val="004C7AB5"/>
    <w:rsid w:val="004C7B20"/>
    <w:rsid w:val="004C7C51"/>
    <w:rsid w:val="004D07C8"/>
    <w:rsid w:val="004D0C5F"/>
    <w:rsid w:val="004D127D"/>
    <w:rsid w:val="004D1430"/>
    <w:rsid w:val="004D1E35"/>
    <w:rsid w:val="004D3174"/>
    <w:rsid w:val="004D3D67"/>
    <w:rsid w:val="004D4A9D"/>
    <w:rsid w:val="004D60AE"/>
    <w:rsid w:val="004D6564"/>
    <w:rsid w:val="004D737A"/>
    <w:rsid w:val="004E1C20"/>
    <w:rsid w:val="004E389F"/>
    <w:rsid w:val="004E5D37"/>
    <w:rsid w:val="004E5FA3"/>
    <w:rsid w:val="004E669C"/>
    <w:rsid w:val="004E6E92"/>
    <w:rsid w:val="004E7676"/>
    <w:rsid w:val="004F1EBB"/>
    <w:rsid w:val="004F24D7"/>
    <w:rsid w:val="004F2D8F"/>
    <w:rsid w:val="004F4136"/>
    <w:rsid w:val="004F413B"/>
    <w:rsid w:val="004F42B3"/>
    <w:rsid w:val="004F47B5"/>
    <w:rsid w:val="004F4816"/>
    <w:rsid w:val="004F48F0"/>
    <w:rsid w:val="004F5B52"/>
    <w:rsid w:val="005028E4"/>
    <w:rsid w:val="00502BF8"/>
    <w:rsid w:val="00502CF8"/>
    <w:rsid w:val="005051EE"/>
    <w:rsid w:val="0051035A"/>
    <w:rsid w:val="00510458"/>
    <w:rsid w:val="0051055D"/>
    <w:rsid w:val="0051135F"/>
    <w:rsid w:val="00513F1C"/>
    <w:rsid w:val="00515350"/>
    <w:rsid w:val="00515702"/>
    <w:rsid w:val="00515A14"/>
    <w:rsid w:val="00515E0B"/>
    <w:rsid w:val="00516775"/>
    <w:rsid w:val="005205D7"/>
    <w:rsid w:val="00522E4B"/>
    <w:rsid w:val="00522F9C"/>
    <w:rsid w:val="005246A1"/>
    <w:rsid w:val="005247FF"/>
    <w:rsid w:val="00525B0C"/>
    <w:rsid w:val="00525F7C"/>
    <w:rsid w:val="005263C7"/>
    <w:rsid w:val="00526FD5"/>
    <w:rsid w:val="0053033D"/>
    <w:rsid w:val="005306A2"/>
    <w:rsid w:val="00531BA7"/>
    <w:rsid w:val="005323C1"/>
    <w:rsid w:val="0053369B"/>
    <w:rsid w:val="00534235"/>
    <w:rsid w:val="00535FFC"/>
    <w:rsid w:val="00537CB0"/>
    <w:rsid w:val="0054063C"/>
    <w:rsid w:val="0054081F"/>
    <w:rsid w:val="00542530"/>
    <w:rsid w:val="005428FC"/>
    <w:rsid w:val="00544362"/>
    <w:rsid w:val="005452F0"/>
    <w:rsid w:val="00545D26"/>
    <w:rsid w:val="00546DB9"/>
    <w:rsid w:val="00547E30"/>
    <w:rsid w:val="005506E0"/>
    <w:rsid w:val="0055076B"/>
    <w:rsid w:val="00550961"/>
    <w:rsid w:val="00551A61"/>
    <w:rsid w:val="00551ADC"/>
    <w:rsid w:val="00552B9E"/>
    <w:rsid w:val="005530FE"/>
    <w:rsid w:val="00554067"/>
    <w:rsid w:val="00555588"/>
    <w:rsid w:val="005557CF"/>
    <w:rsid w:val="005604DA"/>
    <w:rsid w:val="00563F08"/>
    <w:rsid w:val="00564D85"/>
    <w:rsid w:val="0056599F"/>
    <w:rsid w:val="0056602B"/>
    <w:rsid w:val="005661AF"/>
    <w:rsid w:val="0056620F"/>
    <w:rsid w:val="00566B3E"/>
    <w:rsid w:val="00570863"/>
    <w:rsid w:val="005719FA"/>
    <w:rsid w:val="005727CE"/>
    <w:rsid w:val="00572D55"/>
    <w:rsid w:val="00572E28"/>
    <w:rsid w:val="0057412A"/>
    <w:rsid w:val="00575C8E"/>
    <w:rsid w:val="005764B9"/>
    <w:rsid w:val="005771AD"/>
    <w:rsid w:val="005814C9"/>
    <w:rsid w:val="00581A44"/>
    <w:rsid w:val="005836DE"/>
    <w:rsid w:val="0058370A"/>
    <w:rsid w:val="00583D76"/>
    <w:rsid w:val="005840BC"/>
    <w:rsid w:val="00584460"/>
    <w:rsid w:val="00584515"/>
    <w:rsid w:val="0058511E"/>
    <w:rsid w:val="00586B80"/>
    <w:rsid w:val="00587153"/>
    <w:rsid w:val="00587587"/>
    <w:rsid w:val="005905D4"/>
    <w:rsid w:val="0059081B"/>
    <w:rsid w:val="005909D8"/>
    <w:rsid w:val="005918EC"/>
    <w:rsid w:val="00591DD3"/>
    <w:rsid w:val="00592B92"/>
    <w:rsid w:val="00593D5D"/>
    <w:rsid w:val="00594965"/>
    <w:rsid w:val="00594EE7"/>
    <w:rsid w:val="00596CF7"/>
    <w:rsid w:val="00597BCB"/>
    <w:rsid w:val="005A0DE9"/>
    <w:rsid w:val="005A266B"/>
    <w:rsid w:val="005A2B43"/>
    <w:rsid w:val="005A39B0"/>
    <w:rsid w:val="005A52BF"/>
    <w:rsid w:val="005A628A"/>
    <w:rsid w:val="005A6F89"/>
    <w:rsid w:val="005A772C"/>
    <w:rsid w:val="005B0B5E"/>
    <w:rsid w:val="005B14B9"/>
    <w:rsid w:val="005B1811"/>
    <w:rsid w:val="005B1AE7"/>
    <w:rsid w:val="005B3183"/>
    <w:rsid w:val="005B336F"/>
    <w:rsid w:val="005B44A3"/>
    <w:rsid w:val="005B4D5B"/>
    <w:rsid w:val="005B73DE"/>
    <w:rsid w:val="005B76A8"/>
    <w:rsid w:val="005B7E58"/>
    <w:rsid w:val="005C07CC"/>
    <w:rsid w:val="005C10A4"/>
    <w:rsid w:val="005C3787"/>
    <w:rsid w:val="005C3FD4"/>
    <w:rsid w:val="005C4696"/>
    <w:rsid w:val="005C5E93"/>
    <w:rsid w:val="005C5EC4"/>
    <w:rsid w:val="005D073C"/>
    <w:rsid w:val="005D1802"/>
    <w:rsid w:val="005D3DAE"/>
    <w:rsid w:val="005D435D"/>
    <w:rsid w:val="005D61E9"/>
    <w:rsid w:val="005D63BC"/>
    <w:rsid w:val="005D6B4E"/>
    <w:rsid w:val="005D7240"/>
    <w:rsid w:val="005D74A8"/>
    <w:rsid w:val="005D7D84"/>
    <w:rsid w:val="005E0F66"/>
    <w:rsid w:val="005E168B"/>
    <w:rsid w:val="005E2210"/>
    <w:rsid w:val="005E2621"/>
    <w:rsid w:val="005E2813"/>
    <w:rsid w:val="005E2FA4"/>
    <w:rsid w:val="005E4323"/>
    <w:rsid w:val="005E5486"/>
    <w:rsid w:val="005E6654"/>
    <w:rsid w:val="005E7315"/>
    <w:rsid w:val="005F2911"/>
    <w:rsid w:val="005F3182"/>
    <w:rsid w:val="005F3798"/>
    <w:rsid w:val="005F4794"/>
    <w:rsid w:val="005F4BA1"/>
    <w:rsid w:val="005F4F63"/>
    <w:rsid w:val="005F582A"/>
    <w:rsid w:val="005F6729"/>
    <w:rsid w:val="005F6E3A"/>
    <w:rsid w:val="005F7C67"/>
    <w:rsid w:val="00601782"/>
    <w:rsid w:val="00601BFB"/>
    <w:rsid w:val="00602EF8"/>
    <w:rsid w:val="00603256"/>
    <w:rsid w:val="00603741"/>
    <w:rsid w:val="00603E53"/>
    <w:rsid w:val="0060472B"/>
    <w:rsid w:val="00604BC7"/>
    <w:rsid w:val="0060726B"/>
    <w:rsid w:val="00611E5E"/>
    <w:rsid w:val="00613708"/>
    <w:rsid w:val="00613C7B"/>
    <w:rsid w:val="00614200"/>
    <w:rsid w:val="0061432E"/>
    <w:rsid w:val="006148DA"/>
    <w:rsid w:val="00615A51"/>
    <w:rsid w:val="00617923"/>
    <w:rsid w:val="006202A4"/>
    <w:rsid w:val="00620B1D"/>
    <w:rsid w:val="00621DEF"/>
    <w:rsid w:val="00623BF9"/>
    <w:rsid w:val="006247DB"/>
    <w:rsid w:val="006251C9"/>
    <w:rsid w:val="00627419"/>
    <w:rsid w:val="00627D60"/>
    <w:rsid w:val="0063016E"/>
    <w:rsid w:val="00630180"/>
    <w:rsid w:val="0063068E"/>
    <w:rsid w:val="006314C3"/>
    <w:rsid w:val="00631C1D"/>
    <w:rsid w:val="00632BF6"/>
    <w:rsid w:val="00632D3D"/>
    <w:rsid w:val="0063535A"/>
    <w:rsid w:val="006366E8"/>
    <w:rsid w:val="006373D1"/>
    <w:rsid w:val="00637F26"/>
    <w:rsid w:val="00640CDB"/>
    <w:rsid w:val="006415A3"/>
    <w:rsid w:val="00643384"/>
    <w:rsid w:val="00643F50"/>
    <w:rsid w:val="006449C2"/>
    <w:rsid w:val="00644CA8"/>
    <w:rsid w:val="0064597B"/>
    <w:rsid w:val="00647821"/>
    <w:rsid w:val="006518A6"/>
    <w:rsid w:val="00652CB9"/>
    <w:rsid w:val="00653528"/>
    <w:rsid w:val="0065364E"/>
    <w:rsid w:val="00654BE2"/>
    <w:rsid w:val="0065583E"/>
    <w:rsid w:val="00656461"/>
    <w:rsid w:val="00656D6C"/>
    <w:rsid w:val="00657C6C"/>
    <w:rsid w:val="00660142"/>
    <w:rsid w:val="00660350"/>
    <w:rsid w:val="0066125F"/>
    <w:rsid w:val="00661C20"/>
    <w:rsid w:val="00663611"/>
    <w:rsid w:val="0066790B"/>
    <w:rsid w:val="00670D89"/>
    <w:rsid w:val="00671D55"/>
    <w:rsid w:val="006720C1"/>
    <w:rsid w:val="0067251A"/>
    <w:rsid w:val="00672C91"/>
    <w:rsid w:val="0067337D"/>
    <w:rsid w:val="00677A80"/>
    <w:rsid w:val="00682C75"/>
    <w:rsid w:val="00683099"/>
    <w:rsid w:val="00683861"/>
    <w:rsid w:val="00683DBF"/>
    <w:rsid w:val="0068455F"/>
    <w:rsid w:val="006848D3"/>
    <w:rsid w:val="00684C9D"/>
    <w:rsid w:val="0068502A"/>
    <w:rsid w:val="0068532C"/>
    <w:rsid w:val="006858A2"/>
    <w:rsid w:val="006864B1"/>
    <w:rsid w:val="00687573"/>
    <w:rsid w:val="00690F43"/>
    <w:rsid w:val="00692351"/>
    <w:rsid w:val="0069330A"/>
    <w:rsid w:val="00693E19"/>
    <w:rsid w:val="006941BD"/>
    <w:rsid w:val="00694DC8"/>
    <w:rsid w:val="00696017"/>
    <w:rsid w:val="0069746A"/>
    <w:rsid w:val="006A14BF"/>
    <w:rsid w:val="006A1A1E"/>
    <w:rsid w:val="006A2043"/>
    <w:rsid w:val="006A22A9"/>
    <w:rsid w:val="006A412D"/>
    <w:rsid w:val="006A449F"/>
    <w:rsid w:val="006A463D"/>
    <w:rsid w:val="006A46ED"/>
    <w:rsid w:val="006A47EA"/>
    <w:rsid w:val="006A748D"/>
    <w:rsid w:val="006B0002"/>
    <w:rsid w:val="006B0691"/>
    <w:rsid w:val="006B1724"/>
    <w:rsid w:val="006B330F"/>
    <w:rsid w:val="006B6A81"/>
    <w:rsid w:val="006B710B"/>
    <w:rsid w:val="006B7A04"/>
    <w:rsid w:val="006C0FAE"/>
    <w:rsid w:val="006C21FD"/>
    <w:rsid w:val="006C3589"/>
    <w:rsid w:val="006C443B"/>
    <w:rsid w:val="006D1256"/>
    <w:rsid w:val="006D1E1F"/>
    <w:rsid w:val="006D2CAA"/>
    <w:rsid w:val="006D3F38"/>
    <w:rsid w:val="006D4BF3"/>
    <w:rsid w:val="006D6718"/>
    <w:rsid w:val="006D749A"/>
    <w:rsid w:val="006E01D7"/>
    <w:rsid w:val="006E15EB"/>
    <w:rsid w:val="006E3CAF"/>
    <w:rsid w:val="006E438B"/>
    <w:rsid w:val="006E56F3"/>
    <w:rsid w:val="006E5BD8"/>
    <w:rsid w:val="006E7860"/>
    <w:rsid w:val="006F1B1E"/>
    <w:rsid w:val="006F1C93"/>
    <w:rsid w:val="006F2212"/>
    <w:rsid w:val="006F3758"/>
    <w:rsid w:val="006F435A"/>
    <w:rsid w:val="006F485F"/>
    <w:rsid w:val="006F49DC"/>
    <w:rsid w:val="006F4B0B"/>
    <w:rsid w:val="006F5D06"/>
    <w:rsid w:val="006F624D"/>
    <w:rsid w:val="006F64CC"/>
    <w:rsid w:val="006F6DDF"/>
    <w:rsid w:val="0070140C"/>
    <w:rsid w:val="00703668"/>
    <w:rsid w:val="007041B2"/>
    <w:rsid w:val="00710017"/>
    <w:rsid w:val="007101A3"/>
    <w:rsid w:val="00710DCE"/>
    <w:rsid w:val="00712E4B"/>
    <w:rsid w:val="00713113"/>
    <w:rsid w:val="007133D4"/>
    <w:rsid w:val="00713941"/>
    <w:rsid w:val="00714B64"/>
    <w:rsid w:val="00714F33"/>
    <w:rsid w:val="00715E4C"/>
    <w:rsid w:val="00715FA1"/>
    <w:rsid w:val="007160E6"/>
    <w:rsid w:val="007164D1"/>
    <w:rsid w:val="00716B37"/>
    <w:rsid w:val="00717DE7"/>
    <w:rsid w:val="0072034D"/>
    <w:rsid w:val="007207EC"/>
    <w:rsid w:val="007208A3"/>
    <w:rsid w:val="00721303"/>
    <w:rsid w:val="00721822"/>
    <w:rsid w:val="00721EF8"/>
    <w:rsid w:val="0072207A"/>
    <w:rsid w:val="007233A0"/>
    <w:rsid w:val="007240C3"/>
    <w:rsid w:val="007240E9"/>
    <w:rsid w:val="00724232"/>
    <w:rsid w:val="00725083"/>
    <w:rsid w:val="007255CB"/>
    <w:rsid w:val="0072694C"/>
    <w:rsid w:val="00726D22"/>
    <w:rsid w:val="00727EB1"/>
    <w:rsid w:val="007305FC"/>
    <w:rsid w:val="007324FF"/>
    <w:rsid w:val="007339F6"/>
    <w:rsid w:val="00734BF1"/>
    <w:rsid w:val="00734E57"/>
    <w:rsid w:val="0073618F"/>
    <w:rsid w:val="00736F91"/>
    <w:rsid w:val="00737848"/>
    <w:rsid w:val="00740C20"/>
    <w:rsid w:val="007416E2"/>
    <w:rsid w:val="007417A6"/>
    <w:rsid w:val="00741EC9"/>
    <w:rsid w:val="00743481"/>
    <w:rsid w:val="007437D9"/>
    <w:rsid w:val="0074476B"/>
    <w:rsid w:val="0074511A"/>
    <w:rsid w:val="00745A3D"/>
    <w:rsid w:val="00750A8D"/>
    <w:rsid w:val="00752B8C"/>
    <w:rsid w:val="007532AD"/>
    <w:rsid w:val="00753E68"/>
    <w:rsid w:val="00755DE7"/>
    <w:rsid w:val="0075629B"/>
    <w:rsid w:val="00763949"/>
    <w:rsid w:val="007639A5"/>
    <w:rsid w:val="007655B7"/>
    <w:rsid w:val="00765876"/>
    <w:rsid w:val="00765998"/>
    <w:rsid w:val="00766223"/>
    <w:rsid w:val="00773274"/>
    <w:rsid w:val="007742DE"/>
    <w:rsid w:val="00776FA9"/>
    <w:rsid w:val="0077705B"/>
    <w:rsid w:val="0077755F"/>
    <w:rsid w:val="007817B9"/>
    <w:rsid w:val="00781B31"/>
    <w:rsid w:val="00782C3F"/>
    <w:rsid w:val="00783064"/>
    <w:rsid w:val="00784BA8"/>
    <w:rsid w:val="0078632C"/>
    <w:rsid w:val="0078713B"/>
    <w:rsid w:val="00790021"/>
    <w:rsid w:val="0079044C"/>
    <w:rsid w:val="00790687"/>
    <w:rsid w:val="00790E4F"/>
    <w:rsid w:val="00791FCD"/>
    <w:rsid w:val="0079298D"/>
    <w:rsid w:val="007956A6"/>
    <w:rsid w:val="007967BA"/>
    <w:rsid w:val="00796A7A"/>
    <w:rsid w:val="00796D84"/>
    <w:rsid w:val="00797B8D"/>
    <w:rsid w:val="007A37DB"/>
    <w:rsid w:val="007A4148"/>
    <w:rsid w:val="007A4B0D"/>
    <w:rsid w:val="007A6002"/>
    <w:rsid w:val="007A68F3"/>
    <w:rsid w:val="007B0EAA"/>
    <w:rsid w:val="007B1EB7"/>
    <w:rsid w:val="007B372B"/>
    <w:rsid w:val="007B3B7C"/>
    <w:rsid w:val="007B3CBF"/>
    <w:rsid w:val="007B443C"/>
    <w:rsid w:val="007B4734"/>
    <w:rsid w:val="007B4D87"/>
    <w:rsid w:val="007B746A"/>
    <w:rsid w:val="007B7B2D"/>
    <w:rsid w:val="007C07AA"/>
    <w:rsid w:val="007C0F9E"/>
    <w:rsid w:val="007C100E"/>
    <w:rsid w:val="007C1107"/>
    <w:rsid w:val="007C5B87"/>
    <w:rsid w:val="007C5FCD"/>
    <w:rsid w:val="007C71D7"/>
    <w:rsid w:val="007D2D5D"/>
    <w:rsid w:val="007D6564"/>
    <w:rsid w:val="007E006A"/>
    <w:rsid w:val="007E06BD"/>
    <w:rsid w:val="007E24AC"/>
    <w:rsid w:val="007E3C26"/>
    <w:rsid w:val="007E623B"/>
    <w:rsid w:val="007E6BDE"/>
    <w:rsid w:val="007E7DCE"/>
    <w:rsid w:val="007E7E38"/>
    <w:rsid w:val="007F1FAC"/>
    <w:rsid w:val="007F6DF9"/>
    <w:rsid w:val="007F71BD"/>
    <w:rsid w:val="00800575"/>
    <w:rsid w:val="00803223"/>
    <w:rsid w:val="00803C65"/>
    <w:rsid w:val="00804277"/>
    <w:rsid w:val="0080665C"/>
    <w:rsid w:val="0081051E"/>
    <w:rsid w:val="00810BB9"/>
    <w:rsid w:val="008110BB"/>
    <w:rsid w:val="00811A6D"/>
    <w:rsid w:val="00813004"/>
    <w:rsid w:val="008169CB"/>
    <w:rsid w:val="00816F76"/>
    <w:rsid w:val="00820B4D"/>
    <w:rsid w:val="008210F9"/>
    <w:rsid w:val="008211AA"/>
    <w:rsid w:val="008215BE"/>
    <w:rsid w:val="00821722"/>
    <w:rsid w:val="00821AE3"/>
    <w:rsid w:val="008255A0"/>
    <w:rsid w:val="00826ED6"/>
    <w:rsid w:val="00827702"/>
    <w:rsid w:val="00830110"/>
    <w:rsid w:val="00831603"/>
    <w:rsid w:val="00832CC4"/>
    <w:rsid w:val="00833CC2"/>
    <w:rsid w:val="00834FA2"/>
    <w:rsid w:val="00835919"/>
    <w:rsid w:val="008371BE"/>
    <w:rsid w:val="00837715"/>
    <w:rsid w:val="008377AB"/>
    <w:rsid w:val="008379D5"/>
    <w:rsid w:val="00837B77"/>
    <w:rsid w:val="00837D4E"/>
    <w:rsid w:val="008426FD"/>
    <w:rsid w:val="00843058"/>
    <w:rsid w:val="00843393"/>
    <w:rsid w:val="008434EA"/>
    <w:rsid w:val="00843B61"/>
    <w:rsid w:val="00843E74"/>
    <w:rsid w:val="00843EC2"/>
    <w:rsid w:val="008449A7"/>
    <w:rsid w:val="00844F77"/>
    <w:rsid w:val="0084511F"/>
    <w:rsid w:val="008454FD"/>
    <w:rsid w:val="00845D65"/>
    <w:rsid w:val="00846A91"/>
    <w:rsid w:val="00847C3F"/>
    <w:rsid w:val="008505AA"/>
    <w:rsid w:val="00850982"/>
    <w:rsid w:val="0085246A"/>
    <w:rsid w:val="008550E4"/>
    <w:rsid w:val="008559C0"/>
    <w:rsid w:val="00857770"/>
    <w:rsid w:val="00860781"/>
    <w:rsid w:val="00863060"/>
    <w:rsid w:val="0086342C"/>
    <w:rsid w:val="0086385D"/>
    <w:rsid w:val="00864638"/>
    <w:rsid w:val="0086489A"/>
    <w:rsid w:val="00864C74"/>
    <w:rsid w:val="00865E13"/>
    <w:rsid w:val="008664D4"/>
    <w:rsid w:val="008666B2"/>
    <w:rsid w:val="00866BA5"/>
    <w:rsid w:val="00867A1A"/>
    <w:rsid w:val="00872E5F"/>
    <w:rsid w:val="008739A0"/>
    <w:rsid w:val="00874F08"/>
    <w:rsid w:val="00876626"/>
    <w:rsid w:val="0087764F"/>
    <w:rsid w:val="00877AB7"/>
    <w:rsid w:val="00877C7B"/>
    <w:rsid w:val="008801CD"/>
    <w:rsid w:val="008820E1"/>
    <w:rsid w:val="008825D4"/>
    <w:rsid w:val="0088328C"/>
    <w:rsid w:val="0088467F"/>
    <w:rsid w:val="00885434"/>
    <w:rsid w:val="00886951"/>
    <w:rsid w:val="00891B4C"/>
    <w:rsid w:val="008937BA"/>
    <w:rsid w:val="008946AF"/>
    <w:rsid w:val="00896957"/>
    <w:rsid w:val="00896965"/>
    <w:rsid w:val="00897A77"/>
    <w:rsid w:val="008A1286"/>
    <w:rsid w:val="008A216F"/>
    <w:rsid w:val="008A2B33"/>
    <w:rsid w:val="008A30D2"/>
    <w:rsid w:val="008A351B"/>
    <w:rsid w:val="008A3709"/>
    <w:rsid w:val="008A5387"/>
    <w:rsid w:val="008A596D"/>
    <w:rsid w:val="008A67C5"/>
    <w:rsid w:val="008B0F78"/>
    <w:rsid w:val="008B1633"/>
    <w:rsid w:val="008B171A"/>
    <w:rsid w:val="008B2068"/>
    <w:rsid w:val="008B4A84"/>
    <w:rsid w:val="008C0B99"/>
    <w:rsid w:val="008C1260"/>
    <w:rsid w:val="008C3109"/>
    <w:rsid w:val="008C37E5"/>
    <w:rsid w:val="008C752D"/>
    <w:rsid w:val="008C7609"/>
    <w:rsid w:val="008D1057"/>
    <w:rsid w:val="008D160B"/>
    <w:rsid w:val="008D2898"/>
    <w:rsid w:val="008D28B0"/>
    <w:rsid w:val="008D39E0"/>
    <w:rsid w:val="008D406F"/>
    <w:rsid w:val="008D4966"/>
    <w:rsid w:val="008D6178"/>
    <w:rsid w:val="008E0630"/>
    <w:rsid w:val="008E1DA7"/>
    <w:rsid w:val="008E33B8"/>
    <w:rsid w:val="008E3460"/>
    <w:rsid w:val="008E44EB"/>
    <w:rsid w:val="008E4ADF"/>
    <w:rsid w:val="008E4C24"/>
    <w:rsid w:val="008E5179"/>
    <w:rsid w:val="008E5D59"/>
    <w:rsid w:val="008E61F2"/>
    <w:rsid w:val="008F08E7"/>
    <w:rsid w:val="008F3318"/>
    <w:rsid w:val="008F3F52"/>
    <w:rsid w:val="008F5C38"/>
    <w:rsid w:val="008F67A6"/>
    <w:rsid w:val="008F77E9"/>
    <w:rsid w:val="0090033F"/>
    <w:rsid w:val="00901064"/>
    <w:rsid w:val="00901522"/>
    <w:rsid w:val="00901DBD"/>
    <w:rsid w:val="00902A9A"/>
    <w:rsid w:val="00903DC2"/>
    <w:rsid w:val="009069A9"/>
    <w:rsid w:val="00906BA2"/>
    <w:rsid w:val="009078C0"/>
    <w:rsid w:val="00913FBF"/>
    <w:rsid w:val="009145CB"/>
    <w:rsid w:val="0091486E"/>
    <w:rsid w:val="00914BCD"/>
    <w:rsid w:val="00921751"/>
    <w:rsid w:val="00921EAE"/>
    <w:rsid w:val="0092313F"/>
    <w:rsid w:val="009233F9"/>
    <w:rsid w:val="00925AB6"/>
    <w:rsid w:val="00925F76"/>
    <w:rsid w:val="00926363"/>
    <w:rsid w:val="0092727A"/>
    <w:rsid w:val="009307E0"/>
    <w:rsid w:val="00930EF1"/>
    <w:rsid w:val="009311C1"/>
    <w:rsid w:val="0093174B"/>
    <w:rsid w:val="009325A6"/>
    <w:rsid w:val="00932C8F"/>
    <w:rsid w:val="00937793"/>
    <w:rsid w:val="00940159"/>
    <w:rsid w:val="00940BF7"/>
    <w:rsid w:val="0094133E"/>
    <w:rsid w:val="00942147"/>
    <w:rsid w:val="009423EE"/>
    <w:rsid w:val="00943429"/>
    <w:rsid w:val="00943BE4"/>
    <w:rsid w:val="00944C69"/>
    <w:rsid w:val="0094571E"/>
    <w:rsid w:val="00946BDE"/>
    <w:rsid w:val="00946C2F"/>
    <w:rsid w:val="0094738A"/>
    <w:rsid w:val="0095147B"/>
    <w:rsid w:val="00951D41"/>
    <w:rsid w:val="00952FB5"/>
    <w:rsid w:val="0095477C"/>
    <w:rsid w:val="009564AA"/>
    <w:rsid w:val="009576BC"/>
    <w:rsid w:val="0096006B"/>
    <w:rsid w:val="009614F6"/>
    <w:rsid w:val="00961539"/>
    <w:rsid w:val="00963CF8"/>
    <w:rsid w:val="00963E29"/>
    <w:rsid w:val="00963FE9"/>
    <w:rsid w:val="00964C72"/>
    <w:rsid w:val="00965263"/>
    <w:rsid w:val="009655C7"/>
    <w:rsid w:val="009656B5"/>
    <w:rsid w:val="00967205"/>
    <w:rsid w:val="00967BBD"/>
    <w:rsid w:val="00967C24"/>
    <w:rsid w:val="00970E59"/>
    <w:rsid w:val="00972917"/>
    <w:rsid w:val="0097452D"/>
    <w:rsid w:val="00974655"/>
    <w:rsid w:val="00974B00"/>
    <w:rsid w:val="009819EA"/>
    <w:rsid w:val="00981AB4"/>
    <w:rsid w:val="009837E9"/>
    <w:rsid w:val="0098508C"/>
    <w:rsid w:val="00992195"/>
    <w:rsid w:val="009926C3"/>
    <w:rsid w:val="0099271B"/>
    <w:rsid w:val="00992811"/>
    <w:rsid w:val="00993CE4"/>
    <w:rsid w:val="00994461"/>
    <w:rsid w:val="009946A8"/>
    <w:rsid w:val="00994C94"/>
    <w:rsid w:val="00995C80"/>
    <w:rsid w:val="00996C95"/>
    <w:rsid w:val="0099792C"/>
    <w:rsid w:val="009A0D0B"/>
    <w:rsid w:val="009A16D0"/>
    <w:rsid w:val="009A34C0"/>
    <w:rsid w:val="009A5D8D"/>
    <w:rsid w:val="009A6AE5"/>
    <w:rsid w:val="009A7DFB"/>
    <w:rsid w:val="009B0790"/>
    <w:rsid w:val="009B1978"/>
    <w:rsid w:val="009B2D23"/>
    <w:rsid w:val="009B44A4"/>
    <w:rsid w:val="009B5318"/>
    <w:rsid w:val="009B53A7"/>
    <w:rsid w:val="009B55FF"/>
    <w:rsid w:val="009B6AB8"/>
    <w:rsid w:val="009B6DCB"/>
    <w:rsid w:val="009B7FEC"/>
    <w:rsid w:val="009C0785"/>
    <w:rsid w:val="009C0A26"/>
    <w:rsid w:val="009C0C62"/>
    <w:rsid w:val="009C0FD0"/>
    <w:rsid w:val="009C126A"/>
    <w:rsid w:val="009C213B"/>
    <w:rsid w:val="009C2196"/>
    <w:rsid w:val="009C3BB3"/>
    <w:rsid w:val="009C40BB"/>
    <w:rsid w:val="009C495D"/>
    <w:rsid w:val="009C495E"/>
    <w:rsid w:val="009C55CF"/>
    <w:rsid w:val="009C5E60"/>
    <w:rsid w:val="009C5FAA"/>
    <w:rsid w:val="009C5FC5"/>
    <w:rsid w:val="009C7E8E"/>
    <w:rsid w:val="009D0521"/>
    <w:rsid w:val="009D3A12"/>
    <w:rsid w:val="009D3C0B"/>
    <w:rsid w:val="009D3C31"/>
    <w:rsid w:val="009D40F6"/>
    <w:rsid w:val="009D459F"/>
    <w:rsid w:val="009D4E67"/>
    <w:rsid w:val="009D64AF"/>
    <w:rsid w:val="009D6D02"/>
    <w:rsid w:val="009D6D4C"/>
    <w:rsid w:val="009E0C29"/>
    <w:rsid w:val="009E1EE2"/>
    <w:rsid w:val="009E334C"/>
    <w:rsid w:val="009E3E89"/>
    <w:rsid w:val="009E46DE"/>
    <w:rsid w:val="009E47BB"/>
    <w:rsid w:val="009E63EA"/>
    <w:rsid w:val="009E6833"/>
    <w:rsid w:val="009E6BB6"/>
    <w:rsid w:val="009E7DAA"/>
    <w:rsid w:val="009F21BC"/>
    <w:rsid w:val="009F2D2B"/>
    <w:rsid w:val="009F352F"/>
    <w:rsid w:val="009F47C8"/>
    <w:rsid w:val="009F519E"/>
    <w:rsid w:val="009F7EDE"/>
    <w:rsid w:val="00A0051B"/>
    <w:rsid w:val="00A02E96"/>
    <w:rsid w:val="00A03E88"/>
    <w:rsid w:val="00A05159"/>
    <w:rsid w:val="00A05733"/>
    <w:rsid w:val="00A06647"/>
    <w:rsid w:val="00A070CB"/>
    <w:rsid w:val="00A1010A"/>
    <w:rsid w:val="00A112E1"/>
    <w:rsid w:val="00A12C61"/>
    <w:rsid w:val="00A15373"/>
    <w:rsid w:val="00A23CA4"/>
    <w:rsid w:val="00A23E5A"/>
    <w:rsid w:val="00A243A5"/>
    <w:rsid w:val="00A26687"/>
    <w:rsid w:val="00A2765B"/>
    <w:rsid w:val="00A300B2"/>
    <w:rsid w:val="00A30601"/>
    <w:rsid w:val="00A313FB"/>
    <w:rsid w:val="00A324E3"/>
    <w:rsid w:val="00A35454"/>
    <w:rsid w:val="00A37103"/>
    <w:rsid w:val="00A37CB6"/>
    <w:rsid w:val="00A40369"/>
    <w:rsid w:val="00A410B6"/>
    <w:rsid w:val="00A425BD"/>
    <w:rsid w:val="00A428F5"/>
    <w:rsid w:val="00A43137"/>
    <w:rsid w:val="00A439EE"/>
    <w:rsid w:val="00A443DF"/>
    <w:rsid w:val="00A4446E"/>
    <w:rsid w:val="00A44F11"/>
    <w:rsid w:val="00A45260"/>
    <w:rsid w:val="00A4674B"/>
    <w:rsid w:val="00A46B31"/>
    <w:rsid w:val="00A46BF6"/>
    <w:rsid w:val="00A46E03"/>
    <w:rsid w:val="00A475A8"/>
    <w:rsid w:val="00A5042D"/>
    <w:rsid w:val="00A506C6"/>
    <w:rsid w:val="00A50826"/>
    <w:rsid w:val="00A523E7"/>
    <w:rsid w:val="00A527B6"/>
    <w:rsid w:val="00A52981"/>
    <w:rsid w:val="00A53EB0"/>
    <w:rsid w:val="00A55F8F"/>
    <w:rsid w:val="00A563F8"/>
    <w:rsid w:val="00A5688B"/>
    <w:rsid w:val="00A56941"/>
    <w:rsid w:val="00A6039A"/>
    <w:rsid w:val="00A60701"/>
    <w:rsid w:val="00A60C8A"/>
    <w:rsid w:val="00A61A32"/>
    <w:rsid w:val="00A62F23"/>
    <w:rsid w:val="00A6344E"/>
    <w:rsid w:val="00A640F0"/>
    <w:rsid w:val="00A641D5"/>
    <w:rsid w:val="00A65E05"/>
    <w:rsid w:val="00A65FC2"/>
    <w:rsid w:val="00A6663B"/>
    <w:rsid w:val="00A666A4"/>
    <w:rsid w:val="00A67EBD"/>
    <w:rsid w:val="00A7572B"/>
    <w:rsid w:val="00A76272"/>
    <w:rsid w:val="00A764BF"/>
    <w:rsid w:val="00A77B3D"/>
    <w:rsid w:val="00A82775"/>
    <w:rsid w:val="00A827C4"/>
    <w:rsid w:val="00A82CE4"/>
    <w:rsid w:val="00A82D53"/>
    <w:rsid w:val="00A83AC3"/>
    <w:rsid w:val="00A84359"/>
    <w:rsid w:val="00A85C7C"/>
    <w:rsid w:val="00A8626D"/>
    <w:rsid w:val="00A873CB"/>
    <w:rsid w:val="00A90D7D"/>
    <w:rsid w:val="00A91207"/>
    <w:rsid w:val="00A91413"/>
    <w:rsid w:val="00A91FDD"/>
    <w:rsid w:val="00A92853"/>
    <w:rsid w:val="00A94727"/>
    <w:rsid w:val="00A9474E"/>
    <w:rsid w:val="00A95683"/>
    <w:rsid w:val="00A956EE"/>
    <w:rsid w:val="00A95F3A"/>
    <w:rsid w:val="00A96C94"/>
    <w:rsid w:val="00A96EBC"/>
    <w:rsid w:val="00A96F89"/>
    <w:rsid w:val="00AA0FD5"/>
    <w:rsid w:val="00AA16D6"/>
    <w:rsid w:val="00AA1DA3"/>
    <w:rsid w:val="00AA3890"/>
    <w:rsid w:val="00AA41B7"/>
    <w:rsid w:val="00AA5B68"/>
    <w:rsid w:val="00AA7FBC"/>
    <w:rsid w:val="00AB0369"/>
    <w:rsid w:val="00AB0BC0"/>
    <w:rsid w:val="00AB1882"/>
    <w:rsid w:val="00AB385B"/>
    <w:rsid w:val="00AB5D47"/>
    <w:rsid w:val="00AB603F"/>
    <w:rsid w:val="00AB67D4"/>
    <w:rsid w:val="00AC04F9"/>
    <w:rsid w:val="00AC0FAE"/>
    <w:rsid w:val="00AC130A"/>
    <w:rsid w:val="00AC1370"/>
    <w:rsid w:val="00AC1A3A"/>
    <w:rsid w:val="00AC2D9E"/>
    <w:rsid w:val="00AC3376"/>
    <w:rsid w:val="00AC3751"/>
    <w:rsid w:val="00AD0786"/>
    <w:rsid w:val="00AD1683"/>
    <w:rsid w:val="00AD168B"/>
    <w:rsid w:val="00AD1D39"/>
    <w:rsid w:val="00AD3799"/>
    <w:rsid w:val="00AD443E"/>
    <w:rsid w:val="00AD4746"/>
    <w:rsid w:val="00AD50F4"/>
    <w:rsid w:val="00AD55D4"/>
    <w:rsid w:val="00AD5A13"/>
    <w:rsid w:val="00AD643B"/>
    <w:rsid w:val="00AD66C6"/>
    <w:rsid w:val="00AD74A3"/>
    <w:rsid w:val="00AE0143"/>
    <w:rsid w:val="00AE1927"/>
    <w:rsid w:val="00AE5C12"/>
    <w:rsid w:val="00AE5E75"/>
    <w:rsid w:val="00AE6064"/>
    <w:rsid w:val="00AE642A"/>
    <w:rsid w:val="00AF078B"/>
    <w:rsid w:val="00AF1B80"/>
    <w:rsid w:val="00AF1FF6"/>
    <w:rsid w:val="00AF50F8"/>
    <w:rsid w:val="00AF52F7"/>
    <w:rsid w:val="00AF6218"/>
    <w:rsid w:val="00AF73B0"/>
    <w:rsid w:val="00B047B3"/>
    <w:rsid w:val="00B05ACB"/>
    <w:rsid w:val="00B067B7"/>
    <w:rsid w:val="00B104C9"/>
    <w:rsid w:val="00B112C3"/>
    <w:rsid w:val="00B11387"/>
    <w:rsid w:val="00B11575"/>
    <w:rsid w:val="00B1299A"/>
    <w:rsid w:val="00B12B4F"/>
    <w:rsid w:val="00B151E9"/>
    <w:rsid w:val="00B161DF"/>
    <w:rsid w:val="00B206A2"/>
    <w:rsid w:val="00B21298"/>
    <w:rsid w:val="00B219FA"/>
    <w:rsid w:val="00B232A3"/>
    <w:rsid w:val="00B240F1"/>
    <w:rsid w:val="00B24A0D"/>
    <w:rsid w:val="00B254F6"/>
    <w:rsid w:val="00B26A26"/>
    <w:rsid w:val="00B302EE"/>
    <w:rsid w:val="00B31B56"/>
    <w:rsid w:val="00B31F9B"/>
    <w:rsid w:val="00B35A4E"/>
    <w:rsid w:val="00B360C1"/>
    <w:rsid w:val="00B37034"/>
    <w:rsid w:val="00B37178"/>
    <w:rsid w:val="00B4075E"/>
    <w:rsid w:val="00B4116C"/>
    <w:rsid w:val="00B425F7"/>
    <w:rsid w:val="00B432E2"/>
    <w:rsid w:val="00B43AB7"/>
    <w:rsid w:val="00B44341"/>
    <w:rsid w:val="00B46EB1"/>
    <w:rsid w:val="00B475A4"/>
    <w:rsid w:val="00B47BC5"/>
    <w:rsid w:val="00B5022C"/>
    <w:rsid w:val="00B50762"/>
    <w:rsid w:val="00B50AC7"/>
    <w:rsid w:val="00B5289C"/>
    <w:rsid w:val="00B52C26"/>
    <w:rsid w:val="00B52CF7"/>
    <w:rsid w:val="00B53297"/>
    <w:rsid w:val="00B53DCB"/>
    <w:rsid w:val="00B540C8"/>
    <w:rsid w:val="00B54B50"/>
    <w:rsid w:val="00B5562E"/>
    <w:rsid w:val="00B60242"/>
    <w:rsid w:val="00B61828"/>
    <w:rsid w:val="00B61FC5"/>
    <w:rsid w:val="00B62963"/>
    <w:rsid w:val="00B6359E"/>
    <w:rsid w:val="00B64752"/>
    <w:rsid w:val="00B64974"/>
    <w:rsid w:val="00B65D6F"/>
    <w:rsid w:val="00B7086E"/>
    <w:rsid w:val="00B713BB"/>
    <w:rsid w:val="00B736CD"/>
    <w:rsid w:val="00B73860"/>
    <w:rsid w:val="00B75D70"/>
    <w:rsid w:val="00B766B1"/>
    <w:rsid w:val="00B766D4"/>
    <w:rsid w:val="00B76E2C"/>
    <w:rsid w:val="00B7757F"/>
    <w:rsid w:val="00B80062"/>
    <w:rsid w:val="00B817EE"/>
    <w:rsid w:val="00B82843"/>
    <w:rsid w:val="00B829E1"/>
    <w:rsid w:val="00B82B49"/>
    <w:rsid w:val="00B82F0D"/>
    <w:rsid w:val="00B83507"/>
    <w:rsid w:val="00B838D9"/>
    <w:rsid w:val="00B8443A"/>
    <w:rsid w:val="00B84776"/>
    <w:rsid w:val="00B8501F"/>
    <w:rsid w:val="00B8617C"/>
    <w:rsid w:val="00B86A93"/>
    <w:rsid w:val="00B86C1B"/>
    <w:rsid w:val="00B87A8D"/>
    <w:rsid w:val="00B905CD"/>
    <w:rsid w:val="00B90AC5"/>
    <w:rsid w:val="00B910A6"/>
    <w:rsid w:val="00B93003"/>
    <w:rsid w:val="00B93D5F"/>
    <w:rsid w:val="00B96BA9"/>
    <w:rsid w:val="00B974EE"/>
    <w:rsid w:val="00BA2196"/>
    <w:rsid w:val="00BA3EBD"/>
    <w:rsid w:val="00BA412E"/>
    <w:rsid w:val="00BA701F"/>
    <w:rsid w:val="00BA7A44"/>
    <w:rsid w:val="00BB0C99"/>
    <w:rsid w:val="00BB3941"/>
    <w:rsid w:val="00BB451C"/>
    <w:rsid w:val="00BB4CF1"/>
    <w:rsid w:val="00BB6192"/>
    <w:rsid w:val="00BC033C"/>
    <w:rsid w:val="00BC0BA9"/>
    <w:rsid w:val="00BC15AB"/>
    <w:rsid w:val="00BC1FAB"/>
    <w:rsid w:val="00BC29CD"/>
    <w:rsid w:val="00BC4B35"/>
    <w:rsid w:val="00BC53CC"/>
    <w:rsid w:val="00BC66F2"/>
    <w:rsid w:val="00BC6AF9"/>
    <w:rsid w:val="00BC7C2E"/>
    <w:rsid w:val="00BD1AC1"/>
    <w:rsid w:val="00BD240A"/>
    <w:rsid w:val="00BD24BA"/>
    <w:rsid w:val="00BD4EEF"/>
    <w:rsid w:val="00BD5614"/>
    <w:rsid w:val="00BD5E9F"/>
    <w:rsid w:val="00BD655C"/>
    <w:rsid w:val="00BD6A24"/>
    <w:rsid w:val="00BD715A"/>
    <w:rsid w:val="00BD71E2"/>
    <w:rsid w:val="00BE0BBB"/>
    <w:rsid w:val="00BE11B0"/>
    <w:rsid w:val="00BE29AA"/>
    <w:rsid w:val="00BE4C74"/>
    <w:rsid w:val="00BE5295"/>
    <w:rsid w:val="00BE5829"/>
    <w:rsid w:val="00BF18FA"/>
    <w:rsid w:val="00BF1FC4"/>
    <w:rsid w:val="00BF567F"/>
    <w:rsid w:val="00BF638C"/>
    <w:rsid w:val="00BF66BE"/>
    <w:rsid w:val="00C000FA"/>
    <w:rsid w:val="00C00568"/>
    <w:rsid w:val="00C01EA1"/>
    <w:rsid w:val="00C03C68"/>
    <w:rsid w:val="00C04B2A"/>
    <w:rsid w:val="00C06A6A"/>
    <w:rsid w:val="00C10704"/>
    <w:rsid w:val="00C127C1"/>
    <w:rsid w:val="00C1384A"/>
    <w:rsid w:val="00C13AFD"/>
    <w:rsid w:val="00C15ABA"/>
    <w:rsid w:val="00C16E92"/>
    <w:rsid w:val="00C179F2"/>
    <w:rsid w:val="00C17E71"/>
    <w:rsid w:val="00C2113A"/>
    <w:rsid w:val="00C22A08"/>
    <w:rsid w:val="00C22C06"/>
    <w:rsid w:val="00C231FC"/>
    <w:rsid w:val="00C2521B"/>
    <w:rsid w:val="00C2540A"/>
    <w:rsid w:val="00C27D6A"/>
    <w:rsid w:val="00C3085C"/>
    <w:rsid w:val="00C30EA7"/>
    <w:rsid w:val="00C32061"/>
    <w:rsid w:val="00C32DE7"/>
    <w:rsid w:val="00C3540A"/>
    <w:rsid w:val="00C40754"/>
    <w:rsid w:val="00C4091C"/>
    <w:rsid w:val="00C41A72"/>
    <w:rsid w:val="00C422C8"/>
    <w:rsid w:val="00C42BF4"/>
    <w:rsid w:val="00C43290"/>
    <w:rsid w:val="00C433F8"/>
    <w:rsid w:val="00C44114"/>
    <w:rsid w:val="00C44B4A"/>
    <w:rsid w:val="00C47D9A"/>
    <w:rsid w:val="00C5258E"/>
    <w:rsid w:val="00C52A39"/>
    <w:rsid w:val="00C54199"/>
    <w:rsid w:val="00C54253"/>
    <w:rsid w:val="00C5490E"/>
    <w:rsid w:val="00C561EF"/>
    <w:rsid w:val="00C5780C"/>
    <w:rsid w:val="00C57EDF"/>
    <w:rsid w:val="00C6059C"/>
    <w:rsid w:val="00C6143D"/>
    <w:rsid w:val="00C61A53"/>
    <w:rsid w:val="00C61B2C"/>
    <w:rsid w:val="00C61BD8"/>
    <w:rsid w:val="00C61E93"/>
    <w:rsid w:val="00C620B6"/>
    <w:rsid w:val="00C6514A"/>
    <w:rsid w:val="00C6676F"/>
    <w:rsid w:val="00C66E65"/>
    <w:rsid w:val="00C712E7"/>
    <w:rsid w:val="00C7157D"/>
    <w:rsid w:val="00C72478"/>
    <w:rsid w:val="00C72BC4"/>
    <w:rsid w:val="00C731F2"/>
    <w:rsid w:val="00C77804"/>
    <w:rsid w:val="00C77E81"/>
    <w:rsid w:val="00C8005D"/>
    <w:rsid w:val="00C80C06"/>
    <w:rsid w:val="00C80C9E"/>
    <w:rsid w:val="00C8153B"/>
    <w:rsid w:val="00C81C8D"/>
    <w:rsid w:val="00C82B43"/>
    <w:rsid w:val="00C84324"/>
    <w:rsid w:val="00C85216"/>
    <w:rsid w:val="00C85F16"/>
    <w:rsid w:val="00C866DE"/>
    <w:rsid w:val="00C91D9C"/>
    <w:rsid w:val="00C91E02"/>
    <w:rsid w:val="00C925DA"/>
    <w:rsid w:val="00C94E30"/>
    <w:rsid w:val="00C95BF1"/>
    <w:rsid w:val="00C96BE3"/>
    <w:rsid w:val="00C96C21"/>
    <w:rsid w:val="00C9730A"/>
    <w:rsid w:val="00CA3A55"/>
    <w:rsid w:val="00CA3EAA"/>
    <w:rsid w:val="00CA7737"/>
    <w:rsid w:val="00CB0813"/>
    <w:rsid w:val="00CB1297"/>
    <w:rsid w:val="00CB64FE"/>
    <w:rsid w:val="00CB654D"/>
    <w:rsid w:val="00CC32F8"/>
    <w:rsid w:val="00CC365B"/>
    <w:rsid w:val="00CC381B"/>
    <w:rsid w:val="00CC5634"/>
    <w:rsid w:val="00CC5CF9"/>
    <w:rsid w:val="00CC60EB"/>
    <w:rsid w:val="00CD0E06"/>
    <w:rsid w:val="00CD21F6"/>
    <w:rsid w:val="00CD3D01"/>
    <w:rsid w:val="00CD4C50"/>
    <w:rsid w:val="00CD595E"/>
    <w:rsid w:val="00CD61E2"/>
    <w:rsid w:val="00CE2924"/>
    <w:rsid w:val="00CE352E"/>
    <w:rsid w:val="00CE3A8B"/>
    <w:rsid w:val="00CE4787"/>
    <w:rsid w:val="00CE47FA"/>
    <w:rsid w:val="00CE4C6A"/>
    <w:rsid w:val="00CE5476"/>
    <w:rsid w:val="00CE551E"/>
    <w:rsid w:val="00CE6F90"/>
    <w:rsid w:val="00CF04ED"/>
    <w:rsid w:val="00CF13BA"/>
    <w:rsid w:val="00CF1993"/>
    <w:rsid w:val="00CF296D"/>
    <w:rsid w:val="00CF300B"/>
    <w:rsid w:val="00CF3266"/>
    <w:rsid w:val="00CF3771"/>
    <w:rsid w:val="00CF5627"/>
    <w:rsid w:val="00D0084F"/>
    <w:rsid w:val="00D02114"/>
    <w:rsid w:val="00D02838"/>
    <w:rsid w:val="00D0416F"/>
    <w:rsid w:val="00D049C7"/>
    <w:rsid w:val="00D04AEE"/>
    <w:rsid w:val="00D05342"/>
    <w:rsid w:val="00D05574"/>
    <w:rsid w:val="00D05CF2"/>
    <w:rsid w:val="00D0690C"/>
    <w:rsid w:val="00D07C23"/>
    <w:rsid w:val="00D104C8"/>
    <w:rsid w:val="00D10530"/>
    <w:rsid w:val="00D10701"/>
    <w:rsid w:val="00D10C45"/>
    <w:rsid w:val="00D10EA7"/>
    <w:rsid w:val="00D126D2"/>
    <w:rsid w:val="00D16605"/>
    <w:rsid w:val="00D20B9C"/>
    <w:rsid w:val="00D22CDE"/>
    <w:rsid w:val="00D22D70"/>
    <w:rsid w:val="00D2387C"/>
    <w:rsid w:val="00D23D0E"/>
    <w:rsid w:val="00D23F47"/>
    <w:rsid w:val="00D24EB6"/>
    <w:rsid w:val="00D25765"/>
    <w:rsid w:val="00D25DD8"/>
    <w:rsid w:val="00D26F03"/>
    <w:rsid w:val="00D2750C"/>
    <w:rsid w:val="00D27893"/>
    <w:rsid w:val="00D3094F"/>
    <w:rsid w:val="00D31C87"/>
    <w:rsid w:val="00D31F49"/>
    <w:rsid w:val="00D325A7"/>
    <w:rsid w:val="00D33BC5"/>
    <w:rsid w:val="00D34041"/>
    <w:rsid w:val="00D34F5E"/>
    <w:rsid w:val="00D359A9"/>
    <w:rsid w:val="00D359EF"/>
    <w:rsid w:val="00D35ED3"/>
    <w:rsid w:val="00D36150"/>
    <w:rsid w:val="00D36D73"/>
    <w:rsid w:val="00D37332"/>
    <w:rsid w:val="00D407D8"/>
    <w:rsid w:val="00D40FE3"/>
    <w:rsid w:val="00D41805"/>
    <w:rsid w:val="00D42E2A"/>
    <w:rsid w:val="00D430F1"/>
    <w:rsid w:val="00D43D87"/>
    <w:rsid w:val="00D45A56"/>
    <w:rsid w:val="00D47606"/>
    <w:rsid w:val="00D503EC"/>
    <w:rsid w:val="00D51241"/>
    <w:rsid w:val="00D5154C"/>
    <w:rsid w:val="00D518DE"/>
    <w:rsid w:val="00D53049"/>
    <w:rsid w:val="00D539C0"/>
    <w:rsid w:val="00D53CFB"/>
    <w:rsid w:val="00D5434E"/>
    <w:rsid w:val="00D5459D"/>
    <w:rsid w:val="00D54EC7"/>
    <w:rsid w:val="00D55C00"/>
    <w:rsid w:val="00D61307"/>
    <w:rsid w:val="00D61F5A"/>
    <w:rsid w:val="00D62AF8"/>
    <w:rsid w:val="00D637A8"/>
    <w:rsid w:val="00D640AD"/>
    <w:rsid w:val="00D647F4"/>
    <w:rsid w:val="00D64950"/>
    <w:rsid w:val="00D64CD0"/>
    <w:rsid w:val="00D65CDF"/>
    <w:rsid w:val="00D66A9B"/>
    <w:rsid w:val="00D70D83"/>
    <w:rsid w:val="00D70F2C"/>
    <w:rsid w:val="00D72372"/>
    <w:rsid w:val="00D72B8F"/>
    <w:rsid w:val="00D72CDC"/>
    <w:rsid w:val="00D72EAC"/>
    <w:rsid w:val="00D74E79"/>
    <w:rsid w:val="00D811E6"/>
    <w:rsid w:val="00D8132A"/>
    <w:rsid w:val="00D8162E"/>
    <w:rsid w:val="00D84F9F"/>
    <w:rsid w:val="00D84FC4"/>
    <w:rsid w:val="00D85D09"/>
    <w:rsid w:val="00D86A5D"/>
    <w:rsid w:val="00D86F33"/>
    <w:rsid w:val="00D87A9A"/>
    <w:rsid w:val="00D911E4"/>
    <w:rsid w:val="00D91612"/>
    <w:rsid w:val="00D929EE"/>
    <w:rsid w:val="00D9345F"/>
    <w:rsid w:val="00D936AD"/>
    <w:rsid w:val="00D94103"/>
    <w:rsid w:val="00D94E26"/>
    <w:rsid w:val="00D95011"/>
    <w:rsid w:val="00D96569"/>
    <w:rsid w:val="00D96840"/>
    <w:rsid w:val="00D96CAB"/>
    <w:rsid w:val="00D96E14"/>
    <w:rsid w:val="00DA0684"/>
    <w:rsid w:val="00DA1A6C"/>
    <w:rsid w:val="00DA24D9"/>
    <w:rsid w:val="00DA2FF0"/>
    <w:rsid w:val="00DA43E0"/>
    <w:rsid w:val="00DA4A11"/>
    <w:rsid w:val="00DA524F"/>
    <w:rsid w:val="00DA5618"/>
    <w:rsid w:val="00DA5E4D"/>
    <w:rsid w:val="00DB07AE"/>
    <w:rsid w:val="00DB0CA0"/>
    <w:rsid w:val="00DB0F1E"/>
    <w:rsid w:val="00DB1EA8"/>
    <w:rsid w:val="00DB28B1"/>
    <w:rsid w:val="00DB3214"/>
    <w:rsid w:val="00DB4737"/>
    <w:rsid w:val="00DB6081"/>
    <w:rsid w:val="00DB7478"/>
    <w:rsid w:val="00DB7784"/>
    <w:rsid w:val="00DB7CF5"/>
    <w:rsid w:val="00DC088A"/>
    <w:rsid w:val="00DC10FC"/>
    <w:rsid w:val="00DC14C7"/>
    <w:rsid w:val="00DC39C7"/>
    <w:rsid w:val="00DC47E1"/>
    <w:rsid w:val="00DC4B95"/>
    <w:rsid w:val="00DC4D02"/>
    <w:rsid w:val="00DC4DFF"/>
    <w:rsid w:val="00DC4FE4"/>
    <w:rsid w:val="00DC6522"/>
    <w:rsid w:val="00DC6C46"/>
    <w:rsid w:val="00DC7FDF"/>
    <w:rsid w:val="00DD0407"/>
    <w:rsid w:val="00DD270C"/>
    <w:rsid w:val="00DD307C"/>
    <w:rsid w:val="00DD45A3"/>
    <w:rsid w:val="00DD4DEE"/>
    <w:rsid w:val="00DD5405"/>
    <w:rsid w:val="00DD5CFE"/>
    <w:rsid w:val="00DD61B7"/>
    <w:rsid w:val="00DD6BEF"/>
    <w:rsid w:val="00DD73FA"/>
    <w:rsid w:val="00DE00F4"/>
    <w:rsid w:val="00DE0DFC"/>
    <w:rsid w:val="00DE154A"/>
    <w:rsid w:val="00DE1C6C"/>
    <w:rsid w:val="00DE2533"/>
    <w:rsid w:val="00DE5B0E"/>
    <w:rsid w:val="00DE75BA"/>
    <w:rsid w:val="00DF1595"/>
    <w:rsid w:val="00DF3471"/>
    <w:rsid w:val="00DF37D4"/>
    <w:rsid w:val="00DF551B"/>
    <w:rsid w:val="00DF55C7"/>
    <w:rsid w:val="00DF6FED"/>
    <w:rsid w:val="00DF7DB8"/>
    <w:rsid w:val="00E01FAA"/>
    <w:rsid w:val="00E028D4"/>
    <w:rsid w:val="00E03039"/>
    <w:rsid w:val="00E03868"/>
    <w:rsid w:val="00E03D70"/>
    <w:rsid w:val="00E061B0"/>
    <w:rsid w:val="00E11C94"/>
    <w:rsid w:val="00E121ED"/>
    <w:rsid w:val="00E123F3"/>
    <w:rsid w:val="00E12C67"/>
    <w:rsid w:val="00E13609"/>
    <w:rsid w:val="00E136E4"/>
    <w:rsid w:val="00E16710"/>
    <w:rsid w:val="00E167B6"/>
    <w:rsid w:val="00E22CFF"/>
    <w:rsid w:val="00E243AA"/>
    <w:rsid w:val="00E24D4C"/>
    <w:rsid w:val="00E25B5B"/>
    <w:rsid w:val="00E27616"/>
    <w:rsid w:val="00E30FD2"/>
    <w:rsid w:val="00E3197D"/>
    <w:rsid w:val="00E3597B"/>
    <w:rsid w:val="00E35E99"/>
    <w:rsid w:val="00E364D2"/>
    <w:rsid w:val="00E36612"/>
    <w:rsid w:val="00E36782"/>
    <w:rsid w:val="00E36B38"/>
    <w:rsid w:val="00E36EA9"/>
    <w:rsid w:val="00E37577"/>
    <w:rsid w:val="00E40B94"/>
    <w:rsid w:val="00E40DB1"/>
    <w:rsid w:val="00E41E97"/>
    <w:rsid w:val="00E4224C"/>
    <w:rsid w:val="00E42C4E"/>
    <w:rsid w:val="00E430BB"/>
    <w:rsid w:val="00E4490B"/>
    <w:rsid w:val="00E44DEB"/>
    <w:rsid w:val="00E45DB1"/>
    <w:rsid w:val="00E474CF"/>
    <w:rsid w:val="00E47B56"/>
    <w:rsid w:val="00E47B5F"/>
    <w:rsid w:val="00E47C38"/>
    <w:rsid w:val="00E47EA5"/>
    <w:rsid w:val="00E50726"/>
    <w:rsid w:val="00E509AC"/>
    <w:rsid w:val="00E51190"/>
    <w:rsid w:val="00E51562"/>
    <w:rsid w:val="00E517F3"/>
    <w:rsid w:val="00E54BD2"/>
    <w:rsid w:val="00E6019D"/>
    <w:rsid w:val="00E6032F"/>
    <w:rsid w:val="00E60B2D"/>
    <w:rsid w:val="00E611AB"/>
    <w:rsid w:val="00E61AFB"/>
    <w:rsid w:val="00E62503"/>
    <w:rsid w:val="00E6361D"/>
    <w:rsid w:val="00E63C65"/>
    <w:rsid w:val="00E6418B"/>
    <w:rsid w:val="00E66063"/>
    <w:rsid w:val="00E707B7"/>
    <w:rsid w:val="00E70DDF"/>
    <w:rsid w:val="00E725EC"/>
    <w:rsid w:val="00E73456"/>
    <w:rsid w:val="00E73DB1"/>
    <w:rsid w:val="00E7456D"/>
    <w:rsid w:val="00E746C7"/>
    <w:rsid w:val="00E7500E"/>
    <w:rsid w:val="00E752CE"/>
    <w:rsid w:val="00E75D5B"/>
    <w:rsid w:val="00E760C1"/>
    <w:rsid w:val="00E769E9"/>
    <w:rsid w:val="00E80657"/>
    <w:rsid w:val="00E813B0"/>
    <w:rsid w:val="00E8192B"/>
    <w:rsid w:val="00E83415"/>
    <w:rsid w:val="00E83E48"/>
    <w:rsid w:val="00E83F19"/>
    <w:rsid w:val="00E84068"/>
    <w:rsid w:val="00E84074"/>
    <w:rsid w:val="00E86094"/>
    <w:rsid w:val="00E861AB"/>
    <w:rsid w:val="00E863F6"/>
    <w:rsid w:val="00E86892"/>
    <w:rsid w:val="00E86A16"/>
    <w:rsid w:val="00E87936"/>
    <w:rsid w:val="00E87A45"/>
    <w:rsid w:val="00E87D0E"/>
    <w:rsid w:val="00E91A99"/>
    <w:rsid w:val="00E93082"/>
    <w:rsid w:val="00E937F3"/>
    <w:rsid w:val="00E93C89"/>
    <w:rsid w:val="00E9434D"/>
    <w:rsid w:val="00E95542"/>
    <w:rsid w:val="00E966D6"/>
    <w:rsid w:val="00E96868"/>
    <w:rsid w:val="00E978CC"/>
    <w:rsid w:val="00EA03C9"/>
    <w:rsid w:val="00EA04B6"/>
    <w:rsid w:val="00EA0B3B"/>
    <w:rsid w:val="00EA2BA1"/>
    <w:rsid w:val="00EA30F8"/>
    <w:rsid w:val="00EA3789"/>
    <w:rsid w:val="00EA4D9F"/>
    <w:rsid w:val="00EA56F1"/>
    <w:rsid w:val="00EA66BB"/>
    <w:rsid w:val="00EB0286"/>
    <w:rsid w:val="00EB2059"/>
    <w:rsid w:val="00EB2E27"/>
    <w:rsid w:val="00EB348C"/>
    <w:rsid w:val="00EB454E"/>
    <w:rsid w:val="00EB4BDC"/>
    <w:rsid w:val="00EB53A6"/>
    <w:rsid w:val="00EB5C0F"/>
    <w:rsid w:val="00EB71E1"/>
    <w:rsid w:val="00EB7F09"/>
    <w:rsid w:val="00EC0A00"/>
    <w:rsid w:val="00EC178B"/>
    <w:rsid w:val="00EC208C"/>
    <w:rsid w:val="00EC45FB"/>
    <w:rsid w:val="00EC4B78"/>
    <w:rsid w:val="00EC7972"/>
    <w:rsid w:val="00ED1138"/>
    <w:rsid w:val="00ED21E5"/>
    <w:rsid w:val="00ED4D66"/>
    <w:rsid w:val="00ED6B87"/>
    <w:rsid w:val="00ED7208"/>
    <w:rsid w:val="00EE24AE"/>
    <w:rsid w:val="00EE2874"/>
    <w:rsid w:val="00EE6D30"/>
    <w:rsid w:val="00EF0C16"/>
    <w:rsid w:val="00EF1649"/>
    <w:rsid w:val="00EF2941"/>
    <w:rsid w:val="00EF2C27"/>
    <w:rsid w:val="00EF3272"/>
    <w:rsid w:val="00EF37CA"/>
    <w:rsid w:val="00EF7A83"/>
    <w:rsid w:val="00EF7AF0"/>
    <w:rsid w:val="00F0096B"/>
    <w:rsid w:val="00F0599F"/>
    <w:rsid w:val="00F07E45"/>
    <w:rsid w:val="00F12CB2"/>
    <w:rsid w:val="00F150D9"/>
    <w:rsid w:val="00F153EB"/>
    <w:rsid w:val="00F17E0D"/>
    <w:rsid w:val="00F22DB6"/>
    <w:rsid w:val="00F24EA8"/>
    <w:rsid w:val="00F2540F"/>
    <w:rsid w:val="00F2571C"/>
    <w:rsid w:val="00F2612C"/>
    <w:rsid w:val="00F26D76"/>
    <w:rsid w:val="00F30B33"/>
    <w:rsid w:val="00F3351D"/>
    <w:rsid w:val="00F337F3"/>
    <w:rsid w:val="00F33C28"/>
    <w:rsid w:val="00F33D72"/>
    <w:rsid w:val="00F34218"/>
    <w:rsid w:val="00F3660C"/>
    <w:rsid w:val="00F36910"/>
    <w:rsid w:val="00F36ABA"/>
    <w:rsid w:val="00F370EC"/>
    <w:rsid w:val="00F42E06"/>
    <w:rsid w:val="00F443DD"/>
    <w:rsid w:val="00F45ACA"/>
    <w:rsid w:val="00F45CCA"/>
    <w:rsid w:val="00F472F3"/>
    <w:rsid w:val="00F5179A"/>
    <w:rsid w:val="00F51EBC"/>
    <w:rsid w:val="00F52126"/>
    <w:rsid w:val="00F53304"/>
    <w:rsid w:val="00F53450"/>
    <w:rsid w:val="00F567DC"/>
    <w:rsid w:val="00F5697E"/>
    <w:rsid w:val="00F574EA"/>
    <w:rsid w:val="00F61044"/>
    <w:rsid w:val="00F61122"/>
    <w:rsid w:val="00F61570"/>
    <w:rsid w:val="00F61E0D"/>
    <w:rsid w:val="00F62B2D"/>
    <w:rsid w:val="00F63F87"/>
    <w:rsid w:val="00F65510"/>
    <w:rsid w:val="00F657C8"/>
    <w:rsid w:val="00F70E3F"/>
    <w:rsid w:val="00F71709"/>
    <w:rsid w:val="00F73B35"/>
    <w:rsid w:val="00F7617B"/>
    <w:rsid w:val="00F76354"/>
    <w:rsid w:val="00F76556"/>
    <w:rsid w:val="00F768C9"/>
    <w:rsid w:val="00F776AB"/>
    <w:rsid w:val="00F8060A"/>
    <w:rsid w:val="00F80D8C"/>
    <w:rsid w:val="00F81FF3"/>
    <w:rsid w:val="00F821CB"/>
    <w:rsid w:val="00F841BE"/>
    <w:rsid w:val="00F85983"/>
    <w:rsid w:val="00F8624B"/>
    <w:rsid w:val="00F86C5D"/>
    <w:rsid w:val="00F876AA"/>
    <w:rsid w:val="00F87AF6"/>
    <w:rsid w:val="00F87C66"/>
    <w:rsid w:val="00F905DA"/>
    <w:rsid w:val="00F92688"/>
    <w:rsid w:val="00F93C9F"/>
    <w:rsid w:val="00FA037C"/>
    <w:rsid w:val="00FA1450"/>
    <w:rsid w:val="00FA2280"/>
    <w:rsid w:val="00FA382A"/>
    <w:rsid w:val="00FA3BF6"/>
    <w:rsid w:val="00FA5DD4"/>
    <w:rsid w:val="00FA6067"/>
    <w:rsid w:val="00FA625A"/>
    <w:rsid w:val="00FA6C09"/>
    <w:rsid w:val="00FB036F"/>
    <w:rsid w:val="00FB1D76"/>
    <w:rsid w:val="00FB2B1A"/>
    <w:rsid w:val="00FB4E0D"/>
    <w:rsid w:val="00FB6063"/>
    <w:rsid w:val="00FB6AF6"/>
    <w:rsid w:val="00FB6F32"/>
    <w:rsid w:val="00FB7142"/>
    <w:rsid w:val="00FB7E15"/>
    <w:rsid w:val="00FC065A"/>
    <w:rsid w:val="00FC1607"/>
    <w:rsid w:val="00FC2546"/>
    <w:rsid w:val="00FC351A"/>
    <w:rsid w:val="00FC3B4F"/>
    <w:rsid w:val="00FC45DF"/>
    <w:rsid w:val="00FC6A19"/>
    <w:rsid w:val="00FD12E5"/>
    <w:rsid w:val="00FD2D6F"/>
    <w:rsid w:val="00FD3820"/>
    <w:rsid w:val="00FD3F74"/>
    <w:rsid w:val="00FD5499"/>
    <w:rsid w:val="00FD66D0"/>
    <w:rsid w:val="00FE2F4F"/>
    <w:rsid w:val="00FE7123"/>
    <w:rsid w:val="00FF0D60"/>
    <w:rsid w:val="00FF268F"/>
    <w:rsid w:val="00FF383E"/>
    <w:rsid w:val="00FF501E"/>
    <w:rsid w:val="00FF68AD"/>
    <w:rsid w:val="00FF705A"/>
    <w:rsid w:val="00FF7D1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FB7911"/>
  <w15:docId w15:val="{144C7BF2-A745-40EB-BC86-44E16F27E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061E"/>
  </w:style>
  <w:style w:type="paragraph" w:styleId="Heading1">
    <w:name w:val="heading 1"/>
    <w:basedOn w:val="Normal"/>
    <w:next w:val="Normal"/>
    <w:link w:val="Heading1Char"/>
    <w:uiPriority w:val="9"/>
    <w:qFormat/>
    <w:rsid w:val="00DD0407"/>
    <w:pPr>
      <w:keepNext/>
      <w:keepLines/>
      <w:numPr>
        <w:numId w:val="1"/>
      </w:numPr>
      <w:spacing w:after="240"/>
      <w:ind w:left="431" w:hanging="431"/>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090916"/>
    <w:pPr>
      <w:keepNext/>
      <w:keepLines/>
      <w:numPr>
        <w:ilvl w:val="1"/>
        <w:numId w:val="1"/>
      </w:numPr>
      <w:spacing w:before="200"/>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90916"/>
    <w:pPr>
      <w:keepNext/>
      <w:keepLines/>
      <w:numPr>
        <w:ilvl w:val="2"/>
        <w:numId w:val="1"/>
      </w:numPr>
      <w:spacing w:before="240" w:after="240" w:line="240" w:lineRule="auto"/>
      <w:jc w:val="both"/>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090916"/>
    <w:pPr>
      <w:keepNext/>
      <w:keepLines/>
      <w:numPr>
        <w:ilvl w:val="3"/>
        <w:numId w:val="1"/>
      </w:numPr>
      <w:spacing w:before="360"/>
      <w:jc w:val="both"/>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autoRedefine/>
    <w:unhideWhenUsed/>
    <w:qFormat/>
    <w:rsid w:val="00BA412E"/>
    <w:pPr>
      <w:keepNext/>
      <w:keepLines/>
      <w:numPr>
        <w:ilvl w:val="4"/>
        <w:numId w:val="1"/>
      </w:numPr>
      <w:spacing w:before="200" w:after="0"/>
      <w:outlineLvl w:val="4"/>
    </w:pPr>
    <w:rPr>
      <w:rFonts w:asciiTheme="majorHAnsi" w:eastAsiaTheme="majorEastAsia" w:hAnsiTheme="majorHAnsi" w:cstheme="majorBidi"/>
      <w:bCs/>
      <w:i/>
      <w:iCs/>
      <w:color w:val="4F81BD" w:themeColor="accent1"/>
    </w:rPr>
  </w:style>
  <w:style w:type="paragraph" w:styleId="Heading6">
    <w:name w:val="heading 6"/>
    <w:basedOn w:val="Normal"/>
    <w:next w:val="Normal"/>
    <w:link w:val="Heading6Char"/>
    <w:unhideWhenUsed/>
    <w:qFormat/>
    <w:rsid w:val="007D656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rsid w:val="008B0F78"/>
    <w:rPr>
      <w:rFonts w:ascii="Times New Roman" w:eastAsia="Times New Roman" w:hAnsi="Times New Roman" w:cs="Times New Roman"/>
      <w:sz w:val="20"/>
      <w:szCs w:val="20"/>
    </w:rPr>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uiPriority w:val="99"/>
    <w:qFormat/>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uiPriority w:val="9"/>
    <w:rsid w:val="00DD040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090916"/>
    <w:rPr>
      <w:rFonts w:asciiTheme="majorHAnsi" w:eastAsiaTheme="majorEastAsia" w:hAnsiTheme="majorHAnsi" w:cstheme="majorBidi"/>
      <w:b/>
      <w:bCs/>
      <w:color w:val="4F81BD" w:themeColor="accent1"/>
      <w:sz w:val="26"/>
      <w:szCs w:val="26"/>
    </w:rPr>
  </w:style>
  <w:style w:type="paragraph" w:styleId="Caption">
    <w:name w:val="caption"/>
    <w:basedOn w:val="Normal"/>
    <w:next w:val="Normal"/>
    <w:link w:val="CaptionChar"/>
    <w:unhideWhenUsed/>
    <w:qFormat/>
    <w:rsid w:val="00627419"/>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rsid w:val="0009091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rsid w:val="0009091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BA412E"/>
    <w:rPr>
      <w:rFonts w:asciiTheme="majorHAnsi" w:eastAsiaTheme="majorEastAsia" w:hAnsiTheme="majorHAnsi" w:cstheme="majorBidi"/>
      <w:bCs/>
      <w:i/>
      <w:iCs/>
      <w:color w:val="4F81BD" w:themeColor="accent1"/>
    </w:rPr>
  </w:style>
  <w:style w:type="character" w:customStyle="1" w:styleId="Heading6Char">
    <w:name w:val="Heading 6 Char"/>
    <w:basedOn w:val="DefaultParagraphFont"/>
    <w:link w:val="Heading6"/>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D65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BD6A24"/>
    <w:pPr>
      <w:ind w:left="720"/>
      <w:contextualSpacing/>
    </w:pPr>
  </w:style>
  <w:style w:type="paragraph" w:styleId="Subtitle">
    <w:name w:val="Subtitle"/>
    <w:basedOn w:val="Normal"/>
    <w:next w:val="Normal"/>
    <w:link w:val="SubtitleChar"/>
    <w:uiPriority w:val="11"/>
    <w:qFormat/>
    <w:rsid w:val="00BD6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D6A2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nhideWhenUsed/>
    <w:rsid w:val="002F2FD0"/>
    <w:rPr>
      <w:sz w:val="16"/>
      <w:szCs w:val="16"/>
    </w:rPr>
  </w:style>
  <w:style w:type="paragraph" w:styleId="CommentText">
    <w:name w:val="annotation text"/>
    <w:basedOn w:val="Normal"/>
    <w:link w:val="CommentTextChar"/>
    <w:uiPriority w:val="99"/>
    <w:semiHidden/>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semiHidden/>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E62503"/>
    <w:pPr>
      <w:spacing w:after="100"/>
    </w:pPr>
    <w:rPr>
      <w:rFonts w:ascii="Calibri" w:hAnsi="Calibri"/>
      <w:sz w:val="24"/>
    </w:rPr>
  </w:style>
  <w:style w:type="paragraph" w:styleId="TOC2">
    <w:name w:val="toc 2"/>
    <w:basedOn w:val="Normal"/>
    <w:next w:val="Normal"/>
    <w:autoRedefine/>
    <w:uiPriority w:val="39"/>
    <w:unhideWhenUsed/>
    <w:rsid w:val="00E42C4E"/>
    <w:pPr>
      <w:tabs>
        <w:tab w:val="left" w:pos="880"/>
        <w:tab w:val="right" w:leader="dot" w:pos="9062"/>
      </w:tabs>
      <w:spacing w:after="0"/>
      <w:ind w:left="221"/>
    </w:pPr>
    <w:rPr>
      <w:rFonts w:eastAsiaTheme="majorEastAsia" w:cstheme="majorBidi"/>
      <w:bCs/>
      <w:noProof/>
      <w:sz w:val="24"/>
    </w:rPr>
  </w:style>
  <w:style w:type="paragraph" w:styleId="TOC3">
    <w:name w:val="toc 3"/>
    <w:basedOn w:val="Normal"/>
    <w:next w:val="Normal"/>
    <w:autoRedefine/>
    <w:uiPriority w:val="39"/>
    <w:unhideWhenUsed/>
    <w:rsid w:val="00E42C4E"/>
    <w:pPr>
      <w:tabs>
        <w:tab w:val="left" w:pos="1320"/>
        <w:tab w:val="right" w:leader="dot" w:pos="9062"/>
      </w:tabs>
      <w:spacing w:after="0"/>
      <w:ind w:left="442"/>
    </w:pPr>
    <w:rPr>
      <w:rFonts w:ascii="Calibri" w:hAnsi="Calibri"/>
      <w:sz w:val="24"/>
    </w:r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numPr>
        <w:numId w:val="0"/>
      </w:numPr>
      <w:outlineLvl w:val="9"/>
    </w:pPr>
    <w:rPr>
      <w:lang w:eastAsia="hr-HR"/>
    </w:r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7E06BD"/>
    <w:pPr>
      <w:spacing w:after="0"/>
    </w:pPr>
    <w:rPr>
      <w:rFonts w:ascii="Calibri" w:hAnsi="Calibri"/>
    </w:r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3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Revision">
    <w:name w:val="Revision"/>
    <w:hidden/>
    <w:uiPriority w:val="99"/>
    <w:semiHidden/>
    <w:rsid w:val="0086342C"/>
    <w:pPr>
      <w:spacing w:after="0" w:line="240" w:lineRule="auto"/>
    </w:pPr>
  </w:style>
  <w:style w:type="paragraph" w:customStyle="1" w:styleId="tdp">
    <w:name w:val="td_p"/>
    <w:basedOn w:val="Normal"/>
    <w:rsid w:val="000E267F"/>
    <w:pPr>
      <w:spacing w:after="0" w:line="240" w:lineRule="auto"/>
    </w:pPr>
    <w:rPr>
      <w:rFonts w:ascii="Arial" w:eastAsia="Arial" w:hAnsi="Arial" w:cs="Arial"/>
      <w:sz w:val="24"/>
      <w:szCs w:val="24"/>
      <w:lang w:eastAsia="hr-HR"/>
    </w:rPr>
  </w:style>
  <w:style w:type="table" w:customStyle="1" w:styleId="export-amendments-table">
    <w:name w:val="export-amendments-table"/>
    <w:rsid w:val="000E267F"/>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table" w:styleId="LightGrid-Accent5">
    <w:name w:val="Light Grid Accent 5"/>
    <w:basedOn w:val="TableNormal"/>
    <w:uiPriority w:val="62"/>
    <w:rsid w:val="000A4E38"/>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Emphasis">
    <w:name w:val="Emphasis"/>
    <w:basedOn w:val="DefaultParagraphFont"/>
    <w:uiPriority w:val="20"/>
    <w:qFormat/>
    <w:rsid w:val="00630180"/>
    <w:rPr>
      <w:i/>
      <w:iCs/>
    </w:rPr>
  </w:style>
  <w:style w:type="table" w:styleId="GridTable1Light-Accent1">
    <w:name w:val="Grid Table 1 Light Accent 1"/>
    <w:basedOn w:val="TableNormal"/>
    <w:uiPriority w:val="46"/>
    <w:rsid w:val="00BC29CD"/>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ListBullet">
    <w:name w:val="List Bullet"/>
    <w:aliases w:val="List Bullet Char Char Char Char,List Bullet Char Char Char Char Char Char Char Char,List Bullet Char Char Char Char Char Char Char,List Bullet Char Char Char Char Char Char,List Bullet Char1 Char"/>
    <w:basedOn w:val="Normal"/>
    <w:uiPriority w:val="99"/>
    <w:unhideWhenUsed/>
    <w:rsid w:val="0084511F"/>
    <w:pPr>
      <w:numPr>
        <w:numId w:val="3"/>
      </w:numPr>
      <w:spacing w:before="240" w:after="240" w:line="360" w:lineRule="auto"/>
      <w:contextualSpacing/>
      <w:jc w:val="both"/>
    </w:pPr>
    <w:rPr>
      <w:rFonts w:ascii="Verdana" w:eastAsia="Calibri" w:hAnsi="Verdana" w:cs="Times New Roman"/>
      <w:sz w:val="20"/>
      <w:lang w:val="en-GB" w:eastAsia="es-ES"/>
    </w:rPr>
  </w:style>
  <w:style w:type="numbering" w:customStyle="1" w:styleId="NoList1">
    <w:name w:val="No List1"/>
    <w:next w:val="NoList"/>
    <w:uiPriority w:val="99"/>
    <w:semiHidden/>
    <w:unhideWhenUsed/>
    <w:rsid w:val="003D3219"/>
  </w:style>
  <w:style w:type="table" w:customStyle="1" w:styleId="ColorfulShading-Accent11">
    <w:name w:val="Colorful Shading - Accent 11"/>
    <w:basedOn w:val="TableNormal"/>
    <w:next w:val="ColorfulShading-Accent1"/>
    <w:uiPriority w:val="71"/>
    <w:rsid w:val="003D3219"/>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MediumList2-Accent11">
    <w:name w:val="Medium List 2 - Accent 11"/>
    <w:basedOn w:val="TableNormal"/>
    <w:next w:val="MediumList2-Accent1"/>
    <w:uiPriority w:val="66"/>
    <w:rsid w:val="003D321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TableGrid1">
    <w:name w:val="Table Grid1"/>
    <w:basedOn w:val="TableNormal"/>
    <w:next w:val="TableGrid"/>
    <w:uiPriority w:val="39"/>
    <w:rsid w:val="003D32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Accent11">
    <w:name w:val="Light Grid - Accent 11"/>
    <w:basedOn w:val="TableNormal"/>
    <w:next w:val="LightGrid-Accent1"/>
    <w:uiPriority w:val="62"/>
    <w:rsid w:val="003D321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export-amendments-table1">
    <w:name w:val="export-amendments-table1"/>
    <w:rsid w:val="003D3219"/>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table" w:customStyle="1" w:styleId="LightGrid-Accent51">
    <w:name w:val="Light Grid - Accent 51"/>
    <w:basedOn w:val="TableNormal"/>
    <w:next w:val="LightGrid-Accent5"/>
    <w:uiPriority w:val="62"/>
    <w:rsid w:val="003D3219"/>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GridTable1Light-Accent11">
    <w:name w:val="Grid Table 1 Light - Accent 11"/>
    <w:basedOn w:val="TableNormal"/>
    <w:next w:val="GridTable1Light-Accent1"/>
    <w:uiPriority w:val="46"/>
    <w:rsid w:val="003D3219"/>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3D3219"/>
    <w:rPr>
      <w:rFonts w:ascii="Times New Roman" w:hAnsi="Times New Roman" w:cs="Times New Roman"/>
      <w:sz w:val="24"/>
      <w:szCs w:val="24"/>
    </w:rPr>
  </w:style>
  <w:style w:type="paragraph" w:customStyle="1" w:styleId="Bullet1">
    <w:name w:val="Bullet 1"/>
    <w:basedOn w:val="Normal"/>
    <w:link w:val="Bullet1Char"/>
    <w:qFormat/>
    <w:rsid w:val="003D3219"/>
    <w:pPr>
      <w:numPr>
        <w:numId w:val="10"/>
      </w:numPr>
      <w:spacing w:before="120" w:after="0" w:line="336" w:lineRule="auto"/>
      <w:jc w:val="both"/>
    </w:pPr>
    <w:rPr>
      <w:rFonts w:ascii="Verdana" w:eastAsia="Calibri" w:hAnsi="Verdana" w:cs="Times New Roman"/>
      <w:sz w:val="20"/>
      <w:szCs w:val="32"/>
      <w:lang w:val="en-GB" w:eastAsia="es-ES"/>
    </w:rPr>
  </w:style>
  <w:style w:type="character" w:customStyle="1" w:styleId="Bullet1Char">
    <w:name w:val="Bullet 1 Char"/>
    <w:link w:val="Bullet1"/>
    <w:rsid w:val="003D3219"/>
    <w:rPr>
      <w:rFonts w:ascii="Verdana" w:eastAsia="Calibri" w:hAnsi="Verdana" w:cs="Times New Roman"/>
      <w:sz w:val="20"/>
      <w:szCs w:val="32"/>
      <w:lang w:val="en-GB" w:eastAsia="es-ES"/>
    </w:rPr>
  </w:style>
  <w:style w:type="paragraph" w:customStyle="1" w:styleId="Bullet2">
    <w:name w:val="Bullet 2"/>
    <w:basedOn w:val="Bullet1"/>
    <w:qFormat/>
    <w:rsid w:val="003D3219"/>
    <w:pPr>
      <w:numPr>
        <w:ilvl w:val="1"/>
      </w:numPr>
      <w:tabs>
        <w:tab w:val="num" w:pos="360"/>
      </w:tabs>
      <w:ind w:left="726" w:hanging="357"/>
    </w:pPr>
  </w:style>
  <w:style w:type="paragraph" w:customStyle="1" w:styleId="Bullet3">
    <w:name w:val="Bullet 3"/>
    <w:basedOn w:val="Bullet2"/>
    <w:qFormat/>
    <w:rsid w:val="003D3219"/>
    <w:pPr>
      <w:numPr>
        <w:ilvl w:val="2"/>
      </w:numPr>
      <w:tabs>
        <w:tab w:val="num" w:pos="360"/>
      </w:tabs>
      <w:ind w:left="1560" w:hanging="720"/>
    </w:pPr>
  </w:style>
  <w:style w:type="character" w:customStyle="1" w:styleId="CaptionChar">
    <w:name w:val="Caption Char"/>
    <w:link w:val="Caption"/>
    <w:rsid w:val="003D3219"/>
    <w:rPr>
      <w:b/>
      <w:bCs/>
      <w:color w:val="4F81BD" w:themeColor="accent1"/>
      <w:sz w:val="18"/>
      <w:szCs w:val="18"/>
    </w:rPr>
  </w:style>
  <w:style w:type="paragraph" w:customStyle="1" w:styleId="Uloga">
    <w:name w:val="Uloga"/>
    <w:basedOn w:val="Normal"/>
    <w:rsid w:val="006F1C93"/>
    <w:pPr>
      <w:tabs>
        <w:tab w:val="center" w:pos="7655"/>
      </w:tabs>
      <w:spacing w:before="240" w:after="600" w:line="240" w:lineRule="auto"/>
    </w:pPr>
    <w:rPr>
      <w:rFonts w:ascii="Times New Roman" w:eastAsia="Times New Roman" w:hAnsi="Times New Roman" w:cs="Times New Roman"/>
      <w:b/>
      <w:i/>
      <w:caps/>
      <w:sz w:val="20"/>
      <w:szCs w:val="24"/>
      <w:lang w:eastAsia="hr-HR"/>
    </w:rPr>
  </w:style>
  <w:style w:type="paragraph" w:customStyle="1" w:styleId="Uloga-ime">
    <w:name w:val="Uloga - ime"/>
    <w:basedOn w:val="Normal"/>
    <w:rsid w:val="006F1C93"/>
    <w:pPr>
      <w:tabs>
        <w:tab w:val="center" w:pos="7655"/>
      </w:tabs>
      <w:spacing w:after="600" w:line="240" w:lineRule="auto"/>
    </w:pPr>
    <w:rPr>
      <w:rFonts w:ascii="Times New Roman" w:eastAsia="Times New Roman" w:hAnsi="Times New Roman" w:cs="Times New Roman"/>
      <w:b/>
      <w:i/>
      <w:szCs w:val="24"/>
      <w:lang w:eastAsia="hr-HR"/>
    </w:rPr>
  </w:style>
  <w:style w:type="numbering" w:customStyle="1" w:styleId="Style2">
    <w:name w:val="Style2"/>
    <w:uiPriority w:val="99"/>
    <w:rsid w:val="006F1C93"/>
    <w:pPr>
      <w:numPr>
        <w:numId w:val="50"/>
      </w:numPr>
    </w:pPr>
  </w:style>
  <w:style w:type="numbering" w:customStyle="1" w:styleId="Style21">
    <w:name w:val="Style21"/>
    <w:uiPriority w:val="99"/>
    <w:rsid w:val="002B4122"/>
  </w:style>
  <w:style w:type="numbering" w:customStyle="1" w:styleId="Style22">
    <w:name w:val="Style22"/>
    <w:uiPriority w:val="99"/>
    <w:rsid w:val="00AF73B0"/>
  </w:style>
  <w:style w:type="paragraph" w:styleId="TOC4">
    <w:name w:val="toc 4"/>
    <w:basedOn w:val="Normal"/>
    <w:next w:val="Normal"/>
    <w:autoRedefine/>
    <w:uiPriority w:val="39"/>
    <w:semiHidden/>
    <w:unhideWhenUsed/>
    <w:rsid w:val="003D6291"/>
    <w:pPr>
      <w:spacing w:after="100"/>
      <w:ind w:left="660"/>
    </w:pPr>
    <w:rPr>
      <w:rFonts w:ascii="Calibri" w:hAnsi="Calibri"/>
      <w:sz w:val="24"/>
    </w:rPr>
  </w:style>
  <w:style w:type="paragraph" w:styleId="TOC5">
    <w:name w:val="toc 5"/>
    <w:basedOn w:val="Normal"/>
    <w:next w:val="Normal"/>
    <w:autoRedefine/>
    <w:uiPriority w:val="39"/>
    <w:semiHidden/>
    <w:unhideWhenUsed/>
    <w:rsid w:val="003D6291"/>
    <w:pPr>
      <w:spacing w:after="100"/>
      <w:ind w:left="880"/>
    </w:pPr>
    <w:rPr>
      <w:rFonts w:ascii="Calibri" w:hAnsi="Calibri"/>
      <w:sz w:val="24"/>
    </w:rPr>
  </w:style>
  <w:style w:type="paragraph" w:styleId="TOC6">
    <w:name w:val="toc 6"/>
    <w:basedOn w:val="Normal"/>
    <w:next w:val="Normal"/>
    <w:autoRedefine/>
    <w:uiPriority w:val="39"/>
    <w:semiHidden/>
    <w:unhideWhenUsed/>
    <w:rsid w:val="003D6291"/>
    <w:pPr>
      <w:spacing w:after="100"/>
      <w:ind w:left="1100"/>
    </w:pPr>
    <w:rPr>
      <w:rFonts w:ascii="Calibri" w:hAnsi="Calibri"/>
      <w:sz w:val="24"/>
    </w:rPr>
  </w:style>
  <w:style w:type="paragraph" w:styleId="TOC9">
    <w:name w:val="toc 9"/>
    <w:basedOn w:val="Normal"/>
    <w:next w:val="Normal"/>
    <w:autoRedefine/>
    <w:uiPriority w:val="39"/>
    <w:semiHidden/>
    <w:unhideWhenUsed/>
    <w:rsid w:val="003D6291"/>
    <w:pPr>
      <w:spacing w:after="100"/>
      <w:ind w:left="1760"/>
    </w:pPr>
    <w:rPr>
      <w:rFonts w:ascii="Calibri" w:hAnsi="Calibri"/>
      <w:sz w:val="24"/>
    </w:rPr>
  </w:style>
  <w:style w:type="paragraph" w:styleId="TOC8">
    <w:name w:val="toc 8"/>
    <w:basedOn w:val="Normal"/>
    <w:next w:val="Normal"/>
    <w:autoRedefine/>
    <w:uiPriority w:val="39"/>
    <w:semiHidden/>
    <w:unhideWhenUsed/>
    <w:rsid w:val="003D6291"/>
    <w:pPr>
      <w:spacing w:after="100"/>
      <w:ind w:left="1540"/>
    </w:pPr>
    <w:rPr>
      <w:sz w:val="24"/>
    </w:rPr>
  </w:style>
  <w:style w:type="paragraph" w:styleId="TOC7">
    <w:name w:val="toc 7"/>
    <w:basedOn w:val="Normal"/>
    <w:next w:val="Normal"/>
    <w:autoRedefine/>
    <w:uiPriority w:val="39"/>
    <w:semiHidden/>
    <w:unhideWhenUsed/>
    <w:rsid w:val="003D6291"/>
    <w:pPr>
      <w:spacing w:after="100"/>
      <w:ind w:left="132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222500">
      <w:bodyDiv w:val="1"/>
      <w:marLeft w:val="0"/>
      <w:marRight w:val="0"/>
      <w:marTop w:val="0"/>
      <w:marBottom w:val="0"/>
      <w:divBdr>
        <w:top w:val="none" w:sz="0" w:space="0" w:color="auto"/>
        <w:left w:val="none" w:sz="0" w:space="0" w:color="auto"/>
        <w:bottom w:val="none" w:sz="0" w:space="0" w:color="auto"/>
        <w:right w:val="none" w:sz="0" w:space="0" w:color="auto"/>
      </w:divBdr>
    </w:div>
    <w:div w:id="104692897">
      <w:bodyDiv w:val="1"/>
      <w:marLeft w:val="0"/>
      <w:marRight w:val="0"/>
      <w:marTop w:val="0"/>
      <w:marBottom w:val="0"/>
      <w:divBdr>
        <w:top w:val="none" w:sz="0" w:space="0" w:color="auto"/>
        <w:left w:val="none" w:sz="0" w:space="0" w:color="auto"/>
        <w:bottom w:val="none" w:sz="0" w:space="0" w:color="auto"/>
        <w:right w:val="none" w:sz="0" w:space="0" w:color="auto"/>
      </w:divBdr>
    </w:div>
    <w:div w:id="162555767">
      <w:bodyDiv w:val="1"/>
      <w:marLeft w:val="0"/>
      <w:marRight w:val="0"/>
      <w:marTop w:val="0"/>
      <w:marBottom w:val="0"/>
      <w:divBdr>
        <w:top w:val="none" w:sz="0" w:space="0" w:color="auto"/>
        <w:left w:val="none" w:sz="0" w:space="0" w:color="auto"/>
        <w:bottom w:val="none" w:sz="0" w:space="0" w:color="auto"/>
        <w:right w:val="none" w:sz="0" w:space="0" w:color="auto"/>
      </w:divBdr>
    </w:div>
    <w:div w:id="201482271">
      <w:bodyDiv w:val="1"/>
      <w:marLeft w:val="0"/>
      <w:marRight w:val="0"/>
      <w:marTop w:val="0"/>
      <w:marBottom w:val="0"/>
      <w:divBdr>
        <w:top w:val="none" w:sz="0" w:space="0" w:color="auto"/>
        <w:left w:val="none" w:sz="0" w:space="0" w:color="auto"/>
        <w:bottom w:val="none" w:sz="0" w:space="0" w:color="auto"/>
        <w:right w:val="none" w:sz="0" w:space="0" w:color="auto"/>
      </w:divBdr>
    </w:div>
    <w:div w:id="222061980">
      <w:bodyDiv w:val="1"/>
      <w:marLeft w:val="0"/>
      <w:marRight w:val="0"/>
      <w:marTop w:val="0"/>
      <w:marBottom w:val="0"/>
      <w:divBdr>
        <w:top w:val="none" w:sz="0" w:space="0" w:color="auto"/>
        <w:left w:val="none" w:sz="0" w:space="0" w:color="auto"/>
        <w:bottom w:val="none" w:sz="0" w:space="0" w:color="auto"/>
        <w:right w:val="none" w:sz="0" w:space="0" w:color="auto"/>
      </w:divBdr>
      <w:divsChild>
        <w:div w:id="153306425">
          <w:marLeft w:val="0"/>
          <w:marRight w:val="0"/>
          <w:marTop w:val="0"/>
          <w:marBottom w:val="0"/>
          <w:divBdr>
            <w:top w:val="none" w:sz="0" w:space="0" w:color="auto"/>
            <w:left w:val="none" w:sz="0" w:space="0" w:color="auto"/>
            <w:bottom w:val="none" w:sz="0" w:space="0" w:color="auto"/>
            <w:right w:val="none" w:sz="0" w:space="0" w:color="auto"/>
          </w:divBdr>
        </w:div>
        <w:div w:id="765346320">
          <w:marLeft w:val="0"/>
          <w:marRight w:val="0"/>
          <w:marTop w:val="0"/>
          <w:marBottom w:val="0"/>
          <w:divBdr>
            <w:top w:val="none" w:sz="0" w:space="0" w:color="auto"/>
            <w:left w:val="none" w:sz="0" w:space="0" w:color="auto"/>
            <w:bottom w:val="none" w:sz="0" w:space="0" w:color="auto"/>
            <w:right w:val="none" w:sz="0" w:space="0" w:color="auto"/>
          </w:divBdr>
        </w:div>
        <w:div w:id="1025837090">
          <w:marLeft w:val="0"/>
          <w:marRight w:val="0"/>
          <w:marTop w:val="0"/>
          <w:marBottom w:val="0"/>
          <w:divBdr>
            <w:top w:val="none" w:sz="0" w:space="0" w:color="auto"/>
            <w:left w:val="none" w:sz="0" w:space="0" w:color="auto"/>
            <w:bottom w:val="none" w:sz="0" w:space="0" w:color="auto"/>
            <w:right w:val="none" w:sz="0" w:space="0" w:color="auto"/>
          </w:divBdr>
        </w:div>
        <w:div w:id="1964460388">
          <w:marLeft w:val="0"/>
          <w:marRight w:val="0"/>
          <w:marTop w:val="0"/>
          <w:marBottom w:val="0"/>
          <w:divBdr>
            <w:top w:val="none" w:sz="0" w:space="0" w:color="auto"/>
            <w:left w:val="none" w:sz="0" w:space="0" w:color="auto"/>
            <w:bottom w:val="none" w:sz="0" w:space="0" w:color="auto"/>
            <w:right w:val="none" w:sz="0" w:space="0" w:color="auto"/>
          </w:divBdr>
        </w:div>
      </w:divsChild>
    </w:div>
    <w:div w:id="261690244">
      <w:bodyDiv w:val="1"/>
      <w:marLeft w:val="0"/>
      <w:marRight w:val="0"/>
      <w:marTop w:val="0"/>
      <w:marBottom w:val="0"/>
      <w:divBdr>
        <w:top w:val="none" w:sz="0" w:space="0" w:color="auto"/>
        <w:left w:val="none" w:sz="0" w:space="0" w:color="auto"/>
        <w:bottom w:val="none" w:sz="0" w:space="0" w:color="auto"/>
        <w:right w:val="none" w:sz="0" w:space="0" w:color="auto"/>
      </w:divBdr>
    </w:div>
    <w:div w:id="400443150">
      <w:bodyDiv w:val="1"/>
      <w:marLeft w:val="0"/>
      <w:marRight w:val="0"/>
      <w:marTop w:val="0"/>
      <w:marBottom w:val="0"/>
      <w:divBdr>
        <w:top w:val="none" w:sz="0" w:space="0" w:color="auto"/>
        <w:left w:val="none" w:sz="0" w:space="0" w:color="auto"/>
        <w:bottom w:val="none" w:sz="0" w:space="0" w:color="auto"/>
        <w:right w:val="none" w:sz="0" w:space="0" w:color="auto"/>
      </w:divBdr>
    </w:div>
    <w:div w:id="413624686">
      <w:bodyDiv w:val="1"/>
      <w:marLeft w:val="0"/>
      <w:marRight w:val="0"/>
      <w:marTop w:val="0"/>
      <w:marBottom w:val="0"/>
      <w:divBdr>
        <w:top w:val="none" w:sz="0" w:space="0" w:color="auto"/>
        <w:left w:val="none" w:sz="0" w:space="0" w:color="auto"/>
        <w:bottom w:val="none" w:sz="0" w:space="0" w:color="auto"/>
        <w:right w:val="none" w:sz="0" w:space="0" w:color="auto"/>
      </w:divBdr>
    </w:div>
    <w:div w:id="481848524">
      <w:bodyDiv w:val="1"/>
      <w:marLeft w:val="0"/>
      <w:marRight w:val="0"/>
      <w:marTop w:val="0"/>
      <w:marBottom w:val="0"/>
      <w:divBdr>
        <w:top w:val="none" w:sz="0" w:space="0" w:color="auto"/>
        <w:left w:val="none" w:sz="0" w:space="0" w:color="auto"/>
        <w:bottom w:val="none" w:sz="0" w:space="0" w:color="auto"/>
        <w:right w:val="none" w:sz="0" w:space="0" w:color="auto"/>
      </w:divBdr>
    </w:div>
    <w:div w:id="578902300">
      <w:bodyDiv w:val="1"/>
      <w:marLeft w:val="0"/>
      <w:marRight w:val="0"/>
      <w:marTop w:val="0"/>
      <w:marBottom w:val="0"/>
      <w:divBdr>
        <w:top w:val="none" w:sz="0" w:space="0" w:color="auto"/>
        <w:left w:val="none" w:sz="0" w:space="0" w:color="auto"/>
        <w:bottom w:val="none" w:sz="0" w:space="0" w:color="auto"/>
        <w:right w:val="none" w:sz="0" w:space="0" w:color="auto"/>
      </w:divBdr>
    </w:div>
    <w:div w:id="597518236">
      <w:bodyDiv w:val="1"/>
      <w:marLeft w:val="0"/>
      <w:marRight w:val="0"/>
      <w:marTop w:val="0"/>
      <w:marBottom w:val="0"/>
      <w:divBdr>
        <w:top w:val="none" w:sz="0" w:space="0" w:color="auto"/>
        <w:left w:val="none" w:sz="0" w:space="0" w:color="auto"/>
        <w:bottom w:val="none" w:sz="0" w:space="0" w:color="auto"/>
        <w:right w:val="none" w:sz="0" w:space="0" w:color="auto"/>
      </w:divBdr>
    </w:div>
    <w:div w:id="655574017">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799617279">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018123583">
      <w:bodyDiv w:val="1"/>
      <w:marLeft w:val="0"/>
      <w:marRight w:val="0"/>
      <w:marTop w:val="0"/>
      <w:marBottom w:val="0"/>
      <w:divBdr>
        <w:top w:val="none" w:sz="0" w:space="0" w:color="auto"/>
        <w:left w:val="none" w:sz="0" w:space="0" w:color="auto"/>
        <w:bottom w:val="none" w:sz="0" w:space="0" w:color="auto"/>
        <w:right w:val="none" w:sz="0" w:space="0" w:color="auto"/>
      </w:divBdr>
    </w:div>
    <w:div w:id="1095318878">
      <w:bodyDiv w:val="1"/>
      <w:marLeft w:val="0"/>
      <w:marRight w:val="0"/>
      <w:marTop w:val="0"/>
      <w:marBottom w:val="0"/>
      <w:divBdr>
        <w:top w:val="none" w:sz="0" w:space="0" w:color="auto"/>
        <w:left w:val="none" w:sz="0" w:space="0" w:color="auto"/>
        <w:bottom w:val="none" w:sz="0" w:space="0" w:color="auto"/>
        <w:right w:val="none" w:sz="0" w:space="0" w:color="auto"/>
      </w:divBdr>
    </w:div>
    <w:div w:id="1110130525">
      <w:bodyDiv w:val="1"/>
      <w:marLeft w:val="0"/>
      <w:marRight w:val="0"/>
      <w:marTop w:val="0"/>
      <w:marBottom w:val="0"/>
      <w:divBdr>
        <w:top w:val="none" w:sz="0" w:space="0" w:color="auto"/>
        <w:left w:val="none" w:sz="0" w:space="0" w:color="auto"/>
        <w:bottom w:val="none" w:sz="0" w:space="0" w:color="auto"/>
        <w:right w:val="none" w:sz="0" w:space="0" w:color="auto"/>
      </w:divBdr>
    </w:div>
    <w:div w:id="1119566516">
      <w:bodyDiv w:val="1"/>
      <w:marLeft w:val="0"/>
      <w:marRight w:val="0"/>
      <w:marTop w:val="0"/>
      <w:marBottom w:val="0"/>
      <w:divBdr>
        <w:top w:val="none" w:sz="0" w:space="0" w:color="auto"/>
        <w:left w:val="none" w:sz="0" w:space="0" w:color="auto"/>
        <w:bottom w:val="none" w:sz="0" w:space="0" w:color="auto"/>
        <w:right w:val="none" w:sz="0" w:space="0" w:color="auto"/>
      </w:divBdr>
    </w:div>
    <w:div w:id="1166673657">
      <w:bodyDiv w:val="1"/>
      <w:marLeft w:val="0"/>
      <w:marRight w:val="0"/>
      <w:marTop w:val="0"/>
      <w:marBottom w:val="0"/>
      <w:divBdr>
        <w:top w:val="none" w:sz="0" w:space="0" w:color="auto"/>
        <w:left w:val="none" w:sz="0" w:space="0" w:color="auto"/>
        <w:bottom w:val="none" w:sz="0" w:space="0" w:color="auto"/>
        <w:right w:val="none" w:sz="0" w:space="0" w:color="auto"/>
      </w:divBdr>
    </w:div>
    <w:div w:id="1399017888">
      <w:bodyDiv w:val="1"/>
      <w:marLeft w:val="0"/>
      <w:marRight w:val="0"/>
      <w:marTop w:val="0"/>
      <w:marBottom w:val="0"/>
      <w:divBdr>
        <w:top w:val="none" w:sz="0" w:space="0" w:color="auto"/>
        <w:left w:val="none" w:sz="0" w:space="0" w:color="auto"/>
        <w:bottom w:val="none" w:sz="0" w:space="0" w:color="auto"/>
        <w:right w:val="none" w:sz="0" w:space="0" w:color="auto"/>
      </w:divBdr>
      <w:divsChild>
        <w:div w:id="122846402">
          <w:marLeft w:val="0"/>
          <w:marRight w:val="0"/>
          <w:marTop w:val="0"/>
          <w:marBottom w:val="0"/>
          <w:divBdr>
            <w:top w:val="none" w:sz="0" w:space="0" w:color="auto"/>
            <w:left w:val="none" w:sz="0" w:space="0" w:color="auto"/>
            <w:bottom w:val="none" w:sz="0" w:space="0" w:color="auto"/>
            <w:right w:val="none" w:sz="0" w:space="0" w:color="auto"/>
          </w:divBdr>
        </w:div>
        <w:div w:id="133722910">
          <w:marLeft w:val="0"/>
          <w:marRight w:val="0"/>
          <w:marTop w:val="0"/>
          <w:marBottom w:val="0"/>
          <w:divBdr>
            <w:top w:val="none" w:sz="0" w:space="0" w:color="auto"/>
            <w:left w:val="none" w:sz="0" w:space="0" w:color="auto"/>
            <w:bottom w:val="none" w:sz="0" w:space="0" w:color="auto"/>
            <w:right w:val="none" w:sz="0" w:space="0" w:color="auto"/>
          </w:divBdr>
        </w:div>
        <w:div w:id="225535440">
          <w:marLeft w:val="0"/>
          <w:marRight w:val="0"/>
          <w:marTop w:val="0"/>
          <w:marBottom w:val="0"/>
          <w:divBdr>
            <w:top w:val="none" w:sz="0" w:space="0" w:color="auto"/>
            <w:left w:val="none" w:sz="0" w:space="0" w:color="auto"/>
            <w:bottom w:val="none" w:sz="0" w:space="0" w:color="auto"/>
            <w:right w:val="none" w:sz="0" w:space="0" w:color="auto"/>
          </w:divBdr>
        </w:div>
        <w:div w:id="588079835">
          <w:marLeft w:val="0"/>
          <w:marRight w:val="0"/>
          <w:marTop w:val="0"/>
          <w:marBottom w:val="0"/>
          <w:divBdr>
            <w:top w:val="none" w:sz="0" w:space="0" w:color="auto"/>
            <w:left w:val="none" w:sz="0" w:space="0" w:color="auto"/>
            <w:bottom w:val="none" w:sz="0" w:space="0" w:color="auto"/>
            <w:right w:val="none" w:sz="0" w:space="0" w:color="auto"/>
          </w:divBdr>
        </w:div>
        <w:div w:id="1207133989">
          <w:marLeft w:val="0"/>
          <w:marRight w:val="0"/>
          <w:marTop w:val="0"/>
          <w:marBottom w:val="0"/>
          <w:divBdr>
            <w:top w:val="none" w:sz="0" w:space="0" w:color="auto"/>
            <w:left w:val="none" w:sz="0" w:space="0" w:color="auto"/>
            <w:bottom w:val="none" w:sz="0" w:space="0" w:color="auto"/>
            <w:right w:val="none" w:sz="0" w:space="0" w:color="auto"/>
          </w:divBdr>
        </w:div>
        <w:div w:id="1321929080">
          <w:marLeft w:val="0"/>
          <w:marRight w:val="0"/>
          <w:marTop w:val="0"/>
          <w:marBottom w:val="0"/>
          <w:divBdr>
            <w:top w:val="none" w:sz="0" w:space="0" w:color="auto"/>
            <w:left w:val="none" w:sz="0" w:space="0" w:color="auto"/>
            <w:bottom w:val="none" w:sz="0" w:space="0" w:color="auto"/>
            <w:right w:val="none" w:sz="0" w:space="0" w:color="auto"/>
          </w:divBdr>
        </w:div>
        <w:div w:id="1798987146">
          <w:marLeft w:val="0"/>
          <w:marRight w:val="0"/>
          <w:marTop w:val="0"/>
          <w:marBottom w:val="0"/>
          <w:divBdr>
            <w:top w:val="none" w:sz="0" w:space="0" w:color="auto"/>
            <w:left w:val="none" w:sz="0" w:space="0" w:color="auto"/>
            <w:bottom w:val="none" w:sz="0" w:space="0" w:color="auto"/>
            <w:right w:val="none" w:sz="0" w:space="0" w:color="auto"/>
          </w:divBdr>
        </w:div>
      </w:divsChild>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689942817">
      <w:bodyDiv w:val="1"/>
      <w:marLeft w:val="0"/>
      <w:marRight w:val="0"/>
      <w:marTop w:val="0"/>
      <w:marBottom w:val="0"/>
      <w:divBdr>
        <w:top w:val="none" w:sz="0" w:space="0" w:color="auto"/>
        <w:left w:val="none" w:sz="0" w:space="0" w:color="auto"/>
        <w:bottom w:val="none" w:sz="0" w:space="0" w:color="auto"/>
        <w:right w:val="none" w:sz="0" w:space="0" w:color="auto"/>
      </w:divBdr>
    </w:div>
    <w:div w:id="1784690504">
      <w:bodyDiv w:val="1"/>
      <w:marLeft w:val="0"/>
      <w:marRight w:val="0"/>
      <w:marTop w:val="0"/>
      <w:marBottom w:val="0"/>
      <w:divBdr>
        <w:top w:val="none" w:sz="0" w:space="0" w:color="auto"/>
        <w:left w:val="none" w:sz="0" w:space="0" w:color="auto"/>
        <w:bottom w:val="none" w:sz="0" w:space="0" w:color="auto"/>
        <w:right w:val="none" w:sz="0" w:space="0" w:color="auto"/>
      </w:divBdr>
    </w:div>
    <w:div w:id="1873762266">
      <w:bodyDiv w:val="1"/>
      <w:marLeft w:val="0"/>
      <w:marRight w:val="0"/>
      <w:marTop w:val="0"/>
      <w:marBottom w:val="0"/>
      <w:divBdr>
        <w:top w:val="none" w:sz="0" w:space="0" w:color="auto"/>
        <w:left w:val="none" w:sz="0" w:space="0" w:color="auto"/>
        <w:bottom w:val="none" w:sz="0" w:space="0" w:color="auto"/>
        <w:right w:val="none" w:sz="0" w:space="0" w:color="auto"/>
      </w:divBdr>
    </w:div>
    <w:div w:id="1894808756">
      <w:bodyDiv w:val="1"/>
      <w:marLeft w:val="0"/>
      <w:marRight w:val="0"/>
      <w:marTop w:val="0"/>
      <w:marBottom w:val="0"/>
      <w:divBdr>
        <w:top w:val="none" w:sz="0" w:space="0" w:color="auto"/>
        <w:left w:val="none" w:sz="0" w:space="0" w:color="auto"/>
        <w:bottom w:val="none" w:sz="0" w:space="0" w:color="auto"/>
        <w:right w:val="none" w:sz="0" w:space="0" w:color="auto"/>
      </w:divBdr>
    </w:div>
    <w:div w:id="1898276470">
      <w:bodyDiv w:val="1"/>
      <w:marLeft w:val="0"/>
      <w:marRight w:val="0"/>
      <w:marTop w:val="0"/>
      <w:marBottom w:val="0"/>
      <w:divBdr>
        <w:top w:val="none" w:sz="0" w:space="0" w:color="auto"/>
        <w:left w:val="none" w:sz="0" w:space="0" w:color="auto"/>
        <w:bottom w:val="none" w:sz="0" w:space="0" w:color="auto"/>
        <w:right w:val="none" w:sz="0" w:space="0" w:color="auto"/>
      </w:divBdr>
      <w:divsChild>
        <w:div w:id="1115177407">
          <w:marLeft w:val="0"/>
          <w:marRight w:val="0"/>
          <w:marTop w:val="0"/>
          <w:marBottom w:val="0"/>
          <w:divBdr>
            <w:top w:val="none" w:sz="0" w:space="0" w:color="auto"/>
            <w:left w:val="none" w:sz="0" w:space="0" w:color="auto"/>
            <w:bottom w:val="none" w:sz="0" w:space="0" w:color="auto"/>
            <w:right w:val="none" w:sz="0" w:space="0" w:color="auto"/>
          </w:divBdr>
        </w:div>
        <w:div w:id="1494643159">
          <w:marLeft w:val="0"/>
          <w:marRight w:val="0"/>
          <w:marTop w:val="0"/>
          <w:marBottom w:val="0"/>
          <w:divBdr>
            <w:top w:val="none" w:sz="0" w:space="0" w:color="auto"/>
            <w:left w:val="none" w:sz="0" w:space="0" w:color="auto"/>
            <w:bottom w:val="none" w:sz="0" w:space="0" w:color="auto"/>
            <w:right w:val="none" w:sz="0" w:space="0" w:color="auto"/>
          </w:divBdr>
        </w:div>
        <w:div w:id="1786848248">
          <w:marLeft w:val="0"/>
          <w:marRight w:val="0"/>
          <w:marTop w:val="0"/>
          <w:marBottom w:val="0"/>
          <w:divBdr>
            <w:top w:val="none" w:sz="0" w:space="0" w:color="auto"/>
            <w:left w:val="none" w:sz="0" w:space="0" w:color="auto"/>
            <w:bottom w:val="none" w:sz="0" w:space="0" w:color="auto"/>
            <w:right w:val="none" w:sz="0" w:space="0" w:color="auto"/>
          </w:divBdr>
        </w:div>
        <w:div w:id="1981573200">
          <w:marLeft w:val="0"/>
          <w:marRight w:val="0"/>
          <w:marTop w:val="0"/>
          <w:marBottom w:val="0"/>
          <w:divBdr>
            <w:top w:val="none" w:sz="0" w:space="0" w:color="auto"/>
            <w:left w:val="none" w:sz="0" w:space="0" w:color="auto"/>
            <w:bottom w:val="none" w:sz="0" w:space="0" w:color="auto"/>
            <w:right w:val="none" w:sz="0" w:space="0" w:color="auto"/>
          </w:divBdr>
        </w:div>
        <w:div w:id="2016371744">
          <w:marLeft w:val="0"/>
          <w:marRight w:val="0"/>
          <w:marTop w:val="0"/>
          <w:marBottom w:val="0"/>
          <w:divBdr>
            <w:top w:val="none" w:sz="0" w:space="0" w:color="auto"/>
            <w:left w:val="none" w:sz="0" w:space="0" w:color="auto"/>
            <w:bottom w:val="none" w:sz="0" w:space="0" w:color="auto"/>
            <w:right w:val="none" w:sz="0" w:space="0" w:color="auto"/>
          </w:divBdr>
        </w:div>
      </w:divsChild>
    </w:div>
    <w:div w:id="1922906173">
      <w:bodyDiv w:val="1"/>
      <w:marLeft w:val="0"/>
      <w:marRight w:val="0"/>
      <w:marTop w:val="0"/>
      <w:marBottom w:val="0"/>
      <w:divBdr>
        <w:top w:val="none" w:sz="0" w:space="0" w:color="auto"/>
        <w:left w:val="none" w:sz="0" w:space="0" w:color="auto"/>
        <w:bottom w:val="none" w:sz="0" w:space="0" w:color="auto"/>
        <w:right w:val="none" w:sz="0" w:space="0" w:color="auto"/>
      </w:divBdr>
      <w:divsChild>
        <w:div w:id="8261105">
          <w:marLeft w:val="0"/>
          <w:marRight w:val="0"/>
          <w:marTop w:val="0"/>
          <w:marBottom w:val="0"/>
          <w:divBdr>
            <w:top w:val="none" w:sz="0" w:space="0" w:color="auto"/>
            <w:left w:val="none" w:sz="0" w:space="0" w:color="auto"/>
            <w:bottom w:val="none" w:sz="0" w:space="0" w:color="auto"/>
            <w:right w:val="none" w:sz="0" w:space="0" w:color="auto"/>
          </w:divBdr>
        </w:div>
        <w:div w:id="155653424">
          <w:marLeft w:val="0"/>
          <w:marRight w:val="0"/>
          <w:marTop w:val="0"/>
          <w:marBottom w:val="0"/>
          <w:divBdr>
            <w:top w:val="none" w:sz="0" w:space="0" w:color="auto"/>
            <w:left w:val="none" w:sz="0" w:space="0" w:color="auto"/>
            <w:bottom w:val="none" w:sz="0" w:space="0" w:color="auto"/>
            <w:right w:val="none" w:sz="0" w:space="0" w:color="auto"/>
          </w:divBdr>
        </w:div>
        <w:div w:id="171844051">
          <w:marLeft w:val="0"/>
          <w:marRight w:val="0"/>
          <w:marTop w:val="0"/>
          <w:marBottom w:val="0"/>
          <w:divBdr>
            <w:top w:val="none" w:sz="0" w:space="0" w:color="auto"/>
            <w:left w:val="none" w:sz="0" w:space="0" w:color="auto"/>
            <w:bottom w:val="none" w:sz="0" w:space="0" w:color="auto"/>
            <w:right w:val="none" w:sz="0" w:space="0" w:color="auto"/>
          </w:divBdr>
        </w:div>
        <w:div w:id="195582806">
          <w:marLeft w:val="0"/>
          <w:marRight w:val="0"/>
          <w:marTop w:val="0"/>
          <w:marBottom w:val="0"/>
          <w:divBdr>
            <w:top w:val="none" w:sz="0" w:space="0" w:color="auto"/>
            <w:left w:val="none" w:sz="0" w:space="0" w:color="auto"/>
            <w:bottom w:val="none" w:sz="0" w:space="0" w:color="auto"/>
            <w:right w:val="none" w:sz="0" w:space="0" w:color="auto"/>
          </w:divBdr>
        </w:div>
        <w:div w:id="383221143">
          <w:marLeft w:val="0"/>
          <w:marRight w:val="0"/>
          <w:marTop w:val="0"/>
          <w:marBottom w:val="0"/>
          <w:divBdr>
            <w:top w:val="none" w:sz="0" w:space="0" w:color="auto"/>
            <w:left w:val="none" w:sz="0" w:space="0" w:color="auto"/>
            <w:bottom w:val="none" w:sz="0" w:space="0" w:color="auto"/>
            <w:right w:val="none" w:sz="0" w:space="0" w:color="auto"/>
          </w:divBdr>
        </w:div>
        <w:div w:id="463547088">
          <w:marLeft w:val="0"/>
          <w:marRight w:val="0"/>
          <w:marTop w:val="0"/>
          <w:marBottom w:val="0"/>
          <w:divBdr>
            <w:top w:val="none" w:sz="0" w:space="0" w:color="auto"/>
            <w:left w:val="none" w:sz="0" w:space="0" w:color="auto"/>
            <w:bottom w:val="none" w:sz="0" w:space="0" w:color="auto"/>
            <w:right w:val="none" w:sz="0" w:space="0" w:color="auto"/>
          </w:divBdr>
        </w:div>
        <w:div w:id="491263191">
          <w:marLeft w:val="0"/>
          <w:marRight w:val="0"/>
          <w:marTop w:val="0"/>
          <w:marBottom w:val="0"/>
          <w:divBdr>
            <w:top w:val="none" w:sz="0" w:space="0" w:color="auto"/>
            <w:left w:val="none" w:sz="0" w:space="0" w:color="auto"/>
            <w:bottom w:val="none" w:sz="0" w:space="0" w:color="auto"/>
            <w:right w:val="none" w:sz="0" w:space="0" w:color="auto"/>
          </w:divBdr>
        </w:div>
        <w:div w:id="509418214">
          <w:marLeft w:val="0"/>
          <w:marRight w:val="0"/>
          <w:marTop w:val="0"/>
          <w:marBottom w:val="0"/>
          <w:divBdr>
            <w:top w:val="none" w:sz="0" w:space="0" w:color="auto"/>
            <w:left w:val="none" w:sz="0" w:space="0" w:color="auto"/>
            <w:bottom w:val="none" w:sz="0" w:space="0" w:color="auto"/>
            <w:right w:val="none" w:sz="0" w:space="0" w:color="auto"/>
          </w:divBdr>
        </w:div>
        <w:div w:id="520051885">
          <w:marLeft w:val="0"/>
          <w:marRight w:val="0"/>
          <w:marTop w:val="0"/>
          <w:marBottom w:val="0"/>
          <w:divBdr>
            <w:top w:val="none" w:sz="0" w:space="0" w:color="auto"/>
            <w:left w:val="none" w:sz="0" w:space="0" w:color="auto"/>
            <w:bottom w:val="none" w:sz="0" w:space="0" w:color="auto"/>
            <w:right w:val="none" w:sz="0" w:space="0" w:color="auto"/>
          </w:divBdr>
        </w:div>
        <w:div w:id="644549798">
          <w:marLeft w:val="0"/>
          <w:marRight w:val="0"/>
          <w:marTop w:val="0"/>
          <w:marBottom w:val="0"/>
          <w:divBdr>
            <w:top w:val="none" w:sz="0" w:space="0" w:color="auto"/>
            <w:left w:val="none" w:sz="0" w:space="0" w:color="auto"/>
            <w:bottom w:val="none" w:sz="0" w:space="0" w:color="auto"/>
            <w:right w:val="none" w:sz="0" w:space="0" w:color="auto"/>
          </w:divBdr>
        </w:div>
        <w:div w:id="728186011">
          <w:marLeft w:val="0"/>
          <w:marRight w:val="0"/>
          <w:marTop w:val="0"/>
          <w:marBottom w:val="0"/>
          <w:divBdr>
            <w:top w:val="none" w:sz="0" w:space="0" w:color="auto"/>
            <w:left w:val="none" w:sz="0" w:space="0" w:color="auto"/>
            <w:bottom w:val="none" w:sz="0" w:space="0" w:color="auto"/>
            <w:right w:val="none" w:sz="0" w:space="0" w:color="auto"/>
          </w:divBdr>
        </w:div>
        <w:div w:id="737436040">
          <w:marLeft w:val="0"/>
          <w:marRight w:val="0"/>
          <w:marTop w:val="0"/>
          <w:marBottom w:val="0"/>
          <w:divBdr>
            <w:top w:val="none" w:sz="0" w:space="0" w:color="auto"/>
            <w:left w:val="none" w:sz="0" w:space="0" w:color="auto"/>
            <w:bottom w:val="none" w:sz="0" w:space="0" w:color="auto"/>
            <w:right w:val="none" w:sz="0" w:space="0" w:color="auto"/>
          </w:divBdr>
        </w:div>
        <w:div w:id="920941726">
          <w:marLeft w:val="0"/>
          <w:marRight w:val="0"/>
          <w:marTop w:val="0"/>
          <w:marBottom w:val="0"/>
          <w:divBdr>
            <w:top w:val="none" w:sz="0" w:space="0" w:color="auto"/>
            <w:left w:val="none" w:sz="0" w:space="0" w:color="auto"/>
            <w:bottom w:val="none" w:sz="0" w:space="0" w:color="auto"/>
            <w:right w:val="none" w:sz="0" w:space="0" w:color="auto"/>
          </w:divBdr>
        </w:div>
        <w:div w:id="1228371472">
          <w:marLeft w:val="0"/>
          <w:marRight w:val="0"/>
          <w:marTop w:val="0"/>
          <w:marBottom w:val="0"/>
          <w:divBdr>
            <w:top w:val="none" w:sz="0" w:space="0" w:color="auto"/>
            <w:left w:val="none" w:sz="0" w:space="0" w:color="auto"/>
            <w:bottom w:val="none" w:sz="0" w:space="0" w:color="auto"/>
            <w:right w:val="none" w:sz="0" w:space="0" w:color="auto"/>
          </w:divBdr>
        </w:div>
        <w:div w:id="1341619616">
          <w:marLeft w:val="0"/>
          <w:marRight w:val="0"/>
          <w:marTop w:val="0"/>
          <w:marBottom w:val="0"/>
          <w:divBdr>
            <w:top w:val="none" w:sz="0" w:space="0" w:color="auto"/>
            <w:left w:val="none" w:sz="0" w:space="0" w:color="auto"/>
            <w:bottom w:val="none" w:sz="0" w:space="0" w:color="auto"/>
            <w:right w:val="none" w:sz="0" w:space="0" w:color="auto"/>
          </w:divBdr>
        </w:div>
        <w:div w:id="1422793067">
          <w:marLeft w:val="0"/>
          <w:marRight w:val="0"/>
          <w:marTop w:val="0"/>
          <w:marBottom w:val="0"/>
          <w:divBdr>
            <w:top w:val="none" w:sz="0" w:space="0" w:color="auto"/>
            <w:left w:val="none" w:sz="0" w:space="0" w:color="auto"/>
            <w:bottom w:val="none" w:sz="0" w:space="0" w:color="auto"/>
            <w:right w:val="none" w:sz="0" w:space="0" w:color="auto"/>
          </w:divBdr>
        </w:div>
        <w:div w:id="1511141918">
          <w:marLeft w:val="0"/>
          <w:marRight w:val="0"/>
          <w:marTop w:val="0"/>
          <w:marBottom w:val="0"/>
          <w:divBdr>
            <w:top w:val="none" w:sz="0" w:space="0" w:color="auto"/>
            <w:left w:val="none" w:sz="0" w:space="0" w:color="auto"/>
            <w:bottom w:val="none" w:sz="0" w:space="0" w:color="auto"/>
            <w:right w:val="none" w:sz="0" w:space="0" w:color="auto"/>
          </w:divBdr>
        </w:div>
        <w:div w:id="1591235850">
          <w:marLeft w:val="0"/>
          <w:marRight w:val="0"/>
          <w:marTop w:val="0"/>
          <w:marBottom w:val="0"/>
          <w:divBdr>
            <w:top w:val="none" w:sz="0" w:space="0" w:color="auto"/>
            <w:left w:val="none" w:sz="0" w:space="0" w:color="auto"/>
            <w:bottom w:val="none" w:sz="0" w:space="0" w:color="auto"/>
            <w:right w:val="none" w:sz="0" w:space="0" w:color="auto"/>
          </w:divBdr>
        </w:div>
        <w:div w:id="1909994774">
          <w:marLeft w:val="0"/>
          <w:marRight w:val="0"/>
          <w:marTop w:val="0"/>
          <w:marBottom w:val="0"/>
          <w:divBdr>
            <w:top w:val="none" w:sz="0" w:space="0" w:color="auto"/>
            <w:left w:val="none" w:sz="0" w:space="0" w:color="auto"/>
            <w:bottom w:val="none" w:sz="0" w:space="0" w:color="auto"/>
            <w:right w:val="none" w:sz="0" w:space="0" w:color="auto"/>
          </w:divBdr>
        </w:div>
        <w:div w:id="1947351726">
          <w:marLeft w:val="0"/>
          <w:marRight w:val="0"/>
          <w:marTop w:val="0"/>
          <w:marBottom w:val="0"/>
          <w:divBdr>
            <w:top w:val="none" w:sz="0" w:space="0" w:color="auto"/>
            <w:left w:val="none" w:sz="0" w:space="0" w:color="auto"/>
            <w:bottom w:val="none" w:sz="0" w:space="0" w:color="auto"/>
            <w:right w:val="none" w:sz="0" w:space="0" w:color="auto"/>
          </w:divBdr>
        </w:div>
      </w:divsChild>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2000037180">
      <w:bodyDiv w:val="1"/>
      <w:marLeft w:val="0"/>
      <w:marRight w:val="0"/>
      <w:marTop w:val="0"/>
      <w:marBottom w:val="0"/>
      <w:divBdr>
        <w:top w:val="none" w:sz="0" w:space="0" w:color="auto"/>
        <w:left w:val="none" w:sz="0" w:space="0" w:color="auto"/>
        <w:bottom w:val="none" w:sz="0" w:space="0" w:color="auto"/>
        <w:right w:val="none" w:sz="0" w:space="0" w:color="auto"/>
      </w:divBdr>
    </w:div>
    <w:div w:id="2029257502">
      <w:bodyDiv w:val="1"/>
      <w:marLeft w:val="0"/>
      <w:marRight w:val="0"/>
      <w:marTop w:val="0"/>
      <w:marBottom w:val="0"/>
      <w:divBdr>
        <w:top w:val="none" w:sz="0" w:space="0" w:color="auto"/>
        <w:left w:val="none" w:sz="0" w:space="0" w:color="auto"/>
        <w:bottom w:val="none" w:sz="0" w:space="0" w:color="auto"/>
        <w:right w:val="none" w:sz="0" w:space="0" w:color="auto"/>
      </w:divBdr>
      <w:divsChild>
        <w:div w:id="554509024">
          <w:marLeft w:val="0"/>
          <w:marRight w:val="0"/>
          <w:marTop w:val="0"/>
          <w:marBottom w:val="0"/>
          <w:divBdr>
            <w:top w:val="none" w:sz="0" w:space="0" w:color="auto"/>
            <w:left w:val="none" w:sz="0" w:space="0" w:color="auto"/>
            <w:bottom w:val="none" w:sz="0" w:space="0" w:color="auto"/>
            <w:right w:val="none" w:sz="0" w:space="0" w:color="auto"/>
          </w:divBdr>
        </w:div>
        <w:div w:id="1179466219">
          <w:marLeft w:val="0"/>
          <w:marRight w:val="0"/>
          <w:marTop w:val="0"/>
          <w:marBottom w:val="0"/>
          <w:divBdr>
            <w:top w:val="none" w:sz="0" w:space="0" w:color="auto"/>
            <w:left w:val="none" w:sz="0" w:space="0" w:color="auto"/>
            <w:bottom w:val="none" w:sz="0" w:space="0" w:color="auto"/>
            <w:right w:val="none" w:sz="0" w:space="0" w:color="auto"/>
          </w:divBdr>
        </w:div>
        <w:div w:id="1676228623">
          <w:marLeft w:val="0"/>
          <w:marRight w:val="0"/>
          <w:marTop w:val="0"/>
          <w:marBottom w:val="0"/>
          <w:divBdr>
            <w:top w:val="none" w:sz="0" w:space="0" w:color="auto"/>
            <w:left w:val="none" w:sz="0" w:space="0" w:color="auto"/>
            <w:bottom w:val="none" w:sz="0" w:space="0" w:color="auto"/>
            <w:right w:val="none" w:sz="0" w:space="0" w:color="auto"/>
          </w:divBdr>
        </w:div>
        <w:div w:id="1990590520">
          <w:marLeft w:val="0"/>
          <w:marRight w:val="0"/>
          <w:marTop w:val="0"/>
          <w:marBottom w:val="0"/>
          <w:divBdr>
            <w:top w:val="none" w:sz="0" w:space="0" w:color="auto"/>
            <w:left w:val="none" w:sz="0" w:space="0" w:color="auto"/>
            <w:bottom w:val="none" w:sz="0" w:space="0" w:color="auto"/>
            <w:right w:val="none" w:sz="0" w:space="0" w:color="auto"/>
          </w:divBdr>
        </w:div>
        <w:div w:id="2126267569">
          <w:marLeft w:val="0"/>
          <w:marRight w:val="0"/>
          <w:marTop w:val="0"/>
          <w:marBottom w:val="0"/>
          <w:divBdr>
            <w:top w:val="none" w:sz="0" w:space="0" w:color="auto"/>
            <w:left w:val="none" w:sz="0" w:space="0" w:color="auto"/>
            <w:bottom w:val="none" w:sz="0" w:space="0" w:color="auto"/>
            <w:right w:val="none" w:sz="0" w:space="0" w:color="auto"/>
          </w:divBdr>
        </w:div>
      </w:divsChild>
    </w:div>
    <w:div w:id="2107799927">
      <w:bodyDiv w:val="1"/>
      <w:marLeft w:val="0"/>
      <w:marRight w:val="0"/>
      <w:marTop w:val="0"/>
      <w:marBottom w:val="0"/>
      <w:divBdr>
        <w:top w:val="none" w:sz="0" w:space="0" w:color="auto"/>
        <w:left w:val="none" w:sz="0" w:space="0" w:color="auto"/>
        <w:bottom w:val="none" w:sz="0" w:space="0" w:color="auto"/>
        <w:right w:val="none" w:sz="0" w:space="0" w:color="auto"/>
      </w:divBdr>
      <w:divsChild>
        <w:div w:id="18512955">
          <w:marLeft w:val="0"/>
          <w:marRight w:val="0"/>
          <w:marTop w:val="0"/>
          <w:marBottom w:val="0"/>
          <w:divBdr>
            <w:top w:val="none" w:sz="0" w:space="0" w:color="auto"/>
            <w:left w:val="none" w:sz="0" w:space="0" w:color="auto"/>
            <w:bottom w:val="none" w:sz="0" w:space="0" w:color="auto"/>
            <w:right w:val="none" w:sz="0" w:space="0" w:color="auto"/>
          </w:divBdr>
        </w:div>
        <w:div w:id="185869939">
          <w:marLeft w:val="0"/>
          <w:marRight w:val="0"/>
          <w:marTop w:val="0"/>
          <w:marBottom w:val="0"/>
          <w:divBdr>
            <w:top w:val="none" w:sz="0" w:space="0" w:color="auto"/>
            <w:left w:val="none" w:sz="0" w:space="0" w:color="auto"/>
            <w:bottom w:val="none" w:sz="0" w:space="0" w:color="auto"/>
            <w:right w:val="none" w:sz="0" w:space="0" w:color="auto"/>
          </w:divBdr>
        </w:div>
        <w:div w:id="228002263">
          <w:marLeft w:val="0"/>
          <w:marRight w:val="0"/>
          <w:marTop w:val="0"/>
          <w:marBottom w:val="0"/>
          <w:divBdr>
            <w:top w:val="none" w:sz="0" w:space="0" w:color="auto"/>
            <w:left w:val="none" w:sz="0" w:space="0" w:color="auto"/>
            <w:bottom w:val="none" w:sz="0" w:space="0" w:color="auto"/>
            <w:right w:val="none" w:sz="0" w:space="0" w:color="auto"/>
          </w:divBdr>
        </w:div>
        <w:div w:id="265844995">
          <w:marLeft w:val="0"/>
          <w:marRight w:val="0"/>
          <w:marTop w:val="0"/>
          <w:marBottom w:val="0"/>
          <w:divBdr>
            <w:top w:val="none" w:sz="0" w:space="0" w:color="auto"/>
            <w:left w:val="none" w:sz="0" w:space="0" w:color="auto"/>
            <w:bottom w:val="none" w:sz="0" w:space="0" w:color="auto"/>
            <w:right w:val="none" w:sz="0" w:space="0" w:color="auto"/>
          </w:divBdr>
        </w:div>
        <w:div w:id="272636106">
          <w:marLeft w:val="0"/>
          <w:marRight w:val="0"/>
          <w:marTop w:val="0"/>
          <w:marBottom w:val="0"/>
          <w:divBdr>
            <w:top w:val="none" w:sz="0" w:space="0" w:color="auto"/>
            <w:left w:val="none" w:sz="0" w:space="0" w:color="auto"/>
            <w:bottom w:val="none" w:sz="0" w:space="0" w:color="auto"/>
            <w:right w:val="none" w:sz="0" w:space="0" w:color="auto"/>
          </w:divBdr>
        </w:div>
        <w:div w:id="389234706">
          <w:marLeft w:val="0"/>
          <w:marRight w:val="0"/>
          <w:marTop w:val="0"/>
          <w:marBottom w:val="0"/>
          <w:divBdr>
            <w:top w:val="none" w:sz="0" w:space="0" w:color="auto"/>
            <w:left w:val="none" w:sz="0" w:space="0" w:color="auto"/>
            <w:bottom w:val="none" w:sz="0" w:space="0" w:color="auto"/>
            <w:right w:val="none" w:sz="0" w:space="0" w:color="auto"/>
          </w:divBdr>
        </w:div>
        <w:div w:id="413667214">
          <w:marLeft w:val="0"/>
          <w:marRight w:val="0"/>
          <w:marTop w:val="0"/>
          <w:marBottom w:val="0"/>
          <w:divBdr>
            <w:top w:val="none" w:sz="0" w:space="0" w:color="auto"/>
            <w:left w:val="none" w:sz="0" w:space="0" w:color="auto"/>
            <w:bottom w:val="none" w:sz="0" w:space="0" w:color="auto"/>
            <w:right w:val="none" w:sz="0" w:space="0" w:color="auto"/>
          </w:divBdr>
        </w:div>
        <w:div w:id="429013210">
          <w:marLeft w:val="0"/>
          <w:marRight w:val="0"/>
          <w:marTop w:val="0"/>
          <w:marBottom w:val="0"/>
          <w:divBdr>
            <w:top w:val="none" w:sz="0" w:space="0" w:color="auto"/>
            <w:left w:val="none" w:sz="0" w:space="0" w:color="auto"/>
            <w:bottom w:val="none" w:sz="0" w:space="0" w:color="auto"/>
            <w:right w:val="none" w:sz="0" w:space="0" w:color="auto"/>
          </w:divBdr>
        </w:div>
        <w:div w:id="484125306">
          <w:marLeft w:val="0"/>
          <w:marRight w:val="0"/>
          <w:marTop w:val="0"/>
          <w:marBottom w:val="0"/>
          <w:divBdr>
            <w:top w:val="none" w:sz="0" w:space="0" w:color="auto"/>
            <w:left w:val="none" w:sz="0" w:space="0" w:color="auto"/>
            <w:bottom w:val="none" w:sz="0" w:space="0" w:color="auto"/>
            <w:right w:val="none" w:sz="0" w:space="0" w:color="auto"/>
          </w:divBdr>
        </w:div>
        <w:div w:id="636692197">
          <w:marLeft w:val="0"/>
          <w:marRight w:val="0"/>
          <w:marTop w:val="0"/>
          <w:marBottom w:val="0"/>
          <w:divBdr>
            <w:top w:val="none" w:sz="0" w:space="0" w:color="auto"/>
            <w:left w:val="none" w:sz="0" w:space="0" w:color="auto"/>
            <w:bottom w:val="none" w:sz="0" w:space="0" w:color="auto"/>
            <w:right w:val="none" w:sz="0" w:space="0" w:color="auto"/>
          </w:divBdr>
        </w:div>
        <w:div w:id="680426497">
          <w:marLeft w:val="0"/>
          <w:marRight w:val="0"/>
          <w:marTop w:val="0"/>
          <w:marBottom w:val="0"/>
          <w:divBdr>
            <w:top w:val="none" w:sz="0" w:space="0" w:color="auto"/>
            <w:left w:val="none" w:sz="0" w:space="0" w:color="auto"/>
            <w:bottom w:val="none" w:sz="0" w:space="0" w:color="auto"/>
            <w:right w:val="none" w:sz="0" w:space="0" w:color="auto"/>
          </w:divBdr>
        </w:div>
        <w:div w:id="813565476">
          <w:marLeft w:val="0"/>
          <w:marRight w:val="0"/>
          <w:marTop w:val="0"/>
          <w:marBottom w:val="0"/>
          <w:divBdr>
            <w:top w:val="none" w:sz="0" w:space="0" w:color="auto"/>
            <w:left w:val="none" w:sz="0" w:space="0" w:color="auto"/>
            <w:bottom w:val="none" w:sz="0" w:space="0" w:color="auto"/>
            <w:right w:val="none" w:sz="0" w:space="0" w:color="auto"/>
          </w:divBdr>
        </w:div>
        <w:div w:id="1010717111">
          <w:marLeft w:val="0"/>
          <w:marRight w:val="0"/>
          <w:marTop w:val="0"/>
          <w:marBottom w:val="0"/>
          <w:divBdr>
            <w:top w:val="none" w:sz="0" w:space="0" w:color="auto"/>
            <w:left w:val="none" w:sz="0" w:space="0" w:color="auto"/>
            <w:bottom w:val="none" w:sz="0" w:space="0" w:color="auto"/>
            <w:right w:val="none" w:sz="0" w:space="0" w:color="auto"/>
          </w:divBdr>
        </w:div>
        <w:div w:id="1100761079">
          <w:marLeft w:val="0"/>
          <w:marRight w:val="0"/>
          <w:marTop w:val="0"/>
          <w:marBottom w:val="0"/>
          <w:divBdr>
            <w:top w:val="none" w:sz="0" w:space="0" w:color="auto"/>
            <w:left w:val="none" w:sz="0" w:space="0" w:color="auto"/>
            <w:bottom w:val="none" w:sz="0" w:space="0" w:color="auto"/>
            <w:right w:val="none" w:sz="0" w:space="0" w:color="auto"/>
          </w:divBdr>
        </w:div>
        <w:div w:id="1381006998">
          <w:marLeft w:val="0"/>
          <w:marRight w:val="0"/>
          <w:marTop w:val="0"/>
          <w:marBottom w:val="0"/>
          <w:divBdr>
            <w:top w:val="none" w:sz="0" w:space="0" w:color="auto"/>
            <w:left w:val="none" w:sz="0" w:space="0" w:color="auto"/>
            <w:bottom w:val="none" w:sz="0" w:space="0" w:color="auto"/>
            <w:right w:val="none" w:sz="0" w:space="0" w:color="auto"/>
          </w:divBdr>
        </w:div>
        <w:div w:id="1421633880">
          <w:marLeft w:val="0"/>
          <w:marRight w:val="0"/>
          <w:marTop w:val="0"/>
          <w:marBottom w:val="0"/>
          <w:divBdr>
            <w:top w:val="none" w:sz="0" w:space="0" w:color="auto"/>
            <w:left w:val="none" w:sz="0" w:space="0" w:color="auto"/>
            <w:bottom w:val="none" w:sz="0" w:space="0" w:color="auto"/>
            <w:right w:val="none" w:sz="0" w:space="0" w:color="auto"/>
          </w:divBdr>
        </w:div>
        <w:div w:id="1654215470">
          <w:marLeft w:val="0"/>
          <w:marRight w:val="0"/>
          <w:marTop w:val="0"/>
          <w:marBottom w:val="0"/>
          <w:divBdr>
            <w:top w:val="none" w:sz="0" w:space="0" w:color="auto"/>
            <w:left w:val="none" w:sz="0" w:space="0" w:color="auto"/>
            <w:bottom w:val="none" w:sz="0" w:space="0" w:color="auto"/>
            <w:right w:val="none" w:sz="0" w:space="0" w:color="auto"/>
          </w:divBdr>
        </w:div>
        <w:div w:id="1861698180">
          <w:marLeft w:val="0"/>
          <w:marRight w:val="0"/>
          <w:marTop w:val="0"/>
          <w:marBottom w:val="0"/>
          <w:divBdr>
            <w:top w:val="none" w:sz="0" w:space="0" w:color="auto"/>
            <w:left w:val="none" w:sz="0" w:space="0" w:color="auto"/>
            <w:bottom w:val="none" w:sz="0" w:space="0" w:color="auto"/>
            <w:right w:val="none" w:sz="0" w:space="0" w:color="auto"/>
          </w:divBdr>
        </w:div>
        <w:div w:id="1927498561">
          <w:marLeft w:val="0"/>
          <w:marRight w:val="0"/>
          <w:marTop w:val="0"/>
          <w:marBottom w:val="0"/>
          <w:divBdr>
            <w:top w:val="none" w:sz="0" w:space="0" w:color="auto"/>
            <w:left w:val="none" w:sz="0" w:space="0" w:color="auto"/>
            <w:bottom w:val="none" w:sz="0" w:space="0" w:color="auto"/>
            <w:right w:val="none" w:sz="0" w:space="0" w:color="auto"/>
          </w:divBdr>
        </w:div>
        <w:div w:id="2095935139">
          <w:marLeft w:val="0"/>
          <w:marRight w:val="0"/>
          <w:marTop w:val="0"/>
          <w:marBottom w:val="0"/>
          <w:divBdr>
            <w:top w:val="none" w:sz="0" w:space="0" w:color="auto"/>
            <w:left w:val="none" w:sz="0" w:space="0" w:color="auto"/>
            <w:bottom w:val="none" w:sz="0" w:space="0" w:color="auto"/>
            <w:right w:val="none" w:sz="0" w:space="0" w:color="auto"/>
          </w:divBdr>
        </w:div>
      </w:divsChild>
    </w:div>
    <w:div w:id="2111270936">
      <w:bodyDiv w:val="1"/>
      <w:marLeft w:val="0"/>
      <w:marRight w:val="0"/>
      <w:marTop w:val="0"/>
      <w:marBottom w:val="0"/>
      <w:divBdr>
        <w:top w:val="none" w:sz="0" w:space="0" w:color="auto"/>
        <w:left w:val="none" w:sz="0" w:space="0" w:color="auto"/>
        <w:bottom w:val="none" w:sz="0" w:space="0" w:color="auto"/>
        <w:right w:val="none" w:sz="0" w:space="0" w:color="auto"/>
      </w:divBdr>
    </w:div>
    <w:div w:id="2135369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image" Target="media/image30.png"/></Relationships>
</file>

<file path=word/_rels/footnotes.xml.rels><?xml version="1.0" encoding="UTF-8" standalone="yes"?>
<Relationships xmlns="http://schemas.openxmlformats.org/package/2006/relationships"><Relationship Id="rId1" Type="http://schemas.openxmlformats.org/officeDocument/2006/relationships/hyperlink" Target="https://www.labri.fr/perso/bpinaud/userfiles/downloads/hartigan_1979_kmeans.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UserInfo>
        <DisplayName>Iva Filipović</DisplayName>
        <AccountId>103</AccountId>
        <AccountType/>
      </UserInfo>
      <UserInfo>
        <DisplayName>Marko Čavlović</DisplayName>
        <AccountId>111</AccountId>
        <AccountType/>
      </UserInfo>
      <UserInfo>
        <DisplayName>Ivan Gilja</DisplayName>
        <AccountId>114</AccountId>
        <AccountType/>
      </UserInfo>
      <UserInfo>
        <DisplayName>Snježana Hrgović</DisplayName>
        <AccountId>116</AccountId>
        <AccountType/>
      </UserInfo>
      <UserInfo>
        <DisplayName>Jelena Barać</DisplayName>
        <AccountId>110</AccountId>
        <AccountType/>
      </UserInfo>
      <UserInfo>
        <DisplayName>Lovre Dodig</DisplayName>
        <AccountId>236</AccountId>
        <AccountType/>
      </UserInfo>
      <UserInfo>
        <DisplayName>Nenad Belošević</DisplayName>
        <AccountId>244</AccountId>
        <AccountType/>
      </UserInfo>
      <UserInfo>
        <DisplayName>Stjepan Vodolšak</DisplayName>
        <AccountId>168</AccountId>
        <AccountType/>
      </UserInfo>
      <UserInfo>
        <DisplayName>Vladimir Žuti</DisplayName>
        <AccountId>106</AccountId>
        <AccountType/>
      </UserInfo>
      <UserInfo>
        <DisplayName>Kristina Ćosić</DisplayName>
        <AccountId>201</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13C13A-628F-476A-B313-95E6A4FEF4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CCFDC3-B9AB-4F7B-84B5-8D56C1BA42CE}">
  <ds:schemaRefs>
    <ds:schemaRef ds:uri="http://schemas.microsoft.com/sharepoint/v3/contenttype/forms"/>
  </ds:schemaRefs>
</ds:datastoreItem>
</file>

<file path=customXml/itemProps3.xml><?xml version="1.0" encoding="utf-8"?>
<ds:datastoreItem xmlns:ds="http://schemas.openxmlformats.org/officeDocument/2006/customXml" ds:itemID="{BF8F2283-F391-40E7-808F-76D281C598DB}">
  <ds:schemaRefs>
    <ds:schemaRef ds:uri="http://schemas.microsoft.com/office/2006/metadata/properties"/>
    <ds:schemaRef ds:uri="http://schemas.microsoft.com/office/infopath/2007/PartnerControls"/>
    <ds:schemaRef ds:uri="f45d8b5b-b624-41fb-afb8-da03212d0f19"/>
  </ds:schemaRefs>
</ds:datastoreItem>
</file>

<file path=customXml/itemProps4.xml><?xml version="1.0" encoding="utf-8"?>
<ds:datastoreItem xmlns:ds="http://schemas.openxmlformats.org/officeDocument/2006/customXml" ds:itemID="{A0D7F880-9F1D-403D-B525-52BE1C086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24951</Words>
  <Characters>142224</Characters>
  <Application>Microsoft Office Word</Application>
  <DocSecurity>0</DocSecurity>
  <Lines>1185</Lines>
  <Paragraphs>333</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166842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HAKOM</dc:creator>
  <cp:keywords/>
  <dc:description/>
  <cp:lastModifiedBy>HAKOM</cp:lastModifiedBy>
  <cp:revision>6</cp:revision>
  <cp:lastPrinted>2020-10-19T07:19:00Z</cp:lastPrinted>
  <dcterms:created xsi:type="dcterms:W3CDTF">2020-10-22T11:46:00Z</dcterms:created>
  <dcterms:modified xsi:type="dcterms:W3CDTF">2020-10-22T12:08:00Z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