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7B97" w:rsidRDefault="00C27B97" w:rsidP="00C27B97">
      <w:pPr>
        <w:jc w:val="center"/>
        <w:rPr>
          <w:b/>
          <w:sz w:val="28"/>
          <w:szCs w:val="28"/>
        </w:rPr>
      </w:pPr>
      <w:bookmarkStart w:id="0" w:name="_GoBack"/>
      <w:bookmarkEnd w:id="0"/>
      <w:r w:rsidRPr="00A31005">
        <w:rPr>
          <w:b/>
          <w:sz w:val="28"/>
          <w:szCs w:val="28"/>
        </w:rPr>
        <w:t>HRVATSKA REGULATORNA AGENCIJA ZA MREŽNE DJELATNOSTI</w:t>
      </w: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r>
        <w:rPr>
          <w:b/>
          <w:sz w:val="28"/>
          <w:szCs w:val="28"/>
        </w:rPr>
        <w:t>NACRT PRIJEDLOGA</w:t>
      </w:r>
    </w:p>
    <w:p w:rsidR="00C27B97" w:rsidRDefault="00C27B97" w:rsidP="00C27B97">
      <w:pPr>
        <w:jc w:val="center"/>
        <w:rPr>
          <w:b/>
          <w:sz w:val="28"/>
          <w:szCs w:val="28"/>
        </w:rPr>
      </w:pPr>
    </w:p>
    <w:p w:rsidR="00C27B97" w:rsidRPr="00BE6EE1" w:rsidRDefault="00C27B97" w:rsidP="00C27B97">
      <w:pPr>
        <w:jc w:val="center"/>
        <w:rPr>
          <w:b/>
          <w:sz w:val="28"/>
          <w:szCs w:val="28"/>
        </w:rPr>
      </w:pPr>
      <w:r w:rsidRPr="00BE6EE1">
        <w:rPr>
          <w:b/>
          <w:sz w:val="28"/>
          <w:szCs w:val="28"/>
        </w:rPr>
        <w:t>PLAN</w:t>
      </w:r>
      <w:r w:rsidR="00D71782">
        <w:rPr>
          <w:b/>
          <w:sz w:val="28"/>
          <w:szCs w:val="28"/>
        </w:rPr>
        <w:t>A</w:t>
      </w:r>
      <w:r w:rsidRPr="00BE6EE1">
        <w:rPr>
          <w:b/>
          <w:sz w:val="28"/>
          <w:szCs w:val="28"/>
        </w:rPr>
        <w:t xml:space="preserve"> DODJELE </w:t>
      </w:r>
    </w:p>
    <w:p w:rsidR="00C27B97" w:rsidRPr="00BE6EE1" w:rsidRDefault="00C27B97" w:rsidP="00C27B97">
      <w:pPr>
        <w:jc w:val="center"/>
        <w:rPr>
          <w:b/>
          <w:sz w:val="28"/>
          <w:szCs w:val="28"/>
        </w:rPr>
      </w:pPr>
      <w:r w:rsidRPr="00BE6EE1">
        <w:rPr>
          <w:b/>
          <w:sz w:val="28"/>
          <w:szCs w:val="28"/>
        </w:rPr>
        <w:t xml:space="preserve">RADIJSKIH FREKVENCIJA </w:t>
      </w:r>
    </w:p>
    <w:p w:rsidR="00C27B97" w:rsidRPr="00BE6EE1" w:rsidRDefault="00C27B97" w:rsidP="00C27B97">
      <w:pPr>
        <w:jc w:val="center"/>
        <w:rPr>
          <w:b/>
          <w:sz w:val="28"/>
          <w:szCs w:val="28"/>
        </w:rPr>
      </w:pPr>
      <w:r w:rsidRPr="00BE6EE1">
        <w:rPr>
          <w:b/>
          <w:sz w:val="28"/>
          <w:szCs w:val="28"/>
        </w:rPr>
        <w:t xml:space="preserve">ZA SLUŽBE ZEMALJSKE RADIODIFUZIJE </w:t>
      </w:r>
    </w:p>
    <w:p w:rsidR="00C27B97" w:rsidRPr="00BE6EE1" w:rsidRDefault="00C27B97" w:rsidP="00C27B97">
      <w:pPr>
        <w:jc w:val="center"/>
        <w:rPr>
          <w:b/>
          <w:sz w:val="28"/>
          <w:szCs w:val="28"/>
        </w:rPr>
      </w:pPr>
      <w:r w:rsidRPr="00BE6EE1">
        <w:rPr>
          <w:b/>
          <w:sz w:val="28"/>
          <w:szCs w:val="28"/>
        </w:rPr>
        <w:t xml:space="preserve">U FREKVENCIJSKIM POJASEVIMA </w:t>
      </w:r>
    </w:p>
    <w:p w:rsidR="00C27B97" w:rsidRPr="00BE6EE1" w:rsidRDefault="00C27B97" w:rsidP="00C27B97">
      <w:pPr>
        <w:jc w:val="center"/>
        <w:rPr>
          <w:b/>
          <w:sz w:val="28"/>
          <w:szCs w:val="28"/>
        </w:rPr>
      </w:pPr>
      <w:r w:rsidRPr="00BE6EE1">
        <w:rPr>
          <w:b/>
          <w:sz w:val="28"/>
          <w:szCs w:val="28"/>
        </w:rPr>
        <w:t>148,5 kHz – 1492,0 MHz</w:t>
      </w: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jc w:val="center"/>
        <w:rPr>
          <w:b/>
          <w:sz w:val="28"/>
          <w:szCs w:val="28"/>
        </w:rPr>
      </w:pPr>
    </w:p>
    <w:p w:rsidR="00C27B97" w:rsidRDefault="00C27B97" w:rsidP="00C27B97">
      <w:pP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C27B97">
      <w:pPr>
        <w:jc w:val="center"/>
        <w:rPr>
          <w:b/>
        </w:rPr>
      </w:pPr>
    </w:p>
    <w:p w:rsidR="00C27B97" w:rsidRDefault="00C27B97" w:rsidP="00D71782">
      <w:pPr>
        <w:rPr>
          <w:b/>
        </w:rPr>
      </w:pPr>
    </w:p>
    <w:p w:rsidR="00C27B97" w:rsidRPr="00ED56D3" w:rsidRDefault="00C27B97" w:rsidP="00C27B97">
      <w:pPr>
        <w:jc w:val="center"/>
        <w:rPr>
          <w:b/>
          <w:i/>
        </w:rPr>
      </w:pPr>
      <w:r w:rsidRPr="00166CFF">
        <w:rPr>
          <w:b/>
        </w:rPr>
        <w:t xml:space="preserve">Zagreb, </w:t>
      </w:r>
      <w:r w:rsidRPr="00BE6EE1">
        <w:rPr>
          <w:b/>
        </w:rPr>
        <w:t>studeni 2020.</w:t>
      </w:r>
    </w:p>
    <w:p w:rsidR="00C27B97" w:rsidRDefault="00C27B97" w:rsidP="00C27B97">
      <w:pPr>
        <w:jc w:val="center"/>
        <w:rPr>
          <w:b/>
        </w:rPr>
      </w:pPr>
    </w:p>
    <w:p w:rsidR="00C27B97" w:rsidRPr="00297C09" w:rsidRDefault="00C27B97" w:rsidP="00C27B97">
      <w:pPr>
        <w:jc w:val="both"/>
        <w:rPr>
          <w:b/>
        </w:rPr>
      </w:pPr>
      <w:r>
        <w:rPr>
          <w:b/>
        </w:rPr>
        <w:lastRenderedPageBreak/>
        <w:t xml:space="preserve">I. </w:t>
      </w:r>
      <w:r w:rsidRPr="00297C09">
        <w:rPr>
          <w:b/>
        </w:rPr>
        <w:t xml:space="preserve">OSNOVA ZA DONOŠENJE </w:t>
      </w:r>
      <w:r w:rsidR="00D71782" w:rsidRPr="00297C09">
        <w:rPr>
          <w:b/>
        </w:rPr>
        <w:t>P</w:t>
      </w:r>
      <w:r w:rsidR="00D71782">
        <w:rPr>
          <w:b/>
        </w:rPr>
        <w:t>LANA DODJELE</w:t>
      </w:r>
    </w:p>
    <w:p w:rsidR="00C27B97" w:rsidRDefault="00C27B97" w:rsidP="00C27B97">
      <w:pPr>
        <w:jc w:val="both"/>
      </w:pPr>
    </w:p>
    <w:p w:rsidR="00C27B97" w:rsidRDefault="00C27B97" w:rsidP="00C27B97">
      <w:pPr>
        <w:jc w:val="both"/>
      </w:pPr>
      <w:r>
        <w:t xml:space="preserve">Člankom 12. stavkom 1. točkom 9. i člankom </w:t>
      </w:r>
      <w:r w:rsidRPr="00BE6EE1">
        <w:t xml:space="preserve">82. </w:t>
      </w:r>
      <w:r>
        <w:t xml:space="preserve">Zakona o elektroničkim komunikacijama (NN br. 73/08, 90/11, 133/12, 80/13 i 71/14, 72/17; dalje: ZEK) </w:t>
      </w:r>
      <w:r w:rsidRPr="008B6B95">
        <w:t>propisana je ovlast Hrvatske regulatorne agencij</w:t>
      </w:r>
      <w:r>
        <w:t>e</w:t>
      </w:r>
      <w:r w:rsidRPr="008B6B95">
        <w:t xml:space="preserve"> za mrežne djelatnosti (dalje: HAKOM) za </w:t>
      </w:r>
      <w:r w:rsidR="006709EF" w:rsidRPr="008B6B95">
        <w:t xml:space="preserve">donošenje </w:t>
      </w:r>
      <w:r w:rsidR="006709EF" w:rsidRPr="00EA0BC3">
        <w:t>planova dodjele i uporabe radijskih frekvencija u okviru pojedinih radiofrekvencijskih pojasa.</w:t>
      </w:r>
    </w:p>
    <w:p w:rsidR="00C27B97" w:rsidRDefault="00C27B97" w:rsidP="00C27B97">
      <w:pPr>
        <w:jc w:val="both"/>
      </w:pPr>
    </w:p>
    <w:p w:rsidR="00C27B97" w:rsidRPr="00297C09" w:rsidRDefault="00C27B97" w:rsidP="00C27B97">
      <w:pPr>
        <w:jc w:val="both"/>
        <w:rPr>
          <w:b/>
        </w:rPr>
      </w:pPr>
      <w:r>
        <w:rPr>
          <w:b/>
        </w:rPr>
        <w:t xml:space="preserve">II. </w:t>
      </w:r>
      <w:r w:rsidRPr="00297C09">
        <w:rPr>
          <w:b/>
        </w:rPr>
        <w:t xml:space="preserve">OCJENA STANJA </w:t>
      </w:r>
    </w:p>
    <w:p w:rsidR="00D71782" w:rsidRDefault="00D71782" w:rsidP="00D71782">
      <w:pPr>
        <w:jc w:val="both"/>
      </w:pPr>
    </w:p>
    <w:p w:rsidR="00D71782" w:rsidRDefault="00D71782" w:rsidP="00D71782">
      <w:pPr>
        <w:jc w:val="both"/>
      </w:pPr>
      <w:r>
        <w:t xml:space="preserve">U odnosu na frekvencijski pojas </w:t>
      </w:r>
      <w:r w:rsidRPr="003E0B3E">
        <w:t>148,5 kHz – 1492,0 MHz</w:t>
      </w:r>
      <w:r>
        <w:t>,</w:t>
      </w:r>
      <w:r w:rsidRPr="003E0B3E">
        <w:t xml:space="preserve"> </w:t>
      </w:r>
      <w:r>
        <w:t>trenutno je na snazi</w:t>
      </w:r>
      <w:r w:rsidRPr="00EA0BC3">
        <w:t xml:space="preserve"> </w:t>
      </w:r>
      <w:r w:rsidRPr="004F3B5F">
        <w:t>Plan dodjele radijskih frekvencija za službe zemaljske radiodifuzije u frekvencijskim pojasevima 148,5 kHz – 1492,0 MHz</w:t>
      </w:r>
      <w:r>
        <w:t xml:space="preserve"> (NN br. 134/13). </w:t>
      </w:r>
    </w:p>
    <w:p w:rsidR="00D71782" w:rsidRDefault="00D71782" w:rsidP="00D71782">
      <w:pPr>
        <w:jc w:val="both"/>
      </w:pPr>
    </w:p>
    <w:p w:rsidR="00D71782" w:rsidRDefault="00D71782" w:rsidP="00D71782">
      <w:pPr>
        <w:jc w:val="both"/>
      </w:pPr>
      <w:r>
        <w:t xml:space="preserve">Predlažu se izmjene navedenog Plana dodjele, iz razloga navedenih u nastavku ovog dokumenta, pri čemu se, imajući u vidu da je riječ o sadržaju koji uključuje tablični prikaz, predlaže radi jasnoće i preglednosti donošenje novog Plana dodjele umjesto izmjena i dopuna. </w:t>
      </w:r>
    </w:p>
    <w:p w:rsidR="00D71782" w:rsidRDefault="00D71782" w:rsidP="00D71782">
      <w:pPr>
        <w:jc w:val="both"/>
      </w:pPr>
    </w:p>
    <w:p w:rsidR="00D71782" w:rsidRDefault="00D71782" w:rsidP="00D71782">
      <w:pPr>
        <w:jc w:val="both"/>
      </w:pPr>
      <w:r w:rsidRPr="0027546A">
        <w:t xml:space="preserve">Sukladno članku 22. stavku 5. ZEK-a, o prijedlogu </w:t>
      </w:r>
      <w:r w:rsidR="001E43E9">
        <w:t>Plana dodjele</w:t>
      </w:r>
      <w:r w:rsidRPr="0027546A">
        <w:t xml:space="preserve"> potrebno je provesti postupak javne rasprave sa zainteresiranom javnošću.</w:t>
      </w:r>
    </w:p>
    <w:p w:rsidR="00C27B97" w:rsidRDefault="00C27B97" w:rsidP="00C27B97">
      <w:pPr>
        <w:jc w:val="both"/>
      </w:pPr>
    </w:p>
    <w:p w:rsidR="00D71782" w:rsidRDefault="00D71782" w:rsidP="00C27B97">
      <w:pPr>
        <w:jc w:val="both"/>
      </w:pPr>
    </w:p>
    <w:p w:rsidR="00D71782" w:rsidRDefault="00D71782" w:rsidP="00C27B97">
      <w:pPr>
        <w:jc w:val="both"/>
        <w:rPr>
          <w:b/>
        </w:rPr>
      </w:pPr>
      <w:r w:rsidRPr="00297C09">
        <w:rPr>
          <w:b/>
        </w:rPr>
        <w:t>I</w:t>
      </w:r>
      <w:r>
        <w:rPr>
          <w:b/>
        </w:rPr>
        <w:t>II.</w:t>
      </w:r>
      <w:r w:rsidRPr="00297C09">
        <w:rPr>
          <w:b/>
        </w:rPr>
        <w:t xml:space="preserve"> OBRAZLOŽENJE IZMJENA</w:t>
      </w:r>
    </w:p>
    <w:p w:rsidR="00D71782" w:rsidRDefault="00D71782" w:rsidP="00C27B97">
      <w:pPr>
        <w:jc w:val="both"/>
      </w:pPr>
    </w:p>
    <w:p w:rsidR="00D71782" w:rsidRDefault="00D71782" w:rsidP="00C27B97">
      <w:pPr>
        <w:jc w:val="both"/>
      </w:pPr>
      <w:r w:rsidRPr="00D71782">
        <w:t>Razlog izmjena postojećeg Plana dodjele je kako slijedi.</w:t>
      </w:r>
    </w:p>
    <w:p w:rsidR="00D71782" w:rsidRDefault="00D71782" w:rsidP="00C27B97">
      <w:pPr>
        <w:jc w:val="both"/>
      </w:pPr>
    </w:p>
    <w:p w:rsidR="00C27B97" w:rsidRDefault="00C27B97" w:rsidP="00C27B97">
      <w:pPr>
        <w:jc w:val="both"/>
      </w:pPr>
      <w:r>
        <w:t>S</w:t>
      </w:r>
      <w:r w:rsidRPr="00DE263A">
        <w:t xml:space="preserve">lijedom Odluke (EU) 2017/899 Europskoga parlamenta i Vijeća od 17. svibnja 2017. o uporabi frekvencijskoga </w:t>
      </w:r>
      <w:r>
        <w:t>pojasa 470 – 790 MHz u Uniji</w:t>
      </w:r>
      <w:r w:rsidRPr="00DE263A">
        <w:t>, Hrvatska je preuzela obvezu dopustiti uporabu frekvencijskoga pojasa 694 – 790 MHz (700 MHz) za zemaljske sustave koji mogu pružati bežične širokopojasne elektroničke komunikacijske usluge pod usklađenim tehničkim uvjetima koje je utvrdila Komisija u skladu s člankom 4. Odluke br. 676/2002 / EZ do 30. lipnja 2020.</w:t>
      </w:r>
      <w:r w:rsidRPr="00304028">
        <w:t xml:space="preserve"> </w:t>
      </w:r>
      <w:r>
        <w:t xml:space="preserve">S obzirom da je 12. studenog 2020. u Republici Hrvatskoj završen prelazak na DVB-T2 sustav te je oslobođen pojas 694 – 790 </w:t>
      </w:r>
      <w:r w:rsidR="001E43E9">
        <w:t>M</w:t>
      </w:r>
      <w:r>
        <w:t>Hz, isti se više ne koristi za digitalnu zemaljsku televiziju (DTV).</w:t>
      </w:r>
      <w:r w:rsidR="00D71782" w:rsidRPr="00D71782">
        <w:t xml:space="preserve"> Stoga je u Planu dodjele potrebno izmijeniti frekvencijski raspon koji je predviđen za digitalnu zemaljsku televiziju na način da se gornj</w:t>
      </w:r>
      <w:r w:rsidR="001E43E9">
        <w:t>a</w:t>
      </w:r>
      <w:r w:rsidR="00D71782" w:rsidRPr="00D71782">
        <w:t xml:space="preserve"> granic</w:t>
      </w:r>
      <w:r w:rsidR="001E43E9">
        <w:t>a</w:t>
      </w:r>
      <w:r w:rsidR="00D71782" w:rsidRPr="00D71782">
        <w:t xml:space="preserve"> frekvencijskog opsega za digitalnu zemaljsku televiziju u UHF pojasu smanj</w:t>
      </w:r>
      <w:r w:rsidR="001E43E9">
        <w:t>i</w:t>
      </w:r>
      <w:r w:rsidR="00D71782" w:rsidRPr="00D71782">
        <w:t xml:space="preserve"> na 694 MHz.</w:t>
      </w:r>
    </w:p>
    <w:p w:rsidR="00C27B97" w:rsidRDefault="00C27B97" w:rsidP="00C27B97">
      <w:pPr>
        <w:jc w:val="both"/>
      </w:pPr>
    </w:p>
    <w:p w:rsidR="00C27B97" w:rsidRDefault="00C27B97" w:rsidP="00C27B97">
      <w:pPr>
        <w:jc w:val="both"/>
      </w:pPr>
      <w:r>
        <w:t>Također</w:t>
      </w:r>
      <w:r w:rsidR="00D71782">
        <w:t>,</w:t>
      </w:r>
      <w:r>
        <w:t xml:space="preserve"> postojeći P</w:t>
      </w:r>
      <w:r w:rsidRPr="00BE6EE1">
        <w:t xml:space="preserve">lan dodjele </w:t>
      </w:r>
      <w:r w:rsidR="00D71782">
        <w:t xml:space="preserve">potrebno je izmijeniti </w:t>
      </w:r>
      <w:r>
        <w:t>kako bi se omogućio komercijalni rad DAB+ mreža digitalnog radija za koji postoji interes u Republici Hrvatskoj te se očekuje raspisivanje javnog natječaja za DAB+ mreže u 2021.</w:t>
      </w:r>
    </w:p>
    <w:p w:rsidR="00C27B97" w:rsidRDefault="00C27B97" w:rsidP="00C27B97">
      <w:pPr>
        <w:jc w:val="both"/>
      </w:pPr>
    </w:p>
    <w:p w:rsidR="00C27B97" w:rsidRDefault="00D71782" w:rsidP="00C27B97">
      <w:pPr>
        <w:jc w:val="both"/>
      </w:pPr>
      <w:r>
        <w:t xml:space="preserve">Stoga se, u odnosu </w:t>
      </w:r>
      <w:r w:rsidR="00C27B97">
        <w:t>na digitalni radio (T-DAB), dodaje referenca na DAB+ standard kako bi se omogućilo raspisivanje javnog natječaja za DAB+ mreže u 2021., kao i pomicanje gornje granice frekvencijskog pojasa namijenjenog za DAB+ na 240 MHz</w:t>
      </w:r>
      <w:r w:rsidR="001E43E9">
        <w:t>,</w:t>
      </w:r>
      <w:r w:rsidR="00C27B97">
        <w:t xml:space="preserve"> kako bi </w:t>
      </w:r>
      <w:r w:rsidR="001E43E9">
        <w:t xml:space="preserve">se </w:t>
      </w:r>
      <w:r w:rsidR="00C27B97">
        <w:t xml:space="preserve">isti uskladio s </w:t>
      </w:r>
      <w:r w:rsidR="001E43E9">
        <w:t xml:space="preserve">Tablicom </w:t>
      </w:r>
      <w:r w:rsidR="00C27B97">
        <w:t xml:space="preserve">namjene. Također je dodana i referenca na međunarodni sporazum </w:t>
      </w:r>
      <w:r w:rsidR="00C27B97" w:rsidRPr="00DE263A">
        <w:t>WI95revCO07</w:t>
      </w:r>
      <w:r w:rsidR="00C27B97">
        <w:t xml:space="preserve"> koji opisuje koordinaciju T-DAB stanica u frekvencijskom pojasu 230 – 240 MHz.</w:t>
      </w:r>
    </w:p>
    <w:p w:rsidR="00C27B97" w:rsidRDefault="00C27B97" w:rsidP="00C27B97">
      <w:pPr>
        <w:jc w:val="both"/>
        <w:rPr>
          <w:u w:val="single"/>
        </w:rPr>
      </w:pPr>
    </w:p>
    <w:p w:rsidR="00C27B97" w:rsidRDefault="00C27B97" w:rsidP="00C27B97">
      <w:pPr>
        <w:jc w:val="both"/>
        <w:rPr>
          <w:u w:val="single"/>
        </w:rPr>
      </w:pPr>
    </w:p>
    <w:p w:rsidR="00C27B97" w:rsidRPr="00B1537A" w:rsidRDefault="00C27B97" w:rsidP="00C27B97">
      <w:pPr>
        <w:jc w:val="both"/>
        <w:rPr>
          <w:u w:val="single"/>
        </w:rPr>
      </w:pPr>
    </w:p>
    <w:p w:rsidR="00C27B97" w:rsidRPr="00B1537A" w:rsidRDefault="00C27B97" w:rsidP="00C27B97">
      <w:pPr>
        <w:jc w:val="both"/>
        <w:rPr>
          <w:b/>
        </w:rPr>
      </w:pPr>
      <w:r w:rsidRPr="00B1537A">
        <w:rPr>
          <w:b/>
        </w:rPr>
        <w:lastRenderedPageBreak/>
        <w:t xml:space="preserve">III.  TEKST NACRTA PRIJEDLOGA </w:t>
      </w:r>
      <w:r w:rsidR="00D71782">
        <w:rPr>
          <w:b/>
        </w:rPr>
        <w:t>PLANA DODJELE</w:t>
      </w:r>
      <w:r w:rsidR="00D71782" w:rsidRPr="00B1537A">
        <w:rPr>
          <w:b/>
        </w:rPr>
        <w:t xml:space="preserve"> </w:t>
      </w:r>
    </w:p>
    <w:p w:rsidR="00C27B97" w:rsidRPr="00B1537A" w:rsidRDefault="00C27B97" w:rsidP="00C27B97">
      <w:pPr>
        <w:jc w:val="both"/>
        <w:rPr>
          <w:u w:val="single"/>
        </w:rPr>
      </w:pPr>
      <w:r w:rsidRPr="00B1537A">
        <w:rPr>
          <w:u w:val="single"/>
        </w:rPr>
        <w:t xml:space="preserve"> </w:t>
      </w:r>
    </w:p>
    <w:p w:rsidR="00C27B97" w:rsidRPr="00B1537A" w:rsidRDefault="00C27B97" w:rsidP="00C27B97">
      <w:pPr>
        <w:jc w:val="both"/>
      </w:pPr>
      <w:r w:rsidRPr="00B1537A">
        <w:t>Prilaže se tekst Nacrta P</w:t>
      </w:r>
      <w:r>
        <w:t>lana dodjele.</w:t>
      </w:r>
      <w:r w:rsidRPr="00B1537A">
        <w:t xml:space="preserve"> </w:t>
      </w:r>
    </w:p>
    <w:p w:rsidR="00686739" w:rsidRPr="000774A9" w:rsidRDefault="00C27B97" w:rsidP="00686739">
      <w:pPr>
        <w:pStyle w:val="BodyText21"/>
        <w:overflowPunct/>
        <w:autoSpaceDE/>
        <w:autoSpaceDN/>
        <w:adjustRightInd/>
        <w:jc w:val="center"/>
        <w:textAlignment w:val="auto"/>
        <w:rPr>
          <w:rFonts w:ascii="Times New Roman" w:hAnsi="Times New Roman"/>
          <w:b/>
          <w:sz w:val="40"/>
          <w:szCs w:val="40"/>
          <w:lang w:val="hr-HR"/>
        </w:rPr>
      </w:pPr>
      <w:r>
        <w:rPr>
          <w:rFonts w:ascii="Times New Roman" w:hAnsi="Times New Roman"/>
          <w:b/>
          <w:sz w:val="40"/>
          <w:szCs w:val="40"/>
          <w:lang w:val="hr-HR"/>
        </w:rPr>
        <w:br w:type="page"/>
      </w:r>
      <w:r w:rsidR="00686739" w:rsidRPr="000774A9">
        <w:rPr>
          <w:rFonts w:ascii="Times New Roman" w:hAnsi="Times New Roman"/>
          <w:b/>
          <w:sz w:val="40"/>
          <w:szCs w:val="40"/>
          <w:lang w:val="hr-HR"/>
        </w:rPr>
        <w:lastRenderedPageBreak/>
        <w:t xml:space="preserve">HRVATSKA </w:t>
      </w:r>
      <w:r w:rsidR="00686739">
        <w:rPr>
          <w:rFonts w:ascii="Times New Roman" w:hAnsi="Times New Roman"/>
          <w:b/>
          <w:sz w:val="40"/>
          <w:szCs w:val="40"/>
          <w:lang w:val="hr-HR"/>
        </w:rPr>
        <w:t xml:space="preserve">REGULATORNA </w:t>
      </w:r>
      <w:r w:rsidR="00686739" w:rsidRPr="000774A9">
        <w:rPr>
          <w:rFonts w:ascii="Times New Roman" w:hAnsi="Times New Roman"/>
          <w:b/>
          <w:sz w:val="40"/>
          <w:szCs w:val="40"/>
          <w:lang w:val="hr-HR"/>
        </w:rPr>
        <w:t xml:space="preserve">AGENCIJA ZA </w:t>
      </w:r>
      <w:r w:rsidR="00686739">
        <w:rPr>
          <w:rFonts w:ascii="Times New Roman" w:hAnsi="Times New Roman"/>
          <w:b/>
          <w:sz w:val="40"/>
          <w:szCs w:val="40"/>
          <w:lang w:val="hr-HR"/>
        </w:rPr>
        <w:t xml:space="preserve">MREŽNE DJELATNOSTI </w:t>
      </w:r>
    </w:p>
    <w:p w:rsidR="00686739" w:rsidRPr="000774A9" w:rsidRDefault="00686739" w:rsidP="00686739">
      <w:pPr>
        <w:pStyle w:val="BodyText21"/>
        <w:overflowPunct/>
        <w:autoSpaceDE/>
        <w:autoSpaceDN/>
        <w:adjustRightInd/>
        <w:textAlignment w:val="auto"/>
        <w:rPr>
          <w:rFonts w:ascii="Times New Roman" w:hAnsi="Times New Roman"/>
          <w:szCs w:val="24"/>
          <w:lang w:val="hr-HR"/>
        </w:rPr>
      </w:pPr>
    </w:p>
    <w:p w:rsidR="00686739" w:rsidRPr="000774A9" w:rsidRDefault="00686739" w:rsidP="00686739">
      <w:pPr>
        <w:pStyle w:val="BodyText21"/>
        <w:overflowPunct/>
        <w:autoSpaceDE/>
        <w:autoSpaceDN/>
        <w:adjustRightInd/>
        <w:textAlignment w:val="auto"/>
        <w:rPr>
          <w:rFonts w:ascii="Times New Roman" w:hAnsi="Times New Roman"/>
          <w:szCs w:val="24"/>
          <w:lang w:val="hr-HR"/>
        </w:rPr>
      </w:pPr>
    </w:p>
    <w:p w:rsidR="00686739" w:rsidRDefault="00686739" w:rsidP="00686739">
      <w:pPr>
        <w:pStyle w:val="BodyText21"/>
        <w:overflowPunct/>
        <w:autoSpaceDE/>
        <w:autoSpaceDN/>
        <w:adjustRightInd/>
        <w:textAlignment w:val="auto"/>
        <w:rPr>
          <w:rFonts w:ascii="Times New Roman" w:hAnsi="Times New Roman"/>
          <w:szCs w:val="24"/>
          <w:lang w:val="hr-HR"/>
        </w:rPr>
      </w:pPr>
      <w:r w:rsidRPr="000774A9">
        <w:rPr>
          <w:rFonts w:ascii="Times New Roman" w:hAnsi="Times New Roman"/>
          <w:szCs w:val="24"/>
          <w:lang w:val="hr-HR"/>
        </w:rPr>
        <w:t>Na temelju članka 12. stavka 1. točke 9. i članka 82. Zakona o elektronički</w:t>
      </w:r>
      <w:r>
        <w:rPr>
          <w:rFonts w:ascii="Times New Roman" w:hAnsi="Times New Roman"/>
          <w:szCs w:val="24"/>
          <w:lang w:val="hr-HR"/>
        </w:rPr>
        <w:t xml:space="preserve">m komunikacijama (Narodne novine </w:t>
      </w:r>
      <w:r w:rsidRPr="000774A9">
        <w:rPr>
          <w:rFonts w:ascii="Times New Roman" w:hAnsi="Times New Roman"/>
          <w:szCs w:val="24"/>
          <w:lang w:val="hr-HR"/>
        </w:rPr>
        <w:t>br</w:t>
      </w:r>
      <w:r>
        <w:rPr>
          <w:rFonts w:ascii="Times New Roman" w:hAnsi="Times New Roman"/>
          <w:szCs w:val="24"/>
          <w:lang w:val="hr-HR"/>
        </w:rPr>
        <w:t>.</w:t>
      </w:r>
      <w:r w:rsidRPr="009A2650">
        <w:rPr>
          <w:rFonts w:ascii="Times New Roman" w:hAnsi="Times New Roman"/>
          <w:bCs/>
          <w:iCs/>
          <w:szCs w:val="24"/>
          <w:lang w:val="hr-HR"/>
        </w:rPr>
        <w:t xml:space="preserve"> </w:t>
      </w:r>
      <w:r w:rsidRPr="00B63B73">
        <w:rPr>
          <w:rFonts w:ascii="Times New Roman" w:hAnsi="Times New Roman"/>
          <w:bCs/>
          <w:iCs/>
          <w:szCs w:val="24"/>
          <w:lang w:val="hr-HR"/>
        </w:rPr>
        <w:t>73/08, 90/1</w:t>
      </w:r>
      <w:r>
        <w:rPr>
          <w:rFonts w:ascii="Times New Roman" w:hAnsi="Times New Roman"/>
          <w:bCs/>
          <w:iCs/>
          <w:szCs w:val="24"/>
          <w:lang w:val="hr-HR"/>
        </w:rPr>
        <w:t>1, 133/12, 80/13, 71/14 i 72/17</w:t>
      </w:r>
      <w:r w:rsidRPr="000774A9">
        <w:rPr>
          <w:rFonts w:ascii="Times New Roman" w:hAnsi="Times New Roman"/>
          <w:szCs w:val="24"/>
          <w:lang w:val="hr-HR"/>
        </w:rPr>
        <w:t>)</w:t>
      </w:r>
      <w:r>
        <w:rPr>
          <w:rFonts w:ascii="Times New Roman" w:hAnsi="Times New Roman"/>
          <w:szCs w:val="24"/>
          <w:lang w:val="hr-HR"/>
        </w:rPr>
        <w:t>,</w:t>
      </w:r>
      <w:r w:rsidRPr="000774A9">
        <w:rPr>
          <w:rFonts w:ascii="Times New Roman" w:hAnsi="Times New Roman"/>
          <w:szCs w:val="24"/>
          <w:lang w:val="hr-HR"/>
        </w:rPr>
        <w:t xml:space="preserve"> Vijeće Hrvatske </w:t>
      </w:r>
      <w:r>
        <w:rPr>
          <w:rFonts w:ascii="Times New Roman" w:hAnsi="Times New Roman"/>
          <w:szCs w:val="24"/>
          <w:lang w:val="hr-HR"/>
        </w:rPr>
        <w:t xml:space="preserve">regulatorne </w:t>
      </w:r>
      <w:r w:rsidRPr="000774A9">
        <w:rPr>
          <w:rFonts w:ascii="Times New Roman" w:hAnsi="Times New Roman"/>
          <w:szCs w:val="24"/>
          <w:lang w:val="hr-HR"/>
        </w:rPr>
        <w:t xml:space="preserve">agencije za </w:t>
      </w:r>
      <w:r>
        <w:rPr>
          <w:rFonts w:ascii="Times New Roman" w:hAnsi="Times New Roman"/>
          <w:szCs w:val="24"/>
          <w:lang w:val="hr-HR"/>
        </w:rPr>
        <w:t>mrežne djelatnosti</w:t>
      </w:r>
      <w:r w:rsidRPr="000774A9">
        <w:rPr>
          <w:rFonts w:ascii="Times New Roman" w:hAnsi="Times New Roman"/>
          <w:szCs w:val="24"/>
          <w:lang w:val="hr-HR"/>
        </w:rPr>
        <w:t xml:space="preserve"> </w:t>
      </w:r>
      <w:r>
        <w:rPr>
          <w:rFonts w:ascii="Times New Roman" w:hAnsi="Times New Roman"/>
          <w:szCs w:val="24"/>
          <w:lang w:val="hr-HR"/>
        </w:rPr>
        <w:t>donosi</w:t>
      </w:r>
      <w:r w:rsidRPr="000774A9">
        <w:rPr>
          <w:rFonts w:ascii="Times New Roman" w:hAnsi="Times New Roman"/>
          <w:szCs w:val="24"/>
          <w:lang w:val="hr-HR"/>
        </w:rPr>
        <w:t xml:space="preserve"> </w:t>
      </w:r>
    </w:p>
    <w:p w:rsidR="00686739" w:rsidRDefault="00686739" w:rsidP="00686739">
      <w:pPr>
        <w:pStyle w:val="BodyText21"/>
        <w:overflowPunct/>
        <w:autoSpaceDE/>
        <w:autoSpaceDN/>
        <w:adjustRightInd/>
        <w:textAlignment w:val="auto"/>
        <w:rPr>
          <w:rFonts w:ascii="Times New Roman" w:hAnsi="Times New Roman"/>
          <w:szCs w:val="24"/>
          <w:lang w:val="hr-HR"/>
        </w:rPr>
      </w:pPr>
    </w:p>
    <w:p w:rsidR="00686739" w:rsidRPr="000774A9" w:rsidRDefault="00686739" w:rsidP="00686739">
      <w:pPr>
        <w:pStyle w:val="BodyText21"/>
        <w:overflowPunct/>
        <w:autoSpaceDE/>
        <w:autoSpaceDN/>
        <w:adjustRightInd/>
        <w:textAlignment w:val="auto"/>
        <w:rPr>
          <w:rFonts w:ascii="Times New Roman" w:hAnsi="Times New Roman"/>
          <w:szCs w:val="24"/>
          <w:lang w:val="hr-HR"/>
        </w:rPr>
      </w:pPr>
    </w:p>
    <w:p w:rsidR="00C36AA7" w:rsidRDefault="00C36AA7" w:rsidP="00C36AA7">
      <w:pPr>
        <w:spacing w:before="100" w:beforeAutospacing="1" w:after="100" w:afterAutospacing="1"/>
        <w:jc w:val="center"/>
        <w:rPr>
          <w:b/>
          <w:bCs/>
          <w:color w:val="000000"/>
          <w:sz w:val="36"/>
          <w:szCs w:val="36"/>
        </w:rPr>
      </w:pPr>
    </w:p>
    <w:p w:rsidR="00306108" w:rsidRPr="004C4FE6" w:rsidRDefault="00306108" w:rsidP="00306108">
      <w:pPr>
        <w:jc w:val="both"/>
      </w:pPr>
    </w:p>
    <w:p w:rsidR="00306108" w:rsidRPr="004C4FE6" w:rsidRDefault="00306108" w:rsidP="00306108">
      <w:pPr>
        <w:jc w:val="both"/>
      </w:pPr>
    </w:p>
    <w:p w:rsidR="00306108" w:rsidRPr="004C4FE6" w:rsidRDefault="00306108" w:rsidP="00306108">
      <w:pPr>
        <w:jc w:val="both"/>
      </w:pPr>
    </w:p>
    <w:p w:rsidR="00C36AA7" w:rsidRPr="00C36AA7" w:rsidRDefault="00306108" w:rsidP="00306108">
      <w:pPr>
        <w:jc w:val="center"/>
        <w:rPr>
          <w:b/>
          <w:caps/>
          <w:sz w:val="40"/>
          <w:szCs w:val="40"/>
        </w:rPr>
      </w:pPr>
      <w:r w:rsidRPr="00C36AA7">
        <w:rPr>
          <w:b/>
          <w:caps/>
          <w:sz w:val="40"/>
          <w:szCs w:val="40"/>
        </w:rPr>
        <w:t xml:space="preserve">Plan dodjele </w:t>
      </w:r>
    </w:p>
    <w:p w:rsidR="00306108" w:rsidRDefault="00306108" w:rsidP="00306108">
      <w:pPr>
        <w:jc w:val="center"/>
        <w:rPr>
          <w:b/>
          <w:caps/>
          <w:sz w:val="28"/>
          <w:szCs w:val="28"/>
        </w:rPr>
      </w:pPr>
      <w:r w:rsidRPr="004C4FE6">
        <w:rPr>
          <w:b/>
          <w:caps/>
          <w:sz w:val="28"/>
          <w:szCs w:val="28"/>
        </w:rPr>
        <w:t xml:space="preserve">radijskih frekvencija </w:t>
      </w:r>
    </w:p>
    <w:p w:rsidR="00306108" w:rsidRDefault="00306108" w:rsidP="00306108">
      <w:pPr>
        <w:jc w:val="center"/>
        <w:rPr>
          <w:b/>
          <w:caps/>
          <w:sz w:val="28"/>
          <w:szCs w:val="28"/>
        </w:rPr>
      </w:pPr>
      <w:r w:rsidRPr="004C4FE6">
        <w:rPr>
          <w:b/>
          <w:caps/>
          <w:sz w:val="28"/>
          <w:szCs w:val="28"/>
        </w:rPr>
        <w:t xml:space="preserve">za službe zemaljske radiodifuzije </w:t>
      </w:r>
    </w:p>
    <w:p w:rsidR="00306108" w:rsidRDefault="00306108" w:rsidP="00306108">
      <w:pPr>
        <w:jc w:val="center"/>
        <w:rPr>
          <w:b/>
          <w:caps/>
          <w:sz w:val="28"/>
          <w:szCs w:val="28"/>
        </w:rPr>
      </w:pPr>
      <w:r w:rsidRPr="004C4FE6">
        <w:rPr>
          <w:b/>
          <w:caps/>
          <w:sz w:val="28"/>
          <w:szCs w:val="28"/>
        </w:rPr>
        <w:t xml:space="preserve">u frekvencijskim pojasevima </w:t>
      </w:r>
    </w:p>
    <w:p w:rsidR="006062F9" w:rsidRPr="00C317CC" w:rsidRDefault="006062F9" w:rsidP="006062F9">
      <w:pPr>
        <w:jc w:val="center"/>
        <w:rPr>
          <w:b/>
          <w:sz w:val="28"/>
          <w:szCs w:val="28"/>
        </w:rPr>
      </w:pPr>
      <w:r w:rsidRPr="00C317CC">
        <w:rPr>
          <w:b/>
          <w:sz w:val="28"/>
          <w:szCs w:val="28"/>
        </w:rPr>
        <w:t>148,5 kHz – 1492,0 MHz</w:t>
      </w:r>
    </w:p>
    <w:p w:rsidR="00306108" w:rsidRDefault="00306108" w:rsidP="00306108">
      <w:pPr>
        <w:jc w:val="both"/>
      </w:pPr>
    </w:p>
    <w:p w:rsidR="00306108" w:rsidRDefault="00306108" w:rsidP="00306108">
      <w:pPr>
        <w:jc w:val="both"/>
      </w:pPr>
    </w:p>
    <w:p w:rsidR="00306108" w:rsidRDefault="00306108" w:rsidP="00306108">
      <w:pPr>
        <w:jc w:val="both"/>
      </w:pPr>
    </w:p>
    <w:p w:rsidR="00306108" w:rsidRDefault="00306108" w:rsidP="00306108">
      <w:pPr>
        <w:jc w:val="both"/>
      </w:pPr>
    </w:p>
    <w:p w:rsidR="00306108" w:rsidRDefault="00306108" w:rsidP="00306108">
      <w:pPr>
        <w:jc w:val="center"/>
      </w:pPr>
      <w:r>
        <w:t>Članak 1.</w:t>
      </w:r>
    </w:p>
    <w:p w:rsidR="00306108" w:rsidRPr="00252D36" w:rsidRDefault="00306108" w:rsidP="00306108">
      <w:pPr>
        <w:jc w:val="center"/>
      </w:pPr>
    </w:p>
    <w:p w:rsidR="00306108" w:rsidRDefault="00306108" w:rsidP="00306108">
      <w:pPr>
        <w:jc w:val="both"/>
      </w:pPr>
    </w:p>
    <w:p w:rsidR="00306108" w:rsidRDefault="00306108" w:rsidP="00306108">
      <w:pPr>
        <w:jc w:val="both"/>
      </w:pPr>
      <w:r>
        <w:t xml:space="preserve">Plan </w:t>
      </w:r>
      <w:r w:rsidRPr="004C4FE6">
        <w:t>dodjele radijskih frekvencija za službe zemaljske radiodifuzije u frekvencijskim pojasevima 148,5 kHz – 1492,0 MHz</w:t>
      </w:r>
      <w:r>
        <w:t xml:space="preserve"> je kako slijedi.</w:t>
      </w:r>
    </w:p>
    <w:p w:rsidR="004161EC" w:rsidRDefault="004161EC" w:rsidP="00B01212"/>
    <w:p w:rsidR="004161EC" w:rsidRPr="00DA4028" w:rsidRDefault="004161EC" w:rsidP="00B01212"/>
    <w:p w:rsidR="006D461E" w:rsidRPr="00DA4028" w:rsidRDefault="006D461E" w:rsidP="00B01212"/>
    <w:p w:rsidR="00E51307" w:rsidRDefault="00E51307" w:rsidP="00232E77"/>
    <w:p w:rsidR="00E51307" w:rsidRDefault="00E51307" w:rsidP="00232E77"/>
    <w:p w:rsidR="004161EC" w:rsidRDefault="004161EC" w:rsidP="00232E77"/>
    <w:p w:rsidR="004161EC" w:rsidRDefault="004161EC" w:rsidP="00232E77"/>
    <w:p w:rsidR="0031274B" w:rsidRDefault="0031274B" w:rsidP="00232E77"/>
    <w:p w:rsidR="0031274B" w:rsidRDefault="0031274B" w:rsidP="00232E77"/>
    <w:p w:rsidR="0031274B" w:rsidRDefault="0031274B" w:rsidP="00232E77"/>
    <w:p w:rsidR="0031274B" w:rsidRDefault="0031274B" w:rsidP="00232E77"/>
    <w:p w:rsidR="0031274B" w:rsidRDefault="0031274B" w:rsidP="00232E77"/>
    <w:p w:rsidR="0031274B" w:rsidRDefault="0031274B" w:rsidP="00232E77"/>
    <w:p w:rsidR="0031274B" w:rsidRDefault="0031274B" w:rsidP="00232E77">
      <w:pPr>
        <w:sectPr w:rsidR="0031274B" w:rsidSect="0031274B">
          <w:headerReference w:type="default" r:id="rId7"/>
          <w:headerReference w:type="first" r:id="rId8"/>
          <w:footerReference w:type="first" r:id="rId9"/>
          <w:pgSz w:w="11906" w:h="16838" w:code="9"/>
          <w:pgMar w:top="1701" w:right="1134" w:bottom="1701" w:left="1134" w:header="340" w:footer="454" w:gutter="0"/>
          <w:cols w:space="708"/>
          <w:titlePg/>
          <w:docGrid w:linePitch="360"/>
        </w:sectPr>
      </w:pPr>
    </w:p>
    <w:tbl>
      <w:tblPr>
        <w:tblW w:w="16044" w:type="dxa"/>
        <w:tblInd w:w="-1168" w:type="dxa"/>
        <w:tblLook w:val="04A0" w:firstRow="1" w:lastRow="0" w:firstColumn="1" w:lastColumn="0" w:noHBand="0" w:noVBand="1"/>
      </w:tblPr>
      <w:tblGrid>
        <w:gridCol w:w="2410"/>
        <w:gridCol w:w="1847"/>
        <w:gridCol w:w="1697"/>
        <w:gridCol w:w="1418"/>
        <w:gridCol w:w="1559"/>
        <w:gridCol w:w="1843"/>
        <w:gridCol w:w="1596"/>
        <w:gridCol w:w="1690"/>
        <w:gridCol w:w="1984"/>
      </w:tblGrid>
      <w:tr w:rsidR="00C36AA7" w:rsidRPr="00C36AA7" w:rsidTr="00C36AA7">
        <w:trPr>
          <w:trHeight w:val="645"/>
        </w:trPr>
        <w:tc>
          <w:tcPr>
            <w:tcW w:w="16044" w:type="dxa"/>
            <w:gridSpan w:val="9"/>
            <w:tcBorders>
              <w:top w:val="single" w:sz="4" w:space="0" w:color="auto"/>
              <w:left w:val="single" w:sz="4" w:space="0" w:color="auto"/>
              <w:bottom w:val="single" w:sz="8" w:space="0" w:color="auto"/>
              <w:right w:val="single" w:sz="4" w:space="0" w:color="000000"/>
            </w:tcBorders>
            <w:shd w:val="clear" w:color="auto" w:fill="auto"/>
            <w:noWrap/>
            <w:vAlign w:val="center"/>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lastRenderedPageBreak/>
              <w:t>Plan dodjele radijskih frekvencija za službe zemaljske radiodifuzije u frekvencijskim pojasevima 148,5 kHz -1492,0 MHz</w:t>
            </w:r>
          </w:p>
        </w:tc>
      </w:tr>
      <w:tr w:rsidR="00C36AA7" w:rsidRPr="00C36AA7" w:rsidTr="00C36AA7">
        <w:trPr>
          <w:trHeight w:val="28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690"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b/>
                <w:bCs/>
                <w:sz w:val="18"/>
                <w:szCs w:val="18"/>
              </w:rPr>
            </w:pPr>
          </w:p>
        </w:tc>
        <w:tc>
          <w:tcPr>
            <w:tcW w:w="1984" w:type="dxa"/>
            <w:tcBorders>
              <w:top w:val="nil"/>
              <w:left w:val="nil"/>
              <w:bottom w:val="nil"/>
              <w:right w:val="single" w:sz="4" w:space="0" w:color="auto"/>
            </w:tcBorders>
            <w:shd w:val="clear" w:color="auto" w:fill="auto"/>
            <w:noWrap/>
            <w:vAlign w:val="bottom"/>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 </w:t>
            </w:r>
          </w:p>
        </w:tc>
      </w:tr>
      <w:tr w:rsidR="00C36AA7" w:rsidRPr="00C36AA7" w:rsidTr="00C36AA7">
        <w:trPr>
          <w:trHeight w:val="855"/>
        </w:trPr>
        <w:tc>
          <w:tcPr>
            <w:tcW w:w="2410" w:type="dxa"/>
            <w:tcBorders>
              <w:top w:val="nil"/>
              <w:left w:val="single" w:sz="4" w:space="0" w:color="auto"/>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FREKVENCIJSKI POJASEVI NAMIJENJENI ZA RADIODIFUZIJU</w:t>
            </w:r>
          </w:p>
        </w:tc>
        <w:tc>
          <w:tcPr>
            <w:tcW w:w="1847" w:type="dxa"/>
            <w:tcBorders>
              <w:top w:val="nil"/>
              <w:left w:val="nil"/>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TIP RADIODIFUZIJSKE SLUŽBE</w:t>
            </w:r>
          </w:p>
        </w:tc>
        <w:tc>
          <w:tcPr>
            <w:tcW w:w="1697" w:type="dxa"/>
            <w:tcBorders>
              <w:top w:val="nil"/>
              <w:left w:val="nil"/>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PODRUČJE ZA DODJELU DOZVOLA ZA UPORABU RF SPEKTRA</w:t>
            </w:r>
          </w:p>
        </w:tc>
        <w:tc>
          <w:tcPr>
            <w:tcW w:w="1418" w:type="dxa"/>
            <w:tcBorders>
              <w:top w:val="nil"/>
              <w:left w:val="nil"/>
              <w:bottom w:val="nil"/>
              <w:right w:val="nil"/>
            </w:tcBorders>
            <w:shd w:val="clear" w:color="auto" w:fill="auto"/>
            <w:noWrap/>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ŠIRINA KANALA</w:t>
            </w:r>
          </w:p>
        </w:tc>
        <w:tc>
          <w:tcPr>
            <w:tcW w:w="1559" w:type="dxa"/>
            <w:tcBorders>
              <w:top w:val="nil"/>
              <w:left w:val="nil"/>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RAZMAK IZMEĐU KANALA</w:t>
            </w:r>
          </w:p>
        </w:tc>
        <w:tc>
          <w:tcPr>
            <w:tcW w:w="1843" w:type="dxa"/>
            <w:tcBorders>
              <w:top w:val="nil"/>
              <w:left w:val="nil"/>
              <w:bottom w:val="nil"/>
              <w:right w:val="nil"/>
            </w:tcBorders>
            <w:shd w:val="clear" w:color="auto" w:fill="auto"/>
            <w:noWrap/>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VRSTA EMISIJE</w:t>
            </w:r>
          </w:p>
        </w:tc>
        <w:tc>
          <w:tcPr>
            <w:tcW w:w="1596" w:type="dxa"/>
            <w:tcBorders>
              <w:top w:val="nil"/>
              <w:left w:val="nil"/>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MEĐUNARODNI SPORAZUMI</w:t>
            </w:r>
          </w:p>
        </w:tc>
        <w:tc>
          <w:tcPr>
            <w:tcW w:w="1690" w:type="dxa"/>
            <w:tcBorders>
              <w:top w:val="nil"/>
              <w:left w:val="nil"/>
              <w:bottom w:val="nil"/>
              <w:right w:val="nil"/>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NORME, PREPORUKE</w:t>
            </w:r>
          </w:p>
        </w:tc>
        <w:tc>
          <w:tcPr>
            <w:tcW w:w="1984" w:type="dxa"/>
            <w:tcBorders>
              <w:top w:val="nil"/>
              <w:left w:val="nil"/>
              <w:bottom w:val="nil"/>
              <w:right w:val="single" w:sz="4" w:space="0" w:color="auto"/>
            </w:tcBorders>
            <w:shd w:val="clear" w:color="auto" w:fill="auto"/>
            <w:hideMark/>
          </w:tcPr>
          <w:p w:rsidR="00C36AA7" w:rsidRPr="00C36AA7" w:rsidRDefault="00C36AA7">
            <w:pPr>
              <w:jc w:val="center"/>
              <w:rPr>
                <w:rFonts w:ascii="Arial" w:hAnsi="Arial" w:cs="Arial"/>
                <w:b/>
                <w:bCs/>
                <w:sz w:val="18"/>
                <w:szCs w:val="18"/>
              </w:rPr>
            </w:pPr>
            <w:r w:rsidRPr="00C36AA7">
              <w:rPr>
                <w:rFonts w:ascii="Arial" w:hAnsi="Arial" w:cs="Arial"/>
                <w:b/>
                <w:bCs/>
                <w:sz w:val="18"/>
                <w:szCs w:val="18"/>
              </w:rPr>
              <w:t>NAČIN IZDAVANJA DOZVOLE</w:t>
            </w:r>
          </w:p>
        </w:tc>
      </w:tr>
      <w:tr w:rsidR="00C36AA7" w:rsidRPr="00C36AA7" w:rsidTr="00C36AA7">
        <w:trPr>
          <w:trHeight w:val="270"/>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70"/>
        </w:trPr>
        <w:tc>
          <w:tcPr>
            <w:tcW w:w="2410" w:type="dxa"/>
            <w:tcBorders>
              <w:top w:val="single" w:sz="12" w:space="0" w:color="auto"/>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single" w:sz="12"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single" w:sz="12" w:space="0" w:color="auto"/>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single" w:sz="12" w:space="0" w:color="auto"/>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148,5 kHz - 255 kHz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LF radio</w:t>
            </w:r>
          </w:p>
        </w:tc>
        <w:tc>
          <w:tcPr>
            <w:tcW w:w="169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 kHz</w:t>
            </w:r>
          </w:p>
        </w:tc>
        <w:tc>
          <w:tcPr>
            <w:tcW w:w="1559"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 kHz</w:t>
            </w:r>
          </w:p>
        </w:tc>
        <w:tc>
          <w:tcPr>
            <w:tcW w:w="1843"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9K00A3EGN</w:t>
            </w:r>
          </w:p>
        </w:tc>
        <w:tc>
          <w:tcPr>
            <w:tcW w:w="1596"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GE75</w:t>
            </w:r>
          </w:p>
        </w:tc>
        <w:tc>
          <w:tcPr>
            <w:tcW w:w="1690"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ITU-R BS.560, ITU-R BS.561, ITU-R BS.639</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na zahtjev / natječaj</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255 kHz - 283,5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418"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843"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vMerge w:val="restart"/>
            <w:tcBorders>
              <w:top w:val="nil"/>
              <w:left w:val="single" w:sz="4" w:space="0" w:color="auto"/>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526,5 kHz - 1606,5 kHz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MF radio</w:t>
            </w:r>
          </w:p>
        </w:tc>
        <w:tc>
          <w:tcPr>
            <w:tcW w:w="169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 kHz</w:t>
            </w:r>
          </w:p>
        </w:tc>
        <w:tc>
          <w:tcPr>
            <w:tcW w:w="1559"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 kHz</w:t>
            </w:r>
          </w:p>
        </w:tc>
        <w:tc>
          <w:tcPr>
            <w:tcW w:w="1843"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9K00A3EGN,</w:t>
            </w:r>
            <w:r w:rsidRPr="00C36AA7">
              <w:rPr>
                <w:rFonts w:ascii="Arial" w:hAnsi="Arial" w:cs="Arial"/>
                <w:sz w:val="18"/>
                <w:szCs w:val="18"/>
              </w:rPr>
              <w:br/>
              <w:t>9K00X7EXF</w:t>
            </w:r>
          </w:p>
        </w:tc>
        <w:tc>
          <w:tcPr>
            <w:tcW w:w="1596"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GE75</w:t>
            </w:r>
          </w:p>
        </w:tc>
        <w:tc>
          <w:tcPr>
            <w:tcW w:w="1690" w:type="dxa"/>
            <w:vMerge w:val="restart"/>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ITU-R BS.560, ITU-R BS.561, ITU-R BS.639,  ITU-R BS.1349, ITU-R BS.1514,  ITU-R BS.1615</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na zahtjev</w:t>
            </w:r>
          </w:p>
        </w:tc>
      </w:tr>
      <w:tr w:rsidR="00C36AA7" w:rsidRPr="00C36AA7" w:rsidTr="00C36AA7">
        <w:trPr>
          <w:trHeight w:val="255"/>
        </w:trPr>
        <w:tc>
          <w:tcPr>
            <w:tcW w:w="2410" w:type="dxa"/>
            <w:vMerge/>
            <w:tcBorders>
              <w:top w:val="nil"/>
              <w:left w:val="single" w:sz="4" w:space="0" w:color="auto"/>
              <w:bottom w:val="nil"/>
              <w:right w:val="nil"/>
            </w:tcBorders>
            <w:vAlign w:val="center"/>
            <w:hideMark/>
          </w:tcPr>
          <w:p w:rsidR="00C36AA7" w:rsidRPr="00C36AA7" w:rsidRDefault="00C36AA7">
            <w:pPr>
              <w:rPr>
                <w:rFonts w:ascii="Arial" w:hAnsi="Arial" w:cs="Arial"/>
                <w:sz w:val="18"/>
                <w:szCs w:val="18"/>
              </w:rPr>
            </w:pP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dashed" w:sz="4" w:space="0" w:color="auto"/>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7"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dashed" w:sz="4" w:space="0" w:color="auto"/>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3950 kHz - 4000 kHz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HF radio</w:t>
            </w:r>
          </w:p>
        </w:tc>
        <w:tc>
          <w:tcPr>
            <w:tcW w:w="169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4,5 kHz - 10 kHz ovisno o tipu modulacije</w:t>
            </w:r>
          </w:p>
        </w:tc>
        <w:tc>
          <w:tcPr>
            <w:tcW w:w="1559"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5 kHz ili 10 kHz ovisno o tipu modulacije</w:t>
            </w:r>
          </w:p>
        </w:tc>
        <w:tc>
          <w:tcPr>
            <w:tcW w:w="1843"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10K00A3EGN,</w:t>
            </w:r>
            <w:r w:rsidRPr="00C36AA7">
              <w:rPr>
                <w:rFonts w:ascii="Arial" w:hAnsi="Arial" w:cs="Arial"/>
                <w:sz w:val="18"/>
                <w:szCs w:val="18"/>
              </w:rPr>
              <w:br/>
              <w:t>10K00X7EXF</w:t>
            </w: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ITU-R BS.560, ITU-R BS.561, ITU-R BS.597, ITU-R BS.639, ITU-R BS.640, ITU-R BS.1349, ITU-R BS.1514, ITU-R BS.1615</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na zahtjev / natječaj</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5900 kHz - 5950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5950 kHz - 6200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7200 kHz - 7300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7300 kHz - 7400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7400 kHz - 7450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9400 kHz - 9500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9500 kHz - 9900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11600 kHz - 11650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11650 kHz - 12050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12050 kHz - 12100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13570 kHz - 13600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13600 kHz - 13800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13800 kHz - 13870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15100 kHz - 15600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15600 kHz - 15800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lastRenderedPageBreak/>
              <w:t>17480 kHz - 17550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17550 kHz - 17900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18900 kHz - 19020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21450 kHz - 21850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25670 kHz - 26100 kHz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87,5 MHz - 100,0 MHz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VHF radio</w:t>
            </w:r>
          </w:p>
        </w:tc>
        <w:tc>
          <w:tcPr>
            <w:tcW w:w="169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250 kHz</w:t>
            </w:r>
          </w:p>
        </w:tc>
        <w:tc>
          <w:tcPr>
            <w:tcW w:w="1559"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100 kHz</w:t>
            </w:r>
          </w:p>
        </w:tc>
        <w:tc>
          <w:tcPr>
            <w:tcW w:w="1843"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250KF8EHF</w:t>
            </w:r>
          </w:p>
        </w:tc>
        <w:tc>
          <w:tcPr>
            <w:tcW w:w="1596"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GE84</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ITU-R BS.412, ITU-R BS.450</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na zahtjev / javni poziv</w:t>
            </w:r>
            <w:r w:rsidRPr="00C36AA7">
              <w:rPr>
                <w:rFonts w:ascii="Arial" w:hAnsi="Arial" w:cs="Arial"/>
                <w:sz w:val="18"/>
                <w:szCs w:val="18"/>
              </w:rPr>
              <w:br/>
              <w:t>/ natječaj</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100,0 MHz - 108,0 MHz</w:t>
            </w: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450"/>
        </w:trPr>
        <w:tc>
          <w:tcPr>
            <w:tcW w:w="2410" w:type="dxa"/>
            <w:tcBorders>
              <w:top w:val="nil"/>
              <w:left w:val="single" w:sz="4" w:space="0" w:color="auto"/>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174,0 MHz - 2</w:t>
            </w:r>
            <w:r w:rsidR="00223C8C">
              <w:rPr>
                <w:rFonts w:ascii="Arial" w:hAnsi="Arial" w:cs="Arial"/>
                <w:sz w:val="18"/>
                <w:szCs w:val="18"/>
              </w:rPr>
              <w:t>4</w:t>
            </w:r>
            <w:r w:rsidRPr="00C36AA7">
              <w:rPr>
                <w:rFonts w:ascii="Arial" w:hAnsi="Arial" w:cs="Arial"/>
                <w:sz w:val="18"/>
                <w:szCs w:val="18"/>
              </w:rPr>
              <w:t>0,0 MHz</w:t>
            </w:r>
          </w:p>
        </w:tc>
        <w:tc>
          <w:tcPr>
            <w:tcW w:w="184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T-DAB</w:t>
            </w:r>
          </w:p>
        </w:tc>
        <w:tc>
          <w:tcPr>
            <w:tcW w:w="169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color w:val="0000FF"/>
                <w:sz w:val="18"/>
                <w:szCs w:val="18"/>
                <w:u w:val="single"/>
              </w:rPr>
            </w:pPr>
            <w:hyperlink r:id="rId10" w:history="1">
              <w:r w:rsidRPr="00C36AA7">
                <w:rPr>
                  <w:rStyle w:val="Hyperlink"/>
                  <w:rFonts w:ascii="Arial" w:hAnsi="Arial" w:cs="Arial"/>
                  <w:sz w:val="18"/>
                  <w:szCs w:val="18"/>
                </w:rPr>
                <w:t>Republika Hrvatska</w:t>
              </w:r>
            </w:hyperlink>
          </w:p>
        </w:tc>
        <w:tc>
          <w:tcPr>
            <w:tcW w:w="1418"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1,536 MHz</w:t>
            </w:r>
          </w:p>
        </w:tc>
        <w:tc>
          <w:tcPr>
            <w:tcW w:w="1559"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176-336 kHz</w:t>
            </w:r>
          </w:p>
        </w:tc>
        <w:tc>
          <w:tcPr>
            <w:tcW w:w="1843"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1M54X7EXF</w:t>
            </w:r>
          </w:p>
        </w:tc>
        <w:tc>
          <w:tcPr>
            <w:tcW w:w="1596" w:type="dxa"/>
            <w:tcBorders>
              <w:top w:val="nil"/>
              <w:left w:val="nil"/>
              <w:bottom w:val="nil"/>
              <w:right w:val="nil"/>
            </w:tcBorders>
            <w:shd w:val="clear" w:color="auto" w:fill="auto"/>
            <w:noWrap/>
            <w:vAlign w:val="center"/>
            <w:hideMark/>
          </w:tcPr>
          <w:p w:rsidR="00C36AA7" w:rsidRDefault="00C36AA7">
            <w:pPr>
              <w:jc w:val="center"/>
              <w:rPr>
                <w:rFonts w:ascii="Arial" w:hAnsi="Arial" w:cs="Arial"/>
                <w:sz w:val="18"/>
                <w:szCs w:val="18"/>
              </w:rPr>
            </w:pPr>
            <w:r w:rsidRPr="00C36AA7">
              <w:rPr>
                <w:rFonts w:ascii="Arial" w:hAnsi="Arial" w:cs="Arial"/>
                <w:sz w:val="18"/>
                <w:szCs w:val="18"/>
              </w:rPr>
              <w:t>GE06</w:t>
            </w:r>
          </w:p>
          <w:p w:rsidR="00191F79" w:rsidRPr="00C36AA7" w:rsidRDefault="00191F79">
            <w:pPr>
              <w:jc w:val="center"/>
              <w:rPr>
                <w:rFonts w:ascii="Arial" w:hAnsi="Arial" w:cs="Arial"/>
                <w:sz w:val="18"/>
                <w:szCs w:val="18"/>
              </w:rPr>
            </w:pPr>
            <w:r>
              <w:rPr>
                <w:rFonts w:ascii="Arial" w:hAnsi="Arial" w:cs="Arial"/>
                <w:sz w:val="18"/>
                <w:szCs w:val="18"/>
              </w:rPr>
              <w:t>WI95revCO07</w:t>
            </w:r>
          </w:p>
        </w:tc>
        <w:tc>
          <w:tcPr>
            <w:tcW w:w="1690" w:type="dxa"/>
            <w:tcBorders>
              <w:top w:val="nil"/>
              <w:left w:val="nil"/>
              <w:bottom w:val="nil"/>
              <w:right w:val="nil"/>
            </w:tcBorders>
            <w:shd w:val="clear" w:color="auto" w:fill="auto"/>
            <w:vAlign w:val="center"/>
            <w:hideMark/>
          </w:tcPr>
          <w:p w:rsidR="00C36AA7" w:rsidRDefault="00C36AA7">
            <w:pPr>
              <w:jc w:val="center"/>
              <w:rPr>
                <w:rFonts w:ascii="Arial" w:hAnsi="Arial" w:cs="Arial"/>
                <w:sz w:val="18"/>
                <w:szCs w:val="18"/>
              </w:rPr>
            </w:pPr>
            <w:r w:rsidRPr="00C36AA7">
              <w:rPr>
                <w:rFonts w:ascii="Arial" w:hAnsi="Arial" w:cs="Arial"/>
                <w:sz w:val="18"/>
                <w:szCs w:val="18"/>
              </w:rPr>
              <w:t>ITU-R BS.1660, ITU-R BS.774,</w:t>
            </w:r>
            <w:r w:rsidRPr="00C36AA7">
              <w:rPr>
                <w:rFonts w:ascii="Arial" w:hAnsi="Arial" w:cs="Arial"/>
                <w:sz w:val="18"/>
                <w:szCs w:val="18"/>
              </w:rPr>
              <w:br/>
              <w:t>ITU-R BS.1114, ETSI EN 300 401</w:t>
            </w:r>
          </w:p>
          <w:p w:rsidR="00D33101" w:rsidRPr="00C36AA7" w:rsidRDefault="00D33101">
            <w:pPr>
              <w:jc w:val="center"/>
              <w:rPr>
                <w:rFonts w:ascii="Arial" w:hAnsi="Arial" w:cs="Arial"/>
                <w:sz w:val="18"/>
                <w:szCs w:val="18"/>
              </w:rPr>
            </w:pPr>
            <w:r w:rsidRPr="00D33101">
              <w:rPr>
                <w:rFonts w:ascii="Arial" w:hAnsi="Arial" w:cs="Arial"/>
                <w:sz w:val="18"/>
                <w:szCs w:val="18"/>
              </w:rPr>
              <w:t>ETSI TS 102 563</w:t>
            </w:r>
          </w:p>
        </w:tc>
        <w:tc>
          <w:tcPr>
            <w:tcW w:w="1984" w:type="dxa"/>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javni poziv / natječaj</w:t>
            </w: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418"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843"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596" w:type="dxa"/>
            <w:tcBorders>
              <w:top w:val="nil"/>
              <w:left w:val="nil"/>
              <w:bottom w:val="dashed" w:sz="4" w:space="0" w:color="auto"/>
              <w:right w:val="nil"/>
            </w:tcBorders>
            <w:shd w:val="clear" w:color="auto" w:fill="auto"/>
            <w:noWrap/>
            <w:vAlign w:val="bottom"/>
            <w:hideMark/>
          </w:tcPr>
          <w:p w:rsidR="00C36AA7" w:rsidRPr="00C36AA7" w:rsidRDefault="00C36AA7">
            <w:pPr>
              <w:rPr>
                <w:rFonts w:ascii="Arial" w:hAnsi="Arial" w:cs="Arial"/>
                <w:sz w:val="18"/>
                <w:szCs w:val="18"/>
              </w:rPr>
            </w:pPr>
            <w:r w:rsidRPr="00C36AA7">
              <w:rPr>
                <w:rFonts w:ascii="Arial" w:hAnsi="Arial" w:cs="Arial"/>
                <w:sz w:val="18"/>
                <w:szCs w:val="18"/>
              </w:rPr>
              <w:t> </w:t>
            </w: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450"/>
        </w:trPr>
        <w:tc>
          <w:tcPr>
            <w:tcW w:w="2410" w:type="dxa"/>
            <w:vMerge w:val="restart"/>
            <w:tcBorders>
              <w:top w:val="nil"/>
              <w:left w:val="single" w:sz="4" w:space="0" w:color="auto"/>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174,0 MHz - 230,0 MHz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DTV</w:t>
            </w: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7 MHz</w:t>
            </w:r>
          </w:p>
        </w:tc>
        <w:tc>
          <w:tcPr>
            <w:tcW w:w="1559"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0 MHz</w:t>
            </w:r>
          </w:p>
        </w:tc>
        <w:tc>
          <w:tcPr>
            <w:tcW w:w="1843"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7M00X7FXF</w:t>
            </w:r>
          </w:p>
        </w:tc>
        <w:tc>
          <w:tcPr>
            <w:tcW w:w="1596"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GE06</w:t>
            </w:r>
          </w:p>
        </w:tc>
        <w:tc>
          <w:tcPr>
            <w:tcW w:w="1690" w:type="dxa"/>
            <w:vMerge w:val="restart"/>
            <w:tcBorders>
              <w:top w:val="nil"/>
              <w:left w:val="nil"/>
              <w:bottom w:val="nil"/>
              <w:right w:val="nil"/>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ITU-R BT.1125, ITU-R BT.1368,</w:t>
            </w:r>
            <w:r w:rsidRPr="00C36AA7">
              <w:rPr>
                <w:rFonts w:ascii="Arial" w:hAnsi="Arial" w:cs="Arial"/>
                <w:sz w:val="18"/>
                <w:szCs w:val="18"/>
              </w:rPr>
              <w:br/>
              <w:t>ETSI EN 300 744, ITU-R BT.1877</w:t>
            </w:r>
            <w:r w:rsidRPr="00C36AA7">
              <w:rPr>
                <w:rFonts w:ascii="Arial" w:hAnsi="Arial" w:cs="Arial"/>
                <w:sz w:val="18"/>
                <w:szCs w:val="18"/>
              </w:rPr>
              <w:br/>
              <w:t>ETSI EN 302 755</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javni poziv / natječaj</w:t>
            </w:r>
          </w:p>
        </w:tc>
      </w:tr>
      <w:tr w:rsidR="00C36AA7" w:rsidRPr="00C36AA7" w:rsidTr="00C36AA7">
        <w:trPr>
          <w:trHeight w:val="255"/>
        </w:trPr>
        <w:tc>
          <w:tcPr>
            <w:tcW w:w="2410" w:type="dxa"/>
            <w:vMerge/>
            <w:tcBorders>
              <w:top w:val="nil"/>
              <w:left w:val="single" w:sz="4" w:space="0" w:color="auto"/>
              <w:bottom w:val="nil"/>
              <w:right w:val="nil"/>
            </w:tcBorders>
            <w:vAlign w:val="center"/>
            <w:hideMark/>
          </w:tcPr>
          <w:p w:rsidR="00C36AA7" w:rsidRPr="00C36AA7" w:rsidRDefault="00C36AA7">
            <w:pPr>
              <w:rPr>
                <w:rFonts w:ascii="Arial" w:hAnsi="Arial" w:cs="Arial"/>
                <w:sz w:val="18"/>
                <w:szCs w:val="18"/>
              </w:rPr>
            </w:pP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vMerge/>
            <w:tcBorders>
              <w:top w:val="nil"/>
              <w:left w:val="single" w:sz="4" w:space="0" w:color="auto"/>
              <w:bottom w:val="nil"/>
              <w:right w:val="nil"/>
            </w:tcBorders>
            <w:vAlign w:val="center"/>
            <w:hideMark/>
          </w:tcPr>
          <w:p w:rsidR="00C36AA7" w:rsidRPr="00C36AA7" w:rsidRDefault="00C36AA7">
            <w:pPr>
              <w:rPr>
                <w:rFonts w:ascii="Arial" w:hAnsi="Arial" w:cs="Arial"/>
                <w:sz w:val="18"/>
                <w:szCs w:val="18"/>
              </w:rPr>
            </w:pP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color w:val="0000FF"/>
                <w:sz w:val="18"/>
                <w:szCs w:val="18"/>
                <w:u w:val="single"/>
              </w:rPr>
            </w:pPr>
            <w:hyperlink r:id="rId11" w:history="1">
              <w:r w:rsidRPr="00C36AA7">
                <w:rPr>
                  <w:rStyle w:val="Hyperlink"/>
                  <w:rFonts w:ascii="Arial" w:hAnsi="Arial" w:cs="Arial"/>
                  <w:sz w:val="18"/>
                  <w:szCs w:val="18"/>
                </w:rPr>
                <w:t>Područja dodjele</w:t>
              </w:r>
            </w:hyperlink>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418"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3"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96"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0" w:type="dxa"/>
            <w:tcBorders>
              <w:top w:val="nil"/>
              <w:left w:val="nil"/>
              <w:bottom w:val="dashed"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vMerge w:val="restart"/>
            <w:tcBorders>
              <w:top w:val="nil"/>
              <w:left w:val="single" w:sz="4" w:space="0" w:color="auto"/>
              <w:bottom w:val="nil"/>
              <w:right w:val="nil"/>
            </w:tcBorders>
            <w:shd w:val="clear" w:color="auto" w:fill="auto"/>
            <w:noWrap/>
            <w:vAlign w:val="center"/>
            <w:hideMark/>
          </w:tcPr>
          <w:p w:rsidR="00C36AA7" w:rsidRPr="00C36AA7" w:rsidRDefault="00C36AA7" w:rsidP="00D82125">
            <w:pPr>
              <w:jc w:val="center"/>
              <w:rPr>
                <w:rFonts w:ascii="Arial" w:hAnsi="Arial" w:cs="Arial"/>
                <w:sz w:val="18"/>
                <w:szCs w:val="18"/>
              </w:rPr>
            </w:pPr>
            <w:r w:rsidRPr="00C36AA7">
              <w:rPr>
                <w:rFonts w:ascii="Arial" w:hAnsi="Arial" w:cs="Arial"/>
                <w:sz w:val="18"/>
                <w:szCs w:val="18"/>
              </w:rPr>
              <w:t xml:space="preserve">470,0 MHz - </w:t>
            </w:r>
            <w:r w:rsidR="006A2548">
              <w:rPr>
                <w:rFonts w:ascii="Arial" w:hAnsi="Arial" w:cs="Arial"/>
                <w:sz w:val="18"/>
                <w:szCs w:val="18"/>
              </w:rPr>
              <w:t>694</w:t>
            </w:r>
            <w:r w:rsidRPr="00C36AA7">
              <w:rPr>
                <w:rFonts w:ascii="Arial" w:hAnsi="Arial" w:cs="Arial"/>
                <w:sz w:val="18"/>
                <w:szCs w:val="18"/>
              </w:rPr>
              <w:t>,0 MHz</w:t>
            </w:r>
          </w:p>
        </w:tc>
        <w:tc>
          <w:tcPr>
            <w:tcW w:w="1847"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DTV</w:t>
            </w: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Republika Hrvatska*</w:t>
            </w:r>
          </w:p>
        </w:tc>
        <w:tc>
          <w:tcPr>
            <w:tcW w:w="1418"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8 MHz</w:t>
            </w:r>
          </w:p>
        </w:tc>
        <w:tc>
          <w:tcPr>
            <w:tcW w:w="1559"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0 MHz</w:t>
            </w:r>
          </w:p>
        </w:tc>
        <w:tc>
          <w:tcPr>
            <w:tcW w:w="1843"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8M00X7FXF</w:t>
            </w:r>
          </w:p>
        </w:tc>
        <w:tc>
          <w:tcPr>
            <w:tcW w:w="1596" w:type="dxa"/>
            <w:vMerge w:val="restart"/>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GE06</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ITU-R BT.1125, ITU-R BT.1368</w:t>
            </w:r>
          </w:p>
        </w:tc>
        <w:tc>
          <w:tcPr>
            <w:tcW w:w="1984" w:type="dxa"/>
            <w:vMerge w:val="restart"/>
            <w:tcBorders>
              <w:top w:val="nil"/>
              <w:left w:val="nil"/>
              <w:bottom w:val="nil"/>
              <w:right w:val="single" w:sz="4" w:space="0" w:color="auto"/>
            </w:tcBorders>
            <w:shd w:val="clear" w:color="auto" w:fill="auto"/>
            <w:vAlign w:val="center"/>
            <w:hideMark/>
          </w:tcPr>
          <w:p w:rsidR="00C36AA7" w:rsidRPr="00C36AA7" w:rsidRDefault="00C36AA7">
            <w:pPr>
              <w:jc w:val="center"/>
              <w:rPr>
                <w:rFonts w:ascii="Arial" w:hAnsi="Arial" w:cs="Arial"/>
                <w:sz w:val="18"/>
                <w:szCs w:val="18"/>
              </w:rPr>
            </w:pPr>
            <w:r w:rsidRPr="00C36AA7">
              <w:rPr>
                <w:rFonts w:ascii="Arial" w:hAnsi="Arial" w:cs="Arial"/>
                <w:sz w:val="18"/>
                <w:szCs w:val="18"/>
              </w:rPr>
              <w:t>javni poziv / natječaj</w:t>
            </w:r>
          </w:p>
        </w:tc>
      </w:tr>
      <w:tr w:rsidR="00C36AA7" w:rsidRPr="00C36AA7" w:rsidTr="00C36AA7">
        <w:trPr>
          <w:trHeight w:val="255"/>
        </w:trPr>
        <w:tc>
          <w:tcPr>
            <w:tcW w:w="2410" w:type="dxa"/>
            <w:vMerge/>
            <w:tcBorders>
              <w:top w:val="nil"/>
              <w:left w:val="single" w:sz="4" w:space="0" w:color="auto"/>
              <w:bottom w:val="nil"/>
              <w:right w:val="nil"/>
            </w:tcBorders>
            <w:vAlign w:val="center"/>
            <w:hideMark/>
          </w:tcPr>
          <w:p w:rsidR="00C36AA7" w:rsidRPr="00C36AA7" w:rsidRDefault="00C36AA7">
            <w:pPr>
              <w:rPr>
                <w:rFonts w:ascii="Arial" w:hAnsi="Arial" w:cs="Arial"/>
                <w:sz w:val="18"/>
                <w:szCs w:val="18"/>
              </w:rPr>
            </w:pP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sz w:val="18"/>
                <w:szCs w:val="18"/>
              </w:rPr>
            </w:pPr>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ETSI EN 300 744, ETSI EN 302 304</w:t>
            </w: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vMerge/>
            <w:tcBorders>
              <w:top w:val="nil"/>
              <w:left w:val="single" w:sz="4" w:space="0" w:color="auto"/>
              <w:bottom w:val="nil"/>
              <w:right w:val="nil"/>
            </w:tcBorders>
            <w:vAlign w:val="center"/>
            <w:hideMark/>
          </w:tcPr>
          <w:p w:rsidR="00C36AA7" w:rsidRPr="00C36AA7" w:rsidRDefault="00C36AA7">
            <w:pPr>
              <w:rPr>
                <w:rFonts w:ascii="Arial" w:hAnsi="Arial" w:cs="Arial"/>
                <w:sz w:val="18"/>
                <w:szCs w:val="18"/>
              </w:rPr>
            </w:pPr>
          </w:p>
        </w:tc>
        <w:tc>
          <w:tcPr>
            <w:tcW w:w="1847"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color w:val="0000FF"/>
                <w:sz w:val="18"/>
                <w:szCs w:val="18"/>
                <w:u w:val="single"/>
              </w:rPr>
            </w:pPr>
            <w:hyperlink r:id="rId12" w:history="1">
              <w:r w:rsidRPr="00C36AA7">
                <w:rPr>
                  <w:rStyle w:val="Hyperlink"/>
                  <w:rFonts w:ascii="Arial" w:hAnsi="Arial" w:cs="Arial"/>
                  <w:sz w:val="18"/>
                  <w:szCs w:val="18"/>
                </w:rPr>
                <w:t>Područja dodjele</w:t>
              </w:r>
            </w:hyperlink>
          </w:p>
        </w:tc>
        <w:tc>
          <w:tcPr>
            <w:tcW w:w="1418"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59"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843"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596" w:type="dxa"/>
            <w:vMerge/>
            <w:tcBorders>
              <w:top w:val="nil"/>
              <w:left w:val="nil"/>
              <w:bottom w:val="nil"/>
              <w:right w:val="nil"/>
            </w:tcBorders>
            <w:vAlign w:val="center"/>
            <w:hideMark/>
          </w:tcPr>
          <w:p w:rsidR="00C36AA7" w:rsidRPr="00C36AA7" w:rsidRDefault="00C36AA7">
            <w:pPr>
              <w:rPr>
                <w:rFonts w:ascii="Arial" w:hAnsi="Arial" w:cs="Arial"/>
                <w:sz w:val="18"/>
                <w:szCs w:val="18"/>
              </w:rPr>
            </w:pP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ITU-R BT.1877, ETSI EN 302 755</w:t>
            </w:r>
          </w:p>
        </w:tc>
        <w:tc>
          <w:tcPr>
            <w:tcW w:w="1984" w:type="dxa"/>
            <w:vMerge/>
            <w:tcBorders>
              <w:top w:val="nil"/>
              <w:left w:val="nil"/>
              <w:bottom w:val="nil"/>
              <w:right w:val="single" w:sz="4" w:space="0" w:color="auto"/>
            </w:tcBorders>
            <w:vAlign w:val="center"/>
            <w:hideMark/>
          </w:tcPr>
          <w:p w:rsidR="00C36AA7" w:rsidRPr="00C36AA7" w:rsidRDefault="00C36AA7">
            <w:pPr>
              <w:rPr>
                <w:rFonts w:ascii="Arial" w:hAnsi="Arial" w:cs="Arial"/>
                <w:sz w:val="18"/>
                <w:szCs w:val="18"/>
              </w:rPr>
            </w:pPr>
          </w:p>
        </w:tc>
      </w:tr>
      <w:tr w:rsidR="00C36AA7" w:rsidRPr="00C36AA7" w:rsidTr="00C36AA7">
        <w:trPr>
          <w:trHeight w:val="255"/>
        </w:trPr>
        <w:tc>
          <w:tcPr>
            <w:tcW w:w="2410" w:type="dxa"/>
            <w:tcBorders>
              <w:top w:val="nil"/>
              <w:left w:val="single" w:sz="4" w:space="0" w:color="auto"/>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7"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418"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59"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3"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96"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0" w:type="dxa"/>
            <w:tcBorders>
              <w:top w:val="nil"/>
              <w:left w:val="nil"/>
              <w:bottom w:val="dashed"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dashed"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843"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596"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690"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255"/>
        </w:trPr>
        <w:tc>
          <w:tcPr>
            <w:tcW w:w="2410" w:type="dxa"/>
            <w:tcBorders>
              <w:top w:val="nil"/>
              <w:left w:val="single" w:sz="4" w:space="0" w:color="auto"/>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1452,0 MHz - 1492,0 MHz</w:t>
            </w:r>
          </w:p>
        </w:tc>
        <w:tc>
          <w:tcPr>
            <w:tcW w:w="1847"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T-DAB</w:t>
            </w:r>
          </w:p>
        </w:tc>
        <w:tc>
          <w:tcPr>
            <w:tcW w:w="1697" w:type="dxa"/>
            <w:tcBorders>
              <w:top w:val="nil"/>
              <w:left w:val="nil"/>
              <w:bottom w:val="nil"/>
              <w:right w:val="nil"/>
            </w:tcBorders>
            <w:shd w:val="clear" w:color="auto" w:fill="auto"/>
            <w:noWrap/>
            <w:vAlign w:val="center"/>
            <w:hideMark/>
          </w:tcPr>
          <w:p w:rsidR="00C36AA7" w:rsidRPr="00C36AA7" w:rsidRDefault="00C36AA7">
            <w:pPr>
              <w:jc w:val="center"/>
              <w:rPr>
                <w:rFonts w:ascii="Arial" w:hAnsi="Arial" w:cs="Arial"/>
                <w:color w:val="0000FF"/>
                <w:sz w:val="18"/>
                <w:szCs w:val="18"/>
                <w:u w:val="single"/>
              </w:rPr>
            </w:pPr>
            <w:hyperlink r:id="rId13" w:history="1">
              <w:r w:rsidRPr="00C36AA7">
                <w:rPr>
                  <w:rStyle w:val="Hyperlink"/>
                  <w:rFonts w:ascii="Arial" w:hAnsi="Arial" w:cs="Arial"/>
                  <w:sz w:val="18"/>
                  <w:szCs w:val="18"/>
                </w:rPr>
                <w:t>Republika Hrvatska</w:t>
              </w:r>
            </w:hyperlink>
          </w:p>
        </w:tc>
        <w:tc>
          <w:tcPr>
            <w:tcW w:w="1418"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1,536 MHz</w:t>
            </w:r>
          </w:p>
        </w:tc>
        <w:tc>
          <w:tcPr>
            <w:tcW w:w="1559"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176 kHz</w:t>
            </w:r>
          </w:p>
        </w:tc>
        <w:tc>
          <w:tcPr>
            <w:tcW w:w="1843"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1M54X7EXF</w:t>
            </w:r>
          </w:p>
        </w:tc>
        <w:tc>
          <w:tcPr>
            <w:tcW w:w="1596" w:type="dxa"/>
            <w:tcBorders>
              <w:top w:val="nil"/>
              <w:left w:val="nil"/>
              <w:bottom w:val="nil"/>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MA02 revCO07</w:t>
            </w:r>
          </w:p>
        </w:tc>
        <w:tc>
          <w:tcPr>
            <w:tcW w:w="1690" w:type="dxa"/>
            <w:tcBorders>
              <w:top w:val="nil"/>
              <w:left w:val="nil"/>
              <w:bottom w:val="nil"/>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ITU-R BS.1114, ETSI EN 300 401</w:t>
            </w:r>
          </w:p>
        </w:tc>
        <w:tc>
          <w:tcPr>
            <w:tcW w:w="1984" w:type="dxa"/>
            <w:tcBorders>
              <w:top w:val="nil"/>
              <w:left w:val="nil"/>
              <w:bottom w:val="nil"/>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javni poziv / natječaj</w:t>
            </w:r>
          </w:p>
        </w:tc>
      </w:tr>
      <w:tr w:rsidR="00C36AA7" w:rsidRPr="00C36AA7" w:rsidTr="00C36AA7">
        <w:trPr>
          <w:trHeight w:val="255"/>
        </w:trPr>
        <w:tc>
          <w:tcPr>
            <w:tcW w:w="2410" w:type="dxa"/>
            <w:tcBorders>
              <w:top w:val="nil"/>
              <w:left w:val="single" w:sz="4" w:space="0" w:color="auto"/>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7"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7"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418"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59"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843"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596" w:type="dxa"/>
            <w:tcBorders>
              <w:top w:val="nil"/>
              <w:left w:val="nil"/>
              <w:bottom w:val="single" w:sz="4" w:space="0" w:color="auto"/>
              <w:right w:val="nil"/>
            </w:tcBorders>
            <w:shd w:val="clear" w:color="auto" w:fill="auto"/>
            <w:noWrap/>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690" w:type="dxa"/>
            <w:tcBorders>
              <w:top w:val="nil"/>
              <w:left w:val="nil"/>
              <w:bottom w:val="single" w:sz="4" w:space="0" w:color="auto"/>
              <w:right w:val="nil"/>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c>
          <w:tcPr>
            <w:tcW w:w="1984" w:type="dxa"/>
            <w:tcBorders>
              <w:top w:val="nil"/>
              <w:left w:val="nil"/>
              <w:bottom w:val="single" w:sz="4" w:space="0" w:color="auto"/>
              <w:right w:val="single" w:sz="4" w:space="0" w:color="auto"/>
            </w:tcBorders>
            <w:shd w:val="clear" w:color="auto" w:fill="auto"/>
            <w:vAlign w:val="bottom"/>
            <w:hideMark/>
          </w:tcPr>
          <w:p w:rsidR="00C36AA7" w:rsidRPr="00C36AA7" w:rsidRDefault="00C36AA7">
            <w:pPr>
              <w:jc w:val="center"/>
              <w:rPr>
                <w:rFonts w:ascii="Arial" w:hAnsi="Arial" w:cs="Arial"/>
                <w:sz w:val="18"/>
                <w:szCs w:val="18"/>
              </w:rPr>
            </w:pPr>
            <w:r w:rsidRPr="00C36AA7">
              <w:rPr>
                <w:rFonts w:ascii="Arial" w:hAnsi="Arial" w:cs="Arial"/>
                <w:sz w:val="18"/>
                <w:szCs w:val="18"/>
              </w:rPr>
              <w:t> </w:t>
            </w:r>
          </w:p>
        </w:tc>
      </w:tr>
      <w:tr w:rsidR="00C36AA7" w:rsidRPr="00C36AA7" w:rsidTr="00C36AA7">
        <w:trPr>
          <w:trHeight w:val="510"/>
        </w:trPr>
        <w:tc>
          <w:tcPr>
            <w:tcW w:w="16044" w:type="dxa"/>
            <w:gridSpan w:val="9"/>
            <w:tcBorders>
              <w:top w:val="single" w:sz="4" w:space="0" w:color="auto"/>
              <w:left w:val="single" w:sz="4" w:space="0" w:color="auto"/>
              <w:bottom w:val="single" w:sz="4" w:space="0" w:color="auto"/>
              <w:right w:val="single" w:sz="4" w:space="0" w:color="auto"/>
            </w:tcBorders>
            <w:shd w:val="clear" w:color="auto" w:fill="auto"/>
            <w:vAlign w:val="bottom"/>
            <w:hideMark/>
          </w:tcPr>
          <w:p w:rsidR="00C36AA7" w:rsidRPr="00C36AA7" w:rsidRDefault="00C36AA7">
            <w:pPr>
              <w:rPr>
                <w:rFonts w:ascii="Arial" w:hAnsi="Arial" w:cs="Arial"/>
                <w:sz w:val="18"/>
                <w:szCs w:val="18"/>
              </w:rPr>
            </w:pPr>
            <w:r w:rsidRPr="00C36AA7">
              <w:rPr>
                <w:rFonts w:ascii="Arial" w:hAnsi="Arial" w:cs="Arial"/>
                <w:sz w:val="18"/>
                <w:szCs w:val="18"/>
              </w:rPr>
              <w:t>* Područje za dodjelu dozvole za uporabu RF spektra može biti na razini cijele Republike Hrvatske, ili definirano kao područje županije, grada ili općine koje su određene posebnim propisom kojim se reguliraju područja županija, gradova i općina u Republici Hrvatskoj, odnosno kao cjelina koju čini više županija, gradova ili općina</w:t>
            </w:r>
          </w:p>
        </w:tc>
      </w:tr>
      <w:tr w:rsidR="00C36AA7" w:rsidRPr="00C36AA7" w:rsidTr="00C36AA7">
        <w:trPr>
          <w:trHeight w:val="555"/>
        </w:trPr>
        <w:tc>
          <w:tcPr>
            <w:tcW w:w="16044" w:type="dxa"/>
            <w:gridSpan w:val="9"/>
            <w:tcBorders>
              <w:top w:val="single" w:sz="4" w:space="0" w:color="auto"/>
              <w:left w:val="single" w:sz="4" w:space="0" w:color="auto"/>
              <w:bottom w:val="single" w:sz="4" w:space="0" w:color="auto"/>
              <w:right w:val="single" w:sz="4" w:space="0" w:color="auto"/>
            </w:tcBorders>
            <w:shd w:val="clear" w:color="auto" w:fill="auto"/>
            <w:vAlign w:val="bottom"/>
            <w:hideMark/>
          </w:tcPr>
          <w:p w:rsidR="00C36AA7" w:rsidRPr="00C36AA7" w:rsidRDefault="00C36AA7">
            <w:pPr>
              <w:rPr>
                <w:rFonts w:ascii="Arial" w:hAnsi="Arial" w:cs="Arial"/>
                <w:sz w:val="18"/>
                <w:szCs w:val="18"/>
              </w:rPr>
            </w:pPr>
            <w:r w:rsidRPr="00C36AA7">
              <w:rPr>
                <w:rFonts w:ascii="Arial" w:hAnsi="Arial" w:cs="Arial"/>
                <w:sz w:val="18"/>
                <w:szCs w:val="18"/>
              </w:rPr>
              <w:t>Uvjeti dodjele i uporabe radiofrekvencijskog spektra za druge radiokomunikacijske (neradiodifuzijske) službe, za koje se Tablicom namjene radiofrekvencijskog spektra predviđa korištenje na primarnoj ili sekundarnoj osnovi u frekvencijskim pojasevima navedenim u ovom planu dodjele, određuju se zasebnim planovima dodjele ovisno o radiokomunikacijskoj službi.</w:t>
            </w:r>
          </w:p>
        </w:tc>
      </w:tr>
    </w:tbl>
    <w:p w:rsidR="0031274B" w:rsidRDefault="0031274B" w:rsidP="0031274B">
      <w:pPr>
        <w:jc w:val="center"/>
        <w:sectPr w:rsidR="0031274B" w:rsidSect="000B5523">
          <w:pgSz w:w="16838" w:h="11906" w:orient="landscape" w:code="9"/>
          <w:pgMar w:top="1134" w:right="1701" w:bottom="1134" w:left="1701" w:header="340" w:footer="454" w:gutter="0"/>
          <w:cols w:space="708"/>
          <w:docGrid w:linePitch="360"/>
        </w:sectPr>
      </w:pPr>
    </w:p>
    <w:p w:rsidR="0031274B" w:rsidRDefault="00D24D42" w:rsidP="0031274B">
      <w:pPr>
        <w:jc w:val="center"/>
      </w:pPr>
      <w:r>
        <w:rPr>
          <w:noProof/>
          <w:lang w:val="en-US" w:eastAsia="en-US"/>
        </w:rPr>
        <w:lastRenderedPageBreak/>
        <w:drawing>
          <wp:inline distT="0" distB="0" distL="0" distR="0">
            <wp:extent cx="4434840" cy="8359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34840" cy="8359140"/>
                    </a:xfrm>
                    <a:prstGeom prst="rect">
                      <a:avLst/>
                    </a:prstGeom>
                    <a:noFill/>
                    <a:ln>
                      <a:noFill/>
                    </a:ln>
                  </pic:spPr>
                </pic:pic>
              </a:graphicData>
            </a:graphic>
          </wp:inline>
        </w:drawing>
      </w:r>
    </w:p>
    <w:p w:rsidR="0031274B" w:rsidRDefault="0031274B" w:rsidP="0031274B">
      <w:pPr>
        <w:jc w:val="center"/>
      </w:pPr>
      <w:r>
        <w:br w:type="page"/>
      </w:r>
      <w:r w:rsidR="00D24D42">
        <w:rPr>
          <w:noProof/>
          <w:lang w:val="en-US" w:eastAsia="en-US"/>
        </w:rPr>
        <w:lastRenderedPageBreak/>
        <w:drawing>
          <wp:inline distT="0" distB="0" distL="0" distR="0">
            <wp:extent cx="5814060" cy="8221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14060" cy="8221980"/>
                    </a:xfrm>
                    <a:prstGeom prst="rect">
                      <a:avLst/>
                    </a:prstGeom>
                    <a:noFill/>
                    <a:ln>
                      <a:noFill/>
                    </a:ln>
                  </pic:spPr>
                </pic:pic>
              </a:graphicData>
            </a:graphic>
          </wp:inline>
        </w:drawing>
      </w:r>
      <w:r>
        <w:br w:type="page"/>
      </w:r>
      <w:r w:rsidR="00D24D42">
        <w:rPr>
          <w:noProof/>
          <w:lang w:val="en-US" w:eastAsia="en-US"/>
        </w:rPr>
        <w:lastRenderedPageBreak/>
        <w:drawing>
          <wp:inline distT="0" distB="0" distL="0" distR="0">
            <wp:extent cx="5920740" cy="76657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20740" cy="7665720"/>
                    </a:xfrm>
                    <a:prstGeom prst="rect">
                      <a:avLst/>
                    </a:prstGeom>
                    <a:noFill/>
                    <a:ln>
                      <a:noFill/>
                    </a:ln>
                  </pic:spPr>
                </pic:pic>
              </a:graphicData>
            </a:graphic>
          </wp:inline>
        </w:drawing>
      </w:r>
    </w:p>
    <w:p w:rsidR="0031274B" w:rsidRDefault="0031274B" w:rsidP="0031274B">
      <w:pPr>
        <w:jc w:val="center"/>
      </w:pPr>
    </w:p>
    <w:p w:rsidR="0031274B" w:rsidRDefault="0031274B" w:rsidP="0031274B">
      <w:pPr>
        <w:jc w:val="center"/>
      </w:pPr>
    </w:p>
    <w:p w:rsidR="0031274B" w:rsidRDefault="0031274B" w:rsidP="0031274B">
      <w:pPr>
        <w:jc w:val="center"/>
      </w:pPr>
    </w:p>
    <w:p w:rsidR="0031274B" w:rsidRDefault="0031274B" w:rsidP="0031274B">
      <w:pPr>
        <w:jc w:val="center"/>
      </w:pPr>
    </w:p>
    <w:p w:rsidR="0031274B" w:rsidRDefault="0031274B" w:rsidP="0031274B">
      <w:pPr>
        <w:jc w:val="center"/>
      </w:pPr>
    </w:p>
    <w:p w:rsidR="0031274B" w:rsidRDefault="0031274B" w:rsidP="0031274B">
      <w:pPr>
        <w:jc w:val="center"/>
      </w:pPr>
    </w:p>
    <w:p w:rsidR="0031274B" w:rsidRDefault="00D24D42" w:rsidP="0031274B">
      <w:pPr>
        <w:jc w:val="center"/>
      </w:pPr>
      <w:r>
        <w:rPr>
          <w:noProof/>
          <w:lang w:val="en-US" w:eastAsia="en-US"/>
        </w:rPr>
        <w:drawing>
          <wp:inline distT="0" distB="0" distL="0" distR="0">
            <wp:extent cx="4274820" cy="8115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74820" cy="8115300"/>
                    </a:xfrm>
                    <a:prstGeom prst="rect">
                      <a:avLst/>
                    </a:prstGeom>
                    <a:noFill/>
                    <a:ln>
                      <a:noFill/>
                    </a:ln>
                  </pic:spPr>
                </pic:pic>
              </a:graphicData>
            </a:graphic>
          </wp:inline>
        </w:drawing>
      </w:r>
    </w:p>
    <w:p w:rsidR="00306108" w:rsidRDefault="00306108" w:rsidP="00306108">
      <w:pPr>
        <w:jc w:val="center"/>
      </w:pPr>
      <w:r>
        <w:lastRenderedPageBreak/>
        <w:t>Članak 2.</w:t>
      </w:r>
    </w:p>
    <w:p w:rsidR="00306108" w:rsidRDefault="00306108" w:rsidP="00306108">
      <w:pPr>
        <w:jc w:val="both"/>
      </w:pPr>
    </w:p>
    <w:p w:rsidR="00306108" w:rsidRDefault="00306108" w:rsidP="00306108">
      <w:pPr>
        <w:jc w:val="both"/>
      </w:pPr>
      <w:r>
        <w:t xml:space="preserve">Stupanjem na snagu </w:t>
      </w:r>
      <w:r w:rsidR="001220CA">
        <w:t xml:space="preserve">ovog Plana dodjele </w:t>
      </w:r>
      <w:r>
        <w:t>prestaje v</w:t>
      </w:r>
      <w:r w:rsidR="00E3194B">
        <w:t>ažiti</w:t>
      </w:r>
      <w:r>
        <w:t xml:space="preserve"> Plan </w:t>
      </w:r>
      <w:r w:rsidRPr="004C4FE6">
        <w:t>dodjele radijskih frekvencija za službe zemaljske radiodifuzije u frekvencijskim pojasevima 148,5 kHz – 1492,0 MHz</w:t>
      </w:r>
      <w:r>
        <w:t xml:space="preserve"> </w:t>
      </w:r>
      <w:r w:rsidR="00E3194B">
        <w:t>(</w:t>
      </w:r>
      <w:r w:rsidR="001220CA">
        <w:t xml:space="preserve">Narodne novine br. </w:t>
      </w:r>
      <w:r w:rsidR="00F579AC">
        <w:t>1</w:t>
      </w:r>
      <w:r w:rsidR="00136895">
        <w:t>34</w:t>
      </w:r>
      <w:r>
        <w:t>/</w:t>
      </w:r>
      <w:r w:rsidR="004D285A">
        <w:t>1</w:t>
      </w:r>
      <w:r w:rsidR="00136895">
        <w:t>3</w:t>
      </w:r>
      <w:r w:rsidR="00E3194B">
        <w:t>)</w:t>
      </w:r>
      <w:r>
        <w:t>.</w:t>
      </w:r>
    </w:p>
    <w:p w:rsidR="00306108" w:rsidRDefault="00306108" w:rsidP="00306108">
      <w:pPr>
        <w:jc w:val="both"/>
      </w:pPr>
    </w:p>
    <w:p w:rsidR="00306108" w:rsidRDefault="00306108" w:rsidP="00306108">
      <w:pPr>
        <w:jc w:val="both"/>
      </w:pPr>
    </w:p>
    <w:p w:rsidR="00306108" w:rsidRDefault="00306108" w:rsidP="00306108">
      <w:pPr>
        <w:jc w:val="center"/>
      </w:pPr>
    </w:p>
    <w:p w:rsidR="00306108" w:rsidRDefault="00306108" w:rsidP="00306108">
      <w:pPr>
        <w:jc w:val="center"/>
      </w:pPr>
    </w:p>
    <w:p w:rsidR="00306108" w:rsidRDefault="00306108" w:rsidP="00306108">
      <w:pPr>
        <w:jc w:val="center"/>
      </w:pPr>
    </w:p>
    <w:p w:rsidR="00306108" w:rsidRDefault="00306108" w:rsidP="00306108">
      <w:pPr>
        <w:jc w:val="center"/>
      </w:pPr>
      <w:r>
        <w:t>Članak 3.</w:t>
      </w:r>
    </w:p>
    <w:p w:rsidR="00306108" w:rsidRDefault="00306108" w:rsidP="00306108">
      <w:pPr>
        <w:jc w:val="center"/>
      </w:pPr>
    </w:p>
    <w:p w:rsidR="00306108" w:rsidRDefault="001220CA" w:rsidP="00306108">
      <w:pPr>
        <w:jc w:val="both"/>
      </w:pPr>
      <w:r>
        <w:t xml:space="preserve">Ovaj </w:t>
      </w:r>
      <w:r w:rsidR="00306108">
        <w:t xml:space="preserve">Plan </w:t>
      </w:r>
      <w:r w:rsidR="00306108" w:rsidRPr="004C4FE6">
        <w:t xml:space="preserve">dodjele </w:t>
      </w:r>
      <w:r w:rsidR="00306108">
        <w:t xml:space="preserve">stupa na snagu </w:t>
      </w:r>
      <w:r w:rsidR="00E3194B">
        <w:t xml:space="preserve">osmi dan od </w:t>
      </w:r>
      <w:r w:rsidR="00F4086E">
        <w:t>dan</w:t>
      </w:r>
      <w:r w:rsidR="00E3194B">
        <w:t>a</w:t>
      </w:r>
      <w:r w:rsidR="00306108">
        <w:t xml:space="preserve"> objave u Narodnim novinama.</w:t>
      </w:r>
    </w:p>
    <w:p w:rsidR="00F4086E" w:rsidRDefault="00F4086E" w:rsidP="00306108">
      <w:pPr>
        <w:jc w:val="both"/>
      </w:pPr>
    </w:p>
    <w:p w:rsidR="00F4086E" w:rsidRDefault="00F4086E" w:rsidP="00306108">
      <w:pPr>
        <w:jc w:val="both"/>
      </w:pPr>
    </w:p>
    <w:p w:rsidR="00306108" w:rsidRDefault="00306108" w:rsidP="00306108">
      <w:pPr>
        <w:jc w:val="both"/>
      </w:pPr>
    </w:p>
    <w:p w:rsidR="00686739" w:rsidRPr="00804E2B" w:rsidRDefault="00686739" w:rsidP="00686739">
      <w:pPr>
        <w:jc w:val="both"/>
      </w:pPr>
      <w:r w:rsidRPr="00804E2B">
        <w:t xml:space="preserve">KLASA: </w:t>
      </w:r>
      <w:r w:rsidR="00864FDB">
        <w:rPr>
          <w:lang w:val="en-US"/>
        </w:rPr>
        <w:t>344-04/20-07/55</w:t>
      </w:r>
    </w:p>
    <w:p w:rsidR="00686739" w:rsidRPr="00804E2B" w:rsidRDefault="00686739" w:rsidP="00686739">
      <w:pPr>
        <w:jc w:val="both"/>
      </w:pPr>
      <w:r w:rsidRPr="00804E2B">
        <w:t xml:space="preserve">Urbroj: </w:t>
      </w:r>
      <w:r w:rsidR="00D2740D" w:rsidRPr="009A7B81">
        <w:t>376-06-1-20-</w:t>
      </w:r>
      <w:r w:rsidR="00D2740D">
        <w:t>1</w:t>
      </w:r>
    </w:p>
    <w:p w:rsidR="00686739" w:rsidRDefault="00686739" w:rsidP="00686739">
      <w:pPr>
        <w:jc w:val="both"/>
      </w:pPr>
      <w:r w:rsidRPr="00804E2B">
        <w:t xml:space="preserve">Zagreb, </w:t>
      </w:r>
      <w:r w:rsidR="00D2740D">
        <w:t>26. studeni 2020.</w:t>
      </w:r>
    </w:p>
    <w:p w:rsidR="00686739" w:rsidRDefault="00686739" w:rsidP="00686739">
      <w:pPr>
        <w:jc w:val="both"/>
      </w:pPr>
    </w:p>
    <w:p w:rsidR="00686739" w:rsidRDefault="00686739" w:rsidP="00686739">
      <w:pPr>
        <w:jc w:val="both"/>
      </w:pPr>
    </w:p>
    <w:tbl>
      <w:tblPr>
        <w:tblW w:w="4927" w:type="dxa"/>
        <w:tblInd w:w="4568" w:type="dxa"/>
        <w:tblLook w:val="01E0" w:firstRow="1" w:lastRow="1" w:firstColumn="1" w:lastColumn="1" w:noHBand="0" w:noVBand="0"/>
      </w:tblPr>
      <w:tblGrid>
        <w:gridCol w:w="4927"/>
      </w:tblGrid>
      <w:tr w:rsidR="00686739" w:rsidRPr="001C5615" w:rsidTr="001D5579">
        <w:tc>
          <w:tcPr>
            <w:tcW w:w="4927" w:type="dxa"/>
            <w:shd w:val="clear" w:color="auto" w:fill="auto"/>
          </w:tcPr>
          <w:tbl>
            <w:tblPr>
              <w:tblW w:w="0" w:type="auto"/>
              <w:tblLook w:val="01E0" w:firstRow="1" w:lastRow="1" w:firstColumn="1" w:lastColumn="1" w:noHBand="0" w:noVBand="0"/>
            </w:tblPr>
            <w:tblGrid>
              <w:gridCol w:w="4711"/>
            </w:tblGrid>
            <w:tr w:rsidR="00686739" w:rsidRPr="001268FF" w:rsidTr="001D5579">
              <w:tc>
                <w:tcPr>
                  <w:tcW w:w="4927" w:type="dxa"/>
                  <w:shd w:val="clear" w:color="auto" w:fill="auto"/>
                </w:tcPr>
                <w:p w:rsidR="00686739" w:rsidRPr="001268FF" w:rsidRDefault="00686739" w:rsidP="001D5579">
                  <w:pPr>
                    <w:tabs>
                      <w:tab w:val="center" w:pos="7655"/>
                    </w:tabs>
                    <w:spacing w:before="240" w:after="600"/>
                    <w:jc w:val="center"/>
                    <w:rPr>
                      <w:b/>
                      <w:i/>
                      <w:caps/>
                      <w:sz w:val="20"/>
                    </w:rPr>
                  </w:pPr>
                  <w:r w:rsidRPr="001268FF">
                    <w:rPr>
                      <w:b/>
                      <w:i/>
                      <w:caps/>
                      <w:sz w:val="20"/>
                    </w:rPr>
                    <w:t>Predsjednik Vijeća</w:t>
                  </w:r>
                </w:p>
              </w:tc>
            </w:tr>
            <w:tr w:rsidR="00686739" w:rsidRPr="001268FF" w:rsidTr="001D5579">
              <w:tc>
                <w:tcPr>
                  <w:tcW w:w="4927" w:type="dxa"/>
                  <w:shd w:val="clear" w:color="auto" w:fill="auto"/>
                </w:tcPr>
                <w:p w:rsidR="00686739" w:rsidRPr="001268FF" w:rsidRDefault="00686739" w:rsidP="001D5579">
                  <w:pPr>
                    <w:tabs>
                      <w:tab w:val="center" w:pos="7655"/>
                    </w:tabs>
                    <w:spacing w:after="600"/>
                    <w:jc w:val="center"/>
                    <w:rPr>
                      <w:b/>
                      <w:i/>
                    </w:rPr>
                  </w:pPr>
                  <w:r>
                    <w:rPr>
                      <w:b/>
                      <w:i/>
                    </w:rPr>
                    <w:t>Tonko Obuljen</w:t>
                  </w:r>
                </w:p>
              </w:tc>
            </w:tr>
          </w:tbl>
          <w:p w:rsidR="00686739" w:rsidRPr="001C5615" w:rsidRDefault="00686739" w:rsidP="001D5579">
            <w:pPr>
              <w:tabs>
                <w:tab w:val="center" w:pos="7655"/>
              </w:tabs>
              <w:spacing w:before="240" w:after="600"/>
              <w:jc w:val="center"/>
              <w:rPr>
                <w:b/>
                <w:i/>
                <w:caps/>
                <w:sz w:val="20"/>
              </w:rPr>
            </w:pPr>
          </w:p>
        </w:tc>
      </w:tr>
    </w:tbl>
    <w:p w:rsidR="00C36AA7" w:rsidRPr="004D6D9D" w:rsidRDefault="00C36AA7" w:rsidP="00686739">
      <w:pPr>
        <w:rPr>
          <w:color w:val="000000"/>
        </w:rPr>
      </w:pPr>
    </w:p>
    <w:sectPr w:rsidR="00C36AA7" w:rsidRPr="004D6D9D" w:rsidSect="000B5523">
      <w:pgSz w:w="11906" w:h="16838" w:code="9"/>
      <w:pgMar w:top="1701" w:right="1134" w:bottom="1701" w:left="1134" w:header="34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25EB" w:rsidRDefault="00D925EB">
      <w:r>
        <w:separator/>
      </w:r>
    </w:p>
  </w:endnote>
  <w:endnote w:type="continuationSeparator" w:id="0">
    <w:p w:rsidR="00D925EB" w:rsidRDefault="00D92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RTimes">
    <w:altName w:val="Times New Roman"/>
    <w:panose1 w:val="00000000000000000000"/>
    <w:charset w:val="00"/>
    <w:family w:val="auto"/>
    <w:notTrueType/>
    <w:pitch w:val="variable"/>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CFC" w:rsidRPr="009A57FC" w:rsidRDefault="00C67CFC" w:rsidP="00955B87">
    <w:pPr>
      <w:pStyle w:val="Footer"/>
      <w:tabs>
        <w:tab w:val="clear" w:pos="4320"/>
        <w:tab w:val="clear" w:pos="8640"/>
      </w:tabs>
      <w:spacing w:line="240" w:lineRule="auto"/>
      <w:ind w:left="-357" w:right="-3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25EB" w:rsidRDefault="00D925EB">
      <w:r>
        <w:separator/>
      </w:r>
    </w:p>
  </w:footnote>
  <w:footnote w:type="continuationSeparator" w:id="0">
    <w:p w:rsidR="00D925EB" w:rsidRDefault="00D925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CFC" w:rsidRDefault="00C67CFC" w:rsidP="002A1991">
    <w:pPr>
      <w:pStyle w:val="Header"/>
      <w:tabs>
        <w:tab w:val="clear" w:pos="4536"/>
        <w:tab w:val="clear" w:pos="9072"/>
      </w:tabs>
      <w:ind w:left="-357"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CFC" w:rsidRDefault="00C67CFC" w:rsidP="00955B87">
    <w:pPr>
      <w:pStyle w:val="Header"/>
      <w:tabs>
        <w:tab w:val="clear" w:pos="4536"/>
        <w:tab w:val="clear" w:pos="9072"/>
      </w:tabs>
      <w:ind w:left="-357" w:right="-357"/>
      <w:jc w:val="center"/>
    </w:pPr>
  </w:p>
  <w:p w:rsidR="00C67CFC" w:rsidRDefault="00C67CFC" w:rsidP="00955B87">
    <w:pPr>
      <w:pStyle w:val="Header"/>
      <w:tabs>
        <w:tab w:val="clear" w:pos="4536"/>
        <w:tab w:val="clear" w:pos="9072"/>
      </w:tabs>
      <w:spacing w:after="60"/>
      <w:ind w:right="9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74B"/>
    <w:rsid w:val="00000372"/>
    <w:rsid w:val="00061A69"/>
    <w:rsid w:val="00064A4F"/>
    <w:rsid w:val="000830CF"/>
    <w:rsid w:val="000B3C93"/>
    <w:rsid w:val="000B5523"/>
    <w:rsid w:val="000C4706"/>
    <w:rsid w:val="000E5770"/>
    <w:rsid w:val="001220CA"/>
    <w:rsid w:val="001319C8"/>
    <w:rsid w:val="00136895"/>
    <w:rsid w:val="00191F79"/>
    <w:rsid w:val="001A592A"/>
    <w:rsid w:val="001D5579"/>
    <w:rsid w:val="001E43E9"/>
    <w:rsid w:val="001E784C"/>
    <w:rsid w:val="002018F6"/>
    <w:rsid w:val="00223C8C"/>
    <w:rsid w:val="00232E77"/>
    <w:rsid w:val="002A1991"/>
    <w:rsid w:val="002E182D"/>
    <w:rsid w:val="00306108"/>
    <w:rsid w:val="00310964"/>
    <w:rsid w:val="0031274B"/>
    <w:rsid w:val="00322E68"/>
    <w:rsid w:val="0033381F"/>
    <w:rsid w:val="003460C0"/>
    <w:rsid w:val="00370283"/>
    <w:rsid w:val="00380D14"/>
    <w:rsid w:val="00381BB5"/>
    <w:rsid w:val="00395CCE"/>
    <w:rsid w:val="00413B5D"/>
    <w:rsid w:val="004161EC"/>
    <w:rsid w:val="00417920"/>
    <w:rsid w:val="00424D6E"/>
    <w:rsid w:val="00441FAE"/>
    <w:rsid w:val="004842B7"/>
    <w:rsid w:val="00492F4C"/>
    <w:rsid w:val="004979DF"/>
    <w:rsid w:val="00497EE1"/>
    <w:rsid w:val="004D0670"/>
    <w:rsid w:val="004D285A"/>
    <w:rsid w:val="005E1B85"/>
    <w:rsid w:val="00602B90"/>
    <w:rsid w:val="006062F9"/>
    <w:rsid w:val="006178EC"/>
    <w:rsid w:val="00624B97"/>
    <w:rsid w:val="00632553"/>
    <w:rsid w:val="0065292C"/>
    <w:rsid w:val="00667974"/>
    <w:rsid w:val="006709EF"/>
    <w:rsid w:val="0068022D"/>
    <w:rsid w:val="00684267"/>
    <w:rsid w:val="00686739"/>
    <w:rsid w:val="00693ADD"/>
    <w:rsid w:val="006A2548"/>
    <w:rsid w:val="006D1BAB"/>
    <w:rsid w:val="006D461E"/>
    <w:rsid w:val="00702429"/>
    <w:rsid w:val="00721984"/>
    <w:rsid w:val="00750598"/>
    <w:rsid w:val="00756B8F"/>
    <w:rsid w:val="0077711D"/>
    <w:rsid w:val="00790ED1"/>
    <w:rsid w:val="007A693F"/>
    <w:rsid w:val="007E64DB"/>
    <w:rsid w:val="007E6665"/>
    <w:rsid w:val="007E7534"/>
    <w:rsid w:val="007F5426"/>
    <w:rsid w:val="00805473"/>
    <w:rsid w:val="00821731"/>
    <w:rsid w:val="00864FDB"/>
    <w:rsid w:val="00871283"/>
    <w:rsid w:val="008717EC"/>
    <w:rsid w:val="00882141"/>
    <w:rsid w:val="008821B4"/>
    <w:rsid w:val="008C2041"/>
    <w:rsid w:val="008C50C7"/>
    <w:rsid w:val="008D26AA"/>
    <w:rsid w:val="00935CFC"/>
    <w:rsid w:val="00943622"/>
    <w:rsid w:val="00955838"/>
    <w:rsid w:val="00955B87"/>
    <w:rsid w:val="00962DD2"/>
    <w:rsid w:val="009651F0"/>
    <w:rsid w:val="00996B03"/>
    <w:rsid w:val="009A57FC"/>
    <w:rsid w:val="009A7313"/>
    <w:rsid w:val="009E6591"/>
    <w:rsid w:val="00A06287"/>
    <w:rsid w:val="00A26C7A"/>
    <w:rsid w:val="00A574DC"/>
    <w:rsid w:val="00A615C9"/>
    <w:rsid w:val="00A737EF"/>
    <w:rsid w:val="00AE2703"/>
    <w:rsid w:val="00AF25F6"/>
    <w:rsid w:val="00B01212"/>
    <w:rsid w:val="00B04000"/>
    <w:rsid w:val="00B2589B"/>
    <w:rsid w:val="00B26979"/>
    <w:rsid w:val="00B42A6A"/>
    <w:rsid w:val="00B97ADE"/>
    <w:rsid w:val="00BB0D94"/>
    <w:rsid w:val="00BC695D"/>
    <w:rsid w:val="00BD3224"/>
    <w:rsid w:val="00BD362B"/>
    <w:rsid w:val="00C07564"/>
    <w:rsid w:val="00C07906"/>
    <w:rsid w:val="00C16B18"/>
    <w:rsid w:val="00C24534"/>
    <w:rsid w:val="00C27B97"/>
    <w:rsid w:val="00C36AA7"/>
    <w:rsid w:val="00C57E05"/>
    <w:rsid w:val="00C67CFC"/>
    <w:rsid w:val="00CD1649"/>
    <w:rsid w:val="00CE43CE"/>
    <w:rsid w:val="00D11282"/>
    <w:rsid w:val="00D24D42"/>
    <w:rsid w:val="00D2740D"/>
    <w:rsid w:val="00D31DCE"/>
    <w:rsid w:val="00D33101"/>
    <w:rsid w:val="00D71782"/>
    <w:rsid w:val="00D813CB"/>
    <w:rsid w:val="00D82125"/>
    <w:rsid w:val="00D925EB"/>
    <w:rsid w:val="00DA4028"/>
    <w:rsid w:val="00DB0032"/>
    <w:rsid w:val="00DB281E"/>
    <w:rsid w:val="00DD243E"/>
    <w:rsid w:val="00DD5E11"/>
    <w:rsid w:val="00E179FA"/>
    <w:rsid w:val="00E20192"/>
    <w:rsid w:val="00E3194B"/>
    <w:rsid w:val="00E51307"/>
    <w:rsid w:val="00EA365E"/>
    <w:rsid w:val="00EC16C1"/>
    <w:rsid w:val="00EC5BB9"/>
    <w:rsid w:val="00F058A2"/>
    <w:rsid w:val="00F4086E"/>
    <w:rsid w:val="00F579AC"/>
    <w:rsid w:val="00F81741"/>
    <w:rsid w:val="00FA74EE"/>
    <w:rsid w:val="00FB637B"/>
    <w:rsid w:val="00FC1A96"/>
    <w:rsid w:val="00FD7E3B"/>
    <w:rsid w:val="00FF339A"/>
    <w:rsid w:val="00FF5E2E"/>
    <w:rsid w:val="00FF77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491C28DB-D7F2-4D58-B573-48DD776AB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hr-HR" w:eastAsia="hr-HR"/>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customStyle="1" w:styleId="BodyText21">
    <w:name w:val="Body Text 21"/>
    <w:basedOn w:val="Normal"/>
    <w:rsid w:val="0031274B"/>
    <w:pPr>
      <w:overflowPunct w:val="0"/>
      <w:autoSpaceDE w:val="0"/>
      <w:autoSpaceDN w:val="0"/>
      <w:adjustRightInd w:val="0"/>
      <w:jc w:val="both"/>
      <w:textAlignment w:val="baseline"/>
    </w:pPr>
    <w:rPr>
      <w:rFonts w:ascii="HRTimes" w:hAnsi="HRTimes"/>
      <w:szCs w:val="20"/>
      <w:lang w:val="en-US"/>
    </w:rPr>
  </w:style>
  <w:style w:type="character" w:styleId="Hyperlink">
    <w:name w:val="Hyperlink"/>
    <w:uiPriority w:val="99"/>
    <w:rsid w:val="0031274B"/>
    <w:rPr>
      <w:color w:val="0000FF"/>
      <w:u w:val="single"/>
    </w:rPr>
  </w:style>
  <w:style w:type="character" w:styleId="CommentReference">
    <w:name w:val="annotation reference"/>
    <w:semiHidden/>
    <w:rsid w:val="00306108"/>
    <w:rPr>
      <w:rFonts w:cs="Times New Roman"/>
      <w:sz w:val="16"/>
      <w:szCs w:val="16"/>
    </w:rPr>
  </w:style>
  <w:style w:type="paragraph" w:styleId="CommentText">
    <w:name w:val="annotation text"/>
    <w:basedOn w:val="Normal"/>
    <w:link w:val="CommentTextChar"/>
    <w:semiHidden/>
    <w:rsid w:val="00306108"/>
    <w:rPr>
      <w:rFonts w:eastAsia="Malgun Gothic"/>
      <w:sz w:val="20"/>
      <w:szCs w:val="20"/>
    </w:rPr>
  </w:style>
  <w:style w:type="character" w:customStyle="1" w:styleId="CommentTextChar">
    <w:name w:val="Comment Text Char"/>
    <w:link w:val="CommentText"/>
    <w:semiHidden/>
    <w:locked/>
    <w:rsid w:val="00306108"/>
    <w:rPr>
      <w:rFonts w:eastAsia="Malgun Gothic"/>
      <w:lang w:val="hr-HR" w:eastAsia="hr-HR" w:bidi="ar-SA"/>
    </w:rPr>
  </w:style>
  <w:style w:type="paragraph" w:styleId="BalloonText">
    <w:name w:val="Balloon Text"/>
    <w:basedOn w:val="Normal"/>
    <w:semiHidden/>
    <w:rsid w:val="00306108"/>
    <w:rPr>
      <w:rFonts w:ascii="Tahoma" w:hAnsi="Tahoma" w:cs="Tahoma"/>
      <w:sz w:val="16"/>
      <w:szCs w:val="16"/>
    </w:rPr>
  </w:style>
  <w:style w:type="paragraph" w:styleId="CommentSubject">
    <w:name w:val="annotation subject"/>
    <w:basedOn w:val="CommentText"/>
    <w:next w:val="CommentText"/>
    <w:link w:val="CommentSubjectChar"/>
    <w:rsid w:val="00D33101"/>
    <w:rPr>
      <w:rFonts w:eastAsia="Times New Roman"/>
      <w:b/>
      <w:bCs/>
    </w:rPr>
  </w:style>
  <w:style w:type="character" w:customStyle="1" w:styleId="CommentSubjectChar">
    <w:name w:val="Comment Subject Char"/>
    <w:link w:val="CommentSubject"/>
    <w:rsid w:val="00D33101"/>
    <w:rPr>
      <w:rFonts w:eastAsia="Malgun Gothic"/>
      <w:b/>
      <w:bCs/>
      <w:lang w:val="hr-HR" w:eastAsia="hr-H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7021210">
      <w:bodyDiv w:val="1"/>
      <w:marLeft w:val="0"/>
      <w:marRight w:val="0"/>
      <w:marTop w:val="0"/>
      <w:marBottom w:val="0"/>
      <w:divBdr>
        <w:top w:val="none" w:sz="0" w:space="0" w:color="auto"/>
        <w:left w:val="none" w:sz="0" w:space="0" w:color="auto"/>
        <w:bottom w:val="none" w:sz="0" w:space="0" w:color="auto"/>
        <w:right w:val="none" w:sz="0" w:space="0" w:color="auto"/>
      </w:divBdr>
    </w:div>
    <w:div w:id="635525270">
      <w:bodyDiv w:val="1"/>
      <w:marLeft w:val="0"/>
      <w:marRight w:val="0"/>
      <w:marTop w:val="0"/>
      <w:marBottom w:val="0"/>
      <w:divBdr>
        <w:top w:val="none" w:sz="0" w:space="0" w:color="auto"/>
        <w:left w:val="none" w:sz="0" w:space="0" w:color="auto"/>
        <w:bottom w:val="none" w:sz="0" w:space="0" w:color="auto"/>
        <w:right w:val="none" w:sz="0" w:space="0" w:color="auto"/>
      </w:divBdr>
    </w:div>
    <w:div w:id="1058093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file:///C:\Users\mgosta\AppData\Local\Microsoft\Windows\Temporary%20Internet%20Files\Content.MSO\LBAND_TDAB.gi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file:///C:\Users\mgosta\AppData\Local\Microsoft\Windows\Temporary%20Internet%20Files\Content.MSO\UHF_DVB.gif"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file:///C:\Users\mgosta\AppData\Local\Microsoft\Windows\Temporary%20Internet%20Files\Content.MSO\VHF_DVB.gif" TargetMode="External"/><Relationship Id="rId5" Type="http://schemas.openxmlformats.org/officeDocument/2006/relationships/footnotes" Target="footnotes.xml"/><Relationship Id="rId15" Type="http://schemas.openxmlformats.org/officeDocument/2006/relationships/image" Target="media/image2.png"/><Relationship Id="rId10" Type="http://schemas.openxmlformats.org/officeDocument/2006/relationships/hyperlink" Target="file:///C:\Users\mgosta\AppData\Local\Microsoft\Windows\Temporary%20Internet%20Files\Content.MSO\TDAB.gi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DOPISI\PR-ZP-1-Memorandum%20Predsjednik%20(potpun)_HR-v1.0%2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1E9260-21BC-4342-86FB-3A5C78F2D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PR-ZP-1-Memorandum Predsjednik (potpun)_HR-v1.0 (1)</Template>
  <TotalTime>0</TotalTime>
  <Pages>11</Pages>
  <Words>1211</Words>
  <Characters>6904</Characters>
  <Application>Microsoft Office Word</Application>
  <DocSecurity>0</DocSecurity>
  <Lines>57</Lines>
  <Paragraphs>16</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Predsjednik</vt:lpstr>
      <vt:lpstr>Memorandum - Predsjednik</vt:lpstr>
    </vt:vector>
  </TitlesOfParts>
  <Manager>Mirjana Todorić</Manager>
  <Company>HAKOM</Company>
  <LinksUpToDate>false</LinksUpToDate>
  <CharactersWithSpaces>8099</CharactersWithSpaces>
  <SharedDoc>false</SharedDoc>
  <HLinks>
    <vt:vector size="24" baseType="variant">
      <vt:variant>
        <vt:i4>1114184</vt:i4>
      </vt:variant>
      <vt:variant>
        <vt:i4>9</vt:i4>
      </vt:variant>
      <vt:variant>
        <vt:i4>0</vt:i4>
      </vt:variant>
      <vt:variant>
        <vt:i4>5</vt:i4>
      </vt:variant>
      <vt:variant>
        <vt:lpwstr>C:\Users\mgosta\AppData\Local\Microsoft\Windows\Temporary Internet Files\Content.MSO\LBAND_TDAB.gif</vt:lpwstr>
      </vt:variant>
      <vt:variant>
        <vt:lpwstr/>
      </vt:variant>
      <vt:variant>
        <vt:i4>4063356</vt:i4>
      </vt:variant>
      <vt:variant>
        <vt:i4>6</vt:i4>
      </vt:variant>
      <vt:variant>
        <vt:i4>0</vt:i4>
      </vt:variant>
      <vt:variant>
        <vt:i4>5</vt:i4>
      </vt:variant>
      <vt:variant>
        <vt:lpwstr>C:\Users\mgosta\AppData\Local\Microsoft\Windows\Temporary Internet Files\Content.MSO\UHF_DVB.gif</vt:lpwstr>
      </vt:variant>
      <vt:variant>
        <vt:lpwstr/>
      </vt:variant>
      <vt:variant>
        <vt:i4>3997820</vt:i4>
      </vt:variant>
      <vt:variant>
        <vt:i4>3</vt:i4>
      </vt:variant>
      <vt:variant>
        <vt:i4>0</vt:i4>
      </vt:variant>
      <vt:variant>
        <vt:i4>5</vt:i4>
      </vt:variant>
      <vt:variant>
        <vt:lpwstr>C:\Users\mgosta\AppData\Local\Microsoft\Windows\Temporary Internet Files\Content.MSO\VHF_DVB.gif</vt:lpwstr>
      </vt:variant>
      <vt:variant>
        <vt:lpwstr/>
      </vt:variant>
      <vt:variant>
        <vt:i4>7864347</vt:i4>
      </vt:variant>
      <vt:variant>
        <vt:i4>0</vt:i4>
      </vt:variant>
      <vt:variant>
        <vt:i4>0</vt:i4>
      </vt:variant>
      <vt:variant>
        <vt:i4>5</vt:i4>
      </vt:variant>
      <vt:variant>
        <vt:lpwstr>C:\Users\mgosta\AppData\Local\Microsoft\Windows\Temporary Internet Files\Content.MSO\TDAB.gif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Predsjednik</dc:title>
  <dc:subject>Memorandum</dc:subject>
  <dc:creator>Miran Gosta</dc:creator>
  <cp:keywords>Hrvatska verzija</cp:keywords>
  <cp:lastModifiedBy>Mirella Gelo</cp:lastModifiedBy>
  <cp:revision>2</cp:revision>
  <cp:lastPrinted>1601-01-01T00:00:00Z</cp:lastPrinted>
  <dcterms:created xsi:type="dcterms:W3CDTF">2020-11-26T11:56:00Z</dcterms:created>
  <dcterms:modified xsi:type="dcterms:W3CDTF">2020-11-26T11:56:00Z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1</vt:lpwstr>
  </property>
  <property fmtid="{D5CDD505-2E9C-101B-9397-08002B2CF9AE}" pid="3" name="revizija">
    <vt:lpwstr>0</vt:lpwstr>
  </property>
  <property fmtid="{D5CDD505-2E9C-101B-9397-08002B2CF9AE}" pid="4" name="Datum dovršetka">
    <vt:filetime>2009-12-15T23:00:00Z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ies>
</file>