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71BBA2" w14:textId="77777777" w:rsidR="009D036D" w:rsidRDefault="00A31005" w:rsidP="006C4637">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14:paraId="1F380B0C" w14:textId="77777777" w:rsidR="00244041" w:rsidRDefault="00244041" w:rsidP="006C4637">
      <w:pPr>
        <w:spacing w:after="0" w:line="240" w:lineRule="auto"/>
        <w:jc w:val="center"/>
        <w:rPr>
          <w:rFonts w:ascii="Times New Roman" w:hAnsi="Times New Roman" w:cs="Times New Roman"/>
          <w:b/>
          <w:sz w:val="28"/>
          <w:szCs w:val="28"/>
        </w:rPr>
      </w:pPr>
    </w:p>
    <w:p w14:paraId="440C92FE" w14:textId="77777777" w:rsidR="00244041" w:rsidRDefault="00244041" w:rsidP="006C4637">
      <w:pPr>
        <w:spacing w:after="0" w:line="240" w:lineRule="auto"/>
        <w:jc w:val="center"/>
        <w:rPr>
          <w:rFonts w:ascii="Times New Roman" w:hAnsi="Times New Roman" w:cs="Times New Roman"/>
          <w:b/>
          <w:sz w:val="28"/>
          <w:szCs w:val="28"/>
        </w:rPr>
      </w:pPr>
    </w:p>
    <w:p w14:paraId="316FE6A0" w14:textId="77777777" w:rsidR="00244041" w:rsidRDefault="00244041" w:rsidP="006C4637">
      <w:pPr>
        <w:spacing w:after="0" w:line="240" w:lineRule="auto"/>
        <w:jc w:val="center"/>
        <w:rPr>
          <w:rFonts w:ascii="Times New Roman" w:hAnsi="Times New Roman" w:cs="Times New Roman"/>
          <w:b/>
          <w:sz w:val="28"/>
          <w:szCs w:val="28"/>
        </w:rPr>
      </w:pPr>
    </w:p>
    <w:p w14:paraId="2CEF657D" w14:textId="77777777" w:rsidR="00244041" w:rsidRDefault="00244041" w:rsidP="006C4637">
      <w:pPr>
        <w:spacing w:after="0" w:line="240" w:lineRule="auto"/>
        <w:jc w:val="center"/>
        <w:rPr>
          <w:rFonts w:ascii="Times New Roman" w:hAnsi="Times New Roman" w:cs="Times New Roman"/>
          <w:b/>
          <w:sz w:val="28"/>
          <w:szCs w:val="28"/>
        </w:rPr>
      </w:pPr>
    </w:p>
    <w:p w14:paraId="77152C52" w14:textId="77777777" w:rsidR="00244041" w:rsidRDefault="00244041" w:rsidP="006C4637">
      <w:pPr>
        <w:spacing w:after="0" w:line="240" w:lineRule="auto"/>
        <w:jc w:val="center"/>
        <w:rPr>
          <w:rFonts w:ascii="Times New Roman" w:hAnsi="Times New Roman" w:cs="Times New Roman"/>
          <w:b/>
          <w:sz w:val="28"/>
          <w:szCs w:val="28"/>
        </w:rPr>
      </w:pPr>
    </w:p>
    <w:p w14:paraId="025243AC" w14:textId="77777777" w:rsidR="00244041" w:rsidRDefault="00244041" w:rsidP="006C4637">
      <w:pPr>
        <w:spacing w:after="0" w:line="240" w:lineRule="auto"/>
        <w:jc w:val="center"/>
        <w:rPr>
          <w:rFonts w:ascii="Times New Roman" w:hAnsi="Times New Roman" w:cs="Times New Roman"/>
          <w:b/>
          <w:sz w:val="28"/>
          <w:szCs w:val="28"/>
        </w:rPr>
      </w:pPr>
    </w:p>
    <w:p w14:paraId="28FAD6F5" w14:textId="77777777" w:rsidR="00244041" w:rsidRDefault="00244041" w:rsidP="006C4637">
      <w:pPr>
        <w:spacing w:after="0" w:line="240" w:lineRule="auto"/>
        <w:jc w:val="center"/>
        <w:rPr>
          <w:rFonts w:ascii="Times New Roman" w:hAnsi="Times New Roman" w:cs="Times New Roman"/>
          <w:b/>
          <w:sz w:val="28"/>
          <w:szCs w:val="28"/>
        </w:rPr>
      </w:pPr>
    </w:p>
    <w:p w14:paraId="3A1534B2" w14:textId="77777777" w:rsidR="00244041" w:rsidRDefault="00244041" w:rsidP="006C4637">
      <w:pPr>
        <w:spacing w:after="0" w:line="240" w:lineRule="auto"/>
        <w:jc w:val="center"/>
        <w:rPr>
          <w:rFonts w:ascii="Times New Roman" w:hAnsi="Times New Roman" w:cs="Times New Roman"/>
          <w:b/>
          <w:sz w:val="28"/>
          <w:szCs w:val="28"/>
        </w:rPr>
      </w:pPr>
    </w:p>
    <w:p w14:paraId="5A936A47" w14:textId="77777777" w:rsidR="006C4637" w:rsidRDefault="006C4637" w:rsidP="006C4637">
      <w:pPr>
        <w:spacing w:after="0" w:line="240" w:lineRule="auto"/>
        <w:jc w:val="center"/>
        <w:rPr>
          <w:rFonts w:ascii="Times New Roman" w:hAnsi="Times New Roman" w:cs="Times New Roman"/>
          <w:b/>
          <w:sz w:val="28"/>
          <w:szCs w:val="28"/>
        </w:rPr>
      </w:pPr>
    </w:p>
    <w:p w14:paraId="646108EC" w14:textId="77777777" w:rsidR="006C4637" w:rsidRDefault="006C4637" w:rsidP="006C4637">
      <w:pPr>
        <w:spacing w:after="0" w:line="240" w:lineRule="auto"/>
        <w:jc w:val="center"/>
        <w:rPr>
          <w:rFonts w:ascii="Times New Roman" w:hAnsi="Times New Roman" w:cs="Times New Roman"/>
          <w:b/>
          <w:sz w:val="28"/>
          <w:szCs w:val="28"/>
        </w:rPr>
      </w:pPr>
    </w:p>
    <w:p w14:paraId="79A02B7C" w14:textId="77777777" w:rsidR="006C4637" w:rsidRDefault="006C4637" w:rsidP="006C4637">
      <w:pPr>
        <w:spacing w:after="0" w:line="240" w:lineRule="auto"/>
        <w:jc w:val="center"/>
        <w:rPr>
          <w:rFonts w:ascii="Times New Roman" w:hAnsi="Times New Roman" w:cs="Times New Roman"/>
          <w:b/>
          <w:sz w:val="28"/>
          <w:szCs w:val="28"/>
        </w:rPr>
      </w:pPr>
    </w:p>
    <w:p w14:paraId="10B12784" w14:textId="77777777" w:rsidR="006C4637" w:rsidRDefault="006C4637" w:rsidP="006C4637">
      <w:pPr>
        <w:spacing w:after="0" w:line="240" w:lineRule="auto"/>
        <w:jc w:val="center"/>
        <w:rPr>
          <w:rFonts w:ascii="Times New Roman" w:hAnsi="Times New Roman" w:cs="Times New Roman"/>
          <w:b/>
          <w:sz w:val="28"/>
          <w:szCs w:val="28"/>
        </w:rPr>
      </w:pPr>
    </w:p>
    <w:p w14:paraId="7745A2FB" w14:textId="77777777" w:rsidR="006C4637" w:rsidRDefault="006C4637" w:rsidP="006C4637">
      <w:pPr>
        <w:spacing w:after="0" w:line="240" w:lineRule="auto"/>
        <w:jc w:val="center"/>
        <w:rPr>
          <w:rFonts w:ascii="Times New Roman" w:hAnsi="Times New Roman" w:cs="Times New Roman"/>
          <w:b/>
          <w:sz w:val="28"/>
          <w:szCs w:val="28"/>
        </w:rPr>
      </w:pPr>
    </w:p>
    <w:p w14:paraId="458A6195" w14:textId="77777777" w:rsidR="006C4637" w:rsidRDefault="006C4637" w:rsidP="006C4637">
      <w:pPr>
        <w:spacing w:after="0" w:line="240" w:lineRule="auto"/>
        <w:jc w:val="center"/>
        <w:rPr>
          <w:rFonts w:ascii="Times New Roman" w:hAnsi="Times New Roman" w:cs="Times New Roman"/>
          <w:b/>
          <w:sz w:val="28"/>
          <w:szCs w:val="28"/>
        </w:rPr>
      </w:pPr>
    </w:p>
    <w:p w14:paraId="68CE6845" w14:textId="77777777" w:rsidR="00244041" w:rsidRDefault="00244041" w:rsidP="006C4637">
      <w:pPr>
        <w:spacing w:after="0" w:line="240" w:lineRule="auto"/>
        <w:jc w:val="center"/>
        <w:rPr>
          <w:rFonts w:ascii="Times New Roman" w:hAnsi="Times New Roman" w:cs="Times New Roman"/>
          <w:b/>
          <w:sz w:val="28"/>
          <w:szCs w:val="28"/>
        </w:rPr>
      </w:pPr>
    </w:p>
    <w:p w14:paraId="5183026C" w14:textId="77777777" w:rsidR="005D40AD" w:rsidRPr="008D46FB" w:rsidRDefault="003E7A09" w:rsidP="008D46FB">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NACRT PRIJEDLOGA PRAVILNIKA</w:t>
      </w:r>
    </w:p>
    <w:p w14:paraId="2A00BD88" w14:textId="77777777" w:rsidR="005D40AD" w:rsidRPr="00617BD6" w:rsidRDefault="005D40AD" w:rsidP="005D40AD">
      <w:pPr>
        <w:spacing w:after="0" w:line="240" w:lineRule="auto"/>
        <w:jc w:val="center"/>
        <w:rPr>
          <w:rFonts w:ascii="Times New Roman" w:eastAsia="Times New Roman" w:hAnsi="Times New Roman" w:cs="Times New Roman"/>
          <w:b/>
          <w:bCs/>
          <w:color w:val="000000"/>
          <w:sz w:val="28"/>
          <w:szCs w:val="28"/>
          <w:lang w:eastAsia="hr-HR"/>
        </w:rPr>
      </w:pPr>
      <w:r w:rsidRPr="00617BD6">
        <w:rPr>
          <w:rFonts w:ascii="Times New Roman" w:eastAsia="Times New Roman" w:hAnsi="Times New Roman" w:cs="Times New Roman"/>
          <w:b/>
          <w:bCs/>
          <w:color w:val="000000"/>
          <w:sz w:val="28"/>
          <w:szCs w:val="28"/>
          <w:lang w:eastAsia="hr-HR"/>
        </w:rPr>
        <w:t>O PLAĆANJU NAKNADA ZA OBAVLJANJE POSLOVA HRVATSKE REGULATORNE AGENCIJE ZA MREŽNE DJELATNOSTI</w:t>
      </w:r>
    </w:p>
    <w:p w14:paraId="7973CB24" w14:textId="77777777" w:rsidR="00244041" w:rsidRDefault="00244041" w:rsidP="006C4637">
      <w:pPr>
        <w:spacing w:after="0" w:line="240" w:lineRule="auto"/>
        <w:jc w:val="center"/>
        <w:rPr>
          <w:rFonts w:ascii="Times New Roman" w:hAnsi="Times New Roman" w:cs="Times New Roman"/>
          <w:b/>
          <w:sz w:val="28"/>
          <w:szCs w:val="28"/>
        </w:rPr>
      </w:pPr>
    </w:p>
    <w:p w14:paraId="6A4521E1" w14:textId="77777777" w:rsidR="00244041" w:rsidRDefault="00244041" w:rsidP="006C4637">
      <w:pPr>
        <w:spacing w:after="0" w:line="240" w:lineRule="auto"/>
        <w:jc w:val="center"/>
        <w:rPr>
          <w:rFonts w:ascii="Times New Roman" w:hAnsi="Times New Roman" w:cs="Times New Roman"/>
          <w:b/>
          <w:sz w:val="28"/>
          <w:szCs w:val="28"/>
        </w:rPr>
      </w:pPr>
    </w:p>
    <w:p w14:paraId="7931B40A" w14:textId="77777777" w:rsidR="00244041" w:rsidRDefault="00244041" w:rsidP="006C4637">
      <w:pPr>
        <w:spacing w:after="0" w:line="240" w:lineRule="auto"/>
        <w:jc w:val="center"/>
        <w:rPr>
          <w:rFonts w:ascii="Times New Roman" w:hAnsi="Times New Roman" w:cs="Times New Roman"/>
          <w:b/>
          <w:sz w:val="28"/>
          <w:szCs w:val="28"/>
        </w:rPr>
      </w:pPr>
    </w:p>
    <w:p w14:paraId="02D4D4C7" w14:textId="77777777" w:rsidR="00244041" w:rsidRDefault="00244041" w:rsidP="006C4637">
      <w:pPr>
        <w:spacing w:after="0" w:line="240" w:lineRule="auto"/>
        <w:jc w:val="center"/>
        <w:rPr>
          <w:rFonts w:ascii="Times New Roman" w:hAnsi="Times New Roman" w:cs="Times New Roman"/>
          <w:b/>
          <w:sz w:val="28"/>
          <w:szCs w:val="28"/>
        </w:rPr>
      </w:pPr>
    </w:p>
    <w:p w14:paraId="39F3948F" w14:textId="77777777" w:rsidR="00244041" w:rsidRDefault="00244041" w:rsidP="006C4637">
      <w:pPr>
        <w:spacing w:after="0" w:line="240" w:lineRule="auto"/>
        <w:jc w:val="center"/>
        <w:rPr>
          <w:rFonts w:ascii="Times New Roman" w:hAnsi="Times New Roman" w:cs="Times New Roman"/>
          <w:b/>
          <w:sz w:val="28"/>
          <w:szCs w:val="28"/>
        </w:rPr>
      </w:pPr>
    </w:p>
    <w:p w14:paraId="5097099E" w14:textId="77777777" w:rsidR="00244041" w:rsidRDefault="00244041" w:rsidP="006C4637">
      <w:pPr>
        <w:spacing w:after="0" w:line="240" w:lineRule="auto"/>
        <w:jc w:val="center"/>
        <w:rPr>
          <w:rFonts w:ascii="Times New Roman" w:hAnsi="Times New Roman" w:cs="Times New Roman"/>
          <w:b/>
          <w:sz w:val="28"/>
          <w:szCs w:val="28"/>
        </w:rPr>
      </w:pPr>
    </w:p>
    <w:p w14:paraId="4D58D0CF" w14:textId="77777777" w:rsidR="00244041" w:rsidRDefault="00244041" w:rsidP="006C4637">
      <w:pPr>
        <w:spacing w:after="0" w:line="240" w:lineRule="auto"/>
        <w:jc w:val="center"/>
        <w:rPr>
          <w:rFonts w:ascii="Times New Roman" w:hAnsi="Times New Roman" w:cs="Times New Roman"/>
          <w:b/>
          <w:sz w:val="28"/>
          <w:szCs w:val="28"/>
        </w:rPr>
      </w:pPr>
    </w:p>
    <w:p w14:paraId="634F69F1" w14:textId="77777777" w:rsidR="00244041" w:rsidRDefault="00244041" w:rsidP="006C4637">
      <w:pPr>
        <w:spacing w:after="0" w:line="240" w:lineRule="auto"/>
        <w:jc w:val="center"/>
        <w:rPr>
          <w:rFonts w:ascii="Times New Roman" w:hAnsi="Times New Roman" w:cs="Times New Roman"/>
          <w:b/>
          <w:sz w:val="28"/>
          <w:szCs w:val="28"/>
        </w:rPr>
      </w:pPr>
    </w:p>
    <w:p w14:paraId="78A02D18" w14:textId="77777777" w:rsidR="00244041" w:rsidRDefault="00244041" w:rsidP="006C4637">
      <w:pPr>
        <w:spacing w:after="0" w:line="240" w:lineRule="auto"/>
        <w:jc w:val="center"/>
        <w:rPr>
          <w:rFonts w:ascii="Times New Roman" w:hAnsi="Times New Roman" w:cs="Times New Roman"/>
          <w:b/>
          <w:sz w:val="28"/>
          <w:szCs w:val="28"/>
        </w:rPr>
      </w:pPr>
    </w:p>
    <w:p w14:paraId="33EEFD29" w14:textId="77777777" w:rsidR="00244041" w:rsidRDefault="00244041" w:rsidP="006C4637">
      <w:pPr>
        <w:spacing w:after="0" w:line="240" w:lineRule="auto"/>
        <w:jc w:val="center"/>
        <w:rPr>
          <w:rFonts w:ascii="Times New Roman" w:hAnsi="Times New Roman" w:cs="Times New Roman"/>
          <w:b/>
          <w:sz w:val="28"/>
          <w:szCs w:val="28"/>
        </w:rPr>
      </w:pPr>
    </w:p>
    <w:p w14:paraId="7272E914" w14:textId="77777777" w:rsidR="00244041" w:rsidRPr="00824F3C" w:rsidRDefault="00244041" w:rsidP="006C4637">
      <w:pPr>
        <w:spacing w:after="0" w:line="240" w:lineRule="auto"/>
        <w:jc w:val="center"/>
        <w:rPr>
          <w:rFonts w:ascii="Times New Roman" w:hAnsi="Times New Roman" w:cs="Times New Roman"/>
          <w:sz w:val="24"/>
          <w:szCs w:val="24"/>
        </w:rPr>
      </w:pPr>
    </w:p>
    <w:p w14:paraId="3D64A6A4" w14:textId="77777777" w:rsidR="006C4637" w:rsidRDefault="006C4637" w:rsidP="006C4637">
      <w:pPr>
        <w:spacing w:after="0" w:line="240" w:lineRule="auto"/>
        <w:jc w:val="center"/>
        <w:rPr>
          <w:rFonts w:ascii="Times New Roman" w:hAnsi="Times New Roman" w:cs="Times New Roman"/>
          <w:b/>
          <w:sz w:val="24"/>
          <w:szCs w:val="24"/>
        </w:rPr>
      </w:pPr>
    </w:p>
    <w:p w14:paraId="5959BD84" w14:textId="77777777" w:rsidR="006C4637" w:rsidRDefault="006C4637" w:rsidP="006C4637">
      <w:pPr>
        <w:spacing w:after="0" w:line="240" w:lineRule="auto"/>
        <w:jc w:val="center"/>
        <w:rPr>
          <w:rFonts w:ascii="Times New Roman" w:hAnsi="Times New Roman" w:cs="Times New Roman"/>
          <w:b/>
          <w:sz w:val="24"/>
          <w:szCs w:val="24"/>
        </w:rPr>
      </w:pPr>
    </w:p>
    <w:p w14:paraId="62C845EC" w14:textId="77777777" w:rsidR="006C4637" w:rsidRDefault="006C4637" w:rsidP="006C4637">
      <w:pPr>
        <w:spacing w:after="0" w:line="240" w:lineRule="auto"/>
        <w:jc w:val="center"/>
        <w:rPr>
          <w:rFonts w:ascii="Times New Roman" w:hAnsi="Times New Roman" w:cs="Times New Roman"/>
          <w:b/>
          <w:sz w:val="24"/>
          <w:szCs w:val="24"/>
        </w:rPr>
      </w:pPr>
    </w:p>
    <w:p w14:paraId="382F47D3" w14:textId="77777777" w:rsidR="006C4637" w:rsidRDefault="006C4637" w:rsidP="006C4637">
      <w:pPr>
        <w:spacing w:after="0" w:line="240" w:lineRule="auto"/>
        <w:jc w:val="center"/>
        <w:rPr>
          <w:rFonts w:ascii="Times New Roman" w:hAnsi="Times New Roman" w:cs="Times New Roman"/>
          <w:b/>
          <w:sz w:val="24"/>
          <w:szCs w:val="24"/>
        </w:rPr>
      </w:pPr>
    </w:p>
    <w:p w14:paraId="08E3425F" w14:textId="77777777" w:rsidR="006C4637" w:rsidRDefault="006C4637" w:rsidP="006C4637">
      <w:pPr>
        <w:spacing w:after="0" w:line="240" w:lineRule="auto"/>
        <w:jc w:val="center"/>
        <w:rPr>
          <w:rFonts w:ascii="Times New Roman" w:hAnsi="Times New Roman" w:cs="Times New Roman"/>
          <w:b/>
          <w:sz w:val="24"/>
          <w:szCs w:val="24"/>
        </w:rPr>
      </w:pPr>
    </w:p>
    <w:p w14:paraId="1175EC63" w14:textId="77777777" w:rsidR="006C4637" w:rsidRDefault="006C4637" w:rsidP="006C4637">
      <w:pPr>
        <w:spacing w:after="0" w:line="240" w:lineRule="auto"/>
        <w:jc w:val="center"/>
        <w:rPr>
          <w:rFonts w:ascii="Times New Roman" w:hAnsi="Times New Roman" w:cs="Times New Roman"/>
          <w:b/>
          <w:sz w:val="24"/>
          <w:szCs w:val="24"/>
        </w:rPr>
      </w:pPr>
    </w:p>
    <w:p w14:paraId="73FA5C71" w14:textId="77777777" w:rsidR="006C4637" w:rsidRDefault="006C4637" w:rsidP="006C4637">
      <w:pPr>
        <w:spacing w:after="0" w:line="240" w:lineRule="auto"/>
        <w:jc w:val="center"/>
        <w:rPr>
          <w:rFonts w:ascii="Times New Roman" w:hAnsi="Times New Roman" w:cs="Times New Roman"/>
          <w:b/>
          <w:sz w:val="24"/>
          <w:szCs w:val="24"/>
        </w:rPr>
      </w:pPr>
    </w:p>
    <w:p w14:paraId="66B94A04" w14:textId="77777777" w:rsidR="006C4637" w:rsidRDefault="006C4637" w:rsidP="006C4637">
      <w:pPr>
        <w:spacing w:after="0" w:line="240" w:lineRule="auto"/>
        <w:jc w:val="center"/>
        <w:rPr>
          <w:rFonts w:ascii="Times New Roman" w:hAnsi="Times New Roman" w:cs="Times New Roman"/>
          <w:b/>
          <w:sz w:val="24"/>
          <w:szCs w:val="24"/>
        </w:rPr>
      </w:pPr>
    </w:p>
    <w:p w14:paraId="6D597C1A" w14:textId="77777777" w:rsidR="006C4637" w:rsidRDefault="006C4637" w:rsidP="006C4637">
      <w:pPr>
        <w:spacing w:after="0" w:line="240" w:lineRule="auto"/>
        <w:jc w:val="center"/>
        <w:rPr>
          <w:rFonts w:ascii="Times New Roman" w:hAnsi="Times New Roman" w:cs="Times New Roman"/>
          <w:b/>
          <w:sz w:val="24"/>
          <w:szCs w:val="24"/>
        </w:rPr>
      </w:pPr>
    </w:p>
    <w:p w14:paraId="1CFAECEE" w14:textId="77777777" w:rsidR="006C4637" w:rsidRDefault="006C4637" w:rsidP="006C4637">
      <w:pPr>
        <w:spacing w:after="0" w:line="240" w:lineRule="auto"/>
        <w:jc w:val="center"/>
        <w:rPr>
          <w:rFonts w:ascii="Times New Roman" w:hAnsi="Times New Roman" w:cs="Times New Roman"/>
          <w:b/>
          <w:sz w:val="24"/>
          <w:szCs w:val="24"/>
        </w:rPr>
      </w:pPr>
    </w:p>
    <w:p w14:paraId="6160271F" w14:textId="77777777" w:rsidR="006C4637" w:rsidRDefault="006C4637" w:rsidP="006C4637">
      <w:pPr>
        <w:spacing w:after="0" w:line="240" w:lineRule="auto"/>
        <w:jc w:val="center"/>
        <w:rPr>
          <w:rFonts w:ascii="Times New Roman" w:hAnsi="Times New Roman" w:cs="Times New Roman"/>
          <w:b/>
          <w:sz w:val="24"/>
          <w:szCs w:val="24"/>
        </w:rPr>
      </w:pPr>
    </w:p>
    <w:p w14:paraId="40C9C719" w14:textId="77777777" w:rsidR="006C4637" w:rsidRDefault="006C4637" w:rsidP="006C4637">
      <w:pPr>
        <w:spacing w:after="0" w:line="240" w:lineRule="auto"/>
        <w:jc w:val="center"/>
        <w:rPr>
          <w:rFonts w:ascii="Times New Roman" w:hAnsi="Times New Roman" w:cs="Times New Roman"/>
          <w:b/>
          <w:sz w:val="24"/>
          <w:szCs w:val="24"/>
        </w:rPr>
      </w:pPr>
    </w:p>
    <w:p w14:paraId="17E7E712" w14:textId="77777777" w:rsidR="006C4637" w:rsidRDefault="00244041" w:rsidP="00314EE7">
      <w:pPr>
        <w:tabs>
          <w:tab w:val="left" w:pos="4820"/>
        </w:tabs>
        <w:spacing w:after="0" w:line="240" w:lineRule="auto"/>
        <w:jc w:val="center"/>
        <w:rPr>
          <w:rFonts w:ascii="Times New Roman" w:hAnsi="Times New Roman" w:cs="Times New Roman"/>
          <w:b/>
          <w:sz w:val="24"/>
          <w:szCs w:val="24"/>
        </w:rPr>
      </w:pPr>
      <w:r w:rsidRPr="00166CFF">
        <w:rPr>
          <w:rFonts w:ascii="Times New Roman" w:hAnsi="Times New Roman" w:cs="Times New Roman"/>
          <w:b/>
          <w:sz w:val="24"/>
          <w:szCs w:val="24"/>
        </w:rPr>
        <w:t xml:space="preserve">Zagreb, </w:t>
      </w:r>
      <w:r w:rsidR="00F43009">
        <w:rPr>
          <w:rFonts w:ascii="Times New Roman" w:hAnsi="Times New Roman" w:cs="Times New Roman"/>
          <w:b/>
          <w:sz w:val="24"/>
          <w:szCs w:val="24"/>
        </w:rPr>
        <w:t>srpanj</w:t>
      </w:r>
      <w:r w:rsidR="00C27F76" w:rsidRPr="00C27F76">
        <w:rPr>
          <w:rFonts w:ascii="Times New Roman" w:hAnsi="Times New Roman" w:cs="Times New Roman"/>
          <w:b/>
          <w:sz w:val="24"/>
          <w:szCs w:val="24"/>
        </w:rPr>
        <w:t xml:space="preserve"> 202</w:t>
      </w:r>
      <w:r w:rsidR="00B54AC5">
        <w:rPr>
          <w:rFonts w:ascii="Times New Roman" w:hAnsi="Times New Roman" w:cs="Times New Roman"/>
          <w:b/>
          <w:sz w:val="24"/>
          <w:szCs w:val="24"/>
        </w:rPr>
        <w:t>1</w:t>
      </w:r>
      <w:r w:rsidR="00C27F76" w:rsidRPr="00C27F76">
        <w:rPr>
          <w:rFonts w:ascii="Times New Roman" w:hAnsi="Times New Roman" w:cs="Times New Roman"/>
          <w:b/>
          <w:sz w:val="24"/>
          <w:szCs w:val="24"/>
        </w:rPr>
        <w:t>.</w:t>
      </w:r>
    </w:p>
    <w:p w14:paraId="369860FA" w14:textId="77777777" w:rsidR="00314EE7" w:rsidRPr="00ED56D3" w:rsidRDefault="00314EE7" w:rsidP="00314EE7">
      <w:pPr>
        <w:tabs>
          <w:tab w:val="left" w:pos="4820"/>
        </w:tabs>
        <w:spacing w:after="0" w:line="240" w:lineRule="auto"/>
        <w:jc w:val="center"/>
        <w:rPr>
          <w:rFonts w:ascii="Times New Roman" w:hAnsi="Times New Roman" w:cs="Times New Roman"/>
          <w:b/>
          <w:i/>
          <w:sz w:val="24"/>
          <w:szCs w:val="24"/>
        </w:rPr>
      </w:pPr>
    </w:p>
    <w:p w14:paraId="256E162F" w14:textId="77777777" w:rsidR="0060099B" w:rsidRPr="00592C67" w:rsidRDefault="0060099B" w:rsidP="009503CB">
      <w:pPr>
        <w:spacing w:after="0" w:line="240" w:lineRule="auto"/>
        <w:jc w:val="both"/>
        <w:rPr>
          <w:rFonts w:ascii="Times New Roman" w:hAnsi="Times New Roman" w:cs="Times New Roman"/>
          <w:b/>
          <w:sz w:val="24"/>
          <w:szCs w:val="24"/>
        </w:rPr>
      </w:pPr>
      <w:r w:rsidRPr="00592C67">
        <w:rPr>
          <w:rFonts w:ascii="Times New Roman" w:hAnsi="Times New Roman" w:cs="Times New Roman"/>
          <w:b/>
          <w:sz w:val="24"/>
          <w:szCs w:val="24"/>
        </w:rPr>
        <w:lastRenderedPageBreak/>
        <w:t>Uvod</w:t>
      </w:r>
    </w:p>
    <w:p w14:paraId="6DCE37B9" w14:textId="77777777" w:rsidR="006C4637" w:rsidRDefault="006C4637">
      <w:pPr>
        <w:spacing w:after="0" w:line="240" w:lineRule="auto"/>
        <w:jc w:val="both"/>
        <w:rPr>
          <w:rFonts w:ascii="Times New Roman" w:hAnsi="Times New Roman" w:cs="Times New Roman"/>
          <w:sz w:val="24"/>
          <w:szCs w:val="24"/>
        </w:rPr>
      </w:pPr>
    </w:p>
    <w:p w14:paraId="1B3CABDF" w14:textId="77777777" w:rsidR="00F43009" w:rsidRDefault="008B6B9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Člankom 12. stavkom 1. točkom 1. i člankom </w:t>
      </w:r>
      <w:r w:rsidR="005D40AD" w:rsidRPr="00617BD6">
        <w:rPr>
          <w:rFonts w:ascii="Times New Roman" w:eastAsia="Times New Roman" w:hAnsi="Times New Roman" w:cs="Times New Roman"/>
          <w:color w:val="000000"/>
          <w:sz w:val="24"/>
          <w:szCs w:val="24"/>
          <w:lang w:eastAsia="hr-HR"/>
        </w:rPr>
        <w:t xml:space="preserve">16. </w:t>
      </w:r>
      <w:r w:rsidR="00314EE7" w:rsidRPr="00617BD6">
        <w:rPr>
          <w:rFonts w:ascii="Times New Roman" w:eastAsia="Times New Roman" w:hAnsi="Times New Roman" w:cs="Times New Roman"/>
          <w:color w:val="000000"/>
          <w:sz w:val="24"/>
          <w:szCs w:val="24"/>
          <w:lang w:eastAsia="hr-HR"/>
        </w:rPr>
        <w:t>stavk</w:t>
      </w:r>
      <w:r w:rsidR="00314EE7">
        <w:rPr>
          <w:rFonts w:ascii="Times New Roman" w:eastAsia="Times New Roman" w:hAnsi="Times New Roman" w:cs="Times New Roman"/>
          <w:color w:val="000000"/>
          <w:sz w:val="24"/>
          <w:szCs w:val="24"/>
          <w:lang w:eastAsia="hr-HR"/>
        </w:rPr>
        <w:t>om</w:t>
      </w:r>
      <w:r w:rsidR="00314EE7" w:rsidRPr="00617BD6">
        <w:rPr>
          <w:rFonts w:ascii="Times New Roman" w:eastAsia="Times New Roman" w:hAnsi="Times New Roman" w:cs="Times New Roman"/>
          <w:color w:val="000000"/>
          <w:sz w:val="24"/>
          <w:szCs w:val="24"/>
          <w:lang w:eastAsia="hr-HR"/>
        </w:rPr>
        <w:t xml:space="preserve"> </w:t>
      </w:r>
      <w:r w:rsidR="005D40AD" w:rsidRPr="00617BD6">
        <w:rPr>
          <w:rFonts w:ascii="Times New Roman" w:eastAsia="Times New Roman" w:hAnsi="Times New Roman" w:cs="Times New Roman"/>
          <w:color w:val="000000"/>
          <w:sz w:val="24"/>
          <w:szCs w:val="24"/>
          <w:lang w:eastAsia="hr-HR"/>
        </w:rPr>
        <w:t xml:space="preserve">4. </w:t>
      </w:r>
      <w:r w:rsidR="006C4637">
        <w:rPr>
          <w:rFonts w:ascii="Times New Roman" w:hAnsi="Times New Roman" w:cs="Times New Roman"/>
          <w:sz w:val="24"/>
          <w:szCs w:val="24"/>
        </w:rPr>
        <w:t>Zakona o elektroničkim komunikacijama (NN br. 73/08, 90/11, 133/12, 80/13</w:t>
      </w:r>
      <w:r w:rsidR="00314EE7">
        <w:rPr>
          <w:rFonts w:ascii="Times New Roman" w:hAnsi="Times New Roman" w:cs="Times New Roman"/>
          <w:sz w:val="24"/>
          <w:szCs w:val="24"/>
        </w:rPr>
        <w:t>,</w:t>
      </w:r>
      <w:r w:rsidR="006C4637">
        <w:rPr>
          <w:rFonts w:ascii="Times New Roman" w:hAnsi="Times New Roman" w:cs="Times New Roman"/>
          <w:sz w:val="24"/>
          <w:szCs w:val="24"/>
        </w:rPr>
        <w:t>71/14</w:t>
      </w:r>
      <w:r w:rsidR="00314EE7">
        <w:rPr>
          <w:rFonts w:ascii="Times New Roman" w:hAnsi="Times New Roman" w:cs="Times New Roman"/>
          <w:sz w:val="24"/>
          <w:szCs w:val="24"/>
        </w:rPr>
        <w:t xml:space="preserve"> i 72/17</w:t>
      </w:r>
      <w:r w:rsidR="006C4637">
        <w:rPr>
          <w:rFonts w:ascii="Times New Roman" w:hAnsi="Times New Roman" w:cs="Times New Roman"/>
          <w:sz w:val="24"/>
          <w:szCs w:val="24"/>
        </w:rPr>
        <w:t>; dalje: ZEK)</w:t>
      </w:r>
      <w:r w:rsidR="00314EE7">
        <w:rPr>
          <w:rFonts w:ascii="Times New Roman" w:hAnsi="Times New Roman" w:cs="Times New Roman"/>
          <w:sz w:val="24"/>
          <w:szCs w:val="24"/>
        </w:rPr>
        <w:t xml:space="preserve">, člankom 13. stavkom </w:t>
      </w:r>
      <w:r w:rsidR="001A7274">
        <w:rPr>
          <w:rFonts w:ascii="Times New Roman" w:hAnsi="Times New Roman" w:cs="Times New Roman"/>
          <w:sz w:val="24"/>
          <w:szCs w:val="24"/>
        </w:rPr>
        <w:t>2.</w:t>
      </w:r>
      <w:r w:rsidR="00314EE7">
        <w:rPr>
          <w:rFonts w:ascii="Times New Roman" w:hAnsi="Times New Roman" w:cs="Times New Roman"/>
          <w:sz w:val="24"/>
          <w:szCs w:val="24"/>
        </w:rPr>
        <w:t xml:space="preserve"> Zakona o poštanskim uslugama </w:t>
      </w:r>
      <w:r w:rsidR="001A7274" w:rsidRPr="001A7274">
        <w:rPr>
          <w:rFonts w:ascii="Times New Roman" w:hAnsi="Times New Roman" w:cs="Times New Roman"/>
          <w:sz w:val="24"/>
          <w:szCs w:val="24"/>
        </w:rPr>
        <w:t>(</w:t>
      </w:r>
      <w:r w:rsidR="001A7274">
        <w:rPr>
          <w:rFonts w:ascii="Times New Roman" w:hAnsi="Times New Roman" w:cs="Times New Roman"/>
          <w:sz w:val="24"/>
          <w:szCs w:val="24"/>
        </w:rPr>
        <w:t>NN</w:t>
      </w:r>
      <w:r w:rsidR="001A7274" w:rsidRPr="001A7274">
        <w:rPr>
          <w:rFonts w:ascii="Times New Roman" w:hAnsi="Times New Roman" w:cs="Times New Roman"/>
          <w:sz w:val="24"/>
          <w:szCs w:val="24"/>
        </w:rPr>
        <w:t xml:space="preserve"> br. 144/12, 153/13, 78/15 i 110/19)</w:t>
      </w:r>
      <w:r w:rsidR="00314EE7">
        <w:rPr>
          <w:rFonts w:ascii="Times New Roman" w:hAnsi="Times New Roman" w:cs="Times New Roman"/>
          <w:sz w:val="24"/>
          <w:szCs w:val="24"/>
        </w:rPr>
        <w:t xml:space="preserve"> i člankom 11. stavkom </w:t>
      </w:r>
      <w:r w:rsidR="001A7274">
        <w:rPr>
          <w:rFonts w:ascii="Times New Roman" w:hAnsi="Times New Roman" w:cs="Times New Roman"/>
          <w:sz w:val="24"/>
          <w:szCs w:val="24"/>
        </w:rPr>
        <w:t>3</w:t>
      </w:r>
      <w:r w:rsidR="00314EE7">
        <w:rPr>
          <w:rFonts w:ascii="Times New Roman" w:hAnsi="Times New Roman" w:cs="Times New Roman"/>
          <w:sz w:val="24"/>
          <w:szCs w:val="24"/>
        </w:rPr>
        <w:t>. Zakona o regulaciji tržišta željezničkih usluga i zaštiti prava putnika u željezničkom prijevozu (NN br. 104/17)</w:t>
      </w:r>
      <w:r w:rsidR="008F60ED">
        <w:rPr>
          <w:rFonts w:ascii="Times New Roman" w:hAnsi="Times New Roman" w:cs="Times New Roman"/>
          <w:sz w:val="24"/>
          <w:szCs w:val="24"/>
        </w:rPr>
        <w:t>,</w:t>
      </w:r>
      <w:r w:rsidR="006C4637">
        <w:rPr>
          <w:rFonts w:ascii="Times New Roman" w:hAnsi="Times New Roman" w:cs="Times New Roman"/>
          <w:sz w:val="24"/>
          <w:szCs w:val="24"/>
        </w:rPr>
        <w:t xml:space="preserve"> </w:t>
      </w:r>
      <w:r w:rsidRPr="008B6B95">
        <w:rPr>
          <w:rFonts w:ascii="Times New Roman" w:hAnsi="Times New Roman" w:cs="Times New Roman"/>
          <w:sz w:val="24"/>
          <w:szCs w:val="24"/>
        </w:rPr>
        <w:t>propisana je ovlast Hrvatske regulatorne agencij</w:t>
      </w:r>
      <w:r w:rsidR="008D643D">
        <w:rPr>
          <w:rFonts w:ascii="Times New Roman" w:hAnsi="Times New Roman" w:cs="Times New Roman"/>
          <w:sz w:val="24"/>
          <w:szCs w:val="24"/>
        </w:rPr>
        <w:t>e</w:t>
      </w:r>
      <w:r w:rsidRPr="008B6B95">
        <w:rPr>
          <w:rFonts w:ascii="Times New Roman" w:hAnsi="Times New Roman" w:cs="Times New Roman"/>
          <w:sz w:val="24"/>
          <w:szCs w:val="24"/>
        </w:rPr>
        <w:t xml:space="preserve"> za mrežne djelatnosti (dalje: HAKOM) za donošenje </w:t>
      </w:r>
      <w:r w:rsidR="008D643D">
        <w:rPr>
          <w:rFonts w:ascii="Times New Roman" w:hAnsi="Times New Roman" w:cs="Times New Roman"/>
          <w:sz w:val="24"/>
          <w:szCs w:val="24"/>
        </w:rPr>
        <w:t xml:space="preserve">Pravilnika </w:t>
      </w:r>
      <w:r w:rsidR="005D40AD" w:rsidRPr="00617BD6">
        <w:rPr>
          <w:rFonts w:ascii="Times New Roman" w:eastAsia="Times New Roman" w:hAnsi="Times New Roman" w:cs="Times New Roman"/>
          <w:color w:val="000000"/>
          <w:sz w:val="24"/>
          <w:szCs w:val="24"/>
          <w:lang w:eastAsia="hr-HR"/>
        </w:rPr>
        <w:t>o plaćanju naknada za obavljanje poslova Hrvatske regulatorne agencije za mrežne djelatnosti</w:t>
      </w:r>
      <w:r w:rsidR="008D643D">
        <w:rPr>
          <w:rFonts w:ascii="Times New Roman" w:hAnsi="Times New Roman" w:cs="Times New Roman"/>
          <w:sz w:val="24"/>
          <w:szCs w:val="24"/>
        </w:rPr>
        <w:t>.</w:t>
      </w:r>
      <w:r w:rsidR="00F43009">
        <w:rPr>
          <w:rFonts w:ascii="Times New Roman" w:hAnsi="Times New Roman" w:cs="Times New Roman"/>
          <w:sz w:val="24"/>
          <w:szCs w:val="24"/>
        </w:rPr>
        <w:t xml:space="preserve"> Navedenim Pravilnikom uređuju se izračun, visina i način plaćanja naknada za obavljanje poslova HAKOM-a, a sve temeljem godišnjeg financijskog plana HAKOM-a.</w:t>
      </w:r>
    </w:p>
    <w:p w14:paraId="019A40A3" w14:textId="77777777" w:rsidR="00F43009" w:rsidRDefault="00F43009">
      <w:pPr>
        <w:spacing w:after="0" w:line="240" w:lineRule="auto"/>
        <w:jc w:val="both"/>
        <w:rPr>
          <w:rFonts w:ascii="Times New Roman" w:hAnsi="Times New Roman" w:cs="Times New Roman"/>
          <w:sz w:val="24"/>
          <w:szCs w:val="24"/>
        </w:rPr>
      </w:pPr>
    </w:p>
    <w:p w14:paraId="15AE70A7" w14:textId="1B2F164E" w:rsidR="009E2193" w:rsidRDefault="00F430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Imajući u vidu prijedlog financijskog plana HAKOM-a za 2022., pripremljen je prijedlog Pravilnika </w:t>
      </w:r>
      <w:r w:rsidR="00882184">
        <w:rPr>
          <w:rFonts w:ascii="Times New Roman" w:hAnsi="Times New Roman" w:cs="Times New Roman"/>
          <w:sz w:val="24"/>
          <w:szCs w:val="24"/>
        </w:rPr>
        <w:t>za sljedeću kalendarsku godinu.</w:t>
      </w:r>
      <w:r w:rsidR="000C1C66" w:rsidRPr="000C1C66">
        <w:t xml:space="preserve"> </w:t>
      </w:r>
      <w:r w:rsidR="000C1C66" w:rsidRPr="000123BD">
        <w:rPr>
          <w:rFonts w:ascii="Times New Roman" w:hAnsi="Times New Roman" w:cs="Times New Roman"/>
          <w:sz w:val="24"/>
          <w:szCs w:val="24"/>
        </w:rPr>
        <w:t>Napominjemo kako je, iako još uvijek nije donesen Državni proračun za 2022., procijenjeno da je radi vezanosti usvajanja predmetnog Pravilnika i Financijskog plana za 2022., svrsishodno pokrenuti postupak javne rasprave o prijedlogu pravilnika temeljem predloženog Financijskog plana HAKOM-a za 2022. U slučaju izmjena Financijskog plana HAKOM-a za 2022., koje mogu biti posljedica postupka donošenja Državnog proračuna za 202</w:t>
      </w:r>
      <w:r w:rsidR="00B61EC3" w:rsidRPr="000123BD">
        <w:rPr>
          <w:rFonts w:ascii="Times New Roman" w:hAnsi="Times New Roman" w:cs="Times New Roman"/>
          <w:sz w:val="24"/>
          <w:szCs w:val="24"/>
        </w:rPr>
        <w:t>2</w:t>
      </w:r>
      <w:r w:rsidR="000C1C66" w:rsidRPr="000123BD">
        <w:rPr>
          <w:rFonts w:ascii="Times New Roman" w:hAnsi="Times New Roman" w:cs="Times New Roman"/>
          <w:sz w:val="24"/>
          <w:szCs w:val="24"/>
        </w:rPr>
        <w:t>., izvršit će se potrebna usklađenja tijekom ili nakon javne rasprave.</w:t>
      </w:r>
    </w:p>
    <w:p w14:paraId="60247C6D" w14:textId="77777777" w:rsidR="009954F3" w:rsidRDefault="009954F3">
      <w:pPr>
        <w:spacing w:after="0" w:line="240" w:lineRule="auto"/>
        <w:jc w:val="both"/>
        <w:rPr>
          <w:rFonts w:ascii="Times New Roman" w:hAnsi="Times New Roman" w:cs="Times New Roman"/>
          <w:sz w:val="24"/>
          <w:szCs w:val="24"/>
        </w:rPr>
      </w:pPr>
    </w:p>
    <w:p w14:paraId="3C3A5E5C" w14:textId="7FBF914C" w:rsidR="009954F3" w:rsidRDefault="008821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odnosu na naknade koje su propisane pravilnikom koji je donesen temeljem financijskog plana za 2021., prijedlogom Pravilnika predviđene su sljedeće izmjene.</w:t>
      </w:r>
    </w:p>
    <w:p w14:paraId="37643E1D" w14:textId="77777777" w:rsidR="009503CB" w:rsidRDefault="009503CB" w:rsidP="00BE713C">
      <w:pPr>
        <w:spacing w:after="0" w:line="240" w:lineRule="auto"/>
        <w:rPr>
          <w:rFonts w:ascii="Times New Roman" w:hAnsi="Times New Roman" w:cs="Times New Roman"/>
        </w:rPr>
      </w:pPr>
    </w:p>
    <w:p w14:paraId="3B352622" w14:textId="77777777" w:rsidR="00B54AC5" w:rsidRDefault="00B54AC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w:t>
      </w:r>
      <w:r w:rsidRPr="00B54AC5">
        <w:rPr>
          <w:rFonts w:ascii="Times New Roman" w:hAnsi="Times New Roman" w:cs="Times New Roman"/>
          <w:sz w:val="24"/>
          <w:szCs w:val="24"/>
        </w:rPr>
        <w:t>lan</w:t>
      </w:r>
      <w:r>
        <w:rPr>
          <w:rFonts w:ascii="Times New Roman" w:hAnsi="Times New Roman" w:cs="Times New Roman"/>
          <w:sz w:val="24"/>
          <w:szCs w:val="24"/>
        </w:rPr>
        <w:t>a</w:t>
      </w:r>
      <w:r w:rsidRPr="00B54AC5">
        <w:rPr>
          <w:rFonts w:ascii="Times New Roman" w:hAnsi="Times New Roman" w:cs="Times New Roman"/>
          <w:sz w:val="24"/>
          <w:szCs w:val="24"/>
        </w:rPr>
        <w:t xml:space="preserve">k 2. </w:t>
      </w:r>
    </w:p>
    <w:p w14:paraId="0104C511" w14:textId="7EBE5534" w:rsidR="00B54AC5" w:rsidRDefault="00B54AC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pojmovniku se dodaje definicija pojma </w:t>
      </w:r>
      <w:r w:rsidRPr="00B54AC5">
        <w:rPr>
          <w:rFonts w:ascii="Times New Roman" w:hAnsi="Times New Roman" w:cs="Times New Roman"/>
          <w:i/>
          <w:iCs/>
          <w:sz w:val="24"/>
          <w:szCs w:val="24"/>
        </w:rPr>
        <w:t>Javna komunikacijska mreža</w:t>
      </w:r>
      <w:r w:rsidRPr="00B54AC5">
        <w:rPr>
          <w:rFonts w:ascii="Times New Roman" w:hAnsi="Times New Roman" w:cs="Times New Roman"/>
          <w:sz w:val="24"/>
          <w:szCs w:val="24"/>
        </w:rPr>
        <w:t xml:space="preserve"> – mreža pokretnih ili nepokretnih komunikacija putem koje se pruža javna komunikacijska usluga</w:t>
      </w:r>
      <w:r w:rsidR="00EF1FBB">
        <w:rPr>
          <w:rFonts w:ascii="Times New Roman" w:hAnsi="Times New Roman" w:cs="Times New Roman"/>
          <w:sz w:val="24"/>
          <w:szCs w:val="24"/>
        </w:rPr>
        <w:t xml:space="preserve"> te s</w:t>
      </w:r>
      <w:r w:rsidR="009503CB">
        <w:rPr>
          <w:rFonts w:ascii="Times New Roman" w:hAnsi="Times New Roman" w:cs="Times New Roman"/>
          <w:sz w:val="24"/>
          <w:szCs w:val="24"/>
        </w:rPr>
        <w:t>e</w:t>
      </w:r>
      <w:r w:rsidR="00EF1FBB">
        <w:rPr>
          <w:rFonts w:ascii="Times New Roman" w:hAnsi="Times New Roman" w:cs="Times New Roman"/>
          <w:sz w:val="24"/>
          <w:szCs w:val="24"/>
        </w:rPr>
        <w:t xml:space="preserve"> posljedično u članku 16. mijenja naziv naknade</w:t>
      </w:r>
      <w:r w:rsidRPr="00B54AC5">
        <w:rPr>
          <w:rFonts w:ascii="Times New Roman" w:hAnsi="Times New Roman" w:cs="Times New Roman"/>
          <w:sz w:val="24"/>
          <w:szCs w:val="24"/>
        </w:rPr>
        <w:t>.</w:t>
      </w:r>
    </w:p>
    <w:p w14:paraId="2ADE90C2" w14:textId="77777777" w:rsidR="009503CB" w:rsidRDefault="009503CB" w:rsidP="00BE713C">
      <w:pPr>
        <w:spacing w:after="0" w:line="240" w:lineRule="auto"/>
        <w:jc w:val="both"/>
        <w:rPr>
          <w:rFonts w:ascii="Times New Roman" w:hAnsi="Times New Roman" w:cs="Times New Roman"/>
          <w:sz w:val="24"/>
          <w:szCs w:val="24"/>
        </w:rPr>
      </w:pPr>
    </w:p>
    <w:p w14:paraId="7DE3833D" w14:textId="77777777" w:rsidR="00B54AC5" w:rsidRDefault="00B54AC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w:t>
      </w:r>
      <w:r w:rsidRPr="00B54AC5">
        <w:rPr>
          <w:rFonts w:ascii="Times New Roman" w:hAnsi="Times New Roman" w:cs="Times New Roman"/>
          <w:sz w:val="24"/>
          <w:szCs w:val="24"/>
        </w:rPr>
        <w:t xml:space="preserve">lanak 10. stavak 2. </w:t>
      </w:r>
    </w:p>
    <w:p w14:paraId="1C2EAD3E" w14:textId="77777777" w:rsidR="00134C55" w:rsidRDefault="00134C5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Mijenja se način obračuna plaćanja naknada za uporabu radiofrekvencijskog spektra na način da se naknada iznosa većeg od 2.000.000,00 kn plaća u obrocima, do najviše četiri obroka s dospijećem plaćanja svaka tri mjeseca, odnosno u roku dospijeća navedenom na računu.</w:t>
      </w:r>
    </w:p>
    <w:p w14:paraId="45B8D8F3" w14:textId="77777777" w:rsidR="00134C55" w:rsidRDefault="00134C55">
      <w:pPr>
        <w:spacing w:after="0" w:line="240" w:lineRule="auto"/>
        <w:jc w:val="both"/>
        <w:rPr>
          <w:rFonts w:ascii="Times New Roman" w:hAnsi="Times New Roman" w:cs="Times New Roman"/>
          <w:sz w:val="24"/>
          <w:szCs w:val="24"/>
        </w:rPr>
      </w:pPr>
    </w:p>
    <w:p w14:paraId="5F67A94F" w14:textId="77777777" w:rsidR="00B54AC5" w:rsidRPr="00B54AC5" w:rsidRDefault="00134C55">
      <w:pPr>
        <w:spacing w:after="0" w:line="240" w:lineRule="auto"/>
        <w:jc w:val="both"/>
        <w:rPr>
          <w:rFonts w:ascii="Times New Roman" w:hAnsi="Times New Roman" w:cs="Times New Roman"/>
          <w:sz w:val="24"/>
          <w:szCs w:val="24"/>
          <w:lang w:eastAsia="hr-HR"/>
        </w:rPr>
      </w:pPr>
      <w:r>
        <w:rPr>
          <w:rFonts w:ascii="Times New Roman" w:hAnsi="Times New Roman" w:cs="Times New Roman"/>
          <w:sz w:val="24"/>
          <w:szCs w:val="24"/>
          <w:lang w:eastAsia="hr-HR"/>
        </w:rPr>
        <w:t>Članak</w:t>
      </w:r>
      <w:r w:rsidR="00B54AC5" w:rsidRPr="00B54AC5">
        <w:rPr>
          <w:rFonts w:ascii="Times New Roman" w:hAnsi="Times New Roman" w:cs="Times New Roman"/>
          <w:sz w:val="24"/>
          <w:szCs w:val="24"/>
          <w:lang w:eastAsia="hr-HR"/>
        </w:rPr>
        <w:t xml:space="preserve"> 11. </w:t>
      </w:r>
    </w:p>
    <w:p w14:paraId="26D71D08" w14:textId="30A0532A" w:rsidR="00B54AC5" w:rsidRPr="00AB5582" w:rsidRDefault="00300A99">
      <w:pPr>
        <w:spacing w:after="0" w:line="240" w:lineRule="auto"/>
        <w:jc w:val="both"/>
        <w:rPr>
          <w:rFonts w:ascii="Times New Roman" w:hAnsi="Times New Roman" w:cs="Times New Roman"/>
          <w:i/>
          <w:color w:val="000000"/>
          <w:sz w:val="24"/>
          <w:szCs w:val="24"/>
          <w:lang w:eastAsia="hr-HR"/>
        </w:rPr>
      </w:pPr>
      <w:r>
        <w:rPr>
          <w:rFonts w:ascii="Times New Roman" w:hAnsi="Times New Roman" w:cs="Times New Roman"/>
          <w:color w:val="000000"/>
          <w:sz w:val="24"/>
          <w:szCs w:val="24"/>
          <w:lang w:eastAsia="hr-HR"/>
        </w:rPr>
        <w:t xml:space="preserve">Propisano je izuzeće plaćanja </w:t>
      </w:r>
      <w:r w:rsidRPr="00300A99">
        <w:rPr>
          <w:rFonts w:ascii="Times New Roman" w:hAnsi="Times New Roman" w:cs="Times New Roman"/>
          <w:color w:val="000000"/>
          <w:sz w:val="24"/>
          <w:szCs w:val="24"/>
          <w:lang w:eastAsia="hr-HR"/>
        </w:rPr>
        <w:t>naknad</w:t>
      </w:r>
      <w:r>
        <w:rPr>
          <w:rFonts w:ascii="Times New Roman" w:hAnsi="Times New Roman" w:cs="Times New Roman"/>
          <w:color w:val="000000"/>
          <w:sz w:val="24"/>
          <w:szCs w:val="24"/>
          <w:lang w:eastAsia="hr-HR"/>
        </w:rPr>
        <w:t>e</w:t>
      </w:r>
      <w:r w:rsidRPr="00300A99">
        <w:rPr>
          <w:rFonts w:ascii="Times New Roman" w:hAnsi="Times New Roman" w:cs="Times New Roman"/>
          <w:color w:val="000000"/>
          <w:sz w:val="24"/>
          <w:szCs w:val="24"/>
          <w:lang w:eastAsia="hr-HR"/>
        </w:rPr>
        <w:t xml:space="preserve"> </w:t>
      </w:r>
      <w:r w:rsidR="00134C55" w:rsidRPr="00300A99">
        <w:rPr>
          <w:rFonts w:ascii="Times New Roman" w:hAnsi="Times New Roman" w:cs="Times New Roman"/>
          <w:color w:val="000000"/>
          <w:sz w:val="24"/>
          <w:szCs w:val="24"/>
          <w:lang w:eastAsia="hr-HR"/>
        </w:rPr>
        <w:t xml:space="preserve">za uporabu radiofrekvencijskog spektra </w:t>
      </w:r>
      <w:r w:rsidR="00B54AC5" w:rsidRPr="00300A99">
        <w:rPr>
          <w:rFonts w:ascii="Times New Roman" w:hAnsi="Times New Roman" w:cs="Times New Roman"/>
          <w:color w:val="000000"/>
          <w:sz w:val="24"/>
          <w:szCs w:val="24"/>
          <w:lang w:eastAsia="hr-HR"/>
        </w:rPr>
        <w:t xml:space="preserve">pri uporabi </w:t>
      </w:r>
      <w:r>
        <w:rPr>
          <w:rFonts w:ascii="Times New Roman" w:hAnsi="Times New Roman" w:cs="Times New Roman"/>
          <w:color w:val="000000"/>
          <w:sz w:val="24"/>
          <w:szCs w:val="24"/>
          <w:lang w:eastAsia="hr-HR"/>
        </w:rPr>
        <w:t xml:space="preserve">radiofrekvencijskog spektra </w:t>
      </w:r>
      <w:r w:rsidR="00B54AC5" w:rsidRPr="00300A99">
        <w:rPr>
          <w:rFonts w:ascii="Times New Roman" w:hAnsi="Times New Roman" w:cs="Times New Roman"/>
          <w:color w:val="000000"/>
          <w:sz w:val="24"/>
          <w:szCs w:val="24"/>
          <w:lang w:eastAsia="hr-HR"/>
        </w:rPr>
        <w:t>u humanitarne svrhe</w:t>
      </w:r>
      <w:r>
        <w:rPr>
          <w:rFonts w:ascii="Times New Roman" w:hAnsi="Times New Roman" w:cs="Times New Roman"/>
          <w:color w:val="000000"/>
          <w:sz w:val="24"/>
          <w:szCs w:val="24"/>
          <w:lang w:eastAsia="hr-HR"/>
        </w:rPr>
        <w:t>.</w:t>
      </w:r>
    </w:p>
    <w:p w14:paraId="258193E0" w14:textId="77777777" w:rsidR="00295436" w:rsidRDefault="00295436">
      <w:pPr>
        <w:spacing w:after="0" w:line="240" w:lineRule="auto"/>
        <w:jc w:val="both"/>
        <w:rPr>
          <w:rFonts w:ascii="Times New Roman" w:hAnsi="Times New Roman" w:cs="Times New Roman"/>
          <w:color w:val="000000"/>
          <w:sz w:val="24"/>
          <w:szCs w:val="24"/>
          <w:lang w:eastAsia="hr-HR"/>
        </w:rPr>
      </w:pPr>
    </w:p>
    <w:p w14:paraId="5CAB8B43" w14:textId="77777777" w:rsidR="00295436" w:rsidRDefault="00295436">
      <w:pPr>
        <w:spacing w:after="0" w:line="240" w:lineRule="auto"/>
        <w:jc w:val="both"/>
        <w:rPr>
          <w:rFonts w:ascii="Times New Roman" w:hAnsi="Times New Roman" w:cs="Times New Roman"/>
          <w:color w:val="000000"/>
          <w:sz w:val="24"/>
          <w:szCs w:val="24"/>
          <w:lang w:eastAsia="hr-HR"/>
        </w:rPr>
      </w:pPr>
      <w:r>
        <w:rPr>
          <w:rFonts w:ascii="Times New Roman" w:hAnsi="Times New Roman" w:cs="Times New Roman"/>
          <w:color w:val="000000"/>
          <w:sz w:val="24"/>
          <w:szCs w:val="24"/>
          <w:lang w:eastAsia="hr-HR"/>
        </w:rPr>
        <w:t>Članak 16.</w:t>
      </w:r>
    </w:p>
    <w:p w14:paraId="3C0A6068" w14:textId="79303865" w:rsidR="00300A99" w:rsidRDefault="00300A99">
      <w:pPr>
        <w:spacing w:after="0" w:line="240" w:lineRule="auto"/>
        <w:jc w:val="both"/>
        <w:rPr>
          <w:rFonts w:ascii="Times New Roman" w:hAnsi="Times New Roman" w:cs="Times New Roman"/>
          <w:color w:val="000000"/>
          <w:sz w:val="24"/>
          <w:szCs w:val="24"/>
          <w:lang w:eastAsia="hr-HR"/>
        </w:rPr>
      </w:pPr>
      <w:r>
        <w:rPr>
          <w:rFonts w:ascii="Times New Roman" w:hAnsi="Times New Roman" w:cs="Times New Roman"/>
          <w:color w:val="000000"/>
          <w:sz w:val="24"/>
          <w:szCs w:val="24"/>
          <w:lang w:eastAsia="hr-HR"/>
        </w:rPr>
        <w:t>I</w:t>
      </w:r>
      <w:r w:rsidR="00EF1FBB">
        <w:rPr>
          <w:rFonts w:ascii="Times New Roman" w:hAnsi="Times New Roman" w:cs="Times New Roman"/>
          <w:color w:val="000000"/>
          <w:sz w:val="24"/>
          <w:szCs w:val="24"/>
          <w:lang w:eastAsia="hr-HR"/>
        </w:rPr>
        <w:t xml:space="preserve">zmijenjeni su </w:t>
      </w:r>
      <w:r>
        <w:rPr>
          <w:rFonts w:ascii="Times New Roman" w:hAnsi="Times New Roman" w:cs="Times New Roman"/>
          <w:color w:val="000000"/>
          <w:sz w:val="24"/>
          <w:szCs w:val="24"/>
          <w:lang w:eastAsia="hr-HR"/>
        </w:rPr>
        <w:t>iznosi naknade za</w:t>
      </w:r>
      <w:r w:rsidRPr="00300A99">
        <w:rPr>
          <w:rFonts w:ascii="Times New Roman" w:hAnsi="Times New Roman" w:cs="Times New Roman"/>
          <w:color w:val="000000"/>
          <w:sz w:val="24"/>
          <w:szCs w:val="24"/>
          <w:lang w:eastAsia="hr-HR"/>
        </w:rPr>
        <w:t xml:space="preserve"> uporabu radiofrekvencijskog spektra za javnu </w:t>
      </w:r>
      <w:r w:rsidR="00B741D3">
        <w:rPr>
          <w:rFonts w:ascii="Times New Roman" w:hAnsi="Times New Roman" w:cs="Times New Roman"/>
          <w:color w:val="000000"/>
          <w:sz w:val="24"/>
          <w:szCs w:val="24"/>
          <w:lang w:eastAsia="hr-HR"/>
        </w:rPr>
        <w:t>komunikacijsku</w:t>
      </w:r>
      <w:r w:rsidRPr="00300A99">
        <w:rPr>
          <w:rFonts w:ascii="Times New Roman" w:hAnsi="Times New Roman" w:cs="Times New Roman"/>
          <w:color w:val="000000"/>
          <w:sz w:val="24"/>
          <w:szCs w:val="24"/>
          <w:lang w:eastAsia="hr-HR"/>
        </w:rPr>
        <w:t xml:space="preserve"> mrežu, osim mreža </w:t>
      </w:r>
      <w:r w:rsidR="00EF1FBB" w:rsidRPr="00EF1FBB">
        <w:rPr>
          <w:rFonts w:ascii="Times New Roman" w:hAnsi="Times New Roman" w:cs="Times New Roman"/>
          <w:color w:val="000000"/>
          <w:sz w:val="24"/>
          <w:szCs w:val="24"/>
          <w:lang w:eastAsia="hr-HR"/>
        </w:rPr>
        <w:t>točka-više točaka</w:t>
      </w:r>
      <w:r w:rsidR="00EF1FBB">
        <w:rPr>
          <w:rFonts w:ascii="Times New Roman" w:hAnsi="Times New Roman" w:cs="Times New Roman"/>
          <w:color w:val="000000"/>
          <w:sz w:val="24"/>
          <w:szCs w:val="24"/>
          <w:lang w:eastAsia="hr-HR"/>
        </w:rPr>
        <w:t xml:space="preserve"> za koje je propisana drugačija naknada</w:t>
      </w:r>
      <w:r w:rsidRPr="00300A99">
        <w:rPr>
          <w:rFonts w:ascii="Times New Roman" w:hAnsi="Times New Roman" w:cs="Times New Roman"/>
          <w:color w:val="000000"/>
          <w:sz w:val="24"/>
          <w:szCs w:val="24"/>
          <w:lang w:eastAsia="hr-HR"/>
        </w:rPr>
        <w:t>, za područja s manje od 1.000.000 stanovnika</w:t>
      </w:r>
      <w:r>
        <w:rPr>
          <w:rFonts w:ascii="Times New Roman" w:hAnsi="Times New Roman" w:cs="Times New Roman"/>
          <w:color w:val="000000"/>
          <w:sz w:val="24"/>
          <w:szCs w:val="24"/>
          <w:lang w:eastAsia="hr-HR"/>
        </w:rPr>
        <w:t>, na način da</w:t>
      </w:r>
      <w:r w:rsidR="00255FD5">
        <w:rPr>
          <w:rFonts w:ascii="Times New Roman" w:hAnsi="Times New Roman" w:cs="Times New Roman"/>
          <w:color w:val="000000"/>
          <w:sz w:val="24"/>
          <w:szCs w:val="24"/>
          <w:lang w:eastAsia="hr-HR"/>
        </w:rPr>
        <w:t xml:space="preserve"> se jasnije definiraju područja za izračun naknada </w:t>
      </w:r>
      <w:r w:rsidR="00462C76">
        <w:rPr>
          <w:rFonts w:ascii="Times New Roman" w:hAnsi="Times New Roman" w:cs="Times New Roman"/>
          <w:color w:val="000000"/>
          <w:sz w:val="24"/>
          <w:szCs w:val="24"/>
          <w:lang w:eastAsia="hr-HR"/>
        </w:rPr>
        <w:t>te</w:t>
      </w:r>
      <w:r w:rsidR="00255FD5">
        <w:rPr>
          <w:rFonts w:ascii="Times New Roman" w:hAnsi="Times New Roman" w:cs="Times New Roman"/>
          <w:color w:val="000000"/>
          <w:sz w:val="24"/>
          <w:szCs w:val="24"/>
          <w:lang w:eastAsia="hr-HR"/>
        </w:rPr>
        <w:t xml:space="preserve"> se uv</w:t>
      </w:r>
      <w:r w:rsidR="00462C76">
        <w:rPr>
          <w:rFonts w:ascii="Times New Roman" w:hAnsi="Times New Roman" w:cs="Times New Roman"/>
          <w:color w:val="000000"/>
          <w:sz w:val="24"/>
          <w:szCs w:val="24"/>
          <w:lang w:eastAsia="hr-HR"/>
        </w:rPr>
        <w:t>o</w:t>
      </w:r>
      <w:r w:rsidR="00255FD5">
        <w:rPr>
          <w:rFonts w:ascii="Times New Roman" w:hAnsi="Times New Roman" w:cs="Times New Roman"/>
          <w:color w:val="000000"/>
          <w:sz w:val="24"/>
          <w:szCs w:val="24"/>
          <w:lang w:eastAsia="hr-HR"/>
        </w:rPr>
        <w:t>d</w:t>
      </w:r>
      <w:r w:rsidR="00462C76">
        <w:rPr>
          <w:rFonts w:ascii="Times New Roman" w:hAnsi="Times New Roman" w:cs="Times New Roman"/>
          <w:color w:val="000000"/>
          <w:sz w:val="24"/>
          <w:szCs w:val="24"/>
          <w:lang w:eastAsia="hr-HR"/>
        </w:rPr>
        <w:t>e</w:t>
      </w:r>
      <w:r w:rsidR="00255FD5">
        <w:rPr>
          <w:rFonts w:ascii="Times New Roman" w:hAnsi="Times New Roman" w:cs="Times New Roman"/>
          <w:color w:val="000000"/>
          <w:sz w:val="24"/>
          <w:szCs w:val="24"/>
          <w:lang w:eastAsia="hr-HR"/>
        </w:rPr>
        <w:t xml:space="preserve"> različite naknade za različita frekvencijska područja ovisno o vrijednosti spektra.</w:t>
      </w:r>
    </w:p>
    <w:p w14:paraId="66D79683" w14:textId="77777777" w:rsidR="009503CB" w:rsidRDefault="009503CB">
      <w:pPr>
        <w:spacing w:after="0" w:line="240" w:lineRule="auto"/>
        <w:jc w:val="both"/>
        <w:rPr>
          <w:rFonts w:ascii="Times New Roman" w:hAnsi="Times New Roman" w:cs="Times New Roman"/>
          <w:color w:val="000000"/>
          <w:sz w:val="24"/>
          <w:szCs w:val="24"/>
          <w:lang w:eastAsia="hr-HR"/>
        </w:rPr>
      </w:pPr>
    </w:p>
    <w:p w14:paraId="0CBF8400" w14:textId="7696E9E4" w:rsidR="00B54AC5" w:rsidRDefault="00EF1FBB" w:rsidP="00B726EE">
      <w:pPr>
        <w:spacing w:after="0" w:line="240" w:lineRule="auto"/>
        <w:jc w:val="both"/>
        <w:rPr>
          <w:rFonts w:ascii="Times New Roman" w:hAnsi="Times New Roman" w:cs="Times New Roman"/>
          <w:color w:val="000000"/>
          <w:sz w:val="24"/>
          <w:szCs w:val="24"/>
          <w:lang w:eastAsia="hr-HR"/>
        </w:rPr>
      </w:pPr>
      <w:r>
        <w:rPr>
          <w:rFonts w:ascii="Times New Roman" w:hAnsi="Times New Roman" w:cs="Times New Roman"/>
          <w:color w:val="000000"/>
          <w:sz w:val="24"/>
          <w:szCs w:val="24"/>
          <w:lang w:eastAsia="hr-HR"/>
        </w:rPr>
        <w:t>Naknada sada glasi:</w:t>
      </w:r>
    </w:p>
    <w:p w14:paraId="46D86C3E" w14:textId="77777777" w:rsidR="000123BD" w:rsidRDefault="000123BD" w:rsidP="00B726EE">
      <w:pPr>
        <w:spacing w:after="0" w:line="240" w:lineRule="auto"/>
        <w:jc w:val="both"/>
        <w:rPr>
          <w:rFonts w:ascii="Times New Roman" w:hAnsi="Times New Roman" w:cs="Times New Roman"/>
          <w:color w:val="000000"/>
          <w:sz w:val="24"/>
          <w:szCs w:val="24"/>
          <w:lang w:eastAsia="hr-HR"/>
        </w:rPr>
      </w:pPr>
    </w:p>
    <w:p w14:paraId="77BD62D5" w14:textId="77777777" w:rsidR="000123BD" w:rsidRDefault="000123BD" w:rsidP="00B726EE">
      <w:pPr>
        <w:spacing w:after="0" w:line="240" w:lineRule="auto"/>
        <w:jc w:val="both"/>
        <w:rPr>
          <w:rFonts w:ascii="Times New Roman" w:hAnsi="Times New Roman" w:cs="Times New Roman"/>
          <w:color w:val="000000"/>
          <w:sz w:val="24"/>
          <w:szCs w:val="24"/>
          <w:lang w:eastAsia="hr-HR"/>
        </w:rPr>
      </w:pPr>
    </w:p>
    <w:p w14:paraId="37857D31" w14:textId="77777777" w:rsidR="000123BD" w:rsidRDefault="000123BD" w:rsidP="00B726EE">
      <w:pPr>
        <w:spacing w:after="0" w:line="240" w:lineRule="auto"/>
        <w:jc w:val="both"/>
        <w:rPr>
          <w:rFonts w:ascii="Times New Roman" w:hAnsi="Times New Roman" w:cs="Times New Roman"/>
          <w:color w:val="000000"/>
          <w:sz w:val="24"/>
          <w:szCs w:val="24"/>
          <w:lang w:eastAsia="hr-HR"/>
        </w:rPr>
      </w:pPr>
    </w:p>
    <w:p w14:paraId="1720855D" w14:textId="77777777" w:rsidR="000123BD" w:rsidRPr="00B726EE" w:rsidRDefault="000123BD" w:rsidP="00B726EE">
      <w:pPr>
        <w:spacing w:after="0" w:line="240" w:lineRule="auto"/>
        <w:jc w:val="both"/>
        <w:rPr>
          <w:rFonts w:ascii="Times New Roman" w:hAnsi="Times New Roman" w:cs="Times New Roman"/>
          <w:color w:val="000000"/>
          <w:sz w:val="24"/>
          <w:szCs w:val="24"/>
          <w:lang w:eastAsia="hr-HR"/>
        </w:rPr>
      </w:pPr>
    </w:p>
    <w:tbl>
      <w:tblPr>
        <w:tblW w:w="9062" w:type="dxa"/>
        <w:tblCellSpacing w:w="15" w:type="dxa"/>
        <w:tblCellMar>
          <w:left w:w="0" w:type="dxa"/>
          <w:right w:w="0" w:type="dxa"/>
        </w:tblCellMar>
        <w:tblLook w:val="04A0" w:firstRow="1" w:lastRow="0" w:firstColumn="1" w:lastColumn="0" w:noHBand="0" w:noVBand="1"/>
      </w:tblPr>
      <w:tblGrid>
        <w:gridCol w:w="604"/>
        <w:gridCol w:w="1176"/>
        <w:gridCol w:w="2875"/>
        <w:gridCol w:w="2876"/>
        <w:gridCol w:w="1531"/>
      </w:tblGrid>
      <w:tr w:rsidR="00B54AC5" w:rsidRPr="00B54AC5" w14:paraId="5E525205" w14:textId="77777777" w:rsidTr="00EF1FBB">
        <w:trPr>
          <w:trHeight w:val="239"/>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2A37A89A" w14:textId="77777777" w:rsidR="00B54AC5" w:rsidRPr="00B54AC5" w:rsidRDefault="00B54AC5">
            <w:pPr>
              <w:jc w:val="both"/>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lastRenderedPageBreak/>
              <w:t>Br.</w:t>
            </w:r>
          </w:p>
        </w:tc>
        <w:tc>
          <w:tcPr>
            <w:tcW w:w="8413" w:type="dxa"/>
            <w:gridSpan w:val="4"/>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344BE30E"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Godišnja naknada (u kunama) po MHz</w:t>
            </w:r>
          </w:p>
        </w:tc>
      </w:tr>
      <w:tr w:rsidR="00B54AC5" w:rsidRPr="00B54AC5" w14:paraId="4B7BE902" w14:textId="77777777" w:rsidTr="00EF1FBB">
        <w:trPr>
          <w:trHeight w:val="960"/>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17218407" w14:textId="77777777" w:rsidR="00B54AC5" w:rsidRPr="00B54AC5" w:rsidRDefault="00B54AC5">
            <w:pPr>
              <w:rPr>
                <w:rFonts w:ascii="Times New Roman" w:hAnsi="Times New Roman" w:cs="Times New Roman"/>
                <w:color w:val="000000"/>
                <w:sz w:val="24"/>
                <w:szCs w:val="24"/>
                <w:lang w:eastAsia="hr-HR"/>
              </w:rPr>
            </w:pPr>
          </w:p>
        </w:tc>
        <w:tc>
          <w:tcPr>
            <w:tcW w:w="1146" w:type="dxa"/>
            <w:tcBorders>
              <w:top w:val="single" w:sz="8" w:space="0" w:color="666666"/>
              <w:left w:val="single" w:sz="8" w:space="0" w:color="666666"/>
              <w:bottom w:val="single" w:sz="8" w:space="0" w:color="666666"/>
              <w:right w:val="single" w:sz="8" w:space="0" w:color="666666"/>
            </w:tcBorders>
            <w:tcMar>
              <w:top w:w="15" w:type="dxa"/>
              <w:left w:w="15" w:type="dxa"/>
              <w:bottom w:w="15" w:type="dxa"/>
              <w:right w:w="15" w:type="dxa"/>
            </w:tcMar>
          </w:tcPr>
          <w:p w14:paraId="7BD2BDD5" w14:textId="77777777" w:rsidR="00B54AC5" w:rsidRPr="00295436"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f (MHz)</w:t>
            </w:r>
          </w:p>
        </w:tc>
        <w:tc>
          <w:tcPr>
            <w:tcW w:w="2845"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5EC9848C"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Grad Zagreb ili područje od 500.001 do 1.000.000 stanovnika</w:t>
            </w:r>
          </w:p>
        </w:tc>
        <w:tc>
          <w:tcPr>
            <w:tcW w:w="284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73EEC58C"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Područje od 300.001 do 500.000 stanovnika</w:t>
            </w:r>
          </w:p>
        </w:tc>
        <w:tc>
          <w:tcPr>
            <w:tcW w:w="148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2A1D9222"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Područje do 300.000 stanovnika</w:t>
            </w:r>
          </w:p>
        </w:tc>
      </w:tr>
      <w:tr w:rsidR="00B54AC5" w:rsidRPr="00B54AC5" w14:paraId="361E0B96" w14:textId="77777777" w:rsidTr="00EF1FBB">
        <w:trPr>
          <w:trHeight w:val="480"/>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6BA6D694" w14:textId="77777777" w:rsidR="00B54AC5" w:rsidRPr="00B54AC5" w:rsidRDefault="00B54AC5">
            <w:pPr>
              <w:jc w:val="both"/>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1.</w:t>
            </w:r>
          </w:p>
        </w:tc>
        <w:tc>
          <w:tcPr>
            <w:tcW w:w="1146" w:type="dxa"/>
            <w:tcBorders>
              <w:top w:val="single" w:sz="8" w:space="0" w:color="666666"/>
              <w:left w:val="single" w:sz="8" w:space="0" w:color="666666"/>
              <w:bottom w:val="single" w:sz="8" w:space="0" w:color="666666"/>
              <w:right w:val="single" w:sz="8" w:space="0" w:color="666666"/>
            </w:tcBorders>
            <w:tcMar>
              <w:top w:w="15" w:type="dxa"/>
              <w:left w:w="15" w:type="dxa"/>
              <w:bottom w:w="15" w:type="dxa"/>
              <w:right w:w="15" w:type="dxa"/>
            </w:tcMar>
          </w:tcPr>
          <w:p w14:paraId="7A82D855"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f &lt; 3400</w:t>
            </w:r>
          </w:p>
        </w:tc>
        <w:tc>
          <w:tcPr>
            <w:tcW w:w="2845"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08B23CBA"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2.560,00</w:t>
            </w:r>
          </w:p>
        </w:tc>
        <w:tc>
          <w:tcPr>
            <w:tcW w:w="284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38D06B2F"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1.120,00</w:t>
            </w:r>
          </w:p>
        </w:tc>
        <w:tc>
          <w:tcPr>
            <w:tcW w:w="148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2EACCC15"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480,00</w:t>
            </w:r>
          </w:p>
        </w:tc>
      </w:tr>
      <w:tr w:rsidR="00B54AC5" w:rsidRPr="00B54AC5" w14:paraId="6340F617" w14:textId="77777777" w:rsidTr="00EF1FBB">
        <w:trPr>
          <w:trHeight w:val="480"/>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39AF37AF" w14:textId="77777777" w:rsidR="00B54AC5" w:rsidRPr="00B54AC5" w:rsidRDefault="00B54AC5">
            <w:pPr>
              <w:jc w:val="both"/>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2.</w:t>
            </w:r>
          </w:p>
        </w:tc>
        <w:tc>
          <w:tcPr>
            <w:tcW w:w="1146" w:type="dxa"/>
            <w:tcBorders>
              <w:top w:val="single" w:sz="8" w:space="0" w:color="666666"/>
              <w:left w:val="single" w:sz="8" w:space="0" w:color="666666"/>
              <w:bottom w:val="single" w:sz="8" w:space="0" w:color="666666"/>
              <w:right w:val="single" w:sz="8" w:space="0" w:color="666666"/>
            </w:tcBorders>
            <w:tcMar>
              <w:top w:w="15" w:type="dxa"/>
              <w:left w:w="15" w:type="dxa"/>
              <w:bottom w:w="15" w:type="dxa"/>
              <w:right w:w="15" w:type="dxa"/>
            </w:tcMar>
          </w:tcPr>
          <w:p w14:paraId="11F80546"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3400 ≤ f &lt; 3800</w:t>
            </w:r>
          </w:p>
        </w:tc>
        <w:tc>
          <w:tcPr>
            <w:tcW w:w="2845"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72EF19F4"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800,00</w:t>
            </w:r>
          </w:p>
        </w:tc>
        <w:tc>
          <w:tcPr>
            <w:tcW w:w="284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59C3A970"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350,00</w:t>
            </w:r>
          </w:p>
        </w:tc>
        <w:tc>
          <w:tcPr>
            <w:tcW w:w="148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42481B02"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150,00</w:t>
            </w:r>
          </w:p>
        </w:tc>
      </w:tr>
      <w:tr w:rsidR="00B54AC5" w:rsidRPr="00B54AC5" w14:paraId="2297147D" w14:textId="77777777" w:rsidTr="00EF1FBB">
        <w:trPr>
          <w:trHeight w:val="251"/>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4E2DAC71" w14:textId="77777777" w:rsidR="00B54AC5" w:rsidRPr="00B54AC5" w:rsidRDefault="00B54AC5">
            <w:pPr>
              <w:jc w:val="both"/>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3.</w:t>
            </w:r>
          </w:p>
        </w:tc>
        <w:tc>
          <w:tcPr>
            <w:tcW w:w="1146" w:type="dxa"/>
            <w:tcBorders>
              <w:top w:val="single" w:sz="8" w:space="0" w:color="666666"/>
              <w:left w:val="single" w:sz="8" w:space="0" w:color="666666"/>
              <w:bottom w:val="single" w:sz="8" w:space="0" w:color="666666"/>
              <w:right w:val="single" w:sz="8" w:space="0" w:color="666666"/>
            </w:tcBorders>
            <w:tcMar>
              <w:top w:w="15" w:type="dxa"/>
              <w:left w:w="15" w:type="dxa"/>
              <w:bottom w:w="15" w:type="dxa"/>
              <w:right w:w="15" w:type="dxa"/>
            </w:tcMar>
          </w:tcPr>
          <w:p w14:paraId="493D4DF5"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3800 ≤ f</w:t>
            </w:r>
          </w:p>
        </w:tc>
        <w:tc>
          <w:tcPr>
            <w:tcW w:w="2845"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4FE480DA"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240,00</w:t>
            </w:r>
          </w:p>
        </w:tc>
        <w:tc>
          <w:tcPr>
            <w:tcW w:w="284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0C3004AA"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105,00</w:t>
            </w:r>
          </w:p>
        </w:tc>
        <w:tc>
          <w:tcPr>
            <w:tcW w:w="1486" w:type="dxa"/>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tcPr>
          <w:p w14:paraId="292F9C97" w14:textId="77777777" w:rsidR="00B54AC5" w:rsidRPr="00B54AC5" w:rsidRDefault="00B54AC5">
            <w:pPr>
              <w:jc w:val="right"/>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45,00</w:t>
            </w:r>
          </w:p>
        </w:tc>
      </w:tr>
    </w:tbl>
    <w:p w14:paraId="18F9CBC4" w14:textId="77777777" w:rsidR="00B54AC5" w:rsidRPr="00BE713C" w:rsidRDefault="00B54AC5" w:rsidP="00B54AC5">
      <w:pPr>
        <w:rPr>
          <w:rFonts w:ascii="Times New Roman" w:hAnsi="Times New Roman" w:cs="Times New Roman"/>
          <w:sz w:val="24"/>
          <w:szCs w:val="24"/>
        </w:rPr>
      </w:pPr>
    </w:p>
    <w:p w14:paraId="420AD533" w14:textId="77777777" w:rsidR="00B54AC5" w:rsidRDefault="00295436" w:rsidP="00BE713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Članak </w:t>
      </w:r>
      <w:r w:rsidR="00B54AC5" w:rsidRPr="00B54AC5">
        <w:rPr>
          <w:rFonts w:ascii="Times New Roman" w:hAnsi="Times New Roman" w:cs="Times New Roman"/>
          <w:sz w:val="24"/>
          <w:szCs w:val="24"/>
        </w:rPr>
        <w:t xml:space="preserve">18. </w:t>
      </w:r>
    </w:p>
    <w:p w14:paraId="0623D78C" w14:textId="32F17D74" w:rsidR="004E0B94" w:rsidRDefault="00EF1FBB" w:rsidP="00BE713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Mijenja se način izračuna naknade za mrežu točka-više točaka te se mijenja kategorizacija područja i pripadajućih naknada. Naime, </w:t>
      </w:r>
      <w:r w:rsidR="0059188F">
        <w:rPr>
          <w:rFonts w:ascii="Times New Roman" w:hAnsi="Times New Roman" w:cs="Times New Roman"/>
          <w:sz w:val="24"/>
          <w:szCs w:val="24"/>
        </w:rPr>
        <w:t xml:space="preserve">u važećem Pravilniku izraz „regija“ nije definiran pa tako ni primjena u nekim slučajevima nije </w:t>
      </w:r>
      <w:r w:rsidR="004E0B94">
        <w:rPr>
          <w:rFonts w:ascii="Times New Roman" w:hAnsi="Times New Roman" w:cs="Times New Roman"/>
          <w:sz w:val="24"/>
          <w:szCs w:val="24"/>
        </w:rPr>
        <w:t>jasno definirana</w:t>
      </w:r>
      <w:r w:rsidR="00462C76">
        <w:rPr>
          <w:rFonts w:ascii="Times New Roman" w:hAnsi="Times New Roman" w:cs="Times New Roman"/>
          <w:sz w:val="24"/>
          <w:szCs w:val="24"/>
        </w:rPr>
        <w:t>. Uslijed toga je bilo moguće da se za</w:t>
      </w:r>
      <w:r w:rsidR="0059188F">
        <w:rPr>
          <w:rFonts w:ascii="Times New Roman" w:hAnsi="Times New Roman" w:cs="Times New Roman"/>
          <w:sz w:val="24"/>
          <w:szCs w:val="24"/>
        </w:rPr>
        <w:t xml:space="preserve"> dvije </w:t>
      </w:r>
      <w:r w:rsidR="004E0B94">
        <w:rPr>
          <w:rFonts w:ascii="Times New Roman" w:hAnsi="Times New Roman" w:cs="Times New Roman"/>
          <w:sz w:val="24"/>
          <w:szCs w:val="24"/>
        </w:rPr>
        <w:t xml:space="preserve">ili tri </w:t>
      </w:r>
      <w:r w:rsidR="0059188F">
        <w:rPr>
          <w:rFonts w:ascii="Times New Roman" w:hAnsi="Times New Roman" w:cs="Times New Roman"/>
          <w:sz w:val="24"/>
          <w:szCs w:val="24"/>
        </w:rPr>
        <w:t xml:space="preserve">županije s </w:t>
      </w:r>
      <w:r w:rsidR="004E0B94">
        <w:rPr>
          <w:rFonts w:ascii="Times New Roman" w:hAnsi="Times New Roman" w:cs="Times New Roman"/>
          <w:sz w:val="24"/>
          <w:szCs w:val="24"/>
        </w:rPr>
        <w:t>ukupnim brojem stanovnika do 300.000</w:t>
      </w:r>
      <w:r w:rsidR="0059188F">
        <w:rPr>
          <w:rFonts w:ascii="Times New Roman" w:hAnsi="Times New Roman" w:cs="Times New Roman"/>
          <w:sz w:val="24"/>
          <w:szCs w:val="24"/>
        </w:rPr>
        <w:t xml:space="preserve"> </w:t>
      </w:r>
      <w:r w:rsidR="00462C76">
        <w:rPr>
          <w:rFonts w:ascii="Times New Roman" w:hAnsi="Times New Roman" w:cs="Times New Roman"/>
          <w:sz w:val="24"/>
          <w:szCs w:val="24"/>
        </w:rPr>
        <w:t xml:space="preserve">koje predstavljaju regiju </w:t>
      </w:r>
      <w:r w:rsidR="004E0B94">
        <w:rPr>
          <w:rFonts w:ascii="Times New Roman" w:hAnsi="Times New Roman" w:cs="Times New Roman"/>
          <w:sz w:val="24"/>
          <w:szCs w:val="24"/>
        </w:rPr>
        <w:t>naknad</w:t>
      </w:r>
      <w:r w:rsidR="00462C76">
        <w:rPr>
          <w:rFonts w:ascii="Times New Roman" w:hAnsi="Times New Roman" w:cs="Times New Roman"/>
          <w:sz w:val="24"/>
          <w:szCs w:val="24"/>
        </w:rPr>
        <w:t>a</w:t>
      </w:r>
      <w:r w:rsidR="004E0B94">
        <w:rPr>
          <w:rFonts w:ascii="Times New Roman" w:hAnsi="Times New Roman" w:cs="Times New Roman"/>
          <w:sz w:val="24"/>
          <w:szCs w:val="24"/>
        </w:rPr>
        <w:t xml:space="preserve"> </w:t>
      </w:r>
      <w:r w:rsidR="00462C76">
        <w:rPr>
          <w:rFonts w:ascii="Times New Roman" w:hAnsi="Times New Roman" w:cs="Times New Roman"/>
          <w:sz w:val="24"/>
          <w:szCs w:val="24"/>
        </w:rPr>
        <w:t>naplaćuje</w:t>
      </w:r>
      <w:r w:rsidR="004E0B94">
        <w:rPr>
          <w:rFonts w:ascii="Times New Roman" w:hAnsi="Times New Roman" w:cs="Times New Roman"/>
          <w:sz w:val="24"/>
          <w:szCs w:val="24"/>
        </w:rPr>
        <w:t xml:space="preserve"> kao za </w:t>
      </w:r>
      <w:r w:rsidR="008722EA">
        <w:rPr>
          <w:rFonts w:ascii="Times New Roman" w:hAnsi="Times New Roman" w:cs="Times New Roman"/>
          <w:sz w:val="24"/>
          <w:szCs w:val="24"/>
        </w:rPr>
        <w:t>regiju do 1.000.000</w:t>
      </w:r>
      <w:r w:rsidR="004E0B94">
        <w:rPr>
          <w:rFonts w:ascii="Times New Roman" w:hAnsi="Times New Roman" w:cs="Times New Roman"/>
          <w:sz w:val="24"/>
          <w:szCs w:val="24"/>
        </w:rPr>
        <w:t xml:space="preserve"> stanovnika.</w:t>
      </w:r>
    </w:p>
    <w:p w14:paraId="386DE531" w14:textId="77777777" w:rsidR="008722EA" w:rsidRDefault="008722EA" w:rsidP="00AB5582">
      <w:pPr>
        <w:spacing w:after="0" w:line="240" w:lineRule="auto"/>
        <w:rPr>
          <w:rFonts w:ascii="Times New Roman" w:hAnsi="Times New Roman" w:cs="Times New Roman"/>
          <w:sz w:val="24"/>
          <w:szCs w:val="24"/>
        </w:rPr>
      </w:pPr>
    </w:p>
    <w:p w14:paraId="299FFD88" w14:textId="57A4A92F" w:rsidR="00AB5582" w:rsidRPr="00B54AC5" w:rsidRDefault="00462C76" w:rsidP="00AB5582">
      <w:pPr>
        <w:spacing w:after="0" w:line="240" w:lineRule="auto"/>
        <w:rPr>
          <w:rFonts w:ascii="Times New Roman" w:hAnsi="Times New Roman" w:cs="Times New Roman"/>
          <w:sz w:val="24"/>
          <w:szCs w:val="24"/>
        </w:rPr>
      </w:pPr>
      <w:r>
        <w:rPr>
          <w:rFonts w:ascii="Times New Roman" w:hAnsi="Times New Roman" w:cs="Times New Roman"/>
          <w:sz w:val="24"/>
          <w:szCs w:val="24"/>
        </w:rPr>
        <w:t>Sukladno navedenom, n</w:t>
      </w:r>
      <w:r w:rsidR="00BC4320">
        <w:rPr>
          <w:rFonts w:ascii="Times New Roman" w:hAnsi="Times New Roman" w:cs="Times New Roman"/>
          <w:sz w:val="24"/>
          <w:szCs w:val="24"/>
        </w:rPr>
        <w:t xml:space="preserve">aknada </w:t>
      </w:r>
      <w:r>
        <w:rPr>
          <w:rFonts w:ascii="Times New Roman" w:hAnsi="Times New Roman" w:cs="Times New Roman"/>
          <w:sz w:val="24"/>
          <w:szCs w:val="24"/>
        </w:rPr>
        <w:t xml:space="preserve">se </w:t>
      </w:r>
      <w:r w:rsidR="00BC4320">
        <w:rPr>
          <w:rFonts w:ascii="Times New Roman" w:hAnsi="Times New Roman" w:cs="Times New Roman"/>
          <w:sz w:val="24"/>
          <w:szCs w:val="24"/>
        </w:rPr>
        <w:t xml:space="preserve">sada </w:t>
      </w:r>
      <w:r>
        <w:rPr>
          <w:rFonts w:ascii="Times New Roman" w:hAnsi="Times New Roman" w:cs="Times New Roman"/>
          <w:sz w:val="24"/>
          <w:szCs w:val="24"/>
        </w:rPr>
        <w:t>utvrđuje kako slijedi</w:t>
      </w:r>
      <w:r w:rsidR="00BC4320">
        <w:rPr>
          <w:rFonts w:ascii="Times New Roman" w:hAnsi="Times New Roman" w:cs="Times New Roman"/>
          <w:sz w:val="24"/>
          <w:szCs w:val="24"/>
        </w:rPr>
        <w:t>:</w:t>
      </w:r>
    </w:p>
    <w:tbl>
      <w:tblPr>
        <w:tblW w:w="9285" w:type="dxa"/>
        <w:tblCellSpacing w:w="15" w:type="dxa"/>
        <w:tblCellMar>
          <w:left w:w="0" w:type="dxa"/>
          <w:right w:w="0" w:type="dxa"/>
        </w:tblCellMar>
        <w:tblLook w:val="04A0" w:firstRow="1" w:lastRow="0" w:firstColumn="1" w:lastColumn="0" w:noHBand="0" w:noVBand="1"/>
      </w:tblPr>
      <w:tblGrid>
        <w:gridCol w:w="475"/>
        <w:gridCol w:w="1662"/>
        <w:gridCol w:w="1781"/>
        <w:gridCol w:w="2001"/>
        <w:gridCol w:w="1815"/>
        <w:gridCol w:w="1551"/>
      </w:tblGrid>
      <w:tr w:rsidR="00B54AC5" w:rsidRPr="00B54AC5" w14:paraId="19742993" w14:textId="77777777" w:rsidTr="00B54AC5">
        <w:trPr>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79CE0A18" w14:textId="77777777" w:rsidR="00B54AC5" w:rsidRPr="00B54AC5" w:rsidRDefault="00B54AC5">
            <w:pPr>
              <w:jc w:val="both"/>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Br.</w:t>
            </w:r>
          </w:p>
        </w:tc>
        <w:tc>
          <w:tcPr>
            <w:tcW w:w="0" w:type="auto"/>
            <w:gridSpan w:val="5"/>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706623B1"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Godišnja naknada (u kunama), po MHz</w:t>
            </w:r>
          </w:p>
        </w:tc>
      </w:tr>
      <w:tr w:rsidR="00B54AC5" w:rsidRPr="00B54AC5" w14:paraId="390B6ACD" w14:textId="77777777" w:rsidTr="00B54AC5">
        <w:trPr>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186BB203" w14:textId="77777777" w:rsidR="00B54AC5" w:rsidRPr="00B54AC5" w:rsidRDefault="00B54AC5">
            <w:pPr>
              <w:rPr>
                <w:rFonts w:ascii="Times New Roman" w:hAnsi="Times New Roman" w:cs="Times New Roman"/>
                <w:color w:val="000000"/>
                <w:sz w:val="24"/>
                <w:szCs w:val="24"/>
                <w:lang w:eastAsia="hr-HR"/>
              </w:rPr>
            </w:pP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7698ED1C" w14:textId="62FB5A52"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Područje s više od 2.000.000 stanovnika</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63CD4B13"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Područje od 1.000.001 do 2.000.000 stanovnika</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55C5F423"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Grad Zagreb ili područje od 500.001 do 1.000.000 stanovnika</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2633D38F"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Područje od 300.0001do 500.000 stanovnika</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2D47DD8E" w14:textId="77777777" w:rsidR="00B54AC5" w:rsidRPr="00B54AC5" w:rsidRDefault="00B54AC5">
            <w:pP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Područje do 300.000 stanovnika</w:t>
            </w:r>
          </w:p>
        </w:tc>
      </w:tr>
      <w:tr w:rsidR="00B54AC5" w:rsidRPr="00B54AC5" w14:paraId="3085EC1D" w14:textId="77777777" w:rsidTr="00B54AC5">
        <w:trPr>
          <w:tblCellSpacing w:w="15" w:type="dxa"/>
        </w:trPr>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060D08A0" w14:textId="77777777" w:rsidR="00B54AC5" w:rsidRPr="00B54AC5" w:rsidRDefault="00B54AC5">
            <w:pPr>
              <w:jc w:val="both"/>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1.</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3D10A6E9"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3.600,00</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42E008BE"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1.350,00</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27BC4188"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800,00</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7C2AD672"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350,00</w:t>
            </w:r>
          </w:p>
        </w:tc>
        <w:tc>
          <w:tcPr>
            <w:tcW w:w="0" w:type="auto"/>
            <w:tcBorders>
              <w:top w:val="single" w:sz="8" w:space="0" w:color="666666"/>
              <w:left w:val="single" w:sz="8" w:space="0" w:color="666666"/>
              <w:bottom w:val="single" w:sz="8" w:space="0" w:color="666666"/>
              <w:right w:val="single" w:sz="8" w:space="0" w:color="666666"/>
            </w:tcBorders>
            <w:tcMar>
              <w:top w:w="45" w:type="dxa"/>
              <w:left w:w="45" w:type="dxa"/>
              <w:bottom w:w="45" w:type="dxa"/>
              <w:right w:w="45" w:type="dxa"/>
            </w:tcMar>
            <w:vAlign w:val="center"/>
            <w:hideMark/>
          </w:tcPr>
          <w:p w14:paraId="1271BDAA" w14:textId="77777777" w:rsidR="00B54AC5" w:rsidRPr="00B54AC5" w:rsidRDefault="00B54AC5">
            <w:pPr>
              <w:jc w:val="center"/>
              <w:rPr>
                <w:rFonts w:ascii="Times New Roman" w:hAnsi="Times New Roman" w:cs="Times New Roman"/>
                <w:color w:val="000000"/>
                <w:sz w:val="24"/>
                <w:szCs w:val="24"/>
                <w:lang w:eastAsia="hr-HR"/>
              </w:rPr>
            </w:pPr>
            <w:r w:rsidRPr="00B54AC5">
              <w:rPr>
                <w:rFonts w:ascii="Times New Roman" w:hAnsi="Times New Roman" w:cs="Times New Roman"/>
                <w:color w:val="000000"/>
                <w:sz w:val="24"/>
                <w:szCs w:val="24"/>
                <w:lang w:eastAsia="hr-HR"/>
              </w:rPr>
              <w:t>150,00</w:t>
            </w:r>
          </w:p>
        </w:tc>
      </w:tr>
    </w:tbl>
    <w:p w14:paraId="1CBFE7B5" w14:textId="77777777" w:rsidR="00B54AC5" w:rsidRPr="00B54AC5" w:rsidRDefault="00B54AC5" w:rsidP="00B54AC5">
      <w:pPr>
        <w:rPr>
          <w:rFonts w:ascii="Times New Roman" w:hAnsi="Times New Roman" w:cs="Times New Roman"/>
          <w:sz w:val="24"/>
          <w:szCs w:val="24"/>
        </w:rPr>
      </w:pPr>
    </w:p>
    <w:p w14:paraId="13C29656" w14:textId="77777777" w:rsidR="00D34D92" w:rsidRDefault="00AB5582" w:rsidP="00BE713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Članak 20. stavak</w:t>
      </w:r>
      <w:r w:rsidR="00B54AC5" w:rsidRPr="00B54AC5">
        <w:rPr>
          <w:rFonts w:ascii="Times New Roman" w:hAnsi="Times New Roman" w:cs="Times New Roman"/>
          <w:sz w:val="24"/>
          <w:szCs w:val="24"/>
        </w:rPr>
        <w:t xml:space="preserve"> 2. </w:t>
      </w:r>
      <w:r>
        <w:rPr>
          <w:rFonts w:ascii="Times New Roman" w:hAnsi="Times New Roman" w:cs="Times New Roman"/>
          <w:sz w:val="24"/>
          <w:szCs w:val="24"/>
        </w:rPr>
        <w:t xml:space="preserve">točka 2. </w:t>
      </w:r>
    </w:p>
    <w:p w14:paraId="7EA8C5FA" w14:textId="1A4A480D" w:rsidR="00B54AC5" w:rsidRPr="00B54AC5" w:rsidRDefault="00D34D92" w:rsidP="00BE713C">
      <w:pPr>
        <w:spacing w:after="0" w:line="240" w:lineRule="auto"/>
        <w:jc w:val="both"/>
        <w:rPr>
          <w:rFonts w:ascii="Times New Roman" w:hAnsi="Times New Roman" w:cs="Times New Roman"/>
          <w:color w:val="000000"/>
          <w:sz w:val="24"/>
          <w:szCs w:val="24"/>
          <w:lang w:eastAsia="hr-HR"/>
        </w:rPr>
      </w:pPr>
      <w:r>
        <w:rPr>
          <w:rFonts w:ascii="Times New Roman" w:hAnsi="Times New Roman" w:cs="Times New Roman"/>
          <w:sz w:val="24"/>
          <w:szCs w:val="24"/>
        </w:rPr>
        <w:t xml:space="preserve">U odnosu na koeficijent „k“, koji je sastavni dio formule za izračun naknade u zemaljskoj radiodifuziji, </w:t>
      </w:r>
      <w:r w:rsidR="00AB5582">
        <w:rPr>
          <w:rFonts w:ascii="Times New Roman" w:hAnsi="Times New Roman" w:cs="Times New Roman"/>
          <w:sz w:val="24"/>
          <w:szCs w:val="24"/>
        </w:rPr>
        <w:t xml:space="preserve">briše se </w:t>
      </w:r>
      <w:r w:rsidR="00B54AC5" w:rsidRPr="00B54AC5">
        <w:rPr>
          <w:rFonts w:ascii="Times New Roman" w:hAnsi="Times New Roman" w:cs="Times New Roman"/>
          <w:sz w:val="24"/>
          <w:szCs w:val="24"/>
        </w:rPr>
        <w:t xml:space="preserve">izraz “L-pojas” </w:t>
      </w:r>
      <w:r>
        <w:rPr>
          <w:rFonts w:ascii="Times New Roman" w:hAnsi="Times New Roman" w:cs="Times New Roman"/>
          <w:sz w:val="24"/>
          <w:szCs w:val="24"/>
        </w:rPr>
        <w:t xml:space="preserve">iz razloga što </w:t>
      </w:r>
      <w:r w:rsidR="00255FD5">
        <w:rPr>
          <w:rFonts w:ascii="Times New Roman" w:hAnsi="Times New Roman" w:cs="Times New Roman"/>
          <w:sz w:val="24"/>
          <w:szCs w:val="24"/>
        </w:rPr>
        <w:t>se taj spektar više ne koristi u te svrhe</w:t>
      </w:r>
      <w:r w:rsidR="004E0B94">
        <w:rPr>
          <w:rFonts w:ascii="Times New Roman" w:hAnsi="Times New Roman" w:cs="Times New Roman"/>
          <w:sz w:val="24"/>
          <w:szCs w:val="24"/>
        </w:rPr>
        <w:t>.</w:t>
      </w:r>
    </w:p>
    <w:p w14:paraId="52D50D6B" w14:textId="77777777" w:rsidR="009503CB" w:rsidRDefault="009503CB">
      <w:pPr>
        <w:spacing w:after="0" w:line="240" w:lineRule="auto"/>
        <w:jc w:val="both"/>
        <w:rPr>
          <w:rFonts w:ascii="Times New Roman" w:hAnsi="Times New Roman" w:cs="Times New Roman"/>
          <w:b/>
          <w:sz w:val="24"/>
          <w:szCs w:val="24"/>
        </w:rPr>
      </w:pPr>
    </w:p>
    <w:p w14:paraId="5270986A" w14:textId="77777777" w:rsidR="009503CB" w:rsidRDefault="009503CB">
      <w:pPr>
        <w:spacing w:after="0" w:line="240" w:lineRule="auto"/>
        <w:jc w:val="both"/>
        <w:rPr>
          <w:rFonts w:ascii="Times New Roman" w:hAnsi="Times New Roman" w:cs="Times New Roman"/>
          <w:b/>
          <w:sz w:val="24"/>
          <w:szCs w:val="24"/>
        </w:rPr>
      </w:pPr>
    </w:p>
    <w:p w14:paraId="1605CF10" w14:textId="77777777" w:rsidR="0060099B" w:rsidRPr="00825D83" w:rsidRDefault="0060099B">
      <w:pPr>
        <w:spacing w:after="0" w:line="240" w:lineRule="auto"/>
        <w:jc w:val="both"/>
        <w:rPr>
          <w:rFonts w:ascii="Times New Roman" w:hAnsi="Times New Roman" w:cs="Times New Roman"/>
          <w:b/>
          <w:sz w:val="24"/>
          <w:szCs w:val="24"/>
        </w:rPr>
      </w:pPr>
      <w:r w:rsidRPr="00825D83">
        <w:rPr>
          <w:rFonts w:ascii="Times New Roman" w:hAnsi="Times New Roman" w:cs="Times New Roman"/>
          <w:b/>
          <w:sz w:val="24"/>
          <w:szCs w:val="24"/>
        </w:rPr>
        <w:t>Prijedlog propisa</w:t>
      </w:r>
    </w:p>
    <w:p w14:paraId="0003AB50" w14:textId="77777777" w:rsidR="00B1537A" w:rsidRPr="00B1537A" w:rsidRDefault="00B1537A">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14:paraId="682EEBC4" w14:textId="77777777" w:rsidR="00B1537A" w:rsidRDefault="00B1537A" w:rsidP="00B1537A">
      <w:pPr>
        <w:spacing w:after="0" w:line="240" w:lineRule="auto"/>
        <w:jc w:val="both"/>
        <w:rPr>
          <w:rFonts w:ascii="Times New Roman" w:hAnsi="Times New Roman" w:cs="Times New Roman"/>
          <w:sz w:val="24"/>
          <w:szCs w:val="24"/>
          <w:u w:val="single"/>
        </w:rPr>
      </w:pPr>
    </w:p>
    <w:p w14:paraId="26215568" w14:textId="77777777" w:rsidR="00224C3B" w:rsidRDefault="00224C3B" w:rsidP="00B1537A">
      <w:pPr>
        <w:spacing w:after="0" w:line="240" w:lineRule="auto"/>
        <w:jc w:val="both"/>
        <w:rPr>
          <w:rFonts w:ascii="Times New Roman" w:hAnsi="Times New Roman" w:cs="Times New Roman"/>
          <w:sz w:val="24"/>
          <w:szCs w:val="24"/>
          <w:u w:val="single"/>
        </w:rPr>
      </w:pPr>
    </w:p>
    <w:p w14:paraId="67D63665" w14:textId="77777777" w:rsidR="00224C3B" w:rsidRDefault="00224C3B" w:rsidP="00B1537A">
      <w:pPr>
        <w:spacing w:after="0" w:line="240" w:lineRule="auto"/>
        <w:jc w:val="both"/>
        <w:rPr>
          <w:rFonts w:ascii="Times New Roman" w:hAnsi="Times New Roman" w:cs="Times New Roman"/>
          <w:sz w:val="24"/>
          <w:szCs w:val="24"/>
          <w:u w:val="single"/>
        </w:rPr>
      </w:pPr>
    </w:p>
    <w:p w14:paraId="1FF1A2B3" w14:textId="77777777" w:rsidR="00224C3B" w:rsidRDefault="00224C3B" w:rsidP="00B1537A">
      <w:pPr>
        <w:spacing w:after="0" w:line="240" w:lineRule="auto"/>
        <w:jc w:val="both"/>
        <w:rPr>
          <w:rFonts w:ascii="Times New Roman" w:hAnsi="Times New Roman" w:cs="Times New Roman"/>
          <w:sz w:val="24"/>
          <w:szCs w:val="24"/>
          <w:u w:val="single"/>
        </w:rPr>
      </w:pPr>
    </w:p>
    <w:p w14:paraId="6A726A54" w14:textId="77777777" w:rsidR="00224C3B" w:rsidRDefault="00224C3B" w:rsidP="00224C3B">
      <w:pPr>
        <w:spacing w:after="0" w:line="240" w:lineRule="auto"/>
        <w:jc w:val="center"/>
        <w:rPr>
          <w:rFonts w:ascii="Times New Roman" w:eastAsia="Times New Roman" w:hAnsi="Times New Roman" w:cs="Times New Roman"/>
          <w:b/>
          <w:bCs/>
          <w:color w:val="000000"/>
          <w:sz w:val="36"/>
          <w:szCs w:val="36"/>
          <w:lang w:eastAsia="hr-HR"/>
        </w:rPr>
      </w:pPr>
      <w:r>
        <w:rPr>
          <w:rFonts w:ascii="Times New Roman" w:eastAsia="Times New Roman" w:hAnsi="Times New Roman" w:cs="Times New Roman"/>
          <w:b/>
          <w:bCs/>
          <w:color w:val="000000"/>
          <w:sz w:val="36"/>
          <w:szCs w:val="36"/>
          <w:lang w:eastAsia="hr-HR"/>
        </w:rPr>
        <w:lastRenderedPageBreak/>
        <w:t xml:space="preserve">HRVATSKA REGULATORNA AGENCIJA ZA MREŽNE DJELATNOSTI </w:t>
      </w:r>
    </w:p>
    <w:p w14:paraId="426606BC" w14:textId="77777777" w:rsidR="00224C3B" w:rsidRDefault="00224C3B" w:rsidP="00224C3B">
      <w:pPr>
        <w:spacing w:after="0" w:line="240" w:lineRule="auto"/>
        <w:jc w:val="both"/>
        <w:rPr>
          <w:rFonts w:ascii="Times New Roman" w:eastAsia="Times New Roman" w:hAnsi="Times New Roman" w:cs="Times New Roman"/>
          <w:b/>
          <w:bCs/>
          <w:color w:val="000000"/>
          <w:sz w:val="40"/>
          <w:szCs w:val="40"/>
          <w:lang w:eastAsia="hr-HR"/>
        </w:rPr>
      </w:pPr>
    </w:p>
    <w:p w14:paraId="5F1D3B8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Na temelju članka 12. stavka 1. točke 1., članka 16. stavka 4., članka 70. stavka 5. točke 1., članka 84. stavka 1. točke 1. Zakona o elektroničkim komunikacijama (Narodne novine br. 73/08, 90/11, 133/12, 80/13, 71/14 i 72/17), članka 13. stavka 2. Zakona o poštanskim uslugama (Narodne novine br. 144/12, 153/13, 78/15 i 110/19) te članka 11. stavka 3. Zakona o regulaciji tržišta željezničkih usluga i zaštiti prava putnika u željezničkom prijevozu (Narodne novine br. 104/17), Vijeće Hrvatske regulatorne agencije za mrežne djelatnosti donosi</w:t>
      </w:r>
    </w:p>
    <w:p w14:paraId="7F82879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D984688" w14:textId="77777777" w:rsidR="00224C3B" w:rsidRDefault="00224C3B" w:rsidP="00224C3B">
      <w:pPr>
        <w:spacing w:after="0" w:line="240" w:lineRule="auto"/>
        <w:jc w:val="center"/>
        <w:rPr>
          <w:rFonts w:ascii="Times New Roman" w:eastAsia="Times New Roman" w:hAnsi="Times New Roman" w:cs="Times New Roman"/>
          <w:b/>
          <w:bCs/>
          <w:color w:val="000000"/>
          <w:sz w:val="28"/>
          <w:szCs w:val="28"/>
          <w:lang w:eastAsia="hr-HR"/>
        </w:rPr>
      </w:pPr>
    </w:p>
    <w:p w14:paraId="65D69C5B" w14:textId="77777777" w:rsidR="00224C3B" w:rsidRDefault="00224C3B" w:rsidP="00224C3B">
      <w:pPr>
        <w:spacing w:after="0" w:line="240" w:lineRule="auto"/>
        <w:jc w:val="center"/>
        <w:rPr>
          <w:rFonts w:ascii="Times New Roman" w:eastAsia="Times New Roman" w:hAnsi="Times New Roman" w:cs="Times New Roman"/>
          <w:b/>
          <w:bCs/>
          <w:color w:val="000000"/>
          <w:sz w:val="28"/>
          <w:szCs w:val="28"/>
          <w:lang w:eastAsia="hr-HR"/>
        </w:rPr>
      </w:pPr>
      <w:r>
        <w:rPr>
          <w:rFonts w:ascii="Times New Roman" w:eastAsia="Times New Roman" w:hAnsi="Times New Roman" w:cs="Times New Roman"/>
          <w:b/>
          <w:bCs/>
          <w:color w:val="000000"/>
          <w:sz w:val="28"/>
          <w:szCs w:val="28"/>
          <w:lang w:eastAsia="hr-HR"/>
        </w:rPr>
        <w:t>PRAVILNIK</w:t>
      </w:r>
    </w:p>
    <w:p w14:paraId="75393DCD" w14:textId="77777777" w:rsidR="00224C3B" w:rsidRDefault="00224C3B" w:rsidP="00224C3B">
      <w:pPr>
        <w:spacing w:after="0" w:line="240" w:lineRule="auto"/>
        <w:jc w:val="center"/>
        <w:rPr>
          <w:rFonts w:ascii="Times New Roman" w:eastAsia="Times New Roman" w:hAnsi="Times New Roman" w:cs="Times New Roman"/>
          <w:b/>
          <w:bCs/>
          <w:color w:val="000000"/>
          <w:sz w:val="28"/>
          <w:szCs w:val="28"/>
          <w:lang w:eastAsia="hr-HR"/>
        </w:rPr>
      </w:pPr>
      <w:r>
        <w:rPr>
          <w:rFonts w:ascii="Times New Roman" w:eastAsia="Times New Roman" w:hAnsi="Times New Roman" w:cs="Times New Roman"/>
          <w:b/>
          <w:bCs/>
          <w:color w:val="000000"/>
          <w:sz w:val="28"/>
          <w:szCs w:val="28"/>
          <w:lang w:eastAsia="hr-HR"/>
        </w:rPr>
        <w:t>O PLAĆANJU NAKNADA ZA OBAVLJANJE POSLOVA HRVATSKE REGULATORNE AGENCIJE ZA MREŽNE DJELATNOSTI</w:t>
      </w:r>
    </w:p>
    <w:p w14:paraId="3004CD25" w14:textId="77777777" w:rsidR="00224C3B" w:rsidRDefault="00224C3B" w:rsidP="00224C3B">
      <w:pPr>
        <w:spacing w:after="0" w:line="240" w:lineRule="auto"/>
        <w:jc w:val="center"/>
        <w:rPr>
          <w:rFonts w:ascii="Times New Roman" w:eastAsia="Times New Roman" w:hAnsi="Times New Roman" w:cs="Times New Roman"/>
          <w:b/>
          <w:bCs/>
          <w:color w:val="000000"/>
          <w:sz w:val="28"/>
          <w:szCs w:val="28"/>
          <w:lang w:eastAsia="hr-HR"/>
        </w:rPr>
      </w:pPr>
    </w:p>
    <w:p w14:paraId="433EDF08" w14:textId="77777777" w:rsidR="00224C3B" w:rsidRDefault="00224C3B" w:rsidP="00224C3B">
      <w:pPr>
        <w:pStyle w:val="ListParagraph"/>
        <w:spacing w:after="0" w:line="240" w:lineRule="auto"/>
        <w:ind w:left="0"/>
        <w:jc w:val="center"/>
        <w:rPr>
          <w:rFonts w:ascii="Times New Roman" w:eastAsia="Times New Roman" w:hAnsi="Times New Roman" w:cs="Times New Roman"/>
          <w:bCs/>
          <w:color w:val="000000"/>
          <w:sz w:val="28"/>
          <w:szCs w:val="28"/>
          <w:lang w:eastAsia="hr-HR"/>
        </w:rPr>
      </w:pPr>
      <w:r>
        <w:rPr>
          <w:rFonts w:ascii="Times New Roman" w:eastAsia="Times New Roman" w:hAnsi="Times New Roman" w:cs="Times New Roman"/>
          <w:bCs/>
          <w:color w:val="000000"/>
          <w:sz w:val="28"/>
          <w:szCs w:val="28"/>
          <w:lang w:eastAsia="hr-HR"/>
        </w:rPr>
        <w:t>I OPĆE ODREDBE</w:t>
      </w:r>
    </w:p>
    <w:p w14:paraId="5DFF0089" w14:textId="77777777" w:rsidR="00224C3B" w:rsidRDefault="00224C3B" w:rsidP="00224C3B">
      <w:pPr>
        <w:pStyle w:val="ListParagraph"/>
        <w:spacing w:after="0" w:line="240" w:lineRule="auto"/>
        <w:ind w:left="0"/>
        <w:jc w:val="center"/>
        <w:rPr>
          <w:rFonts w:ascii="Times New Roman" w:eastAsia="Times New Roman" w:hAnsi="Times New Roman" w:cs="Times New Roman"/>
          <w:bCs/>
          <w:color w:val="000000"/>
          <w:sz w:val="24"/>
          <w:szCs w:val="24"/>
          <w:lang w:eastAsia="hr-HR"/>
        </w:rPr>
      </w:pPr>
    </w:p>
    <w:p w14:paraId="1AC45E50"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Sadržaj i svrha</w:t>
      </w:r>
    </w:p>
    <w:p w14:paraId="7A62F508"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415F292B"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w:t>
      </w:r>
    </w:p>
    <w:p w14:paraId="7ABB3AC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Pravilnikom o plaćanju naknada za obavljanje poslova Hrvatske regulatorne agencije za mrežne djelatnosti (dalje: Pravilnik) propisuju se izračun, visina i način plaćanja naknada radi osiguravanja sredstava za obavljanje poslova Hrvatske regulatorne agencije za mrežne djelatnosti (dalje: HAKOM) na temelju godišnjeg financijskog plana HAKOM-a.</w:t>
      </w:r>
    </w:p>
    <w:p w14:paraId="7BCB9EB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D93CC6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Sredstva za obavljanje poslova HAKOM-a osiguravaju se iz naknada za upravljanje adresnim i brojevnim prostorom, naknada za upravljanje </w:t>
      </w:r>
      <w:proofErr w:type="spellStart"/>
      <w:r>
        <w:rPr>
          <w:rFonts w:ascii="Times New Roman" w:eastAsia="Times New Roman" w:hAnsi="Times New Roman" w:cs="Times New Roman"/>
          <w:color w:val="000000"/>
          <w:sz w:val="24"/>
          <w:szCs w:val="24"/>
          <w:lang w:eastAsia="hr-HR"/>
        </w:rPr>
        <w:t>radiofrekvencijskim</w:t>
      </w:r>
      <w:proofErr w:type="spellEnd"/>
      <w:r>
        <w:rPr>
          <w:rFonts w:ascii="Times New Roman" w:eastAsia="Times New Roman" w:hAnsi="Times New Roman" w:cs="Times New Roman"/>
          <w:color w:val="000000"/>
          <w:sz w:val="24"/>
          <w:szCs w:val="24"/>
          <w:lang w:eastAsia="hr-HR"/>
        </w:rPr>
        <w:t xml:space="preserve"> spektrom, naknada za obavljanje drugih poslova HAKOM-a u području elektroničkih komunikacija, naknada za obavljanje poslova HAKOM-a u području poštanskih usluga te naknada za obavljanje poslova HAKOM-a u području željezničkih usluga.</w:t>
      </w:r>
    </w:p>
    <w:p w14:paraId="3A1699F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101D51D4"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Značenje pojmova</w:t>
      </w:r>
    </w:p>
    <w:p w14:paraId="4FD8F53A"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51448949"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w:t>
      </w:r>
    </w:p>
    <w:p w14:paraId="4D539FD8"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i/>
          <w:color w:val="000000"/>
          <w:sz w:val="24"/>
          <w:szCs w:val="24"/>
          <w:lang w:eastAsia="hr-HR"/>
        </w:rPr>
      </w:pPr>
      <w:r>
        <w:rPr>
          <w:rFonts w:ascii="Times New Roman" w:eastAsia="Times New Roman" w:hAnsi="Times New Roman" w:cs="Times New Roman"/>
          <w:i/>
          <w:color w:val="000000"/>
          <w:sz w:val="24"/>
          <w:szCs w:val="24"/>
          <w:lang w:eastAsia="hr-HR"/>
        </w:rPr>
        <w:t xml:space="preserve">CGC – </w:t>
      </w:r>
      <w:r>
        <w:rPr>
          <w:rFonts w:ascii="Times New Roman" w:eastAsia="Times New Roman" w:hAnsi="Times New Roman" w:cs="Times New Roman"/>
          <w:color w:val="000000"/>
          <w:sz w:val="24"/>
          <w:szCs w:val="24"/>
          <w:lang w:eastAsia="hr-HR"/>
        </w:rPr>
        <w:t>komplementarna zemaljska sastavnica (</w:t>
      </w:r>
      <w:proofErr w:type="spellStart"/>
      <w:r>
        <w:rPr>
          <w:rFonts w:ascii="Times New Roman" w:eastAsia="Times New Roman" w:hAnsi="Times New Roman" w:cs="Times New Roman"/>
          <w:color w:val="000000"/>
          <w:sz w:val="24"/>
          <w:szCs w:val="24"/>
          <w:lang w:eastAsia="hr-HR"/>
        </w:rPr>
        <w:t>eng</w:t>
      </w:r>
      <w:proofErr w:type="spellEnd"/>
      <w:r>
        <w:rPr>
          <w:rFonts w:ascii="Times New Roman" w:eastAsia="Times New Roman" w:hAnsi="Times New Roman" w:cs="Times New Roman"/>
          <w:color w:val="000000"/>
          <w:sz w:val="24"/>
          <w:szCs w:val="24"/>
          <w:lang w:eastAsia="hr-HR"/>
        </w:rPr>
        <w:t xml:space="preserve">. </w:t>
      </w:r>
      <w:proofErr w:type="spellStart"/>
      <w:r>
        <w:rPr>
          <w:rFonts w:ascii="Times New Roman" w:eastAsia="Times New Roman" w:hAnsi="Times New Roman" w:cs="Times New Roman"/>
          <w:color w:val="000000"/>
          <w:sz w:val="24"/>
          <w:szCs w:val="24"/>
          <w:lang w:eastAsia="hr-HR"/>
        </w:rPr>
        <w:t>complementary</w:t>
      </w:r>
      <w:proofErr w:type="spellEnd"/>
      <w:r>
        <w:rPr>
          <w:rFonts w:ascii="Times New Roman" w:eastAsia="Times New Roman" w:hAnsi="Times New Roman" w:cs="Times New Roman"/>
          <w:color w:val="000000"/>
          <w:sz w:val="24"/>
          <w:szCs w:val="24"/>
          <w:lang w:eastAsia="hr-HR"/>
        </w:rPr>
        <w:t xml:space="preserve"> </w:t>
      </w:r>
      <w:proofErr w:type="spellStart"/>
      <w:r>
        <w:rPr>
          <w:rFonts w:ascii="Times New Roman" w:eastAsia="Times New Roman" w:hAnsi="Times New Roman" w:cs="Times New Roman"/>
          <w:color w:val="000000"/>
          <w:sz w:val="24"/>
          <w:szCs w:val="24"/>
          <w:lang w:eastAsia="hr-HR"/>
        </w:rPr>
        <w:t>ground</w:t>
      </w:r>
      <w:proofErr w:type="spellEnd"/>
      <w:r>
        <w:rPr>
          <w:rFonts w:ascii="Times New Roman" w:eastAsia="Times New Roman" w:hAnsi="Times New Roman" w:cs="Times New Roman"/>
          <w:color w:val="000000"/>
          <w:sz w:val="24"/>
          <w:szCs w:val="24"/>
          <w:lang w:eastAsia="hr-HR"/>
        </w:rPr>
        <w:t xml:space="preserve"> </w:t>
      </w:r>
      <w:proofErr w:type="spellStart"/>
      <w:r>
        <w:rPr>
          <w:rFonts w:ascii="Times New Roman" w:eastAsia="Times New Roman" w:hAnsi="Times New Roman" w:cs="Times New Roman"/>
          <w:color w:val="000000"/>
          <w:sz w:val="24"/>
          <w:szCs w:val="24"/>
          <w:lang w:eastAsia="hr-HR"/>
        </w:rPr>
        <w:t>component</w:t>
      </w:r>
      <w:proofErr w:type="spellEnd"/>
      <w:r>
        <w:rPr>
          <w:rFonts w:ascii="Times New Roman" w:eastAsia="Times New Roman" w:hAnsi="Times New Roman" w:cs="Times New Roman"/>
          <w:color w:val="000000"/>
          <w:sz w:val="24"/>
          <w:szCs w:val="24"/>
          <w:lang w:eastAsia="hr-HR"/>
        </w:rPr>
        <w:t>)</w:t>
      </w:r>
    </w:p>
    <w:p w14:paraId="1C27F1A5"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proofErr w:type="spellStart"/>
      <w:r>
        <w:rPr>
          <w:rFonts w:ascii="Times New Roman" w:eastAsia="Times New Roman" w:hAnsi="Times New Roman" w:cs="Times New Roman"/>
          <w:i/>
          <w:iCs/>
          <w:color w:val="000000"/>
          <w:sz w:val="24"/>
          <w:szCs w:val="24"/>
          <w:lang w:eastAsia="hr-HR"/>
        </w:rPr>
        <w:t>Dupleks</w:t>
      </w:r>
      <w:proofErr w:type="spellEnd"/>
      <w:r>
        <w:rPr>
          <w:rFonts w:ascii="Times New Roman" w:eastAsia="Times New Roman" w:hAnsi="Times New Roman" w:cs="Times New Roman"/>
          <w:color w:val="000000"/>
          <w:sz w:val="24"/>
          <w:szCs w:val="24"/>
          <w:lang w:eastAsia="hr-HR"/>
        </w:rPr>
        <w:t> – komunikacija između dviju ili više radijskih postaja koja se istovremeno odvija na dvije frekvencije</w:t>
      </w:r>
    </w:p>
    <w:p w14:paraId="436E080E"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ENG/OB</w:t>
      </w:r>
      <w:r>
        <w:rPr>
          <w:rFonts w:ascii="Times New Roman" w:eastAsia="Times New Roman" w:hAnsi="Times New Roman" w:cs="Times New Roman"/>
          <w:color w:val="000000"/>
          <w:sz w:val="24"/>
          <w:szCs w:val="24"/>
          <w:lang w:eastAsia="hr-HR"/>
        </w:rPr>
        <w:t> – veze za elektroničko prikupljanje novosti i vanjski radiodifuzijski prijenos</w:t>
      </w:r>
    </w:p>
    <w:p w14:paraId="6F37D501"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i/>
          <w:iCs/>
          <w:sz w:val="24"/>
          <w:szCs w:val="24"/>
          <w:lang w:eastAsia="hr-HR"/>
        </w:rPr>
        <w:t xml:space="preserve">Javna komunikacijska mreža </w:t>
      </w:r>
      <w:r>
        <w:rPr>
          <w:rFonts w:ascii="Times New Roman" w:eastAsia="Times New Roman" w:hAnsi="Times New Roman" w:cs="Times New Roman"/>
          <w:sz w:val="24"/>
          <w:szCs w:val="24"/>
          <w:lang w:eastAsia="hr-HR"/>
        </w:rPr>
        <w:t>– mreža pokretnih ili nepokretnih komunikacija putem koje se pruža javna komunikacijska usluga</w:t>
      </w:r>
    </w:p>
    <w:p w14:paraId="4BF371FC"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Javna pokretna mreža za zatvorene grupe korisnika</w:t>
      </w:r>
      <w:r>
        <w:rPr>
          <w:rFonts w:ascii="Times New Roman" w:eastAsia="Times New Roman" w:hAnsi="Times New Roman" w:cs="Times New Roman"/>
          <w:color w:val="000000"/>
          <w:sz w:val="24"/>
          <w:szCs w:val="24"/>
          <w:lang w:eastAsia="hr-HR"/>
        </w:rPr>
        <w:t> – komunikacijska mreža putem koje se zatvorenim grupama korisnika pruža usluga</w:t>
      </w:r>
    </w:p>
    <w:p w14:paraId="5568BCAB"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Mreža za vlastite potrebe</w:t>
      </w:r>
      <w:r>
        <w:rPr>
          <w:rFonts w:ascii="Times New Roman" w:eastAsia="Times New Roman" w:hAnsi="Times New Roman" w:cs="Times New Roman"/>
          <w:color w:val="000000"/>
          <w:sz w:val="24"/>
          <w:szCs w:val="24"/>
          <w:lang w:eastAsia="hr-HR"/>
        </w:rPr>
        <w:t> – komunikacijska mreža koja se koristi za vlastite potrebe zatvorene grupe korisnika</w:t>
      </w:r>
    </w:p>
    <w:p w14:paraId="2E1ACA15"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 xml:space="preserve">M2M - </w:t>
      </w:r>
      <w:r>
        <w:rPr>
          <w:rFonts w:ascii="Times New Roman" w:eastAsia="Times New Roman" w:hAnsi="Times New Roman" w:cs="Times New Roman"/>
          <w:iCs/>
          <w:color w:val="000000"/>
          <w:sz w:val="24"/>
          <w:szCs w:val="24"/>
          <w:lang w:eastAsia="hr-HR"/>
        </w:rPr>
        <w:t>komunikacija između strojeva (</w:t>
      </w:r>
      <w:proofErr w:type="spellStart"/>
      <w:r>
        <w:rPr>
          <w:rFonts w:ascii="Times New Roman" w:eastAsia="Times New Roman" w:hAnsi="Times New Roman" w:cs="Times New Roman"/>
          <w:iCs/>
          <w:color w:val="000000"/>
          <w:sz w:val="24"/>
          <w:szCs w:val="24"/>
          <w:lang w:eastAsia="hr-HR"/>
        </w:rPr>
        <w:t>eng</w:t>
      </w:r>
      <w:proofErr w:type="spellEnd"/>
      <w:r>
        <w:rPr>
          <w:rFonts w:ascii="Times New Roman" w:eastAsia="Times New Roman" w:hAnsi="Times New Roman" w:cs="Times New Roman"/>
          <w:iCs/>
          <w:color w:val="000000"/>
          <w:sz w:val="24"/>
          <w:szCs w:val="24"/>
          <w:lang w:eastAsia="hr-HR"/>
        </w:rPr>
        <w:t xml:space="preserve">. </w:t>
      </w:r>
      <w:proofErr w:type="spellStart"/>
      <w:r>
        <w:rPr>
          <w:rFonts w:ascii="Times New Roman" w:eastAsia="Times New Roman" w:hAnsi="Times New Roman" w:cs="Times New Roman"/>
          <w:iCs/>
          <w:color w:val="000000"/>
          <w:sz w:val="24"/>
          <w:szCs w:val="24"/>
          <w:lang w:eastAsia="hr-HR"/>
        </w:rPr>
        <w:t>machine</w:t>
      </w:r>
      <w:proofErr w:type="spellEnd"/>
      <w:r>
        <w:rPr>
          <w:rFonts w:ascii="Times New Roman" w:eastAsia="Times New Roman" w:hAnsi="Times New Roman" w:cs="Times New Roman"/>
          <w:iCs/>
          <w:color w:val="000000"/>
          <w:sz w:val="24"/>
          <w:szCs w:val="24"/>
          <w:lang w:eastAsia="hr-HR"/>
        </w:rPr>
        <w:t>–to–</w:t>
      </w:r>
      <w:proofErr w:type="spellStart"/>
      <w:r>
        <w:rPr>
          <w:rFonts w:ascii="Times New Roman" w:eastAsia="Times New Roman" w:hAnsi="Times New Roman" w:cs="Times New Roman"/>
          <w:iCs/>
          <w:color w:val="000000"/>
          <w:sz w:val="24"/>
          <w:szCs w:val="24"/>
          <w:lang w:eastAsia="hr-HR"/>
        </w:rPr>
        <w:t>machine</w:t>
      </w:r>
      <w:proofErr w:type="spellEnd"/>
      <w:r>
        <w:rPr>
          <w:rFonts w:ascii="Times New Roman" w:eastAsia="Times New Roman" w:hAnsi="Times New Roman" w:cs="Times New Roman"/>
          <w:iCs/>
          <w:color w:val="000000"/>
          <w:sz w:val="24"/>
          <w:szCs w:val="24"/>
          <w:lang w:eastAsia="hr-HR"/>
        </w:rPr>
        <w:t>)</w:t>
      </w:r>
    </w:p>
    <w:p w14:paraId="54C758ED"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Nepokretna radijska postaja</w:t>
      </w:r>
      <w:r>
        <w:rPr>
          <w:rFonts w:ascii="Times New Roman" w:eastAsia="Times New Roman" w:hAnsi="Times New Roman" w:cs="Times New Roman"/>
          <w:color w:val="000000"/>
          <w:sz w:val="24"/>
          <w:szCs w:val="24"/>
          <w:lang w:eastAsia="hr-HR"/>
        </w:rPr>
        <w:t>– radijska postaja koja je nepokretna u radu</w:t>
      </w:r>
    </w:p>
    <w:p w14:paraId="7EAB5901"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lastRenderedPageBreak/>
        <w:t>Osnovna postaja</w:t>
      </w:r>
      <w:r>
        <w:rPr>
          <w:rFonts w:ascii="Times New Roman" w:eastAsia="Times New Roman" w:hAnsi="Times New Roman" w:cs="Times New Roman"/>
          <w:color w:val="000000"/>
          <w:sz w:val="24"/>
          <w:szCs w:val="24"/>
          <w:lang w:eastAsia="hr-HR"/>
        </w:rPr>
        <w:t xml:space="preserve"> – nepokretna radijska postaja za istodoban prijam i odašiljanje gdje krajnje postaje rade u </w:t>
      </w:r>
      <w:proofErr w:type="spellStart"/>
      <w:r>
        <w:rPr>
          <w:rFonts w:ascii="Times New Roman" w:eastAsia="Times New Roman" w:hAnsi="Times New Roman" w:cs="Times New Roman"/>
          <w:color w:val="000000"/>
          <w:sz w:val="24"/>
          <w:szCs w:val="24"/>
          <w:lang w:eastAsia="hr-HR"/>
        </w:rPr>
        <w:t>dupleks</w:t>
      </w:r>
      <w:proofErr w:type="spellEnd"/>
      <w:r>
        <w:rPr>
          <w:rFonts w:ascii="Times New Roman" w:eastAsia="Times New Roman" w:hAnsi="Times New Roman" w:cs="Times New Roman"/>
          <w:color w:val="000000"/>
          <w:sz w:val="24"/>
          <w:szCs w:val="24"/>
          <w:lang w:eastAsia="hr-HR"/>
        </w:rPr>
        <w:t xml:space="preserve"> načinu rada</w:t>
      </w:r>
    </w:p>
    <w:p w14:paraId="0E82848F"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Pokretna radijska postaja</w:t>
      </w:r>
      <w:r>
        <w:rPr>
          <w:rFonts w:ascii="Times New Roman" w:eastAsia="Times New Roman" w:hAnsi="Times New Roman" w:cs="Times New Roman"/>
          <w:color w:val="000000"/>
          <w:sz w:val="24"/>
          <w:szCs w:val="24"/>
          <w:lang w:eastAsia="hr-HR"/>
        </w:rPr>
        <w:t> – radijska postaja koja može biti pokretna u radu</w:t>
      </w:r>
    </w:p>
    <w:p w14:paraId="40242BE7"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Prenosiva radijska postaja</w:t>
      </w:r>
      <w:r>
        <w:rPr>
          <w:rFonts w:ascii="Times New Roman" w:eastAsia="Times New Roman" w:hAnsi="Times New Roman" w:cs="Times New Roman"/>
          <w:color w:val="000000"/>
          <w:sz w:val="24"/>
          <w:szCs w:val="24"/>
          <w:lang w:eastAsia="hr-HR"/>
        </w:rPr>
        <w:t> – radijska postaja koja je prenosiva, ali je u radu nepokretna</w:t>
      </w:r>
    </w:p>
    <w:p w14:paraId="46B52179"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Repetitor</w:t>
      </w:r>
      <w:r>
        <w:rPr>
          <w:rFonts w:ascii="Times New Roman" w:eastAsia="Times New Roman" w:hAnsi="Times New Roman" w:cs="Times New Roman"/>
          <w:color w:val="000000"/>
          <w:sz w:val="24"/>
          <w:szCs w:val="24"/>
          <w:lang w:eastAsia="hr-HR"/>
        </w:rPr>
        <w:t xml:space="preserve"> – nepokretna radijska postaja ili samo antenski sustav za istodoban prijam i odašiljanje gdje krajnje postaje rade u </w:t>
      </w:r>
      <w:proofErr w:type="spellStart"/>
      <w:r>
        <w:rPr>
          <w:rFonts w:ascii="Times New Roman" w:eastAsia="Times New Roman" w:hAnsi="Times New Roman" w:cs="Times New Roman"/>
          <w:color w:val="000000"/>
          <w:sz w:val="24"/>
          <w:szCs w:val="24"/>
          <w:lang w:eastAsia="hr-HR"/>
        </w:rPr>
        <w:t>poludupleksnom</w:t>
      </w:r>
      <w:proofErr w:type="spellEnd"/>
      <w:r>
        <w:rPr>
          <w:rFonts w:ascii="Times New Roman" w:eastAsia="Times New Roman" w:hAnsi="Times New Roman" w:cs="Times New Roman"/>
          <w:color w:val="000000"/>
          <w:sz w:val="24"/>
          <w:szCs w:val="24"/>
          <w:lang w:eastAsia="hr-HR"/>
        </w:rPr>
        <w:t xml:space="preserve"> načinu rada</w:t>
      </w:r>
    </w:p>
    <w:p w14:paraId="2DD1EFA8"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proofErr w:type="spellStart"/>
      <w:r>
        <w:rPr>
          <w:rFonts w:ascii="Times New Roman" w:eastAsia="Times New Roman" w:hAnsi="Times New Roman" w:cs="Times New Roman"/>
          <w:i/>
          <w:iCs/>
          <w:color w:val="000000"/>
          <w:sz w:val="24"/>
          <w:szCs w:val="24"/>
          <w:lang w:eastAsia="hr-HR"/>
        </w:rPr>
        <w:t>Simpleks</w:t>
      </w:r>
      <w:proofErr w:type="spellEnd"/>
      <w:r>
        <w:rPr>
          <w:rFonts w:ascii="Times New Roman" w:eastAsia="Times New Roman" w:hAnsi="Times New Roman" w:cs="Times New Roman"/>
          <w:color w:val="000000"/>
          <w:sz w:val="24"/>
          <w:szCs w:val="24"/>
          <w:lang w:eastAsia="hr-HR"/>
        </w:rPr>
        <w:t> – komunikacija između dviju ili više radijskih postaja koja se odvija na jednoj frekvenciji</w:t>
      </w:r>
    </w:p>
    <w:p w14:paraId="69E3CB8F"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PLB</w:t>
      </w:r>
      <w:r>
        <w:rPr>
          <w:rFonts w:ascii="Times New Roman" w:eastAsia="Times New Roman" w:hAnsi="Times New Roman" w:cs="Times New Roman"/>
          <w:color w:val="000000"/>
          <w:sz w:val="24"/>
          <w:szCs w:val="24"/>
          <w:lang w:eastAsia="hr-HR"/>
        </w:rPr>
        <w:t> – radio-far za osobnu uporabu.</w:t>
      </w:r>
    </w:p>
    <w:p w14:paraId="63050A62" w14:textId="77777777" w:rsidR="00224C3B" w:rsidRDefault="00224C3B" w:rsidP="00224C3B">
      <w:pPr>
        <w:pStyle w:val="ListParagraph"/>
        <w:numPr>
          <w:ilvl w:val="0"/>
          <w:numId w:val="7"/>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 xml:space="preserve">Svemirska aktivnost </w:t>
      </w:r>
      <w:r>
        <w:rPr>
          <w:rFonts w:ascii="Times New Roman" w:eastAsia="Times New Roman" w:hAnsi="Times New Roman" w:cs="Times New Roman"/>
          <w:color w:val="000000"/>
          <w:sz w:val="24"/>
          <w:szCs w:val="24"/>
          <w:lang w:eastAsia="hr-HR"/>
        </w:rPr>
        <w:t>– lansiranje, upravljanje ili rad svemirskog objekta</w:t>
      </w:r>
    </w:p>
    <w:p w14:paraId="536C3ED9"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II NAKNADA ZA UPORABU ADRESA I/ILI BROJEVA</w:t>
      </w:r>
    </w:p>
    <w:p w14:paraId="7AB3DE39"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p>
    <w:p w14:paraId="61613747"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Određivanje naknade</w:t>
      </w:r>
    </w:p>
    <w:p w14:paraId="69928152"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34782186"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3.</w:t>
      </w:r>
    </w:p>
    <w:p w14:paraId="7FAAD96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Za uporabu adresa i/ili brojeva plaća se godišnja naknada, temeljem izdanog računa HAKOM-a.</w:t>
      </w:r>
    </w:p>
    <w:p w14:paraId="58627E49"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5938FC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Visina godišnje naknade za uporabu adresa i/ili brojeva određuje se ovisno o vrsti elektroničkih komunikacijskih usluga za koje se upotrebljavaju adrese i/ili brojevi.</w:t>
      </w:r>
    </w:p>
    <w:p w14:paraId="18FEEC2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6B581F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Naknada za prvu godinu uporabe adresa i/ili brojeva obuhvaća razdoblje od dana donošenja odluke o primarnoj dodjeli adresa i/ili brojeva do kraja tekuće kalendarske godine, i utvrđuje se razmjerno trajanju razdoblja uporabe adresa i/ili brojeva.</w:t>
      </w:r>
    </w:p>
    <w:p w14:paraId="7C486BC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15B72D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(4) Za drugu i svaku sljedeću godinu uporabe adresa ili brojeva, HAKOM izdaje operatoru jedinstveni račun za sve adrese i/ili brojeve koje operator upotrebljava na početku te kalendarske godine.</w:t>
      </w:r>
    </w:p>
    <w:p w14:paraId="2C52130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3AFBFDD"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(5) Naknada iz stavka 1. ovog članka, iznosa većeg od 2.000.000,00 kuna po pojedinom računu, plaća se do najviše četiri jednaka obroka s krajnjim rokom dospijeća zadnjeg obroka do 15. prosinca tekuće godine, odnosno u roku dospijeća navedenom na računu. </w:t>
      </w:r>
    </w:p>
    <w:p w14:paraId="686076F5"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p>
    <w:p w14:paraId="57C08C4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 Ako se operator u pisanom obliku ne odrekne uporabe dodijeljenih adresa i/ili brojeva u skladu sa Zakonom o elektroničkim komunikacijama prije početka sljedećeg obračunskog razdoblja, obvezan je platiti godišnju naknadu za uporabu adresa i/ili brojeva za sljedeće obračunsko razdoblje.</w:t>
      </w:r>
    </w:p>
    <w:p w14:paraId="10D2D35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3019B8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(7) Ako naknada nije plaćena u roku određenom u opomeni iz članka 27. stavka 5. ovog Pravilnika, HAKOM će donijeti odluku o oduzimanju dodijeljenih adresa i/ili brojeva.</w:t>
      </w:r>
    </w:p>
    <w:p w14:paraId="6FB7458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4F2550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(8) U slučaju prestanka mogućnosti korištenja određenog broja i/ili raspona brojeva sukladno Planu numeriranja, plaćanje naknada se određuje proporcionalno vremenu korištenja predmetne numeracije unutar godine dana.</w:t>
      </w:r>
    </w:p>
    <w:p w14:paraId="3FB6004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435B035"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 xml:space="preserve">Naknada za uporabu zemljopisnih brojeva </w:t>
      </w:r>
    </w:p>
    <w:p w14:paraId="5AB5CA3A"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0B1BFF45"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4.</w:t>
      </w:r>
    </w:p>
    <w:p w14:paraId="4C1CB8A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Naknada za jedan dodijeljeni zemljopisni broj iznosi 0,55 kuna.</w:t>
      </w:r>
    </w:p>
    <w:p w14:paraId="04E3EC0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36E2A5D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(2) Naknada za dodijeljeni blok zemljopisnih brojeva jednaka je zbroju naknada za sve pojedinačne dodijeljene brojeve koji se nalaze u tom bloku brojeva.</w:t>
      </w:r>
    </w:p>
    <w:p w14:paraId="30009553"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16D6CCB"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7DF360D7"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7CD701AD"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5F684780"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 xml:space="preserve">Naknada za uporabu </w:t>
      </w:r>
      <w:proofErr w:type="spellStart"/>
      <w:r>
        <w:rPr>
          <w:rFonts w:ascii="Times New Roman" w:eastAsia="Times New Roman" w:hAnsi="Times New Roman" w:cs="Times New Roman"/>
          <w:i/>
          <w:iCs/>
          <w:color w:val="000000"/>
          <w:sz w:val="26"/>
          <w:szCs w:val="26"/>
          <w:lang w:eastAsia="hr-HR"/>
        </w:rPr>
        <w:t>nezemljopisnih</w:t>
      </w:r>
      <w:proofErr w:type="spellEnd"/>
      <w:r>
        <w:rPr>
          <w:rFonts w:ascii="Times New Roman" w:eastAsia="Times New Roman" w:hAnsi="Times New Roman" w:cs="Times New Roman"/>
          <w:i/>
          <w:iCs/>
          <w:color w:val="000000"/>
          <w:sz w:val="26"/>
          <w:szCs w:val="26"/>
          <w:lang w:eastAsia="hr-HR"/>
        </w:rPr>
        <w:t xml:space="preserve"> brojeva </w:t>
      </w:r>
    </w:p>
    <w:p w14:paraId="3E8BEADE"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18BE19AC"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5.</w:t>
      </w:r>
    </w:p>
    <w:p w14:paraId="4FEB98D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jedan dodijeljeni šesteroznamenkasti pretplatnički broj iz raspona </w:t>
      </w:r>
      <w:proofErr w:type="spellStart"/>
      <w:r>
        <w:rPr>
          <w:rFonts w:ascii="Times New Roman" w:eastAsia="Times New Roman" w:hAnsi="Times New Roman" w:cs="Times New Roman"/>
          <w:color w:val="000000"/>
          <w:sz w:val="24"/>
          <w:szCs w:val="24"/>
          <w:lang w:eastAsia="hr-HR"/>
        </w:rPr>
        <w:t>nezemljopisnih</w:t>
      </w:r>
      <w:proofErr w:type="spellEnd"/>
      <w:r>
        <w:rPr>
          <w:rFonts w:ascii="Times New Roman" w:eastAsia="Times New Roman" w:hAnsi="Times New Roman" w:cs="Times New Roman"/>
          <w:color w:val="000000"/>
          <w:sz w:val="24"/>
          <w:szCs w:val="24"/>
          <w:lang w:eastAsia="hr-HR"/>
        </w:rPr>
        <w:t xml:space="preserve"> brojeva namijenjenih za usluge </w:t>
      </w:r>
      <w:r>
        <w:rPr>
          <w:rFonts w:ascii="Times New Roman" w:eastAsia="Times New Roman" w:hAnsi="Times New Roman" w:cs="Times New Roman"/>
          <w:iCs/>
          <w:color w:val="000000"/>
          <w:sz w:val="24"/>
          <w:szCs w:val="24"/>
          <w:lang w:eastAsia="hr-HR"/>
        </w:rPr>
        <w:t xml:space="preserve">s posebnom tarifom, usluge jedinstvenog pristupnog broja, usluge besplatnog poziva, usluge osobnog broja i usluge pristupa internetu  </w:t>
      </w:r>
      <w:r>
        <w:rPr>
          <w:rFonts w:ascii="Times New Roman" w:eastAsia="Times New Roman" w:hAnsi="Times New Roman" w:cs="Times New Roman"/>
          <w:color w:val="000000"/>
          <w:sz w:val="24"/>
          <w:szCs w:val="24"/>
          <w:lang w:eastAsia="hr-HR"/>
        </w:rPr>
        <w:t>iznosi 5,00 kuna.</w:t>
      </w:r>
    </w:p>
    <w:p w14:paraId="1C53B3F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22C039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Naknada za jedan dodijeljeni četveroznamenkasti pretplatnički broj iz raspona </w:t>
      </w:r>
      <w:proofErr w:type="spellStart"/>
      <w:r>
        <w:rPr>
          <w:rFonts w:ascii="Times New Roman" w:eastAsia="Times New Roman" w:hAnsi="Times New Roman" w:cs="Times New Roman"/>
          <w:color w:val="000000"/>
          <w:sz w:val="24"/>
          <w:szCs w:val="24"/>
          <w:lang w:eastAsia="hr-HR"/>
        </w:rPr>
        <w:t>nezemljopisnih</w:t>
      </w:r>
      <w:proofErr w:type="spellEnd"/>
      <w:r>
        <w:rPr>
          <w:rFonts w:ascii="Times New Roman" w:eastAsia="Times New Roman" w:hAnsi="Times New Roman" w:cs="Times New Roman"/>
          <w:color w:val="000000"/>
          <w:sz w:val="24"/>
          <w:szCs w:val="24"/>
          <w:lang w:eastAsia="hr-HR"/>
        </w:rPr>
        <w:t xml:space="preserve"> brojeva namijenjenih za usluge s posebnom tarifom i usluge besplatnog poziva iznosi 50,00 kuna.</w:t>
      </w:r>
    </w:p>
    <w:p w14:paraId="7D92912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AD80C3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Naknada za dodijeljeni blok brojeva iz raspona brojeva iz stava 1. i 2. ovog članka jednaka je zbroju naknada za sve pojedinačne dodijeljene brojeve koji se nalaze u tom bloku brojeva.</w:t>
      </w:r>
    </w:p>
    <w:p w14:paraId="4D5A7679"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27FD29B" w14:textId="77777777" w:rsidR="00224C3B" w:rsidRDefault="00224C3B" w:rsidP="00224C3B">
      <w:pPr>
        <w:tabs>
          <w:tab w:val="left" w:pos="142"/>
        </w:tabs>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(4) Za uporabu </w:t>
      </w:r>
      <w:proofErr w:type="spellStart"/>
      <w:r>
        <w:rPr>
          <w:rFonts w:ascii="Times New Roman" w:hAnsi="Times New Roman" w:cs="Times New Roman"/>
          <w:iCs/>
          <w:sz w:val="24"/>
          <w:szCs w:val="24"/>
        </w:rPr>
        <w:t>nezemljopisnih</w:t>
      </w:r>
      <w:proofErr w:type="spellEnd"/>
      <w:r>
        <w:rPr>
          <w:rFonts w:ascii="Times New Roman" w:hAnsi="Times New Roman" w:cs="Times New Roman"/>
          <w:iCs/>
          <w:sz w:val="24"/>
          <w:szCs w:val="24"/>
        </w:rPr>
        <w:t xml:space="preserve"> brojeva namijenjenih za usluge humanitarnog karaktera/prikupljanje humanitarne pomoći ne plaća se naknada.</w:t>
      </w:r>
    </w:p>
    <w:p w14:paraId="1CBF4533" w14:textId="77777777" w:rsidR="00224C3B" w:rsidRDefault="00224C3B" w:rsidP="00224C3B">
      <w:pPr>
        <w:spacing w:after="0" w:line="240" w:lineRule="auto"/>
        <w:jc w:val="both"/>
        <w:rPr>
          <w:rFonts w:ascii="Times New Roman" w:eastAsia="Times New Roman" w:hAnsi="Times New Roman" w:cs="Times New Roman"/>
          <w:iCs/>
          <w:sz w:val="24"/>
          <w:szCs w:val="24"/>
          <w:lang w:eastAsia="hr-HR"/>
        </w:rPr>
      </w:pPr>
    </w:p>
    <w:p w14:paraId="70CE748A"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6.</w:t>
      </w:r>
    </w:p>
    <w:p w14:paraId="3B59C91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Naknada za jedan dodijeljeni dvoznamenkasti nacionalni odredišni kod (NDC) za javne komunikacijske usluge u pokretnim elektroničkim komunikacijskim mrežama iznosi 589.650,00 kuna.</w:t>
      </w:r>
    </w:p>
    <w:p w14:paraId="7E856ED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FF94FD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Naknada za jedan dodijeljeni troznamenkasti nacionalni odredišni kod (NDC) za javne komunikacijske usluge u pokretnim elektroničkim komunikacijskim mrežama iznosi 58.965,00 kuna.</w:t>
      </w:r>
    </w:p>
    <w:p w14:paraId="7A78FE7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EC7E64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Naknada za jedan dodijeljeni četveroznamenkasti nacionalni odredišni kod (NDC) za javne komunikacijske usluge u pokretnim elektroničkim komunikacijskim mrežama iznosi 5.896,50 kuna.</w:t>
      </w:r>
    </w:p>
    <w:p w14:paraId="25D98510" w14:textId="77777777" w:rsidR="00224C3B" w:rsidRDefault="00224C3B" w:rsidP="00224C3B">
      <w:pPr>
        <w:jc w:val="both"/>
        <w:rPr>
          <w:rFonts w:ascii="Times New Roman" w:eastAsia="Times New Roman" w:hAnsi="Times New Roman" w:cs="Times New Roman"/>
          <w:color w:val="000000"/>
          <w:sz w:val="24"/>
          <w:szCs w:val="24"/>
          <w:lang w:eastAsia="hr-HR"/>
        </w:rPr>
      </w:pPr>
      <w:r>
        <w:rPr>
          <w:rFonts w:ascii="Times New Roman" w:hAnsi="Times New Roman" w:cs="Times New Roman"/>
          <w:iCs/>
          <w:sz w:val="24"/>
          <w:szCs w:val="24"/>
        </w:rPr>
        <w:t>(4) Naknada za jedan dodijeljeni peteroznamenkasti nacionalni odredišni kod (NDC) za javne komunikacijske usluge u pokretnim elektroničkim komunikacijskim mrežama iznosi 589,65 kuna.</w:t>
      </w:r>
    </w:p>
    <w:p w14:paraId="24D27FC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 Naknada za jedan dodijeljeni četveroznamenkasti  nacionalni odredišni kod (NDC) za M2M usluge iznosi 3.685,00 kuna, a za jedan dodijeljeni peteroznamenkasti nacionalni odredišni kod (NDC) za M2M usluge iznosi 368,50 kuna.</w:t>
      </w:r>
    </w:p>
    <w:p w14:paraId="3A7D657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7A95998"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uporabu kratkih kodova</w:t>
      </w:r>
    </w:p>
    <w:p w14:paraId="36DF093E"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25724E17"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7.</w:t>
      </w:r>
    </w:p>
    <w:p w14:paraId="2D2A958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Naknada za dodijeljeni peteroznamenkasti kôd za službu davanja obavijesti (informacija) i za ostale peteroznamenkaste kôdove iznosi 10.000,00 kuna.</w:t>
      </w:r>
    </w:p>
    <w:p w14:paraId="55B75FB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6DEE89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Naknada za dodijeljeni četveroznamenkasti kôd za odabir operatora i za ostale četveroznamenkaste kôdove iznosi 25.000,00 kuna.</w:t>
      </w:r>
    </w:p>
    <w:p w14:paraId="608E844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676AA3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Naknada za dodijeljeni troznamenkasti kôd iznosi 50.000,00 kuna.</w:t>
      </w:r>
    </w:p>
    <w:p w14:paraId="216D89F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2530EE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 Naknada za jedan dodijeljeni kratki kod za SMS/MMS usluge s posebnom tarifom, usluge platnog prometa i besplatne usluge iznosi 250,00 kuna.</w:t>
      </w:r>
    </w:p>
    <w:p w14:paraId="477011B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31641969"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 Za uporabu kratkih kodova za hitne službe, kratkih kodova za govorne usluge raspona 116xxx i kratkih kodova za SMS/MMS usluge</w:t>
      </w:r>
      <w:r>
        <w:t xml:space="preserve"> </w:t>
      </w:r>
      <w:r>
        <w:rPr>
          <w:rFonts w:ascii="Times New Roman" w:eastAsia="Times New Roman" w:hAnsi="Times New Roman" w:cs="Times New Roman"/>
          <w:color w:val="000000"/>
          <w:sz w:val="24"/>
          <w:szCs w:val="24"/>
          <w:lang w:eastAsia="hr-HR"/>
        </w:rPr>
        <w:t xml:space="preserve">raspona 116xxx te za usluge </w:t>
      </w:r>
      <w:r>
        <w:rPr>
          <w:rFonts w:ascii="Times New Roman" w:hAnsi="Times New Roman" w:cs="Times New Roman"/>
          <w:bCs/>
          <w:iCs/>
          <w:sz w:val="24"/>
          <w:szCs w:val="24"/>
        </w:rPr>
        <w:t>humanitarnog karaktera/prikupljanje humanitarne pomoći,</w:t>
      </w:r>
      <w:r>
        <w:rPr>
          <w:rFonts w:ascii="Times New Roman" w:hAnsi="Times New Roman" w:cs="Times New Roman"/>
          <w:sz w:val="24"/>
          <w:szCs w:val="24"/>
        </w:rPr>
        <w:t xml:space="preserve"> </w:t>
      </w:r>
      <w:r>
        <w:rPr>
          <w:rFonts w:ascii="Times New Roman" w:eastAsia="Times New Roman" w:hAnsi="Times New Roman" w:cs="Times New Roman"/>
          <w:color w:val="000000"/>
          <w:sz w:val="24"/>
          <w:szCs w:val="24"/>
          <w:lang w:eastAsia="hr-HR"/>
        </w:rPr>
        <w:t>ne plaća se naknada.</w:t>
      </w:r>
    </w:p>
    <w:p w14:paraId="682F94A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466BDC3"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uporabu adresa (kôdova)</w:t>
      </w:r>
    </w:p>
    <w:p w14:paraId="748A9550"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038F161A"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8.</w:t>
      </w:r>
    </w:p>
    <w:p w14:paraId="234F96A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Naknada za jedan dodijeljeni kôd zatvorene korisničke skupine iznosi 2,50 kune.</w:t>
      </w:r>
    </w:p>
    <w:p w14:paraId="3F522DE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EB8A09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Naknada za dodijeljeni blok kôdova zatvorenih korisničkih skupina jednaka je zbroju naknada za sve pojedinačne dodijeljene kôdove koji se nalaze u tom bloku kôdova.</w:t>
      </w:r>
    </w:p>
    <w:p w14:paraId="1BF64D6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3041BE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Naknada za jedan dodijeljeni kôd nacionalne signalizacijske točke iznosi 252,50 kuna.</w:t>
      </w:r>
    </w:p>
    <w:p w14:paraId="5FAEF1D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58184A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 Naknada za jedan dodijeljeni kôd međunarodne signalizacijske točke iznosi 252,50 kuna.</w:t>
      </w:r>
    </w:p>
    <w:p w14:paraId="64CBAF1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50837A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 Naknada za jedan dodijeljeni identifikacijski kôd podatkovne mreže iznosi 252,50 kuna.</w:t>
      </w:r>
    </w:p>
    <w:p w14:paraId="574BF40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17DCD1C3"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 Naknada za jedan dodijeljeni kôd pokretne komunikacijske mreže iznosi 252,50 kuna.</w:t>
      </w:r>
    </w:p>
    <w:p w14:paraId="0D67E1F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5535B39"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III NAKNADA ZA UPORABU RADIOFREKVENCIJSKOG SPEKTRA</w:t>
      </w:r>
    </w:p>
    <w:p w14:paraId="49DF8BE6"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p>
    <w:p w14:paraId="2006C981"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Određivanje naknade</w:t>
      </w:r>
    </w:p>
    <w:p w14:paraId="3F6D1043"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5615AF3C"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9.</w:t>
      </w:r>
    </w:p>
    <w:p w14:paraId="18F062E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određuje se prema dodijeljenom </w:t>
      </w:r>
      <w:proofErr w:type="spellStart"/>
      <w:r>
        <w:rPr>
          <w:rFonts w:ascii="Times New Roman" w:eastAsia="Times New Roman" w:hAnsi="Times New Roman" w:cs="Times New Roman"/>
          <w:color w:val="000000"/>
          <w:sz w:val="24"/>
          <w:szCs w:val="24"/>
          <w:lang w:eastAsia="hr-HR"/>
        </w:rPr>
        <w:t>radiofrekvencijskom</w:t>
      </w:r>
      <w:proofErr w:type="spellEnd"/>
      <w:r>
        <w:rPr>
          <w:rFonts w:ascii="Times New Roman" w:eastAsia="Times New Roman" w:hAnsi="Times New Roman" w:cs="Times New Roman"/>
          <w:color w:val="000000"/>
          <w:sz w:val="24"/>
          <w:szCs w:val="24"/>
          <w:lang w:eastAsia="hr-HR"/>
        </w:rPr>
        <w:t xml:space="preserve"> spektru, vrsti i namjeni radijske postaje ili mreže te području pokrivenosti emisijom.</w:t>
      </w:r>
    </w:p>
    <w:p w14:paraId="590FAE3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99B031E"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Plaćanje naknade</w:t>
      </w:r>
    </w:p>
    <w:p w14:paraId="5AD363E6"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7AAC4BC3"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10.</w:t>
      </w:r>
    </w:p>
    <w:p w14:paraId="3EE3768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se plaća unaprijed za razdoblje od jedne godine od dana valjanosti dozvole, najkasnije prigodom preuzimanja dozvole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odnosno prema dospijeću računa. Svaka sljedeća uplata dospijeva dvadeseti dan nakon isteka prethodnog razdoblja za koje je naknada plaćena, odnosno u roku dospijeća navedenom u računu.</w:t>
      </w:r>
    </w:p>
    <w:p w14:paraId="3747925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FC58691" w14:textId="77777777" w:rsidR="00224C3B" w:rsidRDefault="00224C3B" w:rsidP="00224C3B">
      <w:pPr>
        <w:spacing w:after="0" w:line="240" w:lineRule="auto"/>
        <w:jc w:val="both"/>
        <w:rPr>
          <w:rFonts w:ascii="Times New Roman" w:eastAsia="Times New Roman" w:hAnsi="Times New Roman" w:cs="Times New Roman"/>
          <w:color w:val="FF0000"/>
          <w:sz w:val="24"/>
          <w:szCs w:val="24"/>
          <w:lang w:eastAsia="hr-HR"/>
        </w:rPr>
      </w:pPr>
    </w:p>
    <w:p w14:paraId="67C851A6"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lastRenderedPageBreak/>
        <w:t xml:space="preserve">(2)  Naknada iz stavka 1. ovog članka, iznosa većeg od 2.000.000,00 kuna po pojedinom računu, plaća se u obrocima, do najviše četiri obroka, s dospijećem plaćanja svaka tri mjeseca, odnosno u roku dospijeća navedenom na računu. </w:t>
      </w:r>
    </w:p>
    <w:p w14:paraId="0AF13981"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p>
    <w:p w14:paraId="6337C86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U slučaju izdavanja dozvole čiji je rok valjanosti kraći od jedne godine, naknada se razmjerno smanjuje.</w:t>
      </w:r>
    </w:p>
    <w:p w14:paraId="6E10F12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1AFFA90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Ako se nositelj dozvole u pisanom obliku ne odrekne uporabe dodijeljenih radijskih frekvencija u skladu sa Zakonom o elektroničkim komunikacijama prije početka sljedećeg obračunskog razdoblja, obvezan je platiti godišnju naknadu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sljedeće obračunsko razdoblje.</w:t>
      </w:r>
    </w:p>
    <w:p w14:paraId="5D03446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163463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Pr>
          <w:rFonts w:ascii="Times New Roman" w:eastAsia="Times New Roman" w:hAnsi="Times New Roman" w:cs="Times New Roman"/>
          <w:strike/>
          <w:color w:val="000000"/>
          <w:sz w:val="24"/>
          <w:szCs w:val="24"/>
          <w:lang w:eastAsia="hr-HR"/>
        </w:rPr>
        <w:t xml:space="preserve"> </w:t>
      </w:r>
      <w:r>
        <w:rPr>
          <w:rFonts w:ascii="Times New Roman" w:eastAsia="Times New Roman" w:hAnsi="Times New Roman" w:cs="Times New Roman"/>
          <w:color w:val="000000"/>
          <w:sz w:val="24"/>
          <w:szCs w:val="24"/>
          <w:lang w:eastAsia="hr-HR"/>
        </w:rPr>
        <w:t>Ako naknada nije plaćena u roku određenom u opomeni iz članka 27. stavka 5. ovog Pravilnika, HAKOM će donijeti odluku o oduzimanju dozvole.</w:t>
      </w:r>
    </w:p>
    <w:p w14:paraId="38893A9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3999CC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(6) Ako se utvrdi da se </w:t>
      </w:r>
      <w:proofErr w:type="spellStart"/>
      <w:r>
        <w:rPr>
          <w:rFonts w:ascii="Times New Roman" w:eastAsia="Times New Roman" w:hAnsi="Times New Roman" w:cs="Times New Roman"/>
          <w:color w:val="000000"/>
          <w:sz w:val="24"/>
          <w:szCs w:val="24"/>
          <w:lang w:eastAsia="hr-HR"/>
        </w:rPr>
        <w:t>radiofrekvencijski</w:t>
      </w:r>
      <w:proofErr w:type="spellEnd"/>
      <w:r>
        <w:rPr>
          <w:rFonts w:ascii="Times New Roman" w:eastAsia="Times New Roman" w:hAnsi="Times New Roman" w:cs="Times New Roman"/>
          <w:color w:val="000000"/>
          <w:sz w:val="24"/>
          <w:szCs w:val="24"/>
          <w:lang w:eastAsia="hr-HR"/>
        </w:rPr>
        <w:t xml:space="preserve"> spektar upotrebljava bez valjane dozvole, HAKOM će donijeti odluku o plaćanju naknade za razdoblje uporabe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bez valjane dozvole u visini propisanoj ovim Pravilnikom.</w:t>
      </w:r>
    </w:p>
    <w:p w14:paraId="37215E8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16345D2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(7) U slučaju nemogućnosti utvrđivanja razdoblja uporabe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bez valjane dozvole, visina naknade iz stavka 6. ovog članka ne može biti manja od visine odgovarajuće godišnje naknade propisane ovim Pravilnikom.</w:t>
      </w:r>
    </w:p>
    <w:p w14:paraId="71E566A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8A0AA5B"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i/>
          <w:iCs/>
          <w:color w:val="000000"/>
          <w:sz w:val="26"/>
          <w:szCs w:val="26"/>
          <w:lang w:eastAsia="hr-HR"/>
        </w:rPr>
        <w:t>Izuzimanje od plaćanja naknade</w:t>
      </w:r>
    </w:p>
    <w:p w14:paraId="16B41ED5"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170F8695"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11.</w:t>
      </w:r>
    </w:p>
    <w:p w14:paraId="49AAB44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se ne plaća:</w:t>
      </w:r>
    </w:p>
    <w:p w14:paraId="34D20F4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9A2208A"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u skladu s člankom 86. Zakona o elektroničkim komunikacijama</w:t>
      </w:r>
    </w:p>
    <w:p w14:paraId="5BC73BFA"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u skladu s općom dozvolom iz članka 87. Zakona</w:t>
      </w:r>
      <w:r>
        <w:t xml:space="preserve"> </w:t>
      </w:r>
      <w:r>
        <w:rPr>
          <w:rFonts w:ascii="Times New Roman" w:eastAsia="Times New Roman" w:hAnsi="Times New Roman" w:cs="Times New Roman"/>
          <w:color w:val="000000"/>
          <w:sz w:val="24"/>
          <w:szCs w:val="24"/>
          <w:lang w:eastAsia="hr-HR"/>
        </w:rPr>
        <w:t>o elektroničkim komunikacijama</w:t>
      </w:r>
    </w:p>
    <w:p w14:paraId="0554CAC1"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za potrebe zdravstvenih ustanova</w:t>
      </w:r>
    </w:p>
    <w:p w14:paraId="20F2F4EE"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u svrhu znanstvenih, istraživačkih i obrazovnih projekata isključivo u nekomercijalne svrhe</w:t>
      </w:r>
    </w:p>
    <w:p w14:paraId="23AB0563"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isključivo prijamnih postaja</w:t>
      </w:r>
    </w:p>
    <w:p w14:paraId="72FA5FE8"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bežičnih mikrofona</w:t>
      </w:r>
    </w:p>
    <w:p w14:paraId="0A3E4949"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pričuvnih radijskih postaja</w:t>
      </w:r>
    </w:p>
    <w:p w14:paraId="128E2EB1"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radio-fara za osobnu uporabu (PLB)</w:t>
      </w:r>
    </w:p>
    <w:p w14:paraId="73A2067A"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za potrebe diplomatskih predstavništva</w:t>
      </w:r>
    </w:p>
    <w:p w14:paraId="29DF6FC8"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za potrebe HAKOM-a</w:t>
      </w:r>
    </w:p>
    <w:p w14:paraId="7BD01010"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radijskih postaja u amaterskoj službi.</w:t>
      </w:r>
    </w:p>
    <w:p w14:paraId="78052FCB" w14:textId="77777777" w:rsidR="00224C3B" w:rsidRDefault="00224C3B" w:rsidP="00224C3B">
      <w:pPr>
        <w:pStyle w:val="ListParagraph"/>
        <w:numPr>
          <w:ilvl w:val="0"/>
          <w:numId w:val="8"/>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pri uporabi u humanitarne svrhe</w:t>
      </w:r>
    </w:p>
    <w:p w14:paraId="7A0773DB" w14:textId="77777777" w:rsidR="00224C3B" w:rsidRDefault="00224C3B" w:rsidP="00224C3B">
      <w:pPr>
        <w:pStyle w:val="ListParagraph"/>
        <w:spacing w:after="0" w:line="240" w:lineRule="auto"/>
        <w:jc w:val="both"/>
        <w:rPr>
          <w:rFonts w:ascii="Times New Roman" w:eastAsia="Times New Roman" w:hAnsi="Times New Roman" w:cs="Times New Roman"/>
          <w:color w:val="000000"/>
          <w:sz w:val="24"/>
          <w:szCs w:val="24"/>
          <w:lang w:eastAsia="hr-HR"/>
        </w:rPr>
      </w:pPr>
    </w:p>
    <w:p w14:paraId="0AF4952B"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usmjerene veze točka-točka</w:t>
      </w:r>
    </w:p>
    <w:p w14:paraId="640B48CB"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1FF47A1A"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12.</w:t>
      </w:r>
    </w:p>
    <w:p w14:paraId="00FCEF9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iznad 1 GHz u usmjerenim vezama točka-točka (sa i bez prenosivih krajnjih postaja) i ENG/OB, koje koriste spektar širine veće od 2 MHz, naknada iznosi 1.000,00 kuna.</w:t>
      </w:r>
    </w:p>
    <w:p w14:paraId="027F696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CFAE16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 xml:space="preserve">(2)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iznad 1 GHz u usmjerenim vezama točka-točka (sa i bez prenosivih krajnjih postaja) i ENG/OB, koje koriste spektar širine 2 MHz ili manje, naknada se ne naplaćuje.</w:t>
      </w:r>
    </w:p>
    <w:p w14:paraId="6FA5AA4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1825B8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iznad 1 GHz u usmjerenim vezama točka-točka za koje se dozvola izdaje prema pojednostavljenom postupku, ako je to predviđeno planom dodjele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taj frekvencijski pojas, naknada iznosi 200 kuna.</w:t>
      </w:r>
    </w:p>
    <w:p w14:paraId="40FD4B7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045DC44"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ENG/OB ispod 1 GHz</w:t>
      </w:r>
    </w:p>
    <w:p w14:paraId="231FFF16"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1D89B56D"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13.</w:t>
      </w:r>
    </w:p>
    <w:p w14:paraId="4701E68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u vezama za ENG/OB primjenu u frekvencijskim područjima ispod 1 GHz, naknada se određuje prema vrsti uporabe u skladu s Tablicom 1.</w:t>
      </w:r>
    </w:p>
    <w:p w14:paraId="2EF65B6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3C1E6B3F" w14:textId="77777777" w:rsidR="00224C3B" w:rsidRDefault="00224C3B" w:rsidP="00224C3B">
      <w:pPr>
        <w:spacing w:after="0" w:line="240" w:lineRule="auto"/>
        <w:jc w:val="both"/>
        <w:rPr>
          <w:rFonts w:ascii="Times New Roman" w:eastAsia="Times New Roman" w:hAnsi="Times New Roman" w:cs="Times New Roman"/>
          <w:i/>
          <w:iCs/>
          <w:color w:val="000000"/>
          <w:sz w:val="24"/>
          <w:szCs w:val="24"/>
          <w:lang w:eastAsia="hr-HR"/>
        </w:rPr>
      </w:pPr>
    </w:p>
    <w:p w14:paraId="76051305" w14:textId="77777777" w:rsidR="00224C3B" w:rsidRDefault="00224C3B" w:rsidP="00224C3B">
      <w:pPr>
        <w:spacing w:after="0" w:line="240" w:lineRule="auto"/>
        <w:jc w:val="both"/>
        <w:rPr>
          <w:rFonts w:ascii="Times New Roman" w:eastAsia="Times New Roman" w:hAnsi="Times New Roman" w:cs="Times New Roman"/>
          <w:i/>
          <w:iCs/>
          <w:color w:val="000000"/>
          <w:sz w:val="24"/>
          <w:szCs w:val="24"/>
          <w:lang w:eastAsia="hr-HR"/>
        </w:rPr>
      </w:pPr>
    </w:p>
    <w:p w14:paraId="3BB79D6E"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Tablica 1</w:t>
      </w:r>
      <w:r>
        <w:rPr>
          <w:rFonts w:ascii="Times New Roman" w:eastAsia="Times New Roman" w:hAnsi="Times New Roman" w:cs="Times New Roman"/>
          <w:color w:val="000000"/>
          <w:sz w:val="24"/>
          <w:szCs w:val="24"/>
          <w:lang w:eastAsia="hr-HR"/>
        </w:rPr>
        <w:t>.</w:t>
      </w:r>
    </w:p>
    <w:tbl>
      <w:tblPr>
        <w:tblW w:w="9064" w:type="dxa"/>
        <w:tblCellSpacing w:w="15" w:type="dxa"/>
        <w:tblLook w:val="04A0" w:firstRow="1" w:lastRow="0" w:firstColumn="1" w:lastColumn="0" w:noHBand="0" w:noVBand="1"/>
      </w:tblPr>
      <w:tblGrid>
        <w:gridCol w:w="465"/>
        <w:gridCol w:w="6713"/>
        <w:gridCol w:w="1886"/>
      </w:tblGrid>
      <w:tr w:rsidR="00224C3B" w14:paraId="53774DC0"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E1F4D1F"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1DE4EAA"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Vrsta</w:t>
            </w:r>
          </w:p>
        </w:tc>
        <w:tc>
          <w:tcPr>
            <w:tcW w:w="184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87CB6A3"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naknada</w:t>
            </w:r>
            <w:r>
              <w:rPr>
                <w:rFonts w:ascii="Times New Roman" w:eastAsia="Times New Roman" w:hAnsi="Times New Roman" w:cs="Times New Roman"/>
                <w:color w:val="000000"/>
                <w:sz w:val="24"/>
                <w:szCs w:val="24"/>
                <w:lang w:eastAsia="hr-HR"/>
              </w:rPr>
              <w:br/>
              <w:t>(u kunama)</w:t>
            </w:r>
          </w:p>
        </w:tc>
      </w:tr>
      <w:tr w:rsidR="00224C3B" w14:paraId="39D0CD5F"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2EEA3FB"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81596DF"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Pokretna usmjerena veza ili kamera za ENG/OB i pokretna usmjerena veza za ENG/OB koja se upotrebljava isključivo za prijenos zvuka</w:t>
            </w:r>
          </w:p>
        </w:tc>
        <w:tc>
          <w:tcPr>
            <w:tcW w:w="184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F49B5D1"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100,00</w:t>
            </w:r>
          </w:p>
        </w:tc>
      </w:tr>
    </w:tbl>
    <w:p w14:paraId="1A638311"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76A7D693"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1FDFB679"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satelitsku službu</w:t>
      </w:r>
    </w:p>
    <w:p w14:paraId="6467F72D"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03827489"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14.</w:t>
      </w:r>
    </w:p>
    <w:p w14:paraId="3EBD508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Za satelitske veze 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iznosi 1.500,00 kuna.</w:t>
      </w:r>
    </w:p>
    <w:p w14:paraId="7FC85EE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4EDC5C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nepokretnu radijsku postaju na Zemlji koja se koristi za komunikaciju sa satelitima i/ili sa zrakoplovima (komplementarna zemaljska sastavnica (CGC) pokretne satelitske mreže) iznosi 1.500,00 kuna.</w:t>
      </w:r>
    </w:p>
    <w:p w14:paraId="70C8E829"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67F65A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Jednokratna naknada za svemirske aktivnosti za koje je dodijeljena dozvola iznosi 2.500,00 kuna.</w:t>
      </w:r>
    </w:p>
    <w:p w14:paraId="406C968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0D8B754" w14:textId="77777777" w:rsidR="00224C3B" w:rsidRDefault="00224C3B" w:rsidP="00224C3B">
      <w:pPr>
        <w:spacing w:after="0" w:line="240" w:lineRule="auto"/>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color w:val="000000"/>
          <w:sz w:val="24"/>
          <w:szCs w:val="24"/>
          <w:lang w:eastAsia="hr-HR"/>
        </w:rPr>
        <w:t>(4) Naknade za postupak puštanja u rad satelitske mreže, u skladu s odredbama Radijskih propisa Međunarodne telekomunikacijske unije (ITU)  i Odlukom 482 Vijeća ITU-a, su prihod ITU-a. .</w:t>
      </w:r>
      <w:r>
        <w:rPr>
          <w:rFonts w:ascii="Times New Roman" w:eastAsia="Times New Roman" w:hAnsi="Times New Roman" w:cs="Times New Roman"/>
          <w:i/>
          <w:iCs/>
          <w:color w:val="000000"/>
          <w:sz w:val="26"/>
          <w:szCs w:val="26"/>
          <w:lang w:eastAsia="hr-HR"/>
        </w:rPr>
        <w:t>Naknada za mrežu za vlastite potrebe</w:t>
      </w:r>
    </w:p>
    <w:p w14:paraId="34FDE104"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0AAE2595"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15.</w:t>
      </w:r>
    </w:p>
    <w:p w14:paraId="55E47169"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mrežu za vlastite potrebe utvrđuje se prema vrsti i namjeni radijske postaje u skladu s Tablicom 2.</w:t>
      </w:r>
    </w:p>
    <w:p w14:paraId="37DFB06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1B7EF81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Tablica 2.</w:t>
      </w:r>
    </w:p>
    <w:tbl>
      <w:tblPr>
        <w:tblW w:w="9064" w:type="dxa"/>
        <w:tblCellSpacing w:w="15" w:type="dxa"/>
        <w:tblLook w:val="04A0" w:firstRow="1" w:lastRow="0" w:firstColumn="1" w:lastColumn="0" w:noHBand="0" w:noVBand="1"/>
      </w:tblPr>
      <w:tblGrid>
        <w:gridCol w:w="465"/>
        <w:gridCol w:w="7089"/>
        <w:gridCol w:w="1510"/>
      </w:tblGrid>
      <w:tr w:rsidR="00224C3B" w14:paraId="35E2906D"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0FF9B29"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8F05ED2"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Vrsta radijske postaje</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872598E"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naknada</w:t>
            </w:r>
            <w:r>
              <w:rPr>
                <w:rFonts w:ascii="Times New Roman" w:eastAsia="Times New Roman" w:hAnsi="Times New Roman" w:cs="Times New Roman"/>
                <w:color w:val="000000"/>
                <w:sz w:val="24"/>
                <w:szCs w:val="24"/>
                <w:lang w:eastAsia="hr-HR"/>
              </w:rPr>
              <w:br/>
              <w:t>(u kunama)</w:t>
            </w:r>
          </w:p>
        </w:tc>
      </w:tr>
      <w:tr w:rsidR="00224C3B" w14:paraId="7400C5BA"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FCB7865"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BD68984"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Nepokretna radijska postaja kao repetitor u privatnoj pokretnoj mreži, za svaki par radijskih frekvencija (</w:t>
            </w:r>
            <w:proofErr w:type="spellStart"/>
            <w:r>
              <w:rPr>
                <w:rFonts w:ascii="Times New Roman" w:eastAsia="Times New Roman" w:hAnsi="Times New Roman" w:cs="Times New Roman"/>
                <w:color w:val="000000"/>
                <w:sz w:val="24"/>
                <w:szCs w:val="24"/>
                <w:lang w:eastAsia="hr-HR"/>
              </w:rPr>
              <w:t>Tx</w:t>
            </w:r>
            <w:proofErr w:type="spellEnd"/>
            <w:r>
              <w:rPr>
                <w:rFonts w:ascii="Times New Roman" w:eastAsia="Times New Roman" w:hAnsi="Times New Roman" w:cs="Times New Roman"/>
                <w:color w:val="000000"/>
                <w:sz w:val="24"/>
                <w:szCs w:val="24"/>
                <w:lang w:eastAsia="hr-HR"/>
              </w:rPr>
              <w:t>/</w:t>
            </w:r>
            <w:proofErr w:type="spellStart"/>
            <w:r>
              <w:rPr>
                <w:rFonts w:ascii="Times New Roman" w:eastAsia="Times New Roman" w:hAnsi="Times New Roman" w:cs="Times New Roman"/>
                <w:color w:val="000000"/>
                <w:sz w:val="24"/>
                <w:szCs w:val="24"/>
                <w:lang w:eastAsia="hr-HR"/>
              </w:rPr>
              <w:t>Rx</w:t>
            </w:r>
            <w:proofErr w:type="spellEnd"/>
            <w:r>
              <w:rPr>
                <w:rFonts w:ascii="Times New Roman" w:eastAsia="Times New Roman" w:hAnsi="Times New Roman" w:cs="Times New Roman"/>
                <w:color w:val="000000"/>
                <w:sz w:val="24"/>
                <w:szCs w:val="24"/>
                <w:lang w:eastAsia="hr-HR"/>
              </w:rPr>
              <w:t>)</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0666A18"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650,00</w:t>
            </w:r>
          </w:p>
        </w:tc>
      </w:tr>
      <w:tr w:rsidR="00224C3B" w14:paraId="6D4987B8"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CAE5473"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6EAACF3"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Nepokretna radijska postaja kao repetitor u javnoj pokretnoj mreži za zatvorene grupe korisnika i u privatnoj telemetrijskoj mreži, za svaki par radijskih frekvencija (</w:t>
            </w:r>
            <w:proofErr w:type="spellStart"/>
            <w:r>
              <w:rPr>
                <w:rFonts w:ascii="Times New Roman" w:eastAsia="Times New Roman" w:hAnsi="Times New Roman" w:cs="Times New Roman"/>
                <w:color w:val="000000"/>
                <w:sz w:val="24"/>
                <w:szCs w:val="24"/>
                <w:lang w:eastAsia="hr-HR"/>
              </w:rPr>
              <w:t>Tx</w:t>
            </w:r>
            <w:proofErr w:type="spellEnd"/>
            <w:r>
              <w:rPr>
                <w:rFonts w:ascii="Times New Roman" w:eastAsia="Times New Roman" w:hAnsi="Times New Roman" w:cs="Times New Roman"/>
                <w:color w:val="000000"/>
                <w:sz w:val="24"/>
                <w:szCs w:val="24"/>
                <w:lang w:eastAsia="hr-HR"/>
              </w:rPr>
              <w:t>/</w:t>
            </w:r>
            <w:proofErr w:type="spellStart"/>
            <w:r>
              <w:rPr>
                <w:rFonts w:ascii="Times New Roman" w:eastAsia="Times New Roman" w:hAnsi="Times New Roman" w:cs="Times New Roman"/>
                <w:color w:val="000000"/>
                <w:sz w:val="24"/>
                <w:szCs w:val="24"/>
                <w:lang w:eastAsia="hr-HR"/>
              </w:rPr>
              <w:t>Rx</w:t>
            </w:r>
            <w:proofErr w:type="spellEnd"/>
            <w:r>
              <w:rPr>
                <w:rFonts w:ascii="Times New Roman" w:eastAsia="Times New Roman" w:hAnsi="Times New Roman" w:cs="Times New Roman"/>
                <w:color w:val="000000"/>
                <w:sz w:val="24"/>
                <w:szCs w:val="24"/>
                <w:lang w:eastAsia="hr-HR"/>
              </w:rPr>
              <w:t>)</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3F9B2B5"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650,00</w:t>
            </w:r>
          </w:p>
        </w:tc>
      </w:tr>
      <w:tr w:rsidR="00224C3B" w14:paraId="3418E44F"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8E88000"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A83580A"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Nepokretna radijska postaja kao osnovna postaja u javnoj pokretnoj mreži za zatvorene grupe korisnika, za svaki par radijskih frekvencija (</w:t>
            </w:r>
            <w:proofErr w:type="spellStart"/>
            <w:r>
              <w:rPr>
                <w:rFonts w:ascii="Times New Roman" w:eastAsia="Times New Roman" w:hAnsi="Times New Roman" w:cs="Times New Roman"/>
                <w:color w:val="000000"/>
                <w:sz w:val="24"/>
                <w:szCs w:val="24"/>
                <w:lang w:eastAsia="hr-HR"/>
              </w:rPr>
              <w:t>Tx</w:t>
            </w:r>
            <w:proofErr w:type="spellEnd"/>
            <w:r>
              <w:rPr>
                <w:rFonts w:ascii="Times New Roman" w:eastAsia="Times New Roman" w:hAnsi="Times New Roman" w:cs="Times New Roman"/>
                <w:color w:val="000000"/>
                <w:sz w:val="24"/>
                <w:szCs w:val="24"/>
                <w:lang w:eastAsia="hr-HR"/>
              </w:rPr>
              <w:t>/</w:t>
            </w:r>
            <w:proofErr w:type="spellStart"/>
            <w:r>
              <w:rPr>
                <w:rFonts w:ascii="Times New Roman" w:eastAsia="Times New Roman" w:hAnsi="Times New Roman" w:cs="Times New Roman"/>
                <w:color w:val="000000"/>
                <w:sz w:val="24"/>
                <w:szCs w:val="24"/>
                <w:lang w:eastAsia="hr-HR"/>
              </w:rPr>
              <w:t>Rx</w:t>
            </w:r>
            <w:proofErr w:type="spellEnd"/>
            <w:r>
              <w:rPr>
                <w:rFonts w:ascii="Times New Roman" w:eastAsia="Times New Roman" w:hAnsi="Times New Roman" w:cs="Times New Roman"/>
                <w:color w:val="000000"/>
                <w:sz w:val="24"/>
                <w:szCs w:val="24"/>
                <w:lang w:eastAsia="hr-HR"/>
              </w:rPr>
              <w:t>)</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BD561E2"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650,00</w:t>
            </w:r>
          </w:p>
        </w:tc>
      </w:tr>
      <w:tr w:rsidR="00224C3B" w14:paraId="22667AB0"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9FB6FEF"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E01F75E"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Nepokretna radijska postaja kao osnovna postaja u privatnoj pokretnoj mreži, za svaki par radijskih frekvencija (</w:t>
            </w:r>
            <w:proofErr w:type="spellStart"/>
            <w:r>
              <w:rPr>
                <w:rFonts w:ascii="Times New Roman" w:eastAsia="Times New Roman" w:hAnsi="Times New Roman" w:cs="Times New Roman"/>
                <w:color w:val="000000"/>
                <w:sz w:val="24"/>
                <w:szCs w:val="24"/>
                <w:lang w:eastAsia="hr-HR"/>
              </w:rPr>
              <w:t>Tx</w:t>
            </w:r>
            <w:proofErr w:type="spellEnd"/>
            <w:r>
              <w:rPr>
                <w:rFonts w:ascii="Times New Roman" w:eastAsia="Times New Roman" w:hAnsi="Times New Roman" w:cs="Times New Roman"/>
                <w:color w:val="000000"/>
                <w:sz w:val="24"/>
                <w:szCs w:val="24"/>
                <w:lang w:eastAsia="hr-HR"/>
              </w:rPr>
              <w:t>/</w:t>
            </w:r>
            <w:proofErr w:type="spellStart"/>
            <w:r>
              <w:rPr>
                <w:rFonts w:ascii="Times New Roman" w:eastAsia="Times New Roman" w:hAnsi="Times New Roman" w:cs="Times New Roman"/>
                <w:color w:val="000000"/>
                <w:sz w:val="24"/>
                <w:szCs w:val="24"/>
                <w:lang w:eastAsia="hr-HR"/>
              </w:rPr>
              <w:t>Rx</w:t>
            </w:r>
            <w:proofErr w:type="spellEnd"/>
            <w:r>
              <w:rPr>
                <w:rFonts w:ascii="Times New Roman" w:eastAsia="Times New Roman" w:hAnsi="Times New Roman" w:cs="Times New Roman"/>
                <w:color w:val="000000"/>
                <w:sz w:val="24"/>
                <w:szCs w:val="24"/>
                <w:lang w:eastAsia="hr-HR"/>
              </w:rPr>
              <w:t>)</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C7BBF4B"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650,00</w:t>
            </w:r>
          </w:p>
        </w:tc>
      </w:tr>
      <w:tr w:rsidR="00224C3B" w14:paraId="03E38F9D"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07D6EA1"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709F545"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Nepokretna radijska postaja kao krajnja postaja u javnoj pokretnoj mreži za zatvorene grupe korisnika</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4134FA7"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50,00</w:t>
            </w:r>
          </w:p>
        </w:tc>
      </w:tr>
      <w:tr w:rsidR="00224C3B" w14:paraId="660D4AA4"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C093A9F"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6.</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91AD5A2"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Nepokretna radijska postaja kao krajnja postaja u govornoj i telemetrijskoj mreži</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5826299"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50,00</w:t>
            </w:r>
          </w:p>
        </w:tc>
      </w:tr>
      <w:tr w:rsidR="00224C3B" w14:paraId="77F38BB1"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6F56539"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7.</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F3907E9"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Pokretna radijska postaja u javnoj pokretnoj mreži za zatvorene grupe korisnika</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9F14512"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25,00</w:t>
            </w:r>
          </w:p>
        </w:tc>
      </w:tr>
      <w:tr w:rsidR="00224C3B" w14:paraId="47701A96"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543026E"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8.</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6C11CFE"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Pokretna radijska postaja u privatnoj pokretnoj telekomunikacijskoj mreži</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981E662"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25,00</w:t>
            </w:r>
          </w:p>
        </w:tc>
      </w:tr>
      <w:tr w:rsidR="00224C3B" w14:paraId="61493E99"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2B8D64B"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9.</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801C100"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Ostale nepokretne radijske postaje</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6562152"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2.000,00</w:t>
            </w:r>
          </w:p>
        </w:tc>
      </w:tr>
      <w:tr w:rsidR="00224C3B" w14:paraId="54658CF1"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1F35E81"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07D5C6D"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Radijska postaja za posebne primjene, ukoliko je tako propisano odgovarajućim planom dodjele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w:t>
            </w:r>
          </w:p>
        </w:tc>
        <w:tc>
          <w:tcPr>
            <w:tcW w:w="146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44F61BD"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50,00</w:t>
            </w:r>
          </w:p>
        </w:tc>
      </w:tr>
    </w:tbl>
    <w:p w14:paraId="56DCD37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0A954DE"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mrežu u </w:t>
      </w:r>
      <w:proofErr w:type="spellStart"/>
      <w:r>
        <w:rPr>
          <w:rFonts w:ascii="Times New Roman" w:eastAsia="Times New Roman" w:hAnsi="Times New Roman" w:cs="Times New Roman"/>
          <w:color w:val="000000"/>
          <w:sz w:val="24"/>
          <w:szCs w:val="24"/>
          <w:lang w:eastAsia="hr-HR"/>
        </w:rPr>
        <w:t>simpleks</w:t>
      </w:r>
      <w:proofErr w:type="spellEnd"/>
      <w:r>
        <w:rPr>
          <w:rFonts w:ascii="Times New Roman" w:eastAsia="Times New Roman" w:hAnsi="Times New Roman" w:cs="Times New Roman"/>
          <w:color w:val="000000"/>
          <w:sz w:val="24"/>
          <w:szCs w:val="24"/>
          <w:lang w:eastAsia="hr-HR"/>
        </w:rPr>
        <w:t xml:space="preserve"> i </w:t>
      </w:r>
      <w:proofErr w:type="spellStart"/>
      <w:r>
        <w:rPr>
          <w:rFonts w:ascii="Times New Roman" w:eastAsia="Times New Roman" w:hAnsi="Times New Roman" w:cs="Times New Roman"/>
          <w:color w:val="000000"/>
          <w:sz w:val="24"/>
          <w:szCs w:val="24"/>
          <w:lang w:eastAsia="hr-HR"/>
        </w:rPr>
        <w:t>dupleks</w:t>
      </w:r>
      <w:proofErr w:type="spellEnd"/>
      <w:r>
        <w:rPr>
          <w:rFonts w:ascii="Times New Roman" w:eastAsia="Times New Roman" w:hAnsi="Times New Roman" w:cs="Times New Roman"/>
          <w:color w:val="000000"/>
          <w:sz w:val="24"/>
          <w:szCs w:val="24"/>
          <w:lang w:eastAsia="hr-HR"/>
        </w:rPr>
        <w:t xml:space="preserve"> načinu rada koje sadrže isključivo krajnje radijske postaje, utvrđuje se prema području pokrivenosti komunikacijske mreže uz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u skladu s Tablicom 3.</w:t>
      </w:r>
    </w:p>
    <w:p w14:paraId="2B29C448" w14:textId="77777777" w:rsidR="00224C3B" w:rsidRDefault="00224C3B" w:rsidP="00224C3B">
      <w:pPr>
        <w:spacing w:after="0" w:line="240" w:lineRule="auto"/>
        <w:jc w:val="both"/>
        <w:rPr>
          <w:rFonts w:ascii="Times New Roman" w:eastAsia="Times New Roman" w:hAnsi="Times New Roman" w:cs="Times New Roman"/>
          <w:i/>
          <w:iCs/>
          <w:color w:val="000000"/>
          <w:sz w:val="24"/>
          <w:szCs w:val="24"/>
          <w:lang w:eastAsia="hr-HR"/>
        </w:rPr>
      </w:pPr>
    </w:p>
    <w:p w14:paraId="7C5BCCE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Tablica 3.</w:t>
      </w:r>
    </w:p>
    <w:tbl>
      <w:tblPr>
        <w:tblW w:w="9064" w:type="dxa"/>
        <w:tblCellSpacing w:w="15" w:type="dxa"/>
        <w:tblLook w:val="04A0" w:firstRow="1" w:lastRow="0" w:firstColumn="1" w:lastColumn="0" w:noHBand="0" w:noVBand="1"/>
      </w:tblPr>
      <w:tblGrid>
        <w:gridCol w:w="465"/>
        <w:gridCol w:w="6767"/>
        <w:gridCol w:w="1832"/>
      </w:tblGrid>
      <w:tr w:rsidR="00224C3B" w14:paraId="0A27900E"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8D0B672"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9F42F6C"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pokrivenosti komunikacijske mreže</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7CC0D51"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naknada</w:t>
            </w:r>
            <w:r>
              <w:rPr>
                <w:rFonts w:ascii="Times New Roman" w:eastAsia="Times New Roman" w:hAnsi="Times New Roman" w:cs="Times New Roman"/>
                <w:color w:val="000000"/>
                <w:sz w:val="24"/>
                <w:szCs w:val="24"/>
                <w:lang w:eastAsia="hr-HR"/>
              </w:rPr>
              <w:br/>
              <w:t>(u kunama)</w:t>
            </w:r>
          </w:p>
        </w:tc>
      </w:tr>
      <w:tr w:rsidR="00224C3B" w14:paraId="7B286A06"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ACE2255"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107E807"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Republike Hrvatske</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75D2384"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1.500,00</w:t>
            </w:r>
          </w:p>
        </w:tc>
      </w:tr>
      <w:tr w:rsidR="00224C3B" w14:paraId="635FF84C"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87857AC"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BC8461E"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od dviju do šest susjednih županija</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D369E33"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750,00</w:t>
            </w:r>
          </w:p>
        </w:tc>
      </w:tr>
      <w:tr w:rsidR="00224C3B" w14:paraId="47ABA9DF"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3C5597E"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5072776"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do jedne županije ili za zajedničko područje Grada Zagreba i Zagrebačke županije</w:t>
            </w:r>
          </w:p>
        </w:tc>
        <w:tc>
          <w:tcPr>
            <w:tcW w:w="1787"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E81E144"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250,00</w:t>
            </w:r>
          </w:p>
        </w:tc>
      </w:tr>
    </w:tbl>
    <w:p w14:paraId="1FA0A462"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70CF0B4E"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Iznos naknade za javnu komunikacijsku mrežu</w:t>
      </w:r>
    </w:p>
    <w:p w14:paraId="51F1A905"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3EEDFE0E"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16.</w:t>
      </w:r>
    </w:p>
    <w:p w14:paraId="4B3845B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 xml:space="preserve">(1) 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javnu komunikacijsku mrežu, osim mreža iz članka 18. ovog Pravilnika, utvrđuje se prema dodijeljenom </w:t>
      </w:r>
      <w:proofErr w:type="spellStart"/>
      <w:r>
        <w:rPr>
          <w:rFonts w:ascii="Times New Roman" w:eastAsia="Times New Roman" w:hAnsi="Times New Roman" w:cs="Times New Roman"/>
          <w:color w:val="000000"/>
          <w:sz w:val="24"/>
          <w:szCs w:val="24"/>
          <w:lang w:eastAsia="hr-HR"/>
        </w:rPr>
        <w:t>radiofrekvencijskom</w:t>
      </w:r>
      <w:proofErr w:type="spellEnd"/>
      <w:r>
        <w:rPr>
          <w:rFonts w:ascii="Times New Roman" w:eastAsia="Times New Roman" w:hAnsi="Times New Roman" w:cs="Times New Roman"/>
          <w:color w:val="000000"/>
          <w:sz w:val="24"/>
          <w:szCs w:val="24"/>
          <w:lang w:eastAsia="hr-HR"/>
        </w:rPr>
        <w:t xml:space="preserve"> spektru i području za koje je dodijeljena dozvola u skladu s Tablicom 4. za područja s više od 1.000.000 stanovnika i u skladu s Tablicom 4.1. za područja s manje od 1.000.000 stanovnika.</w:t>
      </w:r>
    </w:p>
    <w:p w14:paraId="48D837A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9DBF343"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Tablica 4.</w:t>
      </w:r>
    </w:p>
    <w:tbl>
      <w:tblPr>
        <w:tblW w:w="9064" w:type="dxa"/>
        <w:tblCellSpacing w:w="15" w:type="dxa"/>
        <w:tblLook w:val="04A0" w:firstRow="1" w:lastRow="0" w:firstColumn="1" w:lastColumn="0" w:noHBand="0" w:noVBand="1"/>
      </w:tblPr>
      <w:tblGrid>
        <w:gridCol w:w="465"/>
        <w:gridCol w:w="6122"/>
        <w:gridCol w:w="2477"/>
      </w:tblGrid>
      <w:tr w:rsidR="00224C3B" w14:paraId="5894418B"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61012E6"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1B1FF48"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Frekvencijsko područje </w:t>
            </w:r>
            <w:r>
              <w:rPr>
                <w:rFonts w:ascii="Times New Roman" w:eastAsia="Times New Roman" w:hAnsi="Times New Roman" w:cs="Times New Roman"/>
                <w:i/>
                <w:color w:val="000000"/>
                <w:sz w:val="24"/>
                <w:szCs w:val="24"/>
                <w:lang w:eastAsia="hr-HR"/>
              </w:rPr>
              <w:t xml:space="preserve">f </w:t>
            </w:r>
            <w:r>
              <w:rPr>
                <w:rFonts w:ascii="Times New Roman" w:eastAsia="Times New Roman" w:hAnsi="Times New Roman" w:cs="Times New Roman"/>
                <w:color w:val="000000"/>
                <w:sz w:val="24"/>
                <w:szCs w:val="24"/>
                <w:lang w:eastAsia="hr-HR"/>
              </w:rPr>
              <w:t xml:space="preserve">dodijeljenog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javne komunikacijske mreže (MHz)</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49B6592"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naknada</w:t>
            </w:r>
            <w:r>
              <w:rPr>
                <w:rFonts w:ascii="Times New Roman" w:eastAsia="Times New Roman" w:hAnsi="Times New Roman" w:cs="Times New Roman"/>
                <w:color w:val="000000"/>
                <w:sz w:val="24"/>
                <w:szCs w:val="24"/>
                <w:lang w:eastAsia="hr-HR"/>
              </w:rPr>
              <w:br/>
              <w:t>(u kunama) po dodijeljenom MHz</w:t>
            </w:r>
          </w:p>
        </w:tc>
      </w:tr>
      <w:tr w:rsidR="00224C3B" w14:paraId="0C8C94FC"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AA3517B"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679A94E"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f &lt; 3400</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4611C6F"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80.000,00</w:t>
            </w:r>
          </w:p>
        </w:tc>
      </w:tr>
      <w:tr w:rsidR="00224C3B" w14:paraId="603B2086"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83C460A"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B57B3D8"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3400 ≤ f &lt; 3800</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E9B2083"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25.000,00</w:t>
            </w:r>
          </w:p>
        </w:tc>
      </w:tr>
      <w:tr w:rsidR="00224C3B" w14:paraId="30182A98"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75B93D6"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F436CCE"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3800 ≤ f</w:t>
            </w:r>
          </w:p>
        </w:tc>
        <w:tc>
          <w:tcPr>
            <w:tcW w:w="2432"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8B2028A"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7.500,00</w:t>
            </w:r>
          </w:p>
        </w:tc>
      </w:tr>
    </w:tbl>
    <w:p w14:paraId="2A26E77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318B207E" w14:textId="77777777" w:rsidR="00224C3B" w:rsidRDefault="00224C3B" w:rsidP="00224C3B">
      <w:pPr>
        <w:spacing w:after="0" w:line="240" w:lineRule="auto"/>
        <w:jc w:val="both"/>
        <w:rPr>
          <w:rFonts w:ascii="Times New Roman" w:eastAsia="Times New Roman" w:hAnsi="Times New Roman" w:cs="Times New Roman"/>
          <w:i/>
          <w:color w:val="000000"/>
          <w:sz w:val="24"/>
          <w:szCs w:val="24"/>
          <w:lang w:eastAsia="hr-HR"/>
        </w:rPr>
      </w:pPr>
      <w:r>
        <w:rPr>
          <w:rFonts w:ascii="Times New Roman" w:eastAsia="Times New Roman" w:hAnsi="Times New Roman" w:cs="Times New Roman"/>
          <w:i/>
          <w:color w:val="000000"/>
          <w:sz w:val="24"/>
          <w:szCs w:val="24"/>
          <w:lang w:eastAsia="hr-HR"/>
        </w:rPr>
        <w:t>Tablica 4.1.</w:t>
      </w:r>
    </w:p>
    <w:tbl>
      <w:tblPr>
        <w:tblW w:w="9064" w:type="dxa"/>
        <w:tblCellSpacing w:w="15" w:type="dxa"/>
        <w:tblLook w:val="04A0" w:firstRow="1" w:lastRow="0" w:firstColumn="1" w:lastColumn="0" w:noHBand="0" w:noVBand="1"/>
      </w:tblPr>
      <w:tblGrid>
        <w:gridCol w:w="604"/>
        <w:gridCol w:w="1176"/>
        <w:gridCol w:w="2875"/>
        <w:gridCol w:w="2876"/>
        <w:gridCol w:w="1533"/>
      </w:tblGrid>
      <w:tr w:rsidR="00224C3B" w14:paraId="07E059B8" w14:textId="77777777" w:rsidTr="00224C3B">
        <w:trPr>
          <w:trHeight w:val="239"/>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16A4E33"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w:t>
            </w:r>
          </w:p>
        </w:tc>
        <w:tc>
          <w:tcPr>
            <w:tcW w:w="8415" w:type="dxa"/>
            <w:gridSpan w:val="4"/>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646DEDC"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naknada (u kunama) po MHz</w:t>
            </w:r>
          </w:p>
        </w:tc>
      </w:tr>
      <w:tr w:rsidR="00224C3B" w14:paraId="22DB2C5A" w14:textId="77777777" w:rsidTr="00224C3B">
        <w:trPr>
          <w:trHeight w:val="96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4DE995F" w14:textId="77777777" w:rsidR="00224C3B" w:rsidRDefault="00224C3B">
            <w:pPr>
              <w:rPr>
                <w:rFonts w:ascii="Times New Roman" w:eastAsia="Times New Roman" w:hAnsi="Times New Roman" w:cs="Times New Roman"/>
                <w:color w:val="000000"/>
                <w:sz w:val="24"/>
                <w:szCs w:val="24"/>
                <w:lang w:eastAsia="hr-HR"/>
              </w:rPr>
            </w:pPr>
          </w:p>
        </w:tc>
        <w:tc>
          <w:tcPr>
            <w:tcW w:w="1146" w:type="dxa"/>
            <w:tcBorders>
              <w:top w:val="single" w:sz="6" w:space="0" w:color="666666"/>
              <w:left w:val="single" w:sz="6" w:space="0" w:color="666666"/>
              <w:bottom w:val="single" w:sz="6" w:space="0" w:color="666666"/>
              <w:right w:val="single" w:sz="6" w:space="0" w:color="666666"/>
            </w:tcBorders>
            <w:tcMar>
              <w:top w:w="15" w:type="dxa"/>
              <w:left w:w="15" w:type="dxa"/>
              <w:bottom w:w="15" w:type="dxa"/>
              <w:right w:w="15" w:type="dxa"/>
            </w:tcMar>
            <w:hideMark/>
          </w:tcPr>
          <w:p w14:paraId="2AAEADD3"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f (MHz)</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A4F491A"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Grad Zagreb ili područje od 500.001 do 1.000.000 stanovnika</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EB42EEF"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od 300.001 do 500.000 stanovnika</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1793B0E"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do 300.000 stanovnika</w:t>
            </w:r>
          </w:p>
        </w:tc>
      </w:tr>
      <w:tr w:rsidR="00224C3B" w14:paraId="03C774FF" w14:textId="77777777" w:rsidTr="00224C3B">
        <w:trPr>
          <w:trHeight w:val="48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D414F3D"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1146" w:type="dxa"/>
            <w:tcBorders>
              <w:top w:val="single" w:sz="6" w:space="0" w:color="666666"/>
              <w:left w:val="single" w:sz="6" w:space="0" w:color="666666"/>
              <w:bottom w:val="single" w:sz="6" w:space="0" w:color="666666"/>
              <w:right w:val="single" w:sz="6" w:space="0" w:color="666666"/>
            </w:tcBorders>
            <w:tcMar>
              <w:top w:w="15" w:type="dxa"/>
              <w:left w:w="15" w:type="dxa"/>
              <w:bottom w:w="15" w:type="dxa"/>
              <w:right w:w="15" w:type="dxa"/>
            </w:tcMar>
            <w:hideMark/>
          </w:tcPr>
          <w:p w14:paraId="5D89B4A2"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f &lt; 3400</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6E3885E"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2.560,00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1F325A2"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1.120,00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7F7AD7D"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480,00</w:t>
            </w:r>
          </w:p>
        </w:tc>
      </w:tr>
      <w:tr w:rsidR="00224C3B" w14:paraId="206C5A66" w14:textId="77777777" w:rsidTr="00224C3B">
        <w:trPr>
          <w:trHeight w:val="480"/>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5E01349"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p>
        </w:tc>
        <w:tc>
          <w:tcPr>
            <w:tcW w:w="1146" w:type="dxa"/>
            <w:tcBorders>
              <w:top w:val="single" w:sz="6" w:space="0" w:color="666666"/>
              <w:left w:val="single" w:sz="6" w:space="0" w:color="666666"/>
              <w:bottom w:val="single" w:sz="6" w:space="0" w:color="666666"/>
              <w:right w:val="single" w:sz="6" w:space="0" w:color="666666"/>
            </w:tcBorders>
            <w:tcMar>
              <w:top w:w="15" w:type="dxa"/>
              <w:left w:w="15" w:type="dxa"/>
              <w:bottom w:w="15" w:type="dxa"/>
              <w:right w:w="15" w:type="dxa"/>
            </w:tcMar>
            <w:hideMark/>
          </w:tcPr>
          <w:p w14:paraId="50509748"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3400 ≤ f &lt; 3800</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EC89519"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800,00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00CC829"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350,00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5678BD5"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150,00</w:t>
            </w:r>
          </w:p>
        </w:tc>
      </w:tr>
      <w:tr w:rsidR="00224C3B" w14:paraId="7DE842BE" w14:textId="77777777" w:rsidTr="00224C3B">
        <w:trPr>
          <w:trHeight w:val="251"/>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7D4C3CF"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p>
        </w:tc>
        <w:tc>
          <w:tcPr>
            <w:tcW w:w="1146" w:type="dxa"/>
            <w:tcBorders>
              <w:top w:val="single" w:sz="6" w:space="0" w:color="666666"/>
              <w:left w:val="single" w:sz="6" w:space="0" w:color="666666"/>
              <w:bottom w:val="single" w:sz="6" w:space="0" w:color="666666"/>
              <w:right w:val="single" w:sz="6" w:space="0" w:color="666666"/>
            </w:tcBorders>
            <w:tcMar>
              <w:top w:w="15" w:type="dxa"/>
              <w:left w:w="15" w:type="dxa"/>
              <w:bottom w:w="15" w:type="dxa"/>
              <w:right w:w="15" w:type="dxa"/>
            </w:tcMar>
            <w:hideMark/>
          </w:tcPr>
          <w:p w14:paraId="3868C45A"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3800 ≤ f</w:t>
            </w:r>
          </w:p>
        </w:tc>
        <w:tc>
          <w:tcPr>
            <w:tcW w:w="2845"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64176C1"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240,00</w:t>
            </w:r>
          </w:p>
        </w:tc>
        <w:tc>
          <w:tcPr>
            <w:tcW w:w="2846"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8759D96"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105,00</w:t>
            </w:r>
          </w:p>
        </w:tc>
        <w:tc>
          <w:tcPr>
            <w:tcW w:w="148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32B444F"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45,00</w:t>
            </w:r>
          </w:p>
        </w:tc>
      </w:tr>
    </w:tbl>
    <w:p w14:paraId="52556E2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326ED29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09296B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Ako je podnositelju zahtjeva ili nositelju dozvole dodijeljen </w:t>
      </w:r>
      <w:proofErr w:type="spellStart"/>
      <w:r>
        <w:rPr>
          <w:rFonts w:ascii="Times New Roman" w:eastAsia="Times New Roman" w:hAnsi="Times New Roman" w:cs="Times New Roman"/>
          <w:color w:val="000000"/>
          <w:sz w:val="24"/>
          <w:szCs w:val="24"/>
          <w:lang w:eastAsia="hr-HR"/>
        </w:rPr>
        <w:t>radiofrekvencijski</w:t>
      </w:r>
      <w:proofErr w:type="spellEnd"/>
      <w:r>
        <w:rPr>
          <w:rFonts w:ascii="Times New Roman" w:eastAsia="Times New Roman" w:hAnsi="Times New Roman" w:cs="Times New Roman"/>
          <w:color w:val="000000"/>
          <w:sz w:val="24"/>
          <w:szCs w:val="24"/>
          <w:lang w:eastAsia="hr-HR"/>
        </w:rPr>
        <w:t xml:space="preserve"> spektar druge širine pojasa od 1 MHz, naknada se razmjerno mijenja.</w:t>
      </w:r>
    </w:p>
    <w:p w14:paraId="72ACE7D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E46D22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Iznimno od odredaba stavaka 1. i 2. ovoga članka, ne plaća se godišnja naknada za uporabu </w:t>
      </w:r>
      <w:proofErr w:type="spellStart"/>
      <w:r>
        <w:rPr>
          <w:rFonts w:ascii="Times New Roman" w:eastAsia="Times New Roman" w:hAnsi="Times New Roman" w:cs="Times New Roman"/>
          <w:color w:val="000000"/>
          <w:sz w:val="24"/>
          <w:szCs w:val="24"/>
          <w:lang w:eastAsia="hr-HR"/>
        </w:rPr>
        <w:t>neuparenog</w:t>
      </w:r>
      <w:proofErr w:type="spellEnd"/>
      <w:r>
        <w:rPr>
          <w:rFonts w:ascii="Times New Roman" w:eastAsia="Times New Roman" w:hAnsi="Times New Roman" w:cs="Times New Roman"/>
          <w:color w:val="000000"/>
          <w:sz w:val="24"/>
          <w:szCs w:val="24"/>
          <w:lang w:eastAsia="hr-HR"/>
        </w:rPr>
        <w:t xml:space="preserve">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za dodijeljeni </w:t>
      </w:r>
      <w:proofErr w:type="spellStart"/>
      <w:r>
        <w:rPr>
          <w:rFonts w:ascii="Times New Roman" w:eastAsia="Times New Roman" w:hAnsi="Times New Roman" w:cs="Times New Roman"/>
          <w:color w:val="000000"/>
          <w:sz w:val="24"/>
          <w:szCs w:val="24"/>
          <w:lang w:eastAsia="hr-HR"/>
        </w:rPr>
        <w:t>radiofrekvencijski</w:t>
      </w:r>
      <w:proofErr w:type="spellEnd"/>
      <w:r>
        <w:rPr>
          <w:rFonts w:ascii="Times New Roman" w:eastAsia="Times New Roman" w:hAnsi="Times New Roman" w:cs="Times New Roman"/>
          <w:color w:val="000000"/>
          <w:sz w:val="24"/>
          <w:szCs w:val="24"/>
          <w:lang w:eastAsia="hr-HR"/>
        </w:rPr>
        <w:t xml:space="preserve"> spektar u frekvencijskom pojasu 1900 MHz – 1920 MHz.</w:t>
      </w:r>
    </w:p>
    <w:p w14:paraId="2DF94B6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FCFA163"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sustav za pozivanje osoba</w:t>
      </w:r>
    </w:p>
    <w:p w14:paraId="6B6F386A"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24D43877"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17.</w:t>
      </w:r>
    </w:p>
    <w:p w14:paraId="7C86EDBE"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u sustavu za pozivanje osoba naknada se utvrđuje prema vrsti radijske postaje u skladu s Tablicom 5.</w:t>
      </w:r>
    </w:p>
    <w:p w14:paraId="5F5B7AE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38794F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Tablica 5.</w:t>
      </w:r>
    </w:p>
    <w:tbl>
      <w:tblPr>
        <w:tblW w:w="9060" w:type="dxa"/>
        <w:tblCellSpacing w:w="15" w:type="dxa"/>
        <w:tblLook w:val="04A0" w:firstRow="1" w:lastRow="0" w:firstColumn="1" w:lastColumn="0" w:noHBand="0" w:noVBand="1"/>
      </w:tblPr>
      <w:tblGrid>
        <w:gridCol w:w="465"/>
        <w:gridCol w:w="7230"/>
        <w:gridCol w:w="1365"/>
      </w:tblGrid>
      <w:tr w:rsidR="00224C3B" w14:paraId="0DB5A4CD"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36A8A6B"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94CF7AB"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8C6624B"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naknada</w:t>
            </w:r>
            <w:r>
              <w:rPr>
                <w:rFonts w:ascii="Times New Roman" w:eastAsia="Times New Roman" w:hAnsi="Times New Roman" w:cs="Times New Roman"/>
                <w:color w:val="000000"/>
                <w:sz w:val="24"/>
                <w:szCs w:val="24"/>
                <w:lang w:eastAsia="hr-HR"/>
              </w:rPr>
              <w:br/>
              <w:t>(u kunama)</w:t>
            </w:r>
          </w:p>
        </w:tc>
      </w:tr>
      <w:tr w:rsidR="00224C3B" w14:paraId="6A9FC324"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C7FFFE0"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587FF15"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Osnovna postaja u jednosmjernom sustavu za pozivanje osoba </w:t>
            </w:r>
            <w:r>
              <w:rPr>
                <w:rFonts w:ascii="Times New Roman" w:eastAsia="Times New Roman" w:hAnsi="Times New Roman" w:cs="Times New Roman"/>
                <w:i/>
                <w:iCs/>
                <w:color w:val="000000"/>
                <w:sz w:val="24"/>
                <w:szCs w:val="24"/>
                <w:lang w:eastAsia="hr-HR"/>
              </w:rPr>
              <w:t xml:space="preserve">(on site </w:t>
            </w:r>
            <w:proofErr w:type="spellStart"/>
            <w:r>
              <w:rPr>
                <w:rFonts w:ascii="Times New Roman" w:eastAsia="Times New Roman" w:hAnsi="Times New Roman" w:cs="Times New Roman"/>
                <w:i/>
                <w:iCs/>
                <w:color w:val="000000"/>
                <w:sz w:val="24"/>
                <w:szCs w:val="24"/>
                <w:lang w:eastAsia="hr-HR"/>
              </w:rPr>
              <w:t>paging</w:t>
            </w:r>
            <w:proofErr w:type="spellEnd"/>
            <w:r>
              <w:rPr>
                <w:rFonts w:ascii="Times New Roman" w:eastAsia="Times New Roman" w:hAnsi="Times New Roman" w:cs="Times New Roman"/>
                <w:i/>
                <w:iCs/>
                <w:color w:val="000000"/>
                <w:sz w:val="24"/>
                <w:szCs w:val="24"/>
                <w:lang w:eastAsia="hr-HR"/>
              </w:rPr>
              <w:t> </w:t>
            </w:r>
            <w:r>
              <w:rPr>
                <w:rFonts w:ascii="Times New Roman" w:eastAsia="Times New Roman" w:hAnsi="Times New Roman" w:cs="Times New Roman"/>
                <w:color w:val="000000"/>
                <w:sz w:val="24"/>
                <w:szCs w:val="24"/>
                <w:lang w:eastAsia="hr-HR"/>
              </w:rPr>
              <w:t>u RDS sustavu) i osnovna postaja u dvosmjernom sustavu za pozivanje osoba </w:t>
            </w:r>
            <w:r>
              <w:rPr>
                <w:rFonts w:ascii="Times New Roman" w:eastAsia="Times New Roman" w:hAnsi="Times New Roman" w:cs="Times New Roman"/>
                <w:i/>
                <w:iCs/>
                <w:color w:val="000000"/>
                <w:sz w:val="24"/>
                <w:szCs w:val="24"/>
                <w:lang w:eastAsia="hr-HR"/>
              </w:rPr>
              <w:t>(</w:t>
            </w:r>
            <w:proofErr w:type="spellStart"/>
            <w:r>
              <w:rPr>
                <w:rFonts w:ascii="Times New Roman" w:eastAsia="Times New Roman" w:hAnsi="Times New Roman" w:cs="Times New Roman"/>
                <w:i/>
                <w:iCs/>
                <w:color w:val="000000"/>
                <w:sz w:val="24"/>
                <w:szCs w:val="24"/>
                <w:lang w:eastAsia="hr-HR"/>
              </w:rPr>
              <w:t>paging</w:t>
            </w:r>
            <w:proofErr w:type="spellEnd"/>
            <w:r>
              <w:rPr>
                <w:rFonts w:ascii="Times New Roman" w:eastAsia="Times New Roman" w:hAnsi="Times New Roman" w:cs="Times New Roman"/>
                <w:i/>
                <w:iCs/>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D517FC6"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500,00</w:t>
            </w:r>
          </w:p>
        </w:tc>
      </w:tr>
    </w:tbl>
    <w:p w14:paraId="0E0E31CB"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5198F9EF"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mrežu točka-više točaka</w:t>
      </w:r>
    </w:p>
    <w:p w14:paraId="74B920B6"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7D28CC9E"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18.</w:t>
      </w:r>
    </w:p>
    <w:p w14:paraId="213EB5D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Naknada za mrežu točka-više točaka se utvrđuje prema dodijeljenom </w:t>
      </w:r>
      <w:proofErr w:type="spellStart"/>
      <w:r>
        <w:rPr>
          <w:rFonts w:ascii="Times New Roman" w:eastAsia="Times New Roman" w:hAnsi="Times New Roman" w:cs="Times New Roman"/>
          <w:color w:val="000000"/>
          <w:sz w:val="24"/>
          <w:szCs w:val="24"/>
          <w:lang w:eastAsia="hr-HR"/>
        </w:rPr>
        <w:t>radiofrekvencijskom</w:t>
      </w:r>
      <w:proofErr w:type="spellEnd"/>
      <w:r>
        <w:rPr>
          <w:rFonts w:ascii="Times New Roman" w:eastAsia="Times New Roman" w:hAnsi="Times New Roman" w:cs="Times New Roman"/>
          <w:color w:val="000000"/>
          <w:sz w:val="24"/>
          <w:szCs w:val="24"/>
          <w:lang w:eastAsia="hr-HR"/>
        </w:rPr>
        <w:t xml:space="preserve"> spektru i području za koje je dodijeljena dozvola u skladu s Tablicom 6.</w:t>
      </w:r>
    </w:p>
    <w:p w14:paraId="7DD20CD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E433585" w14:textId="77777777" w:rsidR="00224C3B" w:rsidRDefault="00224C3B" w:rsidP="00224C3B">
      <w:pPr>
        <w:spacing w:after="0" w:line="240" w:lineRule="auto"/>
        <w:jc w:val="both"/>
        <w:rPr>
          <w:rFonts w:ascii="Times New Roman" w:eastAsia="Times New Roman" w:hAnsi="Times New Roman" w:cs="Times New Roman"/>
          <w:i/>
          <w:iCs/>
          <w:color w:val="000000"/>
          <w:sz w:val="24"/>
          <w:szCs w:val="24"/>
          <w:lang w:eastAsia="hr-HR"/>
        </w:rPr>
      </w:pPr>
    </w:p>
    <w:p w14:paraId="7369301E"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Tablica 6.</w:t>
      </w:r>
    </w:p>
    <w:tbl>
      <w:tblPr>
        <w:tblW w:w="9064" w:type="dxa"/>
        <w:tblCellSpacing w:w="15" w:type="dxa"/>
        <w:tblLook w:val="04A0" w:firstRow="1" w:lastRow="0" w:firstColumn="1" w:lastColumn="0" w:noHBand="0" w:noVBand="1"/>
      </w:tblPr>
      <w:tblGrid>
        <w:gridCol w:w="465"/>
        <w:gridCol w:w="1668"/>
        <w:gridCol w:w="1776"/>
        <w:gridCol w:w="1999"/>
        <w:gridCol w:w="1810"/>
        <w:gridCol w:w="1346"/>
      </w:tblGrid>
      <w:tr w:rsidR="00224C3B" w14:paraId="33A5DC95"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567D208"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w:t>
            </w:r>
          </w:p>
        </w:tc>
        <w:tc>
          <w:tcPr>
            <w:tcW w:w="8554" w:type="dxa"/>
            <w:gridSpan w:val="5"/>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AF13C60"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naknada (u kunama), po MHz</w:t>
            </w:r>
          </w:p>
        </w:tc>
      </w:tr>
      <w:tr w:rsidR="00224C3B" w14:paraId="4AB161A8"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D0C1252" w14:textId="77777777" w:rsidR="00224C3B" w:rsidRDefault="00224C3B">
            <w:pPr>
              <w:rPr>
                <w:rFonts w:ascii="Times New Roman" w:eastAsia="Times New Roman" w:hAnsi="Times New Roman" w:cs="Times New Roman"/>
                <w:color w:val="000000"/>
                <w:sz w:val="24"/>
                <w:szCs w:val="24"/>
                <w:lang w:eastAsia="hr-HR"/>
              </w:rPr>
            </w:pP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327DDF5"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s više od 2.000.000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B7AD7BF"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od 1.000.001 do 2.000.000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2B388C2"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Grad Zagreb ili područje od 500.001 do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6C927A87"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od 300.0001do 500.000 stanovnika</w:t>
            </w:r>
          </w:p>
        </w:tc>
        <w:tc>
          <w:tcPr>
            <w:tcW w:w="130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A737737" w14:textId="77777777" w:rsidR="00224C3B" w:rsidRDefault="00224C3B">
            <w:pPr>
              <w:spacing w:after="0" w:line="240" w:lineRule="auto"/>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Područje do 300.000 stanovnika</w:t>
            </w:r>
          </w:p>
        </w:tc>
      </w:tr>
      <w:tr w:rsidR="00224C3B" w14:paraId="3A70EF4C"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1FC3A5C"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457841C"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3.600,00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C73F1D9"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0711FD35"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800,00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82B98F8"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350,00</w:t>
            </w:r>
          </w:p>
        </w:tc>
        <w:tc>
          <w:tcPr>
            <w:tcW w:w="1301"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B983D36"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150,00</w:t>
            </w:r>
          </w:p>
        </w:tc>
      </w:tr>
    </w:tbl>
    <w:p w14:paraId="199916AC"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210772B8"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 xml:space="preserve">Naknada za zrakoplovne, pomorske, </w:t>
      </w:r>
      <w:proofErr w:type="spellStart"/>
      <w:r>
        <w:rPr>
          <w:rFonts w:ascii="Times New Roman" w:eastAsia="Times New Roman" w:hAnsi="Times New Roman" w:cs="Times New Roman"/>
          <w:i/>
          <w:iCs/>
          <w:color w:val="000000"/>
          <w:sz w:val="26"/>
          <w:szCs w:val="26"/>
          <w:lang w:eastAsia="hr-HR"/>
        </w:rPr>
        <w:t>radiolokacijske</w:t>
      </w:r>
      <w:proofErr w:type="spellEnd"/>
      <w:r>
        <w:rPr>
          <w:rFonts w:ascii="Times New Roman" w:eastAsia="Times New Roman" w:hAnsi="Times New Roman" w:cs="Times New Roman"/>
          <w:i/>
          <w:iCs/>
          <w:color w:val="000000"/>
          <w:sz w:val="26"/>
          <w:szCs w:val="26"/>
          <w:lang w:eastAsia="hr-HR"/>
        </w:rPr>
        <w:t>, radionavigacijske službe te službe plovidbe unutarnjim vodama</w:t>
      </w:r>
    </w:p>
    <w:p w14:paraId="35C8B318"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6F8B66AC"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19.</w:t>
      </w:r>
    </w:p>
    <w:p w14:paraId="51EED53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Naknada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koji je namijenjen isključivo zrakoplovnoj ili pomorskoj službi, </w:t>
      </w:r>
      <w:proofErr w:type="spellStart"/>
      <w:r>
        <w:rPr>
          <w:rFonts w:ascii="Times New Roman" w:eastAsia="Times New Roman" w:hAnsi="Times New Roman" w:cs="Times New Roman"/>
          <w:color w:val="000000"/>
          <w:sz w:val="24"/>
          <w:szCs w:val="24"/>
          <w:lang w:eastAsia="hr-HR"/>
        </w:rPr>
        <w:t>radiolokacijskoj</w:t>
      </w:r>
      <w:proofErr w:type="spellEnd"/>
      <w:r>
        <w:rPr>
          <w:rFonts w:ascii="Times New Roman" w:eastAsia="Times New Roman" w:hAnsi="Times New Roman" w:cs="Times New Roman"/>
          <w:color w:val="000000"/>
          <w:sz w:val="24"/>
          <w:szCs w:val="24"/>
          <w:lang w:eastAsia="hr-HR"/>
        </w:rPr>
        <w:t xml:space="preserve"> ili radionavigacijskoj službi te službi plovidbe unutarnjim vodama, iznosi 50,00 kuna, neovisno o vrsti radijske postaje.</w:t>
      </w:r>
    </w:p>
    <w:p w14:paraId="527654D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0A2200A"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06B3E83E"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3EE14660"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63559F06"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u zemaljskoj radiodifuziji</w:t>
      </w:r>
    </w:p>
    <w:p w14:paraId="66C29453"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51C12A9D"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20.</w:t>
      </w:r>
    </w:p>
    <w:p w14:paraId="7A8CA98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Za sve radijske postaje koje sukladno koncesijskom ugovoru i/ili dozvoli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odašilju u istoj radiodifuzijskoj mreži, naknada se utvrđuje prema broju stanovnika na predviđenom području pokrivenosti svih odašiljača u toj radiodifuzijskoj mreži, frekvencijskom pojasu i načinu odašiljanja u skladu s Tablicom 7. i stavkom 2. ovog članka.</w:t>
      </w:r>
    </w:p>
    <w:p w14:paraId="0151118A" w14:textId="77777777" w:rsidR="00224C3B" w:rsidRDefault="00224C3B" w:rsidP="00224C3B">
      <w:pPr>
        <w:spacing w:after="0" w:line="240" w:lineRule="auto"/>
        <w:jc w:val="both"/>
        <w:rPr>
          <w:rFonts w:ascii="Times New Roman" w:eastAsia="Times New Roman" w:hAnsi="Times New Roman" w:cs="Times New Roman"/>
          <w:i/>
          <w:iCs/>
          <w:color w:val="000000"/>
          <w:sz w:val="24"/>
          <w:szCs w:val="24"/>
          <w:lang w:eastAsia="hr-HR"/>
        </w:rPr>
      </w:pPr>
    </w:p>
    <w:p w14:paraId="1E1A9F1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Tablica 7.</w:t>
      </w:r>
    </w:p>
    <w:tbl>
      <w:tblPr>
        <w:tblW w:w="9064" w:type="dxa"/>
        <w:tblCellSpacing w:w="15" w:type="dxa"/>
        <w:tblLook w:val="04A0" w:firstRow="1" w:lastRow="0" w:firstColumn="1" w:lastColumn="0" w:noHBand="0" w:noVBand="1"/>
      </w:tblPr>
      <w:tblGrid>
        <w:gridCol w:w="502"/>
        <w:gridCol w:w="6839"/>
        <w:gridCol w:w="1723"/>
      </w:tblGrid>
      <w:tr w:rsidR="00224C3B" w14:paraId="76596342"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E562BE4"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ADEBCCE"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Broj stanovnika na području pokrivenosti radiodifuzijske mreže</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DFE0D84" w14:textId="77777777" w:rsidR="00224C3B" w:rsidRDefault="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Godišnja </w:t>
            </w:r>
            <w:r>
              <w:rPr>
                <w:rFonts w:ascii="Times New Roman" w:eastAsia="Times New Roman" w:hAnsi="Times New Roman" w:cs="Times New Roman"/>
                <w:color w:val="000000"/>
                <w:sz w:val="24"/>
                <w:szCs w:val="24"/>
                <w:lang w:eastAsia="hr-HR"/>
              </w:rPr>
              <w:br/>
              <w:t>naknada </w:t>
            </w:r>
            <w:r>
              <w:rPr>
                <w:rFonts w:ascii="Times New Roman" w:eastAsia="Times New Roman" w:hAnsi="Times New Roman" w:cs="Times New Roman"/>
                <w:color w:val="000000"/>
                <w:sz w:val="24"/>
                <w:szCs w:val="24"/>
                <w:lang w:eastAsia="hr-HR"/>
              </w:rPr>
              <w:br/>
              <w:t>(u kunama)</w:t>
            </w:r>
          </w:p>
        </w:tc>
      </w:tr>
      <w:tr w:rsidR="00224C3B" w14:paraId="54F49604"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E41C0CD"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B8E72FC"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Od 300 001 do 500 000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2DDE059"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5.000,00</w:t>
            </w:r>
          </w:p>
        </w:tc>
      </w:tr>
      <w:tr w:rsidR="00224C3B" w14:paraId="22815567"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462BEF92"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1E927EE5"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Od 500 001 do 1 000 000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51ADC46"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10.000,00</w:t>
            </w:r>
          </w:p>
        </w:tc>
      </w:tr>
      <w:tr w:rsidR="00224C3B" w14:paraId="1864E488"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56B62084"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40A4876"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Od 1 000 001 do 3 000 000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98AAEE9"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25.000,00</w:t>
            </w:r>
          </w:p>
        </w:tc>
      </w:tr>
      <w:tr w:rsidR="00224C3B" w14:paraId="42F632D1" w14:textId="77777777" w:rsidTr="00224C3B">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719FFE9C"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21F79245" w14:textId="77777777" w:rsidR="00224C3B" w:rsidRDefault="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Više od 3 000 001 stanovnika</w:t>
            </w:r>
          </w:p>
        </w:tc>
        <w:tc>
          <w:tcPr>
            <w:tcW w:w="1678" w:type="dxa"/>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14:paraId="31B3349D" w14:textId="77777777" w:rsidR="00224C3B" w:rsidRDefault="00224C3B">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50.000,00</w:t>
            </w:r>
          </w:p>
        </w:tc>
      </w:tr>
    </w:tbl>
    <w:p w14:paraId="7A08563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CE0511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Iznos godišnje naknade iz stavka 1. ovog članka izračunava se na način da se odgovarajući iznos naknade iz Tablice 7. pomnoži s koeficijentom </w:t>
      </w:r>
      <w:r>
        <w:rPr>
          <w:rFonts w:ascii="Times New Roman" w:eastAsia="Times New Roman" w:hAnsi="Times New Roman" w:cs="Times New Roman"/>
          <w:b/>
          <w:bCs/>
          <w:color w:val="000000"/>
          <w:sz w:val="24"/>
          <w:szCs w:val="24"/>
          <w:lang w:eastAsia="hr-HR"/>
        </w:rPr>
        <w:t>k</w:t>
      </w:r>
      <w:r>
        <w:rPr>
          <w:rFonts w:ascii="Times New Roman" w:eastAsia="Times New Roman" w:hAnsi="Times New Roman" w:cs="Times New Roman"/>
          <w:color w:val="000000"/>
          <w:sz w:val="24"/>
          <w:szCs w:val="24"/>
          <w:lang w:eastAsia="hr-HR"/>
        </w:rPr>
        <w:t> koji, ovisno o sustavu, iznosi:</w:t>
      </w:r>
    </w:p>
    <w:p w14:paraId="3494131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FADE9A5" w14:textId="77777777" w:rsidR="00224C3B" w:rsidRDefault="00224C3B" w:rsidP="00224C3B">
      <w:pPr>
        <w:pStyle w:val="ListParagraph"/>
        <w:numPr>
          <w:ilvl w:val="0"/>
          <w:numId w:val="9"/>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k = 1 za digitalnu radiodifuziju za sustave koji koriste širine pojasa veće od 1.6 MHz (VHF pojas III, UHF IV i V)</w:t>
      </w:r>
    </w:p>
    <w:p w14:paraId="3DE93BEE" w14:textId="77777777" w:rsidR="00224C3B" w:rsidRDefault="00224C3B" w:rsidP="00224C3B">
      <w:pPr>
        <w:pStyle w:val="ListParagraph"/>
        <w:numPr>
          <w:ilvl w:val="0"/>
          <w:numId w:val="9"/>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k = 0.5 za ostale sustave: za analognu radiodifuziju (VHF pojas I, II i III, UHF IV i V), analognu i digitalnu LF, MF i HF radiodifuziju (pojasevi: 148,5 </w:t>
      </w:r>
      <w:proofErr w:type="spellStart"/>
      <w:r>
        <w:rPr>
          <w:rFonts w:ascii="Times New Roman" w:eastAsia="Times New Roman" w:hAnsi="Times New Roman" w:cs="Times New Roman"/>
          <w:color w:val="000000"/>
          <w:sz w:val="24"/>
          <w:szCs w:val="24"/>
          <w:lang w:eastAsia="hr-HR"/>
        </w:rPr>
        <w:t>kHz</w:t>
      </w:r>
      <w:proofErr w:type="spellEnd"/>
      <w:r>
        <w:rPr>
          <w:rFonts w:ascii="Times New Roman" w:eastAsia="Times New Roman" w:hAnsi="Times New Roman" w:cs="Times New Roman"/>
          <w:color w:val="000000"/>
          <w:sz w:val="24"/>
          <w:szCs w:val="24"/>
          <w:lang w:eastAsia="hr-HR"/>
        </w:rPr>
        <w:t xml:space="preserve"> – 283,5 </w:t>
      </w:r>
      <w:proofErr w:type="spellStart"/>
      <w:r>
        <w:rPr>
          <w:rFonts w:ascii="Times New Roman" w:eastAsia="Times New Roman" w:hAnsi="Times New Roman" w:cs="Times New Roman"/>
          <w:color w:val="000000"/>
          <w:sz w:val="24"/>
          <w:szCs w:val="24"/>
          <w:lang w:eastAsia="hr-HR"/>
        </w:rPr>
        <w:t>kHz</w:t>
      </w:r>
      <w:proofErr w:type="spellEnd"/>
      <w:r>
        <w:rPr>
          <w:rFonts w:ascii="Times New Roman" w:eastAsia="Times New Roman" w:hAnsi="Times New Roman" w:cs="Times New Roman"/>
          <w:color w:val="000000"/>
          <w:sz w:val="24"/>
          <w:szCs w:val="24"/>
          <w:lang w:eastAsia="hr-HR"/>
        </w:rPr>
        <w:t xml:space="preserve">, 526,5 </w:t>
      </w:r>
      <w:proofErr w:type="spellStart"/>
      <w:r>
        <w:rPr>
          <w:rFonts w:ascii="Times New Roman" w:eastAsia="Times New Roman" w:hAnsi="Times New Roman" w:cs="Times New Roman"/>
          <w:color w:val="000000"/>
          <w:sz w:val="24"/>
          <w:szCs w:val="24"/>
          <w:lang w:eastAsia="hr-HR"/>
        </w:rPr>
        <w:t>kHz</w:t>
      </w:r>
      <w:proofErr w:type="spellEnd"/>
      <w:r>
        <w:rPr>
          <w:rFonts w:ascii="Times New Roman" w:eastAsia="Times New Roman" w:hAnsi="Times New Roman" w:cs="Times New Roman"/>
          <w:color w:val="000000"/>
          <w:sz w:val="24"/>
          <w:szCs w:val="24"/>
          <w:lang w:eastAsia="hr-HR"/>
        </w:rPr>
        <w:t xml:space="preserve"> – 1606,5 </w:t>
      </w:r>
      <w:proofErr w:type="spellStart"/>
      <w:r>
        <w:rPr>
          <w:rFonts w:ascii="Times New Roman" w:eastAsia="Times New Roman" w:hAnsi="Times New Roman" w:cs="Times New Roman"/>
          <w:color w:val="000000"/>
          <w:sz w:val="24"/>
          <w:szCs w:val="24"/>
          <w:lang w:eastAsia="hr-HR"/>
        </w:rPr>
        <w:t>kHz</w:t>
      </w:r>
      <w:proofErr w:type="spellEnd"/>
      <w:r>
        <w:rPr>
          <w:rFonts w:ascii="Times New Roman" w:eastAsia="Times New Roman" w:hAnsi="Times New Roman" w:cs="Times New Roman"/>
          <w:color w:val="000000"/>
          <w:sz w:val="24"/>
          <w:szCs w:val="24"/>
          <w:lang w:eastAsia="hr-HR"/>
        </w:rPr>
        <w:t xml:space="preserve">, 3950 </w:t>
      </w:r>
      <w:proofErr w:type="spellStart"/>
      <w:r>
        <w:rPr>
          <w:rFonts w:ascii="Times New Roman" w:eastAsia="Times New Roman" w:hAnsi="Times New Roman" w:cs="Times New Roman"/>
          <w:color w:val="000000"/>
          <w:sz w:val="24"/>
          <w:szCs w:val="24"/>
          <w:lang w:eastAsia="hr-HR"/>
        </w:rPr>
        <w:t>kHz</w:t>
      </w:r>
      <w:proofErr w:type="spellEnd"/>
      <w:r>
        <w:rPr>
          <w:rFonts w:ascii="Times New Roman" w:eastAsia="Times New Roman" w:hAnsi="Times New Roman" w:cs="Times New Roman"/>
          <w:color w:val="000000"/>
          <w:sz w:val="24"/>
          <w:szCs w:val="24"/>
          <w:lang w:eastAsia="hr-HR"/>
        </w:rPr>
        <w:t xml:space="preserve"> – 26100 </w:t>
      </w:r>
      <w:proofErr w:type="spellStart"/>
      <w:r>
        <w:rPr>
          <w:rFonts w:ascii="Times New Roman" w:eastAsia="Times New Roman" w:hAnsi="Times New Roman" w:cs="Times New Roman"/>
          <w:color w:val="000000"/>
          <w:sz w:val="24"/>
          <w:szCs w:val="24"/>
          <w:lang w:eastAsia="hr-HR"/>
        </w:rPr>
        <w:t>kHz</w:t>
      </w:r>
      <w:proofErr w:type="spellEnd"/>
      <w:r>
        <w:rPr>
          <w:rFonts w:ascii="Times New Roman" w:eastAsia="Times New Roman" w:hAnsi="Times New Roman" w:cs="Times New Roman"/>
          <w:color w:val="000000"/>
          <w:sz w:val="24"/>
          <w:szCs w:val="24"/>
          <w:lang w:eastAsia="hr-HR"/>
        </w:rPr>
        <w:t>) te za digitalnu radiodifuziju za sustave koji koriste širine pojasa do ili jednako 1.6 MHz (VHF pojas III).</w:t>
      </w:r>
    </w:p>
    <w:p w14:paraId="37ACDCE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DA3294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Ako se radijska mreža odašiljača za odašiljanje radijskog programa u analognim radiodifuzijskim sustavima upotrebljava na način da se na istim frekvencijama odašilje radijski program dva ili više nakladnika radija, utvrđeni iznos naknade izračunava se za svakog nakladnika posebno, razmjerno ukupnom trajanju odašiljanja njihova programa tijekom tjedna.</w:t>
      </w:r>
    </w:p>
    <w:p w14:paraId="7774C00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4F777A0"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privremenu uporabu radijskih postaja</w:t>
      </w:r>
    </w:p>
    <w:p w14:paraId="34B5200C"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239B4DEB"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21.</w:t>
      </w:r>
    </w:p>
    <w:p w14:paraId="1808F6E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temeljem privremene dozvole za uporabu </w:t>
      </w:r>
      <w:proofErr w:type="spellStart"/>
      <w:r>
        <w:rPr>
          <w:rFonts w:ascii="Times New Roman" w:eastAsia="Times New Roman" w:hAnsi="Times New Roman" w:cs="Times New Roman"/>
          <w:color w:val="000000"/>
          <w:sz w:val="24"/>
          <w:szCs w:val="24"/>
          <w:lang w:eastAsia="hr-HR"/>
        </w:rPr>
        <w:t>radofrekvencijskog</w:t>
      </w:r>
      <w:proofErr w:type="spellEnd"/>
      <w:r>
        <w:rPr>
          <w:rFonts w:ascii="Times New Roman" w:eastAsia="Times New Roman" w:hAnsi="Times New Roman" w:cs="Times New Roman"/>
          <w:color w:val="000000"/>
          <w:sz w:val="24"/>
          <w:szCs w:val="24"/>
          <w:lang w:eastAsia="hr-HR"/>
        </w:rPr>
        <w:t xml:space="preserve"> spektra visina naknade utvrđuje se razmjerno visini godišnje naknade utvrđene za tu vrstu službe, u skladu s odredbama ovog Pravilnika, a naknada se plaća unaprijed prije izdavanja dozvole za radijsku postaju i to za cijelo razdoblje valjanosti te dozvole.</w:t>
      </w:r>
    </w:p>
    <w:p w14:paraId="2AF3ECA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ACAB77B"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obavljanje tehničkog pregleda kod nakladnika elektroničkih medija</w:t>
      </w:r>
    </w:p>
    <w:p w14:paraId="7DEDCA56"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267851BC"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22.</w:t>
      </w:r>
    </w:p>
    <w:p w14:paraId="70E462F3"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Naknada za obavljanje tehničkog pregleda kojim se utvrđuje ispunjavanje uvjeta dodijeljene koncesije nakladniku elektroničkih medija, iznosi 2.000,00 kuna po obavljenom tehničkom pregledu.</w:t>
      </w:r>
    </w:p>
    <w:p w14:paraId="04B4F353"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2CE7721F"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Naknada za posebna ovlaštenja za obavljanje djelatnosti u elektroničkim komunikacijama</w:t>
      </w:r>
    </w:p>
    <w:p w14:paraId="4611E73A"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37E07F5A"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23.</w:t>
      </w:r>
    </w:p>
    <w:p w14:paraId="3A826D06"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Podnositelj zahtjeva za izdavanje posebnog ovlaštenja za obavljanje djelatnosti u elektroničkim komunikacijama obvezan je prilikom podnošenja zahtjeva uplatiti iznos od 700,00 kuna.</w:t>
      </w:r>
    </w:p>
    <w:p w14:paraId="389D440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4480AB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Nositelj ovlaštenja iz stavka 1. ovog članka obvezan je za vrijeme trajanja ovlaštenja plaćati godišnju naknadu za obavljanje ovlasti u iznosu od 500,00 kuna.</w:t>
      </w:r>
    </w:p>
    <w:p w14:paraId="5ACF516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E7327E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U slučaju neplaćanja naknade iz ovog članka primjenjuju se odredbe posebnih propisa.</w:t>
      </w:r>
    </w:p>
    <w:p w14:paraId="02CF6F7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AF3DCD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lastRenderedPageBreak/>
        <w:t>(4) Ako se nositelj ovlaštenja u pisanom obliku ne odrekne izdanog ovlaštenja prije početka sljedećeg obračunskog razdoblja, obvezan je platiti godišnju naknadu iz stavka 2. ovog članka za sljedeće obračunsko razdoblje.</w:t>
      </w:r>
    </w:p>
    <w:p w14:paraId="286B9E7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3ABFA5A"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IV NAKNADA ZA OBAVLJANJE DRUGIH POSLOVA HAKOM-A U PODRUČJU ELEKTRONIČKIH KOMUNIKACIJA</w:t>
      </w:r>
    </w:p>
    <w:p w14:paraId="37B01979"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p>
    <w:p w14:paraId="79CE1B6F"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24.</w:t>
      </w:r>
    </w:p>
    <w:p w14:paraId="72FF616A"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p>
    <w:p w14:paraId="4A491585"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obavljanje drugih poslova HAKOM-a, izražena u postotku od ukupnog godišnjeg bruto prihoda koji su u prethodnoj kalendarskoj godini ostvarili operatori u obavljanju djelatnosti elektroničkih komunikacijskih mreža i usluga na tržištu, plaća se na dio godišnjeg bruto prihoda operatora od obavljanja djelatnosti elektroničkih komunikacijskih mreža i usluga na tržištu koji prelazi 7.500.000,00 kuna po stopi 0,20 %. </w:t>
      </w:r>
    </w:p>
    <w:p w14:paraId="70CB6C73" w14:textId="77777777" w:rsidR="00224C3B" w:rsidRDefault="00224C3B" w:rsidP="00224C3B">
      <w:pPr>
        <w:spacing w:after="0" w:line="240" w:lineRule="auto"/>
        <w:jc w:val="both"/>
        <w:rPr>
          <w:rFonts w:ascii="Times New Roman" w:eastAsia="Times New Roman" w:hAnsi="Times New Roman" w:cs="Times New Roman"/>
          <w:color w:val="FF0000"/>
          <w:sz w:val="24"/>
          <w:szCs w:val="24"/>
          <w:lang w:eastAsia="hr-HR"/>
        </w:rPr>
      </w:pPr>
    </w:p>
    <w:p w14:paraId="470C6F83"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(2) Naknada iz stavka 1. ovog članka, iznosa većeg od 2.000.000,00 kuna po pojedinom računu, plaća se do najviše četiri jednaka obroka s krajnjim rokom dospijeća zadnjeg obroka do 15. prosinca tekuće godine, odnosno u roku dospijeća navedenom na računu.</w:t>
      </w:r>
    </w:p>
    <w:p w14:paraId="431ED89F" w14:textId="77777777" w:rsidR="00224C3B" w:rsidRDefault="00224C3B" w:rsidP="00224C3B">
      <w:pPr>
        <w:spacing w:after="0" w:line="240" w:lineRule="auto"/>
        <w:jc w:val="both"/>
        <w:rPr>
          <w:rFonts w:ascii="Times New Roman" w:eastAsia="Times New Roman" w:hAnsi="Times New Roman" w:cs="Times New Roman"/>
          <w:color w:val="FF0000"/>
          <w:sz w:val="24"/>
          <w:szCs w:val="24"/>
          <w:lang w:eastAsia="hr-HR"/>
        </w:rPr>
      </w:pPr>
    </w:p>
    <w:p w14:paraId="1169120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Izvješće o iznosu ukupnog godišnjeg bruto prihoda ostvarenoga od obavljanja djelatnosti elektroničkih komunikacijskih mreža i usluga na tržištu, svi operatori obvezni su dostaviti HAKOM-u najkasnije do 31. ožujka tekuće godine. </w:t>
      </w:r>
    </w:p>
    <w:p w14:paraId="06E6186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441CF53"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 U slučaju završetka obavljanja djelatnosti elektroničkih komunikacijskih mreža i usluga, operatori su obvezni dostaviti izvješće o iznosu ukupnog godišnjeg bruto prihoda iz tekuće kalendarske godine najkasnije 60 dana nakon završetka obavljanja djelatnosti elektroničkih komunikacijskih mreža i usluga.</w:t>
      </w:r>
    </w:p>
    <w:p w14:paraId="2BBB82B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391641E"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BBAA5FF"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V NAKNADA ZA OBAVLJANJE POSLOVA HAKOM-A U PODRUČJU POŠTANSKIH USLUGA</w:t>
      </w:r>
    </w:p>
    <w:p w14:paraId="127EEBF9"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p>
    <w:p w14:paraId="2A2F7C1C"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Izračun i visina naknade</w:t>
      </w:r>
    </w:p>
    <w:p w14:paraId="7AB9110A"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28CFA8CA"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25.</w:t>
      </w:r>
    </w:p>
    <w:p w14:paraId="418B2679"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obavljanje poslova HAKOM-a u području poštanskih usluga, izražena u postotku od ukupnog godišnjeg bruto prihoda koji su u prethodnoj kalendarskoj godini ostvarili davatelji poštanskih usluga, plaća se na dio godišnjeg bruto prihoda davatelja poštanskih usluga od obavljanja poštanskih usluga koji prelazi 7.500.000,00 kuna po stopi 0,28 %. </w:t>
      </w:r>
    </w:p>
    <w:p w14:paraId="124FC8AD"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p>
    <w:p w14:paraId="19D24AB9"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(2) Naknada iz stavka 1. ovog članka, iznosa većeg od 2.000.000,00 kuna po pojedinom računu, plaća se do najviše četiri jednaka obroka s krajnjim rokom dospijeća zadnjeg obroka do 15. prosinca tekuće godine, odnosno u roku dospijeća navedenom na računu.</w:t>
      </w:r>
    </w:p>
    <w:p w14:paraId="338965B0" w14:textId="77777777" w:rsidR="00224C3B" w:rsidRDefault="00224C3B" w:rsidP="00224C3B">
      <w:pPr>
        <w:spacing w:after="0" w:line="240" w:lineRule="auto"/>
        <w:jc w:val="both"/>
        <w:rPr>
          <w:rFonts w:ascii="Times New Roman" w:eastAsia="Times New Roman" w:hAnsi="Times New Roman" w:cs="Times New Roman"/>
          <w:color w:val="FF0000"/>
          <w:sz w:val="24"/>
          <w:szCs w:val="24"/>
          <w:lang w:eastAsia="hr-HR"/>
        </w:rPr>
      </w:pPr>
    </w:p>
    <w:p w14:paraId="390ED98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Izvješće o iznosu ukupnog godišnjeg bruto prihoda, ostvarenoga od obavljanja poštanskih usluga prethodne kalendarske godine, svi davatelji poštanskih usluga obvezni su dostaviti HAKOM-u najkasnije do 31. ožujka tekuće godine.</w:t>
      </w:r>
    </w:p>
    <w:p w14:paraId="09BC83B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015AB45"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lastRenderedPageBreak/>
        <w:t>VI NAKNADA ZA OBAVLJANJE POSLOVA HAKOM-A U PODRUČJU ŽELJEZNIČKIH  USLUGA</w:t>
      </w:r>
    </w:p>
    <w:p w14:paraId="7A583AD9"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p>
    <w:p w14:paraId="25D68D4C"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Izračun i visina naknade</w:t>
      </w:r>
    </w:p>
    <w:p w14:paraId="32F756D4"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55CAE206"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26.</w:t>
      </w:r>
    </w:p>
    <w:p w14:paraId="634DE64E"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p>
    <w:p w14:paraId="3E892E4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obavljanje poslova HAKOM-a u području regulacije tržišta željezničkih usluga, izražena u postotku od ukupnog godišnjeg bruto prihoda upravitelja infrastrukture koji je u prethodnoj kalendarskoj godini ostvaren od obavljanja željezničkih usluga, plaća se na dio godišnjeg bruto prihoda upravitelja infrastrukture od obavljanja željezničkih usluga koji prelazi 7.500.000,00 kuna po stopi 1,80 %. </w:t>
      </w:r>
    </w:p>
    <w:p w14:paraId="2FC141D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2408C6F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Naknadu iz stavka 1. ovog članka obvezan je plaćati upravitelj infrastrukture. </w:t>
      </w:r>
    </w:p>
    <w:p w14:paraId="7FC5484B" w14:textId="77777777" w:rsidR="00224C3B" w:rsidRDefault="00224C3B" w:rsidP="00224C3B">
      <w:pPr>
        <w:spacing w:after="0" w:line="240" w:lineRule="auto"/>
        <w:jc w:val="both"/>
        <w:rPr>
          <w:rFonts w:ascii="Times New Roman" w:eastAsia="Times New Roman" w:hAnsi="Times New Roman" w:cs="Times New Roman"/>
          <w:color w:val="FF0000"/>
          <w:sz w:val="24"/>
          <w:szCs w:val="24"/>
          <w:lang w:eastAsia="hr-HR"/>
        </w:rPr>
      </w:pPr>
    </w:p>
    <w:p w14:paraId="4E73544A" w14:textId="77777777" w:rsidR="00224C3B" w:rsidRDefault="00224C3B" w:rsidP="00224C3B">
      <w:pPr>
        <w:spacing w:after="0" w:line="240" w:lineRule="auto"/>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(3) Naknada iz stavka 1. ovog članka, iznosa većeg od  2.000.000,00 kuna po pojedinom računu, plaća se do najviše četiri jednaka obroka s krajnjim rokom dospijeća zadnjeg obroka do 15. prosinca tekuće godine, odnosno u roku dospijeća navedenom na računu.</w:t>
      </w:r>
    </w:p>
    <w:p w14:paraId="39757C37" w14:textId="77777777" w:rsidR="00224C3B" w:rsidRDefault="00224C3B" w:rsidP="00224C3B">
      <w:pPr>
        <w:spacing w:after="0" w:line="240" w:lineRule="auto"/>
        <w:jc w:val="both"/>
        <w:rPr>
          <w:rFonts w:ascii="Times New Roman" w:eastAsia="Times New Roman" w:hAnsi="Times New Roman" w:cs="Times New Roman"/>
          <w:color w:val="FF0000"/>
          <w:sz w:val="24"/>
          <w:szCs w:val="24"/>
          <w:lang w:eastAsia="hr-HR"/>
        </w:rPr>
      </w:pPr>
    </w:p>
    <w:p w14:paraId="6B2B21F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  Upravitelj infrastrukture ukupni iznos naknade iz stavka 1. ovog članka preračunava i naplaćuje od željezničkih prijevoznika razmjerno udjelu pojedinog željezničkog prijevoznika u ukupnom godišnjem bruto prihodu upravitelja infrastrukture ostvarenom od željezničkih usluga u prethodnoj kalendarskoj godini. Ukupan iznos koji upravitelj infrastrukture naplati od željezničkih prijevoznika na ime naknade ne smije biti veći od iznosa definiranog u stavku 1. ovog članka.</w:t>
      </w:r>
    </w:p>
    <w:p w14:paraId="70C2243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62F35F90"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 Izvješće o iznosu ukupnog godišnjeg bruto prihoda, ostvarenoga od obavljanja željezničkih usluga u prethodnoj kalendarskoj godini, upravitelj infrastrukture obvezan je dostaviti HAKOM-u najkasnije do 31. ožujka tekuće godine.</w:t>
      </w:r>
    </w:p>
    <w:p w14:paraId="2DA6099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5CA4CAE"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VII NAČIN PLAĆANJA NAKNADA</w:t>
      </w:r>
    </w:p>
    <w:p w14:paraId="4CEC87DA" w14:textId="77777777" w:rsidR="00224C3B" w:rsidRDefault="00224C3B" w:rsidP="00224C3B">
      <w:pPr>
        <w:spacing w:after="0" w:line="240" w:lineRule="auto"/>
        <w:jc w:val="center"/>
        <w:rPr>
          <w:rFonts w:ascii="Times New Roman" w:eastAsia="Times New Roman" w:hAnsi="Times New Roman" w:cs="Times New Roman"/>
          <w:iCs/>
          <w:color w:val="000000"/>
          <w:sz w:val="26"/>
          <w:szCs w:val="26"/>
          <w:lang w:eastAsia="hr-HR"/>
        </w:rPr>
      </w:pPr>
    </w:p>
    <w:p w14:paraId="29248B77"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27.</w:t>
      </w:r>
    </w:p>
    <w:p w14:paraId="7A0722D4"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Naknade propisane ovim Pravilnikom uplaćuju se na račun HAKOM-a, na temelju izdanog računa. </w:t>
      </w:r>
    </w:p>
    <w:p w14:paraId="7ED00D9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EA6F769"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Naknade propisane ovim Pravilnikom dospijevaju 30 dana od dana izdavanja računa, osim ako za pojedine naknade ovim Pravilnikom nije drugačije propisano.</w:t>
      </w:r>
    </w:p>
    <w:p w14:paraId="366E339D"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3CBED7EA" w14:textId="77777777" w:rsidR="00224C3B" w:rsidRDefault="00224C3B" w:rsidP="00224C3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 Obveznik plaćanja naknade koji smatra da mu naknada nije ispravno obračunata ima pravo, u roku od osam dana od dana izdavanja računa iz stavka 1. ovog članka, pisanim putem prigovoriti izdanom računu. Ukoliko HAKOM utvrdi da je prigovor osnovan, izdat će novi račun s novim rokom dospijeća. Ukoliko HAKOM ne utvrdi da je prigovor osnovan i ne izda novi račun, obveznik plaćanja naknade obvezan je platiti izdani račun u roku dospijeća.</w:t>
      </w:r>
    </w:p>
    <w:p w14:paraId="006E0999" w14:textId="77777777" w:rsidR="00224C3B" w:rsidRDefault="00224C3B" w:rsidP="00224C3B">
      <w:pPr>
        <w:spacing w:after="0" w:line="240" w:lineRule="auto"/>
        <w:jc w:val="both"/>
        <w:rPr>
          <w:rFonts w:ascii="Times New Roman" w:hAnsi="Times New Roman" w:cs="Times New Roman"/>
          <w:sz w:val="24"/>
          <w:szCs w:val="24"/>
        </w:rPr>
      </w:pPr>
    </w:p>
    <w:p w14:paraId="1872E10A" w14:textId="77777777" w:rsidR="00224C3B" w:rsidRDefault="00224C3B" w:rsidP="00224C3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Na svaku naknadu uplaćenu nakon roka dospijeća obračunavaju se zakonske zatezne kamate. </w:t>
      </w:r>
    </w:p>
    <w:p w14:paraId="0A3007CA" w14:textId="77777777" w:rsidR="00224C3B" w:rsidRDefault="00224C3B" w:rsidP="00224C3B">
      <w:pPr>
        <w:spacing w:after="0" w:line="240" w:lineRule="auto"/>
        <w:jc w:val="both"/>
        <w:rPr>
          <w:rFonts w:ascii="Times New Roman" w:hAnsi="Times New Roman" w:cs="Times New Roman"/>
          <w:sz w:val="24"/>
          <w:szCs w:val="24"/>
        </w:rPr>
      </w:pPr>
    </w:p>
    <w:p w14:paraId="6FA7967A" w14:textId="77777777" w:rsidR="00224C3B" w:rsidRDefault="00224C3B" w:rsidP="00224C3B">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(5) Ako se naknada ne plati u roku dospijeća naznačenom na računu iz stavka 1. ovog članka, HAKOM će obvezniku plaćanja naknade izdati pisanu opomenu najkasnije u roku od 30 dana od isteka roka dospijeća računa.</w:t>
      </w:r>
    </w:p>
    <w:p w14:paraId="0B44B076" w14:textId="77777777" w:rsidR="00224C3B" w:rsidRDefault="00224C3B" w:rsidP="00224C3B">
      <w:pPr>
        <w:spacing w:after="0" w:line="240" w:lineRule="auto"/>
        <w:jc w:val="both"/>
        <w:rPr>
          <w:rFonts w:ascii="Times New Roman" w:hAnsi="Times New Roman" w:cs="Times New Roman"/>
          <w:sz w:val="24"/>
          <w:szCs w:val="24"/>
        </w:rPr>
      </w:pPr>
    </w:p>
    <w:p w14:paraId="65324A8C"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hAnsi="Times New Roman" w:cs="Times New Roman"/>
          <w:sz w:val="24"/>
          <w:szCs w:val="24"/>
        </w:rPr>
        <w:t xml:space="preserve">(6) </w:t>
      </w:r>
      <w:r>
        <w:rPr>
          <w:rFonts w:ascii="Times New Roman" w:eastAsia="Times New Roman" w:hAnsi="Times New Roman" w:cs="Times New Roman"/>
          <w:color w:val="000000"/>
          <w:sz w:val="24"/>
          <w:szCs w:val="24"/>
          <w:lang w:eastAsia="hr-HR"/>
        </w:rPr>
        <w:t>Naknade uplaćene prema odredbama ovog Pravilnika ne vraćaju se.</w:t>
      </w:r>
    </w:p>
    <w:p w14:paraId="5562D91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C2F2757"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VIII PRIJELAZNE I ZAVRŠNE ODREDBE</w:t>
      </w:r>
    </w:p>
    <w:p w14:paraId="4805023B" w14:textId="77777777" w:rsidR="00224C3B" w:rsidRDefault="00224C3B" w:rsidP="00224C3B">
      <w:pPr>
        <w:spacing w:after="0" w:line="240" w:lineRule="auto"/>
        <w:jc w:val="center"/>
        <w:rPr>
          <w:rFonts w:ascii="Times New Roman" w:eastAsia="Times New Roman" w:hAnsi="Times New Roman" w:cs="Times New Roman"/>
          <w:color w:val="000000"/>
          <w:sz w:val="28"/>
          <w:szCs w:val="28"/>
          <w:lang w:eastAsia="hr-HR"/>
        </w:rPr>
      </w:pPr>
    </w:p>
    <w:p w14:paraId="0333722C"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 xml:space="preserve">Naknada za uporabu </w:t>
      </w:r>
      <w:proofErr w:type="spellStart"/>
      <w:r>
        <w:rPr>
          <w:rFonts w:ascii="Times New Roman" w:eastAsia="Times New Roman" w:hAnsi="Times New Roman" w:cs="Times New Roman"/>
          <w:i/>
          <w:iCs/>
          <w:color w:val="000000"/>
          <w:sz w:val="26"/>
          <w:szCs w:val="26"/>
          <w:lang w:eastAsia="hr-HR"/>
        </w:rPr>
        <w:t>radiofrekvencijskog</w:t>
      </w:r>
      <w:proofErr w:type="spellEnd"/>
      <w:r>
        <w:rPr>
          <w:rFonts w:ascii="Times New Roman" w:eastAsia="Times New Roman" w:hAnsi="Times New Roman" w:cs="Times New Roman"/>
          <w:i/>
          <w:iCs/>
          <w:color w:val="000000"/>
          <w:sz w:val="26"/>
          <w:szCs w:val="26"/>
          <w:lang w:eastAsia="hr-HR"/>
        </w:rPr>
        <w:t xml:space="preserve"> spektra</w:t>
      </w:r>
    </w:p>
    <w:p w14:paraId="67AFA234"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57EE82C7"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28.</w:t>
      </w:r>
    </w:p>
    <w:p w14:paraId="741BED9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 (1) Ovaj Pravilnik se ne primjenjuje ako je za dodijeljeni dio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obračunsko razdoblje za izračun visine naknade za uporabu </w:t>
      </w:r>
      <w:proofErr w:type="spellStart"/>
      <w:r>
        <w:rPr>
          <w:rFonts w:ascii="Times New Roman" w:eastAsia="Times New Roman" w:hAnsi="Times New Roman" w:cs="Times New Roman"/>
          <w:color w:val="000000"/>
          <w:sz w:val="24"/>
          <w:szCs w:val="24"/>
          <w:lang w:eastAsia="hr-HR"/>
        </w:rPr>
        <w:t>radiofrekvencijskog</w:t>
      </w:r>
      <w:proofErr w:type="spellEnd"/>
      <w:r>
        <w:rPr>
          <w:rFonts w:ascii="Times New Roman" w:eastAsia="Times New Roman" w:hAnsi="Times New Roman" w:cs="Times New Roman"/>
          <w:color w:val="000000"/>
          <w:sz w:val="24"/>
          <w:szCs w:val="24"/>
          <w:lang w:eastAsia="hr-HR"/>
        </w:rPr>
        <w:t xml:space="preserve"> spektra počelo teći prije dana stupanja na snagu ovog Pravilnika.</w:t>
      </w:r>
    </w:p>
    <w:p w14:paraId="6E77EB17"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0982B4CA"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 U slučaju iz stavka 1. ovog članka, plaća se naknada u iznosu i prema rokovima dospijeća određenim prema propisima koji su važili do stupanja na snagu ovog Pravilnika.</w:t>
      </w:r>
    </w:p>
    <w:p w14:paraId="765E5E5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1D56B302"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 Nakon isteka obračunskog razdoblja iz stavka 1. ovog članka, iznos visine naknade bit će određen u skladu s odredbama ovog Pravilnika.</w:t>
      </w:r>
    </w:p>
    <w:p w14:paraId="221E2793"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79E0EFB1"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Prestanak važenja propisa</w:t>
      </w:r>
    </w:p>
    <w:p w14:paraId="45584978"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67075749"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29.</w:t>
      </w:r>
    </w:p>
    <w:p w14:paraId="1FAC6B6E"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Stupanjem na snagu ovog Pravilnika prestaje vrijediti Pravilnik o plaćanju naknada za obavljanje poslova Hrvatske regulatorne agencije za mrežne djelatnosti (Narodne novine br.  144/20).</w:t>
      </w:r>
    </w:p>
    <w:p w14:paraId="34A2219F"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4AF08F40"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Stupanje na snagu Pravilnika</w:t>
      </w:r>
    </w:p>
    <w:p w14:paraId="09B476D3" w14:textId="77777777" w:rsidR="00224C3B" w:rsidRDefault="00224C3B" w:rsidP="00224C3B">
      <w:pPr>
        <w:spacing w:after="0" w:line="240" w:lineRule="auto"/>
        <w:jc w:val="center"/>
        <w:rPr>
          <w:rFonts w:ascii="Times New Roman" w:eastAsia="Times New Roman" w:hAnsi="Times New Roman" w:cs="Times New Roman"/>
          <w:i/>
          <w:iCs/>
          <w:color w:val="000000"/>
          <w:sz w:val="26"/>
          <w:szCs w:val="26"/>
          <w:lang w:eastAsia="hr-HR"/>
        </w:rPr>
      </w:pPr>
    </w:p>
    <w:p w14:paraId="6B3F37B2" w14:textId="77777777" w:rsidR="00224C3B" w:rsidRDefault="00224C3B" w:rsidP="00224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30.</w:t>
      </w:r>
    </w:p>
    <w:p w14:paraId="73488698"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Ovaj Pravilnik objavit će se u Narodnim novinama, a stupa na snagu 1. siječnja 2022.</w:t>
      </w:r>
    </w:p>
    <w:p w14:paraId="40607AD1"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05478A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p>
    <w:p w14:paraId="53A622AB"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KLASA: 011-02/21-02/08</w:t>
      </w:r>
    </w:p>
    <w:p w14:paraId="278CDF34" w14:textId="77777777" w:rsidR="00224C3B" w:rsidRDefault="00224C3B" w:rsidP="00224C3B">
      <w:pPr>
        <w:spacing w:after="0" w:line="24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hr-HR"/>
        </w:rPr>
        <w:t xml:space="preserve">URBROJ: </w:t>
      </w:r>
      <w:r>
        <w:rPr>
          <w:rFonts w:ascii="Times New Roman" w:hAnsi="Times New Roman" w:cs="Times New Roman"/>
          <w:sz w:val="24"/>
          <w:szCs w:val="24"/>
        </w:rPr>
        <w:t>376-10-1-21-1</w:t>
      </w:r>
    </w:p>
    <w:p w14:paraId="625B82A3" w14:textId="77777777" w:rsidR="00224C3B" w:rsidRDefault="00224C3B" w:rsidP="00224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Zagreb, </w:t>
      </w:r>
    </w:p>
    <w:tbl>
      <w:tblPr>
        <w:tblW w:w="4927" w:type="dxa"/>
        <w:tblInd w:w="4151" w:type="dxa"/>
        <w:tblLook w:val="01E0" w:firstRow="1" w:lastRow="1" w:firstColumn="1" w:lastColumn="1" w:noHBand="0" w:noVBand="0"/>
      </w:tblPr>
      <w:tblGrid>
        <w:gridCol w:w="4927"/>
      </w:tblGrid>
      <w:tr w:rsidR="00224C3B" w14:paraId="4BFE8DD2" w14:textId="77777777" w:rsidTr="00224C3B">
        <w:tc>
          <w:tcPr>
            <w:tcW w:w="4927" w:type="dxa"/>
            <w:hideMark/>
          </w:tcPr>
          <w:p w14:paraId="6BAFA29F" w14:textId="77777777" w:rsidR="00224C3B" w:rsidRDefault="00224C3B">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Pr>
                <w:rFonts w:ascii="Times New Roman" w:eastAsia="Times New Roman" w:hAnsi="Times New Roman" w:cs="Times New Roman"/>
                <w:b/>
                <w:i/>
                <w:caps/>
                <w:sz w:val="20"/>
                <w:szCs w:val="24"/>
                <w:lang w:eastAsia="hr-HR"/>
              </w:rPr>
              <w:t>Predsjednik Vijeća</w:t>
            </w:r>
          </w:p>
        </w:tc>
      </w:tr>
      <w:tr w:rsidR="00224C3B" w14:paraId="5989CB74" w14:textId="77777777" w:rsidTr="00224C3B">
        <w:tc>
          <w:tcPr>
            <w:tcW w:w="4927" w:type="dxa"/>
            <w:hideMark/>
          </w:tcPr>
          <w:p w14:paraId="7F938608" w14:textId="77777777" w:rsidR="00224C3B" w:rsidRDefault="00224C3B">
            <w:pPr>
              <w:tabs>
                <w:tab w:val="center" w:pos="7655"/>
              </w:tabs>
              <w:spacing w:after="600" w:line="240" w:lineRule="auto"/>
              <w:jc w:val="center"/>
              <w:rPr>
                <w:rFonts w:ascii="Times New Roman" w:eastAsia="Times New Roman" w:hAnsi="Times New Roman" w:cs="Times New Roman"/>
                <w:b/>
                <w:i/>
                <w:szCs w:val="24"/>
                <w:lang w:eastAsia="hr-HR"/>
              </w:rPr>
            </w:pPr>
            <w:r>
              <w:rPr>
                <w:rFonts w:ascii="Times New Roman" w:eastAsia="Times New Roman" w:hAnsi="Times New Roman" w:cs="Times New Roman"/>
                <w:b/>
                <w:i/>
                <w:szCs w:val="24"/>
                <w:lang w:eastAsia="hr-HR"/>
              </w:rPr>
              <w:t>Tonko Obuljen</w:t>
            </w:r>
          </w:p>
        </w:tc>
      </w:tr>
    </w:tbl>
    <w:p w14:paraId="164F065F" w14:textId="77777777" w:rsidR="00224C3B" w:rsidRDefault="00224C3B" w:rsidP="00224C3B"/>
    <w:p w14:paraId="13FB76FC" w14:textId="77777777" w:rsidR="00224C3B" w:rsidRPr="00B1537A" w:rsidRDefault="00224C3B" w:rsidP="00B1537A">
      <w:pPr>
        <w:spacing w:after="0" w:line="240" w:lineRule="auto"/>
        <w:jc w:val="both"/>
        <w:rPr>
          <w:rFonts w:ascii="Times New Roman" w:hAnsi="Times New Roman" w:cs="Times New Roman"/>
          <w:sz w:val="24"/>
          <w:szCs w:val="24"/>
          <w:u w:val="single"/>
        </w:rPr>
      </w:pPr>
      <w:bookmarkStart w:id="0" w:name="_GoBack"/>
      <w:bookmarkEnd w:id="0"/>
    </w:p>
    <w:sectPr w:rsidR="00224C3B" w:rsidRPr="00B153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DF7357A"/>
    <w:multiLevelType w:val="hybridMultilevel"/>
    <w:tmpl w:val="930812E6"/>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220A17B8"/>
    <w:multiLevelType w:val="hybridMultilevel"/>
    <w:tmpl w:val="EC6440C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3" w15:restartNumberingAfterBreak="0">
    <w:nsid w:val="262F1EEB"/>
    <w:multiLevelType w:val="hybridMultilevel"/>
    <w:tmpl w:val="9B6CEE32"/>
    <w:lvl w:ilvl="0" w:tplc="041A000F">
      <w:start w:val="1"/>
      <w:numFmt w:val="decimal"/>
      <w:lvlText w:val="%1."/>
      <w:lvlJc w:val="left"/>
      <w:pPr>
        <w:ind w:left="927"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4A6006C4"/>
    <w:multiLevelType w:val="hybridMultilevel"/>
    <w:tmpl w:val="055637DA"/>
    <w:lvl w:ilvl="0" w:tplc="041A000F">
      <w:start w:val="12"/>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6" w15:restartNumberingAfterBreak="0">
    <w:nsid w:val="60FF57FF"/>
    <w:multiLevelType w:val="hybridMultilevel"/>
    <w:tmpl w:val="C1767B32"/>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7"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75905F1D"/>
    <w:multiLevelType w:val="hybridMultilevel"/>
    <w:tmpl w:val="973A2DA4"/>
    <w:lvl w:ilvl="0" w:tplc="041A000F">
      <w:start w:val="1"/>
      <w:numFmt w:val="decimal"/>
      <w:lvlText w:val="%1."/>
      <w:lvlJc w:val="left"/>
      <w:pPr>
        <w:ind w:left="644"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num w:numId="1">
    <w:abstractNumId w:val="7"/>
  </w:num>
  <w:num w:numId="2">
    <w:abstractNumId w:val="0"/>
  </w:num>
  <w:num w:numId="3">
    <w:abstractNumId w:val="4"/>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123BD"/>
    <w:rsid w:val="000865E8"/>
    <w:rsid w:val="00095DD9"/>
    <w:rsid w:val="000C1C66"/>
    <w:rsid w:val="00107285"/>
    <w:rsid w:val="00117B05"/>
    <w:rsid w:val="0013058E"/>
    <w:rsid w:val="00134C55"/>
    <w:rsid w:val="00140221"/>
    <w:rsid w:val="001559FC"/>
    <w:rsid w:val="00166CFF"/>
    <w:rsid w:val="00172D11"/>
    <w:rsid w:val="001A7274"/>
    <w:rsid w:val="001C61B3"/>
    <w:rsid w:val="00224C3B"/>
    <w:rsid w:val="00244041"/>
    <w:rsid w:val="00255FD5"/>
    <w:rsid w:val="00295436"/>
    <w:rsid w:val="002969C0"/>
    <w:rsid w:val="00297C09"/>
    <w:rsid w:val="00300A99"/>
    <w:rsid w:val="00314EE7"/>
    <w:rsid w:val="00316B99"/>
    <w:rsid w:val="00362F83"/>
    <w:rsid w:val="003B3678"/>
    <w:rsid w:val="003B658F"/>
    <w:rsid w:val="003E7A09"/>
    <w:rsid w:val="003F44AE"/>
    <w:rsid w:val="0042346E"/>
    <w:rsid w:val="00462C76"/>
    <w:rsid w:val="004949BE"/>
    <w:rsid w:val="004E0B94"/>
    <w:rsid w:val="005452F0"/>
    <w:rsid w:val="00590BE2"/>
    <w:rsid w:val="0059188F"/>
    <w:rsid w:val="005D40AD"/>
    <w:rsid w:val="0060099B"/>
    <w:rsid w:val="00615F99"/>
    <w:rsid w:val="006970BE"/>
    <w:rsid w:val="006C4637"/>
    <w:rsid w:val="006E1EDA"/>
    <w:rsid w:val="00726606"/>
    <w:rsid w:val="00777E1E"/>
    <w:rsid w:val="007C34AA"/>
    <w:rsid w:val="007C7270"/>
    <w:rsid w:val="00824F3C"/>
    <w:rsid w:val="008722EA"/>
    <w:rsid w:val="00882184"/>
    <w:rsid w:val="008B6B95"/>
    <w:rsid w:val="008D46FB"/>
    <w:rsid w:val="008D643D"/>
    <w:rsid w:val="008E5470"/>
    <w:rsid w:val="008F60ED"/>
    <w:rsid w:val="00932F79"/>
    <w:rsid w:val="009503CB"/>
    <w:rsid w:val="00970883"/>
    <w:rsid w:val="009954F3"/>
    <w:rsid w:val="009D036D"/>
    <w:rsid w:val="009D59E8"/>
    <w:rsid w:val="009E2193"/>
    <w:rsid w:val="00A00DAB"/>
    <w:rsid w:val="00A179CC"/>
    <w:rsid w:val="00A30ED4"/>
    <w:rsid w:val="00A31005"/>
    <w:rsid w:val="00A6694F"/>
    <w:rsid w:val="00A84D36"/>
    <w:rsid w:val="00AB5582"/>
    <w:rsid w:val="00B1537A"/>
    <w:rsid w:val="00B5451C"/>
    <w:rsid w:val="00B54AC5"/>
    <w:rsid w:val="00B61EC3"/>
    <w:rsid w:val="00B726EE"/>
    <w:rsid w:val="00B741D3"/>
    <w:rsid w:val="00BC4320"/>
    <w:rsid w:val="00BE713C"/>
    <w:rsid w:val="00BE7E4A"/>
    <w:rsid w:val="00C27F76"/>
    <w:rsid w:val="00CD6B4C"/>
    <w:rsid w:val="00D01118"/>
    <w:rsid w:val="00D34D92"/>
    <w:rsid w:val="00D40C45"/>
    <w:rsid w:val="00D6207D"/>
    <w:rsid w:val="00D70244"/>
    <w:rsid w:val="00D84906"/>
    <w:rsid w:val="00DC269D"/>
    <w:rsid w:val="00E16BE9"/>
    <w:rsid w:val="00E223B5"/>
    <w:rsid w:val="00E81996"/>
    <w:rsid w:val="00EA00A5"/>
    <w:rsid w:val="00ED56D3"/>
    <w:rsid w:val="00EF1FBB"/>
    <w:rsid w:val="00F43009"/>
    <w:rsid w:val="00F6349F"/>
    <w:rsid w:val="00F9296E"/>
    <w:rsid w:val="00FB2C3E"/>
    <w:rsid w:val="00FF45D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E395E"/>
  <w15:docId w15:val="{0A10CAAE-6E1F-43C9-9F33-3E3F110FB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paragraph" w:customStyle="1" w:styleId="Tekst">
    <w:name w:val="Tekst"/>
    <w:rsid w:val="00C27F76"/>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n-US" w:eastAsia="hr-HR"/>
    </w:rPr>
  </w:style>
  <w:style w:type="character" w:styleId="CommentReference">
    <w:name w:val="annotation reference"/>
    <w:basedOn w:val="DefaultParagraphFont"/>
    <w:uiPriority w:val="99"/>
    <w:semiHidden/>
    <w:unhideWhenUsed/>
    <w:rsid w:val="00C27F76"/>
    <w:rPr>
      <w:sz w:val="16"/>
      <w:szCs w:val="16"/>
    </w:rPr>
  </w:style>
  <w:style w:type="paragraph" w:styleId="CommentText">
    <w:name w:val="annotation text"/>
    <w:basedOn w:val="Normal"/>
    <w:link w:val="CommentTextChar"/>
    <w:uiPriority w:val="99"/>
    <w:semiHidden/>
    <w:unhideWhenUsed/>
    <w:rsid w:val="00C27F76"/>
    <w:pPr>
      <w:spacing w:line="240" w:lineRule="auto"/>
    </w:pPr>
    <w:rPr>
      <w:sz w:val="20"/>
      <w:szCs w:val="20"/>
    </w:rPr>
  </w:style>
  <w:style w:type="character" w:customStyle="1" w:styleId="CommentTextChar">
    <w:name w:val="Comment Text Char"/>
    <w:basedOn w:val="DefaultParagraphFont"/>
    <w:link w:val="CommentText"/>
    <w:uiPriority w:val="99"/>
    <w:semiHidden/>
    <w:rsid w:val="00C27F76"/>
    <w:rPr>
      <w:sz w:val="20"/>
      <w:szCs w:val="20"/>
    </w:rPr>
  </w:style>
  <w:style w:type="paragraph" w:styleId="BalloonText">
    <w:name w:val="Balloon Text"/>
    <w:basedOn w:val="Normal"/>
    <w:link w:val="BalloonTextChar"/>
    <w:uiPriority w:val="99"/>
    <w:semiHidden/>
    <w:unhideWhenUsed/>
    <w:rsid w:val="00C27F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7F76"/>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A6694F"/>
    <w:rPr>
      <w:b/>
      <w:bCs/>
    </w:rPr>
  </w:style>
  <w:style w:type="character" w:customStyle="1" w:styleId="CommentSubjectChar">
    <w:name w:val="Comment Subject Char"/>
    <w:basedOn w:val="CommentTextChar"/>
    <w:link w:val="CommentSubject"/>
    <w:uiPriority w:val="99"/>
    <w:semiHidden/>
    <w:rsid w:val="00A6694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76103">
      <w:bodyDiv w:val="1"/>
      <w:marLeft w:val="0"/>
      <w:marRight w:val="0"/>
      <w:marTop w:val="0"/>
      <w:marBottom w:val="0"/>
      <w:divBdr>
        <w:top w:val="none" w:sz="0" w:space="0" w:color="auto"/>
        <w:left w:val="none" w:sz="0" w:space="0" w:color="auto"/>
        <w:bottom w:val="none" w:sz="0" w:space="0" w:color="auto"/>
        <w:right w:val="none" w:sz="0" w:space="0" w:color="auto"/>
      </w:divBdr>
    </w:div>
    <w:div w:id="620651330">
      <w:bodyDiv w:val="1"/>
      <w:marLeft w:val="0"/>
      <w:marRight w:val="0"/>
      <w:marTop w:val="0"/>
      <w:marBottom w:val="0"/>
      <w:divBdr>
        <w:top w:val="none" w:sz="0" w:space="0" w:color="auto"/>
        <w:left w:val="none" w:sz="0" w:space="0" w:color="auto"/>
        <w:bottom w:val="none" w:sz="0" w:space="0" w:color="auto"/>
        <w:right w:val="none" w:sz="0" w:space="0" w:color="auto"/>
      </w:divBdr>
    </w:div>
    <w:div w:id="664165553">
      <w:bodyDiv w:val="1"/>
      <w:marLeft w:val="0"/>
      <w:marRight w:val="0"/>
      <w:marTop w:val="0"/>
      <w:marBottom w:val="0"/>
      <w:divBdr>
        <w:top w:val="none" w:sz="0" w:space="0" w:color="auto"/>
        <w:left w:val="none" w:sz="0" w:space="0" w:color="auto"/>
        <w:bottom w:val="none" w:sz="0" w:space="0" w:color="auto"/>
        <w:right w:val="none" w:sz="0" w:space="0" w:color="auto"/>
      </w:divBdr>
    </w:div>
    <w:div w:id="872570129">
      <w:bodyDiv w:val="1"/>
      <w:marLeft w:val="0"/>
      <w:marRight w:val="0"/>
      <w:marTop w:val="0"/>
      <w:marBottom w:val="0"/>
      <w:divBdr>
        <w:top w:val="none" w:sz="0" w:space="0" w:color="auto"/>
        <w:left w:val="none" w:sz="0" w:space="0" w:color="auto"/>
        <w:bottom w:val="none" w:sz="0" w:space="0" w:color="auto"/>
        <w:right w:val="none" w:sz="0" w:space="0" w:color="auto"/>
      </w:divBdr>
    </w:div>
    <w:div w:id="1174954451">
      <w:bodyDiv w:val="1"/>
      <w:marLeft w:val="0"/>
      <w:marRight w:val="0"/>
      <w:marTop w:val="0"/>
      <w:marBottom w:val="0"/>
      <w:divBdr>
        <w:top w:val="none" w:sz="0" w:space="0" w:color="auto"/>
        <w:left w:val="none" w:sz="0" w:space="0" w:color="auto"/>
        <w:bottom w:val="none" w:sz="0" w:space="0" w:color="auto"/>
        <w:right w:val="none" w:sz="0" w:space="0" w:color="auto"/>
      </w:divBdr>
    </w:div>
    <w:div w:id="1693458338">
      <w:bodyDiv w:val="1"/>
      <w:marLeft w:val="0"/>
      <w:marRight w:val="0"/>
      <w:marTop w:val="0"/>
      <w:marBottom w:val="0"/>
      <w:divBdr>
        <w:top w:val="none" w:sz="0" w:space="0" w:color="auto"/>
        <w:left w:val="none" w:sz="0" w:space="0" w:color="auto"/>
        <w:bottom w:val="none" w:sz="0" w:space="0" w:color="auto"/>
        <w:right w:val="none" w:sz="0" w:space="0" w:color="auto"/>
      </w:divBdr>
    </w:div>
    <w:div w:id="1776486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4592</Words>
  <Characters>26180</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30711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Boltužić</dc:creator>
  <cp:keywords/>
  <dc:description/>
  <cp:lastModifiedBy>Tihana Cerovac</cp:lastModifiedBy>
  <cp:revision>2</cp:revision>
  <dcterms:created xsi:type="dcterms:W3CDTF">2021-07-08T10:48:00Z</dcterms:created>
  <dcterms:modified xsi:type="dcterms:W3CDTF">2021-07-08T10:48:00Z</dcterms:modified>
</cp:coreProperties>
</file>