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545806" w14:textId="77777777" w:rsidR="00CB4BB1" w:rsidRPr="00331BA7" w:rsidRDefault="00CB4BB1" w:rsidP="00CB4BB1">
      <w:bookmarkStart w:id="0" w:name="_GoBack"/>
      <w:bookmarkEnd w:id="0"/>
      <w:r w:rsidRPr="00331BA7">
        <w:t xml:space="preserve">KLASA: </w:t>
      </w:r>
      <w:r w:rsidR="00331BA7" w:rsidRPr="00331BA7">
        <w:rPr>
          <w:rFonts w:eastAsia="Malgun Gothic"/>
          <w:lang w:eastAsia="ko-KR"/>
        </w:rPr>
        <w:t>344-01/21-01/05</w:t>
      </w:r>
    </w:p>
    <w:p w14:paraId="28C1E175" w14:textId="77777777" w:rsidR="00CB4BB1" w:rsidRPr="00331BA7" w:rsidRDefault="00CB4BB1" w:rsidP="00CB4BB1">
      <w:r w:rsidRPr="00331BA7">
        <w:t xml:space="preserve">URBROJ: </w:t>
      </w:r>
      <w:r w:rsidR="005654FC">
        <w:rPr>
          <w:rFonts w:eastAsia="Malgun Gothic"/>
          <w:lang w:eastAsia="ko-KR"/>
        </w:rPr>
        <w:t>376-05-1-21-03</w:t>
      </w:r>
    </w:p>
    <w:p w14:paraId="30F301F9" w14:textId="77777777" w:rsidR="00CB4BB1" w:rsidRDefault="00CB4BB1" w:rsidP="003B3B7A">
      <w:pPr>
        <w:spacing w:after="240"/>
      </w:pPr>
      <w:r w:rsidRPr="00331BA7">
        <w:t>Zagreb,</w:t>
      </w:r>
      <w:r>
        <w:t xml:space="preserve"> </w:t>
      </w:r>
      <w:r w:rsidR="00331BA7">
        <w:t>14. listopada 2021.</w:t>
      </w:r>
    </w:p>
    <w:p w14:paraId="759F7755" w14:textId="77777777" w:rsidR="00CB4BB1" w:rsidRPr="00B30976" w:rsidRDefault="00CB4BB1" w:rsidP="00CB4BB1">
      <w:pPr>
        <w:rPr>
          <w:rFonts w:eastAsiaTheme="minorHAnsi"/>
        </w:rPr>
      </w:pPr>
      <w:r>
        <w:rPr>
          <w:rFonts w:eastAsiaTheme="minorHAnsi"/>
          <w:bCs/>
        </w:rPr>
        <w:t xml:space="preserve">                                                                                                                           </w:t>
      </w:r>
    </w:p>
    <w:p w14:paraId="01B1FBD5" w14:textId="77777777" w:rsidR="00017D1F" w:rsidRDefault="00017D1F" w:rsidP="00017D1F">
      <w:pPr>
        <w:autoSpaceDE w:val="0"/>
        <w:autoSpaceDN w:val="0"/>
        <w:adjustRightInd w:val="0"/>
        <w:jc w:val="both"/>
      </w:pPr>
      <w:r w:rsidRPr="00AB768D">
        <w:t xml:space="preserve">Na temelju članka 12. stavka 1. točke 3. i članka 52. Zakona o elektroničkim komunikacijama (NN br. 73/08, 90/11, 133/12, 80/13, 71/14 i 72/17), u </w:t>
      </w:r>
      <w:r w:rsidR="002856BB">
        <w:t xml:space="preserve">postupku </w:t>
      </w:r>
      <w:r>
        <w:t xml:space="preserve">izmjene </w:t>
      </w:r>
      <w:r w:rsidRPr="00AB768D">
        <w:t>analize tržišta veleprodajnog lokalnog pristupa koji se pruža na fiksnoj lokaciji</w:t>
      </w:r>
      <w:r w:rsidR="002856BB">
        <w:t xml:space="preserve"> i analize tržišta veleprodajnog središnjeg pristupa koji se pruža na fiksnoj lokaciji za proizvode za masovno tržište</w:t>
      </w:r>
      <w:r w:rsidRPr="00AB768D">
        <w:t xml:space="preserve">, Vijeće Hrvatske regulatorne agencije za mrežne djelatnosti na sjednici održanoj </w:t>
      </w:r>
      <w:r w:rsidR="00331BA7" w:rsidRPr="00331BA7">
        <w:t>14</w:t>
      </w:r>
      <w:r w:rsidRPr="00331BA7">
        <w:t xml:space="preserve">. </w:t>
      </w:r>
      <w:r w:rsidR="002856BB" w:rsidRPr="00331BA7">
        <w:t>listopada</w:t>
      </w:r>
      <w:r w:rsidR="002856BB">
        <w:t xml:space="preserve"> 2021</w:t>
      </w:r>
      <w:r w:rsidRPr="00AB768D">
        <w:t>. donosi</w:t>
      </w:r>
      <w:r w:rsidRPr="00801891">
        <w:t xml:space="preserve"> </w:t>
      </w:r>
    </w:p>
    <w:p w14:paraId="2416C8E9" w14:textId="77777777" w:rsidR="00017D1F" w:rsidRDefault="00017D1F" w:rsidP="00017D1F">
      <w:pPr>
        <w:spacing w:before="360" w:after="360"/>
        <w:jc w:val="center"/>
        <w:rPr>
          <w:b/>
          <w:color w:val="000000"/>
        </w:rPr>
      </w:pPr>
      <w:r>
        <w:rPr>
          <w:b/>
          <w:color w:val="000000"/>
        </w:rPr>
        <w:t>ODLUKU</w:t>
      </w:r>
    </w:p>
    <w:p w14:paraId="192664C5" w14:textId="12DE2CA5" w:rsidR="000371B7" w:rsidRDefault="000371B7" w:rsidP="000371B7">
      <w:pPr>
        <w:pStyle w:val="ListParagraph"/>
        <w:numPr>
          <w:ilvl w:val="0"/>
          <w:numId w:val="1"/>
        </w:numPr>
        <w:autoSpaceDE w:val="0"/>
        <w:autoSpaceDN w:val="0"/>
        <w:adjustRightInd w:val="0"/>
        <w:jc w:val="both"/>
      </w:pPr>
      <w:r>
        <w:t xml:space="preserve">Ukida se regulatorna obveza provođenja Testa istiskivanja marže određena unutar regulatorne obveze nadzora cijena i vođenja troškovnog računovodstva, određena trgovačkom društvu OT-Optima Telekom d.d., Zagreb, na tržištu veleprodajnog lokalnog pristupa koji se pruža na fiksnoj lokaciji </w:t>
      </w:r>
      <w:r w:rsidR="00A675B3">
        <w:t xml:space="preserve">odlukom </w:t>
      </w:r>
      <w:r>
        <w:t>KLASA: UP/I-344-01/18-03/05, URBROJ: 376-05-1-19-11.</w:t>
      </w:r>
    </w:p>
    <w:p w14:paraId="70F4A70A" w14:textId="77777777" w:rsidR="000371B7" w:rsidRDefault="000371B7" w:rsidP="000371B7">
      <w:pPr>
        <w:autoSpaceDE w:val="0"/>
        <w:autoSpaceDN w:val="0"/>
        <w:adjustRightInd w:val="0"/>
        <w:jc w:val="both"/>
      </w:pPr>
    </w:p>
    <w:p w14:paraId="74B923CA" w14:textId="3495D417" w:rsidR="000371B7" w:rsidRDefault="000371B7" w:rsidP="000371B7">
      <w:pPr>
        <w:pStyle w:val="ListParagraph"/>
        <w:numPr>
          <w:ilvl w:val="0"/>
          <w:numId w:val="1"/>
        </w:numPr>
        <w:autoSpaceDE w:val="0"/>
        <w:autoSpaceDN w:val="0"/>
        <w:adjustRightInd w:val="0"/>
        <w:jc w:val="both"/>
      </w:pPr>
      <w:r>
        <w:t xml:space="preserve">Ukida se regulatorna obveza provođenja Testa istiskivanja marže određena unutar regulatorne obveze nadzora cijena i vođenja troškovnog računovodstva, određena trgovačkom društvu OT-Optima Telekom d.d., Zagreb, na tržištu </w:t>
      </w:r>
      <w:r w:rsidRPr="002F1704">
        <w:t>veleprodajnog središnjeg pristupa koji se pruža na fiksnoj lokaciji za proizvode za masovno tržište</w:t>
      </w:r>
      <w:r>
        <w:t xml:space="preserve"> </w:t>
      </w:r>
      <w:r w:rsidR="00A675B3">
        <w:t xml:space="preserve"> odlukom </w:t>
      </w:r>
      <w:r>
        <w:t>KLASA: UP/I-344-01/18-03/04, URBROJ: 376-05-1-19-12.</w:t>
      </w:r>
    </w:p>
    <w:p w14:paraId="7D9EF1A4" w14:textId="77777777" w:rsidR="00F97B6B" w:rsidRDefault="00F97B6B" w:rsidP="00F97B6B">
      <w:pPr>
        <w:pStyle w:val="ListParagraph"/>
      </w:pPr>
    </w:p>
    <w:p w14:paraId="55A92B1F" w14:textId="77777777" w:rsidR="00F97B6B" w:rsidRDefault="00F97B6B" w:rsidP="000371B7">
      <w:pPr>
        <w:pStyle w:val="ListParagraph"/>
        <w:numPr>
          <w:ilvl w:val="0"/>
          <w:numId w:val="1"/>
        </w:numPr>
        <w:autoSpaceDE w:val="0"/>
        <w:autoSpaceDN w:val="0"/>
        <w:adjustRightInd w:val="0"/>
        <w:jc w:val="both"/>
      </w:pPr>
      <w:r>
        <w:t xml:space="preserve">U ostalim dijelovima odluke iz točki I. i II. ove izreke ostaju nepromijenjene. </w:t>
      </w:r>
    </w:p>
    <w:p w14:paraId="55E8188E" w14:textId="77777777" w:rsidR="00725F93" w:rsidRDefault="00725F93" w:rsidP="00A823EC">
      <w:pPr>
        <w:pStyle w:val="ListParagraph"/>
      </w:pPr>
    </w:p>
    <w:p w14:paraId="4402E6B0" w14:textId="217694B1" w:rsidR="00725F93" w:rsidRPr="001141B7" w:rsidRDefault="00725F93" w:rsidP="00A675B3">
      <w:pPr>
        <w:pStyle w:val="ListParagraph"/>
        <w:numPr>
          <w:ilvl w:val="0"/>
          <w:numId w:val="1"/>
        </w:numPr>
        <w:autoSpaceDE w:val="0"/>
        <w:autoSpaceDN w:val="0"/>
        <w:adjustRightInd w:val="0"/>
        <w:jc w:val="both"/>
      </w:pPr>
      <w:r w:rsidRPr="001141B7">
        <w:t xml:space="preserve">Ukida se </w:t>
      </w:r>
      <w:r w:rsidR="00A675B3" w:rsidRPr="001141B7">
        <w:t>P</w:t>
      </w:r>
      <w:r w:rsidRPr="001141B7">
        <w:t xml:space="preserve">rivremeno rješenje </w:t>
      </w:r>
      <w:r w:rsidR="00A675B3" w:rsidRPr="001141B7">
        <w:t>KLASA: 344-01/21-03/04, URBROJ: 376-05-1-21-0</w:t>
      </w:r>
      <w:r w:rsidR="001141B7" w:rsidRPr="001141B7">
        <w:t>2</w:t>
      </w:r>
      <w:r w:rsidR="002F7F7A" w:rsidRPr="001141B7">
        <w:t>.</w:t>
      </w:r>
      <w:r w:rsidRPr="001141B7">
        <w:t xml:space="preserve"> </w:t>
      </w:r>
    </w:p>
    <w:p w14:paraId="3E58C561" w14:textId="77777777" w:rsidR="00F97B6B" w:rsidRDefault="00F97B6B" w:rsidP="00F97B6B">
      <w:pPr>
        <w:pStyle w:val="ListParagraph"/>
      </w:pPr>
    </w:p>
    <w:p w14:paraId="6E98F31A" w14:textId="77777777" w:rsidR="005654FC" w:rsidRDefault="00F97B6B" w:rsidP="005654FC">
      <w:pPr>
        <w:pStyle w:val="ListParagraph"/>
        <w:numPr>
          <w:ilvl w:val="0"/>
          <w:numId w:val="1"/>
        </w:numPr>
        <w:autoSpaceDE w:val="0"/>
        <w:autoSpaceDN w:val="0"/>
        <w:adjustRightInd w:val="0"/>
        <w:jc w:val="both"/>
      </w:pPr>
      <w:r>
        <w:t>Ova odluka stupa na snagu danom donošenj</w:t>
      </w:r>
      <w:r w:rsidR="00725F93">
        <w:t>a</w:t>
      </w:r>
      <w:r>
        <w:t>.</w:t>
      </w:r>
    </w:p>
    <w:p w14:paraId="7CB3169E" w14:textId="77777777" w:rsidR="003B3B7A" w:rsidRDefault="003B3B7A" w:rsidP="003B3B7A">
      <w:pPr>
        <w:autoSpaceDE w:val="0"/>
        <w:autoSpaceDN w:val="0"/>
        <w:adjustRightInd w:val="0"/>
        <w:jc w:val="both"/>
      </w:pPr>
    </w:p>
    <w:p w14:paraId="7D779412" w14:textId="77777777" w:rsidR="005654FC" w:rsidRDefault="005654FC" w:rsidP="005654FC">
      <w:pPr>
        <w:pStyle w:val="ListParagraph"/>
        <w:numPr>
          <w:ilvl w:val="0"/>
          <w:numId w:val="1"/>
        </w:numPr>
        <w:autoSpaceDE w:val="0"/>
        <w:autoSpaceDN w:val="0"/>
        <w:adjustRightInd w:val="0"/>
        <w:jc w:val="both"/>
      </w:pPr>
      <w:r>
        <w:t>Ova odluka objavit će se na internetskim stranicama Hrvatske regulatorne agencije za mrežne djelatnosti.</w:t>
      </w:r>
    </w:p>
    <w:p w14:paraId="6F786D4C" w14:textId="77777777" w:rsidR="00F97B6B" w:rsidRDefault="00F97B6B" w:rsidP="00F97B6B">
      <w:pPr>
        <w:autoSpaceDE w:val="0"/>
        <w:autoSpaceDN w:val="0"/>
        <w:adjustRightInd w:val="0"/>
        <w:jc w:val="both"/>
      </w:pPr>
    </w:p>
    <w:p w14:paraId="7A05F910" w14:textId="77777777" w:rsidR="00F97B6B" w:rsidRDefault="00F97B6B" w:rsidP="00F97B6B">
      <w:pPr>
        <w:pStyle w:val="ListParagraph"/>
      </w:pPr>
    </w:p>
    <w:p w14:paraId="5230CFC6" w14:textId="77777777" w:rsidR="00F97B6B" w:rsidRPr="006853AF" w:rsidRDefault="00F97B6B" w:rsidP="00F97B6B">
      <w:pPr>
        <w:jc w:val="center"/>
        <w:rPr>
          <w:b/>
          <w:i/>
        </w:rPr>
      </w:pPr>
      <w:r w:rsidRPr="006853AF">
        <w:rPr>
          <w:b/>
          <w:i/>
        </w:rPr>
        <w:t>Obrazloženje</w:t>
      </w:r>
    </w:p>
    <w:p w14:paraId="359FCD9A" w14:textId="77777777" w:rsidR="00F97B6B" w:rsidRDefault="00F97B6B" w:rsidP="00F97B6B">
      <w:pPr>
        <w:tabs>
          <w:tab w:val="num" w:pos="1080"/>
        </w:tabs>
        <w:autoSpaceDE w:val="0"/>
        <w:autoSpaceDN w:val="0"/>
        <w:adjustRightInd w:val="0"/>
        <w:jc w:val="both"/>
      </w:pPr>
    </w:p>
    <w:p w14:paraId="4E9F4B49" w14:textId="77777777" w:rsidR="00F97B6B" w:rsidRDefault="00F97B6B" w:rsidP="00F97B6B">
      <w:pPr>
        <w:autoSpaceDE w:val="0"/>
        <w:autoSpaceDN w:val="0"/>
        <w:adjustRightInd w:val="0"/>
        <w:jc w:val="both"/>
      </w:pPr>
      <w:r w:rsidRPr="00362EBD">
        <w:t>Od</w:t>
      </w:r>
      <w:r>
        <w:t>l</w:t>
      </w:r>
      <w:r w:rsidRPr="00362EBD">
        <w:t>ukom</w:t>
      </w:r>
      <w:r w:rsidR="00884393">
        <w:t xml:space="preserve"> </w:t>
      </w:r>
      <w:r w:rsidR="00884393" w:rsidRPr="00362EBD">
        <w:t>od</w:t>
      </w:r>
      <w:r w:rsidR="00884393">
        <w:t xml:space="preserve"> 19. lipnja 2019. (KLASA: UP/I-344-01/18-03/05, URBROJ: 376-05-1-19-11) na tržištu veleprodajnog lokalnog pristupa koji se pruža na fiksnoj lokaciji </w:t>
      </w:r>
      <w:r w:rsidR="00A675B3">
        <w:t>trgovačkom</w:t>
      </w:r>
      <w:r w:rsidR="00884393">
        <w:t xml:space="preserve"> društvu </w:t>
      </w:r>
      <w:r w:rsidR="00884393" w:rsidRPr="003A20A6">
        <w:t>Hrvatski Telekom d.d.</w:t>
      </w:r>
      <w:r w:rsidR="00884393">
        <w:t xml:space="preserve"> (dalje: HT)</w:t>
      </w:r>
      <w:r w:rsidR="00884393" w:rsidRPr="003A20A6">
        <w:t xml:space="preserve">, </w:t>
      </w:r>
      <w:r w:rsidR="00884393">
        <w:t>i njegovim povezanim društvima Iskon Internet d.d. (dalje: Iskon), i OT-Optima Telekom d.d. (dalje: Optima) određena je regulatorna obveza provođenja Testa istiskivanja marže unutar regulatorne obveze nadzora cijena i vođenja troškovnog računovodstva.</w:t>
      </w:r>
    </w:p>
    <w:p w14:paraId="50180E27" w14:textId="77777777" w:rsidR="007B639E" w:rsidRDefault="007B639E" w:rsidP="00F97B6B">
      <w:pPr>
        <w:autoSpaceDE w:val="0"/>
        <w:autoSpaceDN w:val="0"/>
        <w:adjustRightInd w:val="0"/>
        <w:jc w:val="both"/>
      </w:pPr>
    </w:p>
    <w:p w14:paraId="45E3D7D1" w14:textId="77777777" w:rsidR="007B639E" w:rsidRDefault="007B639E" w:rsidP="00F97B6B">
      <w:pPr>
        <w:autoSpaceDE w:val="0"/>
        <w:autoSpaceDN w:val="0"/>
        <w:adjustRightInd w:val="0"/>
        <w:jc w:val="both"/>
      </w:pPr>
      <w:r>
        <w:t xml:space="preserve">Hrvatska regulatorna agencija za mrežne djelatnosti (dalje: HAKOM) je u odluci </w:t>
      </w:r>
      <w:r w:rsidR="00096E99">
        <w:t xml:space="preserve">o </w:t>
      </w:r>
      <w:r>
        <w:t xml:space="preserve">analizi tržišta veleprodajnog lokalnog pristupa koji se pruža na fiksnoj lokaciji Optimu promatrao kao dio HT Grupe </w:t>
      </w:r>
      <w:r>
        <w:lastRenderedPageBreak/>
        <w:t xml:space="preserve">te odredio da se regulatorna obveza nadzora cijena i vođenja troškovnog računovodstva na odgovarajući način primjenjuje i na Optimu, kao društvo pod kontrolom HT-a. Naime, HAKOM smatra da obveza troškovne usmjerenosti cijena za uslugu izdvojenog pristupa lokalnoj petlji ne može spriječiti HT da sam putem vlastitih maloprodajnih usluga ili putem društava pod njegovom kontrolom narušava tržišno natjecanje na pripadajućoj maloprodajnoj razini istiskivanjem marže. Stoga je HAKOM u okviru obveze nadzora cijena i vođenja troškovnog računovodstva, odredio </w:t>
      </w:r>
      <w:r w:rsidR="003B3B7A">
        <w:t xml:space="preserve">     </w:t>
      </w:r>
      <w:r>
        <w:t>HT-u i društvima pod njegovom kontrolom obvezu provođenja Testa istiskivanja marže.</w:t>
      </w:r>
    </w:p>
    <w:p w14:paraId="50DB4B1C" w14:textId="77777777" w:rsidR="00884393" w:rsidRDefault="00884393" w:rsidP="00F97B6B">
      <w:pPr>
        <w:autoSpaceDE w:val="0"/>
        <w:autoSpaceDN w:val="0"/>
        <w:adjustRightInd w:val="0"/>
        <w:jc w:val="both"/>
      </w:pPr>
    </w:p>
    <w:p w14:paraId="07DD5761" w14:textId="77777777" w:rsidR="00884393" w:rsidRDefault="00884393" w:rsidP="00884393">
      <w:pPr>
        <w:autoSpaceDE w:val="0"/>
        <w:autoSpaceDN w:val="0"/>
        <w:adjustRightInd w:val="0"/>
        <w:jc w:val="both"/>
      </w:pPr>
      <w:r>
        <w:t xml:space="preserve">Također, i odlukom od 19. lipnja 2019. (KLASA: UP/I-344-01/18-03/04, URBROJ: 376-05-1-19-12) na tržištu </w:t>
      </w:r>
      <w:r w:rsidRPr="002F1704">
        <w:t>veleprodajnog središnjeg pristupa koji se pruža na fiksnoj lokaciji za proizvode za masovno tržište</w:t>
      </w:r>
      <w:r w:rsidR="005E6863">
        <w:t xml:space="preserve"> </w:t>
      </w:r>
      <w:r>
        <w:t xml:space="preserve">društvu </w:t>
      </w:r>
      <w:r w:rsidR="007B639E">
        <w:t>HT</w:t>
      </w:r>
      <w:r w:rsidRPr="003A20A6">
        <w:t xml:space="preserve">, </w:t>
      </w:r>
      <w:r>
        <w:t>i njegovim povezanim društvima Iskon</w:t>
      </w:r>
      <w:r w:rsidR="007B639E">
        <w:t>u</w:t>
      </w:r>
      <w:r>
        <w:t>, i Optim</w:t>
      </w:r>
      <w:r w:rsidR="007B639E">
        <w:t>i</w:t>
      </w:r>
      <w:r>
        <w:t xml:space="preserve"> određena je regulatorna obveza provođenja Testa istiskivanja marže unutar regulatorne obveze nadzora cijena i vođenja troškovnog računovodstva.</w:t>
      </w:r>
    </w:p>
    <w:p w14:paraId="516DCE6C" w14:textId="77777777" w:rsidR="007B639E" w:rsidRDefault="007B639E" w:rsidP="00884393">
      <w:pPr>
        <w:autoSpaceDE w:val="0"/>
        <w:autoSpaceDN w:val="0"/>
        <w:adjustRightInd w:val="0"/>
        <w:jc w:val="both"/>
      </w:pPr>
    </w:p>
    <w:p w14:paraId="7C94E92F" w14:textId="5B6EEBF7" w:rsidR="007B639E" w:rsidRDefault="007B639E" w:rsidP="00884393">
      <w:pPr>
        <w:autoSpaceDE w:val="0"/>
        <w:autoSpaceDN w:val="0"/>
        <w:adjustRightInd w:val="0"/>
        <w:jc w:val="both"/>
      </w:pPr>
      <w:r>
        <w:t>HAKOM je u odluci o analizi tržišta veleprodajnog središnjeg pristupa koji se pruža na fiksnoj lokaciji za proizvode za masovno tržište Optimu također promatrao kao dio HT Grupe te odredio da se regulatorna obveza nadzora cijena i vođenja troškovnog računovodstva na odgovarajući način primjenjuje i na Optimu, kao društv</w:t>
      </w:r>
      <w:r w:rsidR="00A675B3">
        <w:t>o</w:t>
      </w:r>
      <w:r>
        <w:t xml:space="preserve"> pod kontrolom HT-a. Naime, HAKOM smatra da obveza troškovne usmjerenosti cijena za bitstream uslugu ne može spriječiti HT da sam, ili putem svojih povezanih društava Iskona i Optime narušava tržišno natjecanje na pripadajućoj maloprodajnoj razini istiskivanjem marže. Stoga je HAKOM u okviru obveze nadzora cijena i vođenja troškovnog računovodstva, odredio HT-u i društvima pod njegovom kontrolom obvezu provođenja Testa istiskivanja marže.</w:t>
      </w:r>
    </w:p>
    <w:p w14:paraId="77C2BC1D" w14:textId="77777777" w:rsidR="007B639E" w:rsidRDefault="007B639E" w:rsidP="00884393">
      <w:pPr>
        <w:autoSpaceDE w:val="0"/>
        <w:autoSpaceDN w:val="0"/>
        <w:adjustRightInd w:val="0"/>
        <w:jc w:val="both"/>
      </w:pPr>
    </w:p>
    <w:p w14:paraId="04B7911C" w14:textId="77777777" w:rsidR="0017456C" w:rsidRDefault="007B639E" w:rsidP="00884393">
      <w:pPr>
        <w:autoSpaceDE w:val="0"/>
        <w:autoSpaceDN w:val="0"/>
        <w:adjustRightInd w:val="0"/>
        <w:jc w:val="both"/>
      </w:pPr>
      <w:r>
        <w:t>HAKOM je 10. lipnja 2021. zaprimi</w:t>
      </w:r>
      <w:r w:rsidR="00725F93">
        <w:t>o</w:t>
      </w:r>
      <w:r w:rsidR="0017456C">
        <w:t xml:space="preserve"> zahtjev operatora Optima u kojem se traži preispitivanje njihovog statusa operatora sa značajnom tržišnom snagom na mjerodavnom tržištu te posljedično ukidanje regulatorne obveze provođenja Testa istiskivanja marže i to iz razloga prestanka upravljačkih prava HT-a nad Optimom.</w:t>
      </w:r>
    </w:p>
    <w:p w14:paraId="11469A4B" w14:textId="77777777" w:rsidR="007B639E" w:rsidRDefault="007B639E" w:rsidP="00884393">
      <w:pPr>
        <w:autoSpaceDE w:val="0"/>
        <w:autoSpaceDN w:val="0"/>
        <w:adjustRightInd w:val="0"/>
        <w:jc w:val="both"/>
      </w:pPr>
    </w:p>
    <w:p w14:paraId="5C99EEC9" w14:textId="77777777" w:rsidR="007B639E" w:rsidRDefault="007B639E" w:rsidP="00884393">
      <w:pPr>
        <w:autoSpaceDE w:val="0"/>
        <w:autoSpaceDN w:val="0"/>
        <w:adjustRightInd w:val="0"/>
        <w:jc w:val="both"/>
      </w:pPr>
      <w:r>
        <w:t>Naime, rješenjem Agencije za zaštitu tržišnog natjecanja (dalje: AZTN) od 9. lipnja 2017., KLASA: UP/I 034-03/2013-02/007, URBROJ: 580-11/41-17-239, (dalje: Rješenje/2017) HT je bio obvezan najkasnije do 10. srpnja 2021. prodati sve svoje dionice Optime, u suprotnom, Ugovor između HT-a i Zagrebačke banke automatski prestaje, a time i bilo kakva mogućnost kontrole HT-a nad Optimom. HT je bio obvezan odmah po isteku sedmogodišnjeg trajanja koncentracije prenijeti sva upravljačka prava iz svojih dionica Optime na Zagrebačku banku ili treću osobu koja nije povezana s HT-om, te sukladno uvjetima iz Ugovora HT-a i Zagrebačke banke ovlastiti Zagrebačku banku da proda sve HT-ove dionice Optime.</w:t>
      </w:r>
    </w:p>
    <w:p w14:paraId="186A700F" w14:textId="77777777" w:rsidR="009242A5" w:rsidRDefault="009242A5" w:rsidP="00884393">
      <w:pPr>
        <w:autoSpaceDE w:val="0"/>
        <w:autoSpaceDN w:val="0"/>
        <w:adjustRightInd w:val="0"/>
        <w:jc w:val="both"/>
      </w:pPr>
    </w:p>
    <w:p w14:paraId="4659BD86" w14:textId="77777777" w:rsidR="009242A5" w:rsidRDefault="009242A5" w:rsidP="00884393">
      <w:pPr>
        <w:autoSpaceDE w:val="0"/>
        <w:autoSpaceDN w:val="0"/>
        <w:adjustRightInd w:val="0"/>
        <w:jc w:val="both"/>
      </w:pPr>
      <w:r>
        <w:t xml:space="preserve">U odnosu na prestanak upravljačkih prava HT-a nad Optimom, HAKOM u privremenom rješenju od 12. srpnja 2021. (KLASA: 344-01/21-01/05, URBROJ: 376-05-1-21-02) utvrđuje da su ista prestala s danom 10. srpnja 2021., sukladno Rješenju/2017. To je rezultiralo činjenicom da Optima više nije dio HT Grupe, zbog čega regulatorna obveza provođenja Testa istiskivanja marže više nije opravdana te HAKOM istu ukida do okončanja preispitivanja statusa operatora sa značajnom tržišnom snagom Optime.   </w:t>
      </w:r>
    </w:p>
    <w:p w14:paraId="7BC8A1DB" w14:textId="77777777" w:rsidR="009242A5" w:rsidRDefault="009242A5" w:rsidP="00884393">
      <w:pPr>
        <w:autoSpaceDE w:val="0"/>
        <w:autoSpaceDN w:val="0"/>
        <w:adjustRightInd w:val="0"/>
        <w:jc w:val="both"/>
      </w:pPr>
    </w:p>
    <w:p w14:paraId="5AF64924" w14:textId="225E5E75" w:rsidR="009242A5" w:rsidRDefault="002F5422" w:rsidP="00884393">
      <w:pPr>
        <w:autoSpaceDE w:val="0"/>
        <w:autoSpaceDN w:val="0"/>
        <w:adjustRightInd w:val="0"/>
        <w:jc w:val="both"/>
      </w:pPr>
      <w:r>
        <w:t xml:space="preserve">Naime, nastavno na spomenuto rješenje AZTN-a iz 2017., Optima je 31. svibnja 2021. obavijestila javnost kako je 28. svibnja 2021. zaprimila ostavke svih članova nadzornog odbora koji u isto vrijeme obnašaju neku od dužnosti u HT-u te da ostavke djeluju s učinkom od 11. srpnja 2021. Dodatno, </w:t>
      </w:r>
      <w:r>
        <w:lastRenderedPageBreak/>
        <w:t xml:space="preserve">Optima je 31. svibnja 2021. donijela odluku o sazivanju glavne skupštine društva koja </w:t>
      </w:r>
      <w:r w:rsidR="00D66978">
        <w:t>se održala</w:t>
      </w:r>
      <w:r>
        <w:t xml:space="preserve"> 9. srpnja 2021. Dnevni red glavne skupštine </w:t>
      </w:r>
      <w:r w:rsidR="00D66978">
        <w:t xml:space="preserve">je </w:t>
      </w:r>
      <w:r>
        <w:t>sadržava</w:t>
      </w:r>
      <w:r w:rsidR="00D66978">
        <w:t>o</w:t>
      </w:r>
      <w:r>
        <w:t>, između ostalih, odluku o davanju razrješnice članovima Uprave za 2020., odluku o davanju razrješnice članovima Nadzornog odbora za 2020. te odluku o izb</w:t>
      </w:r>
      <w:r w:rsidR="003F1DE4">
        <w:t xml:space="preserve">oru članova Nadzornog odbora. </w:t>
      </w:r>
      <w:r>
        <w:t>Optima je 9. srpnja 2021., nakon održavanja Glavne skupštine, dostavila HAKOM-u sve donesene odluke Glavne skupštine iz kojih je vidljivo da su ispunjeni uvjeti za donošenje privremenog rješenja kojim se ukida regulatorna obveza provođenja Testa istiskivanja marže određena unutar regulatorne obveze nadzora cijena i vođenja troškovnog računovodstva.</w:t>
      </w:r>
    </w:p>
    <w:p w14:paraId="3560CA36" w14:textId="77777777" w:rsidR="00725F93" w:rsidRDefault="00725F93" w:rsidP="00884393">
      <w:pPr>
        <w:autoSpaceDE w:val="0"/>
        <w:autoSpaceDN w:val="0"/>
        <w:adjustRightInd w:val="0"/>
        <w:jc w:val="both"/>
      </w:pPr>
    </w:p>
    <w:p w14:paraId="5D3A552E" w14:textId="77777777" w:rsidR="00725F93" w:rsidRDefault="00725F93" w:rsidP="00884393">
      <w:pPr>
        <w:autoSpaceDE w:val="0"/>
        <w:autoSpaceDN w:val="0"/>
        <w:adjustRightInd w:val="0"/>
        <w:jc w:val="both"/>
      </w:pPr>
      <w:r>
        <w:t xml:space="preserve">HAKOM je dana </w:t>
      </w:r>
      <w:r w:rsidR="00470A89">
        <w:t>12. srpnja 2021.</w:t>
      </w:r>
      <w:r>
        <w:t xml:space="preserve"> donio privremeno rješenje kojim su, do okončanja ovog postupka, privremeno ukinute regulatorne obveze Optimi.</w:t>
      </w:r>
    </w:p>
    <w:p w14:paraId="21E29E34" w14:textId="77777777" w:rsidR="00663E52" w:rsidRDefault="00663E52" w:rsidP="00884393">
      <w:pPr>
        <w:autoSpaceDE w:val="0"/>
        <w:autoSpaceDN w:val="0"/>
        <w:adjustRightInd w:val="0"/>
        <w:jc w:val="both"/>
      </w:pPr>
    </w:p>
    <w:p w14:paraId="0DDBF83A" w14:textId="77777777" w:rsidR="00663E52" w:rsidRDefault="00663E52" w:rsidP="00884393">
      <w:pPr>
        <w:autoSpaceDE w:val="0"/>
        <w:autoSpaceDN w:val="0"/>
        <w:adjustRightInd w:val="0"/>
        <w:jc w:val="both"/>
      </w:pPr>
      <w:r>
        <w:t xml:space="preserve">Sukladno članku 52. stavku 5. </w:t>
      </w:r>
      <w:r w:rsidRPr="00AB768D">
        <w:t>Zakona o elektroničkim komunikacijama</w:t>
      </w:r>
      <w:r>
        <w:t xml:space="preserve"> (dalje: ZEK), HAKOM smatra kako prestanak </w:t>
      </w:r>
      <w:r w:rsidRPr="00663E52">
        <w:t>upra</w:t>
      </w:r>
      <w:r>
        <w:t>vljačkih prava HT-a nad Optimom predstavlja promjenu koja ima značajan utjecaj na regulatorne obveze na mjero</w:t>
      </w:r>
      <w:r w:rsidR="001F1443">
        <w:t>davnom tržištu. HAKOM je stoga proveo postupak preispitivanja statusa operatora sa značajnom tržišnom snagom i određivanja regulatornih obveza za Optimu na tržištu veleprodajnog lokalnog pristupa koji se pruža na fiksnoj lokaciji i tržištu veleprodajnog središnjeg pristupa koji se pruža na fiksnoj lokaciji za proizvode za masovno tržište.</w:t>
      </w:r>
    </w:p>
    <w:p w14:paraId="4ACE798C" w14:textId="77777777" w:rsidR="002F5422" w:rsidRDefault="002F5422" w:rsidP="00884393">
      <w:pPr>
        <w:autoSpaceDE w:val="0"/>
        <w:autoSpaceDN w:val="0"/>
        <w:adjustRightInd w:val="0"/>
        <w:jc w:val="both"/>
      </w:pPr>
    </w:p>
    <w:p w14:paraId="6E19DDB4" w14:textId="77777777" w:rsidR="00B763A3" w:rsidRDefault="00006229" w:rsidP="00884393">
      <w:pPr>
        <w:autoSpaceDE w:val="0"/>
        <w:autoSpaceDN w:val="0"/>
        <w:adjustRightInd w:val="0"/>
        <w:jc w:val="both"/>
      </w:pPr>
      <w:r>
        <w:t xml:space="preserve">HAKOM je analizom prikupljenih podataka, a u skladu s mjerilima </w:t>
      </w:r>
      <w:r w:rsidRPr="00006229">
        <w:t>iz članka 55. ZEK-a,</w:t>
      </w:r>
      <w:r>
        <w:t xml:space="preserve"> ocijenio djelotvornost tržišnog natjecanja na tržištu </w:t>
      </w:r>
      <w:r w:rsidRPr="00006229">
        <w:t>veleprodajnog lokalnog pristupa koji se pruža na fiksnoj lokaciji</w:t>
      </w:r>
      <w:r>
        <w:t xml:space="preserve"> te </w:t>
      </w:r>
      <w:r w:rsidR="00A53388">
        <w:t xml:space="preserve">utvrdio kako Optima nije operator sa značajnom tržišnom snagom na mjerodavnom tržištu. Naime, HAKOM je utvrdio kako tržišni udio Optime na </w:t>
      </w:r>
      <w:r w:rsidR="00A53388" w:rsidRPr="00A53388">
        <w:t>tržištu veleprodajnog lokalnog pristupa koji se pruža na fiksnoj lokaciji</w:t>
      </w:r>
      <w:r w:rsidR="00A53388">
        <w:t xml:space="preserve"> iznosi 0%, </w:t>
      </w:r>
      <w:r w:rsidR="00725F93">
        <w:t xml:space="preserve">iz čega je jasno kako Optima ne </w:t>
      </w:r>
      <w:r w:rsidR="00A53388">
        <w:t>posjeduje značajnu tržišnu snagu na analiziranom tržištu. Nadalje, HAKO</w:t>
      </w:r>
      <w:r w:rsidR="00B763A3">
        <w:t>M</w:t>
      </w:r>
      <w:r w:rsidR="00A53388">
        <w:t xml:space="preserve"> je analizirao</w:t>
      </w:r>
      <w:r w:rsidR="00B763A3">
        <w:t xml:space="preserve"> postoji li mogućnost da Optima putem vlastite infrastrukture vrši konkurentski pritisak na maloprodajnoj razini koji bi imao značajniji utjecaj na tržište </w:t>
      </w:r>
      <w:r w:rsidR="00B763A3" w:rsidRPr="00A53388">
        <w:t>veleprodajnog lokalnog pristupa koji se pruža na fiksnoj lokaciji</w:t>
      </w:r>
      <w:r w:rsidR="00B763A3">
        <w:t xml:space="preserve">. HAKOM je zaključio kako s obzirom na ograničenu dostupnost vlastite infrastrukture te činjenicu kako je Optima ovisna o veleprodajnim uslugama HT-a, Optima nije u mogućnosti pružiti dovoljan konkurentski pritisak na maloprodajnoj razini, a koji bi imao značajan utjecaj na tržištu </w:t>
      </w:r>
      <w:r w:rsidR="00B763A3" w:rsidRPr="00A53388">
        <w:t>veleprodajnog lokalnog pristupa koji se pruža na fiksnoj lokaciji</w:t>
      </w:r>
      <w:r w:rsidR="00B763A3">
        <w:t>. S obzirom na naveden</w:t>
      </w:r>
      <w:r w:rsidR="00F0636D">
        <w:t>e</w:t>
      </w:r>
      <w:r w:rsidR="00B763A3">
        <w:t xml:space="preserve"> činjenice, HAKOM je </w:t>
      </w:r>
      <w:r w:rsidR="00F0636D">
        <w:t xml:space="preserve">odlučio kao u točki I. izreke ove odluke. </w:t>
      </w:r>
    </w:p>
    <w:p w14:paraId="715B272B" w14:textId="77777777" w:rsidR="00F0636D" w:rsidRDefault="00F0636D" w:rsidP="00884393">
      <w:pPr>
        <w:autoSpaceDE w:val="0"/>
        <w:autoSpaceDN w:val="0"/>
        <w:adjustRightInd w:val="0"/>
        <w:jc w:val="both"/>
      </w:pPr>
    </w:p>
    <w:p w14:paraId="50FA824C" w14:textId="77777777" w:rsidR="00F0636D" w:rsidRDefault="00F0636D" w:rsidP="00F0636D">
      <w:pPr>
        <w:autoSpaceDE w:val="0"/>
        <w:autoSpaceDN w:val="0"/>
        <w:adjustRightInd w:val="0"/>
        <w:jc w:val="both"/>
      </w:pPr>
      <w:r>
        <w:t xml:space="preserve">HAKOM je analizom prikupljenih podataka, a u skladu s mjerilima </w:t>
      </w:r>
      <w:r w:rsidRPr="00006229">
        <w:t>iz članka 55. ZEK-a,</w:t>
      </w:r>
      <w:r>
        <w:t xml:space="preserve"> ocijenio djelotvornost tržišnog natjecanja na tržištu veleprodajnog središnjeg pristupa koji se pruža na fiksnoj lokaciji za proizvode za masovno tržište te utvrdio kako Optima nije operator sa značajnom tržišnom snagom na mjerodavnom tržištu. Naime, HAKOM je utvrdio kako tržišni udio Optime na tržištu veleprodajnog središnjeg pristupa koji se pruža na fiksnoj lokaciji za proizvode za masovno tržište iznosi 0%, </w:t>
      </w:r>
      <w:r w:rsidR="00725F93">
        <w:t>iz čeg</w:t>
      </w:r>
      <w:r w:rsidR="00AB540A">
        <w:t>a</w:t>
      </w:r>
      <w:r w:rsidR="00725F93">
        <w:t xml:space="preserve"> je jasno kako Optima ne </w:t>
      </w:r>
      <w:r>
        <w:t xml:space="preserve">posjeduje značajnu tržišnu snagu na analiziranom tržištu. Nadalje, HAKOM je analizirao postoji li mogućnost da Optima putem vlastite infrastrukture vrši konkurentski pritisak na maloprodajnoj razini koji bi imao značajniji utjecaj na tržište veleprodajnog središnjeg pristupa koji se pruža na fiksnoj lokaciji za proizvode za masovno tržište. HAKOM je zaključio kako s obzirom na ograničenu dostupnost vlastite infrastrukture te činjenicu kako je Optima ovisna o veleprodajnim uslugama HT-a, Optima nije u mogućnosti pružiti dovoljan konkurentski pritisak na maloprodajnoj razini, a koji bi imao značajan utjecaj na tržištu veleprodajnog središnjeg pristupa koji se pruža na fiksnoj lokaciji za proizvode za masovno tržište. S obzirom na navedene činjenice, HAKOM je odlučio kao u točki II. izreke ove odluke. </w:t>
      </w:r>
    </w:p>
    <w:p w14:paraId="35658A2E" w14:textId="77777777" w:rsidR="00F0636D" w:rsidRDefault="00F0636D" w:rsidP="00884393">
      <w:pPr>
        <w:autoSpaceDE w:val="0"/>
        <w:autoSpaceDN w:val="0"/>
        <w:adjustRightInd w:val="0"/>
        <w:jc w:val="both"/>
      </w:pPr>
    </w:p>
    <w:p w14:paraId="1372E81F" w14:textId="77777777" w:rsidR="00884393" w:rsidRDefault="000B0F1B" w:rsidP="00F97B6B">
      <w:pPr>
        <w:autoSpaceDE w:val="0"/>
        <w:autoSpaceDN w:val="0"/>
        <w:adjustRightInd w:val="0"/>
        <w:jc w:val="both"/>
      </w:pPr>
      <w:r>
        <w:lastRenderedPageBreak/>
        <w:t>Vezano za točku III. izreke ove odluke, HAKOM ističe kako navedene odluke u dijelovima koji se ne odnose na Optima ostaju nepromijenjen</w:t>
      </w:r>
      <w:r w:rsidR="00096E99">
        <w:t>e</w:t>
      </w:r>
      <w:r>
        <w:t xml:space="preserve"> te kako i dalje ostaju na snazi regulatorne obveze određene HT-u i </w:t>
      </w:r>
      <w:r w:rsidR="00512B13">
        <w:t>Iskonu</w:t>
      </w:r>
      <w:r w:rsidR="00CF4FFA">
        <w:t xml:space="preserve"> kao društvu koje je 100%</w:t>
      </w:r>
      <w:r w:rsidR="00E84C4E">
        <w:t xml:space="preserve"> u</w:t>
      </w:r>
      <w:r w:rsidR="00CF4FFA">
        <w:t xml:space="preserve"> vlasništvu HT-a. Nadalje, HAKOM ističe kako su način, uvjeti i rokovi provođenja regulatornih obaveza i dalje propisani dokumentima </w:t>
      </w:r>
      <w:r w:rsidR="00CF4FFA" w:rsidRPr="00CF4FFA">
        <w:rPr>
          <w:i/>
        </w:rPr>
        <w:t>„Tržište veleprodajnog lokalnog pristupa koji se pruža na fiksnoj lokaciji“</w:t>
      </w:r>
      <w:r w:rsidR="00CF4FFA">
        <w:t xml:space="preserve"> i </w:t>
      </w:r>
      <w:r w:rsidR="00CF4FFA" w:rsidRPr="00C4366A">
        <w:t>„</w:t>
      </w:r>
      <w:r w:rsidR="00CF4FFA" w:rsidRPr="00C4366A">
        <w:rPr>
          <w:i/>
          <w:iCs/>
        </w:rPr>
        <w:t xml:space="preserve">Tržište </w:t>
      </w:r>
      <w:r w:rsidR="00CF4FFA" w:rsidRPr="00C4366A">
        <w:rPr>
          <w:i/>
        </w:rPr>
        <w:t>veleprodajnog središnjeg pristupa koji se pruža na fiksnoj lokaciji za proizvode za masovno tržište</w:t>
      </w:r>
      <w:r w:rsidR="00CF4FFA" w:rsidRPr="00C4366A">
        <w:t>“</w:t>
      </w:r>
      <w:r w:rsidR="00CF4FFA">
        <w:t xml:space="preserve"> te kako navedeni dokumenti ostaju nepromijenjeni</w:t>
      </w:r>
      <w:r w:rsidR="00512B13">
        <w:t>,</w:t>
      </w:r>
      <w:r w:rsidR="00117F46">
        <w:t xml:space="preserve"> ali se više ne odnose na Optimu. </w:t>
      </w:r>
    </w:p>
    <w:p w14:paraId="3A3FA5D5" w14:textId="77777777" w:rsidR="00DF10DE" w:rsidRDefault="00DF10DE" w:rsidP="00F97B6B">
      <w:pPr>
        <w:autoSpaceDE w:val="0"/>
        <w:autoSpaceDN w:val="0"/>
        <w:adjustRightInd w:val="0"/>
        <w:jc w:val="both"/>
      </w:pPr>
    </w:p>
    <w:p w14:paraId="36C9BB8A" w14:textId="77777777" w:rsidR="00DF10DE" w:rsidRDefault="00DF10DE" w:rsidP="00F97B6B">
      <w:pPr>
        <w:autoSpaceDE w:val="0"/>
        <w:autoSpaceDN w:val="0"/>
        <w:adjustRightInd w:val="0"/>
        <w:jc w:val="both"/>
      </w:pPr>
      <w:r>
        <w:t xml:space="preserve">Međutim, s obzirom kako prestanak </w:t>
      </w:r>
      <w:r w:rsidRPr="00663E52">
        <w:t>upra</w:t>
      </w:r>
      <w:r>
        <w:t xml:space="preserve">vljačkih prava HT-a nad Optimom predstavlja promjenu koja potencijalno ima značajan utjecaj na regulatorne obveze na tržištu </w:t>
      </w:r>
      <w:r w:rsidRPr="00006229">
        <w:t>veleprodajnog lokalnog pristupa koji se pruža na fiksnoj lokaciji</w:t>
      </w:r>
      <w:r>
        <w:t xml:space="preserve">, odnosno tržištu veleprodajnog središnjeg pristupa koji se pruža na fiksnoj lokaciji za proizvode za masovno tržište, HAKOM će </w:t>
      </w:r>
      <w:r w:rsidR="00D721B0">
        <w:t xml:space="preserve">po završetku ovog postupka odnosno </w:t>
      </w:r>
      <w:r>
        <w:t xml:space="preserve">u prvom </w:t>
      </w:r>
      <w:r w:rsidR="005654FC">
        <w:t xml:space="preserve">tromjesečju </w:t>
      </w:r>
      <w:r>
        <w:t xml:space="preserve">2022. pokrenuti novi postupak analize oba tržišta kako bi se </w:t>
      </w:r>
      <w:r w:rsidR="00442F89">
        <w:t xml:space="preserve">na osnovu najnovijih podataka </w:t>
      </w:r>
      <w:r w:rsidR="00442F89" w:rsidRPr="005654FC">
        <w:t>ocijenila djelotvornost tržišnog natjecanja te procijenilo postoji li na navedenim tržištima operator</w:t>
      </w:r>
      <w:r w:rsidR="00D721B0">
        <w:t>(i)</w:t>
      </w:r>
      <w:r w:rsidR="00442F89" w:rsidRPr="005654FC">
        <w:t xml:space="preserve"> sa značajnom tržišnom snagom. </w:t>
      </w:r>
    </w:p>
    <w:p w14:paraId="742C6AD5" w14:textId="77777777" w:rsidR="00725F93" w:rsidRDefault="00725F93" w:rsidP="00F97B6B">
      <w:pPr>
        <w:autoSpaceDE w:val="0"/>
        <w:autoSpaceDN w:val="0"/>
        <w:adjustRightInd w:val="0"/>
        <w:jc w:val="both"/>
      </w:pPr>
    </w:p>
    <w:p w14:paraId="670B5514" w14:textId="77777777" w:rsidR="00725F93" w:rsidRPr="005654FC" w:rsidRDefault="00725F93" w:rsidP="00F97B6B">
      <w:pPr>
        <w:autoSpaceDE w:val="0"/>
        <w:autoSpaceDN w:val="0"/>
        <w:adjustRightInd w:val="0"/>
        <w:jc w:val="both"/>
      </w:pPr>
      <w:r>
        <w:t>U točki IV. izreke ukinuto je privremeno rješenje, sukladno odredbi članka 100. stavka 3. Zakona o općem upravnom postupku.</w:t>
      </w:r>
    </w:p>
    <w:p w14:paraId="38CBC917" w14:textId="77777777" w:rsidR="00C66EAF" w:rsidRDefault="00C66EAF" w:rsidP="00F97B6B">
      <w:pPr>
        <w:autoSpaceDE w:val="0"/>
        <w:autoSpaceDN w:val="0"/>
        <w:adjustRightInd w:val="0"/>
        <w:jc w:val="both"/>
        <w:rPr>
          <w:sz w:val="23"/>
          <w:szCs w:val="23"/>
        </w:rPr>
      </w:pPr>
    </w:p>
    <w:p w14:paraId="7CEE559D" w14:textId="77777777" w:rsidR="005654FC" w:rsidRDefault="005654FC" w:rsidP="003B3B7A">
      <w:pPr>
        <w:autoSpaceDE w:val="0"/>
        <w:autoSpaceDN w:val="0"/>
        <w:adjustRightInd w:val="0"/>
        <w:jc w:val="both"/>
      </w:pPr>
      <w:r>
        <w:t>Slijedom svega navedenog, odlučeno je kao u izreci.</w:t>
      </w:r>
    </w:p>
    <w:p w14:paraId="5E575534" w14:textId="77777777" w:rsidR="005654FC" w:rsidRDefault="005654FC" w:rsidP="005654FC">
      <w:pPr>
        <w:jc w:val="both"/>
      </w:pPr>
    </w:p>
    <w:tbl>
      <w:tblPr>
        <w:tblpPr w:leftFromText="180" w:rightFromText="180" w:vertAnchor="text" w:horzAnchor="margin" w:tblpY="2570"/>
        <w:tblW w:w="0" w:type="auto"/>
        <w:tblLook w:val="01E0" w:firstRow="1" w:lastRow="1" w:firstColumn="1" w:lastColumn="1" w:noHBand="0" w:noVBand="0"/>
      </w:tblPr>
      <w:tblGrid>
        <w:gridCol w:w="4801"/>
        <w:gridCol w:w="4837"/>
      </w:tblGrid>
      <w:tr w:rsidR="00D721B0" w14:paraId="6627C32D" w14:textId="77777777" w:rsidTr="003B3B7A">
        <w:tc>
          <w:tcPr>
            <w:tcW w:w="4801" w:type="dxa"/>
            <w:shd w:val="clear" w:color="auto" w:fill="auto"/>
          </w:tcPr>
          <w:p w14:paraId="576C9EC1" w14:textId="77777777" w:rsidR="00D721B0" w:rsidRDefault="00D721B0" w:rsidP="003B3B7A"/>
        </w:tc>
        <w:tc>
          <w:tcPr>
            <w:tcW w:w="4837" w:type="dxa"/>
            <w:shd w:val="clear" w:color="auto" w:fill="auto"/>
          </w:tcPr>
          <w:p w14:paraId="7D133D68" w14:textId="77777777" w:rsidR="00D721B0" w:rsidRDefault="00D721B0" w:rsidP="003B3B7A">
            <w:pPr>
              <w:pStyle w:val="Uloga"/>
              <w:jc w:val="center"/>
            </w:pPr>
            <w:r>
              <w:t>Predsjednik Vijeća</w:t>
            </w:r>
          </w:p>
        </w:tc>
      </w:tr>
      <w:tr w:rsidR="00D721B0" w14:paraId="4E9E830D" w14:textId="77777777" w:rsidTr="003B3B7A">
        <w:tc>
          <w:tcPr>
            <w:tcW w:w="4801" w:type="dxa"/>
            <w:shd w:val="clear" w:color="auto" w:fill="auto"/>
          </w:tcPr>
          <w:p w14:paraId="1E77940E" w14:textId="77777777" w:rsidR="00D721B0" w:rsidRDefault="00D721B0" w:rsidP="003B3B7A"/>
          <w:p w14:paraId="6C77967B" w14:textId="77777777" w:rsidR="00971699" w:rsidRDefault="00971699" w:rsidP="003B3B7A"/>
          <w:p w14:paraId="42D4CBC5" w14:textId="77777777" w:rsidR="00971699" w:rsidRDefault="00971699" w:rsidP="003B3B7A"/>
          <w:p w14:paraId="789A0B5F" w14:textId="77777777" w:rsidR="00971699" w:rsidRDefault="00971699" w:rsidP="003B3B7A"/>
          <w:p w14:paraId="48B32E4D" w14:textId="77777777" w:rsidR="00971699" w:rsidRDefault="00971699" w:rsidP="003B3B7A"/>
          <w:p w14:paraId="1D04244E" w14:textId="77777777" w:rsidR="00971699" w:rsidRDefault="00971699" w:rsidP="003B3B7A"/>
          <w:p w14:paraId="42F18021" w14:textId="77777777" w:rsidR="00971699" w:rsidRDefault="00971699" w:rsidP="003B3B7A"/>
          <w:p w14:paraId="45CD49E1" w14:textId="77777777" w:rsidR="00971699" w:rsidRDefault="00971699" w:rsidP="00971699"/>
        </w:tc>
        <w:tc>
          <w:tcPr>
            <w:tcW w:w="4837" w:type="dxa"/>
            <w:shd w:val="clear" w:color="auto" w:fill="auto"/>
          </w:tcPr>
          <w:p w14:paraId="6F98190C" w14:textId="77777777" w:rsidR="00D721B0" w:rsidRDefault="00D721B0" w:rsidP="003B3B7A">
            <w:pPr>
              <w:pStyle w:val="Uloga-ime"/>
              <w:jc w:val="center"/>
            </w:pPr>
            <w:r>
              <w:t>Tonko Obuljen</w:t>
            </w:r>
          </w:p>
          <w:p w14:paraId="3905D92C" w14:textId="77777777" w:rsidR="00971699" w:rsidRDefault="00971699" w:rsidP="00971699">
            <w:pPr>
              <w:pStyle w:val="Uloga-ime"/>
              <w:ind w:left="1895" w:hanging="708"/>
              <w:jc w:val="center"/>
            </w:pPr>
          </w:p>
          <w:p w14:paraId="3069318C" w14:textId="77777777" w:rsidR="00971699" w:rsidRDefault="00971699" w:rsidP="003B3B7A">
            <w:pPr>
              <w:pStyle w:val="Uloga-ime"/>
              <w:jc w:val="center"/>
            </w:pPr>
          </w:p>
        </w:tc>
      </w:tr>
    </w:tbl>
    <w:p w14:paraId="32167698" w14:textId="77777777" w:rsidR="005654FC" w:rsidRDefault="005654FC" w:rsidP="00D721B0">
      <w:pPr>
        <w:jc w:val="both"/>
      </w:pPr>
      <w:r>
        <w:t>Sukladno članku 22. ZEK-a o ovom prijedlogu provest će se javna rasprava i postupak usklađivanja u donošenju odluka iz članka 23. ZEK-a te će ista biti objavljena na internetskim stranicama HAKOM-a u skladu s člankom 14. stavkom 4. ZEK-a</w:t>
      </w:r>
      <w:r w:rsidR="00D721B0">
        <w:t>.</w:t>
      </w:r>
    </w:p>
    <w:p w14:paraId="22D07C23" w14:textId="77777777" w:rsidR="003B3B7A" w:rsidRDefault="003B3B7A" w:rsidP="00D721B0">
      <w:pPr>
        <w:jc w:val="both"/>
      </w:pPr>
    </w:p>
    <w:p w14:paraId="3337192A" w14:textId="77777777" w:rsidR="003B3B7A" w:rsidRDefault="003B3B7A" w:rsidP="00D721B0">
      <w:pPr>
        <w:jc w:val="both"/>
      </w:pPr>
      <w:r w:rsidRPr="00A47744">
        <w:t xml:space="preserve">Sukladno članku 54. stavku 5. ZEK-a HAKOM će </w:t>
      </w:r>
      <w:r>
        <w:t xml:space="preserve">o ovom prijedlogu </w:t>
      </w:r>
      <w:r w:rsidRPr="00A47744">
        <w:t xml:space="preserve">zatražiti mišljenje Agencije za zaštitu </w:t>
      </w:r>
      <w:r>
        <w:t>tržišnog natjecanja.</w:t>
      </w:r>
    </w:p>
    <w:p w14:paraId="63CD40EA" w14:textId="77777777" w:rsidR="003B3B7A" w:rsidRDefault="003B3B7A" w:rsidP="00D721B0">
      <w:pPr>
        <w:jc w:val="both"/>
      </w:pPr>
    </w:p>
    <w:p w14:paraId="544036FC" w14:textId="77777777" w:rsidR="003B3B7A" w:rsidRPr="00CB4BB1" w:rsidRDefault="003B3B7A" w:rsidP="00D721B0">
      <w:pPr>
        <w:jc w:val="both"/>
      </w:pPr>
    </w:p>
    <w:sectPr w:rsidR="003B3B7A" w:rsidRPr="00CB4BB1" w:rsidSect="00192D15">
      <w:headerReference w:type="default" r:id="rId10"/>
      <w:footerReference w:type="default" r:id="rId11"/>
      <w:headerReference w:type="first" r:id="rId12"/>
      <w:footerReference w:type="first" r:id="rId1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F34BED" w14:textId="77777777" w:rsidR="00F50EC5" w:rsidRDefault="00F50EC5">
      <w:r>
        <w:separator/>
      </w:r>
    </w:p>
  </w:endnote>
  <w:endnote w:type="continuationSeparator" w:id="0">
    <w:p w14:paraId="60B8950B" w14:textId="77777777" w:rsidR="00F50EC5" w:rsidRDefault="00F50E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8392323"/>
      <w:docPartObj>
        <w:docPartGallery w:val="Page Numbers (Bottom of Page)"/>
        <w:docPartUnique/>
      </w:docPartObj>
    </w:sdtPr>
    <w:sdtEndPr/>
    <w:sdtContent>
      <w:p w14:paraId="4EB652DE" w14:textId="77777777" w:rsidR="00A823EC" w:rsidRDefault="00A823EC">
        <w:pPr>
          <w:pStyle w:val="Footer"/>
          <w:jc w:val="right"/>
        </w:pPr>
        <w:r>
          <w:fldChar w:fldCharType="begin"/>
        </w:r>
        <w:r>
          <w:instrText>PAGE   \* MERGEFORMAT</w:instrText>
        </w:r>
        <w:r>
          <w:fldChar w:fldCharType="separate"/>
        </w:r>
        <w:r w:rsidR="001827FB">
          <w:rPr>
            <w:noProof/>
          </w:rPr>
          <w:t>4</w:t>
        </w:r>
        <w:r>
          <w:fldChar w:fldCharType="end"/>
        </w:r>
      </w:p>
    </w:sdtContent>
  </w:sdt>
  <w:p w14:paraId="4395FD18" w14:textId="77777777" w:rsidR="00A823EC" w:rsidRDefault="00A823E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DE20D2" w14:textId="77777777" w:rsidR="00DC2C85" w:rsidRPr="008639AE" w:rsidRDefault="00124418"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279D21D2" wp14:editId="52274FE0">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C7A1220"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109DE4B8" w14:textId="77777777" w:rsidR="005B56E5" w:rsidRPr="00605B1D" w:rsidRDefault="005B56E5" w:rsidP="005B56E5">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145C24D0" w14:textId="77777777" w:rsidR="00964B0D" w:rsidRPr="005B56E5" w:rsidRDefault="005B56E5" w:rsidP="005B56E5">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961CF2" w14:textId="77777777" w:rsidR="00F50EC5" w:rsidRDefault="00F50EC5">
      <w:r>
        <w:separator/>
      </w:r>
    </w:p>
  </w:footnote>
  <w:footnote w:type="continuationSeparator" w:id="0">
    <w:p w14:paraId="31EADF5A" w14:textId="77777777" w:rsidR="00F50EC5" w:rsidRDefault="00F50E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4059A7" w14:textId="77777777" w:rsidR="00DC2C85" w:rsidRDefault="00DC2C85"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131FF3" w14:textId="77777777" w:rsidR="00DC2C85" w:rsidRDefault="000C0A11" w:rsidP="00192D15">
    <w:pPr>
      <w:pStyle w:val="Header"/>
      <w:tabs>
        <w:tab w:val="clear" w:pos="4536"/>
        <w:tab w:val="clear" w:pos="9072"/>
      </w:tabs>
      <w:ind w:left="-357" w:right="-357"/>
      <w:jc w:val="center"/>
    </w:pPr>
    <w:r w:rsidRPr="009F6CDB">
      <w:rPr>
        <w:noProof/>
      </w:rPr>
      <w:drawing>
        <wp:inline distT="0" distB="0" distL="0" distR="0" wp14:anchorId="07DBAB98" wp14:editId="1152914E">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4BBD95CD" w14:textId="77777777" w:rsidR="00DC2C85" w:rsidRDefault="00DC2C85" w:rsidP="00192D15">
    <w:pPr>
      <w:pStyle w:val="Header"/>
      <w:tabs>
        <w:tab w:val="clear" w:pos="4536"/>
        <w:tab w:val="clear" w:pos="9072"/>
      </w:tabs>
      <w:ind w:left="-357" w:right="-357"/>
      <w:jc w:val="center"/>
    </w:pPr>
  </w:p>
  <w:p w14:paraId="4328C24C" w14:textId="77777777" w:rsidR="00DC2C85" w:rsidRDefault="00DC2C85"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820C0F"/>
    <w:multiLevelType w:val="hybridMultilevel"/>
    <w:tmpl w:val="58E243B6"/>
    <w:lvl w:ilvl="0" w:tplc="27B6B578">
      <w:start w:val="1"/>
      <w:numFmt w:val="upperRoman"/>
      <w:lvlText w:val="%1."/>
      <w:lvlJc w:val="left"/>
      <w:pPr>
        <w:ind w:left="1146" w:hanging="720"/>
      </w:pPr>
      <w:rPr>
        <w:rFonts w:hint="default"/>
        <w:b/>
      </w:rPr>
    </w:lvl>
    <w:lvl w:ilvl="1" w:tplc="041A0019" w:tentative="1">
      <w:start w:val="1"/>
      <w:numFmt w:val="lowerLetter"/>
      <w:lvlText w:val="%2."/>
      <w:lvlJc w:val="left"/>
      <w:pPr>
        <w:ind w:left="1506" w:hanging="360"/>
      </w:pPr>
    </w:lvl>
    <w:lvl w:ilvl="2" w:tplc="041A001B" w:tentative="1">
      <w:start w:val="1"/>
      <w:numFmt w:val="lowerRoman"/>
      <w:lvlText w:val="%3."/>
      <w:lvlJc w:val="right"/>
      <w:pPr>
        <w:ind w:left="2226" w:hanging="180"/>
      </w:pPr>
    </w:lvl>
    <w:lvl w:ilvl="3" w:tplc="041A000F" w:tentative="1">
      <w:start w:val="1"/>
      <w:numFmt w:val="decimal"/>
      <w:lvlText w:val="%4."/>
      <w:lvlJc w:val="left"/>
      <w:pPr>
        <w:ind w:left="2946" w:hanging="360"/>
      </w:pPr>
    </w:lvl>
    <w:lvl w:ilvl="4" w:tplc="041A0019" w:tentative="1">
      <w:start w:val="1"/>
      <w:numFmt w:val="lowerLetter"/>
      <w:lvlText w:val="%5."/>
      <w:lvlJc w:val="left"/>
      <w:pPr>
        <w:ind w:left="3666" w:hanging="360"/>
      </w:pPr>
    </w:lvl>
    <w:lvl w:ilvl="5" w:tplc="041A001B" w:tentative="1">
      <w:start w:val="1"/>
      <w:numFmt w:val="lowerRoman"/>
      <w:lvlText w:val="%6."/>
      <w:lvlJc w:val="right"/>
      <w:pPr>
        <w:ind w:left="4386" w:hanging="180"/>
      </w:pPr>
    </w:lvl>
    <w:lvl w:ilvl="6" w:tplc="041A000F" w:tentative="1">
      <w:start w:val="1"/>
      <w:numFmt w:val="decimal"/>
      <w:lvlText w:val="%7."/>
      <w:lvlJc w:val="left"/>
      <w:pPr>
        <w:ind w:left="5106" w:hanging="360"/>
      </w:pPr>
    </w:lvl>
    <w:lvl w:ilvl="7" w:tplc="041A0019" w:tentative="1">
      <w:start w:val="1"/>
      <w:numFmt w:val="lowerLetter"/>
      <w:lvlText w:val="%8."/>
      <w:lvlJc w:val="left"/>
      <w:pPr>
        <w:ind w:left="5826" w:hanging="360"/>
      </w:pPr>
    </w:lvl>
    <w:lvl w:ilvl="8" w:tplc="041A001B" w:tentative="1">
      <w:start w:val="1"/>
      <w:numFmt w:val="lowerRoman"/>
      <w:lvlText w:val="%9."/>
      <w:lvlJc w:val="right"/>
      <w:pPr>
        <w:ind w:left="6546" w:hanging="180"/>
      </w:pPr>
    </w:lvl>
  </w:abstractNum>
  <w:abstractNum w:abstractNumId="1" w15:restartNumberingAfterBreak="0">
    <w:nsid w:val="68F005B8"/>
    <w:multiLevelType w:val="hybridMultilevel"/>
    <w:tmpl w:val="E0EA0F1A"/>
    <w:lvl w:ilvl="0" w:tplc="72267688">
      <w:start w:val="1"/>
      <w:numFmt w:val="upp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6229"/>
    <w:rsid w:val="00017189"/>
    <w:rsid w:val="00017D1F"/>
    <w:rsid w:val="000371B7"/>
    <w:rsid w:val="00064A4F"/>
    <w:rsid w:val="00072436"/>
    <w:rsid w:val="00096E99"/>
    <w:rsid w:val="000B0F1B"/>
    <w:rsid w:val="000C0A11"/>
    <w:rsid w:val="000C4706"/>
    <w:rsid w:val="001141B7"/>
    <w:rsid w:val="00117F46"/>
    <w:rsid w:val="0012002C"/>
    <w:rsid w:val="00120AA8"/>
    <w:rsid w:val="00121580"/>
    <w:rsid w:val="00124418"/>
    <w:rsid w:val="00145C97"/>
    <w:rsid w:val="00165B16"/>
    <w:rsid w:val="0017456C"/>
    <w:rsid w:val="001827FB"/>
    <w:rsid w:val="00192D15"/>
    <w:rsid w:val="001A592A"/>
    <w:rsid w:val="001D4199"/>
    <w:rsid w:val="001F1443"/>
    <w:rsid w:val="00206F40"/>
    <w:rsid w:val="002307B2"/>
    <w:rsid w:val="00232E77"/>
    <w:rsid w:val="00244A64"/>
    <w:rsid w:val="002856BB"/>
    <w:rsid w:val="002B6E48"/>
    <w:rsid w:val="002C7E41"/>
    <w:rsid w:val="002F5422"/>
    <w:rsid w:val="002F7F7A"/>
    <w:rsid w:val="00310964"/>
    <w:rsid w:val="0032262F"/>
    <w:rsid w:val="00331BA7"/>
    <w:rsid w:val="0033764D"/>
    <w:rsid w:val="003462FD"/>
    <w:rsid w:val="00370283"/>
    <w:rsid w:val="003A6B22"/>
    <w:rsid w:val="003A75B4"/>
    <w:rsid w:val="003B15AC"/>
    <w:rsid w:val="003B3B7A"/>
    <w:rsid w:val="003C0068"/>
    <w:rsid w:val="003D77EC"/>
    <w:rsid w:val="003D7AE9"/>
    <w:rsid w:val="003F1DE4"/>
    <w:rsid w:val="00407BB1"/>
    <w:rsid w:val="004161EC"/>
    <w:rsid w:val="00441FAE"/>
    <w:rsid w:val="00442F89"/>
    <w:rsid w:val="00450922"/>
    <w:rsid w:val="00451061"/>
    <w:rsid w:val="00467F65"/>
    <w:rsid w:val="00470A89"/>
    <w:rsid w:val="004842B7"/>
    <w:rsid w:val="004873AC"/>
    <w:rsid w:val="004A6DDC"/>
    <w:rsid w:val="00507DEB"/>
    <w:rsid w:val="00512B13"/>
    <w:rsid w:val="00524413"/>
    <w:rsid w:val="005513BE"/>
    <w:rsid w:val="005654FC"/>
    <w:rsid w:val="00572A77"/>
    <w:rsid w:val="005B56E5"/>
    <w:rsid w:val="005B7122"/>
    <w:rsid w:val="005D00F7"/>
    <w:rsid w:val="005D633C"/>
    <w:rsid w:val="005E6863"/>
    <w:rsid w:val="005F357B"/>
    <w:rsid w:val="005F3BAF"/>
    <w:rsid w:val="0065292C"/>
    <w:rsid w:val="00663E52"/>
    <w:rsid w:val="00667974"/>
    <w:rsid w:val="00691785"/>
    <w:rsid w:val="00693ADD"/>
    <w:rsid w:val="006A082D"/>
    <w:rsid w:val="006B78DA"/>
    <w:rsid w:val="006D461E"/>
    <w:rsid w:val="006F32B7"/>
    <w:rsid w:val="00702429"/>
    <w:rsid w:val="0072124E"/>
    <w:rsid w:val="00725F93"/>
    <w:rsid w:val="00731423"/>
    <w:rsid w:val="007447D5"/>
    <w:rsid w:val="00793180"/>
    <w:rsid w:val="00794EF8"/>
    <w:rsid w:val="007A08B5"/>
    <w:rsid w:val="007B24A0"/>
    <w:rsid w:val="007B639E"/>
    <w:rsid w:val="007C504C"/>
    <w:rsid w:val="007D24E5"/>
    <w:rsid w:val="007D60CC"/>
    <w:rsid w:val="00805473"/>
    <w:rsid w:val="00814EA6"/>
    <w:rsid w:val="00816926"/>
    <w:rsid w:val="008639AE"/>
    <w:rsid w:val="00871283"/>
    <w:rsid w:val="008762A4"/>
    <w:rsid w:val="00884393"/>
    <w:rsid w:val="00895989"/>
    <w:rsid w:val="008C50C7"/>
    <w:rsid w:val="008F1418"/>
    <w:rsid w:val="00905102"/>
    <w:rsid w:val="0091001E"/>
    <w:rsid w:val="00914CC5"/>
    <w:rsid w:val="009242A5"/>
    <w:rsid w:val="00935CFC"/>
    <w:rsid w:val="009568E1"/>
    <w:rsid w:val="00964B0D"/>
    <w:rsid w:val="00971699"/>
    <w:rsid w:val="00986F67"/>
    <w:rsid w:val="009A57FC"/>
    <w:rsid w:val="009A7313"/>
    <w:rsid w:val="009F3FBB"/>
    <w:rsid w:val="00A03CA8"/>
    <w:rsid w:val="00A31AE4"/>
    <w:rsid w:val="00A41300"/>
    <w:rsid w:val="00A53388"/>
    <w:rsid w:val="00A615C9"/>
    <w:rsid w:val="00A675B3"/>
    <w:rsid w:val="00A823EC"/>
    <w:rsid w:val="00AB540A"/>
    <w:rsid w:val="00AC1020"/>
    <w:rsid w:val="00AD3E6A"/>
    <w:rsid w:val="00AE2703"/>
    <w:rsid w:val="00AF02D7"/>
    <w:rsid w:val="00B01212"/>
    <w:rsid w:val="00B138A0"/>
    <w:rsid w:val="00B42A6A"/>
    <w:rsid w:val="00B72B79"/>
    <w:rsid w:val="00B763A3"/>
    <w:rsid w:val="00BB673D"/>
    <w:rsid w:val="00BC1C56"/>
    <w:rsid w:val="00BC3566"/>
    <w:rsid w:val="00BD3224"/>
    <w:rsid w:val="00BE10C2"/>
    <w:rsid w:val="00C16B18"/>
    <w:rsid w:val="00C25866"/>
    <w:rsid w:val="00C511C1"/>
    <w:rsid w:val="00C548F8"/>
    <w:rsid w:val="00C56F5F"/>
    <w:rsid w:val="00C66EAF"/>
    <w:rsid w:val="00C71216"/>
    <w:rsid w:val="00CA47AB"/>
    <w:rsid w:val="00CB4BB1"/>
    <w:rsid w:val="00CB65AD"/>
    <w:rsid w:val="00CF4FFA"/>
    <w:rsid w:val="00D11282"/>
    <w:rsid w:val="00D66978"/>
    <w:rsid w:val="00D721B0"/>
    <w:rsid w:val="00D91324"/>
    <w:rsid w:val="00D925CA"/>
    <w:rsid w:val="00DA4028"/>
    <w:rsid w:val="00DC2C85"/>
    <w:rsid w:val="00DC4BA7"/>
    <w:rsid w:val="00DC521D"/>
    <w:rsid w:val="00DD243E"/>
    <w:rsid w:val="00DE6EA9"/>
    <w:rsid w:val="00DF10DE"/>
    <w:rsid w:val="00DF565B"/>
    <w:rsid w:val="00E12428"/>
    <w:rsid w:val="00E131D8"/>
    <w:rsid w:val="00E158B1"/>
    <w:rsid w:val="00E26980"/>
    <w:rsid w:val="00E35E24"/>
    <w:rsid w:val="00E51307"/>
    <w:rsid w:val="00E57DCB"/>
    <w:rsid w:val="00E8066C"/>
    <w:rsid w:val="00E84C4E"/>
    <w:rsid w:val="00E9407B"/>
    <w:rsid w:val="00EA1170"/>
    <w:rsid w:val="00EB1BC6"/>
    <w:rsid w:val="00EE6009"/>
    <w:rsid w:val="00F0636D"/>
    <w:rsid w:val="00F1499F"/>
    <w:rsid w:val="00F50EC5"/>
    <w:rsid w:val="00F70EF6"/>
    <w:rsid w:val="00F93806"/>
    <w:rsid w:val="00F97B6B"/>
    <w:rsid w:val="00FA3130"/>
    <w:rsid w:val="00FA67E0"/>
    <w:rsid w:val="00FC0886"/>
    <w:rsid w:val="00FC6319"/>
    <w:rsid w:val="00FD7E3B"/>
    <w:rsid w:val="00FF1BE4"/>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597C2DB0"/>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0371B7"/>
    <w:pPr>
      <w:ind w:left="720"/>
      <w:contextualSpacing/>
    </w:pPr>
  </w:style>
  <w:style w:type="character" w:styleId="CommentReference">
    <w:name w:val="annotation reference"/>
    <w:basedOn w:val="DefaultParagraphFont"/>
    <w:semiHidden/>
    <w:unhideWhenUsed/>
    <w:rsid w:val="00C66EAF"/>
    <w:rPr>
      <w:sz w:val="16"/>
      <w:szCs w:val="16"/>
    </w:rPr>
  </w:style>
  <w:style w:type="paragraph" w:styleId="CommentText">
    <w:name w:val="annotation text"/>
    <w:basedOn w:val="Normal"/>
    <w:link w:val="CommentTextChar"/>
    <w:semiHidden/>
    <w:unhideWhenUsed/>
    <w:rsid w:val="00C66EAF"/>
    <w:rPr>
      <w:sz w:val="20"/>
      <w:szCs w:val="20"/>
    </w:rPr>
  </w:style>
  <w:style w:type="character" w:customStyle="1" w:styleId="CommentTextChar">
    <w:name w:val="Comment Text Char"/>
    <w:basedOn w:val="DefaultParagraphFont"/>
    <w:link w:val="CommentText"/>
    <w:semiHidden/>
    <w:rsid w:val="00C66EAF"/>
  </w:style>
  <w:style w:type="paragraph" w:styleId="CommentSubject">
    <w:name w:val="annotation subject"/>
    <w:basedOn w:val="CommentText"/>
    <w:next w:val="CommentText"/>
    <w:link w:val="CommentSubjectChar"/>
    <w:semiHidden/>
    <w:unhideWhenUsed/>
    <w:rsid w:val="00C66EAF"/>
    <w:rPr>
      <w:b/>
      <w:bCs/>
    </w:rPr>
  </w:style>
  <w:style w:type="character" w:customStyle="1" w:styleId="CommentSubjectChar">
    <w:name w:val="Comment Subject Char"/>
    <w:basedOn w:val="CommentTextChar"/>
    <w:link w:val="CommentSubject"/>
    <w:semiHidden/>
    <w:rsid w:val="00C66EAF"/>
    <w:rPr>
      <w:b/>
      <w:bCs/>
    </w:rPr>
  </w:style>
  <w:style w:type="character" w:customStyle="1" w:styleId="FooterChar">
    <w:name w:val="Footer Char"/>
    <w:basedOn w:val="DefaultParagraphFont"/>
    <w:link w:val="Footer"/>
    <w:uiPriority w:val="99"/>
    <w:rsid w:val="00A823EC"/>
    <w:rPr>
      <w:rFonts w:ascii="Calibri" w:hAnsi="Calibri"/>
      <w:color w:val="024182"/>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037236">
      <w:bodyDiv w:val="1"/>
      <w:marLeft w:val="0"/>
      <w:marRight w:val="0"/>
      <w:marTop w:val="0"/>
      <w:marBottom w:val="0"/>
      <w:divBdr>
        <w:top w:val="none" w:sz="0" w:space="0" w:color="auto"/>
        <w:left w:val="none" w:sz="0" w:space="0" w:color="auto"/>
        <w:bottom w:val="none" w:sz="0" w:space="0" w:color="auto"/>
        <w:right w:val="none" w:sz="0" w:space="0" w:color="auto"/>
      </w:divBdr>
    </w:div>
    <w:div w:id="59835090">
      <w:bodyDiv w:val="1"/>
      <w:marLeft w:val="0"/>
      <w:marRight w:val="0"/>
      <w:marTop w:val="0"/>
      <w:marBottom w:val="0"/>
      <w:divBdr>
        <w:top w:val="none" w:sz="0" w:space="0" w:color="auto"/>
        <w:left w:val="none" w:sz="0" w:space="0" w:color="auto"/>
        <w:bottom w:val="none" w:sz="0" w:space="0" w:color="auto"/>
        <w:right w:val="none" w:sz="0" w:space="0" w:color="auto"/>
      </w:divBdr>
    </w:div>
    <w:div w:id="1262757972">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1766</Words>
  <Characters>10067</Characters>
  <Application>Microsoft Office Word</Application>
  <DocSecurity>0</DocSecurity>
  <Lines>83</Lines>
  <Paragraphs>23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11810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Tomislav Lovrić</dc:creator>
  <cp:keywords>English version</cp:keywords>
  <cp:lastModifiedBy>Marko Čavlović</cp:lastModifiedBy>
  <cp:revision>2</cp:revision>
  <cp:lastPrinted>2009-11-10T13:16:00Z</cp:lastPrinted>
  <dcterms:created xsi:type="dcterms:W3CDTF">2021-10-14T11:04:00Z</dcterms:created>
  <dcterms:modified xsi:type="dcterms:W3CDTF">2021-10-14T11:04:00Z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