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8EBB8F" w14:textId="77777777" w:rsidR="001A2A92" w:rsidRPr="00DC35EC" w:rsidRDefault="00183E09" w:rsidP="00DC35EC">
      <w:pPr>
        <w:jc w:val="center"/>
        <w:rPr>
          <w:b/>
          <w:sz w:val="28"/>
          <w:szCs w:val="28"/>
        </w:rPr>
      </w:pPr>
      <w:r w:rsidRPr="00183E09">
        <w:rPr>
          <w:b/>
          <w:iCs/>
          <w:sz w:val="28"/>
          <w:szCs w:val="28"/>
        </w:rPr>
        <w:t xml:space="preserve">Javna rasprava o </w:t>
      </w:r>
      <w:r w:rsidR="009B1545">
        <w:rPr>
          <w:b/>
          <w:iCs/>
          <w:sz w:val="28"/>
          <w:szCs w:val="28"/>
        </w:rPr>
        <w:t xml:space="preserve">budućoj uporabi i </w:t>
      </w:r>
      <w:r w:rsidRPr="00183E09">
        <w:rPr>
          <w:b/>
          <w:iCs/>
          <w:sz w:val="28"/>
          <w:szCs w:val="28"/>
        </w:rPr>
        <w:t xml:space="preserve">dodjeli frekvencijskih pojaseva </w:t>
      </w:r>
      <w:r w:rsidR="00546A96">
        <w:rPr>
          <w:b/>
          <w:iCs/>
          <w:sz w:val="28"/>
          <w:szCs w:val="28"/>
        </w:rPr>
        <w:t>8</w:t>
      </w:r>
      <w:r w:rsidRPr="00183E09">
        <w:rPr>
          <w:b/>
          <w:iCs/>
          <w:sz w:val="28"/>
          <w:szCs w:val="28"/>
        </w:rPr>
        <w:t xml:space="preserve">00 MHz, </w:t>
      </w:r>
      <w:r w:rsidR="00546A96">
        <w:rPr>
          <w:b/>
          <w:iCs/>
          <w:sz w:val="28"/>
          <w:szCs w:val="28"/>
        </w:rPr>
        <w:t>9</w:t>
      </w:r>
      <w:r w:rsidRPr="00183E09">
        <w:rPr>
          <w:b/>
          <w:iCs/>
          <w:sz w:val="28"/>
          <w:szCs w:val="28"/>
        </w:rPr>
        <w:t>00 MHz,</w:t>
      </w:r>
      <w:r w:rsidR="00B71D4D">
        <w:rPr>
          <w:b/>
          <w:iCs/>
          <w:sz w:val="28"/>
          <w:szCs w:val="28"/>
        </w:rPr>
        <w:t xml:space="preserve"> 1500 MHz,</w:t>
      </w:r>
      <w:r w:rsidR="00546A96">
        <w:rPr>
          <w:b/>
          <w:iCs/>
          <w:sz w:val="28"/>
          <w:szCs w:val="28"/>
        </w:rPr>
        <w:t xml:space="preserve"> 1800 MHz, 2100 MHz, 2600 MHz,</w:t>
      </w:r>
      <w:r w:rsidRPr="00183E09">
        <w:rPr>
          <w:b/>
          <w:iCs/>
          <w:sz w:val="28"/>
          <w:szCs w:val="28"/>
        </w:rPr>
        <w:t xml:space="preserve"> 3,6 GHz i 26 GHz</w:t>
      </w:r>
    </w:p>
    <w:sdt>
      <w:sdtPr>
        <w:rPr>
          <w:rFonts w:asciiTheme="minorHAnsi" w:eastAsiaTheme="minorHAnsi" w:hAnsiTheme="minorHAnsi" w:cstheme="minorBidi"/>
          <w:color w:val="auto"/>
          <w:sz w:val="22"/>
          <w:szCs w:val="22"/>
          <w:lang w:val="hr-HR"/>
        </w:rPr>
        <w:id w:val="-1637490744"/>
        <w:docPartObj>
          <w:docPartGallery w:val="Table of Contents"/>
          <w:docPartUnique/>
        </w:docPartObj>
      </w:sdtPr>
      <w:sdtEndPr>
        <w:rPr>
          <w:b/>
          <w:bCs/>
          <w:noProof/>
        </w:rPr>
      </w:sdtEndPr>
      <w:sdtContent>
        <w:p w14:paraId="58BE204F" w14:textId="77777777" w:rsidR="00DD215C" w:rsidRDefault="00DD215C">
          <w:pPr>
            <w:pStyle w:val="TOCHeading"/>
          </w:pPr>
          <w:r>
            <w:t>Sadržaj</w:t>
          </w:r>
        </w:p>
        <w:p w14:paraId="10EA5BDB" w14:textId="77777777" w:rsidR="00593B95" w:rsidRDefault="00DD215C">
          <w:pPr>
            <w:pStyle w:val="TOC1"/>
            <w:tabs>
              <w:tab w:val="left" w:pos="440"/>
              <w:tab w:val="right" w:leader="dot" w:pos="9062"/>
            </w:tabs>
            <w:rPr>
              <w:rFonts w:eastAsiaTheme="minorEastAsia"/>
              <w:noProof/>
              <w:lang w:eastAsia="hr-HR"/>
            </w:rPr>
          </w:pPr>
          <w:r>
            <w:rPr>
              <w:b/>
              <w:bCs/>
              <w:noProof/>
            </w:rPr>
            <w:fldChar w:fldCharType="begin"/>
          </w:r>
          <w:r>
            <w:rPr>
              <w:b/>
              <w:bCs/>
              <w:noProof/>
            </w:rPr>
            <w:instrText xml:space="preserve"> TOC \o "1-3" \h \z \u </w:instrText>
          </w:r>
          <w:r>
            <w:rPr>
              <w:b/>
              <w:bCs/>
              <w:noProof/>
            </w:rPr>
            <w:fldChar w:fldCharType="separate"/>
          </w:r>
          <w:hyperlink w:anchor="_Toc85715485" w:history="1">
            <w:r w:rsidR="00593B95" w:rsidRPr="00A94557">
              <w:rPr>
                <w:rStyle w:val="Hyperlink"/>
                <w:noProof/>
              </w:rPr>
              <w:t>1.</w:t>
            </w:r>
            <w:r w:rsidR="00593B95">
              <w:rPr>
                <w:rFonts w:eastAsiaTheme="minorEastAsia"/>
                <w:noProof/>
                <w:lang w:eastAsia="hr-HR"/>
              </w:rPr>
              <w:tab/>
            </w:r>
            <w:r w:rsidR="00593B95" w:rsidRPr="00A94557">
              <w:rPr>
                <w:rStyle w:val="Hyperlink"/>
                <w:noProof/>
              </w:rPr>
              <w:t>UVOD</w:t>
            </w:r>
            <w:r w:rsidR="00593B95">
              <w:rPr>
                <w:noProof/>
                <w:webHidden/>
              </w:rPr>
              <w:tab/>
            </w:r>
            <w:r w:rsidR="00593B95">
              <w:rPr>
                <w:noProof/>
                <w:webHidden/>
              </w:rPr>
              <w:fldChar w:fldCharType="begin"/>
            </w:r>
            <w:r w:rsidR="00593B95">
              <w:rPr>
                <w:noProof/>
                <w:webHidden/>
              </w:rPr>
              <w:instrText xml:space="preserve"> PAGEREF _Toc85715485 \h </w:instrText>
            </w:r>
            <w:r w:rsidR="00593B95">
              <w:rPr>
                <w:noProof/>
                <w:webHidden/>
              </w:rPr>
            </w:r>
            <w:r w:rsidR="00593B95">
              <w:rPr>
                <w:noProof/>
                <w:webHidden/>
              </w:rPr>
              <w:fldChar w:fldCharType="separate"/>
            </w:r>
            <w:r w:rsidR="00593B95">
              <w:rPr>
                <w:noProof/>
                <w:webHidden/>
              </w:rPr>
              <w:t>3</w:t>
            </w:r>
            <w:r w:rsidR="00593B95">
              <w:rPr>
                <w:noProof/>
                <w:webHidden/>
              </w:rPr>
              <w:fldChar w:fldCharType="end"/>
            </w:r>
          </w:hyperlink>
        </w:p>
        <w:p w14:paraId="09D29C48" w14:textId="77777777" w:rsidR="00593B95" w:rsidRDefault="00593B95">
          <w:pPr>
            <w:pStyle w:val="TOC1"/>
            <w:tabs>
              <w:tab w:val="left" w:pos="440"/>
              <w:tab w:val="right" w:leader="dot" w:pos="9062"/>
            </w:tabs>
            <w:rPr>
              <w:rFonts w:eastAsiaTheme="minorEastAsia"/>
              <w:noProof/>
              <w:lang w:eastAsia="hr-HR"/>
            </w:rPr>
          </w:pPr>
          <w:hyperlink w:anchor="_Toc85715486" w:history="1">
            <w:r w:rsidRPr="00A94557">
              <w:rPr>
                <w:rStyle w:val="Hyperlink"/>
                <w:noProof/>
              </w:rPr>
              <w:t>2.</w:t>
            </w:r>
            <w:r>
              <w:rPr>
                <w:rFonts w:eastAsiaTheme="minorEastAsia"/>
                <w:noProof/>
                <w:lang w:eastAsia="hr-HR"/>
              </w:rPr>
              <w:tab/>
            </w:r>
            <w:r w:rsidRPr="00A94557">
              <w:rPr>
                <w:rStyle w:val="Hyperlink"/>
                <w:noProof/>
              </w:rPr>
              <w:t>FREKVENCIJSKI POJASEVI</w:t>
            </w:r>
            <w:r>
              <w:rPr>
                <w:noProof/>
                <w:webHidden/>
              </w:rPr>
              <w:tab/>
            </w:r>
            <w:r>
              <w:rPr>
                <w:noProof/>
                <w:webHidden/>
              </w:rPr>
              <w:fldChar w:fldCharType="begin"/>
            </w:r>
            <w:r>
              <w:rPr>
                <w:noProof/>
                <w:webHidden/>
              </w:rPr>
              <w:instrText xml:space="preserve"> PAGEREF _Toc85715486 \h </w:instrText>
            </w:r>
            <w:r>
              <w:rPr>
                <w:noProof/>
                <w:webHidden/>
              </w:rPr>
            </w:r>
            <w:r>
              <w:rPr>
                <w:noProof/>
                <w:webHidden/>
              </w:rPr>
              <w:fldChar w:fldCharType="separate"/>
            </w:r>
            <w:r>
              <w:rPr>
                <w:noProof/>
                <w:webHidden/>
              </w:rPr>
              <w:t>4</w:t>
            </w:r>
            <w:r>
              <w:rPr>
                <w:noProof/>
                <w:webHidden/>
              </w:rPr>
              <w:fldChar w:fldCharType="end"/>
            </w:r>
          </w:hyperlink>
        </w:p>
        <w:p w14:paraId="6FC220B7" w14:textId="77777777" w:rsidR="00593B95" w:rsidRDefault="00593B95">
          <w:pPr>
            <w:pStyle w:val="TOC2"/>
            <w:tabs>
              <w:tab w:val="right" w:leader="dot" w:pos="9062"/>
            </w:tabs>
            <w:rPr>
              <w:rFonts w:eastAsiaTheme="minorEastAsia"/>
              <w:noProof/>
              <w:lang w:eastAsia="hr-HR"/>
            </w:rPr>
          </w:pPr>
          <w:hyperlink w:anchor="_Toc85715487" w:history="1">
            <w:r w:rsidRPr="00A94557">
              <w:rPr>
                <w:rStyle w:val="Hyperlink"/>
                <w:noProof/>
              </w:rPr>
              <w:t>2.1. Frekvencijski pojas 800 MHz</w:t>
            </w:r>
            <w:r>
              <w:rPr>
                <w:noProof/>
                <w:webHidden/>
              </w:rPr>
              <w:tab/>
            </w:r>
            <w:r>
              <w:rPr>
                <w:noProof/>
                <w:webHidden/>
              </w:rPr>
              <w:fldChar w:fldCharType="begin"/>
            </w:r>
            <w:r>
              <w:rPr>
                <w:noProof/>
                <w:webHidden/>
              </w:rPr>
              <w:instrText xml:space="preserve"> PAGEREF _Toc85715487 \h </w:instrText>
            </w:r>
            <w:r>
              <w:rPr>
                <w:noProof/>
                <w:webHidden/>
              </w:rPr>
            </w:r>
            <w:r>
              <w:rPr>
                <w:noProof/>
                <w:webHidden/>
              </w:rPr>
              <w:fldChar w:fldCharType="separate"/>
            </w:r>
            <w:r>
              <w:rPr>
                <w:noProof/>
                <w:webHidden/>
              </w:rPr>
              <w:t>4</w:t>
            </w:r>
            <w:r>
              <w:rPr>
                <w:noProof/>
                <w:webHidden/>
              </w:rPr>
              <w:fldChar w:fldCharType="end"/>
            </w:r>
          </w:hyperlink>
        </w:p>
        <w:p w14:paraId="056DECEB" w14:textId="77777777" w:rsidR="00593B95" w:rsidRDefault="00593B95">
          <w:pPr>
            <w:pStyle w:val="TOC2"/>
            <w:tabs>
              <w:tab w:val="right" w:leader="dot" w:pos="9062"/>
            </w:tabs>
            <w:rPr>
              <w:rFonts w:eastAsiaTheme="minorEastAsia"/>
              <w:noProof/>
              <w:lang w:eastAsia="hr-HR"/>
            </w:rPr>
          </w:pPr>
          <w:hyperlink w:anchor="_Toc85715488" w:history="1">
            <w:r w:rsidRPr="00A94557">
              <w:rPr>
                <w:rStyle w:val="Hyperlink"/>
                <w:noProof/>
              </w:rPr>
              <w:t>2.2. Frekvencijski pojas 900 MHz</w:t>
            </w:r>
            <w:r>
              <w:rPr>
                <w:noProof/>
                <w:webHidden/>
              </w:rPr>
              <w:tab/>
            </w:r>
            <w:r>
              <w:rPr>
                <w:noProof/>
                <w:webHidden/>
              </w:rPr>
              <w:fldChar w:fldCharType="begin"/>
            </w:r>
            <w:r>
              <w:rPr>
                <w:noProof/>
                <w:webHidden/>
              </w:rPr>
              <w:instrText xml:space="preserve"> PAGEREF _Toc85715488 \h </w:instrText>
            </w:r>
            <w:r>
              <w:rPr>
                <w:noProof/>
                <w:webHidden/>
              </w:rPr>
            </w:r>
            <w:r>
              <w:rPr>
                <w:noProof/>
                <w:webHidden/>
              </w:rPr>
              <w:fldChar w:fldCharType="separate"/>
            </w:r>
            <w:r>
              <w:rPr>
                <w:noProof/>
                <w:webHidden/>
              </w:rPr>
              <w:t>4</w:t>
            </w:r>
            <w:r>
              <w:rPr>
                <w:noProof/>
                <w:webHidden/>
              </w:rPr>
              <w:fldChar w:fldCharType="end"/>
            </w:r>
          </w:hyperlink>
        </w:p>
        <w:p w14:paraId="65269E27" w14:textId="77777777" w:rsidR="00593B95" w:rsidRDefault="00593B95">
          <w:pPr>
            <w:pStyle w:val="TOC2"/>
            <w:tabs>
              <w:tab w:val="right" w:leader="dot" w:pos="9062"/>
            </w:tabs>
            <w:rPr>
              <w:rFonts w:eastAsiaTheme="minorEastAsia"/>
              <w:noProof/>
              <w:lang w:eastAsia="hr-HR"/>
            </w:rPr>
          </w:pPr>
          <w:hyperlink w:anchor="_Toc85715489" w:history="1">
            <w:r w:rsidRPr="00A94557">
              <w:rPr>
                <w:rStyle w:val="Hyperlink"/>
                <w:noProof/>
              </w:rPr>
              <w:t>2.3. Frekvencijski pojas 1500 MHz</w:t>
            </w:r>
            <w:r>
              <w:rPr>
                <w:noProof/>
                <w:webHidden/>
              </w:rPr>
              <w:tab/>
            </w:r>
            <w:r>
              <w:rPr>
                <w:noProof/>
                <w:webHidden/>
              </w:rPr>
              <w:fldChar w:fldCharType="begin"/>
            </w:r>
            <w:r>
              <w:rPr>
                <w:noProof/>
                <w:webHidden/>
              </w:rPr>
              <w:instrText xml:space="preserve"> PAGEREF _Toc85715489 \h </w:instrText>
            </w:r>
            <w:r>
              <w:rPr>
                <w:noProof/>
                <w:webHidden/>
              </w:rPr>
            </w:r>
            <w:r>
              <w:rPr>
                <w:noProof/>
                <w:webHidden/>
              </w:rPr>
              <w:fldChar w:fldCharType="separate"/>
            </w:r>
            <w:r>
              <w:rPr>
                <w:noProof/>
                <w:webHidden/>
              </w:rPr>
              <w:t>5</w:t>
            </w:r>
            <w:r>
              <w:rPr>
                <w:noProof/>
                <w:webHidden/>
              </w:rPr>
              <w:fldChar w:fldCharType="end"/>
            </w:r>
          </w:hyperlink>
        </w:p>
        <w:p w14:paraId="158E3382" w14:textId="77777777" w:rsidR="00593B95" w:rsidRDefault="00593B95">
          <w:pPr>
            <w:pStyle w:val="TOC2"/>
            <w:tabs>
              <w:tab w:val="right" w:leader="dot" w:pos="9062"/>
            </w:tabs>
            <w:rPr>
              <w:rFonts w:eastAsiaTheme="minorEastAsia"/>
              <w:noProof/>
              <w:lang w:eastAsia="hr-HR"/>
            </w:rPr>
          </w:pPr>
          <w:hyperlink w:anchor="_Toc85715490" w:history="1">
            <w:r w:rsidRPr="00A94557">
              <w:rPr>
                <w:rStyle w:val="Hyperlink"/>
                <w:noProof/>
              </w:rPr>
              <w:t>2.4. Frekvencijski pojas 1800 MHz</w:t>
            </w:r>
            <w:r>
              <w:rPr>
                <w:noProof/>
                <w:webHidden/>
              </w:rPr>
              <w:tab/>
            </w:r>
            <w:r>
              <w:rPr>
                <w:noProof/>
                <w:webHidden/>
              </w:rPr>
              <w:fldChar w:fldCharType="begin"/>
            </w:r>
            <w:r>
              <w:rPr>
                <w:noProof/>
                <w:webHidden/>
              </w:rPr>
              <w:instrText xml:space="preserve"> PAGEREF _Toc85715490 \h </w:instrText>
            </w:r>
            <w:r>
              <w:rPr>
                <w:noProof/>
                <w:webHidden/>
              </w:rPr>
            </w:r>
            <w:r>
              <w:rPr>
                <w:noProof/>
                <w:webHidden/>
              </w:rPr>
              <w:fldChar w:fldCharType="separate"/>
            </w:r>
            <w:r>
              <w:rPr>
                <w:noProof/>
                <w:webHidden/>
              </w:rPr>
              <w:t>6</w:t>
            </w:r>
            <w:r>
              <w:rPr>
                <w:noProof/>
                <w:webHidden/>
              </w:rPr>
              <w:fldChar w:fldCharType="end"/>
            </w:r>
          </w:hyperlink>
        </w:p>
        <w:p w14:paraId="0B5AC6F0" w14:textId="77777777" w:rsidR="00593B95" w:rsidRDefault="00593B95">
          <w:pPr>
            <w:pStyle w:val="TOC2"/>
            <w:tabs>
              <w:tab w:val="right" w:leader="dot" w:pos="9062"/>
            </w:tabs>
            <w:rPr>
              <w:rFonts w:eastAsiaTheme="minorEastAsia"/>
              <w:noProof/>
              <w:lang w:eastAsia="hr-HR"/>
            </w:rPr>
          </w:pPr>
          <w:hyperlink w:anchor="_Toc85715491" w:history="1">
            <w:r w:rsidRPr="00A94557">
              <w:rPr>
                <w:rStyle w:val="Hyperlink"/>
                <w:noProof/>
              </w:rPr>
              <w:t>2.5. Frekvencijski pojas 2100 MHz</w:t>
            </w:r>
            <w:r>
              <w:rPr>
                <w:noProof/>
                <w:webHidden/>
              </w:rPr>
              <w:tab/>
            </w:r>
            <w:r>
              <w:rPr>
                <w:noProof/>
                <w:webHidden/>
              </w:rPr>
              <w:fldChar w:fldCharType="begin"/>
            </w:r>
            <w:r>
              <w:rPr>
                <w:noProof/>
                <w:webHidden/>
              </w:rPr>
              <w:instrText xml:space="preserve"> PAGEREF _Toc85715491 \h </w:instrText>
            </w:r>
            <w:r>
              <w:rPr>
                <w:noProof/>
                <w:webHidden/>
              </w:rPr>
            </w:r>
            <w:r>
              <w:rPr>
                <w:noProof/>
                <w:webHidden/>
              </w:rPr>
              <w:fldChar w:fldCharType="separate"/>
            </w:r>
            <w:r>
              <w:rPr>
                <w:noProof/>
                <w:webHidden/>
              </w:rPr>
              <w:t>6</w:t>
            </w:r>
            <w:r>
              <w:rPr>
                <w:noProof/>
                <w:webHidden/>
              </w:rPr>
              <w:fldChar w:fldCharType="end"/>
            </w:r>
          </w:hyperlink>
        </w:p>
        <w:p w14:paraId="348EAE52" w14:textId="77777777" w:rsidR="00593B95" w:rsidRDefault="00593B95">
          <w:pPr>
            <w:pStyle w:val="TOC2"/>
            <w:tabs>
              <w:tab w:val="right" w:leader="dot" w:pos="9062"/>
            </w:tabs>
            <w:rPr>
              <w:rFonts w:eastAsiaTheme="minorEastAsia"/>
              <w:noProof/>
              <w:lang w:eastAsia="hr-HR"/>
            </w:rPr>
          </w:pPr>
          <w:hyperlink w:anchor="_Toc85715492" w:history="1">
            <w:r w:rsidRPr="00A94557">
              <w:rPr>
                <w:rStyle w:val="Hyperlink"/>
                <w:noProof/>
              </w:rPr>
              <w:t>2.6. Frekvencijski pojas 2600 MHz</w:t>
            </w:r>
            <w:r>
              <w:rPr>
                <w:noProof/>
                <w:webHidden/>
              </w:rPr>
              <w:tab/>
            </w:r>
            <w:r>
              <w:rPr>
                <w:noProof/>
                <w:webHidden/>
              </w:rPr>
              <w:fldChar w:fldCharType="begin"/>
            </w:r>
            <w:r>
              <w:rPr>
                <w:noProof/>
                <w:webHidden/>
              </w:rPr>
              <w:instrText xml:space="preserve"> PAGEREF _Toc85715492 \h </w:instrText>
            </w:r>
            <w:r>
              <w:rPr>
                <w:noProof/>
                <w:webHidden/>
              </w:rPr>
            </w:r>
            <w:r>
              <w:rPr>
                <w:noProof/>
                <w:webHidden/>
              </w:rPr>
              <w:fldChar w:fldCharType="separate"/>
            </w:r>
            <w:r>
              <w:rPr>
                <w:noProof/>
                <w:webHidden/>
              </w:rPr>
              <w:t>7</w:t>
            </w:r>
            <w:r>
              <w:rPr>
                <w:noProof/>
                <w:webHidden/>
              </w:rPr>
              <w:fldChar w:fldCharType="end"/>
            </w:r>
          </w:hyperlink>
        </w:p>
        <w:p w14:paraId="60C23E0E" w14:textId="77777777" w:rsidR="00593B95" w:rsidRDefault="00593B95">
          <w:pPr>
            <w:pStyle w:val="TOC2"/>
            <w:tabs>
              <w:tab w:val="right" w:leader="dot" w:pos="9062"/>
            </w:tabs>
            <w:rPr>
              <w:rFonts w:eastAsiaTheme="minorEastAsia"/>
              <w:noProof/>
              <w:lang w:eastAsia="hr-HR"/>
            </w:rPr>
          </w:pPr>
          <w:hyperlink w:anchor="_Toc85715493" w:history="1">
            <w:r w:rsidRPr="00A94557">
              <w:rPr>
                <w:rStyle w:val="Hyperlink"/>
                <w:noProof/>
              </w:rPr>
              <w:t>2.7. Frekvencijski pojas 3600 MHz</w:t>
            </w:r>
            <w:r>
              <w:rPr>
                <w:noProof/>
                <w:webHidden/>
              </w:rPr>
              <w:tab/>
            </w:r>
            <w:r>
              <w:rPr>
                <w:noProof/>
                <w:webHidden/>
              </w:rPr>
              <w:fldChar w:fldCharType="begin"/>
            </w:r>
            <w:r>
              <w:rPr>
                <w:noProof/>
                <w:webHidden/>
              </w:rPr>
              <w:instrText xml:space="preserve"> PAGEREF _Toc85715493 \h </w:instrText>
            </w:r>
            <w:r>
              <w:rPr>
                <w:noProof/>
                <w:webHidden/>
              </w:rPr>
            </w:r>
            <w:r>
              <w:rPr>
                <w:noProof/>
                <w:webHidden/>
              </w:rPr>
              <w:fldChar w:fldCharType="separate"/>
            </w:r>
            <w:r>
              <w:rPr>
                <w:noProof/>
                <w:webHidden/>
              </w:rPr>
              <w:t>7</w:t>
            </w:r>
            <w:r>
              <w:rPr>
                <w:noProof/>
                <w:webHidden/>
              </w:rPr>
              <w:fldChar w:fldCharType="end"/>
            </w:r>
          </w:hyperlink>
        </w:p>
        <w:p w14:paraId="16D376C1" w14:textId="77777777" w:rsidR="00593B95" w:rsidRDefault="00593B95">
          <w:pPr>
            <w:pStyle w:val="TOC2"/>
            <w:tabs>
              <w:tab w:val="right" w:leader="dot" w:pos="9062"/>
            </w:tabs>
            <w:rPr>
              <w:rFonts w:eastAsiaTheme="minorEastAsia"/>
              <w:noProof/>
              <w:lang w:eastAsia="hr-HR"/>
            </w:rPr>
          </w:pPr>
          <w:hyperlink w:anchor="_Toc85715494" w:history="1">
            <w:r w:rsidRPr="00A94557">
              <w:rPr>
                <w:rStyle w:val="Hyperlink"/>
                <w:noProof/>
              </w:rPr>
              <w:t>2.8. Frekvencijski pojas 26 GHz</w:t>
            </w:r>
            <w:r>
              <w:rPr>
                <w:noProof/>
                <w:webHidden/>
              </w:rPr>
              <w:tab/>
            </w:r>
            <w:r>
              <w:rPr>
                <w:noProof/>
                <w:webHidden/>
              </w:rPr>
              <w:fldChar w:fldCharType="begin"/>
            </w:r>
            <w:r>
              <w:rPr>
                <w:noProof/>
                <w:webHidden/>
              </w:rPr>
              <w:instrText xml:space="preserve"> PAGEREF _Toc85715494 \h </w:instrText>
            </w:r>
            <w:r>
              <w:rPr>
                <w:noProof/>
                <w:webHidden/>
              </w:rPr>
            </w:r>
            <w:r>
              <w:rPr>
                <w:noProof/>
                <w:webHidden/>
              </w:rPr>
              <w:fldChar w:fldCharType="separate"/>
            </w:r>
            <w:r>
              <w:rPr>
                <w:noProof/>
                <w:webHidden/>
              </w:rPr>
              <w:t>8</w:t>
            </w:r>
            <w:r>
              <w:rPr>
                <w:noProof/>
                <w:webHidden/>
              </w:rPr>
              <w:fldChar w:fldCharType="end"/>
            </w:r>
          </w:hyperlink>
        </w:p>
        <w:p w14:paraId="497F9185" w14:textId="77777777" w:rsidR="00593B95" w:rsidRDefault="00593B95">
          <w:pPr>
            <w:pStyle w:val="TOC1"/>
            <w:tabs>
              <w:tab w:val="left" w:pos="440"/>
              <w:tab w:val="right" w:leader="dot" w:pos="9062"/>
            </w:tabs>
            <w:rPr>
              <w:rFonts w:eastAsiaTheme="minorEastAsia"/>
              <w:noProof/>
              <w:lang w:eastAsia="hr-HR"/>
            </w:rPr>
          </w:pPr>
          <w:hyperlink w:anchor="_Toc85715495" w:history="1">
            <w:r w:rsidRPr="00A94557">
              <w:rPr>
                <w:rStyle w:val="Hyperlink"/>
                <w:noProof/>
              </w:rPr>
              <w:t>3.</w:t>
            </w:r>
            <w:r>
              <w:rPr>
                <w:rFonts w:eastAsiaTheme="minorEastAsia"/>
                <w:noProof/>
                <w:lang w:eastAsia="hr-HR"/>
              </w:rPr>
              <w:tab/>
            </w:r>
            <w:r w:rsidRPr="00A94557">
              <w:rPr>
                <w:rStyle w:val="Hyperlink"/>
                <w:noProof/>
              </w:rPr>
              <w:t>DODJELA SPEKTRA</w:t>
            </w:r>
            <w:r>
              <w:rPr>
                <w:noProof/>
                <w:webHidden/>
              </w:rPr>
              <w:tab/>
            </w:r>
            <w:r>
              <w:rPr>
                <w:noProof/>
                <w:webHidden/>
              </w:rPr>
              <w:fldChar w:fldCharType="begin"/>
            </w:r>
            <w:r>
              <w:rPr>
                <w:noProof/>
                <w:webHidden/>
              </w:rPr>
              <w:instrText xml:space="preserve"> PAGEREF _Toc85715495 \h </w:instrText>
            </w:r>
            <w:r>
              <w:rPr>
                <w:noProof/>
                <w:webHidden/>
              </w:rPr>
            </w:r>
            <w:r>
              <w:rPr>
                <w:noProof/>
                <w:webHidden/>
              </w:rPr>
              <w:fldChar w:fldCharType="separate"/>
            </w:r>
            <w:r>
              <w:rPr>
                <w:noProof/>
                <w:webHidden/>
              </w:rPr>
              <w:t>9</w:t>
            </w:r>
            <w:r>
              <w:rPr>
                <w:noProof/>
                <w:webHidden/>
              </w:rPr>
              <w:fldChar w:fldCharType="end"/>
            </w:r>
          </w:hyperlink>
        </w:p>
        <w:p w14:paraId="3DFE7921" w14:textId="77777777" w:rsidR="00593B95" w:rsidRDefault="00593B95">
          <w:pPr>
            <w:pStyle w:val="TOC2"/>
            <w:tabs>
              <w:tab w:val="right" w:leader="dot" w:pos="9062"/>
            </w:tabs>
            <w:rPr>
              <w:rFonts w:eastAsiaTheme="minorEastAsia"/>
              <w:noProof/>
              <w:lang w:eastAsia="hr-HR"/>
            </w:rPr>
          </w:pPr>
          <w:hyperlink w:anchor="_Toc85715496" w:history="1">
            <w:r w:rsidRPr="00A94557">
              <w:rPr>
                <w:rStyle w:val="Hyperlink"/>
                <w:noProof/>
              </w:rPr>
              <w:t>3.1. Prijedlog dodjele</w:t>
            </w:r>
            <w:r>
              <w:rPr>
                <w:noProof/>
                <w:webHidden/>
              </w:rPr>
              <w:tab/>
            </w:r>
            <w:r>
              <w:rPr>
                <w:noProof/>
                <w:webHidden/>
              </w:rPr>
              <w:fldChar w:fldCharType="begin"/>
            </w:r>
            <w:r>
              <w:rPr>
                <w:noProof/>
                <w:webHidden/>
              </w:rPr>
              <w:instrText xml:space="preserve"> PAGEREF _Toc85715496 \h </w:instrText>
            </w:r>
            <w:r>
              <w:rPr>
                <w:noProof/>
                <w:webHidden/>
              </w:rPr>
            </w:r>
            <w:r>
              <w:rPr>
                <w:noProof/>
                <w:webHidden/>
              </w:rPr>
              <w:fldChar w:fldCharType="separate"/>
            </w:r>
            <w:r>
              <w:rPr>
                <w:noProof/>
                <w:webHidden/>
              </w:rPr>
              <w:t>9</w:t>
            </w:r>
            <w:r>
              <w:rPr>
                <w:noProof/>
                <w:webHidden/>
              </w:rPr>
              <w:fldChar w:fldCharType="end"/>
            </w:r>
          </w:hyperlink>
        </w:p>
        <w:p w14:paraId="6679AA59" w14:textId="77777777" w:rsidR="00593B95" w:rsidRDefault="00593B95">
          <w:pPr>
            <w:pStyle w:val="TOC3"/>
            <w:tabs>
              <w:tab w:val="right" w:leader="dot" w:pos="9062"/>
            </w:tabs>
            <w:rPr>
              <w:rFonts w:eastAsiaTheme="minorEastAsia"/>
              <w:noProof/>
              <w:lang w:eastAsia="hr-HR"/>
            </w:rPr>
          </w:pPr>
          <w:hyperlink w:anchor="_Toc85715497" w:history="1">
            <w:r w:rsidRPr="00A94557">
              <w:rPr>
                <w:rStyle w:val="Hyperlink"/>
                <w:noProof/>
              </w:rPr>
              <w:t>3.1.1. Postupak dodjele</w:t>
            </w:r>
            <w:r>
              <w:rPr>
                <w:noProof/>
                <w:webHidden/>
              </w:rPr>
              <w:tab/>
            </w:r>
            <w:r>
              <w:rPr>
                <w:noProof/>
                <w:webHidden/>
              </w:rPr>
              <w:fldChar w:fldCharType="begin"/>
            </w:r>
            <w:r>
              <w:rPr>
                <w:noProof/>
                <w:webHidden/>
              </w:rPr>
              <w:instrText xml:space="preserve"> PAGEREF _Toc85715497 \h </w:instrText>
            </w:r>
            <w:r>
              <w:rPr>
                <w:noProof/>
                <w:webHidden/>
              </w:rPr>
            </w:r>
            <w:r>
              <w:rPr>
                <w:noProof/>
                <w:webHidden/>
              </w:rPr>
              <w:fldChar w:fldCharType="separate"/>
            </w:r>
            <w:r>
              <w:rPr>
                <w:noProof/>
                <w:webHidden/>
              </w:rPr>
              <w:t>9</w:t>
            </w:r>
            <w:r>
              <w:rPr>
                <w:noProof/>
                <w:webHidden/>
              </w:rPr>
              <w:fldChar w:fldCharType="end"/>
            </w:r>
          </w:hyperlink>
        </w:p>
        <w:p w14:paraId="6488FD7C" w14:textId="77777777" w:rsidR="00593B95" w:rsidRDefault="00593B95">
          <w:pPr>
            <w:pStyle w:val="TOC3"/>
            <w:tabs>
              <w:tab w:val="right" w:leader="dot" w:pos="9062"/>
            </w:tabs>
            <w:rPr>
              <w:rFonts w:eastAsiaTheme="minorEastAsia"/>
              <w:noProof/>
              <w:lang w:eastAsia="hr-HR"/>
            </w:rPr>
          </w:pPr>
          <w:hyperlink w:anchor="_Toc85715498" w:history="1">
            <w:r w:rsidRPr="00A94557">
              <w:rPr>
                <w:rStyle w:val="Hyperlink"/>
                <w:noProof/>
              </w:rPr>
              <w:t>3.1.2. Početak trajanja dozvole.</w:t>
            </w:r>
            <w:r>
              <w:rPr>
                <w:noProof/>
                <w:webHidden/>
              </w:rPr>
              <w:tab/>
            </w:r>
            <w:r>
              <w:rPr>
                <w:noProof/>
                <w:webHidden/>
              </w:rPr>
              <w:fldChar w:fldCharType="begin"/>
            </w:r>
            <w:r>
              <w:rPr>
                <w:noProof/>
                <w:webHidden/>
              </w:rPr>
              <w:instrText xml:space="preserve"> PAGEREF _Toc85715498 \h </w:instrText>
            </w:r>
            <w:r>
              <w:rPr>
                <w:noProof/>
                <w:webHidden/>
              </w:rPr>
            </w:r>
            <w:r>
              <w:rPr>
                <w:noProof/>
                <w:webHidden/>
              </w:rPr>
              <w:fldChar w:fldCharType="separate"/>
            </w:r>
            <w:r>
              <w:rPr>
                <w:noProof/>
                <w:webHidden/>
              </w:rPr>
              <w:t>10</w:t>
            </w:r>
            <w:r>
              <w:rPr>
                <w:noProof/>
                <w:webHidden/>
              </w:rPr>
              <w:fldChar w:fldCharType="end"/>
            </w:r>
          </w:hyperlink>
        </w:p>
        <w:p w14:paraId="76716020" w14:textId="77777777" w:rsidR="00593B95" w:rsidRDefault="00593B95">
          <w:pPr>
            <w:pStyle w:val="TOC3"/>
            <w:tabs>
              <w:tab w:val="right" w:leader="dot" w:pos="9062"/>
            </w:tabs>
            <w:rPr>
              <w:rFonts w:eastAsiaTheme="minorEastAsia"/>
              <w:noProof/>
              <w:lang w:eastAsia="hr-HR"/>
            </w:rPr>
          </w:pPr>
          <w:hyperlink w:anchor="_Toc85715499" w:history="1">
            <w:r w:rsidRPr="00A94557">
              <w:rPr>
                <w:rStyle w:val="Hyperlink"/>
                <w:noProof/>
              </w:rPr>
              <w:t>3.1.3. Vrijeme trajanja dozvole.</w:t>
            </w:r>
            <w:r>
              <w:rPr>
                <w:noProof/>
                <w:webHidden/>
              </w:rPr>
              <w:tab/>
            </w:r>
            <w:r>
              <w:rPr>
                <w:noProof/>
                <w:webHidden/>
              </w:rPr>
              <w:fldChar w:fldCharType="begin"/>
            </w:r>
            <w:r>
              <w:rPr>
                <w:noProof/>
                <w:webHidden/>
              </w:rPr>
              <w:instrText xml:space="preserve"> PAGEREF _Toc85715499 \h </w:instrText>
            </w:r>
            <w:r>
              <w:rPr>
                <w:noProof/>
                <w:webHidden/>
              </w:rPr>
            </w:r>
            <w:r>
              <w:rPr>
                <w:noProof/>
                <w:webHidden/>
              </w:rPr>
              <w:fldChar w:fldCharType="separate"/>
            </w:r>
            <w:r>
              <w:rPr>
                <w:noProof/>
                <w:webHidden/>
              </w:rPr>
              <w:t>10</w:t>
            </w:r>
            <w:r>
              <w:rPr>
                <w:noProof/>
                <w:webHidden/>
              </w:rPr>
              <w:fldChar w:fldCharType="end"/>
            </w:r>
          </w:hyperlink>
        </w:p>
        <w:p w14:paraId="7681A2E8" w14:textId="77777777" w:rsidR="00593B95" w:rsidRDefault="00593B95">
          <w:pPr>
            <w:pStyle w:val="TOC3"/>
            <w:tabs>
              <w:tab w:val="right" w:leader="dot" w:pos="9062"/>
            </w:tabs>
            <w:rPr>
              <w:rFonts w:eastAsiaTheme="minorEastAsia"/>
              <w:noProof/>
              <w:lang w:eastAsia="hr-HR"/>
            </w:rPr>
          </w:pPr>
          <w:hyperlink w:anchor="_Toc85715500" w:history="1">
            <w:r w:rsidRPr="00A94557">
              <w:rPr>
                <w:rStyle w:val="Hyperlink"/>
                <w:noProof/>
              </w:rPr>
              <w:t>3.1.4. Područje uporabe</w:t>
            </w:r>
            <w:r>
              <w:rPr>
                <w:noProof/>
                <w:webHidden/>
              </w:rPr>
              <w:tab/>
            </w:r>
            <w:r>
              <w:rPr>
                <w:noProof/>
                <w:webHidden/>
              </w:rPr>
              <w:fldChar w:fldCharType="begin"/>
            </w:r>
            <w:r>
              <w:rPr>
                <w:noProof/>
                <w:webHidden/>
              </w:rPr>
              <w:instrText xml:space="preserve"> PAGEREF _Toc85715500 \h </w:instrText>
            </w:r>
            <w:r>
              <w:rPr>
                <w:noProof/>
                <w:webHidden/>
              </w:rPr>
            </w:r>
            <w:r>
              <w:rPr>
                <w:noProof/>
                <w:webHidden/>
              </w:rPr>
              <w:fldChar w:fldCharType="separate"/>
            </w:r>
            <w:r>
              <w:rPr>
                <w:noProof/>
                <w:webHidden/>
              </w:rPr>
              <w:t>10</w:t>
            </w:r>
            <w:r>
              <w:rPr>
                <w:noProof/>
                <w:webHidden/>
              </w:rPr>
              <w:fldChar w:fldCharType="end"/>
            </w:r>
          </w:hyperlink>
        </w:p>
        <w:p w14:paraId="6653A513" w14:textId="77777777" w:rsidR="00593B95" w:rsidRDefault="00593B95">
          <w:pPr>
            <w:pStyle w:val="TOC3"/>
            <w:tabs>
              <w:tab w:val="right" w:leader="dot" w:pos="9062"/>
            </w:tabs>
            <w:rPr>
              <w:rFonts w:eastAsiaTheme="minorEastAsia"/>
              <w:noProof/>
              <w:lang w:eastAsia="hr-HR"/>
            </w:rPr>
          </w:pPr>
          <w:hyperlink w:anchor="_Toc85715501" w:history="1">
            <w:r w:rsidRPr="00A94557">
              <w:rPr>
                <w:rStyle w:val="Hyperlink"/>
                <w:noProof/>
              </w:rPr>
              <w:t>3.1.5. Koordinacija u pograničnim područjima i na regionalnoj razini</w:t>
            </w:r>
            <w:r>
              <w:rPr>
                <w:noProof/>
                <w:webHidden/>
              </w:rPr>
              <w:tab/>
            </w:r>
            <w:r>
              <w:rPr>
                <w:noProof/>
                <w:webHidden/>
              </w:rPr>
              <w:fldChar w:fldCharType="begin"/>
            </w:r>
            <w:r>
              <w:rPr>
                <w:noProof/>
                <w:webHidden/>
              </w:rPr>
              <w:instrText xml:space="preserve"> PAGEREF _Toc85715501 \h </w:instrText>
            </w:r>
            <w:r>
              <w:rPr>
                <w:noProof/>
                <w:webHidden/>
              </w:rPr>
            </w:r>
            <w:r>
              <w:rPr>
                <w:noProof/>
                <w:webHidden/>
              </w:rPr>
              <w:fldChar w:fldCharType="separate"/>
            </w:r>
            <w:r>
              <w:rPr>
                <w:noProof/>
                <w:webHidden/>
              </w:rPr>
              <w:t>10</w:t>
            </w:r>
            <w:r>
              <w:rPr>
                <w:noProof/>
                <w:webHidden/>
              </w:rPr>
              <w:fldChar w:fldCharType="end"/>
            </w:r>
          </w:hyperlink>
        </w:p>
        <w:p w14:paraId="31F0C16A" w14:textId="77777777" w:rsidR="00593B95" w:rsidRDefault="00593B95">
          <w:pPr>
            <w:pStyle w:val="TOC3"/>
            <w:tabs>
              <w:tab w:val="right" w:leader="dot" w:pos="9062"/>
            </w:tabs>
            <w:rPr>
              <w:rFonts w:eastAsiaTheme="minorEastAsia"/>
              <w:noProof/>
              <w:lang w:eastAsia="hr-HR"/>
            </w:rPr>
          </w:pPr>
          <w:hyperlink w:anchor="_Toc85715502" w:history="1">
            <w:r w:rsidRPr="00A94557">
              <w:rPr>
                <w:rStyle w:val="Hyperlink"/>
                <w:noProof/>
              </w:rPr>
              <w:t>3.1.6. Uvjeti pokrivanja</w:t>
            </w:r>
            <w:r>
              <w:rPr>
                <w:noProof/>
                <w:webHidden/>
              </w:rPr>
              <w:tab/>
            </w:r>
            <w:r>
              <w:rPr>
                <w:noProof/>
                <w:webHidden/>
              </w:rPr>
              <w:fldChar w:fldCharType="begin"/>
            </w:r>
            <w:r>
              <w:rPr>
                <w:noProof/>
                <w:webHidden/>
              </w:rPr>
              <w:instrText xml:space="preserve"> PAGEREF _Toc85715502 \h </w:instrText>
            </w:r>
            <w:r>
              <w:rPr>
                <w:noProof/>
                <w:webHidden/>
              </w:rPr>
            </w:r>
            <w:r>
              <w:rPr>
                <w:noProof/>
                <w:webHidden/>
              </w:rPr>
              <w:fldChar w:fldCharType="separate"/>
            </w:r>
            <w:r>
              <w:rPr>
                <w:noProof/>
                <w:webHidden/>
              </w:rPr>
              <w:t>11</w:t>
            </w:r>
            <w:r>
              <w:rPr>
                <w:noProof/>
                <w:webHidden/>
              </w:rPr>
              <w:fldChar w:fldCharType="end"/>
            </w:r>
          </w:hyperlink>
        </w:p>
        <w:p w14:paraId="7C38CE7B" w14:textId="77777777" w:rsidR="00593B95" w:rsidRDefault="00593B95">
          <w:pPr>
            <w:pStyle w:val="TOC2"/>
            <w:tabs>
              <w:tab w:val="right" w:leader="dot" w:pos="9062"/>
            </w:tabs>
            <w:rPr>
              <w:rFonts w:eastAsiaTheme="minorEastAsia"/>
              <w:noProof/>
              <w:lang w:eastAsia="hr-HR"/>
            </w:rPr>
          </w:pPr>
          <w:hyperlink w:anchor="_Toc85715503" w:history="1">
            <w:r w:rsidRPr="00A94557">
              <w:rPr>
                <w:rStyle w:val="Hyperlink"/>
                <w:noProof/>
              </w:rPr>
              <w:t>3.2. Vremenski raspored dodjela</w:t>
            </w:r>
            <w:r>
              <w:rPr>
                <w:noProof/>
                <w:webHidden/>
              </w:rPr>
              <w:tab/>
            </w:r>
            <w:r>
              <w:rPr>
                <w:noProof/>
                <w:webHidden/>
              </w:rPr>
              <w:fldChar w:fldCharType="begin"/>
            </w:r>
            <w:r>
              <w:rPr>
                <w:noProof/>
                <w:webHidden/>
              </w:rPr>
              <w:instrText xml:space="preserve"> PAGEREF _Toc85715503 \h </w:instrText>
            </w:r>
            <w:r>
              <w:rPr>
                <w:noProof/>
                <w:webHidden/>
              </w:rPr>
            </w:r>
            <w:r>
              <w:rPr>
                <w:noProof/>
                <w:webHidden/>
              </w:rPr>
              <w:fldChar w:fldCharType="separate"/>
            </w:r>
            <w:r>
              <w:rPr>
                <w:noProof/>
                <w:webHidden/>
              </w:rPr>
              <w:t>12</w:t>
            </w:r>
            <w:r>
              <w:rPr>
                <w:noProof/>
                <w:webHidden/>
              </w:rPr>
              <w:fldChar w:fldCharType="end"/>
            </w:r>
          </w:hyperlink>
        </w:p>
        <w:p w14:paraId="2A562FC2" w14:textId="77777777" w:rsidR="00593B95" w:rsidRDefault="00593B95">
          <w:pPr>
            <w:pStyle w:val="TOC2"/>
            <w:tabs>
              <w:tab w:val="right" w:leader="dot" w:pos="9062"/>
            </w:tabs>
            <w:rPr>
              <w:rFonts w:eastAsiaTheme="minorEastAsia"/>
              <w:noProof/>
              <w:lang w:eastAsia="hr-HR"/>
            </w:rPr>
          </w:pPr>
          <w:hyperlink w:anchor="_Toc85715504" w:history="1">
            <w:r w:rsidRPr="00A94557">
              <w:rPr>
                <w:rStyle w:val="Hyperlink"/>
                <w:noProof/>
              </w:rPr>
              <w:t>3.3. Plaćanje</w:t>
            </w:r>
            <w:r>
              <w:rPr>
                <w:noProof/>
                <w:webHidden/>
              </w:rPr>
              <w:tab/>
            </w:r>
            <w:r>
              <w:rPr>
                <w:noProof/>
                <w:webHidden/>
              </w:rPr>
              <w:fldChar w:fldCharType="begin"/>
            </w:r>
            <w:r>
              <w:rPr>
                <w:noProof/>
                <w:webHidden/>
              </w:rPr>
              <w:instrText xml:space="preserve"> PAGEREF _Toc85715504 \h </w:instrText>
            </w:r>
            <w:r>
              <w:rPr>
                <w:noProof/>
                <w:webHidden/>
              </w:rPr>
            </w:r>
            <w:r>
              <w:rPr>
                <w:noProof/>
                <w:webHidden/>
              </w:rPr>
              <w:fldChar w:fldCharType="separate"/>
            </w:r>
            <w:r>
              <w:rPr>
                <w:noProof/>
                <w:webHidden/>
              </w:rPr>
              <w:t>12</w:t>
            </w:r>
            <w:r>
              <w:rPr>
                <w:noProof/>
                <w:webHidden/>
              </w:rPr>
              <w:fldChar w:fldCharType="end"/>
            </w:r>
          </w:hyperlink>
        </w:p>
        <w:p w14:paraId="4772EEAE" w14:textId="77777777" w:rsidR="00593B95" w:rsidRDefault="00593B95">
          <w:pPr>
            <w:pStyle w:val="TOC2"/>
            <w:tabs>
              <w:tab w:val="right" w:leader="dot" w:pos="9062"/>
            </w:tabs>
            <w:rPr>
              <w:rFonts w:eastAsiaTheme="minorEastAsia"/>
              <w:noProof/>
              <w:lang w:eastAsia="hr-HR"/>
            </w:rPr>
          </w:pPr>
          <w:hyperlink w:anchor="_Toc85715505" w:history="1">
            <w:r w:rsidRPr="00A94557">
              <w:rPr>
                <w:rStyle w:val="Hyperlink"/>
                <w:noProof/>
              </w:rPr>
              <w:t>3.4. Privatne mreže za lokalnu primjenu</w:t>
            </w:r>
            <w:r>
              <w:rPr>
                <w:noProof/>
                <w:webHidden/>
              </w:rPr>
              <w:tab/>
            </w:r>
            <w:r>
              <w:rPr>
                <w:noProof/>
                <w:webHidden/>
              </w:rPr>
              <w:fldChar w:fldCharType="begin"/>
            </w:r>
            <w:r>
              <w:rPr>
                <w:noProof/>
                <w:webHidden/>
              </w:rPr>
              <w:instrText xml:space="preserve"> PAGEREF _Toc85715505 \h </w:instrText>
            </w:r>
            <w:r>
              <w:rPr>
                <w:noProof/>
                <w:webHidden/>
              </w:rPr>
            </w:r>
            <w:r>
              <w:rPr>
                <w:noProof/>
                <w:webHidden/>
              </w:rPr>
              <w:fldChar w:fldCharType="separate"/>
            </w:r>
            <w:r>
              <w:rPr>
                <w:noProof/>
                <w:webHidden/>
              </w:rPr>
              <w:t>12</w:t>
            </w:r>
            <w:r>
              <w:rPr>
                <w:noProof/>
                <w:webHidden/>
              </w:rPr>
              <w:fldChar w:fldCharType="end"/>
            </w:r>
          </w:hyperlink>
        </w:p>
        <w:p w14:paraId="1F3B74CF" w14:textId="77777777" w:rsidR="00593B95" w:rsidRDefault="00593B95">
          <w:pPr>
            <w:pStyle w:val="TOC1"/>
            <w:tabs>
              <w:tab w:val="left" w:pos="440"/>
              <w:tab w:val="right" w:leader="dot" w:pos="9062"/>
            </w:tabs>
            <w:rPr>
              <w:rFonts w:eastAsiaTheme="minorEastAsia"/>
              <w:noProof/>
              <w:lang w:eastAsia="hr-HR"/>
            </w:rPr>
          </w:pPr>
          <w:hyperlink w:anchor="_Toc85715506" w:history="1">
            <w:r w:rsidRPr="00A94557">
              <w:rPr>
                <w:rStyle w:val="Hyperlink"/>
                <w:noProof/>
              </w:rPr>
              <w:t>4.</w:t>
            </w:r>
            <w:r>
              <w:rPr>
                <w:rFonts w:eastAsiaTheme="minorEastAsia"/>
                <w:noProof/>
                <w:lang w:eastAsia="hr-HR"/>
              </w:rPr>
              <w:tab/>
            </w:r>
            <w:r w:rsidRPr="00A94557">
              <w:rPr>
                <w:rStyle w:val="Hyperlink"/>
                <w:noProof/>
              </w:rPr>
              <w:t>ZAKLJUČAK</w:t>
            </w:r>
            <w:r>
              <w:rPr>
                <w:noProof/>
                <w:webHidden/>
              </w:rPr>
              <w:tab/>
            </w:r>
            <w:r>
              <w:rPr>
                <w:noProof/>
                <w:webHidden/>
              </w:rPr>
              <w:fldChar w:fldCharType="begin"/>
            </w:r>
            <w:r>
              <w:rPr>
                <w:noProof/>
                <w:webHidden/>
              </w:rPr>
              <w:instrText xml:space="preserve"> PAGEREF _Toc85715506 \h </w:instrText>
            </w:r>
            <w:r>
              <w:rPr>
                <w:noProof/>
                <w:webHidden/>
              </w:rPr>
            </w:r>
            <w:r>
              <w:rPr>
                <w:noProof/>
                <w:webHidden/>
              </w:rPr>
              <w:fldChar w:fldCharType="separate"/>
            </w:r>
            <w:r>
              <w:rPr>
                <w:noProof/>
                <w:webHidden/>
              </w:rPr>
              <w:t>13</w:t>
            </w:r>
            <w:r>
              <w:rPr>
                <w:noProof/>
                <w:webHidden/>
              </w:rPr>
              <w:fldChar w:fldCharType="end"/>
            </w:r>
          </w:hyperlink>
        </w:p>
        <w:p w14:paraId="13B710B2" w14:textId="77777777" w:rsidR="00DD215C" w:rsidRDefault="00DD215C">
          <w:r>
            <w:rPr>
              <w:b/>
              <w:bCs/>
              <w:noProof/>
            </w:rPr>
            <w:fldChar w:fldCharType="end"/>
          </w:r>
        </w:p>
      </w:sdtContent>
    </w:sdt>
    <w:p w14:paraId="710839F4" w14:textId="77777777" w:rsidR="001D2BB2" w:rsidRDefault="00B951C2" w:rsidP="00A57F01">
      <w:pPr>
        <w:rPr>
          <w:b/>
        </w:rPr>
      </w:pPr>
      <w:r>
        <w:rPr>
          <w:b/>
        </w:rPr>
        <w:br w:type="page"/>
      </w:r>
    </w:p>
    <w:p w14:paraId="63A435CE" w14:textId="77777777" w:rsidR="001D2BB2" w:rsidRDefault="001A2A92" w:rsidP="004B3AAE">
      <w:pPr>
        <w:pStyle w:val="Heading1"/>
        <w:numPr>
          <w:ilvl w:val="0"/>
          <w:numId w:val="3"/>
        </w:numPr>
        <w:spacing w:before="0" w:after="240"/>
        <w:ind w:left="714" w:hanging="357"/>
      </w:pPr>
      <w:bookmarkStart w:id="0" w:name="_Toc85715485"/>
      <w:r>
        <w:lastRenderedPageBreak/>
        <w:t>UVOD</w:t>
      </w:r>
      <w:bookmarkEnd w:id="0"/>
    </w:p>
    <w:p w14:paraId="2DB11CE5" w14:textId="77DC4E54" w:rsidR="00C776BB" w:rsidRDefault="0091556E" w:rsidP="0049441D">
      <w:pPr>
        <w:jc w:val="both"/>
      </w:pPr>
      <w:r w:rsidRPr="0091556E">
        <w:t>Operatorima javnih mreža pokretnih komunikacija su dodijeljene frekvencije</w:t>
      </w:r>
      <w:r>
        <w:t xml:space="preserve"> na razini Republike Hrvatske (dalje: RH)</w:t>
      </w:r>
      <w:r w:rsidRPr="0091556E">
        <w:t xml:space="preserve"> kako je navedeno u bazi </w:t>
      </w:r>
      <w:r>
        <w:t xml:space="preserve">podataka </w:t>
      </w:r>
      <w:r w:rsidRPr="0091556E">
        <w:t>radiofrekvencijskog (dalje: RF) spektra</w:t>
      </w:r>
      <w:r w:rsidR="0049441D" w:rsidRPr="0049441D">
        <w:t xml:space="preserve"> </w:t>
      </w:r>
      <w:r w:rsidR="0049441D">
        <w:t>za pokretne i nepokretne komunikacijske mreže s pokrivanjem na nacionalnoj razini</w:t>
      </w:r>
      <w:r>
        <w:rPr>
          <w:rStyle w:val="FootnoteReference"/>
        </w:rPr>
        <w:footnoteReference w:id="1"/>
      </w:r>
      <w:r w:rsidRPr="0091556E">
        <w:t>.</w:t>
      </w:r>
    </w:p>
    <w:p w14:paraId="7EAE36BC" w14:textId="673ED2E0" w:rsidR="006908F6" w:rsidRDefault="006908F6" w:rsidP="00E275E0">
      <w:pPr>
        <w:jc w:val="both"/>
      </w:pPr>
      <w:r>
        <w:t>Za prilagodbu</w:t>
      </w:r>
      <w:r w:rsidR="00322E5C">
        <w:t xml:space="preserve"> postojećih i/ili izgradnju novih</w:t>
      </w:r>
      <w:r>
        <w:t xml:space="preserve"> </w:t>
      </w:r>
      <w:r w:rsidR="00B32FF3" w:rsidRPr="00B32FF3">
        <w:t>pokretn</w:t>
      </w:r>
      <w:r w:rsidR="00B32FF3">
        <w:t>ih</w:t>
      </w:r>
      <w:r w:rsidR="00B32FF3" w:rsidRPr="00B32FF3">
        <w:t>/fiksn</w:t>
      </w:r>
      <w:r w:rsidR="00B32FF3">
        <w:t>ih</w:t>
      </w:r>
      <w:r w:rsidR="00B32FF3" w:rsidRPr="00B32FF3">
        <w:t xml:space="preserve"> komunikacijsk</w:t>
      </w:r>
      <w:r w:rsidR="00B32FF3">
        <w:t>ih</w:t>
      </w:r>
      <w:r w:rsidR="00B32FF3" w:rsidRPr="00B32FF3">
        <w:t xml:space="preserve"> mrež</w:t>
      </w:r>
      <w:r w:rsidR="00B32FF3">
        <w:t>a</w:t>
      </w:r>
      <w:r w:rsidR="00B32FF3" w:rsidRPr="00B32FF3">
        <w:t xml:space="preserve"> (eng. </w:t>
      </w:r>
      <w:r w:rsidR="00B32FF3" w:rsidRPr="00E335DE">
        <w:rPr>
          <w:i/>
        </w:rPr>
        <w:t>Mobile/Fixed Communication Networks</w:t>
      </w:r>
      <w:r w:rsidR="00B32FF3" w:rsidRPr="00B32FF3">
        <w:t xml:space="preserve">, dalje: MFCN mreže) </w:t>
      </w:r>
      <w:r>
        <w:t xml:space="preserve">potrebno je određeno vrijeme te se stoga dodjela ovih pojaseva mora provesti dovoljno rano, kako bi se </w:t>
      </w:r>
      <w:r w:rsidR="001C692E">
        <w:t xml:space="preserve">osigurao neometan </w:t>
      </w:r>
      <w:r>
        <w:t>rad tih mreža i bez utjecaja na iskustvo krajnjih korisnika.</w:t>
      </w:r>
    </w:p>
    <w:p w14:paraId="7C76B750" w14:textId="54DC4FEF" w:rsidR="005A5E44" w:rsidRDefault="005A5E44" w:rsidP="003A5C6C">
      <w:pPr>
        <w:jc w:val="both"/>
      </w:pPr>
      <w:r w:rsidRPr="003A5C6C">
        <w:t xml:space="preserve">Za </w:t>
      </w:r>
      <w:r w:rsidR="00E3773D" w:rsidRPr="00E335DE">
        <w:t>RF</w:t>
      </w:r>
      <w:r w:rsidR="00E3773D" w:rsidRPr="003A5C6C">
        <w:t xml:space="preserve"> </w:t>
      </w:r>
      <w:r w:rsidRPr="003A5C6C">
        <w:t>pojaseve 800 MHz, 900 MHz, 1800 MHz, 2100 MHz te 2600 MHz izdane dozvole vrijede do 2024. Budući da jedan dio tih dozvola vrijedi do 18. listopada 2024., a drugi dio do 22. prosinca 2024., HAKOM planira</w:t>
      </w:r>
      <w:r w:rsidR="003E7A08" w:rsidRPr="003A5C6C">
        <w:t xml:space="preserve"> </w:t>
      </w:r>
      <w:r w:rsidR="006F2BFE" w:rsidRPr="003A5C6C">
        <w:t xml:space="preserve">uskladiti </w:t>
      </w:r>
      <w:r w:rsidR="003E7A08" w:rsidRPr="003A5C6C">
        <w:t xml:space="preserve">rokove trajanja </w:t>
      </w:r>
      <w:r w:rsidR="00B32FF3" w:rsidRPr="00E335DE">
        <w:t xml:space="preserve">svih dozvola na </w:t>
      </w:r>
      <w:r w:rsidR="00F60C19">
        <w:t>22</w:t>
      </w:r>
      <w:r w:rsidR="003E7A08" w:rsidRPr="003A5C6C">
        <w:t xml:space="preserve">. </w:t>
      </w:r>
      <w:r w:rsidR="00F60C19">
        <w:t>prosinac</w:t>
      </w:r>
      <w:r w:rsidR="00F60C19" w:rsidRPr="003A5C6C">
        <w:t xml:space="preserve"> </w:t>
      </w:r>
      <w:r w:rsidR="003E7A08" w:rsidRPr="003A5C6C">
        <w:t xml:space="preserve">2024. te bi se pravo uporabe RF spektra dodjeljivalo od tog datuma na rok od 15 godina, uz moguće produljenje od 5 godina, sukladno </w:t>
      </w:r>
      <w:r w:rsidR="003A5C6C" w:rsidRPr="003A5C6C">
        <w:t>Direktivi (EU) 2018/1972 Europskog parlamenta i Vijeća od 11. prosinca 2018. o Europskom zakoniku elektroničkih komunikacija</w:t>
      </w:r>
      <w:r w:rsidR="003A5C6C" w:rsidRPr="003A5C6C">
        <w:rPr>
          <w:rStyle w:val="FootnoteReference"/>
        </w:rPr>
        <w:footnoteReference w:id="2"/>
      </w:r>
      <w:r w:rsidR="00DE5577">
        <w:t xml:space="preserve"> (dalje: EECC)</w:t>
      </w:r>
      <w:r w:rsidR="003E7A08" w:rsidRPr="003A5C6C">
        <w:t>.</w:t>
      </w:r>
    </w:p>
    <w:p w14:paraId="7163835A" w14:textId="22F358CC" w:rsidR="0049441D" w:rsidRDefault="006908F6" w:rsidP="00E275E0">
      <w:pPr>
        <w:jc w:val="both"/>
      </w:pPr>
      <w:r>
        <w:t xml:space="preserve">Dodatno, budući da u RH postoji još nedodijeljenih frekvencijskih pojaseva koji se mogu koristiti za javne </w:t>
      </w:r>
      <w:r w:rsidR="00B32FF3">
        <w:t>MFCN mreže</w:t>
      </w:r>
      <w:r>
        <w:t xml:space="preserve">, ovom prilikom želi </w:t>
      </w:r>
      <w:r w:rsidR="006D7E83">
        <w:t xml:space="preserve">se </w:t>
      </w:r>
      <w:r>
        <w:t xml:space="preserve">ispitati interes tržišta i za tim pojasevima, kako bi ih </w:t>
      </w:r>
      <w:r w:rsidR="006D7E83">
        <w:t xml:space="preserve">se </w:t>
      </w:r>
      <w:r>
        <w:t>uključi</w:t>
      </w:r>
      <w:r w:rsidR="006D7E83">
        <w:t>l</w:t>
      </w:r>
      <w:r>
        <w:t>o u predstojeći postupak dodjele.</w:t>
      </w:r>
    </w:p>
    <w:p w14:paraId="11B30750" w14:textId="256A28C8" w:rsidR="0049441D" w:rsidRDefault="0049441D" w:rsidP="00E275E0">
      <w:pPr>
        <w:jc w:val="both"/>
      </w:pPr>
      <w:r>
        <w:t xml:space="preserve">Također, </w:t>
      </w:r>
      <w:r w:rsidR="00E3773D">
        <w:t xml:space="preserve">RF </w:t>
      </w:r>
      <w:r>
        <w:t xml:space="preserve">spektar </w:t>
      </w:r>
      <w:r w:rsidR="006D7E83">
        <w:t xml:space="preserve">u frekvencijskom pojasu </w:t>
      </w:r>
      <w:r>
        <w:t>3600 MHz je dod</w:t>
      </w:r>
      <w:r w:rsidR="00DD20EC">
        <w:t>i</w:t>
      </w:r>
      <w:r>
        <w:t xml:space="preserve">jeljen i na regionalnoj (županijskoj) razini sukladno </w:t>
      </w:r>
      <w:r w:rsidRPr="0049441D">
        <w:t>bazi podataka</w:t>
      </w:r>
      <w:r>
        <w:t xml:space="preserve"> RF</w:t>
      </w:r>
      <w:r w:rsidRPr="0049441D">
        <w:t xml:space="preserve"> spektra za pokretne i nepokretne komunikacijske mreže s pokrivanjem na </w:t>
      </w:r>
      <w:r>
        <w:t>regionalnoj</w:t>
      </w:r>
      <w:r w:rsidRPr="0049441D">
        <w:t xml:space="preserve"> razini</w:t>
      </w:r>
      <w:r w:rsidR="003E7A08">
        <w:rPr>
          <w:rStyle w:val="FootnoteReference"/>
        </w:rPr>
        <w:footnoteReference w:id="3"/>
      </w:r>
      <w:r>
        <w:t xml:space="preserve">. </w:t>
      </w:r>
      <w:r w:rsidR="00DD20EC">
        <w:t xml:space="preserve">Dio </w:t>
      </w:r>
      <w:r>
        <w:t xml:space="preserve"> frekvencij</w:t>
      </w:r>
      <w:r w:rsidR="00DD20EC">
        <w:t xml:space="preserve">a namijenjenih za dodjelu na županijskoj razini ostao je </w:t>
      </w:r>
      <w:r>
        <w:t>nedodijeljen</w:t>
      </w:r>
      <w:r w:rsidR="00387F31">
        <w:t xml:space="preserve"> te </w:t>
      </w:r>
      <w:r w:rsidR="00DC6EFB">
        <w:t xml:space="preserve">je </w:t>
      </w:r>
      <w:r w:rsidR="00322E5C">
        <w:t xml:space="preserve">i dalje </w:t>
      </w:r>
      <w:r w:rsidR="00387F31">
        <w:t>raspoloživ za dodjelu.</w:t>
      </w:r>
    </w:p>
    <w:p w14:paraId="1C2C4608" w14:textId="6AD12744" w:rsidR="008D1988" w:rsidRDefault="007D157F" w:rsidP="00E275E0">
      <w:pPr>
        <w:jc w:val="both"/>
      </w:pPr>
      <w:r>
        <w:t xml:space="preserve">Dio RF pojaseva koji se </w:t>
      </w:r>
      <w:r w:rsidR="001C692E">
        <w:t>planira</w:t>
      </w:r>
      <w:r>
        <w:t xml:space="preserve"> dodijeliti također </w:t>
      </w:r>
      <w:r w:rsidR="001C692E">
        <w:t>se može</w:t>
      </w:r>
      <w:r>
        <w:t xml:space="preserve"> upotrebljavati </w:t>
      </w:r>
      <w:r w:rsidR="00D25ADD">
        <w:t xml:space="preserve">i </w:t>
      </w:r>
      <w:r>
        <w:t xml:space="preserve">za određene </w:t>
      </w:r>
      <w:r w:rsidR="008D1988">
        <w:t>privatne</w:t>
      </w:r>
      <w:r w:rsidR="00D25ADD">
        <w:t xml:space="preserve"> </w:t>
      </w:r>
      <w:r>
        <w:t xml:space="preserve"> prim</w:t>
      </w:r>
      <w:r w:rsidR="008D1988">
        <w:t xml:space="preserve">jene </w:t>
      </w:r>
      <w:r w:rsidR="00D25ADD">
        <w:t>(npr. u industriji, prometu, poljoprivredi)</w:t>
      </w:r>
      <w:r w:rsidR="00257077">
        <w:t>.</w:t>
      </w:r>
      <w:r>
        <w:t xml:space="preserve"> HAKOM</w:t>
      </w:r>
      <w:r w:rsidR="00D25ADD">
        <w:t xml:space="preserve"> ovom prilikom</w:t>
      </w:r>
      <w:r>
        <w:t xml:space="preserve"> želi ispitati tržište i za </w:t>
      </w:r>
      <w:r w:rsidR="00257077">
        <w:t>te</w:t>
      </w:r>
      <w:r>
        <w:t xml:space="preserve"> potreb</w:t>
      </w:r>
      <w:r w:rsidR="00446579">
        <w:t xml:space="preserve">e, kako bi se </w:t>
      </w:r>
      <w:r w:rsidR="008D1988">
        <w:t xml:space="preserve">u slučaju interesa za </w:t>
      </w:r>
      <w:r w:rsidR="0042484F">
        <w:t>ovakve</w:t>
      </w:r>
      <w:r w:rsidR="008D1988">
        <w:t xml:space="preserve"> primjene mogla osigurati odgovarajuća količina RF spektra.</w:t>
      </w:r>
    </w:p>
    <w:p w14:paraId="69875CB2" w14:textId="29D954B1" w:rsidR="0091556E" w:rsidRPr="0091556E" w:rsidRDefault="006908F6" w:rsidP="00E275E0">
      <w:pPr>
        <w:jc w:val="both"/>
      </w:pPr>
      <w:r w:rsidRPr="006908F6">
        <w:t xml:space="preserve">Sukladno navedenom, HAKOM pokreće ovu javnu raspravu </w:t>
      </w:r>
      <w:r>
        <w:t>k</w:t>
      </w:r>
      <w:r w:rsidR="0091556E">
        <w:t>ako bi se na vrijeme mogao odabrati optimalni način dodjele i</w:t>
      </w:r>
      <w:r>
        <w:t xml:space="preserve"> pripremiti cjelokupni postupak, tako da se RF spektar dodijeli dovoljno </w:t>
      </w:r>
      <w:r w:rsidR="00322E5C">
        <w:t xml:space="preserve">rano s obzirom na </w:t>
      </w:r>
      <w:r>
        <w:t xml:space="preserve">istek </w:t>
      </w:r>
      <w:r w:rsidR="007E7FE0">
        <w:t>valjanosti</w:t>
      </w:r>
      <w:r w:rsidR="007E7FE0">
        <w:t xml:space="preserve"> </w:t>
      </w:r>
      <w:r>
        <w:t xml:space="preserve">postojećih dozvola, što će omogućiti budućim </w:t>
      </w:r>
      <w:r w:rsidR="006D7E83">
        <w:t xml:space="preserve">nositeljima dozvola za uporabu RF spektra </w:t>
      </w:r>
      <w:r>
        <w:t xml:space="preserve">prilagodbu postojećih </w:t>
      </w:r>
      <w:r w:rsidR="0049441D">
        <w:t xml:space="preserve">ili izgradnju novih </w:t>
      </w:r>
      <w:r>
        <w:t>mreža</w:t>
      </w:r>
      <w:r w:rsidR="003324C8">
        <w:t>, te kako bi se osigurala učinkovita buduća uporaba RF spektra</w:t>
      </w:r>
      <w:r>
        <w:t>.</w:t>
      </w:r>
    </w:p>
    <w:p w14:paraId="08FC16EC" w14:textId="77777777" w:rsidR="00DC35EC" w:rsidRPr="001D2BB2" w:rsidRDefault="00DC35EC" w:rsidP="00E275E0">
      <w:pPr>
        <w:jc w:val="both"/>
      </w:pPr>
    </w:p>
    <w:p w14:paraId="4A0811AF" w14:textId="77777777" w:rsidR="00ED3F2E" w:rsidRPr="00ED3F2E" w:rsidRDefault="001A2A92" w:rsidP="004B3AAE">
      <w:pPr>
        <w:pStyle w:val="Heading1"/>
        <w:numPr>
          <w:ilvl w:val="0"/>
          <w:numId w:val="3"/>
        </w:numPr>
        <w:spacing w:before="0" w:after="240"/>
        <w:ind w:left="714" w:hanging="357"/>
      </w:pPr>
      <w:bookmarkStart w:id="1" w:name="_Toc85715486"/>
      <w:r>
        <w:t>FREKVENCIJSKI POJASEVI</w:t>
      </w:r>
      <w:bookmarkEnd w:id="1"/>
    </w:p>
    <w:p w14:paraId="329B3806" w14:textId="77777777" w:rsidR="00DD215C" w:rsidRDefault="00A57F01" w:rsidP="004B3AAE">
      <w:pPr>
        <w:pStyle w:val="Heading2"/>
        <w:spacing w:before="0" w:after="240"/>
        <w:ind w:firstLine="709"/>
      </w:pPr>
      <w:bookmarkStart w:id="2" w:name="_Toc85715487"/>
      <w:r>
        <w:t xml:space="preserve">2.1. </w:t>
      </w:r>
      <w:r w:rsidR="001E0185">
        <w:t xml:space="preserve">Frekvencijski pojas </w:t>
      </w:r>
      <w:r w:rsidR="00C679D3">
        <w:t>8</w:t>
      </w:r>
      <w:r w:rsidR="001A2A92">
        <w:t>00 MHz</w:t>
      </w:r>
      <w:bookmarkEnd w:id="2"/>
    </w:p>
    <w:p w14:paraId="07C102AB" w14:textId="358B52C7" w:rsidR="002F12F0" w:rsidRDefault="00173FA9" w:rsidP="009B436C">
      <w:pPr>
        <w:jc w:val="both"/>
      </w:pPr>
      <w:r>
        <w:t xml:space="preserve">Usklađeni tehnički uvjeti za pokretne/fiksne komunikacijske mreže </w:t>
      </w:r>
      <w:r w:rsidRPr="00B32FF3">
        <w:t>(</w:t>
      </w:r>
      <w:r w:rsidR="006D7E83" w:rsidRPr="00B32FF3">
        <w:rPr>
          <w:i/>
        </w:rPr>
        <w:t>eng. Mobile/Fixe</w:t>
      </w:r>
      <w:r w:rsidR="00FB1FE4" w:rsidRPr="00B32FF3">
        <w:rPr>
          <w:i/>
        </w:rPr>
        <w:t>d</w:t>
      </w:r>
      <w:r w:rsidR="006D7E83" w:rsidRPr="00B32FF3">
        <w:rPr>
          <w:i/>
        </w:rPr>
        <w:t xml:space="preserve"> Communication Networks</w:t>
      </w:r>
      <w:r w:rsidR="006D7E83" w:rsidRPr="00B32FF3">
        <w:t xml:space="preserve">, </w:t>
      </w:r>
      <w:r w:rsidR="002F12F0" w:rsidRPr="00B32FF3">
        <w:t xml:space="preserve">dalje: </w:t>
      </w:r>
      <w:r w:rsidRPr="00B32FF3">
        <w:t>MFCN</w:t>
      </w:r>
      <w:r w:rsidR="00924A44" w:rsidRPr="00B32FF3">
        <w:t xml:space="preserve"> mreže</w:t>
      </w:r>
      <w:r w:rsidRPr="00B32FF3">
        <w:t>)</w:t>
      </w:r>
      <w:r>
        <w:t xml:space="preserve"> u pojasu </w:t>
      </w:r>
      <w:r w:rsidR="0092381C">
        <w:t>790</w:t>
      </w:r>
      <w:r>
        <w:t>-</w:t>
      </w:r>
      <w:r w:rsidR="0092381C">
        <w:t>862</w:t>
      </w:r>
      <w:r>
        <w:t xml:space="preserve"> MHz </w:t>
      </w:r>
      <w:r w:rsidR="002F12F0">
        <w:t xml:space="preserve">(dalje: pojas 800 MHz) </w:t>
      </w:r>
      <w:r>
        <w:t>na razini Europske unije</w:t>
      </w:r>
      <w:r w:rsidR="00521688">
        <w:t xml:space="preserve"> </w:t>
      </w:r>
      <w:r w:rsidR="00521688">
        <w:lastRenderedPageBreak/>
        <w:t>(dalje: EU)</w:t>
      </w:r>
      <w:r>
        <w:t xml:space="preserve"> propisani su provedbenom odlukom Europske</w:t>
      </w:r>
      <w:r w:rsidRPr="009B436C">
        <w:t xml:space="preserve"> </w:t>
      </w:r>
      <w:r w:rsidR="002275ED">
        <w:t>komisije</w:t>
      </w:r>
      <w:r w:rsidR="004944BC">
        <w:t xml:space="preserve"> </w:t>
      </w:r>
      <w:r w:rsidR="00521688">
        <w:t>(dalje: EK)</w:t>
      </w:r>
      <w:r w:rsidR="002275ED">
        <w:t xml:space="preserve"> </w:t>
      </w:r>
      <w:r w:rsidR="0092381C">
        <w:t xml:space="preserve">(EU) </w:t>
      </w:r>
      <w:r w:rsidR="00AA50E9" w:rsidRPr="00AA50E9">
        <w:t>2010/267</w:t>
      </w:r>
      <w:r w:rsidR="00CB1300">
        <w:rPr>
          <w:rStyle w:val="FootnoteReference"/>
        </w:rPr>
        <w:footnoteReference w:id="4"/>
      </w:r>
      <w:r>
        <w:t xml:space="preserve"> (odnosno</w:t>
      </w:r>
      <w:r w:rsidR="003C4EEA">
        <w:t xml:space="preserve"> ECC</w:t>
      </w:r>
      <w:r w:rsidR="003C4EEA">
        <w:rPr>
          <w:rStyle w:val="FootnoteReference"/>
        </w:rPr>
        <w:footnoteReference w:id="5"/>
      </w:r>
      <w:r w:rsidR="001271AA">
        <w:t xml:space="preserve"> O</w:t>
      </w:r>
      <w:r w:rsidR="003C4EEA">
        <w:t>dlukom</w:t>
      </w:r>
      <w:r>
        <w:t xml:space="preserve"> ECC</w:t>
      </w:r>
      <w:r w:rsidR="00CB1300">
        <w:t>/DEC/</w:t>
      </w:r>
      <w:r w:rsidR="00ED3F2E">
        <w:t>(</w:t>
      </w:r>
      <w:r w:rsidR="00AD3ADE">
        <w:t>09)03</w:t>
      </w:r>
      <w:r w:rsidR="00CB1300">
        <w:rPr>
          <w:rStyle w:val="FootnoteReference"/>
        </w:rPr>
        <w:footnoteReference w:id="6"/>
      </w:r>
      <w:r w:rsidR="00ED3F2E">
        <w:t xml:space="preserve">). </w:t>
      </w:r>
    </w:p>
    <w:p w14:paraId="12900E59" w14:textId="77777777" w:rsidR="002F12F0" w:rsidRDefault="00401C69" w:rsidP="002F12F0">
      <w:pPr>
        <w:jc w:val="both"/>
      </w:pPr>
      <w:r>
        <w:t>U RH</w:t>
      </w:r>
      <w:r w:rsidR="002F12F0">
        <w:t xml:space="preserve"> je na snazi Plan dodjele za frekvencijski </w:t>
      </w:r>
      <w:r>
        <w:t xml:space="preserve">pojas </w:t>
      </w:r>
      <w:r w:rsidR="002F12F0">
        <w:t>791-821/832-862 MHz</w:t>
      </w:r>
      <w:r w:rsidR="002F12F0">
        <w:rPr>
          <w:rStyle w:val="FootnoteReference"/>
        </w:rPr>
        <w:footnoteReference w:id="7"/>
      </w:r>
      <w:r w:rsidR="002F12F0">
        <w:t>.</w:t>
      </w:r>
    </w:p>
    <w:p w14:paraId="3B8336F6" w14:textId="77777777" w:rsidR="00173FA9" w:rsidRDefault="00ED3F2E" w:rsidP="009B436C">
      <w:pPr>
        <w:jc w:val="both"/>
      </w:pPr>
      <w:r>
        <w:t>Frekvencijski pojas</w:t>
      </w:r>
      <w:r w:rsidR="00173FA9">
        <w:t xml:space="preserve"> sastoji</w:t>
      </w:r>
      <w:r>
        <w:t xml:space="preserve"> se</w:t>
      </w:r>
      <w:r w:rsidR="00173FA9">
        <w:t xml:space="preserve"> od uparenog dijela spektra od 2x30 MHz koji je podijeljen u šest frekvencijski</w:t>
      </w:r>
      <w:r w:rsidR="002F12F0">
        <w:t xml:space="preserve">h blokova od </w:t>
      </w:r>
      <w:r w:rsidR="008875E9">
        <w:t>2x</w:t>
      </w:r>
      <w:r w:rsidR="002F12F0">
        <w:t>5 MHz i zaštitn</w:t>
      </w:r>
      <w:r w:rsidR="00AD3ADE">
        <w:t>og pojas</w:t>
      </w:r>
      <w:r w:rsidR="00173FA9">
        <w:t xml:space="preserve">a </w:t>
      </w:r>
      <w:r w:rsidR="00AD3ADE">
        <w:t xml:space="preserve">790-791 MHz </w:t>
      </w:r>
      <w:r w:rsidR="00173FA9">
        <w:t xml:space="preserve">te FDD dupleksnog </w:t>
      </w:r>
      <w:r w:rsidR="00121235">
        <w:t>rascjepa</w:t>
      </w:r>
      <w:r w:rsidR="00173FA9">
        <w:t xml:space="preserve"> </w:t>
      </w:r>
      <w:r w:rsidR="00121235">
        <w:t>o</w:t>
      </w:r>
      <w:r w:rsidR="00173FA9">
        <w:t xml:space="preserve">d </w:t>
      </w:r>
      <w:r w:rsidR="00AD3ADE">
        <w:t xml:space="preserve">821-832 </w:t>
      </w:r>
      <w:r w:rsidR="00173FA9">
        <w:t>MHz.</w:t>
      </w:r>
      <w:r w:rsidR="00AD3ADE">
        <w:t xml:space="preserve"> Silazna veza počinje na 791 MHz, a uzlazna na 832 MHz. </w:t>
      </w:r>
    </w:p>
    <w:p w14:paraId="33E051E9" w14:textId="77777777" w:rsidR="00093283" w:rsidRDefault="00093283" w:rsidP="009B436C">
      <w:pPr>
        <w:jc w:val="both"/>
      </w:pPr>
      <w:r>
        <w:t>Frekvencijski raspored za frekvencijski pojas 790</w:t>
      </w:r>
      <w:r w:rsidR="00AD3ADE">
        <w:t>-862</w:t>
      </w:r>
      <w:r>
        <w:t xml:space="preserve"> MHz prikazan je na sljedećoj slici</w:t>
      </w:r>
      <w:r w:rsidR="00ED3F2E">
        <w:t>:</w:t>
      </w:r>
    </w:p>
    <w:tbl>
      <w:tblPr>
        <w:tblW w:w="9060" w:type="dxa"/>
        <w:tblInd w:w="-10" w:type="dxa"/>
        <w:tblLook w:val="04A0" w:firstRow="1" w:lastRow="0" w:firstColumn="1" w:lastColumn="0" w:noHBand="0" w:noVBand="1"/>
      </w:tblPr>
      <w:tblGrid>
        <w:gridCol w:w="700"/>
        <w:gridCol w:w="620"/>
        <w:gridCol w:w="620"/>
        <w:gridCol w:w="620"/>
        <w:gridCol w:w="620"/>
        <w:gridCol w:w="620"/>
        <w:gridCol w:w="620"/>
        <w:gridCol w:w="920"/>
        <w:gridCol w:w="620"/>
        <w:gridCol w:w="620"/>
        <w:gridCol w:w="620"/>
        <w:gridCol w:w="620"/>
        <w:gridCol w:w="620"/>
        <w:gridCol w:w="620"/>
      </w:tblGrid>
      <w:tr w:rsidR="009C58D3" w:rsidRPr="009C58D3" w14:paraId="619FD9E6" w14:textId="77777777" w:rsidTr="009C58D3">
        <w:trPr>
          <w:trHeight w:val="690"/>
        </w:trPr>
        <w:tc>
          <w:tcPr>
            <w:tcW w:w="70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B3299E"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790</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791</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5750614C"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791</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796</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41B184B7"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796</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801</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523D2DBB"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801</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806</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10104331"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806</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811</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5AEE63A0"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811</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816</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0670CD24"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816</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821</w:t>
            </w:r>
          </w:p>
        </w:tc>
        <w:tc>
          <w:tcPr>
            <w:tcW w:w="920" w:type="dxa"/>
            <w:tcBorders>
              <w:top w:val="single" w:sz="8" w:space="0" w:color="auto"/>
              <w:left w:val="nil"/>
              <w:bottom w:val="single" w:sz="8" w:space="0" w:color="auto"/>
              <w:right w:val="single" w:sz="8" w:space="0" w:color="auto"/>
            </w:tcBorders>
            <w:shd w:val="clear" w:color="auto" w:fill="auto"/>
            <w:vAlign w:val="center"/>
            <w:hideMark/>
          </w:tcPr>
          <w:p w14:paraId="307A93A7"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821</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832</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697F42A2"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832</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837</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522C404E"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837</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842</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06ABC90E"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842</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847</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074CD3F7"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847</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852</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296C4ED9"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852</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857</w:t>
            </w:r>
          </w:p>
        </w:tc>
        <w:tc>
          <w:tcPr>
            <w:tcW w:w="620" w:type="dxa"/>
            <w:tcBorders>
              <w:top w:val="single" w:sz="8" w:space="0" w:color="auto"/>
              <w:left w:val="nil"/>
              <w:bottom w:val="single" w:sz="8" w:space="0" w:color="auto"/>
              <w:right w:val="single" w:sz="8" w:space="0" w:color="auto"/>
            </w:tcBorders>
            <w:shd w:val="clear" w:color="auto" w:fill="auto"/>
            <w:vAlign w:val="center"/>
            <w:hideMark/>
          </w:tcPr>
          <w:p w14:paraId="3B19A370"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857</w:t>
            </w:r>
            <w:r w:rsidRPr="009C58D3">
              <w:rPr>
                <w:rFonts w:ascii="Calibri" w:eastAsia="Times New Roman" w:hAnsi="Calibri" w:cs="Calibri"/>
                <w:color w:val="000000"/>
                <w:sz w:val="16"/>
                <w:szCs w:val="16"/>
                <w:lang w:val="en-GB" w:eastAsia="hr-HR"/>
              </w:rPr>
              <w:br/>
              <w:t>-</w:t>
            </w:r>
            <w:r w:rsidRPr="009C58D3">
              <w:rPr>
                <w:rFonts w:ascii="Calibri" w:eastAsia="Times New Roman" w:hAnsi="Calibri" w:cs="Calibri"/>
                <w:color w:val="000000"/>
                <w:sz w:val="16"/>
                <w:szCs w:val="16"/>
                <w:lang w:val="en-GB" w:eastAsia="hr-HR"/>
              </w:rPr>
              <w:br/>
              <w:t>862</w:t>
            </w:r>
          </w:p>
        </w:tc>
      </w:tr>
      <w:tr w:rsidR="009C58D3" w:rsidRPr="009C58D3" w14:paraId="2CD8C985" w14:textId="77777777" w:rsidTr="009C58D3">
        <w:trPr>
          <w:trHeight w:val="735"/>
        </w:trPr>
        <w:tc>
          <w:tcPr>
            <w:tcW w:w="700" w:type="dxa"/>
            <w:tcBorders>
              <w:top w:val="nil"/>
              <w:left w:val="single" w:sz="8" w:space="0" w:color="auto"/>
              <w:bottom w:val="single" w:sz="8" w:space="0" w:color="auto"/>
              <w:right w:val="single" w:sz="8" w:space="0" w:color="auto"/>
            </w:tcBorders>
            <w:shd w:val="clear" w:color="000000" w:fill="FFFF00"/>
            <w:vAlign w:val="center"/>
            <w:hideMark/>
          </w:tcPr>
          <w:p w14:paraId="4C774111"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Zaštitni pojas</w:t>
            </w:r>
          </w:p>
        </w:tc>
        <w:tc>
          <w:tcPr>
            <w:tcW w:w="3720" w:type="dxa"/>
            <w:gridSpan w:val="6"/>
            <w:tcBorders>
              <w:top w:val="single" w:sz="8" w:space="0" w:color="auto"/>
              <w:left w:val="nil"/>
              <w:bottom w:val="single" w:sz="8" w:space="0" w:color="auto"/>
              <w:right w:val="single" w:sz="8" w:space="0" w:color="000000"/>
            </w:tcBorders>
            <w:shd w:val="clear" w:color="000000" w:fill="00CCFF"/>
            <w:noWrap/>
            <w:vAlign w:val="center"/>
            <w:hideMark/>
          </w:tcPr>
          <w:p w14:paraId="16081453" w14:textId="77777777" w:rsidR="009C58D3" w:rsidRPr="009C58D3" w:rsidRDefault="009C58D3" w:rsidP="009C58D3">
            <w:pPr>
              <w:spacing w:after="0" w:line="240" w:lineRule="auto"/>
              <w:jc w:val="center"/>
              <w:rPr>
                <w:rFonts w:ascii="Calibri" w:eastAsia="Times New Roman" w:hAnsi="Calibri" w:cs="Calibri"/>
                <w:color w:val="000000"/>
                <w:lang w:eastAsia="hr-HR"/>
              </w:rPr>
            </w:pPr>
            <w:r w:rsidRPr="009C58D3">
              <w:rPr>
                <w:rFonts w:ascii="Calibri" w:eastAsia="Times New Roman" w:hAnsi="Calibri" w:cs="Calibri"/>
                <w:color w:val="000000"/>
                <w:lang w:val="en-GB" w:eastAsia="hr-HR"/>
              </w:rPr>
              <w:t>Silazna veza</w:t>
            </w:r>
          </w:p>
        </w:tc>
        <w:tc>
          <w:tcPr>
            <w:tcW w:w="920" w:type="dxa"/>
            <w:tcBorders>
              <w:top w:val="nil"/>
              <w:left w:val="nil"/>
              <w:bottom w:val="single" w:sz="8" w:space="0" w:color="auto"/>
              <w:right w:val="single" w:sz="8" w:space="0" w:color="auto"/>
            </w:tcBorders>
            <w:shd w:val="clear" w:color="000000" w:fill="008000"/>
            <w:vAlign w:val="center"/>
            <w:hideMark/>
          </w:tcPr>
          <w:p w14:paraId="4F008440"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Rascjep</w:t>
            </w:r>
          </w:p>
        </w:tc>
        <w:tc>
          <w:tcPr>
            <w:tcW w:w="3720" w:type="dxa"/>
            <w:gridSpan w:val="6"/>
            <w:tcBorders>
              <w:top w:val="single" w:sz="8" w:space="0" w:color="auto"/>
              <w:left w:val="nil"/>
              <w:bottom w:val="single" w:sz="8" w:space="0" w:color="auto"/>
              <w:right w:val="single" w:sz="8" w:space="0" w:color="000000"/>
            </w:tcBorders>
            <w:shd w:val="clear" w:color="000000" w:fill="00B0F0"/>
            <w:noWrap/>
            <w:vAlign w:val="center"/>
            <w:hideMark/>
          </w:tcPr>
          <w:p w14:paraId="61DE6BC2" w14:textId="77777777" w:rsidR="009C58D3" w:rsidRPr="009C58D3" w:rsidRDefault="009C58D3" w:rsidP="009C58D3">
            <w:pPr>
              <w:spacing w:after="0" w:line="240" w:lineRule="auto"/>
              <w:jc w:val="center"/>
              <w:rPr>
                <w:rFonts w:ascii="Calibri" w:eastAsia="Times New Roman" w:hAnsi="Calibri" w:cs="Calibri"/>
                <w:color w:val="000000"/>
                <w:lang w:eastAsia="hr-HR"/>
              </w:rPr>
            </w:pPr>
            <w:r w:rsidRPr="009C58D3">
              <w:rPr>
                <w:rFonts w:ascii="Calibri" w:eastAsia="Times New Roman" w:hAnsi="Calibri" w:cs="Calibri"/>
                <w:color w:val="000000"/>
                <w:lang w:val="en-GB" w:eastAsia="hr-HR"/>
              </w:rPr>
              <w:t>Uzlazna veza</w:t>
            </w:r>
          </w:p>
        </w:tc>
      </w:tr>
      <w:tr w:rsidR="009C58D3" w:rsidRPr="009C58D3" w14:paraId="0FD7653E" w14:textId="77777777" w:rsidTr="009C58D3">
        <w:trPr>
          <w:trHeight w:val="315"/>
        </w:trPr>
        <w:tc>
          <w:tcPr>
            <w:tcW w:w="700" w:type="dxa"/>
            <w:tcBorders>
              <w:top w:val="nil"/>
              <w:left w:val="single" w:sz="8" w:space="0" w:color="auto"/>
              <w:bottom w:val="single" w:sz="8" w:space="0" w:color="auto"/>
              <w:right w:val="single" w:sz="8" w:space="0" w:color="auto"/>
            </w:tcBorders>
            <w:shd w:val="clear" w:color="auto" w:fill="auto"/>
            <w:noWrap/>
            <w:vAlign w:val="center"/>
            <w:hideMark/>
          </w:tcPr>
          <w:p w14:paraId="13B7B734"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1 MHz</w:t>
            </w:r>
          </w:p>
        </w:tc>
        <w:tc>
          <w:tcPr>
            <w:tcW w:w="3720"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09FC0F19"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30 MHz (6 x 5 MHz)</w:t>
            </w:r>
          </w:p>
        </w:tc>
        <w:tc>
          <w:tcPr>
            <w:tcW w:w="920" w:type="dxa"/>
            <w:tcBorders>
              <w:top w:val="nil"/>
              <w:left w:val="nil"/>
              <w:bottom w:val="single" w:sz="8" w:space="0" w:color="auto"/>
              <w:right w:val="single" w:sz="8" w:space="0" w:color="auto"/>
            </w:tcBorders>
            <w:shd w:val="clear" w:color="auto" w:fill="auto"/>
            <w:noWrap/>
            <w:vAlign w:val="center"/>
            <w:hideMark/>
          </w:tcPr>
          <w:p w14:paraId="25DBF751"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11 MHz</w:t>
            </w:r>
          </w:p>
        </w:tc>
        <w:tc>
          <w:tcPr>
            <w:tcW w:w="3720"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02ABB1FA" w14:textId="77777777" w:rsidR="009C58D3" w:rsidRPr="009C58D3" w:rsidRDefault="009C58D3" w:rsidP="009C58D3">
            <w:pPr>
              <w:spacing w:after="0" w:line="240" w:lineRule="auto"/>
              <w:jc w:val="center"/>
              <w:rPr>
                <w:rFonts w:ascii="Calibri" w:eastAsia="Times New Roman" w:hAnsi="Calibri" w:cs="Calibri"/>
                <w:color w:val="000000"/>
                <w:sz w:val="16"/>
                <w:szCs w:val="16"/>
                <w:lang w:eastAsia="hr-HR"/>
              </w:rPr>
            </w:pPr>
            <w:r w:rsidRPr="009C58D3">
              <w:rPr>
                <w:rFonts w:ascii="Calibri" w:eastAsia="Times New Roman" w:hAnsi="Calibri" w:cs="Calibri"/>
                <w:color w:val="000000"/>
                <w:sz w:val="16"/>
                <w:szCs w:val="16"/>
                <w:lang w:val="en-GB" w:eastAsia="hr-HR"/>
              </w:rPr>
              <w:t>30 MHz (6 x 5 MHz)</w:t>
            </w:r>
          </w:p>
        </w:tc>
      </w:tr>
    </w:tbl>
    <w:p w14:paraId="067EBAE7" w14:textId="77777777" w:rsidR="002F12F0" w:rsidRDefault="002F12F0" w:rsidP="00DD215C"/>
    <w:p w14:paraId="46D4E784" w14:textId="77777777" w:rsidR="001A2A92" w:rsidRDefault="00A57F01" w:rsidP="006D3617">
      <w:pPr>
        <w:pStyle w:val="Heading2"/>
        <w:spacing w:before="0" w:after="240"/>
      </w:pPr>
      <w:r>
        <w:tab/>
      </w:r>
      <w:bookmarkStart w:id="3" w:name="_Toc85715488"/>
      <w:r>
        <w:t xml:space="preserve">2.2. </w:t>
      </w:r>
      <w:r w:rsidR="001E0185">
        <w:t xml:space="preserve">Frekvencijski pojas </w:t>
      </w:r>
      <w:r w:rsidR="00697142">
        <w:t>9</w:t>
      </w:r>
      <w:r w:rsidR="001A2A92">
        <w:t>00 MHz</w:t>
      </w:r>
      <w:bookmarkEnd w:id="3"/>
    </w:p>
    <w:p w14:paraId="70C2843F" w14:textId="1352F588" w:rsidR="000F62D1" w:rsidRPr="002F12F0" w:rsidRDefault="001D22C3" w:rsidP="00B773F8">
      <w:pPr>
        <w:jc w:val="both"/>
        <w:rPr>
          <w:bCs/>
          <w:highlight w:val="yellow"/>
        </w:rPr>
      </w:pPr>
      <w:r w:rsidRPr="009B436C">
        <w:rPr>
          <w:bCs/>
        </w:rPr>
        <w:t xml:space="preserve">Usklađeni tehnički uvjeti za </w:t>
      </w:r>
      <w:r w:rsidR="00924A44" w:rsidRPr="009B436C">
        <w:rPr>
          <w:bCs/>
        </w:rPr>
        <w:t>MFCN mreže</w:t>
      </w:r>
      <w:r w:rsidRPr="009B436C">
        <w:rPr>
          <w:bCs/>
        </w:rPr>
        <w:t xml:space="preserve"> u frekvencijskom pojasu </w:t>
      </w:r>
      <w:r w:rsidR="00B773F8">
        <w:rPr>
          <w:bCs/>
        </w:rPr>
        <w:t>880-915 MHz/ 925-</w:t>
      </w:r>
      <w:r w:rsidR="00B773F8" w:rsidRPr="00B773F8">
        <w:rPr>
          <w:bCs/>
        </w:rPr>
        <w:t>960 MHz</w:t>
      </w:r>
      <w:r w:rsidR="00B773F8">
        <w:rPr>
          <w:bCs/>
        </w:rPr>
        <w:t xml:space="preserve"> </w:t>
      </w:r>
      <w:r w:rsidRPr="009B436C">
        <w:rPr>
          <w:bCs/>
        </w:rPr>
        <w:t xml:space="preserve">na razini </w:t>
      </w:r>
      <w:r w:rsidR="00521688">
        <w:rPr>
          <w:bCs/>
        </w:rPr>
        <w:t>EU</w:t>
      </w:r>
      <w:r w:rsidRPr="009B436C">
        <w:rPr>
          <w:bCs/>
        </w:rPr>
        <w:t xml:space="preserve"> propisani su provedbenom odlukom </w:t>
      </w:r>
      <w:r w:rsidR="00521688">
        <w:rPr>
          <w:bCs/>
        </w:rPr>
        <w:t>EK</w:t>
      </w:r>
      <w:r w:rsidR="000917E0" w:rsidRPr="009B436C">
        <w:rPr>
          <w:bCs/>
        </w:rPr>
        <w:t xml:space="preserve"> </w:t>
      </w:r>
      <w:r w:rsidRPr="009B436C">
        <w:rPr>
          <w:bCs/>
        </w:rPr>
        <w:t>(EU) 20</w:t>
      </w:r>
      <w:r w:rsidR="00B773F8">
        <w:rPr>
          <w:bCs/>
        </w:rPr>
        <w:t>09/766</w:t>
      </w:r>
      <w:r w:rsidRPr="009B436C">
        <w:rPr>
          <w:bCs/>
        </w:rPr>
        <w:t xml:space="preserve"> </w:t>
      </w:r>
      <w:r w:rsidR="001F76EC">
        <w:rPr>
          <w:bCs/>
        </w:rPr>
        <w:t xml:space="preserve">(s uključenim izmjenama </w:t>
      </w:r>
      <w:r w:rsidR="001F76EC" w:rsidRPr="009B436C">
        <w:rPr>
          <w:bCs/>
        </w:rPr>
        <w:t>(EU) 20</w:t>
      </w:r>
      <w:r w:rsidR="001F76EC">
        <w:rPr>
          <w:bCs/>
        </w:rPr>
        <w:t>11/251 i (EU) 2018/637)</w:t>
      </w:r>
      <w:r w:rsidR="001F76EC">
        <w:rPr>
          <w:rStyle w:val="FootnoteReference"/>
          <w:bCs/>
        </w:rPr>
        <w:footnoteReference w:id="8"/>
      </w:r>
      <w:r w:rsidR="001F76EC">
        <w:rPr>
          <w:bCs/>
        </w:rPr>
        <w:t xml:space="preserve">, </w:t>
      </w:r>
      <w:r w:rsidRPr="009B436C">
        <w:rPr>
          <w:bCs/>
        </w:rPr>
        <w:t xml:space="preserve">odnosno ECC Odlukom </w:t>
      </w:r>
      <w:r w:rsidR="002F12F0" w:rsidRPr="002F12F0">
        <w:rPr>
          <w:bCs/>
        </w:rPr>
        <w:t>ECC/DEC/(06)13</w:t>
      </w:r>
      <w:r w:rsidR="00CB1300">
        <w:rPr>
          <w:rStyle w:val="FootnoteReference"/>
          <w:bCs/>
        </w:rPr>
        <w:footnoteReference w:id="9"/>
      </w:r>
      <w:r w:rsidRPr="009B436C">
        <w:rPr>
          <w:bCs/>
        </w:rPr>
        <w:t xml:space="preserve">). </w:t>
      </w:r>
    </w:p>
    <w:p w14:paraId="71586829" w14:textId="77777777" w:rsidR="002F12F0" w:rsidRDefault="002F12F0" w:rsidP="002F12F0">
      <w:pPr>
        <w:jc w:val="both"/>
      </w:pPr>
      <w:r>
        <w:t>U RH je na snazi Plan dodjele za frekvencijske pojaseve 880-915/925-960 MHz i 1710-1785/1805-1880 MHz</w:t>
      </w:r>
      <w:r>
        <w:rPr>
          <w:rStyle w:val="FootnoteReference"/>
        </w:rPr>
        <w:footnoteReference w:id="10"/>
      </w:r>
      <w:r>
        <w:t>.</w:t>
      </w:r>
    </w:p>
    <w:p w14:paraId="67A0CFB9" w14:textId="77777777" w:rsidR="003147B1" w:rsidRDefault="003147B1" w:rsidP="003147B1">
      <w:pPr>
        <w:jc w:val="both"/>
      </w:pPr>
      <w:r>
        <w:t xml:space="preserve">Frekvencijski pojas sastoji se od uparenog dijela spektra od 2x35 MHz koji je podijeljen u sedam frekvencijskih blokova od </w:t>
      </w:r>
      <w:r w:rsidR="008875E9">
        <w:t>2x</w:t>
      </w:r>
      <w:r>
        <w:t xml:space="preserve">5 MHz te FDD dupleksnog rascjepa od 915-925 MHz. Uzlazna veza počinje na 880 MHz, a silazna na 925 MHz. </w:t>
      </w:r>
    </w:p>
    <w:p w14:paraId="1F4DDC87" w14:textId="77777777" w:rsidR="00D767DF" w:rsidRDefault="00D767DF" w:rsidP="00D767DF">
      <w:pPr>
        <w:jc w:val="both"/>
      </w:pPr>
      <w:r>
        <w:t>Frekvencijski raspored za frekvencijski pojas 880-915/925-960 MHz prikazan je na sljedećoj slici:</w:t>
      </w:r>
    </w:p>
    <w:tbl>
      <w:tblPr>
        <w:tblW w:w="8760" w:type="dxa"/>
        <w:jc w:val="center"/>
        <w:tblLook w:val="04A0" w:firstRow="1" w:lastRow="0" w:firstColumn="1" w:lastColumn="0" w:noHBand="0" w:noVBand="1"/>
      </w:tblPr>
      <w:tblGrid>
        <w:gridCol w:w="560"/>
        <w:gridCol w:w="560"/>
        <w:gridCol w:w="560"/>
        <w:gridCol w:w="560"/>
        <w:gridCol w:w="560"/>
        <w:gridCol w:w="560"/>
        <w:gridCol w:w="560"/>
        <w:gridCol w:w="920"/>
        <w:gridCol w:w="560"/>
        <w:gridCol w:w="560"/>
        <w:gridCol w:w="560"/>
        <w:gridCol w:w="560"/>
        <w:gridCol w:w="560"/>
        <w:gridCol w:w="560"/>
        <w:gridCol w:w="560"/>
      </w:tblGrid>
      <w:tr w:rsidR="003147B1" w:rsidRPr="003147B1" w14:paraId="0E4822C8" w14:textId="77777777" w:rsidTr="003147B1">
        <w:trPr>
          <w:trHeight w:val="690"/>
          <w:jc w:val="center"/>
        </w:trPr>
        <w:tc>
          <w:tcPr>
            <w:tcW w:w="5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911E53D"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880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885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0E93FF7F"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885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890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5EBD76AA"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890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895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257E3532"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895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900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75CB860B"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900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905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1BE24DC2"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905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910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53CDC565"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910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915</w:t>
            </w:r>
          </w:p>
        </w:tc>
        <w:tc>
          <w:tcPr>
            <w:tcW w:w="920" w:type="dxa"/>
            <w:tcBorders>
              <w:top w:val="single" w:sz="8" w:space="0" w:color="auto"/>
              <w:left w:val="nil"/>
              <w:bottom w:val="single" w:sz="8" w:space="0" w:color="auto"/>
              <w:right w:val="single" w:sz="8" w:space="0" w:color="auto"/>
            </w:tcBorders>
            <w:shd w:val="clear" w:color="auto" w:fill="auto"/>
            <w:vAlign w:val="center"/>
            <w:hideMark/>
          </w:tcPr>
          <w:p w14:paraId="181A9D31"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915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925</w:t>
            </w:r>
          </w:p>
        </w:tc>
        <w:tc>
          <w:tcPr>
            <w:tcW w:w="560" w:type="dxa"/>
            <w:tcBorders>
              <w:top w:val="single" w:sz="8" w:space="0" w:color="auto"/>
              <w:left w:val="nil"/>
              <w:bottom w:val="nil"/>
              <w:right w:val="single" w:sz="8" w:space="0" w:color="auto"/>
            </w:tcBorders>
            <w:shd w:val="clear" w:color="auto" w:fill="auto"/>
            <w:vAlign w:val="center"/>
            <w:hideMark/>
          </w:tcPr>
          <w:p w14:paraId="500D310C"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925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930</w:t>
            </w:r>
          </w:p>
        </w:tc>
        <w:tc>
          <w:tcPr>
            <w:tcW w:w="560" w:type="dxa"/>
            <w:tcBorders>
              <w:top w:val="single" w:sz="8" w:space="0" w:color="auto"/>
              <w:left w:val="nil"/>
              <w:bottom w:val="nil"/>
              <w:right w:val="single" w:sz="8" w:space="0" w:color="auto"/>
            </w:tcBorders>
            <w:shd w:val="clear" w:color="auto" w:fill="auto"/>
            <w:vAlign w:val="center"/>
            <w:hideMark/>
          </w:tcPr>
          <w:p w14:paraId="251F87CE"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930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935</w:t>
            </w:r>
          </w:p>
        </w:tc>
        <w:tc>
          <w:tcPr>
            <w:tcW w:w="560" w:type="dxa"/>
            <w:tcBorders>
              <w:top w:val="single" w:sz="8" w:space="0" w:color="auto"/>
              <w:left w:val="nil"/>
              <w:bottom w:val="nil"/>
              <w:right w:val="single" w:sz="8" w:space="0" w:color="auto"/>
            </w:tcBorders>
            <w:shd w:val="clear" w:color="auto" w:fill="auto"/>
            <w:vAlign w:val="center"/>
            <w:hideMark/>
          </w:tcPr>
          <w:p w14:paraId="45A9B9A2"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935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940</w:t>
            </w:r>
          </w:p>
        </w:tc>
        <w:tc>
          <w:tcPr>
            <w:tcW w:w="560" w:type="dxa"/>
            <w:tcBorders>
              <w:top w:val="single" w:sz="8" w:space="0" w:color="auto"/>
              <w:left w:val="nil"/>
              <w:bottom w:val="nil"/>
              <w:right w:val="single" w:sz="8" w:space="0" w:color="auto"/>
            </w:tcBorders>
            <w:shd w:val="clear" w:color="auto" w:fill="auto"/>
            <w:vAlign w:val="center"/>
            <w:hideMark/>
          </w:tcPr>
          <w:p w14:paraId="1B4366DA"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940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945</w:t>
            </w:r>
          </w:p>
        </w:tc>
        <w:tc>
          <w:tcPr>
            <w:tcW w:w="560" w:type="dxa"/>
            <w:tcBorders>
              <w:top w:val="single" w:sz="8" w:space="0" w:color="auto"/>
              <w:left w:val="nil"/>
              <w:bottom w:val="nil"/>
              <w:right w:val="single" w:sz="8" w:space="0" w:color="auto"/>
            </w:tcBorders>
            <w:shd w:val="clear" w:color="auto" w:fill="auto"/>
            <w:vAlign w:val="center"/>
            <w:hideMark/>
          </w:tcPr>
          <w:p w14:paraId="03CD7B5C"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945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950</w:t>
            </w:r>
          </w:p>
        </w:tc>
        <w:tc>
          <w:tcPr>
            <w:tcW w:w="560" w:type="dxa"/>
            <w:tcBorders>
              <w:top w:val="single" w:sz="8" w:space="0" w:color="auto"/>
              <w:left w:val="nil"/>
              <w:bottom w:val="nil"/>
              <w:right w:val="single" w:sz="8" w:space="0" w:color="auto"/>
            </w:tcBorders>
            <w:shd w:val="clear" w:color="auto" w:fill="auto"/>
            <w:vAlign w:val="center"/>
            <w:hideMark/>
          </w:tcPr>
          <w:p w14:paraId="7D023ACE"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950</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955</w:t>
            </w:r>
          </w:p>
        </w:tc>
        <w:tc>
          <w:tcPr>
            <w:tcW w:w="560" w:type="dxa"/>
            <w:tcBorders>
              <w:top w:val="single" w:sz="8" w:space="0" w:color="auto"/>
              <w:left w:val="nil"/>
              <w:bottom w:val="nil"/>
              <w:right w:val="single" w:sz="8" w:space="0" w:color="auto"/>
            </w:tcBorders>
            <w:shd w:val="clear" w:color="auto" w:fill="auto"/>
            <w:vAlign w:val="center"/>
            <w:hideMark/>
          </w:tcPr>
          <w:p w14:paraId="5996EE7D"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955</w:t>
            </w:r>
            <w:r w:rsidRPr="003147B1">
              <w:rPr>
                <w:rFonts w:ascii="Calibri" w:eastAsia="Times New Roman" w:hAnsi="Calibri" w:cs="Calibri"/>
                <w:color w:val="000000"/>
                <w:sz w:val="16"/>
                <w:szCs w:val="16"/>
                <w:lang w:eastAsia="hr-HR"/>
              </w:rPr>
              <w:br/>
              <w:t>-</w:t>
            </w:r>
            <w:r w:rsidRPr="003147B1">
              <w:rPr>
                <w:rFonts w:ascii="Calibri" w:eastAsia="Times New Roman" w:hAnsi="Calibri" w:cs="Calibri"/>
                <w:color w:val="000000"/>
                <w:sz w:val="16"/>
                <w:szCs w:val="16"/>
                <w:lang w:eastAsia="hr-HR"/>
              </w:rPr>
              <w:br/>
              <w:t>960</w:t>
            </w:r>
          </w:p>
        </w:tc>
      </w:tr>
      <w:tr w:rsidR="003147B1" w:rsidRPr="003147B1" w14:paraId="6EF47350" w14:textId="77777777" w:rsidTr="003147B1">
        <w:trPr>
          <w:trHeight w:val="735"/>
          <w:jc w:val="center"/>
        </w:trPr>
        <w:tc>
          <w:tcPr>
            <w:tcW w:w="3920" w:type="dxa"/>
            <w:gridSpan w:val="7"/>
            <w:tcBorders>
              <w:top w:val="single" w:sz="8" w:space="0" w:color="auto"/>
              <w:left w:val="single" w:sz="8" w:space="0" w:color="auto"/>
              <w:bottom w:val="single" w:sz="8" w:space="0" w:color="auto"/>
              <w:right w:val="single" w:sz="8" w:space="0" w:color="000000"/>
            </w:tcBorders>
            <w:shd w:val="clear" w:color="000000" w:fill="00B0F0"/>
            <w:noWrap/>
            <w:vAlign w:val="center"/>
            <w:hideMark/>
          </w:tcPr>
          <w:p w14:paraId="006AFF51" w14:textId="77777777" w:rsidR="003147B1" w:rsidRPr="003147B1" w:rsidRDefault="003147B1" w:rsidP="003147B1">
            <w:pPr>
              <w:spacing w:after="0" w:line="240" w:lineRule="auto"/>
              <w:jc w:val="center"/>
              <w:rPr>
                <w:rFonts w:ascii="Calibri" w:eastAsia="Times New Roman" w:hAnsi="Calibri" w:cs="Calibri"/>
                <w:color w:val="000000"/>
                <w:lang w:eastAsia="hr-HR"/>
              </w:rPr>
            </w:pPr>
            <w:r w:rsidRPr="003147B1">
              <w:rPr>
                <w:rFonts w:ascii="Calibri" w:eastAsia="Times New Roman" w:hAnsi="Calibri" w:cs="Calibri"/>
                <w:color w:val="000000"/>
                <w:lang w:eastAsia="hr-HR"/>
              </w:rPr>
              <w:t>Uzlazna veza</w:t>
            </w:r>
          </w:p>
        </w:tc>
        <w:tc>
          <w:tcPr>
            <w:tcW w:w="920" w:type="dxa"/>
            <w:tcBorders>
              <w:top w:val="nil"/>
              <w:left w:val="nil"/>
              <w:bottom w:val="single" w:sz="8" w:space="0" w:color="auto"/>
              <w:right w:val="nil"/>
            </w:tcBorders>
            <w:shd w:val="clear" w:color="000000" w:fill="008000"/>
            <w:vAlign w:val="center"/>
            <w:hideMark/>
          </w:tcPr>
          <w:p w14:paraId="23D183CB"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Rascjep</w:t>
            </w:r>
          </w:p>
        </w:tc>
        <w:tc>
          <w:tcPr>
            <w:tcW w:w="3920" w:type="dxa"/>
            <w:gridSpan w:val="7"/>
            <w:tcBorders>
              <w:top w:val="single" w:sz="8" w:space="0" w:color="auto"/>
              <w:left w:val="single" w:sz="8" w:space="0" w:color="auto"/>
              <w:bottom w:val="single" w:sz="8" w:space="0" w:color="auto"/>
              <w:right w:val="single" w:sz="8" w:space="0" w:color="000000"/>
            </w:tcBorders>
            <w:shd w:val="clear" w:color="000000" w:fill="00CCFF"/>
            <w:noWrap/>
            <w:vAlign w:val="center"/>
            <w:hideMark/>
          </w:tcPr>
          <w:p w14:paraId="37B9D385" w14:textId="77777777" w:rsidR="003147B1" w:rsidRPr="003147B1" w:rsidRDefault="003147B1" w:rsidP="003147B1">
            <w:pPr>
              <w:spacing w:after="0" w:line="240" w:lineRule="auto"/>
              <w:jc w:val="center"/>
              <w:rPr>
                <w:rFonts w:ascii="Calibri" w:eastAsia="Times New Roman" w:hAnsi="Calibri" w:cs="Calibri"/>
                <w:color w:val="000000"/>
                <w:lang w:eastAsia="hr-HR"/>
              </w:rPr>
            </w:pPr>
            <w:r w:rsidRPr="003147B1">
              <w:rPr>
                <w:rFonts w:ascii="Calibri" w:eastAsia="Times New Roman" w:hAnsi="Calibri" w:cs="Calibri"/>
                <w:color w:val="000000"/>
                <w:lang w:eastAsia="hr-HR"/>
              </w:rPr>
              <w:t>Silazna veza</w:t>
            </w:r>
          </w:p>
        </w:tc>
      </w:tr>
      <w:tr w:rsidR="003147B1" w:rsidRPr="003147B1" w14:paraId="7920FF6E" w14:textId="77777777" w:rsidTr="003147B1">
        <w:trPr>
          <w:trHeight w:val="315"/>
          <w:jc w:val="center"/>
        </w:trPr>
        <w:tc>
          <w:tcPr>
            <w:tcW w:w="392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2F8AC10"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35 MHz (7 x 5 MHz)</w:t>
            </w:r>
          </w:p>
        </w:tc>
        <w:tc>
          <w:tcPr>
            <w:tcW w:w="920" w:type="dxa"/>
            <w:tcBorders>
              <w:top w:val="nil"/>
              <w:left w:val="nil"/>
              <w:bottom w:val="single" w:sz="8" w:space="0" w:color="auto"/>
              <w:right w:val="single" w:sz="8" w:space="0" w:color="auto"/>
            </w:tcBorders>
            <w:shd w:val="clear" w:color="auto" w:fill="auto"/>
            <w:noWrap/>
            <w:vAlign w:val="center"/>
            <w:hideMark/>
          </w:tcPr>
          <w:p w14:paraId="08EDC027"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10 MHz</w:t>
            </w:r>
          </w:p>
        </w:tc>
        <w:tc>
          <w:tcPr>
            <w:tcW w:w="3920" w:type="dxa"/>
            <w:gridSpan w:val="7"/>
            <w:tcBorders>
              <w:top w:val="nil"/>
              <w:left w:val="nil"/>
              <w:bottom w:val="single" w:sz="8" w:space="0" w:color="auto"/>
              <w:right w:val="single" w:sz="8" w:space="0" w:color="000000"/>
            </w:tcBorders>
            <w:shd w:val="clear" w:color="auto" w:fill="auto"/>
            <w:noWrap/>
            <w:vAlign w:val="center"/>
            <w:hideMark/>
          </w:tcPr>
          <w:p w14:paraId="23F13F95" w14:textId="77777777" w:rsidR="003147B1" w:rsidRPr="003147B1" w:rsidRDefault="003147B1" w:rsidP="003147B1">
            <w:pPr>
              <w:spacing w:after="0" w:line="240" w:lineRule="auto"/>
              <w:jc w:val="center"/>
              <w:rPr>
                <w:rFonts w:ascii="Calibri" w:eastAsia="Times New Roman" w:hAnsi="Calibri" w:cs="Calibri"/>
                <w:color w:val="000000"/>
                <w:sz w:val="16"/>
                <w:szCs w:val="16"/>
                <w:lang w:eastAsia="hr-HR"/>
              </w:rPr>
            </w:pPr>
            <w:r w:rsidRPr="003147B1">
              <w:rPr>
                <w:rFonts w:ascii="Calibri" w:eastAsia="Times New Roman" w:hAnsi="Calibri" w:cs="Calibri"/>
                <w:color w:val="000000"/>
                <w:sz w:val="16"/>
                <w:szCs w:val="16"/>
                <w:lang w:eastAsia="hr-HR"/>
              </w:rPr>
              <w:t>35 MHz (7 x 5 MHz)</w:t>
            </w:r>
          </w:p>
        </w:tc>
      </w:tr>
    </w:tbl>
    <w:p w14:paraId="21BB0100" w14:textId="77777777" w:rsidR="001A2A92" w:rsidRDefault="00A57F01" w:rsidP="006D3617">
      <w:pPr>
        <w:pStyle w:val="Heading2"/>
        <w:spacing w:before="0" w:after="240"/>
        <w:ind w:firstLine="709"/>
      </w:pPr>
      <w:bookmarkStart w:id="4" w:name="_Toc85715489"/>
      <w:r>
        <w:lastRenderedPageBreak/>
        <w:t xml:space="preserve">2.3. </w:t>
      </w:r>
      <w:r w:rsidR="001E0185">
        <w:t xml:space="preserve">Frekvencijski pojas </w:t>
      </w:r>
      <w:r w:rsidR="00B773F8">
        <w:t>1</w:t>
      </w:r>
      <w:r w:rsidR="002C4D4E">
        <w:t>5</w:t>
      </w:r>
      <w:r w:rsidR="00B773F8">
        <w:t>00 MH</w:t>
      </w:r>
      <w:r w:rsidR="001A2A92">
        <w:t>z</w:t>
      </w:r>
      <w:bookmarkEnd w:id="4"/>
    </w:p>
    <w:p w14:paraId="1E222BD4" w14:textId="4A4CD8D6" w:rsidR="00E45940" w:rsidRPr="00E45940" w:rsidRDefault="00E45940" w:rsidP="00E45940">
      <w:pPr>
        <w:jc w:val="both"/>
        <w:rPr>
          <w:bCs/>
        </w:rPr>
      </w:pPr>
      <w:r w:rsidRPr="00E45940">
        <w:rPr>
          <w:bCs/>
        </w:rPr>
        <w:t xml:space="preserve">Usklađeni tehnički uvjeti za MFCN mreže u frekvencijskom pojasu 1452-1492 MHz na razini </w:t>
      </w:r>
      <w:r w:rsidR="00521688">
        <w:rPr>
          <w:bCs/>
        </w:rPr>
        <w:t>EU</w:t>
      </w:r>
      <w:r w:rsidRPr="00E45940">
        <w:rPr>
          <w:bCs/>
        </w:rPr>
        <w:t xml:space="preserve"> propisani su provedbenom odlukom </w:t>
      </w:r>
      <w:r w:rsidR="00521688">
        <w:rPr>
          <w:bCs/>
        </w:rPr>
        <w:t>EK</w:t>
      </w:r>
      <w:r w:rsidRPr="00E45940">
        <w:rPr>
          <w:bCs/>
        </w:rPr>
        <w:t xml:space="preserve"> (EU) 2015/750</w:t>
      </w:r>
      <w:r w:rsidRPr="00E45940">
        <w:rPr>
          <w:bCs/>
          <w:vertAlign w:val="superscript"/>
        </w:rPr>
        <w:footnoteReference w:id="11"/>
      </w:r>
      <w:r w:rsidRPr="00E45940">
        <w:rPr>
          <w:bCs/>
        </w:rPr>
        <w:t xml:space="preserve"> odnosno ECC Odlukom ECC/DEC/(13)03</w:t>
      </w:r>
      <w:r w:rsidRPr="00E45940">
        <w:rPr>
          <w:bCs/>
          <w:vertAlign w:val="superscript"/>
        </w:rPr>
        <w:footnoteReference w:id="12"/>
      </w:r>
      <w:r w:rsidRPr="00E45940">
        <w:rPr>
          <w:bCs/>
        </w:rPr>
        <w:t xml:space="preserve">). Frekvencijski pojas se sastoji od spektra namijenjenog isključivo za silaznu vezu i predviđena je dodjela </w:t>
      </w:r>
      <w:r w:rsidR="00E3773D">
        <w:rPr>
          <w:bCs/>
        </w:rPr>
        <w:t>RF</w:t>
      </w:r>
      <w:r w:rsidR="00E3773D" w:rsidRPr="00E45940">
        <w:rPr>
          <w:bCs/>
        </w:rPr>
        <w:t xml:space="preserve"> </w:t>
      </w:r>
      <w:r w:rsidRPr="00E45940">
        <w:rPr>
          <w:bCs/>
        </w:rPr>
        <w:t>spektra u višekratnicima bloka frekvencija širine 5 MHz poravnatih na razmacima od 5 MHz od donjeg ruba područja na 1452 MHz.</w:t>
      </w:r>
    </w:p>
    <w:p w14:paraId="1FF81ACA" w14:textId="5FF8D33B" w:rsidR="00E45940" w:rsidRPr="00E45940" w:rsidRDefault="00E45940" w:rsidP="00E45940">
      <w:pPr>
        <w:jc w:val="both"/>
        <w:rPr>
          <w:bCs/>
        </w:rPr>
      </w:pPr>
      <w:r w:rsidRPr="00E45940">
        <w:rPr>
          <w:bCs/>
        </w:rPr>
        <w:t>ECC Odlukom ECC/DEC/(17)06</w:t>
      </w:r>
      <w:r w:rsidRPr="00E45940">
        <w:rPr>
          <w:bCs/>
          <w:vertAlign w:val="superscript"/>
        </w:rPr>
        <w:footnoteReference w:id="13"/>
      </w:r>
      <w:r w:rsidRPr="00E45940">
        <w:rPr>
          <w:bCs/>
        </w:rPr>
        <w:t xml:space="preserve"> usklađeni tehnički uvjeti za MFCN mreže propisani su i za frekvencijske pojaseve 1427-1452 MHz i 1492-1518 MHz, a predviđena je dodjela </w:t>
      </w:r>
      <w:r w:rsidR="00E3773D">
        <w:rPr>
          <w:bCs/>
        </w:rPr>
        <w:t>RF</w:t>
      </w:r>
      <w:r w:rsidR="00E3773D" w:rsidRPr="00E45940">
        <w:rPr>
          <w:bCs/>
        </w:rPr>
        <w:t xml:space="preserve"> </w:t>
      </w:r>
      <w:r w:rsidRPr="00E45940">
        <w:rPr>
          <w:bCs/>
        </w:rPr>
        <w:t xml:space="preserve">spektra u višekratnicima bloka frekvencija širine 5 MHz. </w:t>
      </w:r>
    </w:p>
    <w:p w14:paraId="0C2888C2" w14:textId="259CCFFB" w:rsidR="00323284" w:rsidRDefault="00E45940" w:rsidP="00E45940">
      <w:pPr>
        <w:jc w:val="both"/>
        <w:rPr>
          <w:bCs/>
        </w:rPr>
      </w:pPr>
      <w:r w:rsidRPr="00E45940">
        <w:rPr>
          <w:bCs/>
        </w:rPr>
        <w:t>Frekvencijski pojasevi 1427-1452 MHz i 1492-1518 MHz u skladu s NJFA (</w:t>
      </w:r>
      <w:r w:rsidRPr="00E45940">
        <w:rPr>
          <w:bCs/>
          <w:i/>
        </w:rPr>
        <w:t>NATO Joint Civil/Military Frequency Agreement</w:t>
      </w:r>
      <w:r w:rsidRPr="00E45940">
        <w:rPr>
          <w:bCs/>
        </w:rPr>
        <w:t xml:space="preserve">) sporazumom i Tablicom namjene </w:t>
      </w:r>
      <w:r w:rsidR="00E3773D">
        <w:rPr>
          <w:bCs/>
        </w:rPr>
        <w:t>RF</w:t>
      </w:r>
      <w:r w:rsidR="00E3773D" w:rsidRPr="00E45940">
        <w:rPr>
          <w:bCs/>
        </w:rPr>
        <w:t xml:space="preserve"> </w:t>
      </w:r>
      <w:r w:rsidRPr="00E45940">
        <w:rPr>
          <w:bCs/>
        </w:rPr>
        <w:t xml:space="preserve">spektra u </w:t>
      </w:r>
      <w:r w:rsidRPr="006700B5">
        <w:rPr>
          <w:bCs/>
        </w:rPr>
        <w:t>RH (</w:t>
      </w:r>
      <w:r w:rsidR="006700B5" w:rsidRPr="00E335DE">
        <w:rPr>
          <w:bCs/>
        </w:rPr>
        <w:t xml:space="preserve">dalje: </w:t>
      </w:r>
      <w:r w:rsidRPr="006700B5">
        <w:rPr>
          <w:bCs/>
        </w:rPr>
        <w:t>Tablica namjene)</w:t>
      </w:r>
      <w:r w:rsidRPr="00E45940">
        <w:rPr>
          <w:bCs/>
        </w:rPr>
        <w:t xml:space="preserve"> su također namijenjeni i za vojnu uporabu. </w:t>
      </w:r>
    </w:p>
    <w:p w14:paraId="0A1337FF" w14:textId="7FB4B3FE" w:rsidR="00E45940" w:rsidRDefault="00323284" w:rsidP="00E45940">
      <w:pPr>
        <w:jc w:val="both"/>
        <w:rPr>
          <w:bCs/>
        </w:rPr>
      </w:pPr>
      <w:r>
        <w:rPr>
          <w:bCs/>
        </w:rPr>
        <w:t xml:space="preserve">U frekvencijskom pojasu </w:t>
      </w:r>
      <w:r w:rsidRPr="00E45940">
        <w:rPr>
          <w:bCs/>
        </w:rPr>
        <w:t xml:space="preserve">1427-1452 MHz </w:t>
      </w:r>
      <w:r w:rsidR="00601987">
        <w:rPr>
          <w:bCs/>
        </w:rPr>
        <w:t xml:space="preserve">trenutno su prisutne neželjene vanpojasne emisije radarskih sustava koji rade ispod 1400 MHz. Kako bi se MFCN mrežama dugoročno osigurao neometan rad, </w:t>
      </w:r>
      <w:r w:rsidR="00CD405F">
        <w:rPr>
          <w:bCs/>
        </w:rPr>
        <w:t xml:space="preserve">a s obzirom na kompleksnost problematike, </w:t>
      </w:r>
      <w:r w:rsidR="00601987">
        <w:rPr>
          <w:bCs/>
        </w:rPr>
        <w:t xml:space="preserve">HAKOM </w:t>
      </w:r>
      <w:r w:rsidR="00601987" w:rsidRPr="005A338D">
        <w:rPr>
          <w:bCs/>
        </w:rPr>
        <w:t>već neko vrijeme</w:t>
      </w:r>
      <w:r w:rsidR="00601987">
        <w:rPr>
          <w:bCs/>
        </w:rPr>
        <w:t xml:space="preserve"> radi na uklanjanju tih emisija</w:t>
      </w:r>
      <w:r w:rsidR="00CD405F">
        <w:rPr>
          <w:bCs/>
        </w:rPr>
        <w:t xml:space="preserve"> te se njihovo rješavanje očekuje tijekom sljedećih nekoliko godina</w:t>
      </w:r>
      <w:r w:rsidR="00601987">
        <w:rPr>
          <w:bCs/>
        </w:rPr>
        <w:t xml:space="preserve">. </w:t>
      </w:r>
      <w:r w:rsidR="00CD405F">
        <w:rPr>
          <w:bCs/>
        </w:rPr>
        <w:t xml:space="preserve">Iz navedenih razloga frekvencijski pojas </w:t>
      </w:r>
      <w:r w:rsidR="00CD405F" w:rsidRPr="00E45940">
        <w:rPr>
          <w:bCs/>
        </w:rPr>
        <w:t>1427-1452 MHz</w:t>
      </w:r>
      <w:r w:rsidR="00CD405F">
        <w:rPr>
          <w:bCs/>
        </w:rPr>
        <w:t xml:space="preserve"> trenutno nije raspoloživ za dodjelu</w:t>
      </w:r>
      <w:r w:rsidR="00F60C19">
        <w:rPr>
          <w:bCs/>
        </w:rPr>
        <w:t>, a ovisno o mogućoj promjeni situacije do početka postupka javne dražbe HAKOM će odlučiti o eventualnoj dodjeli ovog dijela RF spektra</w:t>
      </w:r>
      <w:r w:rsidR="00CD405F">
        <w:rPr>
          <w:bCs/>
        </w:rPr>
        <w:t>.</w:t>
      </w:r>
    </w:p>
    <w:p w14:paraId="1E57E9FC" w14:textId="77777777" w:rsidR="00E26C7F" w:rsidRDefault="00E26C7F" w:rsidP="00E45940">
      <w:pPr>
        <w:jc w:val="both"/>
        <w:rPr>
          <w:bCs/>
        </w:rPr>
      </w:pPr>
      <w:r>
        <w:t>Frekvencijski raspored za frekvencijski pojas 1427-1518 MHz prikazan je na sljedećoj slici:</w:t>
      </w:r>
    </w:p>
    <w:tbl>
      <w:tblPr>
        <w:tblW w:w="6440" w:type="dxa"/>
        <w:jc w:val="center"/>
        <w:tblLook w:val="04A0" w:firstRow="1" w:lastRow="0" w:firstColumn="1" w:lastColumn="0" w:noHBand="0" w:noVBand="1"/>
      </w:tblPr>
      <w:tblGrid>
        <w:gridCol w:w="820"/>
        <w:gridCol w:w="820"/>
        <w:gridCol w:w="820"/>
        <w:gridCol w:w="820"/>
        <w:gridCol w:w="820"/>
        <w:gridCol w:w="820"/>
        <w:gridCol w:w="820"/>
        <w:gridCol w:w="700"/>
      </w:tblGrid>
      <w:tr w:rsidR="00E45940" w:rsidRPr="00E45940" w14:paraId="49700A64" w14:textId="77777777" w:rsidTr="00E45940">
        <w:trPr>
          <w:trHeight w:val="690"/>
          <w:jc w:val="center"/>
        </w:trPr>
        <w:tc>
          <w:tcPr>
            <w:tcW w:w="8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DB832CD"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1427</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1432*</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0E81BC8A"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1432</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1437</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222ABA59"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1437</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1442</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5C3BB55B"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79A959C5"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1502</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1507</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70E5C21D"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1507</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1512</w:t>
            </w:r>
          </w:p>
        </w:tc>
        <w:tc>
          <w:tcPr>
            <w:tcW w:w="820" w:type="dxa"/>
            <w:tcBorders>
              <w:top w:val="single" w:sz="8" w:space="0" w:color="auto"/>
              <w:left w:val="nil"/>
              <w:bottom w:val="single" w:sz="8" w:space="0" w:color="auto"/>
              <w:right w:val="single" w:sz="8" w:space="0" w:color="auto"/>
            </w:tcBorders>
            <w:shd w:val="clear" w:color="auto" w:fill="auto"/>
            <w:vAlign w:val="center"/>
            <w:hideMark/>
          </w:tcPr>
          <w:p w14:paraId="3954D3F0"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1512</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1517**</w:t>
            </w:r>
          </w:p>
        </w:tc>
        <w:tc>
          <w:tcPr>
            <w:tcW w:w="700" w:type="dxa"/>
            <w:tcBorders>
              <w:top w:val="single" w:sz="8" w:space="0" w:color="auto"/>
              <w:left w:val="nil"/>
              <w:bottom w:val="single" w:sz="8" w:space="0" w:color="auto"/>
              <w:right w:val="single" w:sz="8" w:space="0" w:color="auto"/>
            </w:tcBorders>
            <w:shd w:val="clear" w:color="auto" w:fill="auto"/>
            <w:vAlign w:val="center"/>
            <w:hideMark/>
          </w:tcPr>
          <w:p w14:paraId="06536C57"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1517</w:t>
            </w:r>
            <w:r w:rsidRPr="00E45940">
              <w:rPr>
                <w:rFonts w:ascii="Calibri" w:eastAsia="Times New Roman" w:hAnsi="Calibri" w:cs="Calibri"/>
                <w:color w:val="000000"/>
                <w:sz w:val="16"/>
                <w:szCs w:val="16"/>
                <w:lang w:eastAsia="hr-HR"/>
              </w:rPr>
              <w:br/>
              <w:t>-</w:t>
            </w:r>
            <w:r w:rsidRPr="00E45940">
              <w:rPr>
                <w:rFonts w:ascii="Calibri" w:eastAsia="Times New Roman" w:hAnsi="Calibri" w:cs="Calibri"/>
                <w:color w:val="000000"/>
                <w:sz w:val="16"/>
                <w:szCs w:val="16"/>
                <w:lang w:eastAsia="hr-HR"/>
              </w:rPr>
              <w:br/>
              <w:t>1518</w:t>
            </w:r>
          </w:p>
        </w:tc>
      </w:tr>
      <w:tr w:rsidR="00E45940" w:rsidRPr="00E45940" w14:paraId="0220DFDA" w14:textId="77777777" w:rsidTr="00E45940">
        <w:trPr>
          <w:trHeight w:val="735"/>
          <w:jc w:val="center"/>
        </w:trPr>
        <w:tc>
          <w:tcPr>
            <w:tcW w:w="5740" w:type="dxa"/>
            <w:gridSpan w:val="7"/>
            <w:tcBorders>
              <w:top w:val="single" w:sz="8" w:space="0" w:color="auto"/>
              <w:left w:val="single" w:sz="8" w:space="0" w:color="auto"/>
              <w:bottom w:val="single" w:sz="8" w:space="0" w:color="auto"/>
              <w:right w:val="single" w:sz="8" w:space="0" w:color="000000"/>
            </w:tcBorders>
            <w:shd w:val="clear" w:color="000000" w:fill="00B0F0"/>
            <w:noWrap/>
            <w:vAlign w:val="center"/>
            <w:hideMark/>
          </w:tcPr>
          <w:p w14:paraId="6A4B6E6D" w14:textId="77777777" w:rsidR="00E45940" w:rsidRPr="00E45940" w:rsidRDefault="00E45940" w:rsidP="00E45940">
            <w:pPr>
              <w:spacing w:after="0" w:line="240" w:lineRule="auto"/>
              <w:jc w:val="center"/>
              <w:rPr>
                <w:rFonts w:ascii="Calibri" w:eastAsia="Times New Roman" w:hAnsi="Calibri" w:cs="Calibri"/>
                <w:color w:val="000000"/>
                <w:lang w:eastAsia="hr-HR"/>
              </w:rPr>
            </w:pPr>
            <w:r w:rsidRPr="00E45940">
              <w:rPr>
                <w:rFonts w:ascii="Calibri" w:eastAsia="Times New Roman" w:hAnsi="Calibri" w:cs="Calibri"/>
                <w:color w:val="000000"/>
                <w:lang w:eastAsia="hr-HR"/>
              </w:rPr>
              <w:t>Silazna veza</w:t>
            </w:r>
          </w:p>
        </w:tc>
        <w:tc>
          <w:tcPr>
            <w:tcW w:w="700" w:type="dxa"/>
            <w:tcBorders>
              <w:top w:val="nil"/>
              <w:left w:val="nil"/>
              <w:bottom w:val="single" w:sz="8" w:space="0" w:color="auto"/>
              <w:right w:val="single" w:sz="8" w:space="0" w:color="auto"/>
            </w:tcBorders>
            <w:shd w:val="clear" w:color="000000" w:fill="FFFF00"/>
            <w:vAlign w:val="center"/>
            <w:hideMark/>
          </w:tcPr>
          <w:p w14:paraId="6AD82C1A"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Zaštitni pojas</w:t>
            </w:r>
          </w:p>
        </w:tc>
      </w:tr>
      <w:tr w:rsidR="00E45940" w:rsidRPr="00E45940" w14:paraId="740C4FDE" w14:textId="77777777" w:rsidTr="00E45940">
        <w:trPr>
          <w:trHeight w:val="315"/>
          <w:jc w:val="center"/>
        </w:trPr>
        <w:tc>
          <w:tcPr>
            <w:tcW w:w="574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2387228"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90 MHz (18 x 5 MHz)</w:t>
            </w:r>
          </w:p>
        </w:tc>
        <w:tc>
          <w:tcPr>
            <w:tcW w:w="700" w:type="dxa"/>
            <w:tcBorders>
              <w:top w:val="nil"/>
              <w:left w:val="nil"/>
              <w:bottom w:val="single" w:sz="8" w:space="0" w:color="auto"/>
              <w:right w:val="single" w:sz="8" w:space="0" w:color="auto"/>
            </w:tcBorders>
            <w:shd w:val="clear" w:color="auto" w:fill="auto"/>
            <w:noWrap/>
            <w:vAlign w:val="center"/>
            <w:hideMark/>
          </w:tcPr>
          <w:p w14:paraId="0A8038B6" w14:textId="77777777" w:rsidR="00E45940" w:rsidRPr="00E45940" w:rsidRDefault="00E45940" w:rsidP="00E45940">
            <w:pPr>
              <w:spacing w:after="0" w:line="240" w:lineRule="auto"/>
              <w:jc w:val="center"/>
              <w:rPr>
                <w:rFonts w:ascii="Calibri" w:eastAsia="Times New Roman" w:hAnsi="Calibri" w:cs="Calibri"/>
                <w:color w:val="000000"/>
                <w:sz w:val="16"/>
                <w:szCs w:val="16"/>
                <w:lang w:eastAsia="hr-HR"/>
              </w:rPr>
            </w:pPr>
            <w:r w:rsidRPr="00E45940">
              <w:rPr>
                <w:rFonts w:ascii="Calibri" w:eastAsia="Times New Roman" w:hAnsi="Calibri" w:cs="Calibri"/>
                <w:color w:val="000000"/>
                <w:sz w:val="16"/>
                <w:szCs w:val="16"/>
                <w:lang w:eastAsia="hr-HR"/>
              </w:rPr>
              <w:t>1 MHz</w:t>
            </w:r>
          </w:p>
        </w:tc>
      </w:tr>
    </w:tbl>
    <w:p w14:paraId="1760E8DE" w14:textId="77777777" w:rsidR="000E68D1" w:rsidRDefault="000E68D1" w:rsidP="000E68D1">
      <w:pPr>
        <w:jc w:val="center"/>
      </w:pPr>
      <w:r w:rsidRPr="002248FB">
        <w:t>*</w:t>
      </w:r>
      <w:r>
        <w:t>izvanpojasno ograničenje</w:t>
      </w:r>
      <w:r w:rsidRPr="002248FB">
        <w:t xml:space="preserve"> </w:t>
      </w:r>
    </w:p>
    <w:p w14:paraId="7BD251CE" w14:textId="77777777" w:rsidR="00E45940" w:rsidRPr="00E45940" w:rsidRDefault="000E68D1" w:rsidP="000E68D1">
      <w:pPr>
        <w:jc w:val="center"/>
        <w:rPr>
          <w:bCs/>
        </w:rPr>
      </w:pPr>
      <w:r w:rsidRPr="002248FB">
        <w:t>**</w:t>
      </w:r>
      <w:r>
        <w:t>ograničenje snage</w:t>
      </w:r>
    </w:p>
    <w:p w14:paraId="4E993EC6" w14:textId="77777777" w:rsidR="00E45940" w:rsidRDefault="00E45940" w:rsidP="00E45940">
      <w:pPr>
        <w:pStyle w:val="ListParagraph"/>
        <w:spacing w:before="160" w:after="120"/>
        <w:ind w:left="0"/>
        <w:jc w:val="both"/>
      </w:pPr>
      <w:r>
        <w:t xml:space="preserve">Zbog zaštite radiokomunikacijskih službi u susjednim frekvencijskim pojasevima ispod 1427 MHz i iznad 1518 MHz ECC Odlukom </w:t>
      </w:r>
      <w:r w:rsidRPr="00B0040C">
        <w:t>ECC/DEC/(1</w:t>
      </w:r>
      <w:r>
        <w:t>7</w:t>
      </w:r>
      <w:r w:rsidRPr="00B0040C">
        <w:t>)0</w:t>
      </w:r>
      <w:r>
        <w:t>6 propisani su sljedeći tehnički uvjeti za bazne postaje:</w:t>
      </w:r>
    </w:p>
    <w:p w14:paraId="680A2458" w14:textId="77777777" w:rsidR="00E45940" w:rsidRDefault="00E45940" w:rsidP="00E45940">
      <w:pPr>
        <w:pStyle w:val="ListParagraph"/>
        <w:numPr>
          <w:ilvl w:val="0"/>
          <w:numId w:val="6"/>
        </w:numPr>
        <w:spacing w:before="160" w:after="120"/>
        <w:jc w:val="both"/>
      </w:pPr>
      <w:r>
        <w:t xml:space="preserve">ograničenje maksimalne snage neželjene emisije od -72 dBW/27 MHz u frekvencijskom pojasu 1400-1427 MHz što rezultira uporabom </w:t>
      </w:r>
      <w:r w:rsidRPr="00E47F22">
        <w:t>bazn</w:t>
      </w:r>
      <w:r>
        <w:t>ih</w:t>
      </w:r>
      <w:r w:rsidRPr="00E47F22">
        <w:t xml:space="preserve"> </w:t>
      </w:r>
      <w:r>
        <w:t>postaja male snage</w:t>
      </w:r>
      <w:r w:rsidRPr="00E47F22">
        <w:t xml:space="preserve"> u </w:t>
      </w:r>
      <w:r>
        <w:t>frekvencijskom bloku 1427-1432 MHz</w:t>
      </w:r>
    </w:p>
    <w:p w14:paraId="68212BD1" w14:textId="77777777" w:rsidR="00E45940" w:rsidRDefault="00E45940" w:rsidP="00E45940">
      <w:pPr>
        <w:pStyle w:val="ListParagraph"/>
        <w:numPr>
          <w:ilvl w:val="0"/>
          <w:numId w:val="6"/>
        </w:numPr>
        <w:spacing w:before="120" w:after="120"/>
        <w:jc w:val="both"/>
      </w:pPr>
      <w:r>
        <w:t>ograničenje maksimalne unutarpojasne ekvivalentne izotropne izračene snage (e.i.r.p.) od 58 dBm/5 MHz po ćeliji u frekvencijskom bloku 1512-1517 MHz</w:t>
      </w:r>
    </w:p>
    <w:p w14:paraId="5B9AE7B0" w14:textId="77777777" w:rsidR="00E45940" w:rsidRDefault="00E45940" w:rsidP="00E45940">
      <w:pPr>
        <w:pStyle w:val="ListParagraph"/>
        <w:numPr>
          <w:ilvl w:val="0"/>
          <w:numId w:val="6"/>
        </w:numPr>
        <w:spacing w:before="120"/>
        <w:ind w:left="714" w:hanging="357"/>
        <w:jc w:val="both"/>
      </w:pPr>
      <w:r>
        <w:t xml:space="preserve">ograničenje ekvivalentne izotropne izračene snage (e.i.r.p.) izvan bloka od </w:t>
      </w:r>
      <w:r>
        <w:rPr>
          <w:lang w:val="en-GB"/>
        </w:rPr>
        <w:t xml:space="preserve">-0.8 dBm </w:t>
      </w:r>
      <w:r>
        <w:t>u frekvencijskom pojasu 1518-1520 MHz i -30 dBm u frekvencijskom pojasu 1520-1559 MHz</w:t>
      </w:r>
    </w:p>
    <w:p w14:paraId="0ABE57F9" w14:textId="4E994C40" w:rsidR="008715A1" w:rsidRDefault="00E45940" w:rsidP="00E335DE">
      <w:r w:rsidRPr="00E335DE">
        <w:t xml:space="preserve">ECC Odlukom ECC/DEC/(13)03 je također radi zaštite radiokomunikacijskih službi u susjednim frekvencijskim pojasevima predviđena mogućnost uvođenja dodatnih tehničkih uvjeta na nacionalnoj razini kao što su ograničenje maksimalne unutarpojasne ekvivalentne izotropne izračene snage </w:t>
      </w:r>
      <w:r w:rsidRPr="00E335DE">
        <w:lastRenderedPageBreak/>
        <w:t>(e.i.r.p.) u frekvencijskim pojasevima 1427-1452 MHz i 1492-1518 MHz i koordinacija između radijskih postaja.</w:t>
      </w:r>
    </w:p>
    <w:p w14:paraId="43419EC8" w14:textId="77777777" w:rsidR="008715A1" w:rsidRPr="006633D9" w:rsidRDefault="008715A1" w:rsidP="00E335DE"/>
    <w:p w14:paraId="57393FB2" w14:textId="77777777" w:rsidR="002C4D4E" w:rsidRPr="002C4D4E" w:rsidRDefault="002C4D4E" w:rsidP="002C4D4E">
      <w:pPr>
        <w:pStyle w:val="Heading2"/>
        <w:spacing w:before="0" w:after="240"/>
        <w:ind w:firstLine="709"/>
      </w:pPr>
      <w:bookmarkStart w:id="5" w:name="_Toc85715490"/>
      <w:r>
        <w:t>2.4. Frekvencijski pojas 1800 MHz</w:t>
      </w:r>
      <w:bookmarkEnd w:id="5"/>
    </w:p>
    <w:p w14:paraId="4A4D714C" w14:textId="688E95A2" w:rsidR="0004082D" w:rsidRPr="002F12F0" w:rsidRDefault="0004082D" w:rsidP="0004082D">
      <w:pPr>
        <w:jc w:val="both"/>
        <w:rPr>
          <w:bCs/>
          <w:highlight w:val="yellow"/>
        </w:rPr>
      </w:pPr>
      <w:r w:rsidRPr="009B436C">
        <w:rPr>
          <w:bCs/>
        </w:rPr>
        <w:t xml:space="preserve">Usklađeni tehnički uvjeti za MFCN mreže u frekvencijskom pojasu </w:t>
      </w:r>
      <w:r w:rsidR="00AF720B" w:rsidRPr="00AF720B">
        <w:rPr>
          <w:bCs/>
        </w:rPr>
        <w:t xml:space="preserve">1710-1785/1805-1880 </w:t>
      </w:r>
      <w:r w:rsidRPr="00B773F8">
        <w:rPr>
          <w:bCs/>
        </w:rPr>
        <w:t xml:space="preserve"> MHz</w:t>
      </w:r>
      <w:r>
        <w:rPr>
          <w:bCs/>
        </w:rPr>
        <w:t xml:space="preserve"> </w:t>
      </w:r>
      <w:r w:rsidRPr="009B436C">
        <w:rPr>
          <w:bCs/>
        </w:rPr>
        <w:t xml:space="preserve">na razini </w:t>
      </w:r>
      <w:r w:rsidR="00521688">
        <w:rPr>
          <w:bCs/>
        </w:rPr>
        <w:t>EU</w:t>
      </w:r>
      <w:r w:rsidRPr="009B436C">
        <w:rPr>
          <w:bCs/>
        </w:rPr>
        <w:t xml:space="preserve"> propisani su provedbenom odlukom </w:t>
      </w:r>
      <w:r w:rsidR="00521688">
        <w:rPr>
          <w:bCs/>
        </w:rPr>
        <w:t>EK</w:t>
      </w:r>
      <w:r w:rsidRPr="009B436C">
        <w:rPr>
          <w:bCs/>
        </w:rPr>
        <w:t xml:space="preserve"> (EU) 20</w:t>
      </w:r>
      <w:r>
        <w:rPr>
          <w:bCs/>
        </w:rPr>
        <w:t>09/766</w:t>
      </w:r>
      <w:r w:rsidRPr="009B436C">
        <w:rPr>
          <w:bCs/>
        </w:rPr>
        <w:t xml:space="preserve"> </w:t>
      </w:r>
      <w:r>
        <w:rPr>
          <w:bCs/>
        </w:rPr>
        <w:t xml:space="preserve">(s uključenim izmjenama </w:t>
      </w:r>
      <w:r w:rsidRPr="009B436C">
        <w:rPr>
          <w:bCs/>
        </w:rPr>
        <w:t>(EU) 20</w:t>
      </w:r>
      <w:r>
        <w:rPr>
          <w:bCs/>
        </w:rPr>
        <w:t>11/251 i (EU) 2018/637)</w:t>
      </w:r>
      <w:r>
        <w:rPr>
          <w:rStyle w:val="FootnoteReference"/>
          <w:bCs/>
        </w:rPr>
        <w:footnoteReference w:id="14"/>
      </w:r>
      <w:r>
        <w:rPr>
          <w:bCs/>
        </w:rPr>
        <w:t xml:space="preserve">, </w:t>
      </w:r>
      <w:r w:rsidRPr="009B436C">
        <w:rPr>
          <w:bCs/>
        </w:rPr>
        <w:t xml:space="preserve">odnosno ECC Odlukom </w:t>
      </w:r>
      <w:r w:rsidRPr="002F12F0">
        <w:rPr>
          <w:bCs/>
        </w:rPr>
        <w:t>ECC/DEC/(06)13</w:t>
      </w:r>
      <w:r>
        <w:rPr>
          <w:rStyle w:val="FootnoteReference"/>
          <w:bCs/>
        </w:rPr>
        <w:footnoteReference w:id="15"/>
      </w:r>
      <w:r w:rsidRPr="009B436C">
        <w:rPr>
          <w:bCs/>
        </w:rPr>
        <w:t xml:space="preserve">). </w:t>
      </w:r>
    </w:p>
    <w:p w14:paraId="18003E17" w14:textId="77777777" w:rsidR="0004082D" w:rsidRDefault="0004082D" w:rsidP="0004082D">
      <w:pPr>
        <w:jc w:val="both"/>
      </w:pPr>
      <w:r>
        <w:t>U RH je na snazi Plan dodjele za frekvencijske pojaseve 880-915/925-960 MHz i 1710-1785/1805-1880 MHz</w:t>
      </w:r>
      <w:r>
        <w:rPr>
          <w:rStyle w:val="FootnoteReference"/>
        </w:rPr>
        <w:footnoteReference w:id="16"/>
      </w:r>
      <w:r>
        <w:t>.</w:t>
      </w:r>
    </w:p>
    <w:p w14:paraId="5C5AA4C9" w14:textId="77777777" w:rsidR="0004082D" w:rsidRDefault="0004082D" w:rsidP="0004082D">
      <w:pPr>
        <w:jc w:val="both"/>
      </w:pPr>
      <w:r>
        <w:t>Frekvencijski pojas sastoji se od uparenog dijela spektra od 2x</w:t>
      </w:r>
      <w:r w:rsidR="00EE188B">
        <w:t>7</w:t>
      </w:r>
      <w:r>
        <w:t xml:space="preserve">5 MHz koji je podijeljen u </w:t>
      </w:r>
      <w:r w:rsidR="00EE188B">
        <w:t>15</w:t>
      </w:r>
      <w:r>
        <w:t xml:space="preserve"> frekvencijskih blokova od </w:t>
      </w:r>
      <w:r w:rsidR="008875E9">
        <w:t>2x</w:t>
      </w:r>
      <w:r>
        <w:t xml:space="preserve">5 MHz te FDD dupleksnog rascjepa od </w:t>
      </w:r>
      <w:r w:rsidR="00EE188B">
        <w:t>1785</w:t>
      </w:r>
      <w:r>
        <w:t>-</w:t>
      </w:r>
      <w:r w:rsidR="00EE188B">
        <w:t>1805</w:t>
      </w:r>
      <w:r>
        <w:t xml:space="preserve"> MHz. Uzlazna veza počinje na </w:t>
      </w:r>
      <w:r w:rsidR="00EE188B">
        <w:t>1710</w:t>
      </w:r>
      <w:r>
        <w:t xml:space="preserve"> MHz, a silazna na </w:t>
      </w:r>
      <w:r w:rsidR="00EE188B">
        <w:t>1805</w:t>
      </w:r>
      <w:r>
        <w:t xml:space="preserve"> MHz. </w:t>
      </w:r>
    </w:p>
    <w:p w14:paraId="1C70A836" w14:textId="77777777" w:rsidR="0004082D" w:rsidRDefault="0004082D" w:rsidP="0004082D">
      <w:pPr>
        <w:jc w:val="both"/>
      </w:pPr>
      <w:r>
        <w:t xml:space="preserve">Frekvencijski raspored za frekvencijski pojas </w:t>
      </w:r>
      <w:r w:rsidR="00EE188B">
        <w:t xml:space="preserve">1710-1785/1805-1880 </w:t>
      </w:r>
      <w:r>
        <w:t>MHz prikazan je na sljedećoj slici:</w:t>
      </w:r>
    </w:p>
    <w:tbl>
      <w:tblPr>
        <w:tblW w:w="7900" w:type="dxa"/>
        <w:jc w:val="center"/>
        <w:tblLook w:val="04A0" w:firstRow="1" w:lastRow="0" w:firstColumn="1" w:lastColumn="0" w:noHBand="0" w:noVBand="1"/>
      </w:tblPr>
      <w:tblGrid>
        <w:gridCol w:w="541"/>
        <w:gridCol w:w="541"/>
        <w:gridCol w:w="541"/>
        <w:gridCol w:w="374"/>
        <w:gridCol w:w="541"/>
        <w:gridCol w:w="541"/>
        <w:gridCol w:w="541"/>
        <w:gridCol w:w="712"/>
        <w:gridCol w:w="541"/>
        <w:gridCol w:w="541"/>
        <w:gridCol w:w="541"/>
        <w:gridCol w:w="374"/>
        <w:gridCol w:w="541"/>
        <w:gridCol w:w="541"/>
        <w:gridCol w:w="541"/>
      </w:tblGrid>
      <w:tr w:rsidR="00EE188B" w:rsidRPr="00EE188B" w14:paraId="0819218E" w14:textId="77777777" w:rsidTr="00EE188B">
        <w:trPr>
          <w:trHeight w:val="690"/>
          <w:jc w:val="center"/>
        </w:trPr>
        <w:tc>
          <w:tcPr>
            <w:tcW w:w="4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8F1D664"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1710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1715</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60BA8BB3"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1715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1720</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6F8E35E7"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1720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1725</w:t>
            </w:r>
          </w:p>
        </w:tc>
        <w:tc>
          <w:tcPr>
            <w:tcW w:w="860" w:type="dxa"/>
            <w:tcBorders>
              <w:top w:val="single" w:sz="8" w:space="0" w:color="auto"/>
              <w:left w:val="nil"/>
              <w:bottom w:val="single" w:sz="8" w:space="0" w:color="auto"/>
              <w:right w:val="single" w:sz="8" w:space="0" w:color="auto"/>
            </w:tcBorders>
            <w:shd w:val="clear" w:color="auto" w:fill="auto"/>
            <w:vAlign w:val="center"/>
            <w:hideMark/>
          </w:tcPr>
          <w:p w14:paraId="3DB6E3FE"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2C555187"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1770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1775</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6025821B"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1775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1780</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19FD2C63"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1780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1785</w:t>
            </w:r>
          </w:p>
        </w:tc>
        <w:tc>
          <w:tcPr>
            <w:tcW w:w="660" w:type="dxa"/>
            <w:tcBorders>
              <w:top w:val="single" w:sz="8" w:space="0" w:color="auto"/>
              <w:left w:val="nil"/>
              <w:bottom w:val="single" w:sz="8" w:space="0" w:color="auto"/>
              <w:right w:val="single" w:sz="8" w:space="0" w:color="auto"/>
            </w:tcBorders>
            <w:shd w:val="clear" w:color="auto" w:fill="auto"/>
            <w:vAlign w:val="center"/>
            <w:hideMark/>
          </w:tcPr>
          <w:p w14:paraId="209C9EFE"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1785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1805</w:t>
            </w:r>
          </w:p>
        </w:tc>
        <w:tc>
          <w:tcPr>
            <w:tcW w:w="460" w:type="dxa"/>
            <w:tcBorders>
              <w:top w:val="single" w:sz="8" w:space="0" w:color="auto"/>
              <w:left w:val="nil"/>
              <w:bottom w:val="nil"/>
              <w:right w:val="single" w:sz="8" w:space="0" w:color="auto"/>
            </w:tcBorders>
            <w:shd w:val="clear" w:color="auto" w:fill="auto"/>
            <w:vAlign w:val="center"/>
            <w:hideMark/>
          </w:tcPr>
          <w:p w14:paraId="338C45A0"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1805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1810</w:t>
            </w:r>
          </w:p>
        </w:tc>
        <w:tc>
          <w:tcPr>
            <w:tcW w:w="460" w:type="dxa"/>
            <w:tcBorders>
              <w:top w:val="single" w:sz="8" w:space="0" w:color="auto"/>
              <w:left w:val="nil"/>
              <w:bottom w:val="nil"/>
              <w:right w:val="single" w:sz="8" w:space="0" w:color="auto"/>
            </w:tcBorders>
            <w:shd w:val="clear" w:color="auto" w:fill="auto"/>
            <w:vAlign w:val="center"/>
            <w:hideMark/>
          </w:tcPr>
          <w:p w14:paraId="2757CC50"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1810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1815</w:t>
            </w:r>
          </w:p>
        </w:tc>
        <w:tc>
          <w:tcPr>
            <w:tcW w:w="460" w:type="dxa"/>
            <w:tcBorders>
              <w:top w:val="single" w:sz="8" w:space="0" w:color="auto"/>
              <w:left w:val="nil"/>
              <w:bottom w:val="nil"/>
              <w:right w:val="single" w:sz="8" w:space="0" w:color="auto"/>
            </w:tcBorders>
            <w:shd w:val="clear" w:color="auto" w:fill="auto"/>
            <w:vAlign w:val="center"/>
            <w:hideMark/>
          </w:tcPr>
          <w:p w14:paraId="6E45F3F3"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1815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1820</w:t>
            </w:r>
          </w:p>
        </w:tc>
        <w:tc>
          <w:tcPr>
            <w:tcW w:w="860" w:type="dxa"/>
            <w:tcBorders>
              <w:top w:val="single" w:sz="8" w:space="0" w:color="auto"/>
              <w:left w:val="nil"/>
              <w:bottom w:val="nil"/>
              <w:right w:val="single" w:sz="8" w:space="0" w:color="auto"/>
            </w:tcBorders>
            <w:shd w:val="clear" w:color="auto" w:fill="auto"/>
            <w:vAlign w:val="center"/>
            <w:hideMark/>
          </w:tcPr>
          <w:p w14:paraId="0CAC97C8"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w:t>
            </w:r>
          </w:p>
        </w:tc>
        <w:tc>
          <w:tcPr>
            <w:tcW w:w="460" w:type="dxa"/>
            <w:tcBorders>
              <w:top w:val="single" w:sz="8" w:space="0" w:color="auto"/>
              <w:left w:val="nil"/>
              <w:bottom w:val="nil"/>
              <w:right w:val="single" w:sz="8" w:space="0" w:color="auto"/>
            </w:tcBorders>
            <w:shd w:val="clear" w:color="auto" w:fill="auto"/>
            <w:vAlign w:val="center"/>
            <w:hideMark/>
          </w:tcPr>
          <w:p w14:paraId="544799B7"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1865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1870</w:t>
            </w:r>
          </w:p>
        </w:tc>
        <w:tc>
          <w:tcPr>
            <w:tcW w:w="460" w:type="dxa"/>
            <w:tcBorders>
              <w:top w:val="single" w:sz="8" w:space="0" w:color="auto"/>
              <w:left w:val="nil"/>
              <w:bottom w:val="nil"/>
              <w:right w:val="single" w:sz="8" w:space="0" w:color="auto"/>
            </w:tcBorders>
            <w:shd w:val="clear" w:color="auto" w:fill="auto"/>
            <w:vAlign w:val="center"/>
            <w:hideMark/>
          </w:tcPr>
          <w:p w14:paraId="59E0D4F3"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1870</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1875</w:t>
            </w:r>
          </w:p>
        </w:tc>
        <w:tc>
          <w:tcPr>
            <w:tcW w:w="460" w:type="dxa"/>
            <w:tcBorders>
              <w:top w:val="single" w:sz="8" w:space="0" w:color="auto"/>
              <w:left w:val="nil"/>
              <w:bottom w:val="nil"/>
              <w:right w:val="single" w:sz="8" w:space="0" w:color="auto"/>
            </w:tcBorders>
            <w:shd w:val="clear" w:color="auto" w:fill="auto"/>
            <w:vAlign w:val="center"/>
            <w:hideMark/>
          </w:tcPr>
          <w:p w14:paraId="21565575"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1875</w:t>
            </w:r>
            <w:r w:rsidRPr="00EE188B">
              <w:rPr>
                <w:rFonts w:ascii="Calibri" w:eastAsia="Times New Roman" w:hAnsi="Calibri" w:cs="Calibri"/>
                <w:color w:val="000000"/>
                <w:sz w:val="16"/>
                <w:szCs w:val="16"/>
                <w:lang w:eastAsia="hr-HR"/>
              </w:rPr>
              <w:br/>
              <w:t>-</w:t>
            </w:r>
            <w:r w:rsidRPr="00EE188B">
              <w:rPr>
                <w:rFonts w:ascii="Calibri" w:eastAsia="Times New Roman" w:hAnsi="Calibri" w:cs="Calibri"/>
                <w:color w:val="000000"/>
                <w:sz w:val="16"/>
                <w:szCs w:val="16"/>
                <w:lang w:eastAsia="hr-HR"/>
              </w:rPr>
              <w:br/>
              <w:t>1880</w:t>
            </w:r>
          </w:p>
        </w:tc>
      </w:tr>
      <w:tr w:rsidR="00EE188B" w:rsidRPr="00EE188B" w14:paraId="10B14621" w14:textId="77777777" w:rsidTr="00EE188B">
        <w:trPr>
          <w:trHeight w:val="735"/>
          <w:jc w:val="center"/>
        </w:trPr>
        <w:tc>
          <w:tcPr>
            <w:tcW w:w="3620" w:type="dxa"/>
            <w:gridSpan w:val="7"/>
            <w:tcBorders>
              <w:top w:val="single" w:sz="8" w:space="0" w:color="auto"/>
              <w:left w:val="single" w:sz="8" w:space="0" w:color="auto"/>
              <w:bottom w:val="single" w:sz="8" w:space="0" w:color="auto"/>
              <w:right w:val="single" w:sz="8" w:space="0" w:color="000000"/>
            </w:tcBorders>
            <w:shd w:val="clear" w:color="000000" w:fill="00B0F0"/>
            <w:noWrap/>
            <w:vAlign w:val="center"/>
            <w:hideMark/>
          </w:tcPr>
          <w:p w14:paraId="4728F2F7" w14:textId="77777777" w:rsidR="00EE188B" w:rsidRPr="00EE188B" w:rsidRDefault="00EE188B" w:rsidP="00EE188B">
            <w:pPr>
              <w:spacing w:after="0" w:line="240" w:lineRule="auto"/>
              <w:jc w:val="center"/>
              <w:rPr>
                <w:rFonts w:ascii="Calibri" w:eastAsia="Times New Roman" w:hAnsi="Calibri" w:cs="Calibri"/>
                <w:color w:val="000000"/>
                <w:lang w:eastAsia="hr-HR"/>
              </w:rPr>
            </w:pPr>
            <w:r w:rsidRPr="00EE188B">
              <w:rPr>
                <w:rFonts w:ascii="Calibri" w:eastAsia="Times New Roman" w:hAnsi="Calibri" w:cs="Calibri"/>
                <w:color w:val="000000"/>
                <w:lang w:eastAsia="hr-HR"/>
              </w:rPr>
              <w:t>Uzlazna veza</w:t>
            </w:r>
          </w:p>
        </w:tc>
        <w:tc>
          <w:tcPr>
            <w:tcW w:w="660" w:type="dxa"/>
            <w:tcBorders>
              <w:top w:val="nil"/>
              <w:left w:val="nil"/>
              <w:bottom w:val="single" w:sz="8" w:space="0" w:color="auto"/>
              <w:right w:val="nil"/>
            </w:tcBorders>
            <w:shd w:val="clear" w:color="000000" w:fill="008000"/>
            <w:vAlign w:val="center"/>
            <w:hideMark/>
          </w:tcPr>
          <w:p w14:paraId="08FDD848"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Rascjep</w:t>
            </w:r>
          </w:p>
        </w:tc>
        <w:tc>
          <w:tcPr>
            <w:tcW w:w="3620" w:type="dxa"/>
            <w:gridSpan w:val="7"/>
            <w:tcBorders>
              <w:top w:val="single" w:sz="8" w:space="0" w:color="auto"/>
              <w:left w:val="single" w:sz="8" w:space="0" w:color="auto"/>
              <w:bottom w:val="single" w:sz="8" w:space="0" w:color="auto"/>
              <w:right w:val="single" w:sz="8" w:space="0" w:color="000000"/>
            </w:tcBorders>
            <w:shd w:val="clear" w:color="000000" w:fill="00CCFF"/>
            <w:noWrap/>
            <w:vAlign w:val="center"/>
            <w:hideMark/>
          </w:tcPr>
          <w:p w14:paraId="0D5F00E0" w14:textId="77777777" w:rsidR="00EE188B" w:rsidRPr="00EE188B" w:rsidRDefault="00EE188B" w:rsidP="00EE188B">
            <w:pPr>
              <w:spacing w:after="0" w:line="240" w:lineRule="auto"/>
              <w:jc w:val="center"/>
              <w:rPr>
                <w:rFonts w:ascii="Calibri" w:eastAsia="Times New Roman" w:hAnsi="Calibri" w:cs="Calibri"/>
                <w:color w:val="000000"/>
                <w:lang w:eastAsia="hr-HR"/>
              </w:rPr>
            </w:pPr>
            <w:r w:rsidRPr="00EE188B">
              <w:rPr>
                <w:rFonts w:ascii="Calibri" w:eastAsia="Times New Roman" w:hAnsi="Calibri" w:cs="Calibri"/>
                <w:color w:val="000000"/>
                <w:lang w:eastAsia="hr-HR"/>
              </w:rPr>
              <w:t>Silazna veza</w:t>
            </w:r>
          </w:p>
        </w:tc>
      </w:tr>
      <w:tr w:rsidR="00EE188B" w:rsidRPr="00EE188B" w14:paraId="7CB547AF" w14:textId="77777777" w:rsidTr="00EE188B">
        <w:trPr>
          <w:trHeight w:val="315"/>
          <w:jc w:val="center"/>
        </w:trPr>
        <w:tc>
          <w:tcPr>
            <w:tcW w:w="362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BDC0EAA"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75 MHz (15 x 5 MHz)</w:t>
            </w:r>
          </w:p>
        </w:tc>
        <w:tc>
          <w:tcPr>
            <w:tcW w:w="660" w:type="dxa"/>
            <w:tcBorders>
              <w:top w:val="nil"/>
              <w:left w:val="nil"/>
              <w:bottom w:val="single" w:sz="8" w:space="0" w:color="auto"/>
              <w:right w:val="single" w:sz="8" w:space="0" w:color="auto"/>
            </w:tcBorders>
            <w:shd w:val="clear" w:color="auto" w:fill="auto"/>
            <w:noWrap/>
            <w:vAlign w:val="center"/>
            <w:hideMark/>
          </w:tcPr>
          <w:p w14:paraId="442B962E"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20 MHz</w:t>
            </w:r>
          </w:p>
        </w:tc>
        <w:tc>
          <w:tcPr>
            <w:tcW w:w="3620" w:type="dxa"/>
            <w:gridSpan w:val="7"/>
            <w:tcBorders>
              <w:top w:val="nil"/>
              <w:left w:val="nil"/>
              <w:bottom w:val="single" w:sz="8" w:space="0" w:color="auto"/>
              <w:right w:val="single" w:sz="8" w:space="0" w:color="000000"/>
            </w:tcBorders>
            <w:shd w:val="clear" w:color="auto" w:fill="auto"/>
            <w:noWrap/>
            <w:vAlign w:val="center"/>
            <w:hideMark/>
          </w:tcPr>
          <w:p w14:paraId="572D3774" w14:textId="77777777" w:rsidR="00EE188B" w:rsidRPr="00EE188B" w:rsidRDefault="00EE188B" w:rsidP="00EE188B">
            <w:pPr>
              <w:spacing w:after="0" w:line="240" w:lineRule="auto"/>
              <w:jc w:val="center"/>
              <w:rPr>
                <w:rFonts w:ascii="Calibri" w:eastAsia="Times New Roman" w:hAnsi="Calibri" w:cs="Calibri"/>
                <w:color w:val="000000"/>
                <w:sz w:val="16"/>
                <w:szCs w:val="16"/>
                <w:lang w:eastAsia="hr-HR"/>
              </w:rPr>
            </w:pPr>
            <w:r w:rsidRPr="00EE188B">
              <w:rPr>
                <w:rFonts w:ascii="Calibri" w:eastAsia="Times New Roman" w:hAnsi="Calibri" w:cs="Calibri"/>
                <w:color w:val="000000"/>
                <w:sz w:val="16"/>
                <w:szCs w:val="16"/>
                <w:lang w:eastAsia="hr-HR"/>
              </w:rPr>
              <w:t>75 MHz (15 x 5 MHz)</w:t>
            </w:r>
          </w:p>
        </w:tc>
      </w:tr>
    </w:tbl>
    <w:p w14:paraId="054F44A5" w14:textId="77777777" w:rsidR="005F07B3" w:rsidRPr="0083588A" w:rsidRDefault="005F07B3" w:rsidP="0083588A"/>
    <w:p w14:paraId="4D092397" w14:textId="77777777" w:rsidR="001A2A92" w:rsidRDefault="00A57F01" w:rsidP="00B03ABC">
      <w:pPr>
        <w:pStyle w:val="Heading2"/>
        <w:spacing w:before="0" w:after="240"/>
        <w:ind w:firstLine="709"/>
      </w:pPr>
      <w:bookmarkStart w:id="6" w:name="_Toc85715491"/>
      <w:r>
        <w:t>2.</w:t>
      </w:r>
      <w:r w:rsidR="002C4D4E">
        <w:t>5</w:t>
      </w:r>
      <w:r>
        <w:t xml:space="preserve">. </w:t>
      </w:r>
      <w:r w:rsidR="001E0185">
        <w:t xml:space="preserve">Frekvencijski pojas </w:t>
      </w:r>
      <w:r w:rsidR="00B773F8">
        <w:t>2100 MHz</w:t>
      </w:r>
      <w:bookmarkEnd w:id="6"/>
    </w:p>
    <w:p w14:paraId="72A733CA" w14:textId="01CB06CF" w:rsidR="00DC2479" w:rsidRPr="002F12F0" w:rsidRDefault="00DC2479" w:rsidP="00DC2479">
      <w:pPr>
        <w:jc w:val="both"/>
        <w:rPr>
          <w:bCs/>
          <w:highlight w:val="yellow"/>
        </w:rPr>
      </w:pPr>
      <w:r w:rsidRPr="009B436C">
        <w:rPr>
          <w:bCs/>
        </w:rPr>
        <w:t xml:space="preserve">Usklađeni tehnički uvjeti za MFCN mreže u frekvencijskom pojasu </w:t>
      </w:r>
      <w:r w:rsidRPr="00DC2479">
        <w:rPr>
          <w:bCs/>
        </w:rPr>
        <w:t>1920 – 1980/2110 – 2170 MHz</w:t>
      </w:r>
      <w:r>
        <w:rPr>
          <w:bCs/>
        </w:rPr>
        <w:t xml:space="preserve"> </w:t>
      </w:r>
      <w:r w:rsidRPr="009B436C">
        <w:rPr>
          <w:bCs/>
        </w:rPr>
        <w:t xml:space="preserve">na razini </w:t>
      </w:r>
      <w:r w:rsidR="00521688">
        <w:rPr>
          <w:bCs/>
        </w:rPr>
        <w:t>EU</w:t>
      </w:r>
      <w:r w:rsidRPr="009B436C">
        <w:rPr>
          <w:bCs/>
        </w:rPr>
        <w:t xml:space="preserve"> propisani su provedbenom odlukom </w:t>
      </w:r>
      <w:r w:rsidR="00521688">
        <w:rPr>
          <w:bCs/>
        </w:rPr>
        <w:t>EK</w:t>
      </w:r>
      <w:r w:rsidRPr="009B436C">
        <w:rPr>
          <w:bCs/>
        </w:rPr>
        <w:t xml:space="preserve"> (EU) 20</w:t>
      </w:r>
      <w:r>
        <w:rPr>
          <w:bCs/>
        </w:rPr>
        <w:t>12/688</w:t>
      </w:r>
      <w:r w:rsidRPr="009B436C">
        <w:rPr>
          <w:bCs/>
        </w:rPr>
        <w:t xml:space="preserve"> </w:t>
      </w:r>
      <w:r>
        <w:rPr>
          <w:bCs/>
        </w:rPr>
        <w:t xml:space="preserve">(s uključenim izmjenama </w:t>
      </w:r>
      <w:r w:rsidRPr="009B436C">
        <w:rPr>
          <w:bCs/>
        </w:rPr>
        <w:t>(EU) 20</w:t>
      </w:r>
      <w:r>
        <w:rPr>
          <w:bCs/>
        </w:rPr>
        <w:t>20/667)</w:t>
      </w:r>
      <w:r>
        <w:rPr>
          <w:rStyle w:val="FootnoteReference"/>
          <w:bCs/>
        </w:rPr>
        <w:footnoteReference w:id="17"/>
      </w:r>
      <w:r>
        <w:rPr>
          <w:bCs/>
        </w:rPr>
        <w:t xml:space="preserve">, </w:t>
      </w:r>
      <w:r w:rsidRPr="009B436C">
        <w:rPr>
          <w:bCs/>
        </w:rPr>
        <w:t xml:space="preserve">odnosno ECC Odlukom </w:t>
      </w:r>
      <w:r w:rsidR="005A0BE8">
        <w:rPr>
          <w:bCs/>
        </w:rPr>
        <w:t>ECC/DEC/(06)01</w:t>
      </w:r>
      <w:r>
        <w:rPr>
          <w:rStyle w:val="FootnoteReference"/>
          <w:bCs/>
        </w:rPr>
        <w:footnoteReference w:id="18"/>
      </w:r>
      <w:r w:rsidRPr="009B436C">
        <w:rPr>
          <w:bCs/>
        </w:rPr>
        <w:t xml:space="preserve">). </w:t>
      </w:r>
    </w:p>
    <w:p w14:paraId="137AC7B8" w14:textId="77777777" w:rsidR="00DC2479" w:rsidRDefault="00DC2479" w:rsidP="00DC2479">
      <w:pPr>
        <w:jc w:val="both"/>
      </w:pPr>
      <w:r>
        <w:t xml:space="preserve">U RH je na snazi Plan </w:t>
      </w:r>
      <w:r w:rsidR="005F07B3" w:rsidRPr="005F07B3">
        <w:t>dodjele za frekvencijski pojas 1920-1980/2110-2170 MHz</w:t>
      </w:r>
      <w:r>
        <w:rPr>
          <w:rStyle w:val="FootnoteReference"/>
        </w:rPr>
        <w:footnoteReference w:id="19"/>
      </w:r>
      <w:r>
        <w:t>.</w:t>
      </w:r>
    </w:p>
    <w:p w14:paraId="684C90B8" w14:textId="77777777" w:rsidR="00DC2479" w:rsidRDefault="00DC2479" w:rsidP="00DC2479">
      <w:pPr>
        <w:jc w:val="both"/>
      </w:pPr>
      <w:r>
        <w:t>Frekvencijski pojas sastoji se od uparenog dijela spektra od 2x</w:t>
      </w:r>
      <w:r w:rsidR="005F07B3">
        <w:t>60</w:t>
      </w:r>
      <w:r>
        <w:t xml:space="preserve"> MHz koji je podijeljen u 1</w:t>
      </w:r>
      <w:r w:rsidR="005F07B3">
        <w:t xml:space="preserve">2 </w:t>
      </w:r>
      <w:r>
        <w:t xml:space="preserve">frekvencijskih blokova od </w:t>
      </w:r>
      <w:r w:rsidR="008875E9">
        <w:t>2x</w:t>
      </w:r>
      <w:r>
        <w:t xml:space="preserve">5 MHz te FDD dupleksnog rascjepa od </w:t>
      </w:r>
      <w:r w:rsidR="005F07B3">
        <w:t>1980</w:t>
      </w:r>
      <w:r>
        <w:t>-</w:t>
      </w:r>
      <w:r w:rsidR="005F07B3">
        <w:t>2110</w:t>
      </w:r>
      <w:r>
        <w:t xml:space="preserve"> MHz. Uzlazna veza počinje na </w:t>
      </w:r>
      <w:r w:rsidR="005F07B3">
        <w:t>1920</w:t>
      </w:r>
      <w:r>
        <w:t xml:space="preserve"> MHz, a silazna na </w:t>
      </w:r>
      <w:r w:rsidR="005F07B3">
        <w:t>2110</w:t>
      </w:r>
      <w:r>
        <w:t xml:space="preserve"> MHz. </w:t>
      </w:r>
    </w:p>
    <w:p w14:paraId="7974F5BE" w14:textId="77777777" w:rsidR="008715A1" w:rsidRDefault="008715A1" w:rsidP="00DC2479">
      <w:pPr>
        <w:jc w:val="both"/>
      </w:pPr>
    </w:p>
    <w:p w14:paraId="17046DDE" w14:textId="77777777" w:rsidR="008715A1" w:rsidRDefault="008715A1" w:rsidP="00DC2479">
      <w:pPr>
        <w:jc w:val="both"/>
      </w:pPr>
    </w:p>
    <w:p w14:paraId="1FF78A3C" w14:textId="77777777" w:rsidR="008715A1" w:rsidRDefault="008715A1" w:rsidP="00DC2479">
      <w:pPr>
        <w:jc w:val="both"/>
      </w:pPr>
    </w:p>
    <w:p w14:paraId="767ED631" w14:textId="77777777" w:rsidR="008715A1" w:rsidRDefault="008715A1" w:rsidP="00DC2479">
      <w:pPr>
        <w:jc w:val="both"/>
      </w:pPr>
    </w:p>
    <w:p w14:paraId="5C58C97E" w14:textId="77777777" w:rsidR="00DC2479" w:rsidRDefault="00DC2479" w:rsidP="00DC2479">
      <w:r>
        <w:lastRenderedPageBreak/>
        <w:t xml:space="preserve">Frekvencijski raspored za frekvencijski pojas </w:t>
      </w:r>
      <w:r w:rsidR="005F07B3" w:rsidRPr="005F07B3">
        <w:t xml:space="preserve">1920-1980/2110-2170 MHz </w:t>
      </w:r>
      <w:r>
        <w:t>prikazan je na sljedećoj slici:</w:t>
      </w:r>
    </w:p>
    <w:tbl>
      <w:tblPr>
        <w:tblW w:w="7900" w:type="dxa"/>
        <w:jc w:val="center"/>
        <w:tblLook w:val="04A0" w:firstRow="1" w:lastRow="0" w:firstColumn="1" w:lastColumn="0" w:noHBand="0" w:noVBand="1"/>
      </w:tblPr>
      <w:tblGrid>
        <w:gridCol w:w="541"/>
        <w:gridCol w:w="541"/>
        <w:gridCol w:w="541"/>
        <w:gridCol w:w="374"/>
        <w:gridCol w:w="541"/>
        <w:gridCol w:w="541"/>
        <w:gridCol w:w="541"/>
        <w:gridCol w:w="712"/>
        <w:gridCol w:w="541"/>
        <w:gridCol w:w="541"/>
        <w:gridCol w:w="541"/>
        <w:gridCol w:w="374"/>
        <w:gridCol w:w="541"/>
        <w:gridCol w:w="541"/>
        <w:gridCol w:w="541"/>
      </w:tblGrid>
      <w:tr w:rsidR="005F07B3" w:rsidRPr="005F07B3" w14:paraId="3A9D8790" w14:textId="77777777" w:rsidTr="005F07B3">
        <w:trPr>
          <w:trHeight w:val="690"/>
          <w:jc w:val="center"/>
        </w:trPr>
        <w:tc>
          <w:tcPr>
            <w:tcW w:w="4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36E121"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1920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1925</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3567A095"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1925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1930</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638835B0"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1930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1935</w:t>
            </w:r>
          </w:p>
        </w:tc>
        <w:tc>
          <w:tcPr>
            <w:tcW w:w="860" w:type="dxa"/>
            <w:tcBorders>
              <w:top w:val="single" w:sz="8" w:space="0" w:color="auto"/>
              <w:left w:val="nil"/>
              <w:bottom w:val="single" w:sz="8" w:space="0" w:color="auto"/>
              <w:right w:val="single" w:sz="8" w:space="0" w:color="auto"/>
            </w:tcBorders>
            <w:shd w:val="clear" w:color="auto" w:fill="auto"/>
            <w:vAlign w:val="center"/>
            <w:hideMark/>
          </w:tcPr>
          <w:p w14:paraId="7B809EAA"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1053D805"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1965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1970</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7B92FFD2"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1970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1975</w:t>
            </w:r>
          </w:p>
        </w:tc>
        <w:tc>
          <w:tcPr>
            <w:tcW w:w="460" w:type="dxa"/>
            <w:tcBorders>
              <w:top w:val="single" w:sz="8" w:space="0" w:color="auto"/>
              <w:left w:val="nil"/>
              <w:bottom w:val="single" w:sz="8" w:space="0" w:color="auto"/>
              <w:right w:val="single" w:sz="8" w:space="0" w:color="auto"/>
            </w:tcBorders>
            <w:shd w:val="clear" w:color="auto" w:fill="auto"/>
            <w:vAlign w:val="center"/>
            <w:hideMark/>
          </w:tcPr>
          <w:p w14:paraId="516D0A7B"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1975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1980</w:t>
            </w:r>
          </w:p>
        </w:tc>
        <w:tc>
          <w:tcPr>
            <w:tcW w:w="660" w:type="dxa"/>
            <w:tcBorders>
              <w:top w:val="single" w:sz="8" w:space="0" w:color="auto"/>
              <w:left w:val="nil"/>
              <w:bottom w:val="single" w:sz="8" w:space="0" w:color="auto"/>
              <w:right w:val="single" w:sz="8" w:space="0" w:color="auto"/>
            </w:tcBorders>
            <w:shd w:val="clear" w:color="auto" w:fill="auto"/>
            <w:vAlign w:val="center"/>
            <w:hideMark/>
          </w:tcPr>
          <w:p w14:paraId="5F37FFCD"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1980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2110</w:t>
            </w:r>
          </w:p>
        </w:tc>
        <w:tc>
          <w:tcPr>
            <w:tcW w:w="460" w:type="dxa"/>
            <w:tcBorders>
              <w:top w:val="single" w:sz="8" w:space="0" w:color="auto"/>
              <w:left w:val="nil"/>
              <w:bottom w:val="nil"/>
              <w:right w:val="single" w:sz="8" w:space="0" w:color="auto"/>
            </w:tcBorders>
            <w:shd w:val="clear" w:color="auto" w:fill="auto"/>
            <w:vAlign w:val="center"/>
            <w:hideMark/>
          </w:tcPr>
          <w:p w14:paraId="025D43A1"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2110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2115</w:t>
            </w:r>
          </w:p>
        </w:tc>
        <w:tc>
          <w:tcPr>
            <w:tcW w:w="460" w:type="dxa"/>
            <w:tcBorders>
              <w:top w:val="single" w:sz="8" w:space="0" w:color="auto"/>
              <w:left w:val="nil"/>
              <w:bottom w:val="nil"/>
              <w:right w:val="single" w:sz="8" w:space="0" w:color="auto"/>
            </w:tcBorders>
            <w:shd w:val="clear" w:color="auto" w:fill="auto"/>
            <w:vAlign w:val="center"/>
            <w:hideMark/>
          </w:tcPr>
          <w:p w14:paraId="4EF81708"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2115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2120</w:t>
            </w:r>
          </w:p>
        </w:tc>
        <w:tc>
          <w:tcPr>
            <w:tcW w:w="460" w:type="dxa"/>
            <w:tcBorders>
              <w:top w:val="single" w:sz="8" w:space="0" w:color="auto"/>
              <w:left w:val="nil"/>
              <w:bottom w:val="nil"/>
              <w:right w:val="single" w:sz="8" w:space="0" w:color="auto"/>
            </w:tcBorders>
            <w:shd w:val="clear" w:color="auto" w:fill="auto"/>
            <w:vAlign w:val="center"/>
            <w:hideMark/>
          </w:tcPr>
          <w:p w14:paraId="1E9879CF"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2120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2125</w:t>
            </w:r>
          </w:p>
        </w:tc>
        <w:tc>
          <w:tcPr>
            <w:tcW w:w="860" w:type="dxa"/>
            <w:tcBorders>
              <w:top w:val="single" w:sz="8" w:space="0" w:color="auto"/>
              <w:left w:val="nil"/>
              <w:bottom w:val="nil"/>
              <w:right w:val="single" w:sz="8" w:space="0" w:color="auto"/>
            </w:tcBorders>
            <w:shd w:val="clear" w:color="auto" w:fill="auto"/>
            <w:vAlign w:val="center"/>
            <w:hideMark/>
          </w:tcPr>
          <w:p w14:paraId="5A85B3E5"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w:t>
            </w:r>
          </w:p>
        </w:tc>
        <w:tc>
          <w:tcPr>
            <w:tcW w:w="460" w:type="dxa"/>
            <w:tcBorders>
              <w:top w:val="single" w:sz="8" w:space="0" w:color="auto"/>
              <w:left w:val="nil"/>
              <w:bottom w:val="nil"/>
              <w:right w:val="single" w:sz="8" w:space="0" w:color="auto"/>
            </w:tcBorders>
            <w:shd w:val="clear" w:color="auto" w:fill="auto"/>
            <w:vAlign w:val="center"/>
            <w:hideMark/>
          </w:tcPr>
          <w:p w14:paraId="56532CC9"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2155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2160</w:t>
            </w:r>
          </w:p>
        </w:tc>
        <w:tc>
          <w:tcPr>
            <w:tcW w:w="460" w:type="dxa"/>
            <w:tcBorders>
              <w:top w:val="single" w:sz="8" w:space="0" w:color="auto"/>
              <w:left w:val="nil"/>
              <w:bottom w:val="nil"/>
              <w:right w:val="single" w:sz="8" w:space="0" w:color="auto"/>
            </w:tcBorders>
            <w:shd w:val="clear" w:color="auto" w:fill="auto"/>
            <w:vAlign w:val="center"/>
            <w:hideMark/>
          </w:tcPr>
          <w:p w14:paraId="4FE9F7A1"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2160</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2165</w:t>
            </w:r>
          </w:p>
        </w:tc>
        <w:tc>
          <w:tcPr>
            <w:tcW w:w="460" w:type="dxa"/>
            <w:tcBorders>
              <w:top w:val="single" w:sz="8" w:space="0" w:color="auto"/>
              <w:left w:val="nil"/>
              <w:bottom w:val="nil"/>
              <w:right w:val="single" w:sz="8" w:space="0" w:color="auto"/>
            </w:tcBorders>
            <w:shd w:val="clear" w:color="auto" w:fill="auto"/>
            <w:vAlign w:val="center"/>
            <w:hideMark/>
          </w:tcPr>
          <w:p w14:paraId="5DCDC8CF"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2165</w:t>
            </w:r>
            <w:r w:rsidRPr="005F07B3">
              <w:rPr>
                <w:rFonts w:ascii="Calibri" w:eastAsia="Times New Roman" w:hAnsi="Calibri" w:cs="Calibri"/>
                <w:color w:val="000000"/>
                <w:sz w:val="16"/>
                <w:szCs w:val="16"/>
                <w:lang w:eastAsia="hr-HR"/>
              </w:rPr>
              <w:br/>
              <w:t>-</w:t>
            </w:r>
            <w:r w:rsidRPr="005F07B3">
              <w:rPr>
                <w:rFonts w:ascii="Calibri" w:eastAsia="Times New Roman" w:hAnsi="Calibri" w:cs="Calibri"/>
                <w:color w:val="000000"/>
                <w:sz w:val="16"/>
                <w:szCs w:val="16"/>
                <w:lang w:eastAsia="hr-HR"/>
              </w:rPr>
              <w:br/>
              <w:t>2170</w:t>
            </w:r>
          </w:p>
        </w:tc>
      </w:tr>
      <w:tr w:rsidR="005F07B3" w:rsidRPr="005F07B3" w14:paraId="60EA7771" w14:textId="77777777" w:rsidTr="005F07B3">
        <w:trPr>
          <w:trHeight w:val="735"/>
          <w:jc w:val="center"/>
        </w:trPr>
        <w:tc>
          <w:tcPr>
            <w:tcW w:w="3620" w:type="dxa"/>
            <w:gridSpan w:val="7"/>
            <w:tcBorders>
              <w:top w:val="single" w:sz="8" w:space="0" w:color="auto"/>
              <w:left w:val="single" w:sz="8" w:space="0" w:color="auto"/>
              <w:bottom w:val="single" w:sz="8" w:space="0" w:color="auto"/>
              <w:right w:val="single" w:sz="8" w:space="0" w:color="000000"/>
            </w:tcBorders>
            <w:shd w:val="clear" w:color="000000" w:fill="00B0F0"/>
            <w:noWrap/>
            <w:vAlign w:val="center"/>
            <w:hideMark/>
          </w:tcPr>
          <w:p w14:paraId="48667B66" w14:textId="77777777" w:rsidR="005F07B3" w:rsidRPr="005F07B3" w:rsidRDefault="005F07B3" w:rsidP="005F07B3">
            <w:pPr>
              <w:spacing w:after="0" w:line="240" w:lineRule="auto"/>
              <w:jc w:val="center"/>
              <w:rPr>
                <w:rFonts w:ascii="Calibri" w:eastAsia="Times New Roman" w:hAnsi="Calibri" w:cs="Calibri"/>
                <w:color w:val="000000"/>
                <w:lang w:eastAsia="hr-HR"/>
              </w:rPr>
            </w:pPr>
            <w:r w:rsidRPr="005F07B3">
              <w:rPr>
                <w:rFonts w:ascii="Calibri" w:eastAsia="Times New Roman" w:hAnsi="Calibri" w:cs="Calibri"/>
                <w:color w:val="000000"/>
                <w:lang w:eastAsia="hr-HR"/>
              </w:rPr>
              <w:t>Uzlazna veza</w:t>
            </w:r>
          </w:p>
        </w:tc>
        <w:tc>
          <w:tcPr>
            <w:tcW w:w="660" w:type="dxa"/>
            <w:tcBorders>
              <w:top w:val="nil"/>
              <w:left w:val="nil"/>
              <w:bottom w:val="single" w:sz="8" w:space="0" w:color="auto"/>
              <w:right w:val="nil"/>
            </w:tcBorders>
            <w:shd w:val="clear" w:color="000000" w:fill="008000"/>
            <w:vAlign w:val="center"/>
            <w:hideMark/>
          </w:tcPr>
          <w:p w14:paraId="1E98DAF6"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Rascjep</w:t>
            </w:r>
          </w:p>
        </w:tc>
        <w:tc>
          <w:tcPr>
            <w:tcW w:w="3620" w:type="dxa"/>
            <w:gridSpan w:val="7"/>
            <w:tcBorders>
              <w:top w:val="single" w:sz="8" w:space="0" w:color="auto"/>
              <w:left w:val="single" w:sz="8" w:space="0" w:color="auto"/>
              <w:bottom w:val="single" w:sz="8" w:space="0" w:color="auto"/>
              <w:right w:val="single" w:sz="8" w:space="0" w:color="000000"/>
            </w:tcBorders>
            <w:shd w:val="clear" w:color="000000" w:fill="00CCFF"/>
            <w:noWrap/>
            <w:vAlign w:val="center"/>
            <w:hideMark/>
          </w:tcPr>
          <w:p w14:paraId="6914E036" w14:textId="77777777" w:rsidR="005F07B3" w:rsidRPr="005F07B3" w:rsidRDefault="005F07B3" w:rsidP="005F07B3">
            <w:pPr>
              <w:spacing w:after="0" w:line="240" w:lineRule="auto"/>
              <w:jc w:val="center"/>
              <w:rPr>
                <w:rFonts w:ascii="Calibri" w:eastAsia="Times New Roman" w:hAnsi="Calibri" w:cs="Calibri"/>
                <w:color w:val="000000"/>
                <w:lang w:eastAsia="hr-HR"/>
              </w:rPr>
            </w:pPr>
            <w:r w:rsidRPr="005F07B3">
              <w:rPr>
                <w:rFonts w:ascii="Calibri" w:eastAsia="Times New Roman" w:hAnsi="Calibri" w:cs="Calibri"/>
                <w:color w:val="000000"/>
                <w:lang w:eastAsia="hr-HR"/>
              </w:rPr>
              <w:t>Silazna veza</w:t>
            </w:r>
          </w:p>
        </w:tc>
      </w:tr>
      <w:tr w:rsidR="005F07B3" w:rsidRPr="005F07B3" w14:paraId="08116A4D" w14:textId="77777777" w:rsidTr="005F07B3">
        <w:trPr>
          <w:trHeight w:val="315"/>
          <w:jc w:val="center"/>
        </w:trPr>
        <w:tc>
          <w:tcPr>
            <w:tcW w:w="362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DF5259C"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60 MHz (12 x 5 MHz)</w:t>
            </w:r>
          </w:p>
        </w:tc>
        <w:tc>
          <w:tcPr>
            <w:tcW w:w="660" w:type="dxa"/>
            <w:tcBorders>
              <w:top w:val="nil"/>
              <w:left w:val="nil"/>
              <w:bottom w:val="single" w:sz="8" w:space="0" w:color="auto"/>
              <w:right w:val="single" w:sz="8" w:space="0" w:color="auto"/>
            </w:tcBorders>
            <w:shd w:val="clear" w:color="auto" w:fill="auto"/>
            <w:noWrap/>
            <w:vAlign w:val="center"/>
            <w:hideMark/>
          </w:tcPr>
          <w:p w14:paraId="60B0994D"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130 MHz</w:t>
            </w:r>
          </w:p>
        </w:tc>
        <w:tc>
          <w:tcPr>
            <w:tcW w:w="3620" w:type="dxa"/>
            <w:gridSpan w:val="7"/>
            <w:tcBorders>
              <w:top w:val="nil"/>
              <w:left w:val="nil"/>
              <w:bottom w:val="single" w:sz="8" w:space="0" w:color="auto"/>
              <w:right w:val="single" w:sz="8" w:space="0" w:color="000000"/>
            </w:tcBorders>
            <w:shd w:val="clear" w:color="auto" w:fill="auto"/>
            <w:noWrap/>
            <w:vAlign w:val="center"/>
            <w:hideMark/>
          </w:tcPr>
          <w:p w14:paraId="71F611AF" w14:textId="77777777" w:rsidR="005F07B3" w:rsidRPr="005F07B3" w:rsidRDefault="005F07B3" w:rsidP="005F07B3">
            <w:pPr>
              <w:spacing w:after="0" w:line="240" w:lineRule="auto"/>
              <w:jc w:val="center"/>
              <w:rPr>
                <w:rFonts w:ascii="Calibri" w:eastAsia="Times New Roman" w:hAnsi="Calibri" w:cs="Calibri"/>
                <w:color w:val="000000"/>
                <w:sz w:val="16"/>
                <w:szCs w:val="16"/>
                <w:lang w:eastAsia="hr-HR"/>
              </w:rPr>
            </w:pPr>
            <w:r w:rsidRPr="005F07B3">
              <w:rPr>
                <w:rFonts w:ascii="Calibri" w:eastAsia="Times New Roman" w:hAnsi="Calibri" w:cs="Calibri"/>
                <w:color w:val="000000"/>
                <w:sz w:val="16"/>
                <w:szCs w:val="16"/>
                <w:lang w:eastAsia="hr-HR"/>
              </w:rPr>
              <w:t>60 MHz (12 x 5 MHz)</w:t>
            </w:r>
          </w:p>
        </w:tc>
      </w:tr>
    </w:tbl>
    <w:p w14:paraId="54CB5AB9" w14:textId="77777777" w:rsidR="005F07B3" w:rsidRPr="00DC2479" w:rsidRDefault="005F07B3" w:rsidP="00DC2479"/>
    <w:p w14:paraId="186442CD" w14:textId="77777777" w:rsidR="00B773F8" w:rsidRDefault="00B773F8" w:rsidP="00B773F8">
      <w:pPr>
        <w:pStyle w:val="Heading2"/>
        <w:spacing w:before="0" w:after="240"/>
        <w:ind w:firstLine="709"/>
      </w:pPr>
      <w:bookmarkStart w:id="7" w:name="_Toc85715492"/>
      <w:r>
        <w:t>2.</w:t>
      </w:r>
      <w:r w:rsidR="002C4D4E">
        <w:t>6</w:t>
      </w:r>
      <w:r>
        <w:t>. Frekvencijski pojas 2600 MHz</w:t>
      </w:r>
      <w:bookmarkEnd w:id="7"/>
    </w:p>
    <w:p w14:paraId="596372E9" w14:textId="3A0C509B" w:rsidR="001711BA" w:rsidRPr="002F12F0" w:rsidRDefault="001711BA" w:rsidP="001711BA">
      <w:pPr>
        <w:jc w:val="both"/>
        <w:rPr>
          <w:bCs/>
          <w:highlight w:val="yellow"/>
        </w:rPr>
      </w:pPr>
      <w:r w:rsidRPr="009B436C">
        <w:rPr>
          <w:bCs/>
        </w:rPr>
        <w:t xml:space="preserve">Usklađeni tehnički uvjeti za MFCN mreže u frekvencijskom pojasu </w:t>
      </w:r>
      <w:r w:rsidR="00D57A8D" w:rsidRPr="00D57A8D">
        <w:rPr>
          <w:bCs/>
        </w:rPr>
        <w:t>2500 – 2690 MHz</w:t>
      </w:r>
      <w:r w:rsidR="00D57A8D">
        <w:rPr>
          <w:bCs/>
        </w:rPr>
        <w:t xml:space="preserve"> </w:t>
      </w:r>
      <w:r w:rsidRPr="009B436C">
        <w:rPr>
          <w:bCs/>
        </w:rPr>
        <w:t xml:space="preserve">na razini </w:t>
      </w:r>
      <w:r w:rsidR="00521688">
        <w:rPr>
          <w:bCs/>
        </w:rPr>
        <w:t>EU</w:t>
      </w:r>
      <w:r w:rsidRPr="009B436C">
        <w:rPr>
          <w:bCs/>
        </w:rPr>
        <w:t xml:space="preserve"> propisani su provedbenom odlukom </w:t>
      </w:r>
      <w:r w:rsidR="00521688">
        <w:rPr>
          <w:bCs/>
        </w:rPr>
        <w:t xml:space="preserve">EK </w:t>
      </w:r>
      <w:r w:rsidRPr="009B436C">
        <w:rPr>
          <w:bCs/>
        </w:rPr>
        <w:t>(EU) 20</w:t>
      </w:r>
      <w:r w:rsidR="00D57A8D">
        <w:rPr>
          <w:bCs/>
        </w:rPr>
        <w:t>08</w:t>
      </w:r>
      <w:r>
        <w:rPr>
          <w:bCs/>
        </w:rPr>
        <w:t>/</w:t>
      </w:r>
      <w:r w:rsidR="00D57A8D">
        <w:rPr>
          <w:bCs/>
        </w:rPr>
        <w:t>477</w:t>
      </w:r>
      <w:r w:rsidRPr="009B436C">
        <w:rPr>
          <w:bCs/>
        </w:rPr>
        <w:t xml:space="preserve"> </w:t>
      </w:r>
      <w:r>
        <w:rPr>
          <w:bCs/>
        </w:rPr>
        <w:t xml:space="preserve">(s uključenim izmjenama </w:t>
      </w:r>
      <w:r w:rsidRPr="009B436C">
        <w:rPr>
          <w:bCs/>
        </w:rPr>
        <w:t>(EU) 20</w:t>
      </w:r>
      <w:r>
        <w:rPr>
          <w:bCs/>
        </w:rPr>
        <w:t>20/</w:t>
      </w:r>
      <w:r w:rsidR="00D57A8D">
        <w:rPr>
          <w:bCs/>
        </w:rPr>
        <w:t>636</w:t>
      </w:r>
      <w:r>
        <w:rPr>
          <w:bCs/>
        </w:rPr>
        <w:t>)</w:t>
      </w:r>
      <w:r>
        <w:rPr>
          <w:rStyle w:val="FootnoteReference"/>
          <w:bCs/>
        </w:rPr>
        <w:footnoteReference w:id="20"/>
      </w:r>
      <w:r>
        <w:rPr>
          <w:bCs/>
        </w:rPr>
        <w:t xml:space="preserve">, </w:t>
      </w:r>
      <w:r w:rsidRPr="009B436C">
        <w:rPr>
          <w:bCs/>
        </w:rPr>
        <w:t xml:space="preserve">odnosno ECC Odlukom </w:t>
      </w:r>
      <w:r>
        <w:rPr>
          <w:bCs/>
        </w:rPr>
        <w:t>ECC/DEC/(0</w:t>
      </w:r>
      <w:r w:rsidR="00D57A8D">
        <w:rPr>
          <w:bCs/>
        </w:rPr>
        <w:t>5</w:t>
      </w:r>
      <w:r>
        <w:rPr>
          <w:bCs/>
        </w:rPr>
        <w:t>)0</w:t>
      </w:r>
      <w:r w:rsidR="00D57A8D">
        <w:rPr>
          <w:bCs/>
        </w:rPr>
        <w:t>5</w:t>
      </w:r>
      <w:r>
        <w:rPr>
          <w:rStyle w:val="FootnoteReference"/>
          <w:bCs/>
        </w:rPr>
        <w:footnoteReference w:id="21"/>
      </w:r>
      <w:r w:rsidRPr="009B436C">
        <w:rPr>
          <w:bCs/>
        </w:rPr>
        <w:t xml:space="preserve">). </w:t>
      </w:r>
    </w:p>
    <w:p w14:paraId="573C3693" w14:textId="77777777" w:rsidR="001711BA" w:rsidRDefault="001711BA" w:rsidP="001711BA">
      <w:pPr>
        <w:jc w:val="both"/>
      </w:pPr>
      <w:r>
        <w:t xml:space="preserve">U RH je na snazi Plan </w:t>
      </w:r>
      <w:r w:rsidRPr="005F07B3">
        <w:t xml:space="preserve">dodjele za frekvencijski pojas </w:t>
      </w:r>
      <w:r w:rsidR="008875E9" w:rsidRPr="008875E9">
        <w:t>2500 – 2690</w:t>
      </w:r>
      <w:r w:rsidR="008875E9">
        <w:t xml:space="preserve"> </w:t>
      </w:r>
      <w:r w:rsidRPr="005F07B3">
        <w:t>MHz</w:t>
      </w:r>
      <w:r>
        <w:rPr>
          <w:rStyle w:val="FootnoteReference"/>
        </w:rPr>
        <w:footnoteReference w:id="22"/>
      </w:r>
      <w:r>
        <w:t>.</w:t>
      </w:r>
    </w:p>
    <w:p w14:paraId="3C068EC1" w14:textId="77777777" w:rsidR="001711BA" w:rsidRDefault="001711BA" w:rsidP="001711BA">
      <w:pPr>
        <w:jc w:val="both"/>
      </w:pPr>
      <w:r>
        <w:t xml:space="preserve">Frekvencijski pojas sastoji se od uparenog dijela spektra </w:t>
      </w:r>
      <w:r w:rsidR="00CB4B98">
        <w:t>2500-2570/2620-2690 MHz</w:t>
      </w:r>
      <w:r>
        <w:t xml:space="preserve"> </w:t>
      </w:r>
      <w:r w:rsidR="00CB4B98">
        <w:t>(</w:t>
      </w:r>
      <w:r>
        <w:t>2x</w:t>
      </w:r>
      <w:r w:rsidR="008875E9">
        <w:t>7</w:t>
      </w:r>
      <w:r>
        <w:t>0 MHz</w:t>
      </w:r>
      <w:r w:rsidR="00CB4B98">
        <w:t>)</w:t>
      </w:r>
      <w:r>
        <w:t xml:space="preserve"> koji je podijeljen u 1</w:t>
      </w:r>
      <w:r w:rsidR="008875E9">
        <w:t>4</w:t>
      </w:r>
      <w:r>
        <w:t xml:space="preserve"> frekvencijskih blokova od </w:t>
      </w:r>
      <w:r w:rsidR="008875E9">
        <w:t>2x</w:t>
      </w:r>
      <w:r>
        <w:t xml:space="preserve">5 MHz te </w:t>
      </w:r>
      <w:r w:rsidR="008875E9">
        <w:t xml:space="preserve">neuparenog dijela spektra 2570-2620 </w:t>
      </w:r>
      <w:r>
        <w:t>MHz</w:t>
      </w:r>
      <w:r w:rsidR="00CB4B98">
        <w:t xml:space="preserve"> (50 MHz) koji je podijeljen u 10 frekvencijskih blokova od 5 MHz</w:t>
      </w:r>
      <w:r>
        <w:t xml:space="preserve">. Uzlazna veza </w:t>
      </w:r>
      <w:r w:rsidR="00CB4B98">
        <w:t xml:space="preserve">FDD dijela spektra </w:t>
      </w:r>
      <w:r>
        <w:t xml:space="preserve">počinje na </w:t>
      </w:r>
      <w:r w:rsidR="00CB4B98">
        <w:t>2500</w:t>
      </w:r>
      <w:r>
        <w:t xml:space="preserve"> MHz, a silazna na </w:t>
      </w:r>
      <w:r w:rsidR="00CB4B98">
        <w:t>2620</w:t>
      </w:r>
      <w:r>
        <w:t xml:space="preserve"> MHz. </w:t>
      </w:r>
    </w:p>
    <w:p w14:paraId="629F446C" w14:textId="77777777" w:rsidR="001711BA" w:rsidRDefault="001711BA" w:rsidP="001711BA">
      <w:r>
        <w:t xml:space="preserve">Frekvencijski raspored za frekvencijski pojas </w:t>
      </w:r>
      <w:r w:rsidR="00CB4B98" w:rsidRPr="00CB4B98">
        <w:t xml:space="preserve">2500 – 2690 </w:t>
      </w:r>
      <w:r w:rsidRPr="005F07B3">
        <w:t xml:space="preserve"> MHz </w:t>
      </w:r>
      <w:r>
        <w:t>prikazan je na sljedećoj slici:</w:t>
      </w:r>
    </w:p>
    <w:tbl>
      <w:tblPr>
        <w:tblW w:w="8400" w:type="dxa"/>
        <w:jc w:val="center"/>
        <w:tblLook w:val="04A0" w:firstRow="1" w:lastRow="0" w:firstColumn="1" w:lastColumn="0" w:noHBand="0" w:noVBand="1"/>
      </w:tblPr>
      <w:tblGrid>
        <w:gridCol w:w="560"/>
        <w:gridCol w:w="560"/>
        <w:gridCol w:w="560"/>
        <w:gridCol w:w="560"/>
        <w:gridCol w:w="560"/>
        <w:gridCol w:w="560"/>
        <w:gridCol w:w="560"/>
        <w:gridCol w:w="560"/>
        <w:gridCol w:w="560"/>
        <w:gridCol w:w="560"/>
        <w:gridCol w:w="560"/>
        <w:gridCol w:w="560"/>
        <w:gridCol w:w="560"/>
        <w:gridCol w:w="560"/>
        <w:gridCol w:w="560"/>
      </w:tblGrid>
      <w:tr w:rsidR="009239CC" w:rsidRPr="009239CC" w14:paraId="4C703C4D" w14:textId="77777777" w:rsidTr="009239CC">
        <w:trPr>
          <w:trHeight w:val="690"/>
          <w:jc w:val="center"/>
        </w:trPr>
        <w:tc>
          <w:tcPr>
            <w:tcW w:w="5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310D9ED"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2500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2505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088501CA"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2505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2510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71A247B2"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79A56308"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2560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2565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58D53559"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2565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2570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066C7286"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2570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2575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09723455"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2575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2580</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7D4E5673"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4157751C"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2610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2615</w:t>
            </w:r>
          </w:p>
        </w:tc>
        <w:tc>
          <w:tcPr>
            <w:tcW w:w="560" w:type="dxa"/>
            <w:tcBorders>
              <w:top w:val="single" w:sz="8" w:space="0" w:color="auto"/>
              <w:left w:val="nil"/>
              <w:bottom w:val="single" w:sz="8" w:space="0" w:color="auto"/>
              <w:right w:val="single" w:sz="8" w:space="0" w:color="auto"/>
            </w:tcBorders>
            <w:shd w:val="clear" w:color="auto" w:fill="auto"/>
            <w:vAlign w:val="center"/>
            <w:hideMark/>
          </w:tcPr>
          <w:p w14:paraId="53348C69"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2615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2620</w:t>
            </w:r>
          </w:p>
        </w:tc>
        <w:tc>
          <w:tcPr>
            <w:tcW w:w="560" w:type="dxa"/>
            <w:tcBorders>
              <w:top w:val="single" w:sz="8" w:space="0" w:color="auto"/>
              <w:left w:val="nil"/>
              <w:bottom w:val="nil"/>
              <w:right w:val="single" w:sz="8" w:space="0" w:color="auto"/>
            </w:tcBorders>
            <w:shd w:val="clear" w:color="auto" w:fill="auto"/>
            <w:vAlign w:val="center"/>
            <w:hideMark/>
          </w:tcPr>
          <w:p w14:paraId="21FB7ECC"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2620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2625</w:t>
            </w:r>
          </w:p>
        </w:tc>
        <w:tc>
          <w:tcPr>
            <w:tcW w:w="560" w:type="dxa"/>
            <w:tcBorders>
              <w:top w:val="single" w:sz="8" w:space="0" w:color="auto"/>
              <w:left w:val="nil"/>
              <w:bottom w:val="nil"/>
              <w:right w:val="single" w:sz="8" w:space="0" w:color="auto"/>
            </w:tcBorders>
            <w:shd w:val="clear" w:color="auto" w:fill="auto"/>
            <w:vAlign w:val="center"/>
            <w:hideMark/>
          </w:tcPr>
          <w:p w14:paraId="483C2C1B"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2625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2630</w:t>
            </w:r>
          </w:p>
        </w:tc>
        <w:tc>
          <w:tcPr>
            <w:tcW w:w="560" w:type="dxa"/>
            <w:tcBorders>
              <w:top w:val="single" w:sz="8" w:space="0" w:color="auto"/>
              <w:left w:val="nil"/>
              <w:bottom w:val="nil"/>
              <w:right w:val="single" w:sz="8" w:space="0" w:color="auto"/>
            </w:tcBorders>
            <w:shd w:val="clear" w:color="auto" w:fill="auto"/>
            <w:vAlign w:val="center"/>
            <w:hideMark/>
          </w:tcPr>
          <w:p w14:paraId="4774D309"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w:t>
            </w:r>
          </w:p>
        </w:tc>
        <w:tc>
          <w:tcPr>
            <w:tcW w:w="560" w:type="dxa"/>
            <w:tcBorders>
              <w:top w:val="single" w:sz="8" w:space="0" w:color="auto"/>
              <w:left w:val="nil"/>
              <w:bottom w:val="nil"/>
              <w:right w:val="single" w:sz="8" w:space="0" w:color="auto"/>
            </w:tcBorders>
            <w:shd w:val="clear" w:color="auto" w:fill="auto"/>
            <w:vAlign w:val="center"/>
            <w:hideMark/>
          </w:tcPr>
          <w:p w14:paraId="67D0E831"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2680</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2685</w:t>
            </w:r>
          </w:p>
        </w:tc>
        <w:tc>
          <w:tcPr>
            <w:tcW w:w="560" w:type="dxa"/>
            <w:tcBorders>
              <w:top w:val="single" w:sz="8" w:space="0" w:color="auto"/>
              <w:left w:val="nil"/>
              <w:bottom w:val="nil"/>
              <w:right w:val="single" w:sz="8" w:space="0" w:color="auto"/>
            </w:tcBorders>
            <w:shd w:val="clear" w:color="auto" w:fill="auto"/>
            <w:vAlign w:val="center"/>
            <w:hideMark/>
          </w:tcPr>
          <w:p w14:paraId="54689D88"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2685</w:t>
            </w:r>
            <w:r w:rsidRPr="009239CC">
              <w:rPr>
                <w:rFonts w:ascii="Calibri" w:eastAsia="Times New Roman" w:hAnsi="Calibri" w:cs="Calibri"/>
                <w:color w:val="000000"/>
                <w:sz w:val="16"/>
                <w:szCs w:val="16"/>
                <w:lang w:eastAsia="hr-HR"/>
              </w:rPr>
              <w:br/>
              <w:t>-</w:t>
            </w:r>
            <w:r w:rsidRPr="009239CC">
              <w:rPr>
                <w:rFonts w:ascii="Calibri" w:eastAsia="Times New Roman" w:hAnsi="Calibri" w:cs="Calibri"/>
                <w:color w:val="000000"/>
                <w:sz w:val="16"/>
                <w:szCs w:val="16"/>
                <w:lang w:eastAsia="hr-HR"/>
              </w:rPr>
              <w:br/>
              <w:t>2690</w:t>
            </w:r>
          </w:p>
        </w:tc>
      </w:tr>
      <w:tr w:rsidR="009239CC" w:rsidRPr="009239CC" w14:paraId="04383206" w14:textId="77777777" w:rsidTr="009239CC">
        <w:trPr>
          <w:trHeight w:val="735"/>
          <w:jc w:val="center"/>
        </w:trPr>
        <w:tc>
          <w:tcPr>
            <w:tcW w:w="2800" w:type="dxa"/>
            <w:gridSpan w:val="5"/>
            <w:tcBorders>
              <w:top w:val="single" w:sz="8" w:space="0" w:color="auto"/>
              <w:left w:val="single" w:sz="8" w:space="0" w:color="auto"/>
              <w:bottom w:val="single" w:sz="8" w:space="0" w:color="auto"/>
              <w:right w:val="single" w:sz="8" w:space="0" w:color="000000"/>
            </w:tcBorders>
            <w:shd w:val="clear" w:color="000000" w:fill="00B0F0"/>
            <w:noWrap/>
            <w:vAlign w:val="center"/>
            <w:hideMark/>
          </w:tcPr>
          <w:p w14:paraId="08C64445" w14:textId="77777777" w:rsidR="009239CC" w:rsidRPr="009239CC" w:rsidRDefault="009239CC" w:rsidP="009239CC">
            <w:pPr>
              <w:spacing w:after="0" w:line="240" w:lineRule="auto"/>
              <w:jc w:val="center"/>
              <w:rPr>
                <w:rFonts w:ascii="Calibri" w:eastAsia="Times New Roman" w:hAnsi="Calibri" w:cs="Calibri"/>
                <w:color w:val="000000"/>
                <w:sz w:val="20"/>
                <w:szCs w:val="20"/>
                <w:lang w:eastAsia="hr-HR"/>
              </w:rPr>
            </w:pPr>
            <w:r w:rsidRPr="009239CC">
              <w:rPr>
                <w:rFonts w:ascii="Calibri" w:eastAsia="Times New Roman" w:hAnsi="Calibri" w:cs="Calibri"/>
                <w:color w:val="000000"/>
                <w:sz w:val="20"/>
                <w:szCs w:val="20"/>
                <w:lang w:eastAsia="hr-HR"/>
              </w:rPr>
              <w:t>Uzlazna veza (upareni spektar)</w:t>
            </w:r>
          </w:p>
        </w:tc>
        <w:tc>
          <w:tcPr>
            <w:tcW w:w="2800" w:type="dxa"/>
            <w:gridSpan w:val="5"/>
            <w:tcBorders>
              <w:top w:val="nil"/>
              <w:left w:val="nil"/>
              <w:bottom w:val="single" w:sz="8" w:space="0" w:color="auto"/>
              <w:right w:val="single" w:sz="8" w:space="0" w:color="000000"/>
            </w:tcBorders>
            <w:shd w:val="clear" w:color="000000" w:fill="FFC000"/>
            <w:vAlign w:val="center"/>
            <w:hideMark/>
          </w:tcPr>
          <w:p w14:paraId="3935CCEE"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Neupareni spektar</w:t>
            </w:r>
          </w:p>
        </w:tc>
        <w:tc>
          <w:tcPr>
            <w:tcW w:w="2800" w:type="dxa"/>
            <w:gridSpan w:val="5"/>
            <w:tcBorders>
              <w:top w:val="single" w:sz="8" w:space="0" w:color="auto"/>
              <w:left w:val="nil"/>
              <w:bottom w:val="single" w:sz="8" w:space="0" w:color="auto"/>
              <w:right w:val="single" w:sz="8" w:space="0" w:color="000000"/>
            </w:tcBorders>
            <w:shd w:val="clear" w:color="000000" w:fill="00CCFF"/>
            <w:noWrap/>
            <w:vAlign w:val="center"/>
            <w:hideMark/>
          </w:tcPr>
          <w:p w14:paraId="60039356" w14:textId="77777777" w:rsidR="009239CC" w:rsidRPr="009239CC" w:rsidRDefault="009239CC" w:rsidP="009239CC">
            <w:pPr>
              <w:spacing w:after="0" w:line="240" w:lineRule="auto"/>
              <w:jc w:val="center"/>
              <w:rPr>
                <w:rFonts w:ascii="Calibri" w:eastAsia="Times New Roman" w:hAnsi="Calibri" w:cs="Calibri"/>
                <w:color w:val="000000"/>
                <w:sz w:val="20"/>
                <w:szCs w:val="20"/>
                <w:lang w:eastAsia="hr-HR"/>
              </w:rPr>
            </w:pPr>
            <w:r w:rsidRPr="009239CC">
              <w:rPr>
                <w:rFonts w:ascii="Calibri" w:eastAsia="Times New Roman" w:hAnsi="Calibri" w:cs="Calibri"/>
                <w:color w:val="000000"/>
                <w:sz w:val="20"/>
                <w:szCs w:val="20"/>
                <w:lang w:eastAsia="hr-HR"/>
              </w:rPr>
              <w:t>Silazna veza (upareni spektar)</w:t>
            </w:r>
          </w:p>
        </w:tc>
      </w:tr>
      <w:tr w:rsidR="009239CC" w:rsidRPr="009239CC" w14:paraId="7EAD9158" w14:textId="77777777" w:rsidTr="009239CC">
        <w:trPr>
          <w:trHeight w:val="315"/>
          <w:jc w:val="center"/>
        </w:trPr>
        <w:tc>
          <w:tcPr>
            <w:tcW w:w="2800"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AE3B33E"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70 MHz (14 x 5 MHz)</w:t>
            </w:r>
          </w:p>
        </w:tc>
        <w:tc>
          <w:tcPr>
            <w:tcW w:w="2800"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0C605207"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50 MHz (10 x 5 MHz)</w:t>
            </w:r>
          </w:p>
        </w:tc>
        <w:tc>
          <w:tcPr>
            <w:tcW w:w="2800"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66379DCC" w14:textId="77777777" w:rsidR="009239CC" w:rsidRPr="009239CC" w:rsidRDefault="009239CC" w:rsidP="009239CC">
            <w:pPr>
              <w:spacing w:after="0" w:line="240" w:lineRule="auto"/>
              <w:jc w:val="center"/>
              <w:rPr>
                <w:rFonts w:ascii="Calibri" w:eastAsia="Times New Roman" w:hAnsi="Calibri" w:cs="Calibri"/>
                <w:color w:val="000000"/>
                <w:sz w:val="16"/>
                <w:szCs w:val="16"/>
                <w:lang w:eastAsia="hr-HR"/>
              </w:rPr>
            </w:pPr>
            <w:r w:rsidRPr="009239CC">
              <w:rPr>
                <w:rFonts w:ascii="Calibri" w:eastAsia="Times New Roman" w:hAnsi="Calibri" w:cs="Calibri"/>
                <w:color w:val="000000"/>
                <w:sz w:val="16"/>
                <w:szCs w:val="16"/>
                <w:lang w:eastAsia="hr-HR"/>
              </w:rPr>
              <w:t>70 MHz (14 x 5 MHz)</w:t>
            </w:r>
          </w:p>
        </w:tc>
      </w:tr>
    </w:tbl>
    <w:p w14:paraId="63ADCEEF" w14:textId="77777777" w:rsidR="001711BA" w:rsidRDefault="001711BA" w:rsidP="001711BA"/>
    <w:p w14:paraId="1DE88B4E" w14:textId="56280122" w:rsidR="00E248BC" w:rsidRPr="00DC6EFB" w:rsidRDefault="00E248BC" w:rsidP="00E248BC">
      <w:pPr>
        <w:jc w:val="both"/>
        <w:rPr>
          <w:bCs/>
        </w:rPr>
      </w:pPr>
      <w:r>
        <w:rPr>
          <w:bCs/>
        </w:rPr>
        <w:t xml:space="preserve">U RH </w:t>
      </w:r>
      <w:r w:rsidR="008D1988">
        <w:rPr>
          <w:bCs/>
        </w:rPr>
        <w:t xml:space="preserve">su </w:t>
      </w:r>
      <w:r>
        <w:rPr>
          <w:bCs/>
        </w:rPr>
        <w:t>trenutno</w:t>
      </w:r>
      <w:r w:rsidRPr="00B05A1C">
        <w:rPr>
          <w:bCs/>
        </w:rPr>
        <w:t xml:space="preserve"> </w:t>
      </w:r>
      <w:r w:rsidR="008D1988">
        <w:rPr>
          <w:bCs/>
        </w:rPr>
        <w:t xml:space="preserve">za </w:t>
      </w:r>
      <w:r>
        <w:rPr>
          <w:bCs/>
        </w:rPr>
        <w:t xml:space="preserve">neupareni spektar na 2600 MHz na ograničenom zemljopisnom području </w:t>
      </w:r>
      <w:r w:rsidR="008D1988">
        <w:rPr>
          <w:bCs/>
        </w:rPr>
        <w:t xml:space="preserve">izdane privremene dozvole za uporabu RF spektra za </w:t>
      </w:r>
      <w:r>
        <w:rPr>
          <w:bCs/>
        </w:rPr>
        <w:t>privatne mreže</w:t>
      </w:r>
      <w:r w:rsidR="00B46805">
        <w:rPr>
          <w:bCs/>
        </w:rPr>
        <w:t>, izdane u svrhu tehničkog ispitivanja sukladno čl. 91 ZEK-a</w:t>
      </w:r>
      <w:r>
        <w:rPr>
          <w:bCs/>
        </w:rPr>
        <w:t>.</w:t>
      </w:r>
    </w:p>
    <w:p w14:paraId="7D34F910" w14:textId="77777777" w:rsidR="00E248BC" w:rsidRPr="001711BA" w:rsidRDefault="00E248BC" w:rsidP="001711BA"/>
    <w:p w14:paraId="7443D0D2" w14:textId="77777777" w:rsidR="00B773F8" w:rsidRDefault="00B773F8" w:rsidP="00B773F8">
      <w:pPr>
        <w:pStyle w:val="Heading2"/>
        <w:spacing w:before="0" w:after="240"/>
        <w:ind w:firstLine="709"/>
      </w:pPr>
      <w:bookmarkStart w:id="8" w:name="_Toc85715493"/>
      <w:r>
        <w:t>2.</w:t>
      </w:r>
      <w:r w:rsidR="002C4D4E">
        <w:t>7</w:t>
      </w:r>
      <w:r>
        <w:t>. Frekvencijski pojas 3600 MHz</w:t>
      </w:r>
      <w:bookmarkEnd w:id="8"/>
    </w:p>
    <w:p w14:paraId="68AF0BC9" w14:textId="2A56F4B5" w:rsidR="00B773F8" w:rsidRPr="009B436C" w:rsidRDefault="00B773F8" w:rsidP="00B773F8">
      <w:pPr>
        <w:jc w:val="both"/>
        <w:rPr>
          <w:bCs/>
        </w:rPr>
      </w:pPr>
      <w:r w:rsidRPr="009B436C">
        <w:rPr>
          <w:bCs/>
        </w:rPr>
        <w:t xml:space="preserve">Usklađeni tehnički uvjeti za MFCN mreže u frekvencijskom pojasu 3400-3800 MHz na razini </w:t>
      </w:r>
      <w:r w:rsidR="00521688">
        <w:rPr>
          <w:bCs/>
        </w:rPr>
        <w:t>EU</w:t>
      </w:r>
      <w:r w:rsidRPr="009B436C">
        <w:rPr>
          <w:bCs/>
        </w:rPr>
        <w:t xml:space="preserve"> propisani su provedbenom odlukom </w:t>
      </w:r>
      <w:r w:rsidR="00521688">
        <w:rPr>
          <w:bCs/>
        </w:rPr>
        <w:t>EK</w:t>
      </w:r>
      <w:r w:rsidRPr="009B436C">
        <w:rPr>
          <w:bCs/>
        </w:rPr>
        <w:t xml:space="preserve"> (EU) 2019/235</w:t>
      </w:r>
      <w:r>
        <w:rPr>
          <w:rStyle w:val="FootnoteReference"/>
          <w:bCs/>
        </w:rPr>
        <w:footnoteReference w:id="23"/>
      </w:r>
      <w:r w:rsidRPr="009B436C">
        <w:rPr>
          <w:bCs/>
        </w:rPr>
        <w:t xml:space="preserve"> odn</w:t>
      </w:r>
      <w:r>
        <w:rPr>
          <w:bCs/>
        </w:rPr>
        <w:t>osno ECC Odlukom ECC/DEC/(11)06</w:t>
      </w:r>
      <w:r>
        <w:rPr>
          <w:rStyle w:val="FootnoteReference"/>
          <w:bCs/>
        </w:rPr>
        <w:footnoteReference w:id="24"/>
      </w:r>
      <w:r w:rsidRPr="009B436C">
        <w:rPr>
          <w:bCs/>
        </w:rPr>
        <w:t xml:space="preserve"> za bazne postaje s neaktivnim antenskim sustavima (ne-AAS) i sa aktivnim antenskim sustavima (AAS). </w:t>
      </w:r>
    </w:p>
    <w:p w14:paraId="1E6415D5" w14:textId="64F6816B" w:rsidR="00B773F8" w:rsidRPr="009B436C" w:rsidRDefault="00B773F8" w:rsidP="00B773F8">
      <w:pPr>
        <w:jc w:val="both"/>
        <w:rPr>
          <w:bCs/>
        </w:rPr>
      </w:pPr>
      <w:r w:rsidRPr="009B436C">
        <w:rPr>
          <w:bCs/>
        </w:rPr>
        <w:lastRenderedPageBreak/>
        <w:t>AAS</w:t>
      </w:r>
      <w:r>
        <w:rPr>
          <w:bCs/>
        </w:rPr>
        <w:t xml:space="preserve"> sustav</w:t>
      </w:r>
      <w:r w:rsidRPr="009B436C">
        <w:rPr>
          <w:bCs/>
        </w:rPr>
        <w:t xml:space="preserve"> predstavlja baznu postaju i antenski sustav s promjenjivom amplitudom i/ili fazom između antenskih elemenata što rezultira promjenjivim antenskim dijagramom koji varira u skladu s kratkotrajnim promjenama u radijskom okruženju. Navedeno ne uključuje dugotrajno oblikovanje snopa poput fiksnog električnog nagiba prema dolje..</w:t>
      </w:r>
    </w:p>
    <w:p w14:paraId="00A650DE" w14:textId="5FCFD284" w:rsidR="00B773F8" w:rsidRPr="009B436C" w:rsidRDefault="00B773F8" w:rsidP="00B773F8">
      <w:pPr>
        <w:jc w:val="both"/>
        <w:rPr>
          <w:bCs/>
        </w:rPr>
      </w:pPr>
      <w:r w:rsidRPr="009B436C">
        <w:rPr>
          <w:bCs/>
        </w:rPr>
        <w:t xml:space="preserve">U ovom frekvencijskom pojasu dozvoljena je uporaba vremenskog dupleksa (TDD), a predviđena je dodjela </w:t>
      </w:r>
      <w:r w:rsidR="00E3773D">
        <w:rPr>
          <w:bCs/>
        </w:rPr>
        <w:t>RF</w:t>
      </w:r>
      <w:r w:rsidR="00E3773D" w:rsidRPr="009B436C">
        <w:rPr>
          <w:bCs/>
        </w:rPr>
        <w:t xml:space="preserve"> </w:t>
      </w:r>
      <w:r w:rsidRPr="009B436C">
        <w:rPr>
          <w:bCs/>
        </w:rPr>
        <w:t xml:space="preserve">spektra u višekratnicima bloka frekvencija širine 5 MHz poravnatih na razmaku od 5 MHz od donjeg ruba </w:t>
      </w:r>
      <w:r w:rsidR="009860A6">
        <w:rPr>
          <w:bCs/>
        </w:rPr>
        <w:t xml:space="preserve">pojasa </w:t>
      </w:r>
      <w:r w:rsidRPr="009B436C">
        <w:rPr>
          <w:bCs/>
        </w:rPr>
        <w:t>na 3400 MHz.</w:t>
      </w:r>
    </w:p>
    <w:p w14:paraId="077908E1" w14:textId="77777777" w:rsidR="00B773F8" w:rsidRPr="00356D60" w:rsidRDefault="00B773F8" w:rsidP="00356D60">
      <w:pPr>
        <w:jc w:val="both"/>
        <w:rPr>
          <w:bCs/>
        </w:rPr>
      </w:pPr>
      <w:r w:rsidRPr="009B436C">
        <w:rPr>
          <w:bCs/>
        </w:rPr>
        <w:t xml:space="preserve">U skladu s NJFA sporazumom gornja granična frekvencija za radare u zrakoplovnoj službi je 3410 MHz. Tablicom namjene vojna </w:t>
      </w:r>
      <w:r>
        <w:rPr>
          <w:bCs/>
        </w:rPr>
        <w:t>uporaba</w:t>
      </w:r>
      <w:r w:rsidRPr="009B436C">
        <w:rPr>
          <w:bCs/>
        </w:rPr>
        <w:t xml:space="preserve"> nije predviđena u frekvencijskom pojasu 3400-3800 MHz</w:t>
      </w:r>
      <w:r>
        <w:rPr>
          <w:bCs/>
        </w:rPr>
        <w:t xml:space="preserve"> i</w:t>
      </w:r>
      <w:r w:rsidRPr="009B436C">
        <w:rPr>
          <w:bCs/>
        </w:rPr>
        <w:t xml:space="preserve"> susjednom frekvencijskom pojasu ispod 3400 MHz</w:t>
      </w:r>
      <w:r>
        <w:rPr>
          <w:bCs/>
        </w:rPr>
        <w:t>.</w:t>
      </w:r>
    </w:p>
    <w:p w14:paraId="49564401" w14:textId="77777777" w:rsidR="00B773F8" w:rsidRDefault="00B773F8" w:rsidP="00B773F8">
      <w:pPr>
        <w:jc w:val="both"/>
        <w:rPr>
          <w:bCs/>
        </w:rPr>
      </w:pPr>
      <w:r>
        <w:rPr>
          <w:bCs/>
        </w:rPr>
        <w:t>Implementacija</w:t>
      </w:r>
      <w:r w:rsidRPr="009B436C">
        <w:rPr>
          <w:bCs/>
        </w:rPr>
        <w:t xml:space="preserve"> širokopojasnih baznih </w:t>
      </w:r>
      <w:r>
        <w:rPr>
          <w:bCs/>
        </w:rPr>
        <w:t>postaja</w:t>
      </w:r>
      <w:r w:rsidRPr="009B436C">
        <w:rPr>
          <w:bCs/>
        </w:rPr>
        <w:t xml:space="preserve"> na otvorenom u najnižim blokovima od 5 MHz</w:t>
      </w:r>
      <w:r>
        <w:rPr>
          <w:bCs/>
        </w:rPr>
        <w:t>,</w:t>
      </w:r>
      <w:r w:rsidRPr="009B436C">
        <w:rPr>
          <w:bCs/>
        </w:rPr>
        <w:t xml:space="preserve"> uzimajući u obzir izvanpojasna ograničenja neželjenih emisija za zaštitu radara, zahtijevat će nadogradnju filtera za AAS.</w:t>
      </w:r>
    </w:p>
    <w:p w14:paraId="0D7BBC69" w14:textId="77777777" w:rsidR="00356D60" w:rsidRPr="00356D60" w:rsidRDefault="00356D60" w:rsidP="00B773F8">
      <w:pPr>
        <w:jc w:val="both"/>
      </w:pPr>
      <w:r>
        <w:t xml:space="preserve">U RH je na snazi Plan </w:t>
      </w:r>
      <w:r w:rsidRPr="005F07B3">
        <w:t xml:space="preserve">dodjele za frekvencijski pojas </w:t>
      </w:r>
      <w:r w:rsidRPr="00356D60">
        <w:t>3400 - 3800 MHz</w:t>
      </w:r>
      <w:r>
        <w:rPr>
          <w:rStyle w:val="FootnoteReference"/>
        </w:rPr>
        <w:footnoteReference w:id="25"/>
      </w:r>
      <w:r>
        <w:t>.</w:t>
      </w:r>
    </w:p>
    <w:p w14:paraId="7AEC110E" w14:textId="508535E7" w:rsidR="008715A1" w:rsidRPr="00E335DE" w:rsidRDefault="004322E5" w:rsidP="00E335DE">
      <w:pPr>
        <w:pStyle w:val="Heading2"/>
        <w:spacing w:before="0" w:after="240"/>
        <w:jc w:val="both"/>
        <w:rPr>
          <w:rFonts w:asciiTheme="minorHAnsi" w:hAnsiTheme="minorHAnsi" w:cstheme="minorHAnsi"/>
          <w:bCs/>
          <w:color w:val="000000" w:themeColor="text1"/>
          <w:sz w:val="22"/>
          <w:szCs w:val="22"/>
        </w:rPr>
      </w:pPr>
      <w:r w:rsidRPr="00E335DE">
        <w:rPr>
          <w:rFonts w:asciiTheme="minorHAnsi" w:hAnsiTheme="minorHAnsi" w:cstheme="minorHAnsi"/>
          <w:bCs/>
          <w:color w:val="000000" w:themeColor="text1"/>
          <w:sz w:val="22"/>
          <w:szCs w:val="22"/>
        </w:rPr>
        <w:t>RF spektar 3480-3800 MHz je dodijeljen na nacionalnoj razini do 2036., sukladno Bazi RF spektra za pokretne i nepokretne komunikacijske mreže s pokrivanjem na nacionalnoj razini</w:t>
      </w:r>
      <w:r w:rsidR="008715A1">
        <w:rPr>
          <w:rStyle w:val="FootnoteReference"/>
          <w:rFonts w:asciiTheme="minorHAnsi" w:hAnsiTheme="minorHAnsi" w:cstheme="minorHAnsi"/>
          <w:bCs/>
          <w:color w:val="000000" w:themeColor="text1"/>
          <w:sz w:val="22"/>
          <w:szCs w:val="22"/>
        </w:rPr>
        <w:footnoteReference w:id="26"/>
      </w:r>
      <w:r w:rsidRPr="00E335DE">
        <w:rPr>
          <w:rFonts w:asciiTheme="minorHAnsi" w:hAnsiTheme="minorHAnsi" w:cstheme="minorHAnsi"/>
          <w:bCs/>
          <w:color w:val="000000" w:themeColor="text1"/>
          <w:sz w:val="22"/>
          <w:szCs w:val="22"/>
        </w:rPr>
        <w:t xml:space="preserve">. RF spektar 3400-3480 MHz je djelomično dodijeljen na regionalnoj (županijskoj) razini do 2036., sukladno Bazi dodijeljenog </w:t>
      </w:r>
      <w:r w:rsidR="00E3773D" w:rsidRPr="00E335DE">
        <w:rPr>
          <w:rFonts w:asciiTheme="minorHAnsi" w:hAnsiTheme="minorHAnsi" w:cstheme="minorHAnsi"/>
          <w:bCs/>
          <w:color w:val="000000" w:themeColor="text1"/>
          <w:sz w:val="22"/>
          <w:szCs w:val="22"/>
        </w:rPr>
        <w:t xml:space="preserve">RF </w:t>
      </w:r>
      <w:r w:rsidRPr="00E335DE">
        <w:rPr>
          <w:rFonts w:asciiTheme="minorHAnsi" w:hAnsiTheme="minorHAnsi" w:cstheme="minorHAnsi"/>
          <w:bCs/>
          <w:color w:val="000000" w:themeColor="text1"/>
          <w:sz w:val="22"/>
          <w:szCs w:val="22"/>
        </w:rPr>
        <w:t>spektra za pokretne i nepokretne komunikacijske mreže s pokrivanjem na regionalnoj razini</w:t>
      </w:r>
      <w:r w:rsidR="008715A1">
        <w:rPr>
          <w:rStyle w:val="FootnoteReference"/>
          <w:rFonts w:asciiTheme="minorHAnsi" w:hAnsiTheme="minorHAnsi" w:cstheme="minorHAnsi"/>
          <w:bCs/>
          <w:color w:val="000000" w:themeColor="text1"/>
          <w:sz w:val="22"/>
          <w:szCs w:val="22"/>
        </w:rPr>
        <w:footnoteReference w:id="27"/>
      </w:r>
      <w:r w:rsidRPr="00E335DE">
        <w:rPr>
          <w:rFonts w:asciiTheme="minorHAnsi" w:hAnsiTheme="minorHAnsi" w:cstheme="minorHAnsi"/>
          <w:bCs/>
          <w:color w:val="000000" w:themeColor="text1"/>
          <w:sz w:val="22"/>
          <w:szCs w:val="22"/>
        </w:rPr>
        <w:t>.</w:t>
      </w:r>
    </w:p>
    <w:p w14:paraId="61EB28AA" w14:textId="77777777" w:rsidR="00B773F8" w:rsidRPr="008715A1" w:rsidRDefault="00B773F8">
      <w:pPr>
        <w:pStyle w:val="Heading2"/>
        <w:spacing w:before="0" w:after="240"/>
        <w:ind w:firstLine="709"/>
      </w:pPr>
      <w:bookmarkStart w:id="9" w:name="_Toc85715494"/>
      <w:r w:rsidRPr="008715A1">
        <w:t>2.</w:t>
      </w:r>
      <w:r w:rsidR="002C4D4E" w:rsidRPr="008715A1">
        <w:t>8</w:t>
      </w:r>
      <w:r w:rsidRPr="008715A1">
        <w:t>. Frekvencijski pojas 26 GHz</w:t>
      </w:r>
      <w:bookmarkEnd w:id="9"/>
    </w:p>
    <w:p w14:paraId="1583E3C4" w14:textId="12B66D7B" w:rsidR="00B773F8" w:rsidRDefault="00B773F8" w:rsidP="00B773F8">
      <w:pPr>
        <w:pStyle w:val="ListParagraph"/>
        <w:spacing w:after="0"/>
        <w:ind w:left="0"/>
        <w:jc w:val="both"/>
      </w:pPr>
      <w:r w:rsidRPr="009B436C">
        <w:rPr>
          <w:bCs/>
        </w:rPr>
        <w:t xml:space="preserve">Frekvencijski pojas 26 GHz može omogućiti implementaciju višestruko širih kontinuiranih frekvencijskih </w:t>
      </w:r>
      <w:r w:rsidR="009860A6" w:rsidRPr="009B436C">
        <w:rPr>
          <w:bCs/>
        </w:rPr>
        <w:t>blokov</w:t>
      </w:r>
      <w:r w:rsidR="009860A6">
        <w:rPr>
          <w:bCs/>
        </w:rPr>
        <w:t>a</w:t>
      </w:r>
      <w:r w:rsidRPr="009B436C">
        <w:rPr>
          <w:bCs/>
        </w:rPr>
        <w:t>, a time i pružanje usluge ultra visokog kapaciteta i vrlo niskog kašnjenja</w:t>
      </w:r>
      <w:r w:rsidR="00CC39DF">
        <w:rPr>
          <w:bCs/>
        </w:rPr>
        <w:t>.</w:t>
      </w:r>
      <w:r w:rsidRPr="009B436C">
        <w:rPr>
          <w:bCs/>
        </w:rPr>
        <w:t xml:space="preserve"> S druge strane, </w:t>
      </w:r>
      <w:r w:rsidR="009860A6">
        <w:rPr>
          <w:bCs/>
        </w:rPr>
        <w:t>radi gubitaka</w:t>
      </w:r>
      <w:r w:rsidR="009860A6" w:rsidRPr="009B436C">
        <w:rPr>
          <w:bCs/>
        </w:rPr>
        <w:t xml:space="preserve"> </w:t>
      </w:r>
      <w:r w:rsidRPr="009B436C">
        <w:rPr>
          <w:bCs/>
        </w:rPr>
        <w:t>u propagaciji signala u ovom frekvencijskom pojasu</w:t>
      </w:r>
      <w:r>
        <w:rPr>
          <w:bCs/>
        </w:rPr>
        <w:t>, izgradnja mreže</w:t>
      </w:r>
      <w:r w:rsidRPr="009B436C">
        <w:rPr>
          <w:bCs/>
        </w:rPr>
        <w:t xml:space="preserve"> rezultirat će s implementacijom pristupnih točaka kratkog dometa i njihovim postavljanjem na uličnu infrastrukturu i bočne zidove zgrada</w:t>
      </w:r>
      <w:r>
        <w:t>.</w:t>
      </w:r>
    </w:p>
    <w:p w14:paraId="7FC5A027" w14:textId="77777777" w:rsidR="00B773F8" w:rsidRPr="001A2A92" w:rsidRDefault="00B773F8" w:rsidP="00B773F8">
      <w:pPr>
        <w:pStyle w:val="ListParagraph"/>
        <w:spacing w:after="0"/>
        <w:ind w:left="0"/>
        <w:jc w:val="both"/>
      </w:pPr>
    </w:p>
    <w:p w14:paraId="5B9E0315" w14:textId="465C8E7D" w:rsidR="00B773F8" w:rsidRDefault="00B773F8" w:rsidP="00B773F8">
      <w:pPr>
        <w:jc w:val="both"/>
        <w:rPr>
          <w:bCs/>
        </w:rPr>
      </w:pPr>
      <w:r w:rsidRPr="009B436C">
        <w:rPr>
          <w:bCs/>
        </w:rPr>
        <w:t xml:space="preserve">Usklađeni tehnički uvjeti za MFCN mreže u frekvencijskom pojasu 24,25-27,5 GHz na razini </w:t>
      </w:r>
      <w:r w:rsidR="00521688">
        <w:rPr>
          <w:bCs/>
        </w:rPr>
        <w:t>EU</w:t>
      </w:r>
      <w:r w:rsidRPr="009B436C">
        <w:rPr>
          <w:bCs/>
        </w:rPr>
        <w:t xml:space="preserve"> propisani su provedbenom odlukom </w:t>
      </w:r>
      <w:r w:rsidR="00521688">
        <w:rPr>
          <w:bCs/>
        </w:rPr>
        <w:t>EK</w:t>
      </w:r>
      <w:r w:rsidRPr="009B436C">
        <w:rPr>
          <w:bCs/>
        </w:rPr>
        <w:t xml:space="preserve"> (EU) 2019/784</w:t>
      </w:r>
      <w:r>
        <w:rPr>
          <w:rStyle w:val="FootnoteReference"/>
          <w:bCs/>
        </w:rPr>
        <w:footnoteReference w:id="28"/>
      </w:r>
      <w:r w:rsidRPr="009B436C">
        <w:rPr>
          <w:bCs/>
        </w:rPr>
        <w:t xml:space="preserve"> odnosno ECC Odlukom ECC/DEC/(18</w:t>
      </w:r>
      <w:r>
        <w:rPr>
          <w:bCs/>
        </w:rPr>
        <w:t>)06</w:t>
      </w:r>
      <w:r>
        <w:rPr>
          <w:rStyle w:val="FootnoteReference"/>
          <w:bCs/>
        </w:rPr>
        <w:footnoteReference w:id="29"/>
      </w:r>
      <w:r w:rsidRPr="009B436C">
        <w:rPr>
          <w:bCs/>
        </w:rPr>
        <w:t>.</w:t>
      </w:r>
    </w:p>
    <w:p w14:paraId="57E933D7" w14:textId="77777777" w:rsidR="006F545D" w:rsidRPr="009B436C" w:rsidRDefault="006F545D" w:rsidP="00B773F8">
      <w:pPr>
        <w:jc w:val="both"/>
        <w:rPr>
          <w:bCs/>
        </w:rPr>
      </w:pPr>
      <w:r w:rsidRPr="006F545D">
        <w:rPr>
          <w:bCs/>
        </w:rPr>
        <w:t>U RH je na snazi Plan dodjele za frekvencijski pojas 26, 5 - 27,5 GHz</w:t>
      </w:r>
      <w:bookmarkStart w:id="10" w:name="_Ref85718520"/>
      <w:r>
        <w:rPr>
          <w:rStyle w:val="FootnoteReference"/>
          <w:bCs/>
        </w:rPr>
        <w:footnoteReference w:id="30"/>
      </w:r>
      <w:bookmarkEnd w:id="10"/>
      <w:r w:rsidRPr="006F545D">
        <w:rPr>
          <w:bCs/>
        </w:rPr>
        <w:t>.</w:t>
      </w:r>
    </w:p>
    <w:p w14:paraId="28769892" w14:textId="64BB84F2" w:rsidR="00B773F8" w:rsidRDefault="00B773F8" w:rsidP="00B773F8">
      <w:pPr>
        <w:jc w:val="both"/>
        <w:rPr>
          <w:bCs/>
        </w:rPr>
      </w:pPr>
      <w:r w:rsidRPr="009B436C">
        <w:rPr>
          <w:bCs/>
        </w:rPr>
        <w:t xml:space="preserve">U ovom frekvencijskom pojasu dozvoljena je uporaba vremenskog dupleksa (TDD), a predviđena je dodjela </w:t>
      </w:r>
      <w:r w:rsidR="00E3773D">
        <w:rPr>
          <w:bCs/>
        </w:rPr>
        <w:t>RF</w:t>
      </w:r>
      <w:r w:rsidR="00E3773D" w:rsidRPr="009B436C">
        <w:rPr>
          <w:bCs/>
        </w:rPr>
        <w:t xml:space="preserve"> </w:t>
      </w:r>
      <w:r w:rsidRPr="009B436C">
        <w:rPr>
          <w:bCs/>
        </w:rPr>
        <w:t xml:space="preserve">spektra u višekratnicima bloka frekvencija širine 200 MHz poravnatih na razmaku od 200 MHz od gornjeg ruba pojasa na 27,5 GHz. U </w:t>
      </w:r>
      <w:r w:rsidR="00CC39DF">
        <w:rPr>
          <w:bCs/>
        </w:rPr>
        <w:t>svrhu</w:t>
      </w:r>
      <w:r w:rsidRPr="009B436C">
        <w:rPr>
          <w:bCs/>
        </w:rPr>
        <w:t xml:space="preserve"> učinkovit</w:t>
      </w:r>
      <w:r w:rsidR="00CC39DF">
        <w:rPr>
          <w:bCs/>
        </w:rPr>
        <w:t>e</w:t>
      </w:r>
      <w:r w:rsidRPr="009B436C">
        <w:rPr>
          <w:bCs/>
        </w:rPr>
        <w:t xml:space="preserve"> uporab</w:t>
      </w:r>
      <w:r w:rsidR="00CC39DF">
        <w:rPr>
          <w:bCs/>
        </w:rPr>
        <w:t>e RF spektra, po potrebi</w:t>
      </w:r>
      <w:r w:rsidRPr="009B436C">
        <w:rPr>
          <w:bCs/>
        </w:rPr>
        <w:t xml:space="preserve"> moguće </w:t>
      </w:r>
      <w:r w:rsidRPr="009B436C">
        <w:rPr>
          <w:bCs/>
        </w:rPr>
        <w:lastRenderedPageBreak/>
        <w:t>je dodijeliti i blokove manje širine (50 MHz, 100 MHz ili 150 MHz),</w:t>
      </w:r>
      <w:r w:rsidR="006700B5">
        <w:rPr>
          <w:bCs/>
        </w:rPr>
        <w:t xml:space="preserve"> </w:t>
      </w:r>
      <w:r w:rsidR="0060639C">
        <w:rPr>
          <w:bCs/>
        </w:rPr>
        <w:t>u skladu sa navedenim planom dodjele.</w:t>
      </w:r>
    </w:p>
    <w:p w14:paraId="590B3B6D" w14:textId="08E81BF2" w:rsidR="00B773F8" w:rsidRPr="009B436C" w:rsidRDefault="00916FDF" w:rsidP="00B773F8">
      <w:pPr>
        <w:jc w:val="both"/>
        <w:rPr>
          <w:bCs/>
        </w:rPr>
      </w:pPr>
      <w:r>
        <w:rPr>
          <w:bCs/>
        </w:rPr>
        <w:t xml:space="preserve">S obzirom na to da je Planom </w:t>
      </w:r>
      <w:r w:rsidRPr="006F545D">
        <w:rPr>
          <w:bCs/>
        </w:rPr>
        <w:t>dodjele za frekvencijski pojas 26, 5 - 27,5 GHz</w:t>
      </w:r>
      <w:r>
        <w:rPr>
          <w:bCs/>
        </w:rPr>
        <w:fldChar w:fldCharType="begin"/>
      </w:r>
      <w:r>
        <w:rPr>
          <w:bCs/>
        </w:rPr>
        <w:instrText xml:space="preserve"> NOTEREF _Ref85718520 \f </w:instrText>
      </w:r>
      <w:r>
        <w:rPr>
          <w:bCs/>
        </w:rPr>
        <w:fldChar w:fldCharType="separate"/>
      </w:r>
      <w:r w:rsidRPr="00E335DE">
        <w:rPr>
          <w:rStyle w:val="FootnoteReference"/>
        </w:rPr>
        <w:t>28</w:t>
      </w:r>
      <w:r>
        <w:rPr>
          <w:bCs/>
        </w:rPr>
        <w:fldChar w:fldCharType="end"/>
      </w:r>
      <w:r w:rsidR="00EA745A">
        <w:rPr>
          <w:bCs/>
        </w:rPr>
        <w:t xml:space="preserve"> </w:t>
      </w:r>
      <w:r w:rsidR="00EA745A" w:rsidRPr="00EA745A">
        <w:rPr>
          <w:bCs/>
        </w:rPr>
        <w:t>zbog zaštite službe satelitskog istr</w:t>
      </w:r>
      <w:r w:rsidR="00EA745A">
        <w:rPr>
          <w:bCs/>
        </w:rPr>
        <w:t xml:space="preserve">aživanja Zemlje u pojasu </w:t>
      </w:r>
      <w:r w:rsidR="00EA745A" w:rsidRPr="00EA745A">
        <w:rPr>
          <w:bCs/>
        </w:rPr>
        <w:t xml:space="preserve">23,6 - 24,0 GHz </w:t>
      </w:r>
      <w:r w:rsidR="00EA745A">
        <w:rPr>
          <w:bCs/>
        </w:rPr>
        <w:t>propisana</w:t>
      </w:r>
      <w:r w:rsidR="00EA745A" w:rsidRPr="00EA745A">
        <w:rPr>
          <w:bCs/>
        </w:rPr>
        <w:t xml:space="preserve"> </w:t>
      </w:r>
      <w:r w:rsidR="00EA745A">
        <w:rPr>
          <w:bCs/>
        </w:rPr>
        <w:t>m</w:t>
      </w:r>
      <w:r w:rsidR="00EA745A" w:rsidRPr="00EA745A">
        <w:rPr>
          <w:bCs/>
        </w:rPr>
        <w:t>aksimalna ukupno izračena snaga (TRP)</w:t>
      </w:r>
      <w:r w:rsidR="00EA745A">
        <w:rPr>
          <w:bCs/>
        </w:rPr>
        <w:t>, posljedično je ograničena i razina ukupno izračenih snaga baznih i krajnjih radijskih postaja koje rade neposredno iznad 24,25 GHz</w:t>
      </w:r>
      <w:r w:rsidR="00163293">
        <w:rPr>
          <w:bCs/>
        </w:rPr>
        <w:t xml:space="preserve">. Zbog navedenog je taj dio pojasa primjereno namijeniti za </w:t>
      </w:r>
      <w:r w:rsidR="00E2191E">
        <w:rPr>
          <w:bCs/>
        </w:rPr>
        <w:t>lokalne primjene.</w:t>
      </w:r>
      <w:r w:rsidR="00D041C4">
        <w:rPr>
          <w:bCs/>
        </w:rPr>
        <w:t xml:space="preserve"> </w:t>
      </w:r>
      <w:r w:rsidR="00B773F8" w:rsidRPr="009B436C">
        <w:rPr>
          <w:bCs/>
        </w:rPr>
        <w:t>Frekvencijski poj</w:t>
      </w:r>
      <w:r w:rsidR="00B773F8">
        <w:rPr>
          <w:bCs/>
        </w:rPr>
        <w:t>as 25,25-27,5 GHz u skladu s NJFA</w:t>
      </w:r>
      <w:r w:rsidR="00B773F8" w:rsidRPr="009B436C">
        <w:rPr>
          <w:bCs/>
        </w:rPr>
        <w:t xml:space="preserve"> sporazumom je također namijenjen i za vojnu uporabu, dok je Tablicom namjene vojna uporaba dozvoljena u frekvencijskom pojasu 26,5-27,5 GHz</w:t>
      </w:r>
      <w:r w:rsidR="00B773F8">
        <w:rPr>
          <w:bCs/>
        </w:rPr>
        <w:t>.</w:t>
      </w:r>
    </w:p>
    <w:p w14:paraId="1EF3B751" w14:textId="77777777" w:rsidR="00B773F8" w:rsidRPr="009B436C" w:rsidRDefault="00B773F8" w:rsidP="00B773F8">
      <w:pPr>
        <w:jc w:val="both"/>
        <w:rPr>
          <w:bCs/>
        </w:rPr>
      </w:pPr>
      <w:r w:rsidRPr="009B436C">
        <w:rPr>
          <w:bCs/>
        </w:rPr>
        <w:t>Primjer frekvencijskog rasporeda prikazan je na sljedećoj slici:</w:t>
      </w:r>
    </w:p>
    <w:p w14:paraId="06CC556D" w14:textId="77777777" w:rsidR="00B773F8" w:rsidRDefault="00B773F8" w:rsidP="00B773F8">
      <w:pPr>
        <w:pStyle w:val="ListParagraph"/>
        <w:spacing w:after="0"/>
        <w:ind w:left="0"/>
        <w:jc w:val="both"/>
      </w:pPr>
      <w:r w:rsidRPr="00BF392C">
        <w:rPr>
          <w:noProof/>
          <w:lang w:eastAsia="hr-HR"/>
        </w:rPr>
        <w:drawing>
          <wp:inline distT="0" distB="0" distL="0" distR="0" wp14:anchorId="3BC7D1D8" wp14:editId="7BCA169E">
            <wp:extent cx="5760720" cy="5982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vice Independent Bitmap) 1.jpg"/>
                    <pic:cNvPicPr/>
                  </pic:nvPicPr>
                  <pic:blipFill>
                    <a:blip r:embed="rId8">
                      <a:extLst>
                        <a:ext uri="{28A0092B-C50C-407E-A947-70E740481C1C}">
                          <a14:useLocalDpi xmlns:a14="http://schemas.microsoft.com/office/drawing/2010/main" val="0"/>
                        </a:ext>
                      </a:extLst>
                    </a:blip>
                    <a:stretch>
                      <a:fillRect/>
                    </a:stretch>
                  </pic:blipFill>
                  <pic:spPr>
                    <a:xfrm>
                      <a:off x="0" y="0"/>
                      <a:ext cx="5760720" cy="598245"/>
                    </a:xfrm>
                    <a:prstGeom prst="rect">
                      <a:avLst/>
                    </a:prstGeom>
                  </pic:spPr>
                </pic:pic>
              </a:graphicData>
            </a:graphic>
          </wp:inline>
        </w:drawing>
      </w:r>
    </w:p>
    <w:p w14:paraId="67F5F682" w14:textId="77777777" w:rsidR="00B773F8" w:rsidRDefault="00B773F8" w:rsidP="00B773F8">
      <w:pPr>
        <w:pStyle w:val="ListParagraph"/>
        <w:spacing w:after="0"/>
        <w:ind w:left="0"/>
        <w:jc w:val="both"/>
      </w:pPr>
    </w:p>
    <w:p w14:paraId="71FEA7A1" w14:textId="65A4ACD5" w:rsidR="006700B5" w:rsidRDefault="002C4D4E" w:rsidP="009B436C">
      <w:pPr>
        <w:jc w:val="both"/>
        <w:rPr>
          <w:bCs/>
        </w:rPr>
      </w:pPr>
      <w:r>
        <w:rPr>
          <w:bCs/>
        </w:rPr>
        <w:t xml:space="preserve">Frekvencijski pojas </w:t>
      </w:r>
      <w:r w:rsidRPr="009B436C">
        <w:rPr>
          <w:bCs/>
        </w:rPr>
        <w:t>26,5-27,5</w:t>
      </w:r>
      <w:r>
        <w:rPr>
          <w:bCs/>
        </w:rPr>
        <w:t xml:space="preserve"> GHz je dodijeljen na nacionalnoj razini do 2036., sukladno Bazi RF spektra</w:t>
      </w:r>
      <w:r w:rsidRPr="004322E5">
        <w:t xml:space="preserve"> </w:t>
      </w:r>
      <w:r w:rsidRPr="004322E5">
        <w:rPr>
          <w:bCs/>
        </w:rPr>
        <w:t>za pokre</w:t>
      </w:r>
      <w:r>
        <w:rPr>
          <w:bCs/>
        </w:rPr>
        <w:t xml:space="preserve">tne i nepokretne komunikacijske </w:t>
      </w:r>
      <w:r w:rsidRPr="004322E5">
        <w:rPr>
          <w:bCs/>
        </w:rPr>
        <w:t xml:space="preserve">mreže s pokrivanjem na </w:t>
      </w:r>
      <w:r>
        <w:rPr>
          <w:bCs/>
        </w:rPr>
        <w:t>nacionalnoj</w:t>
      </w:r>
      <w:r w:rsidRPr="004322E5">
        <w:rPr>
          <w:bCs/>
        </w:rPr>
        <w:t xml:space="preserve"> razini</w:t>
      </w:r>
      <w:r>
        <w:rPr>
          <w:rStyle w:val="FootnoteReference"/>
          <w:bCs/>
        </w:rPr>
        <w:t xml:space="preserve"> </w:t>
      </w:r>
      <w:r>
        <w:rPr>
          <w:rStyle w:val="FootnoteReference"/>
          <w:bCs/>
        </w:rPr>
        <w:footnoteReference w:id="31"/>
      </w:r>
      <w:r>
        <w:rPr>
          <w:bCs/>
        </w:rPr>
        <w:t>.</w:t>
      </w:r>
    </w:p>
    <w:p w14:paraId="5171B476" w14:textId="77777777" w:rsidR="002C4D4E" w:rsidRPr="009B436C" w:rsidRDefault="002C4D4E" w:rsidP="009B436C">
      <w:pPr>
        <w:jc w:val="both"/>
        <w:rPr>
          <w:bCs/>
        </w:rPr>
      </w:pPr>
    </w:p>
    <w:p w14:paraId="1224FF24" w14:textId="77777777" w:rsidR="009912CE" w:rsidRDefault="009912CE" w:rsidP="00B03ABC">
      <w:pPr>
        <w:pStyle w:val="Heading1"/>
        <w:numPr>
          <w:ilvl w:val="0"/>
          <w:numId w:val="3"/>
        </w:numPr>
        <w:spacing w:before="0" w:after="240"/>
        <w:ind w:left="714" w:hanging="357"/>
      </w:pPr>
      <w:bookmarkStart w:id="11" w:name="_Toc85715495"/>
      <w:r>
        <w:t>DODJELA SPEKTRA</w:t>
      </w:r>
      <w:bookmarkEnd w:id="11"/>
    </w:p>
    <w:p w14:paraId="305CCD9D" w14:textId="77777777" w:rsidR="00C337CA" w:rsidRDefault="00A57F01" w:rsidP="00B03ABC">
      <w:pPr>
        <w:pStyle w:val="Heading2"/>
        <w:spacing w:before="0" w:after="240"/>
        <w:ind w:firstLine="357"/>
      </w:pPr>
      <w:bookmarkStart w:id="12" w:name="_Toc85715496"/>
      <w:r>
        <w:t xml:space="preserve">3.1. </w:t>
      </w:r>
      <w:r w:rsidR="005A7752">
        <w:t>Prijedlog dodjele</w:t>
      </w:r>
      <w:bookmarkEnd w:id="12"/>
      <w:r w:rsidR="005A7752">
        <w:t xml:space="preserve"> </w:t>
      </w:r>
    </w:p>
    <w:p w14:paraId="7348C916" w14:textId="77777777" w:rsidR="005E5501" w:rsidRDefault="005E5501" w:rsidP="00441B1F">
      <w:pPr>
        <w:jc w:val="both"/>
        <w:rPr>
          <w:b/>
        </w:rPr>
      </w:pPr>
      <w:r w:rsidRPr="00753507">
        <w:rPr>
          <w:b/>
        </w:rPr>
        <w:t xml:space="preserve">HAKOM </w:t>
      </w:r>
      <w:r>
        <w:rPr>
          <w:b/>
        </w:rPr>
        <w:t>planira dodjelu</w:t>
      </w:r>
      <w:r w:rsidRPr="00753507">
        <w:rPr>
          <w:b/>
        </w:rPr>
        <w:t xml:space="preserve"> frekvencijsk</w:t>
      </w:r>
      <w:r>
        <w:rPr>
          <w:b/>
        </w:rPr>
        <w:t>ih</w:t>
      </w:r>
      <w:r w:rsidRPr="00753507">
        <w:rPr>
          <w:b/>
        </w:rPr>
        <w:t xml:space="preserve"> pojasev</w:t>
      </w:r>
      <w:r>
        <w:rPr>
          <w:b/>
        </w:rPr>
        <w:t>a</w:t>
      </w:r>
      <w:r w:rsidRPr="00753507">
        <w:rPr>
          <w:b/>
        </w:rPr>
        <w:t xml:space="preserve"> </w:t>
      </w:r>
      <w:r w:rsidR="002A4CE4">
        <w:rPr>
          <w:b/>
        </w:rPr>
        <w:t>8</w:t>
      </w:r>
      <w:r w:rsidRPr="00753507">
        <w:rPr>
          <w:b/>
        </w:rPr>
        <w:t>00 MHz</w:t>
      </w:r>
      <w:r w:rsidR="002A4CE4">
        <w:rPr>
          <w:b/>
        </w:rPr>
        <w:t xml:space="preserve">, 900 MHz, </w:t>
      </w:r>
      <w:r w:rsidR="00DD2FFC">
        <w:rPr>
          <w:b/>
        </w:rPr>
        <w:t>1500 MHz, 1800 MHz, 2100 MHz, 2600 MHz,</w:t>
      </w:r>
      <w:r w:rsidR="002A4CE4">
        <w:rPr>
          <w:b/>
        </w:rPr>
        <w:t xml:space="preserve"> 3</w:t>
      </w:r>
      <w:r w:rsidRPr="00753507">
        <w:rPr>
          <w:b/>
        </w:rPr>
        <w:t>6</w:t>
      </w:r>
      <w:r w:rsidR="002A4CE4">
        <w:rPr>
          <w:b/>
        </w:rPr>
        <w:t>00</w:t>
      </w:r>
      <w:r w:rsidR="00DD2FFC">
        <w:rPr>
          <w:b/>
        </w:rPr>
        <w:t xml:space="preserve"> MHz i 26 GHz</w:t>
      </w:r>
      <w:r w:rsidRPr="00753507">
        <w:rPr>
          <w:b/>
        </w:rPr>
        <w:t xml:space="preserve"> </w:t>
      </w:r>
      <w:r w:rsidR="00A60724">
        <w:rPr>
          <w:b/>
        </w:rPr>
        <w:t xml:space="preserve">za javne MFCN mreže </w:t>
      </w:r>
      <w:r w:rsidRPr="00753507">
        <w:rPr>
          <w:b/>
        </w:rPr>
        <w:t>unutar jednog postupka</w:t>
      </w:r>
      <w:r w:rsidR="002A4CE4">
        <w:rPr>
          <w:b/>
        </w:rPr>
        <w:t>.</w:t>
      </w:r>
      <w:r w:rsidRPr="00753507">
        <w:rPr>
          <w:b/>
        </w:rPr>
        <w:t xml:space="preserve"> </w:t>
      </w:r>
      <w:r w:rsidR="00647021">
        <w:rPr>
          <w:b/>
        </w:rPr>
        <w:t xml:space="preserve"> </w:t>
      </w:r>
    </w:p>
    <w:p w14:paraId="4A575504" w14:textId="77777777" w:rsidR="00C337CA" w:rsidRDefault="00A57F01" w:rsidP="00B03ABC">
      <w:pPr>
        <w:pStyle w:val="Heading3"/>
        <w:spacing w:before="0" w:after="240"/>
        <w:ind w:firstLine="357"/>
      </w:pPr>
      <w:bookmarkStart w:id="13" w:name="_Toc85715497"/>
      <w:r>
        <w:t xml:space="preserve">3.1.1. </w:t>
      </w:r>
      <w:r w:rsidR="009912CE">
        <w:t>Postup</w:t>
      </w:r>
      <w:r w:rsidR="005A7752">
        <w:t>ak</w:t>
      </w:r>
      <w:r w:rsidR="009912CE">
        <w:t xml:space="preserve"> dodjele</w:t>
      </w:r>
      <w:bookmarkEnd w:id="13"/>
    </w:p>
    <w:p w14:paraId="13655665" w14:textId="3F31F7F2" w:rsidR="00C337CA" w:rsidRPr="00441B1F" w:rsidRDefault="005E5501" w:rsidP="00441B1F">
      <w:pPr>
        <w:jc w:val="both"/>
        <w:rPr>
          <w:bCs/>
        </w:rPr>
      </w:pPr>
      <w:r w:rsidRPr="00441B1F">
        <w:rPr>
          <w:bCs/>
        </w:rPr>
        <w:t xml:space="preserve">Sukladno </w:t>
      </w:r>
      <w:r w:rsidR="00647021" w:rsidRPr="00441B1F">
        <w:rPr>
          <w:bCs/>
        </w:rPr>
        <w:t xml:space="preserve">Tablici namjene </w:t>
      </w:r>
      <w:r w:rsidRPr="00441B1F">
        <w:rPr>
          <w:bCs/>
        </w:rPr>
        <w:t xml:space="preserve">za predmetne frekvencijske pojaseve </w:t>
      </w:r>
      <w:r w:rsidR="001B635D">
        <w:rPr>
          <w:bCs/>
        </w:rPr>
        <w:t>mogući</w:t>
      </w:r>
      <w:r w:rsidR="001B635D" w:rsidRPr="00441B1F">
        <w:rPr>
          <w:bCs/>
        </w:rPr>
        <w:t xml:space="preserve"> </w:t>
      </w:r>
      <w:r w:rsidRPr="00441B1F">
        <w:rPr>
          <w:bCs/>
        </w:rPr>
        <w:t>načini dodjele</w:t>
      </w:r>
      <w:r w:rsidR="001B635D" w:rsidRPr="00441B1F">
        <w:rPr>
          <w:bCs/>
        </w:rPr>
        <w:t xml:space="preserve"> </w:t>
      </w:r>
      <w:r w:rsidRPr="00441B1F">
        <w:rPr>
          <w:bCs/>
        </w:rPr>
        <w:t xml:space="preserve">su javni poziv/natječaj/dražba, koji su detaljnije propisani </w:t>
      </w:r>
      <w:r w:rsidR="00C85ADA">
        <w:rPr>
          <w:bCs/>
        </w:rPr>
        <w:t>Zakonom o elektroničkim komunikacijama</w:t>
      </w:r>
      <w:r w:rsidR="00C85ADA">
        <w:rPr>
          <w:rStyle w:val="FootnoteReference"/>
          <w:bCs/>
        </w:rPr>
        <w:footnoteReference w:id="32"/>
      </w:r>
      <w:r w:rsidR="00C85ADA">
        <w:rPr>
          <w:bCs/>
        </w:rPr>
        <w:t xml:space="preserve"> (ZEK)</w:t>
      </w:r>
      <w:r w:rsidRPr="00441B1F">
        <w:rPr>
          <w:bCs/>
        </w:rPr>
        <w:t xml:space="preserve"> i Pravilnikom o uvjetima dodjele i uporabe</w:t>
      </w:r>
      <w:r w:rsidR="00C85ADA">
        <w:rPr>
          <w:bCs/>
        </w:rPr>
        <w:t xml:space="preserve"> </w:t>
      </w:r>
      <w:r w:rsidR="00E3773D">
        <w:rPr>
          <w:bCs/>
        </w:rPr>
        <w:t xml:space="preserve">RF </w:t>
      </w:r>
      <w:r w:rsidR="00C85ADA">
        <w:rPr>
          <w:bCs/>
        </w:rPr>
        <w:t>spektra</w:t>
      </w:r>
      <w:r w:rsidR="00C85ADA">
        <w:rPr>
          <w:rStyle w:val="FootnoteReference"/>
          <w:bCs/>
        </w:rPr>
        <w:footnoteReference w:id="33"/>
      </w:r>
      <w:r w:rsidRPr="00441B1F">
        <w:rPr>
          <w:bCs/>
        </w:rPr>
        <w:t xml:space="preserve">. Odluku o načinu dodjele za konkretni </w:t>
      </w:r>
      <w:r w:rsidR="00E3773D">
        <w:rPr>
          <w:bCs/>
        </w:rPr>
        <w:t>RF</w:t>
      </w:r>
      <w:r w:rsidR="00E3773D" w:rsidRPr="00441B1F">
        <w:rPr>
          <w:bCs/>
        </w:rPr>
        <w:t xml:space="preserve"> </w:t>
      </w:r>
      <w:r w:rsidRPr="00441B1F">
        <w:rPr>
          <w:bCs/>
        </w:rPr>
        <w:t>pojas donosi HAKOM. Uvjeti sudjelovanja i dodjele bit će propisani u svakom zasebnom postupku dodjele.</w:t>
      </w:r>
    </w:p>
    <w:p w14:paraId="4A47AFB3" w14:textId="11BFABF6" w:rsidR="00132440" w:rsidRDefault="005E5501" w:rsidP="00C85ADA">
      <w:pPr>
        <w:jc w:val="both"/>
        <w:rPr>
          <w:b/>
          <w:bCs/>
        </w:rPr>
      </w:pPr>
      <w:r w:rsidRPr="00441B1F">
        <w:rPr>
          <w:b/>
          <w:bCs/>
        </w:rPr>
        <w:t xml:space="preserve">Za </w:t>
      </w:r>
      <w:r w:rsidR="002A4CE4">
        <w:rPr>
          <w:b/>
          <w:bCs/>
        </w:rPr>
        <w:t>sve pojaseve koji će biti dodijeljeni</w:t>
      </w:r>
      <w:r w:rsidRPr="00441B1F">
        <w:rPr>
          <w:b/>
          <w:bCs/>
        </w:rPr>
        <w:t xml:space="preserve"> HAKOM planira primijeniti postupak javne dražbe. O konkretnim parametrima postupka </w:t>
      </w:r>
      <w:r w:rsidR="000670FD">
        <w:rPr>
          <w:b/>
          <w:bCs/>
        </w:rPr>
        <w:t xml:space="preserve">dodjele </w:t>
      </w:r>
      <w:r w:rsidRPr="00441B1F">
        <w:rPr>
          <w:b/>
          <w:bCs/>
        </w:rPr>
        <w:t>planira se p</w:t>
      </w:r>
      <w:r w:rsidR="00C85ADA">
        <w:rPr>
          <w:b/>
          <w:bCs/>
        </w:rPr>
        <w:t>rovesti posebna javna rasprava.</w:t>
      </w:r>
    </w:p>
    <w:p w14:paraId="3B2C3EBE" w14:textId="77777777" w:rsidR="00132440" w:rsidRDefault="00132440" w:rsidP="00132440">
      <w:pPr>
        <w:pStyle w:val="Heading3"/>
        <w:spacing w:before="0" w:after="240"/>
        <w:ind w:firstLine="357"/>
      </w:pPr>
      <w:bookmarkStart w:id="14" w:name="_Toc85715498"/>
      <w:r>
        <w:t>3.1.2. Početak trajanja dozvole.</w:t>
      </w:r>
      <w:bookmarkEnd w:id="14"/>
      <w:r>
        <w:t xml:space="preserve"> </w:t>
      </w:r>
    </w:p>
    <w:p w14:paraId="2B6FDB43" w14:textId="0E03A97B" w:rsidR="00132440" w:rsidRDefault="00132440" w:rsidP="00C85ADA">
      <w:pPr>
        <w:jc w:val="both"/>
      </w:pPr>
      <w:r>
        <w:t xml:space="preserve">Za </w:t>
      </w:r>
      <w:r w:rsidR="00E3773D">
        <w:t xml:space="preserve">RF </w:t>
      </w:r>
      <w:r>
        <w:t xml:space="preserve">pojaseve 800 MHz, 900 MHz, 1800 MHz, 2100 MHz te 2600 MHz izdane dozvole vrijede do 2024. Budući da jedan dio tih dozvola vrijedi do 18. listopada 2024., a drugi dio do 22. prosinca 2024., </w:t>
      </w:r>
      <w:r w:rsidRPr="00132440">
        <w:rPr>
          <w:b/>
        </w:rPr>
        <w:t xml:space="preserve">HAKOM planira </w:t>
      </w:r>
      <w:r w:rsidR="00E60C89">
        <w:rPr>
          <w:b/>
        </w:rPr>
        <w:t>uskladiti</w:t>
      </w:r>
      <w:r w:rsidR="00E60C89" w:rsidRPr="00132440">
        <w:rPr>
          <w:b/>
        </w:rPr>
        <w:t xml:space="preserve"> </w:t>
      </w:r>
      <w:r w:rsidRPr="00132440">
        <w:rPr>
          <w:b/>
        </w:rPr>
        <w:t xml:space="preserve">rokove trajanja </w:t>
      </w:r>
      <w:r w:rsidR="0055146F">
        <w:rPr>
          <w:b/>
        </w:rPr>
        <w:t>tih</w:t>
      </w:r>
      <w:r w:rsidR="00AB2965">
        <w:rPr>
          <w:b/>
        </w:rPr>
        <w:t xml:space="preserve"> dozvola na</w:t>
      </w:r>
      <w:r w:rsidRPr="00132440">
        <w:rPr>
          <w:b/>
        </w:rPr>
        <w:t xml:space="preserve"> </w:t>
      </w:r>
      <w:r w:rsidR="00DE5577">
        <w:rPr>
          <w:b/>
        </w:rPr>
        <w:t>22</w:t>
      </w:r>
      <w:r w:rsidRPr="00132440">
        <w:rPr>
          <w:b/>
        </w:rPr>
        <w:t xml:space="preserve">. </w:t>
      </w:r>
      <w:r w:rsidR="00DE5577">
        <w:rPr>
          <w:b/>
        </w:rPr>
        <w:t>prosinca</w:t>
      </w:r>
      <w:r w:rsidR="00DE5577" w:rsidRPr="00132440">
        <w:rPr>
          <w:b/>
        </w:rPr>
        <w:t xml:space="preserve"> </w:t>
      </w:r>
      <w:r w:rsidRPr="00132440">
        <w:rPr>
          <w:b/>
        </w:rPr>
        <w:t xml:space="preserve">2024. </w:t>
      </w:r>
    </w:p>
    <w:p w14:paraId="7D3B63D1" w14:textId="5160FEF1" w:rsidR="00D642F2" w:rsidRDefault="0055146F" w:rsidP="00C85ADA">
      <w:pPr>
        <w:jc w:val="both"/>
        <w:rPr>
          <w:b/>
        </w:rPr>
      </w:pPr>
      <w:r>
        <w:rPr>
          <w:b/>
        </w:rPr>
        <w:t>N</w:t>
      </w:r>
      <w:r w:rsidR="008B65FF" w:rsidRPr="000F0C08">
        <w:rPr>
          <w:b/>
        </w:rPr>
        <w:t>akon završetka postu</w:t>
      </w:r>
      <w:r>
        <w:rPr>
          <w:b/>
        </w:rPr>
        <w:t>pka javne dražbe</w:t>
      </w:r>
      <w:r w:rsidR="00DB343A">
        <w:rPr>
          <w:b/>
        </w:rPr>
        <w:t>,</w:t>
      </w:r>
      <w:r w:rsidR="008B65FF" w:rsidRPr="000F0C08">
        <w:rPr>
          <w:b/>
        </w:rPr>
        <w:t xml:space="preserve"> </w:t>
      </w:r>
      <w:r>
        <w:rPr>
          <w:b/>
        </w:rPr>
        <w:t xml:space="preserve">za </w:t>
      </w:r>
      <w:r w:rsidR="008B65FF" w:rsidRPr="000F0C08">
        <w:rPr>
          <w:b/>
        </w:rPr>
        <w:t xml:space="preserve">RF spektar koji je </w:t>
      </w:r>
      <w:r w:rsidR="00DB343A">
        <w:rPr>
          <w:b/>
        </w:rPr>
        <w:t>trenutno</w:t>
      </w:r>
      <w:r w:rsidR="008B65FF" w:rsidRPr="000F0C08">
        <w:rPr>
          <w:b/>
        </w:rPr>
        <w:t xml:space="preserve"> dodijeljen postojećim operatorima</w:t>
      </w:r>
      <w:r w:rsidR="00DB343A">
        <w:rPr>
          <w:b/>
        </w:rPr>
        <w:t>,</w:t>
      </w:r>
      <w:r w:rsidR="008B65FF" w:rsidRPr="000F0C08">
        <w:rPr>
          <w:b/>
        </w:rPr>
        <w:t xml:space="preserve"> </w:t>
      </w:r>
      <w:r>
        <w:rPr>
          <w:b/>
        </w:rPr>
        <w:t xml:space="preserve">izdat </w:t>
      </w:r>
      <w:r w:rsidR="00D642F2">
        <w:rPr>
          <w:b/>
        </w:rPr>
        <w:t xml:space="preserve">će se </w:t>
      </w:r>
      <w:r>
        <w:rPr>
          <w:b/>
        </w:rPr>
        <w:t xml:space="preserve">dozvole </w:t>
      </w:r>
      <w:r w:rsidR="00D642F2">
        <w:rPr>
          <w:b/>
        </w:rPr>
        <w:t xml:space="preserve">s početkom valjanosti </w:t>
      </w:r>
      <w:r>
        <w:rPr>
          <w:b/>
        </w:rPr>
        <w:t xml:space="preserve">od </w:t>
      </w:r>
      <w:r w:rsidR="00DE5577">
        <w:rPr>
          <w:b/>
        </w:rPr>
        <w:t>22</w:t>
      </w:r>
      <w:r>
        <w:rPr>
          <w:b/>
        </w:rPr>
        <w:t xml:space="preserve">. </w:t>
      </w:r>
      <w:r w:rsidR="00DE5577">
        <w:rPr>
          <w:b/>
        </w:rPr>
        <w:t xml:space="preserve">prosinca </w:t>
      </w:r>
      <w:r>
        <w:rPr>
          <w:b/>
        </w:rPr>
        <w:t>2024.</w:t>
      </w:r>
    </w:p>
    <w:p w14:paraId="09202899" w14:textId="112DE95F" w:rsidR="008715A1" w:rsidRPr="008715A1" w:rsidRDefault="0055146F" w:rsidP="00E335DE">
      <w:r>
        <w:rPr>
          <w:b/>
        </w:rPr>
        <w:lastRenderedPageBreak/>
        <w:t>Za RF spektar koji je raspoloživ</w:t>
      </w:r>
      <w:r w:rsidR="00DB343A">
        <w:rPr>
          <w:b/>
        </w:rPr>
        <w:t xml:space="preserve"> i nije trenutno dodijeljen</w:t>
      </w:r>
      <w:r>
        <w:rPr>
          <w:b/>
        </w:rPr>
        <w:t>, a dodijelit će se u postupku javne dražbe</w:t>
      </w:r>
      <w:r w:rsidR="00DB343A">
        <w:rPr>
          <w:b/>
        </w:rPr>
        <w:t>,</w:t>
      </w:r>
      <w:r>
        <w:rPr>
          <w:b/>
        </w:rPr>
        <w:t xml:space="preserve"> dozvole </w:t>
      </w:r>
      <w:r w:rsidR="00D642F2">
        <w:rPr>
          <w:b/>
        </w:rPr>
        <w:t>će se i</w:t>
      </w:r>
      <w:r>
        <w:rPr>
          <w:b/>
        </w:rPr>
        <w:t xml:space="preserve">zdati </w:t>
      </w:r>
      <w:r w:rsidR="00DB343A">
        <w:rPr>
          <w:b/>
        </w:rPr>
        <w:t xml:space="preserve">neposredno </w:t>
      </w:r>
      <w:r>
        <w:rPr>
          <w:b/>
        </w:rPr>
        <w:t xml:space="preserve">nakon završetka postupka javne dražbe. </w:t>
      </w:r>
    </w:p>
    <w:p w14:paraId="2D2311CE" w14:textId="77777777" w:rsidR="00ED3F2E" w:rsidRDefault="00A57F01" w:rsidP="00B03ABC">
      <w:pPr>
        <w:pStyle w:val="Heading3"/>
        <w:spacing w:before="0" w:after="240"/>
        <w:ind w:firstLine="357"/>
      </w:pPr>
      <w:bookmarkStart w:id="15" w:name="_Toc85715499"/>
      <w:r>
        <w:t>3.1.</w:t>
      </w:r>
      <w:r w:rsidR="00132440">
        <w:t>3</w:t>
      </w:r>
      <w:r>
        <w:t xml:space="preserve">. </w:t>
      </w:r>
      <w:r w:rsidR="009912CE">
        <w:t>Vrijeme trajanja dozvole</w:t>
      </w:r>
      <w:r w:rsidR="00EC570A">
        <w:t>.</w:t>
      </w:r>
      <w:bookmarkEnd w:id="15"/>
      <w:r w:rsidR="00494095">
        <w:t xml:space="preserve"> </w:t>
      </w:r>
    </w:p>
    <w:p w14:paraId="356ECC80" w14:textId="77777777" w:rsidR="005E5501" w:rsidRPr="00856464" w:rsidRDefault="005E5501" w:rsidP="00C337CA">
      <w:pPr>
        <w:jc w:val="both"/>
        <w:rPr>
          <w:bCs/>
        </w:rPr>
      </w:pPr>
      <w:r w:rsidRPr="00856464">
        <w:rPr>
          <w:bCs/>
        </w:rPr>
        <w:t xml:space="preserve">Trenutno je rok valjanosti dozvole propisan </w:t>
      </w:r>
      <w:hyperlink r:id="rId9" w:history="1">
        <w:r w:rsidRPr="00856464">
          <w:rPr>
            <w:bCs/>
          </w:rPr>
          <w:t>Pravilnikom o uvjetima dodjele i uporabe</w:t>
        </w:r>
      </w:hyperlink>
      <w:r w:rsidRPr="00856464">
        <w:rPr>
          <w:bCs/>
        </w:rPr>
        <w:t xml:space="preserve"> te ne može biti dulji od 20 godina. EECC predviđa da za bežične širokopojasne elektroničke komunikacijske usluge rok valjanosti dozvole ne smije biti kraći od 15 godina. Također, bit će moguće produljenje na razdoblje od najviše 5 godina, o čemu će se provoditi postupak procjene postojanja uvjeta za produljenje.</w:t>
      </w:r>
    </w:p>
    <w:p w14:paraId="2A1F9F72" w14:textId="22341368" w:rsidR="00132440" w:rsidRPr="005E5501" w:rsidRDefault="001A37C3" w:rsidP="00E335DE">
      <w:pPr>
        <w:jc w:val="both"/>
      </w:pPr>
      <w:r>
        <w:rPr>
          <w:b/>
        </w:rPr>
        <w:t>Sve f</w:t>
      </w:r>
      <w:r w:rsidR="005E5501">
        <w:rPr>
          <w:b/>
        </w:rPr>
        <w:t>rekvencijske p</w:t>
      </w:r>
      <w:r w:rsidR="005E5501" w:rsidRPr="002E59D6">
        <w:rPr>
          <w:b/>
        </w:rPr>
        <w:t xml:space="preserve">ojaseve </w:t>
      </w:r>
      <w:r>
        <w:rPr>
          <w:b/>
        </w:rPr>
        <w:t>koji će se dodijeliti</w:t>
      </w:r>
      <w:r w:rsidR="005E5501" w:rsidRPr="002E59D6">
        <w:rPr>
          <w:b/>
        </w:rPr>
        <w:t xml:space="preserve"> </w:t>
      </w:r>
      <w:r w:rsidR="0055146F">
        <w:rPr>
          <w:b/>
        </w:rPr>
        <w:t xml:space="preserve">u postupku javne dražbe </w:t>
      </w:r>
      <w:r w:rsidR="005E5501" w:rsidRPr="002E59D6">
        <w:rPr>
          <w:b/>
        </w:rPr>
        <w:t>HAKOM planira</w:t>
      </w:r>
      <w:r w:rsidR="005E5501">
        <w:rPr>
          <w:b/>
        </w:rPr>
        <w:t xml:space="preserve"> </w:t>
      </w:r>
      <w:r w:rsidR="00E41D08">
        <w:rPr>
          <w:b/>
        </w:rPr>
        <w:t xml:space="preserve">izdati dozvole s trajanjem </w:t>
      </w:r>
      <w:r w:rsidR="00505EBF">
        <w:rPr>
          <w:b/>
        </w:rPr>
        <w:t xml:space="preserve">do </w:t>
      </w:r>
      <w:r w:rsidR="00DE5577">
        <w:rPr>
          <w:b/>
        </w:rPr>
        <w:t>22</w:t>
      </w:r>
      <w:r w:rsidR="00505EBF">
        <w:rPr>
          <w:b/>
        </w:rPr>
        <w:t xml:space="preserve">. </w:t>
      </w:r>
      <w:r w:rsidR="00DE5577">
        <w:rPr>
          <w:b/>
        </w:rPr>
        <w:t>prosinca</w:t>
      </w:r>
      <w:r w:rsidR="00505EBF">
        <w:rPr>
          <w:b/>
        </w:rPr>
        <w:t xml:space="preserve"> 2039. </w:t>
      </w:r>
    </w:p>
    <w:p w14:paraId="1A349BED" w14:textId="77777777" w:rsidR="009912CE" w:rsidRDefault="00A57F01" w:rsidP="00B03ABC">
      <w:pPr>
        <w:pStyle w:val="Heading3"/>
        <w:spacing w:before="0" w:after="240"/>
        <w:ind w:firstLine="357"/>
      </w:pPr>
      <w:bookmarkStart w:id="16" w:name="_Toc85715500"/>
      <w:r>
        <w:t>3.1.</w:t>
      </w:r>
      <w:r w:rsidR="00132440">
        <w:t>4</w:t>
      </w:r>
      <w:r>
        <w:t xml:space="preserve">. </w:t>
      </w:r>
      <w:r w:rsidR="009912CE">
        <w:t>Područje uporabe</w:t>
      </w:r>
      <w:bookmarkStart w:id="17" w:name="_GoBack"/>
      <w:bookmarkEnd w:id="16"/>
      <w:bookmarkEnd w:id="17"/>
    </w:p>
    <w:p w14:paraId="6F4E9FD2" w14:textId="1C011C51" w:rsidR="005E5501" w:rsidRDefault="005E5501" w:rsidP="005E5501">
      <w:pPr>
        <w:jc w:val="both"/>
      </w:pPr>
      <w:r>
        <w:t xml:space="preserve">Područje uporabe za koje se izdaje dozvola je određeno odgovarajućim planom dodjele (trenutno </w:t>
      </w:r>
      <w:r w:rsidR="007E7FE0">
        <w:t>vrijedeći</w:t>
      </w:r>
      <w:r w:rsidR="007E7FE0">
        <w:t xml:space="preserve"> </w:t>
      </w:r>
      <w:r w:rsidR="000670FD">
        <w:t>planovi</w:t>
      </w:r>
      <w:r>
        <w:t xml:space="preserve"> dostupni </w:t>
      </w:r>
      <w:r w:rsidR="00C85ADA">
        <w:t xml:space="preserve">su </w:t>
      </w:r>
      <w:r>
        <w:t xml:space="preserve">na </w:t>
      </w:r>
      <w:hyperlink r:id="rId10" w:history="1">
        <w:r w:rsidRPr="00D922CE">
          <w:rPr>
            <w:rStyle w:val="Hyperlink"/>
          </w:rPr>
          <w:t>https://www.hakom.hr/default.aspx?id=191</w:t>
        </w:r>
      </w:hyperlink>
      <w:r>
        <w:t xml:space="preserve">). </w:t>
      </w:r>
    </w:p>
    <w:p w14:paraId="25352286" w14:textId="3FF6D83D" w:rsidR="001A37C3" w:rsidRDefault="001A37C3" w:rsidP="009D352F">
      <w:pPr>
        <w:jc w:val="both"/>
      </w:pPr>
      <w:r>
        <w:rPr>
          <w:bCs/>
        </w:rPr>
        <w:t>RF spektar</w:t>
      </w:r>
      <w:r w:rsidR="00D041C4">
        <w:rPr>
          <w:bCs/>
        </w:rPr>
        <w:t xml:space="preserve"> u </w:t>
      </w:r>
      <w:r w:rsidR="00141451">
        <w:rPr>
          <w:bCs/>
        </w:rPr>
        <w:t xml:space="preserve">frekvencijskom </w:t>
      </w:r>
      <w:r w:rsidR="00D041C4">
        <w:rPr>
          <w:bCs/>
        </w:rPr>
        <w:t>pojasu</w:t>
      </w:r>
      <w:r>
        <w:rPr>
          <w:bCs/>
        </w:rPr>
        <w:t xml:space="preserve"> 3400-3480 MHz je djelomično dodijeljen na regionalnoj (županijskoj) razini do 2036., sukladno </w:t>
      </w:r>
      <w:r w:rsidRPr="004322E5">
        <w:rPr>
          <w:bCs/>
        </w:rPr>
        <w:t>Baz</w:t>
      </w:r>
      <w:r>
        <w:rPr>
          <w:bCs/>
        </w:rPr>
        <w:t>i</w:t>
      </w:r>
      <w:r w:rsidRPr="004322E5">
        <w:rPr>
          <w:bCs/>
        </w:rPr>
        <w:t xml:space="preserve"> dodijeljenog </w:t>
      </w:r>
      <w:r w:rsidR="00E3773D">
        <w:rPr>
          <w:bCs/>
        </w:rPr>
        <w:t>RF</w:t>
      </w:r>
      <w:r w:rsidR="00E3773D" w:rsidRPr="004322E5">
        <w:rPr>
          <w:bCs/>
        </w:rPr>
        <w:t xml:space="preserve"> </w:t>
      </w:r>
      <w:r w:rsidRPr="004322E5">
        <w:rPr>
          <w:bCs/>
        </w:rPr>
        <w:t>spektra</w:t>
      </w:r>
      <w:r>
        <w:rPr>
          <w:bCs/>
        </w:rPr>
        <w:t xml:space="preserve"> </w:t>
      </w:r>
      <w:r w:rsidRPr="004322E5">
        <w:rPr>
          <w:bCs/>
        </w:rPr>
        <w:t>za pokretne i nepokretne komunikacijske mreže s pokrivanjem na regionalnoj razini</w:t>
      </w:r>
      <w:r>
        <w:rPr>
          <w:rStyle w:val="FootnoteReference"/>
          <w:bCs/>
        </w:rPr>
        <w:footnoteReference w:id="34"/>
      </w:r>
      <w:r>
        <w:rPr>
          <w:bCs/>
        </w:rPr>
        <w:t>.</w:t>
      </w:r>
    </w:p>
    <w:p w14:paraId="0D5F6645" w14:textId="75C0C224" w:rsidR="00BF1AF6" w:rsidRDefault="001A37C3" w:rsidP="009D352F">
      <w:pPr>
        <w:jc w:val="both"/>
        <w:rPr>
          <w:b/>
        </w:rPr>
      </w:pPr>
      <w:r w:rsidRPr="001A37C3">
        <w:rPr>
          <w:b/>
        </w:rPr>
        <w:t xml:space="preserve">Za </w:t>
      </w:r>
      <w:r w:rsidRPr="00ED216C">
        <w:rPr>
          <w:b/>
        </w:rPr>
        <w:t xml:space="preserve">frekvencijske pojaseve </w:t>
      </w:r>
      <w:r w:rsidR="007E73F3" w:rsidRPr="00ED216C">
        <w:rPr>
          <w:b/>
        </w:rPr>
        <w:t>800 MHz, 900 MHz, 1500 MH</w:t>
      </w:r>
      <w:r w:rsidR="00ED216C" w:rsidRPr="00ED216C">
        <w:rPr>
          <w:b/>
        </w:rPr>
        <w:t xml:space="preserve">z, 1800 MHz, 2100 MHz i </w:t>
      </w:r>
      <w:r w:rsidR="00BF1AF6">
        <w:rPr>
          <w:b/>
        </w:rPr>
        <w:t xml:space="preserve">upareni dio </w:t>
      </w:r>
      <w:r w:rsidR="00ED216C" w:rsidRPr="00ED216C">
        <w:rPr>
          <w:b/>
        </w:rPr>
        <w:t xml:space="preserve">2600 MHz </w:t>
      </w:r>
      <w:r w:rsidRPr="00ED216C">
        <w:rPr>
          <w:b/>
        </w:rPr>
        <w:t xml:space="preserve">, </w:t>
      </w:r>
      <w:r w:rsidR="00163293" w:rsidRPr="00ED216C">
        <w:rPr>
          <w:b/>
        </w:rPr>
        <w:t>HAKOM</w:t>
      </w:r>
      <w:r w:rsidR="00163293">
        <w:rPr>
          <w:b/>
        </w:rPr>
        <w:t xml:space="preserve"> </w:t>
      </w:r>
      <w:r w:rsidRPr="001A37C3">
        <w:rPr>
          <w:b/>
        </w:rPr>
        <w:t>planira</w:t>
      </w:r>
      <w:r w:rsidRPr="009C4966">
        <w:rPr>
          <w:b/>
        </w:rPr>
        <w:t xml:space="preserve"> dodjelu na državnoj razini.</w:t>
      </w:r>
      <w:r w:rsidR="00BF1AF6">
        <w:rPr>
          <w:b/>
        </w:rPr>
        <w:t xml:space="preserve">  Primjena i područje dodjele za frekvencijski pojas 2570-2620 MHz (MFCN/privatne mreže) će ovisiti i o iskazanom interesu u okviru ove javne rasprave.</w:t>
      </w:r>
    </w:p>
    <w:p w14:paraId="23773EF4" w14:textId="5293D838" w:rsidR="00163293" w:rsidRPr="001A37C3" w:rsidRDefault="00163293" w:rsidP="009D352F">
      <w:pPr>
        <w:jc w:val="both"/>
        <w:rPr>
          <w:b/>
        </w:rPr>
      </w:pPr>
      <w:r>
        <w:rPr>
          <w:b/>
        </w:rPr>
        <w:t xml:space="preserve">Ovisno o iskazanom interesu, </w:t>
      </w:r>
      <w:r w:rsidR="00E2191E">
        <w:rPr>
          <w:b/>
        </w:rPr>
        <w:t xml:space="preserve">HAKOM planira </w:t>
      </w:r>
      <w:r>
        <w:rPr>
          <w:b/>
        </w:rPr>
        <w:t>RF pojas 25,05</w:t>
      </w:r>
      <w:r w:rsidR="00E2191E">
        <w:rPr>
          <w:b/>
        </w:rPr>
        <w:t>-26,5 GHz dod</w:t>
      </w:r>
      <w:r w:rsidR="00D041C4">
        <w:rPr>
          <w:b/>
        </w:rPr>
        <w:t>i</w:t>
      </w:r>
      <w:r w:rsidR="00E2191E">
        <w:rPr>
          <w:b/>
        </w:rPr>
        <w:t>jel</w:t>
      </w:r>
      <w:r w:rsidR="007E73F3">
        <w:rPr>
          <w:b/>
        </w:rPr>
        <w:t>iti</w:t>
      </w:r>
      <w:r>
        <w:rPr>
          <w:b/>
        </w:rPr>
        <w:t xml:space="preserve"> na državnoj razini.</w:t>
      </w:r>
    </w:p>
    <w:p w14:paraId="73267F06" w14:textId="31C2234A" w:rsidR="00A60724" w:rsidRDefault="00F00DD1" w:rsidP="00C337CA">
      <w:pPr>
        <w:jc w:val="both"/>
        <w:rPr>
          <w:b/>
        </w:rPr>
      </w:pPr>
      <w:r>
        <w:rPr>
          <w:b/>
        </w:rPr>
        <w:t xml:space="preserve">Dijelove RF spektra na 3400-3480 MHz koji još nisu dodijeljeni </w:t>
      </w:r>
      <w:r w:rsidR="005E5501" w:rsidRPr="002E59D6">
        <w:rPr>
          <w:b/>
        </w:rPr>
        <w:t xml:space="preserve">HAKOM </w:t>
      </w:r>
      <w:r w:rsidR="001A37C3">
        <w:rPr>
          <w:b/>
        </w:rPr>
        <w:t xml:space="preserve">planira </w:t>
      </w:r>
      <w:r>
        <w:rPr>
          <w:b/>
        </w:rPr>
        <w:t>dodijeliti na regionalnoj (županijskoj) razini</w:t>
      </w:r>
      <w:r w:rsidR="005E5501" w:rsidRPr="002E59D6">
        <w:rPr>
          <w:b/>
        </w:rPr>
        <w:t>.</w:t>
      </w:r>
    </w:p>
    <w:p w14:paraId="26E3F2C1" w14:textId="77777777" w:rsidR="00115A2E" w:rsidRDefault="00A57F01" w:rsidP="00B03ABC">
      <w:pPr>
        <w:pStyle w:val="Heading3"/>
        <w:spacing w:before="0" w:after="240"/>
        <w:ind w:firstLine="357"/>
      </w:pPr>
      <w:bookmarkStart w:id="18" w:name="_Toc85715501"/>
      <w:r>
        <w:t>3.1.</w:t>
      </w:r>
      <w:r w:rsidR="00132440">
        <w:t>5</w:t>
      </w:r>
      <w:r>
        <w:t xml:space="preserve">. </w:t>
      </w:r>
      <w:r w:rsidR="00115A2E">
        <w:t>Koordinacija u pograničnim područjima i na re</w:t>
      </w:r>
      <w:r>
        <w:t>g</w:t>
      </w:r>
      <w:r w:rsidR="00115A2E">
        <w:t>ionalnoj razini</w:t>
      </w:r>
      <w:bookmarkEnd w:id="18"/>
    </w:p>
    <w:p w14:paraId="11E4AD68" w14:textId="42857B01" w:rsidR="005E5501" w:rsidRDefault="005E5501" w:rsidP="00C337CA">
      <w:pPr>
        <w:jc w:val="both"/>
      </w:pPr>
      <w:r w:rsidRPr="00AF152E">
        <w:t>Tehničko planiranje mreže, što uključuje lokaciju bazne postaje i njene tehničk</w:t>
      </w:r>
      <w:r>
        <w:t xml:space="preserve">e parametre, rade </w:t>
      </w:r>
      <w:r w:rsidRPr="00AF152E">
        <w:t xml:space="preserve">operatori u svrhu postizanja optimalnog pokrivanja i kapaciteta mreže, pri čemu se moraju pridržavati </w:t>
      </w:r>
      <w:r w:rsidR="007E7FE0">
        <w:t>vrijedećih</w:t>
      </w:r>
      <w:r w:rsidR="007E7FE0" w:rsidRPr="00AF152E">
        <w:t xml:space="preserve"> </w:t>
      </w:r>
      <w:r w:rsidRPr="00AF152E">
        <w:t>propisa</w:t>
      </w:r>
      <w:r w:rsidR="00E3773D">
        <w:t xml:space="preserve">, </w:t>
      </w:r>
      <w:r w:rsidR="00E3773D" w:rsidRPr="00001290">
        <w:t>u prvom redu planova dodjele za odgovarajuć</w:t>
      </w:r>
      <w:r w:rsidR="00001290" w:rsidRPr="00E335DE">
        <w:t>e</w:t>
      </w:r>
      <w:r w:rsidR="00E3773D" w:rsidRPr="00001290">
        <w:t xml:space="preserve"> frekvencijsk</w:t>
      </w:r>
      <w:r w:rsidR="00001290" w:rsidRPr="00E335DE">
        <w:t>e</w:t>
      </w:r>
      <w:r w:rsidR="00E3773D" w:rsidRPr="00001290">
        <w:t xml:space="preserve"> </w:t>
      </w:r>
      <w:r w:rsidR="00001290" w:rsidRPr="00001290">
        <w:t>pojaseve</w:t>
      </w:r>
      <w:r w:rsidRPr="00AF152E">
        <w:t>.</w:t>
      </w:r>
      <w:r>
        <w:t xml:space="preserve"> Kako bi se spektar upotrebljavao na naj</w:t>
      </w:r>
      <w:r w:rsidR="009A6932">
        <w:t>učinkovit</w:t>
      </w:r>
      <w:r>
        <w:t xml:space="preserve">iji način te kako bi se minimizirala pojava smetnji, operatori su dužni svoje mreže planirati u skladu s međunarodno propisanim normama. Smetnje se mogu javljati u odnosu na druge operatore koji upotrebljavaju isti ili susjedni spektar na </w:t>
      </w:r>
      <w:r w:rsidR="009A6932">
        <w:t>zemljopisno</w:t>
      </w:r>
      <w:r>
        <w:t xml:space="preserve"> bliskim područjima.</w:t>
      </w:r>
    </w:p>
    <w:p w14:paraId="0CDD39B7" w14:textId="77777777" w:rsidR="005E5501" w:rsidRDefault="005E5501" w:rsidP="00C337CA">
      <w:pPr>
        <w:jc w:val="both"/>
      </w:pPr>
      <w:r>
        <w:t>U pograničnim područjima se također moraju poštivati međunarodni sporazumi koji su obvezujući za RH</w:t>
      </w:r>
      <w:r w:rsidR="00A567C0">
        <w:rPr>
          <w:rStyle w:val="FootnoteReference"/>
        </w:rPr>
        <w:footnoteReference w:id="35"/>
      </w:r>
      <w:r>
        <w:t>.</w:t>
      </w:r>
    </w:p>
    <w:p w14:paraId="1DFBC72C" w14:textId="73FB182E" w:rsidR="00F346F2" w:rsidRPr="00E335DE" w:rsidRDefault="006403E6" w:rsidP="00AA61F8">
      <w:pPr>
        <w:jc w:val="both"/>
      </w:pPr>
      <w:r w:rsidRPr="00E335DE">
        <w:t>K</w:t>
      </w:r>
      <w:r w:rsidR="00E3773D" w:rsidRPr="00E335DE">
        <w:t>ako bi se poboljšala učinkovitost uporabe frekvencija u pograničnom području,</w:t>
      </w:r>
      <w:r w:rsidR="00E3773D" w:rsidRPr="00E335DE" w:rsidDel="00E3773D">
        <w:t xml:space="preserve"> </w:t>
      </w:r>
      <w:r w:rsidR="00F346F2" w:rsidRPr="00E335DE">
        <w:t>operatori</w:t>
      </w:r>
      <w:r w:rsidR="00E3773D" w:rsidRPr="00E335DE">
        <w:t xml:space="preserve"> uz suglasnost HAKOM-a</w:t>
      </w:r>
      <w:r w:rsidR="00F346F2" w:rsidRPr="00E335DE">
        <w:t xml:space="preserve"> mogu potpisati međusobne sporazume</w:t>
      </w:r>
      <w:r w:rsidR="00E3773D" w:rsidRPr="00E335DE">
        <w:t xml:space="preserve"> koji svojim parametrima odstupaju od međunarodnih sporazuma</w:t>
      </w:r>
      <w:r w:rsidR="00F346F2" w:rsidRPr="00E335DE">
        <w:t xml:space="preserve">. </w:t>
      </w:r>
    </w:p>
    <w:p w14:paraId="5F14A478" w14:textId="77777777" w:rsidR="00DB5256" w:rsidRPr="00E335DE" w:rsidRDefault="00DB5256" w:rsidP="00DB5256">
      <w:pPr>
        <w:jc w:val="both"/>
      </w:pPr>
      <w:r w:rsidRPr="00E335DE">
        <w:lastRenderedPageBreak/>
        <w:t>Uvjeti uporabe u graničnim područjima između regija za frekvencijski pojas propisani su Planom dodjele za frekvencijski pojas 3400 - 3800 MHz.</w:t>
      </w:r>
    </w:p>
    <w:p w14:paraId="35F6865B" w14:textId="77777777" w:rsidR="005E5501" w:rsidRPr="005E5501" w:rsidRDefault="00F346F2" w:rsidP="00543795">
      <w:pPr>
        <w:jc w:val="both"/>
      </w:pPr>
      <w:r>
        <w:t>HAKOM će</w:t>
      </w:r>
      <w:r w:rsidR="00917C5B">
        <w:t xml:space="preserve"> u okviru redovite međunarodne suradnje</w:t>
      </w:r>
      <w:r>
        <w:t xml:space="preserve"> nast</w:t>
      </w:r>
      <w:r w:rsidR="00835626">
        <w:t>aviti pregovore</w:t>
      </w:r>
      <w:r>
        <w:t xml:space="preserve"> </w:t>
      </w:r>
      <w:r w:rsidR="00835626">
        <w:t>s</w:t>
      </w:r>
      <w:r w:rsidR="00097598">
        <w:t>a</w:t>
      </w:r>
      <w:r w:rsidR="00835626">
        <w:t xml:space="preserve"> </w:t>
      </w:r>
      <w:r>
        <w:t xml:space="preserve">zemljama s kojima </w:t>
      </w:r>
      <w:r w:rsidR="00917C5B">
        <w:t xml:space="preserve">još </w:t>
      </w:r>
      <w:r>
        <w:t>nije regulirana uporaba frekvencija u pograničnim područj</w:t>
      </w:r>
      <w:r w:rsidR="00F33E1B">
        <w:t>im</w:t>
      </w:r>
      <w:r>
        <w:t>a</w:t>
      </w:r>
      <w:r w:rsidR="00097598">
        <w:t>,</w:t>
      </w:r>
      <w:r>
        <w:t xml:space="preserve"> kao i izmijeniti uvjete već potpisanih sporazuma</w:t>
      </w:r>
      <w:r w:rsidR="00097598">
        <w:t>,</w:t>
      </w:r>
      <w:r>
        <w:t xml:space="preserve"> kako bi se uporaba frekvencija uskladila s ažuriranom CEPT regulativom, a sve u vidu </w:t>
      </w:r>
      <w:r w:rsidR="009A6932">
        <w:t>učinkovitije</w:t>
      </w:r>
      <w:r>
        <w:t xml:space="preserve"> uporabe u pograničnom području.</w:t>
      </w:r>
    </w:p>
    <w:p w14:paraId="4D8D2713" w14:textId="77777777" w:rsidR="009912CE" w:rsidRDefault="00DD215C" w:rsidP="00B03ABC">
      <w:pPr>
        <w:pStyle w:val="Heading3"/>
        <w:spacing w:before="0" w:after="240"/>
        <w:ind w:firstLine="357"/>
      </w:pPr>
      <w:bookmarkStart w:id="19" w:name="_Toc85715502"/>
      <w:r>
        <w:t xml:space="preserve">3.1.6. </w:t>
      </w:r>
      <w:r w:rsidR="002063FB">
        <w:t>Uvjeti pokrivanja</w:t>
      </w:r>
      <w:bookmarkEnd w:id="19"/>
      <w:r w:rsidR="002063FB">
        <w:t xml:space="preserve"> </w:t>
      </w:r>
    </w:p>
    <w:p w14:paraId="3B20F1D3" w14:textId="596DF608" w:rsidR="00E10687" w:rsidRDefault="005E5501" w:rsidP="00B03ABC">
      <w:pPr>
        <w:jc w:val="both"/>
      </w:pPr>
      <w:r w:rsidRPr="00E3773D">
        <w:t>Kako bi se ostvarili određeni strateški ciljevi RH</w:t>
      </w:r>
      <w:r>
        <w:t xml:space="preserve">, što posebice obuhvaća </w:t>
      </w:r>
      <w:r w:rsidR="00F33E1B">
        <w:t xml:space="preserve">pokrivenost </w:t>
      </w:r>
      <w:r>
        <w:t xml:space="preserve">određenog postotka </w:t>
      </w:r>
      <w:r w:rsidR="00780CA5">
        <w:t xml:space="preserve">zemljopisnog </w:t>
      </w:r>
      <w:r>
        <w:t xml:space="preserve">područja ili stanovništva te određenih područja za koje ne postoji komercijalni interes, potrebno je </w:t>
      </w:r>
      <w:r w:rsidR="00780CA5">
        <w:t xml:space="preserve">propisati </w:t>
      </w:r>
      <w:r>
        <w:t xml:space="preserve">obveze </w:t>
      </w:r>
      <w:r w:rsidR="00F33E1B">
        <w:t xml:space="preserve">pokrivenosti </w:t>
      </w:r>
      <w:r>
        <w:t xml:space="preserve">tih područja </w:t>
      </w:r>
      <w:r w:rsidR="00780CA5">
        <w:t xml:space="preserve">uslugom </w:t>
      </w:r>
      <w:r>
        <w:t xml:space="preserve">određene kvalitete (QoS). Obveze moraju biti poznate prilikom prijave za dodjelu </w:t>
      </w:r>
      <w:r w:rsidR="00CA4592">
        <w:t xml:space="preserve">RF spektra </w:t>
      </w:r>
      <w:r>
        <w:t xml:space="preserve">putem </w:t>
      </w:r>
      <w:r w:rsidR="00DD2FFC">
        <w:t>javne dražbe</w:t>
      </w:r>
      <w:r>
        <w:t xml:space="preserve"> te se nakon dodjele </w:t>
      </w:r>
      <w:r w:rsidR="00A923EA">
        <w:t>propisuju</w:t>
      </w:r>
      <w:r>
        <w:t xml:space="preserve"> pojedin</w:t>
      </w:r>
      <w:r w:rsidR="00A923EA">
        <w:t>om</w:t>
      </w:r>
      <w:r>
        <w:t xml:space="preserve"> dozvol</w:t>
      </w:r>
      <w:r w:rsidR="00A923EA">
        <w:t>om</w:t>
      </w:r>
      <w:r>
        <w:t xml:space="preserve"> za uporabu </w:t>
      </w:r>
      <w:r w:rsidR="00E3773D">
        <w:t xml:space="preserve">RF </w:t>
      </w:r>
      <w:r>
        <w:t>spektra.</w:t>
      </w:r>
      <w:r w:rsidR="00E10687">
        <w:t xml:space="preserve"> Drugi razlog propisivanja određenih uvjeta </w:t>
      </w:r>
      <w:r w:rsidR="00F33E1B">
        <w:t xml:space="preserve">pokrivenosti </w:t>
      </w:r>
      <w:r w:rsidR="00E10687">
        <w:t xml:space="preserve">je osiguravanje </w:t>
      </w:r>
      <w:r w:rsidR="00780CA5">
        <w:t xml:space="preserve">učinkovite uporabe </w:t>
      </w:r>
      <w:r w:rsidR="00E3773D">
        <w:t xml:space="preserve">RF </w:t>
      </w:r>
      <w:r w:rsidR="00E10687">
        <w:t>spektra</w:t>
      </w:r>
      <w:r w:rsidR="00780CA5">
        <w:t>,</w:t>
      </w:r>
      <w:r w:rsidR="00E10687">
        <w:t xml:space="preserve"> </w:t>
      </w:r>
      <w:r w:rsidR="00780CA5">
        <w:t>odnosno</w:t>
      </w:r>
      <w:r w:rsidR="00E10687">
        <w:t xml:space="preserve"> sprečavanje moguće zlouporabe spektra u smislu </w:t>
      </w:r>
      <w:r w:rsidR="000C53D1">
        <w:t>pretjeranog zauzimanja</w:t>
      </w:r>
      <w:r w:rsidR="00E10687">
        <w:t xml:space="preserve"> spektra od strane jednog operatora bez namjere korištenja istog.</w:t>
      </w:r>
    </w:p>
    <w:p w14:paraId="79E9F108" w14:textId="77777777" w:rsidR="005E5501" w:rsidRDefault="00E10687" w:rsidP="00543795">
      <w:pPr>
        <w:jc w:val="both"/>
      </w:pPr>
      <w:r>
        <w:t>Pri</w:t>
      </w:r>
      <w:r w:rsidR="00E24708">
        <w:t>likom propisivanja</w:t>
      </w:r>
      <w:r>
        <w:t xml:space="preserve"> navedenih uvjeta HAKOM će voditi računa </w:t>
      </w:r>
      <w:r w:rsidR="004C02E2">
        <w:t>o</w:t>
      </w:r>
      <w:r>
        <w:t xml:space="preserve"> propisivanj</w:t>
      </w:r>
      <w:r w:rsidR="004C02E2">
        <w:t>u</w:t>
      </w:r>
      <w:r>
        <w:t xml:space="preserve"> obveza </w:t>
      </w:r>
      <w:r w:rsidR="00F33E1B">
        <w:t xml:space="preserve">pokrivenosti </w:t>
      </w:r>
      <w:r>
        <w:t xml:space="preserve">u područjima </w:t>
      </w:r>
      <w:r w:rsidRPr="00A22DD8">
        <w:t xml:space="preserve">bez </w:t>
      </w:r>
      <w:r w:rsidR="000C53D1">
        <w:t>komercijalnog interesa</w:t>
      </w:r>
      <w:r w:rsidR="004C02E2">
        <w:t xml:space="preserve"> slijedom čega</w:t>
      </w:r>
      <w:r w:rsidR="00E24708">
        <w:t xml:space="preserve"> za pojedin</w:t>
      </w:r>
      <w:r w:rsidR="00A02958">
        <w:t>e</w:t>
      </w:r>
      <w:r w:rsidR="00E24708">
        <w:t xml:space="preserve"> d</w:t>
      </w:r>
      <w:r w:rsidR="00F33E1B">
        <w:t>i</w:t>
      </w:r>
      <w:r w:rsidR="00A02958">
        <w:t>jel</w:t>
      </w:r>
      <w:r w:rsidR="00E24708">
        <w:t>o</w:t>
      </w:r>
      <w:r w:rsidR="00A02958">
        <w:t>ve</w:t>
      </w:r>
      <w:r w:rsidR="00E24708">
        <w:t xml:space="preserve"> spektra mogu biti propisani različiti uvjeti dodjele i uporabe.</w:t>
      </w:r>
    </w:p>
    <w:p w14:paraId="1ED0C7C1" w14:textId="77777777" w:rsidR="00C776BB" w:rsidRDefault="00C776BB" w:rsidP="00543795">
      <w:pPr>
        <w:jc w:val="both"/>
      </w:pPr>
      <w:r w:rsidRPr="00C776BB">
        <w:rPr>
          <w:lang w:eastAsia="pl-PL"/>
        </w:rPr>
        <w:t xml:space="preserve">Nadalje, operatori </w:t>
      </w:r>
      <w:r w:rsidR="00F705A6">
        <w:rPr>
          <w:lang w:eastAsia="pl-PL"/>
        </w:rPr>
        <w:t xml:space="preserve">kojima će se dodijeliti </w:t>
      </w:r>
      <w:r w:rsidR="00F33E1B">
        <w:rPr>
          <w:lang w:eastAsia="pl-PL"/>
        </w:rPr>
        <w:t xml:space="preserve">frekvencije u frekvencijskom </w:t>
      </w:r>
      <w:r w:rsidR="00F705A6">
        <w:rPr>
          <w:lang w:eastAsia="pl-PL"/>
        </w:rPr>
        <w:t>pojas</w:t>
      </w:r>
      <w:r w:rsidR="00F33E1B">
        <w:rPr>
          <w:lang w:eastAsia="pl-PL"/>
        </w:rPr>
        <w:t>u</w:t>
      </w:r>
      <w:r w:rsidR="00F705A6">
        <w:rPr>
          <w:lang w:eastAsia="pl-PL"/>
        </w:rPr>
        <w:t xml:space="preserve"> 800 MHz </w:t>
      </w:r>
      <w:r w:rsidRPr="00C776BB">
        <w:rPr>
          <w:lang w:eastAsia="pl-PL"/>
        </w:rPr>
        <w:t xml:space="preserve">će biti uključeni u proces uklanjanja </w:t>
      </w:r>
      <w:r w:rsidR="00C14E06" w:rsidRPr="00C776BB">
        <w:rPr>
          <w:lang w:eastAsia="pl-PL"/>
        </w:rPr>
        <w:t>smetnj</w:t>
      </w:r>
      <w:r w:rsidR="00C14E06">
        <w:rPr>
          <w:lang w:eastAsia="pl-PL"/>
        </w:rPr>
        <w:t>i</w:t>
      </w:r>
      <w:r w:rsidR="00C14E06" w:rsidRPr="00C776BB">
        <w:rPr>
          <w:lang w:eastAsia="pl-PL"/>
        </w:rPr>
        <w:t xml:space="preserve"> </w:t>
      </w:r>
      <w:r w:rsidRPr="00C776BB">
        <w:rPr>
          <w:lang w:eastAsia="pl-PL"/>
        </w:rPr>
        <w:t xml:space="preserve">koje mogu nastati od strane mreža pokretnih komunikacija prema krajnjim korisnicima mreža digitalne zemaljske televizije. </w:t>
      </w:r>
    </w:p>
    <w:p w14:paraId="4A8BF6BA" w14:textId="77777777" w:rsidR="00E10687" w:rsidRPr="00D170C0" w:rsidRDefault="00E10687" w:rsidP="00E10687">
      <w:pPr>
        <w:jc w:val="both"/>
      </w:pPr>
      <w:r w:rsidRPr="00D170C0">
        <w:t xml:space="preserve">Određivanjem odgovarajućih razina signala potrebno je osigurati odgovarajuće brzine prijenosa s visokom vjerojatnosti pristupa. Zadovoljavanje propisanih uvjeta </w:t>
      </w:r>
      <w:r w:rsidR="00E81F8B" w:rsidRPr="00D170C0">
        <w:t>za kvalitetom usluge može</w:t>
      </w:r>
      <w:r w:rsidRPr="00D170C0">
        <w:t xml:space="preserve"> se osigurati i uporabom drugih frekvencijskih pojaseva uz propisivanje uvjeta uporabe koji odgovaraju pojedinom frekvencijskom pojasu</w:t>
      </w:r>
      <w:r w:rsidR="00E81F8B" w:rsidRPr="00D170C0">
        <w:t xml:space="preserve">. </w:t>
      </w:r>
    </w:p>
    <w:p w14:paraId="6F483AE9" w14:textId="77777777" w:rsidR="002758AB" w:rsidRDefault="00DD215C" w:rsidP="00B03ABC">
      <w:pPr>
        <w:pStyle w:val="Heading2"/>
        <w:spacing w:before="0" w:after="240"/>
        <w:ind w:firstLine="357"/>
      </w:pPr>
      <w:bookmarkStart w:id="20" w:name="_Toc85715503"/>
      <w:r>
        <w:t xml:space="preserve">3.2. </w:t>
      </w:r>
      <w:r w:rsidR="00786BFD">
        <w:t>Vremenski raspored dodjela</w:t>
      </w:r>
      <w:bookmarkEnd w:id="20"/>
    </w:p>
    <w:p w14:paraId="4108F07C" w14:textId="77777777" w:rsidR="005E5501" w:rsidRPr="00E335DE" w:rsidRDefault="0017685D" w:rsidP="00C337CA">
      <w:pPr>
        <w:jc w:val="both"/>
      </w:pPr>
      <w:r w:rsidRPr="00E335DE">
        <w:t xml:space="preserve">HAKOM planira dodijeliti frekvencijske pojaseve 800 MHz, 900 MHz, 1800 MHz, 2100 MHz, 2600 MHz i 3,6 GHz unutar </w:t>
      </w:r>
      <w:r w:rsidR="00B65965" w:rsidRPr="00E335DE">
        <w:t>jednog</w:t>
      </w:r>
      <w:r w:rsidRPr="00E335DE">
        <w:t xml:space="preserve"> postupka. Frekvencijski pojasevi 1500 MHz i 26 GHz se planiraju dodijeliti sukladno iskazanom interesu tržišta.</w:t>
      </w:r>
    </w:p>
    <w:p w14:paraId="5819C809" w14:textId="0F102505" w:rsidR="00AD444C" w:rsidRDefault="00AB2965" w:rsidP="00C337CA">
      <w:pPr>
        <w:jc w:val="both"/>
        <w:rPr>
          <w:b/>
        </w:rPr>
      </w:pPr>
      <w:r w:rsidRPr="001120C4">
        <w:rPr>
          <w:b/>
        </w:rPr>
        <w:t xml:space="preserve">Postupak dodjele se planira </w:t>
      </w:r>
      <w:r w:rsidR="006403E6" w:rsidRPr="001120C4">
        <w:rPr>
          <w:b/>
        </w:rPr>
        <w:t>pokrenuti</w:t>
      </w:r>
      <w:r w:rsidR="001B7A92" w:rsidRPr="001120C4">
        <w:rPr>
          <w:b/>
        </w:rPr>
        <w:t xml:space="preserve"> </w:t>
      </w:r>
      <w:r w:rsidR="00E41D08">
        <w:rPr>
          <w:b/>
        </w:rPr>
        <w:t>početkom</w:t>
      </w:r>
      <w:r w:rsidR="001B7A92" w:rsidRPr="001120C4">
        <w:rPr>
          <w:b/>
        </w:rPr>
        <w:t xml:space="preserve"> </w:t>
      </w:r>
      <w:r w:rsidR="006403E6" w:rsidRPr="001120C4">
        <w:rPr>
          <w:b/>
        </w:rPr>
        <w:t>prosinc</w:t>
      </w:r>
      <w:r w:rsidR="00E41D08">
        <w:rPr>
          <w:b/>
        </w:rPr>
        <w:t>a</w:t>
      </w:r>
      <w:r w:rsidR="001B7A92" w:rsidRPr="001120C4">
        <w:rPr>
          <w:b/>
        </w:rPr>
        <w:t xml:space="preserve"> 2022. i završiti do kraja ožujka 2023.</w:t>
      </w:r>
    </w:p>
    <w:p w14:paraId="701BD629" w14:textId="77777777" w:rsidR="006134ED" w:rsidRPr="00E335DE" w:rsidRDefault="00B05A1C">
      <w:pPr>
        <w:pStyle w:val="Heading2"/>
        <w:spacing w:before="0" w:after="240"/>
        <w:ind w:firstLine="357"/>
      </w:pPr>
      <w:bookmarkStart w:id="21" w:name="_Toc85715504"/>
      <w:r>
        <w:t xml:space="preserve">3.3. </w:t>
      </w:r>
      <w:r w:rsidR="00DB5256">
        <w:t>Plaćanje</w:t>
      </w:r>
      <w:bookmarkEnd w:id="21"/>
    </w:p>
    <w:p w14:paraId="76F3DB60" w14:textId="212E2B39" w:rsidR="00DB5256" w:rsidRDefault="00D642F2" w:rsidP="00E335DE">
      <w:pPr>
        <w:jc w:val="both"/>
        <w:rPr>
          <w:b/>
        </w:rPr>
      </w:pPr>
      <w:r w:rsidRPr="00D642F2">
        <w:rPr>
          <w:b/>
        </w:rPr>
        <w:t xml:space="preserve">Naknada </w:t>
      </w:r>
      <w:r>
        <w:rPr>
          <w:b/>
        </w:rPr>
        <w:t>za uporabu radiofrekvencijskog spektra</w:t>
      </w:r>
      <w:r w:rsidRPr="00151D75">
        <w:rPr>
          <w:b/>
        </w:rPr>
        <w:t xml:space="preserve"> </w:t>
      </w:r>
      <w:r>
        <w:rPr>
          <w:b/>
        </w:rPr>
        <w:t xml:space="preserve">koja se </w:t>
      </w:r>
      <w:r w:rsidRPr="00D642F2">
        <w:rPr>
          <w:b/>
        </w:rPr>
        <w:t xml:space="preserve">plaća u korist državnog </w:t>
      </w:r>
      <w:r>
        <w:rPr>
          <w:b/>
        </w:rPr>
        <w:t>proračuna Republike Hrvatske</w:t>
      </w:r>
      <w:r w:rsidRPr="00D642F2">
        <w:rPr>
          <w:b/>
        </w:rPr>
        <w:t xml:space="preserve"> </w:t>
      </w:r>
      <w:r w:rsidR="001E63E4" w:rsidRPr="00B547F9">
        <w:rPr>
          <w:b/>
        </w:rPr>
        <w:t xml:space="preserve"> </w:t>
      </w:r>
      <w:r w:rsidR="001E63E4">
        <w:rPr>
          <w:b/>
        </w:rPr>
        <w:t>naplatit</w:t>
      </w:r>
      <w:r w:rsidR="001120C4" w:rsidRPr="00E335DE">
        <w:rPr>
          <w:b/>
        </w:rPr>
        <w:t xml:space="preserve"> </w:t>
      </w:r>
      <w:r>
        <w:rPr>
          <w:b/>
        </w:rPr>
        <w:t xml:space="preserve">će se </w:t>
      </w:r>
      <w:r w:rsidR="00A60724" w:rsidRPr="00E335DE">
        <w:rPr>
          <w:b/>
        </w:rPr>
        <w:t xml:space="preserve">prije početka </w:t>
      </w:r>
      <w:r w:rsidR="00DB343A">
        <w:rPr>
          <w:b/>
        </w:rPr>
        <w:t>valjanosti</w:t>
      </w:r>
      <w:r w:rsidR="00A60724" w:rsidRPr="00E335DE">
        <w:rPr>
          <w:b/>
        </w:rPr>
        <w:t xml:space="preserve"> </w:t>
      </w:r>
      <w:r w:rsidR="008B65FF">
        <w:rPr>
          <w:b/>
        </w:rPr>
        <w:t xml:space="preserve">novih </w:t>
      </w:r>
      <w:r w:rsidR="008B65FF" w:rsidRPr="00B547F9">
        <w:rPr>
          <w:b/>
        </w:rPr>
        <w:t>dozvola</w:t>
      </w:r>
      <w:r w:rsidR="001120C4" w:rsidRPr="00E335DE">
        <w:rPr>
          <w:b/>
        </w:rPr>
        <w:t xml:space="preserve"> (</w:t>
      </w:r>
      <w:r w:rsidR="001E63E4">
        <w:rPr>
          <w:b/>
        </w:rPr>
        <w:t xml:space="preserve">naplata se </w:t>
      </w:r>
      <w:r w:rsidR="001120C4" w:rsidRPr="00E335DE">
        <w:rPr>
          <w:b/>
        </w:rPr>
        <w:t>očekuje tijekom prve polovice 2023.</w:t>
      </w:r>
      <w:r w:rsidR="001E63E4">
        <w:rPr>
          <w:b/>
        </w:rPr>
        <w:t xml:space="preserve">, a postojeće dozvole </w:t>
      </w:r>
      <w:r w:rsidR="007E7FE0">
        <w:rPr>
          <w:b/>
        </w:rPr>
        <w:t>vrijede</w:t>
      </w:r>
      <w:r w:rsidR="001E63E4">
        <w:rPr>
          <w:b/>
        </w:rPr>
        <w:t xml:space="preserve"> do 2024.</w:t>
      </w:r>
      <w:r w:rsidR="001120C4" w:rsidRPr="00E335DE">
        <w:rPr>
          <w:b/>
        </w:rPr>
        <w:t>)</w:t>
      </w:r>
      <w:r w:rsidR="001E63E4">
        <w:rPr>
          <w:b/>
        </w:rPr>
        <w:t>.</w:t>
      </w:r>
    </w:p>
    <w:p w14:paraId="0433F514" w14:textId="1E3CC5BC" w:rsidR="00A60724" w:rsidRPr="00E335DE" w:rsidRDefault="00DB343A" w:rsidP="00E335DE">
      <w:pPr>
        <w:jc w:val="both"/>
        <w:rPr>
          <w:b/>
        </w:rPr>
      </w:pPr>
      <w:r w:rsidRPr="00DB343A">
        <w:rPr>
          <w:b/>
        </w:rPr>
        <w:t xml:space="preserve">Naknada za </w:t>
      </w:r>
      <w:r w:rsidR="00317526">
        <w:rPr>
          <w:b/>
        </w:rPr>
        <w:t>upravljanje</w:t>
      </w:r>
      <w:r w:rsidRPr="00DB343A">
        <w:rPr>
          <w:b/>
        </w:rPr>
        <w:t xml:space="preserve"> radiofrekvencijsk</w:t>
      </w:r>
      <w:r w:rsidR="00317526">
        <w:rPr>
          <w:b/>
        </w:rPr>
        <w:t>im</w:t>
      </w:r>
      <w:r w:rsidRPr="00DB343A">
        <w:rPr>
          <w:b/>
        </w:rPr>
        <w:t xml:space="preserve"> spektr</w:t>
      </w:r>
      <w:r w:rsidR="00317526">
        <w:rPr>
          <w:b/>
        </w:rPr>
        <w:t>om</w:t>
      </w:r>
      <w:r w:rsidRPr="00DB343A">
        <w:rPr>
          <w:b/>
        </w:rPr>
        <w:t xml:space="preserve"> za </w:t>
      </w:r>
      <w:r w:rsidR="00317526">
        <w:rPr>
          <w:b/>
        </w:rPr>
        <w:t>MFCN mrežu</w:t>
      </w:r>
      <w:r>
        <w:rPr>
          <w:b/>
        </w:rPr>
        <w:t xml:space="preserve"> koja se plaća u korist HAKOM-a naplatit će se neposredno prije početka valjanosti </w:t>
      </w:r>
      <w:r w:rsidR="00D97817">
        <w:rPr>
          <w:b/>
        </w:rPr>
        <w:t>dozvola</w:t>
      </w:r>
      <w:r w:rsidR="00317526">
        <w:rPr>
          <w:b/>
        </w:rPr>
        <w:t>, odnosno dozvoljene uporabe spektra</w:t>
      </w:r>
    </w:p>
    <w:p w14:paraId="584DB5D7" w14:textId="77777777" w:rsidR="00B05A1C" w:rsidRDefault="00DB5256" w:rsidP="00B05A1C">
      <w:pPr>
        <w:pStyle w:val="Heading2"/>
        <w:spacing w:before="0" w:after="240"/>
        <w:ind w:firstLine="357"/>
      </w:pPr>
      <w:bookmarkStart w:id="22" w:name="_Toc85715505"/>
      <w:r>
        <w:lastRenderedPageBreak/>
        <w:t xml:space="preserve">3.4. </w:t>
      </w:r>
      <w:r w:rsidR="00B05A1C">
        <w:t xml:space="preserve">Privatne mreže </w:t>
      </w:r>
      <w:r w:rsidR="006403E6">
        <w:t>za lokalnu primjenu</w:t>
      </w:r>
      <w:bookmarkEnd w:id="22"/>
    </w:p>
    <w:p w14:paraId="3845CE13" w14:textId="77777777" w:rsidR="00B05A1C" w:rsidRDefault="00B05A1C" w:rsidP="00E335DE">
      <w:pPr>
        <w:jc w:val="both"/>
      </w:pPr>
      <w:r>
        <w:t xml:space="preserve">RF pojasevi koji se upotrebljavaju za MFCN mreže se mogu koristiti i za </w:t>
      </w:r>
      <w:r w:rsidRPr="008D1988">
        <w:t>privatne mreže</w:t>
      </w:r>
      <w:r w:rsidR="006403E6" w:rsidRPr="00E335DE">
        <w:t xml:space="preserve"> za</w:t>
      </w:r>
      <w:r w:rsidRPr="008D1988">
        <w:t xml:space="preserve"> lokalnu</w:t>
      </w:r>
      <w:r w:rsidR="006403E6" w:rsidRPr="00E335DE">
        <w:t xml:space="preserve"> </w:t>
      </w:r>
      <w:r w:rsidRPr="008D1988">
        <w:t>primjenu.</w:t>
      </w:r>
      <w:r>
        <w:t xml:space="preserve"> </w:t>
      </w:r>
    </w:p>
    <w:p w14:paraId="68FF87FD" w14:textId="1CE6477F" w:rsidR="00163293" w:rsidRDefault="00A60724" w:rsidP="00E335DE">
      <w:pPr>
        <w:jc w:val="both"/>
        <w:rPr>
          <w:bCs/>
        </w:rPr>
      </w:pPr>
      <w:r>
        <w:rPr>
          <w:bCs/>
        </w:rPr>
        <w:t>U RH su trenutno</w:t>
      </w:r>
      <w:r w:rsidRPr="00B05A1C">
        <w:rPr>
          <w:bCs/>
        </w:rPr>
        <w:t xml:space="preserve"> </w:t>
      </w:r>
      <w:r>
        <w:rPr>
          <w:bCs/>
        </w:rPr>
        <w:t>za neupareni spektar na 2600 MHz na ograničenom zemljopisnom području izdane privremene dozvole za uporabu RF spektra za privatne mreže</w:t>
      </w:r>
      <w:r w:rsidR="00DE5577" w:rsidRPr="00DE5577">
        <w:rPr>
          <w:bCs/>
        </w:rPr>
        <w:t>, izdane u svrhu tehničkog ispitivanja sukladno čl. 91 ZEK-a.</w:t>
      </w:r>
    </w:p>
    <w:p w14:paraId="2E10F3FD" w14:textId="77777777" w:rsidR="002A78B0" w:rsidRPr="00B547F9" w:rsidRDefault="00A60724" w:rsidP="00E335DE">
      <w:pPr>
        <w:jc w:val="both"/>
        <w:rPr>
          <w:bCs/>
        </w:rPr>
      </w:pPr>
      <w:r>
        <w:t xml:space="preserve">Sukladno ranije provedenim javnim raspravama, </w:t>
      </w:r>
      <w:r w:rsidR="00AD444C">
        <w:t xml:space="preserve">HAKOM </w:t>
      </w:r>
      <w:r>
        <w:t>planira osigurati</w:t>
      </w:r>
      <w:r w:rsidR="00AD444C">
        <w:t xml:space="preserve"> 800 MHz u frekvencijskom pojasu 26 GHz</w:t>
      </w:r>
      <w:r>
        <w:t xml:space="preserve"> za privatne mreže</w:t>
      </w:r>
      <w:r w:rsidR="00AD444C">
        <w:t>.</w:t>
      </w:r>
      <w:r w:rsidR="00163293">
        <w:t xml:space="preserve"> </w:t>
      </w:r>
      <w:r w:rsidR="00E2191E">
        <w:rPr>
          <w:bCs/>
        </w:rPr>
        <w:t>O</w:t>
      </w:r>
      <w:r w:rsidR="00163293">
        <w:rPr>
          <w:bCs/>
        </w:rPr>
        <w:t>graničenja razina ukupno izračenih snaga baznih i krajnjih radijskih postaja koje rade neposredno iznad 24,25 GHz</w:t>
      </w:r>
      <w:r w:rsidR="00E2191E">
        <w:rPr>
          <w:bCs/>
        </w:rPr>
        <w:t xml:space="preserve"> nisu ograničavajući faktor za lokalnu primjenu te stoga HAKOM lokalnu primjenu planira u pojasu 24,25-25,05 MHz. </w:t>
      </w:r>
    </w:p>
    <w:p w14:paraId="5B6D0D25" w14:textId="77777777" w:rsidR="00AD444C" w:rsidRPr="00E335DE" w:rsidRDefault="00AD444C" w:rsidP="00AD444C">
      <w:pPr>
        <w:jc w:val="both"/>
        <w:rPr>
          <w:b/>
        </w:rPr>
      </w:pPr>
      <w:r w:rsidRPr="00E335DE">
        <w:rPr>
          <w:b/>
        </w:rPr>
        <w:t xml:space="preserve">HAKOM u ovoj javnoj raspravi želi ispitati interes tržišta za uporabom RF spektra za ovu </w:t>
      </w:r>
      <w:r w:rsidR="006053E2" w:rsidRPr="00E335DE">
        <w:rPr>
          <w:b/>
        </w:rPr>
        <w:t>primjenu</w:t>
      </w:r>
      <w:r w:rsidR="00A60724" w:rsidRPr="00E335DE">
        <w:rPr>
          <w:b/>
        </w:rPr>
        <w:t xml:space="preserve"> općenito, što uključuje i frekvencijske pojaseve koji nisu navedeni u ovom dokumentu</w:t>
      </w:r>
      <w:r w:rsidRPr="00E335DE">
        <w:rPr>
          <w:b/>
        </w:rPr>
        <w:t>.</w:t>
      </w:r>
    </w:p>
    <w:p w14:paraId="019E354A" w14:textId="77777777" w:rsidR="00A60724" w:rsidRPr="00DC6EFB" w:rsidRDefault="00A60724" w:rsidP="00E335DE">
      <w:pPr>
        <w:jc w:val="both"/>
      </w:pPr>
    </w:p>
    <w:p w14:paraId="2D6EFA20" w14:textId="77777777" w:rsidR="006B6604" w:rsidRDefault="006B6604" w:rsidP="00E335DE">
      <w:pPr>
        <w:pStyle w:val="Heading1"/>
        <w:numPr>
          <w:ilvl w:val="0"/>
          <w:numId w:val="3"/>
        </w:numPr>
        <w:spacing w:before="0" w:after="240"/>
      </w:pPr>
      <w:bookmarkStart w:id="23" w:name="_Toc85715506"/>
      <w:r>
        <w:t>ZAKLJUČAK</w:t>
      </w:r>
      <w:bookmarkEnd w:id="23"/>
    </w:p>
    <w:p w14:paraId="2FC84CC2" w14:textId="358C0EAE" w:rsidR="000D2E71" w:rsidRDefault="00D4167C" w:rsidP="00C337CA">
      <w:pPr>
        <w:jc w:val="both"/>
      </w:pPr>
      <w:r w:rsidRPr="00E335DE">
        <w:t xml:space="preserve">HAKOM je u poglavlju </w:t>
      </w:r>
      <w:r>
        <w:t>2</w:t>
      </w:r>
      <w:r w:rsidRPr="00E335DE">
        <w:t>.</w:t>
      </w:r>
      <w:r>
        <w:t xml:space="preserve"> ov</w:t>
      </w:r>
      <w:r w:rsidR="00141451">
        <w:t>og</w:t>
      </w:r>
      <w:r>
        <w:t xml:space="preserve"> dokumenta naveo tehničke odrednice frekvencijskih pojaseva koji se razmatraju za uključivanje u postupak javne dražbe. U poglavlju 3. su navedene osnovne značajke koje bi odredile postupak dodjele.</w:t>
      </w:r>
      <w:r w:rsidR="00141451">
        <w:t xml:space="preserve"> </w:t>
      </w:r>
      <w:r>
        <w:t xml:space="preserve">Ova javna rasprava je pokrenuta kako bi zainteresirane strane iznijele komentare i mišljenja na pojedine stavke ta dva spomenuta poglavlja. </w:t>
      </w:r>
    </w:p>
    <w:p w14:paraId="323581E9" w14:textId="77777777" w:rsidR="00D4167C" w:rsidRPr="00E335DE" w:rsidRDefault="00D4167C" w:rsidP="00C337CA">
      <w:pPr>
        <w:jc w:val="both"/>
      </w:pPr>
      <w:r>
        <w:t>Također, u slučaju iznošenja stavova i komentara koji nisu izravno vezani uz pojedine stavke</w:t>
      </w:r>
      <w:r w:rsidR="000D2E71">
        <w:t>, što uključuje i interes za određenim frekvencijskim pojasevima i željene količine spektra</w:t>
      </w:r>
      <w:r>
        <w:t>, zainteresirane strane se potiču da ih iznesu pod opcijom „Opći komentar“ unutar modula „e-Rasprave“.</w:t>
      </w:r>
    </w:p>
    <w:p w14:paraId="49C59828" w14:textId="7783691E" w:rsidR="001A359A" w:rsidRPr="00DC6EFB" w:rsidRDefault="001A359A" w:rsidP="00E335DE">
      <w:pPr>
        <w:pStyle w:val="ListParagraph"/>
      </w:pPr>
    </w:p>
    <w:p w14:paraId="3C6B03D2" w14:textId="77777777" w:rsidR="003D5D50" w:rsidRDefault="003D5D50" w:rsidP="00DC35EC">
      <w:pPr>
        <w:pStyle w:val="ListParagraph"/>
        <w:ind w:left="1080"/>
        <w:jc w:val="both"/>
      </w:pPr>
    </w:p>
    <w:p w14:paraId="707E63CE" w14:textId="77777777" w:rsidR="001A2A92" w:rsidRPr="001A2A92" w:rsidRDefault="001A2A92" w:rsidP="001A2A92"/>
    <w:sectPr w:rsidR="001A2A92" w:rsidRPr="001A2A92">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9DB421" w14:textId="77777777" w:rsidR="00CA1288" w:rsidRDefault="00CA1288" w:rsidP="00DD215C">
      <w:pPr>
        <w:spacing w:after="0" w:line="240" w:lineRule="auto"/>
      </w:pPr>
      <w:r>
        <w:separator/>
      </w:r>
    </w:p>
  </w:endnote>
  <w:endnote w:type="continuationSeparator" w:id="0">
    <w:p w14:paraId="20003AC3" w14:textId="77777777" w:rsidR="00CA1288" w:rsidRDefault="00CA1288" w:rsidP="00DD2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6169885"/>
      <w:docPartObj>
        <w:docPartGallery w:val="Page Numbers (Bottom of Page)"/>
        <w:docPartUnique/>
      </w:docPartObj>
    </w:sdtPr>
    <w:sdtEndPr>
      <w:rPr>
        <w:noProof/>
      </w:rPr>
    </w:sdtEndPr>
    <w:sdtContent>
      <w:p w14:paraId="2DD327F7" w14:textId="77777777" w:rsidR="00521688" w:rsidRDefault="00521688">
        <w:pPr>
          <w:pStyle w:val="Footer"/>
          <w:jc w:val="right"/>
        </w:pPr>
        <w:r>
          <w:fldChar w:fldCharType="begin"/>
        </w:r>
        <w:r>
          <w:instrText xml:space="preserve"> PAGE   \* MERGEFORMAT </w:instrText>
        </w:r>
        <w:r>
          <w:fldChar w:fldCharType="separate"/>
        </w:r>
        <w:r w:rsidR="00E335DE">
          <w:rPr>
            <w:noProof/>
          </w:rPr>
          <w:t>11</w:t>
        </w:r>
        <w:r>
          <w:rPr>
            <w:noProof/>
          </w:rPr>
          <w:fldChar w:fldCharType="end"/>
        </w:r>
      </w:p>
    </w:sdtContent>
  </w:sdt>
  <w:p w14:paraId="18B0FF95" w14:textId="77777777" w:rsidR="00521688" w:rsidRDefault="005216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A58280" w14:textId="77777777" w:rsidR="00CA1288" w:rsidRDefault="00CA1288" w:rsidP="00DD215C">
      <w:pPr>
        <w:spacing w:after="0" w:line="240" w:lineRule="auto"/>
      </w:pPr>
      <w:r>
        <w:separator/>
      </w:r>
    </w:p>
  </w:footnote>
  <w:footnote w:type="continuationSeparator" w:id="0">
    <w:p w14:paraId="04CF2F59" w14:textId="77777777" w:rsidR="00CA1288" w:rsidRDefault="00CA1288" w:rsidP="00DD215C">
      <w:pPr>
        <w:spacing w:after="0" w:line="240" w:lineRule="auto"/>
      </w:pPr>
      <w:r>
        <w:continuationSeparator/>
      </w:r>
    </w:p>
  </w:footnote>
  <w:footnote w:id="1">
    <w:p w14:paraId="7CE4DE1E" w14:textId="77777777" w:rsidR="00521688" w:rsidRDefault="00521688">
      <w:pPr>
        <w:pStyle w:val="FootnoteText"/>
      </w:pPr>
      <w:r>
        <w:rPr>
          <w:rStyle w:val="FootnoteReference"/>
        </w:rPr>
        <w:footnoteRef/>
      </w:r>
      <w:r>
        <w:t xml:space="preserve"> </w:t>
      </w:r>
      <w:hyperlink r:id="rId1" w:history="1">
        <w:r w:rsidRPr="00E32983">
          <w:rPr>
            <w:rStyle w:val="Hyperlink"/>
          </w:rPr>
          <w:t>https://www.hakom.hr/UserDocsImages/2021/dokumenti/Baza_rf_spektra_hrv_20210812.pdf?vel=414712</w:t>
        </w:r>
      </w:hyperlink>
      <w:r>
        <w:t xml:space="preserve"> </w:t>
      </w:r>
    </w:p>
  </w:footnote>
  <w:footnote w:id="2">
    <w:p w14:paraId="7FB87BF9" w14:textId="3B8461DA" w:rsidR="00521688" w:rsidRDefault="00521688">
      <w:pPr>
        <w:pStyle w:val="FootnoteText"/>
      </w:pPr>
      <w:r>
        <w:rPr>
          <w:rStyle w:val="FootnoteReference"/>
        </w:rPr>
        <w:footnoteRef/>
      </w:r>
      <w:r>
        <w:t xml:space="preserve"> </w:t>
      </w:r>
      <w:hyperlink r:id="rId2" w:history="1">
        <w:r w:rsidRPr="0008069A">
          <w:rPr>
            <w:rStyle w:val="Hyperlink"/>
          </w:rPr>
          <w:t>https://eur-lex.europa.eu/legal-content/HR/TXT/PDF/?uri=CELEX:32018L1972&amp;from=EN</w:t>
        </w:r>
      </w:hyperlink>
      <w:r>
        <w:t xml:space="preserve"> </w:t>
      </w:r>
    </w:p>
  </w:footnote>
  <w:footnote w:id="3">
    <w:p w14:paraId="732A179C" w14:textId="77777777" w:rsidR="00521688" w:rsidRDefault="00521688">
      <w:pPr>
        <w:pStyle w:val="FootnoteText"/>
      </w:pPr>
      <w:r>
        <w:rPr>
          <w:rStyle w:val="FootnoteReference"/>
        </w:rPr>
        <w:footnoteRef/>
      </w:r>
      <w:r>
        <w:t xml:space="preserve"> </w:t>
      </w:r>
      <w:hyperlink r:id="rId3" w:history="1">
        <w:r w:rsidRPr="00E32983">
          <w:rPr>
            <w:rStyle w:val="Hyperlink"/>
          </w:rPr>
          <w:t>https://www.hakom.hr/UserDocsImages/2021/Radiokomunikacije/Baza_rf_spektra_hrv_reginalno_20210823.pdf?vel=208824</w:t>
        </w:r>
      </w:hyperlink>
      <w:r>
        <w:t xml:space="preserve"> </w:t>
      </w:r>
    </w:p>
  </w:footnote>
  <w:footnote w:id="4">
    <w:p w14:paraId="30D8BF79" w14:textId="77777777" w:rsidR="00521688" w:rsidRDefault="00521688">
      <w:pPr>
        <w:pStyle w:val="FootnoteText"/>
      </w:pPr>
      <w:r>
        <w:rPr>
          <w:rStyle w:val="FootnoteReference"/>
        </w:rPr>
        <w:footnoteRef/>
      </w:r>
      <w:r>
        <w:t xml:space="preserve"> </w:t>
      </w:r>
      <w:hyperlink r:id="rId4" w:history="1">
        <w:r w:rsidRPr="005D129A">
          <w:rPr>
            <w:rStyle w:val="Hyperlink"/>
          </w:rPr>
          <w:t>https://eur-lex.europa.eu/legal-content/HR/TXT/PDF/?uri=CELEX:32010D0267&amp;from=EN</w:t>
        </w:r>
      </w:hyperlink>
      <w:r>
        <w:rPr>
          <w:rStyle w:val="Hyperlink"/>
        </w:rPr>
        <w:t xml:space="preserve"> </w:t>
      </w:r>
    </w:p>
  </w:footnote>
  <w:footnote w:id="5">
    <w:p w14:paraId="71A80A64" w14:textId="75994C70" w:rsidR="00521688" w:rsidRDefault="00521688">
      <w:pPr>
        <w:pStyle w:val="FootnoteText"/>
      </w:pPr>
      <w:r>
        <w:rPr>
          <w:rStyle w:val="FootnoteReference"/>
        </w:rPr>
        <w:footnoteRef/>
      </w:r>
      <w:r>
        <w:t xml:space="preserve"> ECC – Electronic Communications Committee </w:t>
      </w:r>
      <w:r w:rsidRPr="001271AA">
        <w:t>https://www.cept.org/ecc</w:t>
      </w:r>
    </w:p>
  </w:footnote>
  <w:footnote w:id="6">
    <w:p w14:paraId="06364BEB" w14:textId="77777777" w:rsidR="00521688" w:rsidRDefault="00521688">
      <w:pPr>
        <w:pStyle w:val="FootnoteText"/>
      </w:pPr>
      <w:r>
        <w:rPr>
          <w:rStyle w:val="FootnoteReference"/>
        </w:rPr>
        <w:footnoteRef/>
      </w:r>
      <w:r>
        <w:t xml:space="preserve"> </w:t>
      </w:r>
      <w:r w:rsidRPr="00AD3ADE">
        <w:rPr>
          <w:rStyle w:val="Hyperlink"/>
        </w:rPr>
        <w:t>https://docdb.cept.org/download/1558</w:t>
      </w:r>
    </w:p>
  </w:footnote>
  <w:footnote w:id="7">
    <w:p w14:paraId="6C0B2A5E" w14:textId="77777777" w:rsidR="00521688" w:rsidRDefault="00521688">
      <w:pPr>
        <w:pStyle w:val="FootnoteText"/>
      </w:pPr>
      <w:r>
        <w:rPr>
          <w:rStyle w:val="FootnoteReference"/>
        </w:rPr>
        <w:footnoteRef/>
      </w:r>
      <w:r>
        <w:t xml:space="preserve"> </w:t>
      </w:r>
      <w:hyperlink r:id="rId5" w:history="1">
        <w:r w:rsidRPr="00781E2D">
          <w:rPr>
            <w:rStyle w:val="Hyperlink"/>
          </w:rPr>
          <w:t>https://narodne-novine.nn.hr/clanci/sluzbeni/2020_10_110_2188.html</w:t>
        </w:r>
      </w:hyperlink>
      <w:r>
        <w:t xml:space="preserve"> </w:t>
      </w:r>
    </w:p>
  </w:footnote>
  <w:footnote w:id="8">
    <w:p w14:paraId="03655A9A" w14:textId="77777777" w:rsidR="00521688" w:rsidRDefault="00521688" w:rsidP="001F76EC">
      <w:pPr>
        <w:pStyle w:val="FootnoteText"/>
      </w:pPr>
      <w:r>
        <w:rPr>
          <w:rStyle w:val="FootnoteReference"/>
        </w:rPr>
        <w:footnoteRef/>
      </w:r>
      <w:r>
        <w:t xml:space="preserve"> </w:t>
      </w:r>
      <w:hyperlink r:id="rId6" w:history="1">
        <w:r w:rsidRPr="00781E2D">
          <w:rPr>
            <w:rStyle w:val="Hyperlink"/>
          </w:rPr>
          <w:t>https://eur-lex.europa.eu/legal-content/HR/TXT/PDF/?uri=CELEX:02009D0766-20180425&amp;from=EN</w:t>
        </w:r>
      </w:hyperlink>
      <w:r>
        <w:rPr>
          <w:rStyle w:val="Hyperlink"/>
        </w:rPr>
        <w:t xml:space="preserve"> </w:t>
      </w:r>
    </w:p>
  </w:footnote>
  <w:footnote w:id="9">
    <w:p w14:paraId="6251828F" w14:textId="77777777" w:rsidR="00521688" w:rsidRDefault="00521688">
      <w:pPr>
        <w:pStyle w:val="FootnoteText"/>
      </w:pPr>
      <w:r>
        <w:rPr>
          <w:rStyle w:val="FootnoteReference"/>
        </w:rPr>
        <w:footnoteRef/>
      </w:r>
      <w:r>
        <w:t xml:space="preserve"> </w:t>
      </w:r>
      <w:r w:rsidRPr="002F12F0">
        <w:rPr>
          <w:rStyle w:val="Hyperlink"/>
        </w:rPr>
        <w:t>https://docdb.cept.org/download/1595</w:t>
      </w:r>
    </w:p>
  </w:footnote>
  <w:footnote w:id="10">
    <w:p w14:paraId="6C0AA620" w14:textId="77777777" w:rsidR="00521688" w:rsidRDefault="00521688">
      <w:pPr>
        <w:pStyle w:val="FootnoteText"/>
      </w:pPr>
      <w:r>
        <w:rPr>
          <w:rStyle w:val="FootnoteReference"/>
        </w:rPr>
        <w:footnoteRef/>
      </w:r>
      <w:r>
        <w:t xml:space="preserve"> </w:t>
      </w:r>
      <w:hyperlink r:id="rId7" w:history="1">
        <w:r w:rsidRPr="00781E2D">
          <w:rPr>
            <w:rStyle w:val="Hyperlink"/>
          </w:rPr>
          <w:t>https://narodne-novine.nn.hr/clanci/sluzbeni/2020_10_110_2189.html</w:t>
        </w:r>
      </w:hyperlink>
      <w:r>
        <w:t xml:space="preserve"> </w:t>
      </w:r>
    </w:p>
  </w:footnote>
  <w:footnote w:id="11">
    <w:p w14:paraId="6F941554" w14:textId="77777777" w:rsidR="00521688" w:rsidRDefault="00521688" w:rsidP="00E45940">
      <w:pPr>
        <w:pStyle w:val="FootnoteText"/>
      </w:pPr>
      <w:r>
        <w:rPr>
          <w:rStyle w:val="FootnoteReference"/>
        </w:rPr>
        <w:footnoteRef/>
      </w:r>
      <w:r>
        <w:t xml:space="preserve"> </w:t>
      </w:r>
      <w:hyperlink r:id="rId8" w:history="1">
        <w:r w:rsidRPr="00954E08">
          <w:rPr>
            <w:rStyle w:val="Hyperlink"/>
          </w:rPr>
          <w:t>https://eur-lex.europa.eu/legal-content/HR/TXT/PDF/?uri=CELEX:32015D0750&amp;from=EN</w:t>
        </w:r>
      </w:hyperlink>
      <w:r>
        <w:t xml:space="preserve"> </w:t>
      </w:r>
    </w:p>
  </w:footnote>
  <w:footnote w:id="12">
    <w:p w14:paraId="1F033386" w14:textId="77777777" w:rsidR="00521688" w:rsidRDefault="00521688" w:rsidP="00E45940">
      <w:pPr>
        <w:pStyle w:val="FootnoteText"/>
      </w:pPr>
      <w:r>
        <w:rPr>
          <w:rStyle w:val="FootnoteReference"/>
        </w:rPr>
        <w:footnoteRef/>
      </w:r>
      <w:r>
        <w:t xml:space="preserve"> </w:t>
      </w:r>
      <w:hyperlink r:id="rId9" w:history="1">
        <w:r w:rsidRPr="0008069A">
          <w:rPr>
            <w:rStyle w:val="Hyperlink"/>
          </w:rPr>
          <w:t>https://docdb.cept.org/download/ccf1bd32-f898/ECCDec1303.pdf</w:t>
        </w:r>
      </w:hyperlink>
      <w:r>
        <w:t xml:space="preserve"> </w:t>
      </w:r>
    </w:p>
  </w:footnote>
  <w:footnote w:id="13">
    <w:p w14:paraId="58DC66D5" w14:textId="77777777" w:rsidR="00521688" w:rsidRDefault="00521688" w:rsidP="00E45940">
      <w:pPr>
        <w:pStyle w:val="FootnoteText"/>
      </w:pPr>
      <w:r>
        <w:rPr>
          <w:rStyle w:val="FootnoteReference"/>
        </w:rPr>
        <w:footnoteRef/>
      </w:r>
      <w:r>
        <w:t xml:space="preserve"> </w:t>
      </w:r>
      <w:r w:rsidRPr="00F079F5">
        <w:rPr>
          <w:rStyle w:val="Hyperlink"/>
        </w:rPr>
        <w:t>https://docdb.cept.org/download/4f052b0b-2c6c/ECCDEC1706.pdf</w:t>
      </w:r>
    </w:p>
  </w:footnote>
  <w:footnote w:id="14">
    <w:p w14:paraId="1A61DA57" w14:textId="77777777" w:rsidR="00521688" w:rsidRDefault="00521688" w:rsidP="0004082D">
      <w:pPr>
        <w:pStyle w:val="FootnoteText"/>
      </w:pPr>
      <w:r>
        <w:rPr>
          <w:rStyle w:val="FootnoteReference"/>
        </w:rPr>
        <w:footnoteRef/>
      </w:r>
      <w:r>
        <w:t xml:space="preserve"> </w:t>
      </w:r>
      <w:hyperlink r:id="rId10" w:history="1">
        <w:r w:rsidRPr="00781E2D">
          <w:rPr>
            <w:rStyle w:val="Hyperlink"/>
          </w:rPr>
          <w:t>https://eur-lex.europa.eu/legal-content/HR/TXT/PDF/?uri=CELEX:02009D0766-20180425&amp;from=EN</w:t>
        </w:r>
      </w:hyperlink>
      <w:r>
        <w:rPr>
          <w:rStyle w:val="Hyperlink"/>
        </w:rPr>
        <w:t xml:space="preserve"> </w:t>
      </w:r>
    </w:p>
  </w:footnote>
  <w:footnote w:id="15">
    <w:p w14:paraId="3701F0BB" w14:textId="77777777" w:rsidR="00521688" w:rsidRDefault="00521688" w:rsidP="0004082D">
      <w:pPr>
        <w:pStyle w:val="FootnoteText"/>
      </w:pPr>
      <w:r>
        <w:rPr>
          <w:rStyle w:val="FootnoteReference"/>
        </w:rPr>
        <w:footnoteRef/>
      </w:r>
      <w:r>
        <w:t xml:space="preserve"> </w:t>
      </w:r>
      <w:r w:rsidRPr="002F12F0">
        <w:rPr>
          <w:rStyle w:val="Hyperlink"/>
        </w:rPr>
        <w:t>https://docdb.cept.org/download/1595</w:t>
      </w:r>
    </w:p>
  </w:footnote>
  <w:footnote w:id="16">
    <w:p w14:paraId="607D0774" w14:textId="77777777" w:rsidR="00521688" w:rsidRDefault="00521688" w:rsidP="0004082D">
      <w:pPr>
        <w:pStyle w:val="FootnoteText"/>
      </w:pPr>
      <w:r>
        <w:rPr>
          <w:rStyle w:val="FootnoteReference"/>
        </w:rPr>
        <w:footnoteRef/>
      </w:r>
      <w:r>
        <w:t xml:space="preserve"> </w:t>
      </w:r>
      <w:hyperlink r:id="rId11" w:history="1">
        <w:r w:rsidRPr="00781E2D">
          <w:rPr>
            <w:rStyle w:val="Hyperlink"/>
          </w:rPr>
          <w:t>https://narodne-novine.nn.hr/clanci/sluzbeni/2020_10_110_2189.html</w:t>
        </w:r>
      </w:hyperlink>
      <w:r>
        <w:t xml:space="preserve"> </w:t>
      </w:r>
    </w:p>
  </w:footnote>
  <w:footnote w:id="17">
    <w:p w14:paraId="3793DEF5" w14:textId="77777777" w:rsidR="00521688" w:rsidRDefault="00521688" w:rsidP="00DC2479">
      <w:pPr>
        <w:pStyle w:val="FootnoteText"/>
      </w:pPr>
      <w:r>
        <w:rPr>
          <w:rStyle w:val="FootnoteReference"/>
        </w:rPr>
        <w:footnoteRef/>
      </w:r>
      <w:r>
        <w:t xml:space="preserve"> </w:t>
      </w:r>
      <w:r w:rsidRPr="00DC2479">
        <w:rPr>
          <w:rStyle w:val="Hyperlink"/>
        </w:rPr>
        <w:t>https://eur-lex.europa.eu/legal-content/HR/TXT/PDF/?uri=CELEX:02012D0688-20200519&amp;from=EN</w:t>
      </w:r>
    </w:p>
  </w:footnote>
  <w:footnote w:id="18">
    <w:p w14:paraId="3EDD3379" w14:textId="77777777" w:rsidR="00521688" w:rsidRDefault="00521688" w:rsidP="00DC2479">
      <w:pPr>
        <w:pStyle w:val="FootnoteText"/>
      </w:pPr>
      <w:r>
        <w:rPr>
          <w:rStyle w:val="FootnoteReference"/>
        </w:rPr>
        <w:footnoteRef/>
      </w:r>
      <w:r>
        <w:t xml:space="preserve"> </w:t>
      </w:r>
      <w:hyperlink r:id="rId12" w:history="1">
        <w:r w:rsidRPr="005D129A">
          <w:rPr>
            <w:rStyle w:val="Hyperlink"/>
          </w:rPr>
          <w:t>https://docdb.cept.org/download/2926</w:t>
        </w:r>
      </w:hyperlink>
      <w:r>
        <w:t xml:space="preserve"> </w:t>
      </w:r>
    </w:p>
  </w:footnote>
  <w:footnote w:id="19">
    <w:p w14:paraId="470C73F6" w14:textId="77777777" w:rsidR="00521688" w:rsidRDefault="00521688" w:rsidP="00DC2479">
      <w:pPr>
        <w:pStyle w:val="FootnoteText"/>
      </w:pPr>
      <w:r>
        <w:rPr>
          <w:rStyle w:val="FootnoteReference"/>
        </w:rPr>
        <w:footnoteRef/>
      </w:r>
      <w:r>
        <w:t xml:space="preserve"> </w:t>
      </w:r>
      <w:hyperlink r:id="rId13" w:history="1">
        <w:r w:rsidRPr="005D129A">
          <w:rPr>
            <w:rStyle w:val="Hyperlink"/>
          </w:rPr>
          <w:t>https://narodne-novine.nn.hr/clanci/sluzbeni/2020_10_110_2186.html</w:t>
        </w:r>
      </w:hyperlink>
      <w:r>
        <w:t xml:space="preserve">  </w:t>
      </w:r>
    </w:p>
  </w:footnote>
  <w:footnote w:id="20">
    <w:p w14:paraId="43C97763" w14:textId="77777777" w:rsidR="00521688" w:rsidRDefault="00521688" w:rsidP="001711BA">
      <w:pPr>
        <w:pStyle w:val="FootnoteText"/>
      </w:pPr>
      <w:r>
        <w:rPr>
          <w:rStyle w:val="FootnoteReference"/>
        </w:rPr>
        <w:footnoteRef/>
      </w:r>
      <w:r>
        <w:t xml:space="preserve"> </w:t>
      </w:r>
      <w:hyperlink r:id="rId14" w:history="1">
        <w:r w:rsidRPr="005D129A">
          <w:rPr>
            <w:rStyle w:val="Hyperlink"/>
          </w:rPr>
          <w:t>https://eur-lex.europa.eu/legal-content/HR/TXT/PDF/?uri=CELEX:02008D0477-20200512&amp;from=EN</w:t>
        </w:r>
      </w:hyperlink>
      <w:r>
        <w:t xml:space="preserve"> </w:t>
      </w:r>
    </w:p>
  </w:footnote>
  <w:footnote w:id="21">
    <w:p w14:paraId="22F5F4B2" w14:textId="77777777" w:rsidR="00521688" w:rsidRDefault="00521688" w:rsidP="001711BA">
      <w:pPr>
        <w:pStyle w:val="FootnoteText"/>
      </w:pPr>
      <w:r>
        <w:rPr>
          <w:rStyle w:val="FootnoteReference"/>
        </w:rPr>
        <w:footnoteRef/>
      </w:r>
      <w:r>
        <w:t xml:space="preserve"> </w:t>
      </w:r>
      <w:hyperlink r:id="rId15" w:history="1">
        <w:r w:rsidRPr="005D129A">
          <w:rPr>
            <w:rStyle w:val="Hyperlink"/>
          </w:rPr>
          <w:t>https://docdb.cept.org/download/1664</w:t>
        </w:r>
      </w:hyperlink>
      <w:r>
        <w:t xml:space="preserve"> </w:t>
      </w:r>
    </w:p>
  </w:footnote>
  <w:footnote w:id="22">
    <w:p w14:paraId="50B92170" w14:textId="77777777" w:rsidR="00521688" w:rsidRDefault="00521688" w:rsidP="001711BA">
      <w:pPr>
        <w:pStyle w:val="FootnoteText"/>
      </w:pPr>
      <w:r>
        <w:rPr>
          <w:rStyle w:val="FootnoteReference"/>
        </w:rPr>
        <w:footnoteRef/>
      </w:r>
      <w:r>
        <w:t xml:space="preserve"> </w:t>
      </w:r>
      <w:hyperlink r:id="rId16" w:history="1">
        <w:r w:rsidRPr="005D129A">
          <w:rPr>
            <w:rStyle w:val="Hyperlink"/>
          </w:rPr>
          <w:t>https://narodne-novine.nn.hr/clanci/sluzbeni/2020_10_110_2187.html</w:t>
        </w:r>
      </w:hyperlink>
      <w:r>
        <w:t xml:space="preserve"> </w:t>
      </w:r>
    </w:p>
  </w:footnote>
  <w:footnote w:id="23">
    <w:p w14:paraId="6944982E" w14:textId="77777777" w:rsidR="00521688" w:rsidRDefault="00521688" w:rsidP="00B773F8">
      <w:pPr>
        <w:pStyle w:val="FootnoteText"/>
      </w:pPr>
      <w:r>
        <w:rPr>
          <w:rStyle w:val="FootnoteReference"/>
        </w:rPr>
        <w:footnoteRef/>
      </w:r>
      <w:r>
        <w:t xml:space="preserve"> </w:t>
      </w:r>
      <w:hyperlink r:id="rId17" w:history="1">
        <w:r w:rsidRPr="00954E08">
          <w:rPr>
            <w:rStyle w:val="Hyperlink"/>
          </w:rPr>
          <w:t>https://eur-lex.europa.eu/legal-content/HR/TXT/PDF/?uri=CELEX:32019D0235&amp;from=EN</w:t>
        </w:r>
      </w:hyperlink>
      <w:r>
        <w:t xml:space="preserve"> </w:t>
      </w:r>
    </w:p>
  </w:footnote>
  <w:footnote w:id="24">
    <w:p w14:paraId="078F1C64" w14:textId="63B528D8" w:rsidR="00521688" w:rsidRDefault="00521688" w:rsidP="00B773F8">
      <w:pPr>
        <w:pStyle w:val="FootnoteText"/>
      </w:pPr>
      <w:r>
        <w:rPr>
          <w:rStyle w:val="FootnoteReference"/>
        </w:rPr>
        <w:footnoteRef/>
      </w:r>
      <w:r>
        <w:t xml:space="preserve"> </w:t>
      </w:r>
      <w:r w:rsidRPr="00D07BC4">
        <w:rPr>
          <w:rStyle w:val="Hyperlink"/>
        </w:rPr>
        <w:t>https://docdb.cept.org/download/34f57e2a-1c04/ECCDEC1106.PDF</w:t>
      </w:r>
    </w:p>
  </w:footnote>
  <w:footnote w:id="25">
    <w:p w14:paraId="1840EF96" w14:textId="77777777" w:rsidR="00521688" w:rsidRDefault="00521688" w:rsidP="00356D60">
      <w:pPr>
        <w:pStyle w:val="FootnoteText"/>
      </w:pPr>
      <w:r>
        <w:rPr>
          <w:rStyle w:val="FootnoteReference"/>
        </w:rPr>
        <w:footnoteRef/>
      </w:r>
      <w:r>
        <w:t xml:space="preserve"> </w:t>
      </w:r>
      <w:hyperlink r:id="rId18" w:history="1">
        <w:r w:rsidRPr="005D129A">
          <w:rPr>
            <w:rStyle w:val="Hyperlink"/>
          </w:rPr>
          <w:t>https://www.hakom.hr/UserDocsImages/2021/propisi/Plan_dodjele_za_frekvencijski_pojas-3_6GHz_nakon_JR_20210505_NN53_21.pdf?vel=614991</w:t>
        </w:r>
      </w:hyperlink>
      <w:r>
        <w:t xml:space="preserve">  </w:t>
      </w:r>
    </w:p>
  </w:footnote>
  <w:footnote w:id="26">
    <w:p w14:paraId="0A371DB0" w14:textId="282F3BBD" w:rsidR="00521688" w:rsidRDefault="00521688">
      <w:pPr>
        <w:pStyle w:val="FootnoteText"/>
      </w:pPr>
      <w:r>
        <w:rPr>
          <w:rStyle w:val="FootnoteReference"/>
        </w:rPr>
        <w:footnoteRef/>
      </w:r>
      <w:r>
        <w:t xml:space="preserve"> </w:t>
      </w:r>
      <w:hyperlink r:id="rId19" w:history="1">
        <w:r w:rsidRPr="009F4903">
          <w:rPr>
            <w:rStyle w:val="Hyperlink"/>
          </w:rPr>
          <w:t>https://www.hakom.hr/UserDocsImages/2021/dokumenti/Baza_rf_spektra_hrv_20210812.pdf?vel=414712</w:t>
        </w:r>
      </w:hyperlink>
      <w:r>
        <w:t xml:space="preserve"> </w:t>
      </w:r>
    </w:p>
  </w:footnote>
  <w:footnote w:id="27">
    <w:p w14:paraId="2665D8C3" w14:textId="10511BD2" w:rsidR="00521688" w:rsidRDefault="00521688">
      <w:pPr>
        <w:pStyle w:val="FootnoteText"/>
      </w:pPr>
      <w:r>
        <w:rPr>
          <w:rStyle w:val="FootnoteReference"/>
        </w:rPr>
        <w:footnoteRef/>
      </w:r>
      <w:r>
        <w:t xml:space="preserve"> </w:t>
      </w:r>
      <w:hyperlink r:id="rId20" w:history="1">
        <w:r w:rsidRPr="009F4903">
          <w:rPr>
            <w:rStyle w:val="Hyperlink"/>
          </w:rPr>
          <w:t>https://www.hakom.hr/UserDocsImages/2021/Radiokomunikacije/Baza_rf_spektra_hrv_reginalno_20210823.pdf?vel=208824</w:t>
        </w:r>
      </w:hyperlink>
      <w:r>
        <w:t xml:space="preserve"> </w:t>
      </w:r>
    </w:p>
  </w:footnote>
  <w:footnote w:id="28">
    <w:p w14:paraId="34A72C28" w14:textId="77777777" w:rsidR="00521688" w:rsidRDefault="00521688" w:rsidP="00B773F8">
      <w:pPr>
        <w:pStyle w:val="FootnoteText"/>
      </w:pPr>
      <w:r>
        <w:rPr>
          <w:rStyle w:val="FootnoteReference"/>
        </w:rPr>
        <w:footnoteRef/>
      </w:r>
      <w:r>
        <w:t xml:space="preserve"> </w:t>
      </w:r>
      <w:hyperlink r:id="rId21" w:history="1">
        <w:r w:rsidRPr="00954E08">
          <w:rPr>
            <w:rStyle w:val="Hyperlink"/>
          </w:rPr>
          <w:t>https://eur-lex.europa.eu/legal-content/HR/TXT/PDF/?uri=CELEX:32019D0784&amp;from=EN</w:t>
        </w:r>
      </w:hyperlink>
      <w:r>
        <w:t xml:space="preserve"> </w:t>
      </w:r>
    </w:p>
  </w:footnote>
  <w:footnote w:id="29">
    <w:p w14:paraId="0C55BD4C" w14:textId="37ECD630" w:rsidR="00521688" w:rsidRDefault="00521688" w:rsidP="00B773F8">
      <w:pPr>
        <w:pStyle w:val="FootnoteText"/>
      </w:pPr>
      <w:r>
        <w:rPr>
          <w:rStyle w:val="FootnoteReference"/>
        </w:rPr>
        <w:footnoteRef/>
      </w:r>
      <w:r>
        <w:t xml:space="preserve"> </w:t>
      </w:r>
      <w:hyperlink r:id="rId22" w:history="1">
        <w:r w:rsidRPr="0008069A">
          <w:rPr>
            <w:rStyle w:val="Hyperlink"/>
          </w:rPr>
          <w:t>https://docdb.cept.org/download/1459</w:t>
        </w:r>
      </w:hyperlink>
      <w:r>
        <w:rPr>
          <w:rStyle w:val="Hyperlink"/>
        </w:rPr>
        <w:t xml:space="preserve"> </w:t>
      </w:r>
    </w:p>
  </w:footnote>
  <w:footnote w:id="30">
    <w:p w14:paraId="504BC867" w14:textId="33561995" w:rsidR="00521688" w:rsidRDefault="00521688">
      <w:pPr>
        <w:pStyle w:val="FootnoteText"/>
      </w:pPr>
      <w:r>
        <w:rPr>
          <w:rStyle w:val="FootnoteReference"/>
        </w:rPr>
        <w:footnoteRef/>
      </w:r>
      <w:r>
        <w:t xml:space="preserve"> </w:t>
      </w:r>
      <w:hyperlink r:id="rId23" w:history="1">
        <w:r w:rsidRPr="009F4903">
          <w:rPr>
            <w:rStyle w:val="Hyperlink"/>
          </w:rPr>
          <w:t>https://www.hakom.hr/UserDocsImages/2021/propisi/Plan_dodjele_za_frekvencijski_pojas_26GHz_nakon_JR-20210429_NN53_21.pdf?vel=554368</w:t>
        </w:r>
      </w:hyperlink>
      <w:r>
        <w:t xml:space="preserve"> </w:t>
      </w:r>
    </w:p>
  </w:footnote>
  <w:footnote w:id="31">
    <w:p w14:paraId="0653EF50" w14:textId="77777777" w:rsidR="00521688" w:rsidRDefault="00521688" w:rsidP="002C4D4E">
      <w:pPr>
        <w:pStyle w:val="FootnoteText"/>
      </w:pPr>
      <w:r>
        <w:rPr>
          <w:rStyle w:val="FootnoteReference"/>
        </w:rPr>
        <w:footnoteRef/>
      </w:r>
      <w:r>
        <w:t xml:space="preserve"> </w:t>
      </w:r>
      <w:hyperlink r:id="rId24" w:history="1">
        <w:r w:rsidRPr="005D129A">
          <w:rPr>
            <w:rStyle w:val="Hyperlink"/>
          </w:rPr>
          <w:t>https://www.hakom.hr/UserDocsImages/2021/dokumenti/Baza_rf_spektra_hrv_20210812.pdf?vel=414712</w:t>
        </w:r>
      </w:hyperlink>
      <w:r>
        <w:t xml:space="preserve"> </w:t>
      </w:r>
    </w:p>
  </w:footnote>
  <w:footnote w:id="32">
    <w:p w14:paraId="5D108602" w14:textId="77777777" w:rsidR="00521688" w:rsidRDefault="00521688">
      <w:pPr>
        <w:pStyle w:val="FootnoteText"/>
      </w:pPr>
      <w:r>
        <w:rPr>
          <w:rStyle w:val="FootnoteReference"/>
        </w:rPr>
        <w:footnoteRef/>
      </w:r>
      <w:r>
        <w:t xml:space="preserve"> </w:t>
      </w:r>
      <w:hyperlink r:id="rId25" w:history="1">
        <w:r w:rsidRPr="00954E08">
          <w:rPr>
            <w:rStyle w:val="Hyperlink"/>
          </w:rPr>
          <w:t>https://www.hakom.hr/UserDocsImages/2017/propisi/ZEK-pročišćeni%202017.pdf</w:t>
        </w:r>
      </w:hyperlink>
      <w:r>
        <w:t xml:space="preserve"> </w:t>
      </w:r>
    </w:p>
  </w:footnote>
  <w:footnote w:id="33">
    <w:p w14:paraId="5DF1F289" w14:textId="77777777" w:rsidR="00521688" w:rsidRDefault="00521688">
      <w:pPr>
        <w:pStyle w:val="FootnoteText"/>
      </w:pPr>
      <w:r>
        <w:rPr>
          <w:rStyle w:val="FootnoteReference"/>
        </w:rPr>
        <w:footnoteRef/>
      </w:r>
      <w:r>
        <w:t xml:space="preserve"> </w:t>
      </w:r>
      <w:hyperlink r:id="rId26" w:history="1">
        <w:r w:rsidRPr="00954E08">
          <w:rPr>
            <w:rStyle w:val="Hyperlink"/>
          </w:rPr>
          <w:t>https://www.hakom.hr/UserDocsImages/2017/propisi/Pročišćeni-Pravilnik%20o%20rf%20spektru-20171110.pdf</w:t>
        </w:r>
      </w:hyperlink>
      <w:r>
        <w:t xml:space="preserve"> </w:t>
      </w:r>
    </w:p>
  </w:footnote>
  <w:footnote w:id="34">
    <w:p w14:paraId="25F25C9F" w14:textId="77777777" w:rsidR="00521688" w:rsidRDefault="00521688" w:rsidP="001A37C3">
      <w:pPr>
        <w:pStyle w:val="FootnoteText"/>
      </w:pPr>
      <w:r>
        <w:rPr>
          <w:rStyle w:val="FootnoteReference"/>
        </w:rPr>
        <w:footnoteRef/>
      </w:r>
      <w:r>
        <w:t xml:space="preserve"> </w:t>
      </w:r>
      <w:hyperlink r:id="rId27" w:history="1">
        <w:r w:rsidRPr="005D129A">
          <w:rPr>
            <w:rStyle w:val="Hyperlink"/>
          </w:rPr>
          <w:t>https://www.hakom.hr/UserDocsImages/2021/Radiokomunikacije/Baza_rf_spektra_hrv_reginalno_20210823.pdf?vel=208824</w:t>
        </w:r>
      </w:hyperlink>
      <w:r>
        <w:t xml:space="preserve"> </w:t>
      </w:r>
    </w:p>
  </w:footnote>
  <w:footnote w:id="35">
    <w:p w14:paraId="5DD7F3FC" w14:textId="77777777" w:rsidR="00521688" w:rsidRDefault="00521688">
      <w:pPr>
        <w:pStyle w:val="FootnoteText"/>
      </w:pPr>
      <w:r>
        <w:rPr>
          <w:rStyle w:val="FootnoteReference"/>
        </w:rPr>
        <w:footnoteRef/>
      </w:r>
      <w:r>
        <w:t xml:space="preserve"> </w:t>
      </w:r>
      <w:hyperlink r:id="rId28" w:history="1">
        <w:r w:rsidRPr="00D922CE">
          <w:rPr>
            <w:rStyle w:val="Hyperlink"/>
          </w:rPr>
          <w:t>https://www.hakom.hr/default.aspx?id=594</w:t>
        </w:r>
      </w:hyperlink>
      <w:r>
        <w:rPr>
          <w:rStyle w:val="Hyperlink"/>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90700"/>
    <w:multiLevelType w:val="hybridMultilevel"/>
    <w:tmpl w:val="CB90D0AE"/>
    <w:lvl w:ilvl="0" w:tplc="9BF2382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 w15:restartNumberingAfterBreak="0">
    <w:nsid w:val="1C7E471E"/>
    <w:multiLevelType w:val="hybridMultilevel"/>
    <w:tmpl w:val="E3DCFC22"/>
    <w:lvl w:ilvl="0" w:tplc="1930A11A">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CF62DA6"/>
    <w:multiLevelType w:val="multilevel"/>
    <w:tmpl w:val="7ECA77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23CB54C7"/>
    <w:multiLevelType w:val="hybridMultilevel"/>
    <w:tmpl w:val="196E03E0"/>
    <w:lvl w:ilvl="0" w:tplc="AA866E3A">
      <w:start w:val="1"/>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370A4497"/>
    <w:multiLevelType w:val="hybridMultilevel"/>
    <w:tmpl w:val="0DE2F94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44472841"/>
    <w:multiLevelType w:val="hybridMultilevel"/>
    <w:tmpl w:val="0E948292"/>
    <w:lvl w:ilvl="0" w:tplc="F7460286">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54F75933"/>
    <w:multiLevelType w:val="hybridMultilevel"/>
    <w:tmpl w:val="7690F7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661512AD"/>
    <w:multiLevelType w:val="multilevel"/>
    <w:tmpl w:val="7ECA77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6D6C280C"/>
    <w:multiLevelType w:val="hybridMultilevel"/>
    <w:tmpl w:val="3A869BA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6E365FCD"/>
    <w:multiLevelType w:val="hybridMultilevel"/>
    <w:tmpl w:val="ED22F53C"/>
    <w:lvl w:ilvl="0" w:tplc="041A0001">
      <w:start w:val="1"/>
      <w:numFmt w:val="bullet"/>
      <w:lvlText w:val=""/>
      <w:lvlJc w:val="left"/>
      <w:pPr>
        <w:ind w:left="765" w:hanging="360"/>
      </w:pPr>
      <w:rPr>
        <w:rFonts w:ascii="Symbol" w:hAnsi="Symbol" w:hint="default"/>
      </w:rPr>
    </w:lvl>
    <w:lvl w:ilvl="1" w:tplc="041A0003" w:tentative="1">
      <w:start w:val="1"/>
      <w:numFmt w:val="bullet"/>
      <w:lvlText w:val="o"/>
      <w:lvlJc w:val="left"/>
      <w:pPr>
        <w:ind w:left="1485" w:hanging="360"/>
      </w:pPr>
      <w:rPr>
        <w:rFonts w:ascii="Courier New" w:hAnsi="Courier New" w:cs="Courier New" w:hint="default"/>
      </w:rPr>
    </w:lvl>
    <w:lvl w:ilvl="2" w:tplc="041A0005" w:tentative="1">
      <w:start w:val="1"/>
      <w:numFmt w:val="bullet"/>
      <w:lvlText w:val=""/>
      <w:lvlJc w:val="left"/>
      <w:pPr>
        <w:ind w:left="2205" w:hanging="360"/>
      </w:pPr>
      <w:rPr>
        <w:rFonts w:ascii="Wingdings" w:hAnsi="Wingdings" w:hint="default"/>
      </w:rPr>
    </w:lvl>
    <w:lvl w:ilvl="3" w:tplc="041A0001" w:tentative="1">
      <w:start w:val="1"/>
      <w:numFmt w:val="bullet"/>
      <w:lvlText w:val=""/>
      <w:lvlJc w:val="left"/>
      <w:pPr>
        <w:ind w:left="2925" w:hanging="360"/>
      </w:pPr>
      <w:rPr>
        <w:rFonts w:ascii="Symbol" w:hAnsi="Symbol" w:hint="default"/>
      </w:rPr>
    </w:lvl>
    <w:lvl w:ilvl="4" w:tplc="041A0003" w:tentative="1">
      <w:start w:val="1"/>
      <w:numFmt w:val="bullet"/>
      <w:lvlText w:val="o"/>
      <w:lvlJc w:val="left"/>
      <w:pPr>
        <w:ind w:left="3645" w:hanging="360"/>
      </w:pPr>
      <w:rPr>
        <w:rFonts w:ascii="Courier New" w:hAnsi="Courier New" w:cs="Courier New" w:hint="default"/>
      </w:rPr>
    </w:lvl>
    <w:lvl w:ilvl="5" w:tplc="041A0005" w:tentative="1">
      <w:start w:val="1"/>
      <w:numFmt w:val="bullet"/>
      <w:lvlText w:val=""/>
      <w:lvlJc w:val="left"/>
      <w:pPr>
        <w:ind w:left="4365" w:hanging="360"/>
      </w:pPr>
      <w:rPr>
        <w:rFonts w:ascii="Wingdings" w:hAnsi="Wingdings" w:hint="default"/>
      </w:rPr>
    </w:lvl>
    <w:lvl w:ilvl="6" w:tplc="041A0001" w:tentative="1">
      <w:start w:val="1"/>
      <w:numFmt w:val="bullet"/>
      <w:lvlText w:val=""/>
      <w:lvlJc w:val="left"/>
      <w:pPr>
        <w:ind w:left="5085" w:hanging="360"/>
      </w:pPr>
      <w:rPr>
        <w:rFonts w:ascii="Symbol" w:hAnsi="Symbol" w:hint="default"/>
      </w:rPr>
    </w:lvl>
    <w:lvl w:ilvl="7" w:tplc="041A0003" w:tentative="1">
      <w:start w:val="1"/>
      <w:numFmt w:val="bullet"/>
      <w:lvlText w:val="o"/>
      <w:lvlJc w:val="left"/>
      <w:pPr>
        <w:ind w:left="5805" w:hanging="360"/>
      </w:pPr>
      <w:rPr>
        <w:rFonts w:ascii="Courier New" w:hAnsi="Courier New" w:cs="Courier New" w:hint="default"/>
      </w:rPr>
    </w:lvl>
    <w:lvl w:ilvl="8" w:tplc="041A0005" w:tentative="1">
      <w:start w:val="1"/>
      <w:numFmt w:val="bullet"/>
      <w:lvlText w:val=""/>
      <w:lvlJc w:val="left"/>
      <w:pPr>
        <w:ind w:left="6525" w:hanging="360"/>
      </w:pPr>
      <w:rPr>
        <w:rFonts w:ascii="Wingdings" w:hAnsi="Wingdings" w:hint="default"/>
      </w:rPr>
    </w:lvl>
  </w:abstractNum>
  <w:abstractNum w:abstractNumId="10" w15:restartNumberingAfterBreak="0">
    <w:nsid w:val="71CE455B"/>
    <w:multiLevelType w:val="hybridMultilevel"/>
    <w:tmpl w:val="D294FF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735D076E"/>
    <w:multiLevelType w:val="hybridMultilevel"/>
    <w:tmpl w:val="83F4ACF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11"/>
  </w:num>
  <w:num w:numId="3">
    <w:abstractNumId w:val="7"/>
  </w:num>
  <w:num w:numId="4">
    <w:abstractNumId w:val="0"/>
  </w:num>
  <w:num w:numId="5">
    <w:abstractNumId w:val="8"/>
  </w:num>
  <w:num w:numId="6">
    <w:abstractNumId w:val="3"/>
  </w:num>
  <w:num w:numId="7">
    <w:abstractNumId w:val="6"/>
  </w:num>
  <w:num w:numId="8">
    <w:abstractNumId w:val="9"/>
  </w:num>
  <w:num w:numId="9">
    <w:abstractNumId w:val="5"/>
  </w:num>
  <w:num w:numId="10">
    <w:abstractNumId w:val="4"/>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A92"/>
    <w:rsid w:val="00001290"/>
    <w:rsid w:val="00010051"/>
    <w:rsid w:val="0001581E"/>
    <w:rsid w:val="00016EC9"/>
    <w:rsid w:val="000274A7"/>
    <w:rsid w:val="00027862"/>
    <w:rsid w:val="0004082D"/>
    <w:rsid w:val="000600D6"/>
    <w:rsid w:val="00060339"/>
    <w:rsid w:val="00061213"/>
    <w:rsid w:val="00063657"/>
    <w:rsid w:val="000670FD"/>
    <w:rsid w:val="000716ED"/>
    <w:rsid w:val="00077E28"/>
    <w:rsid w:val="00083540"/>
    <w:rsid w:val="00087A6B"/>
    <w:rsid w:val="000917E0"/>
    <w:rsid w:val="00093283"/>
    <w:rsid w:val="00097598"/>
    <w:rsid w:val="0009794D"/>
    <w:rsid w:val="000A5695"/>
    <w:rsid w:val="000B0971"/>
    <w:rsid w:val="000C3653"/>
    <w:rsid w:val="000C53D1"/>
    <w:rsid w:val="000C5B05"/>
    <w:rsid w:val="000D194B"/>
    <w:rsid w:val="000D1E63"/>
    <w:rsid w:val="000D2E71"/>
    <w:rsid w:val="000E1F09"/>
    <w:rsid w:val="000E64CA"/>
    <w:rsid w:val="000E68D1"/>
    <w:rsid w:val="000F62D1"/>
    <w:rsid w:val="001078ED"/>
    <w:rsid w:val="001120C4"/>
    <w:rsid w:val="001149A4"/>
    <w:rsid w:val="00115A2E"/>
    <w:rsid w:val="0011687D"/>
    <w:rsid w:val="00121235"/>
    <w:rsid w:val="001271AA"/>
    <w:rsid w:val="00132440"/>
    <w:rsid w:val="00135DC9"/>
    <w:rsid w:val="00141451"/>
    <w:rsid w:val="00142F65"/>
    <w:rsid w:val="00153823"/>
    <w:rsid w:val="00161E9E"/>
    <w:rsid w:val="00163293"/>
    <w:rsid w:val="001711BA"/>
    <w:rsid w:val="00171BAC"/>
    <w:rsid w:val="00173FA9"/>
    <w:rsid w:val="0017685D"/>
    <w:rsid w:val="00183E09"/>
    <w:rsid w:val="001A2A92"/>
    <w:rsid w:val="001A359A"/>
    <w:rsid w:val="001A37C3"/>
    <w:rsid w:val="001A5162"/>
    <w:rsid w:val="001B635D"/>
    <w:rsid w:val="001B7A92"/>
    <w:rsid w:val="001C692E"/>
    <w:rsid w:val="001D0D55"/>
    <w:rsid w:val="001D22C3"/>
    <w:rsid w:val="001D2BB2"/>
    <w:rsid w:val="001E0185"/>
    <w:rsid w:val="001E63E4"/>
    <w:rsid w:val="001F38FC"/>
    <w:rsid w:val="001F76EC"/>
    <w:rsid w:val="00204B0C"/>
    <w:rsid w:val="00205F1F"/>
    <w:rsid w:val="002063FB"/>
    <w:rsid w:val="0022077D"/>
    <w:rsid w:val="002275ED"/>
    <w:rsid w:val="00236A53"/>
    <w:rsid w:val="0025596C"/>
    <w:rsid w:val="00257077"/>
    <w:rsid w:val="00257FEC"/>
    <w:rsid w:val="00266E87"/>
    <w:rsid w:val="002722A7"/>
    <w:rsid w:val="002758AB"/>
    <w:rsid w:val="00276F04"/>
    <w:rsid w:val="00284DDD"/>
    <w:rsid w:val="002869A0"/>
    <w:rsid w:val="002901B5"/>
    <w:rsid w:val="00297200"/>
    <w:rsid w:val="002A044C"/>
    <w:rsid w:val="002A3EA7"/>
    <w:rsid w:val="002A4CE4"/>
    <w:rsid w:val="002A78B0"/>
    <w:rsid w:val="002B3DB1"/>
    <w:rsid w:val="002C4D4E"/>
    <w:rsid w:val="002C697B"/>
    <w:rsid w:val="002C6AF9"/>
    <w:rsid w:val="002D428F"/>
    <w:rsid w:val="002E5A03"/>
    <w:rsid w:val="002F12F0"/>
    <w:rsid w:val="002F1CE5"/>
    <w:rsid w:val="002F45A7"/>
    <w:rsid w:val="00301506"/>
    <w:rsid w:val="00303165"/>
    <w:rsid w:val="003147B1"/>
    <w:rsid w:val="00316A1A"/>
    <w:rsid w:val="00317526"/>
    <w:rsid w:val="00321A17"/>
    <w:rsid w:val="00322E5C"/>
    <w:rsid w:val="00323284"/>
    <w:rsid w:val="003324C8"/>
    <w:rsid w:val="003428EB"/>
    <w:rsid w:val="00342E7C"/>
    <w:rsid w:val="0034375C"/>
    <w:rsid w:val="00347ABF"/>
    <w:rsid w:val="00351DDB"/>
    <w:rsid w:val="0035296F"/>
    <w:rsid w:val="00356D60"/>
    <w:rsid w:val="00364274"/>
    <w:rsid w:val="003734E9"/>
    <w:rsid w:val="00373B79"/>
    <w:rsid w:val="00375124"/>
    <w:rsid w:val="00387593"/>
    <w:rsid w:val="00387F31"/>
    <w:rsid w:val="003A5C6C"/>
    <w:rsid w:val="003A610B"/>
    <w:rsid w:val="003B1BE9"/>
    <w:rsid w:val="003B20F5"/>
    <w:rsid w:val="003B305B"/>
    <w:rsid w:val="003C3405"/>
    <w:rsid w:val="003C4EEA"/>
    <w:rsid w:val="003D5D50"/>
    <w:rsid w:val="003D5E46"/>
    <w:rsid w:val="003E2DB6"/>
    <w:rsid w:val="003E7A08"/>
    <w:rsid w:val="003E7F42"/>
    <w:rsid w:val="00401C69"/>
    <w:rsid w:val="0040235A"/>
    <w:rsid w:val="00403385"/>
    <w:rsid w:val="00407F5B"/>
    <w:rsid w:val="004224A0"/>
    <w:rsid w:val="0042484F"/>
    <w:rsid w:val="00424D59"/>
    <w:rsid w:val="00426851"/>
    <w:rsid w:val="004322E5"/>
    <w:rsid w:val="004359EF"/>
    <w:rsid w:val="00441B1F"/>
    <w:rsid w:val="00443096"/>
    <w:rsid w:val="00446579"/>
    <w:rsid w:val="00461687"/>
    <w:rsid w:val="00462859"/>
    <w:rsid w:val="00474727"/>
    <w:rsid w:val="00480623"/>
    <w:rsid w:val="0048162D"/>
    <w:rsid w:val="00494095"/>
    <w:rsid w:val="0049441D"/>
    <w:rsid w:val="004944BC"/>
    <w:rsid w:val="004963CB"/>
    <w:rsid w:val="004A1FA3"/>
    <w:rsid w:val="004A7E62"/>
    <w:rsid w:val="004B3AAE"/>
    <w:rsid w:val="004B76D9"/>
    <w:rsid w:val="004C02E2"/>
    <w:rsid w:val="004D3C5F"/>
    <w:rsid w:val="004F7761"/>
    <w:rsid w:val="00502A4F"/>
    <w:rsid w:val="00505EBF"/>
    <w:rsid w:val="00514AF7"/>
    <w:rsid w:val="00520D72"/>
    <w:rsid w:val="00521688"/>
    <w:rsid w:val="0052632F"/>
    <w:rsid w:val="0053637B"/>
    <w:rsid w:val="0054250A"/>
    <w:rsid w:val="00543795"/>
    <w:rsid w:val="005445C9"/>
    <w:rsid w:val="00545153"/>
    <w:rsid w:val="00546A96"/>
    <w:rsid w:val="0055146F"/>
    <w:rsid w:val="00560185"/>
    <w:rsid w:val="00571286"/>
    <w:rsid w:val="00573C81"/>
    <w:rsid w:val="00575198"/>
    <w:rsid w:val="005765D1"/>
    <w:rsid w:val="00576F8D"/>
    <w:rsid w:val="0058010D"/>
    <w:rsid w:val="00585F4B"/>
    <w:rsid w:val="00593B95"/>
    <w:rsid w:val="005A0BE8"/>
    <w:rsid w:val="005A338D"/>
    <w:rsid w:val="005A5E44"/>
    <w:rsid w:val="005A6A02"/>
    <w:rsid w:val="005A7752"/>
    <w:rsid w:val="005B036D"/>
    <w:rsid w:val="005B3090"/>
    <w:rsid w:val="005B5D65"/>
    <w:rsid w:val="005C214A"/>
    <w:rsid w:val="005E5501"/>
    <w:rsid w:val="005E77CE"/>
    <w:rsid w:val="005F07B3"/>
    <w:rsid w:val="005F5913"/>
    <w:rsid w:val="005F64DD"/>
    <w:rsid w:val="00601987"/>
    <w:rsid w:val="006053E2"/>
    <w:rsid w:val="0060639C"/>
    <w:rsid w:val="0061158F"/>
    <w:rsid w:val="006134ED"/>
    <w:rsid w:val="00613AEA"/>
    <w:rsid w:val="00622250"/>
    <w:rsid w:val="006403E6"/>
    <w:rsid w:val="006449AD"/>
    <w:rsid w:val="00647021"/>
    <w:rsid w:val="00662A4A"/>
    <w:rsid w:val="006633D9"/>
    <w:rsid w:val="006700B5"/>
    <w:rsid w:val="006908F6"/>
    <w:rsid w:val="00692A97"/>
    <w:rsid w:val="00694341"/>
    <w:rsid w:val="006955E7"/>
    <w:rsid w:val="00697142"/>
    <w:rsid w:val="006A12DF"/>
    <w:rsid w:val="006A6C9C"/>
    <w:rsid w:val="006B0D1B"/>
    <w:rsid w:val="006B3557"/>
    <w:rsid w:val="006B6604"/>
    <w:rsid w:val="006C551B"/>
    <w:rsid w:val="006C5E63"/>
    <w:rsid w:val="006C5EA4"/>
    <w:rsid w:val="006D3617"/>
    <w:rsid w:val="006D7946"/>
    <w:rsid w:val="006D7E83"/>
    <w:rsid w:val="006E37B6"/>
    <w:rsid w:val="006E6F7E"/>
    <w:rsid w:val="006E78F6"/>
    <w:rsid w:val="006F2BFE"/>
    <w:rsid w:val="006F4D57"/>
    <w:rsid w:val="006F545D"/>
    <w:rsid w:val="0071651D"/>
    <w:rsid w:val="00722D14"/>
    <w:rsid w:val="00734C23"/>
    <w:rsid w:val="00762987"/>
    <w:rsid w:val="00780CA5"/>
    <w:rsid w:val="00786BFD"/>
    <w:rsid w:val="0079640F"/>
    <w:rsid w:val="007A5B0D"/>
    <w:rsid w:val="007A793C"/>
    <w:rsid w:val="007B294F"/>
    <w:rsid w:val="007B416A"/>
    <w:rsid w:val="007C68BB"/>
    <w:rsid w:val="007C70C7"/>
    <w:rsid w:val="007D0762"/>
    <w:rsid w:val="007D157F"/>
    <w:rsid w:val="007E55BA"/>
    <w:rsid w:val="007E73F3"/>
    <w:rsid w:val="007E7FE0"/>
    <w:rsid w:val="007F7CE8"/>
    <w:rsid w:val="007F7E9C"/>
    <w:rsid w:val="0080402D"/>
    <w:rsid w:val="00804215"/>
    <w:rsid w:val="0080576B"/>
    <w:rsid w:val="00821A2B"/>
    <w:rsid w:val="008224C6"/>
    <w:rsid w:val="0082620E"/>
    <w:rsid w:val="00830B8E"/>
    <w:rsid w:val="00835626"/>
    <w:rsid w:val="0083588A"/>
    <w:rsid w:val="008412C6"/>
    <w:rsid w:val="00843C24"/>
    <w:rsid w:val="00845695"/>
    <w:rsid w:val="00846BDB"/>
    <w:rsid w:val="008500FA"/>
    <w:rsid w:val="00850425"/>
    <w:rsid w:val="00850FCB"/>
    <w:rsid w:val="00856464"/>
    <w:rsid w:val="0085712A"/>
    <w:rsid w:val="00864316"/>
    <w:rsid w:val="00867C63"/>
    <w:rsid w:val="00870905"/>
    <w:rsid w:val="008715A1"/>
    <w:rsid w:val="00874CDF"/>
    <w:rsid w:val="00883DFD"/>
    <w:rsid w:val="008875E9"/>
    <w:rsid w:val="00891B82"/>
    <w:rsid w:val="008B522E"/>
    <w:rsid w:val="008B65FF"/>
    <w:rsid w:val="008C1289"/>
    <w:rsid w:val="008C1D13"/>
    <w:rsid w:val="008D1988"/>
    <w:rsid w:val="008E511B"/>
    <w:rsid w:val="008F66E7"/>
    <w:rsid w:val="0091556E"/>
    <w:rsid w:val="00916FDF"/>
    <w:rsid w:val="00917C5B"/>
    <w:rsid w:val="0092084B"/>
    <w:rsid w:val="0092381C"/>
    <w:rsid w:val="009239CC"/>
    <w:rsid w:val="00924A44"/>
    <w:rsid w:val="00932045"/>
    <w:rsid w:val="00936A73"/>
    <w:rsid w:val="00946FEA"/>
    <w:rsid w:val="009500B0"/>
    <w:rsid w:val="00960EBA"/>
    <w:rsid w:val="00983266"/>
    <w:rsid w:val="009860A6"/>
    <w:rsid w:val="00986B35"/>
    <w:rsid w:val="009912CE"/>
    <w:rsid w:val="00993C5F"/>
    <w:rsid w:val="009A5AF4"/>
    <w:rsid w:val="009A6932"/>
    <w:rsid w:val="009B0505"/>
    <w:rsid w:val="009B1545"/>
    <w:rsid w:val="009B436C"/>
    <w:rsid w:val="009C02E0"/>
    <w:rsid w:val="009C58D3"/>
    <w:rsid w:val="009D352F"/>
    <w:rsid w:val="009D46CA"/>
    <w:rsid w:val="009D78D2"/>
    <w:rsid w:val="009E0BCD"/>
    <w:rsid w:val="009E214D"/>
    <w:rsid w:val="009F03AF"/>
    <w:rsid w:val="009F614B"/>
    <w:rsid w:val="009F7491"/>
    <w:rsid w:val="00A02958"/>
    <w:rsid w:val="00A13CF3"/>
    <w:rsid w:val="00A16456"/>
    <w:rsid w:val="00A25642"/>
    <w:rsid w:val="00A31521"/>
    <w:rsid w:val="00A567C0"/>
    <w:rsid w:val="00A57F01"/>
    <w:rsid w:val="00A60724"/>
    <w:rsid w:val="00A6651F"/>
    <w:rsid w:val="00A674AE"/>
    <w:rsid w:val="00A90193"/>
    <w:rsid w:val="00A923EA"/>
    <w:rsid w:val="00A9405E"/>
    <w:rsid w:val="00AA50E9"/>
    <w:rsid w:val="00AA61F8"/>
    <w:rsid w:val="00AB2965"/>
    <w:rsid w:val="00AD3ADE"/>
    <w:rsid w:val="00AD444C"/>
    <w:rsid w:val="00AD7F63"/>
    <w:rsid w:val="00AF5E79"/>
    <w:rsid w:val="00AF720B"/>
    <w:rsid w:val="00B0149B"/>
    <w:rsid w:val="00B03ABC"/>
    <w:rsid w:val="00B04EEE"/>
    <w:rsid w:val="00B05A1C"/>
    <w:rsid w:val="00B064A9"/>
    <w:rsid w:val="00B17420"/>
    <w:rsid w:val="00B32FF3"/>
    <w:rsid w:val="00B424AC"/>
    <w:rsid w:val="00B46805"/>
    <w:rsid w:val="00B47D59"/>
    <w:rsid w:val="00B547F9"/>
    <w:rsid w:val="00B63F77"/>
    <w:rsid w:val="00B655B2"/>
    <w:rsid w:val="00B65965"/>
    <w:rsid w:val="00B65E71"/>
    <w:rsid w:val="00B71D4D"/>
    <w:rsid w:val="00B773F8"/>
    <w:rsid w:val="00B83BC2"/>
    <w:rsid w:val="00B951C2"/>
    <w:rsid w:val="00B97355"/>
    <w:rsid w:val="00BA1BB0"/>
    <w:rsid w:val="00BB1811"/>
    <w:rsid w:val="00BB39EA"/>
    <w:rsid w:val="00BC012D"/>
    <w:rsid w:val="00BC39C4"/>
    <w:rsid w:val="00BC65DD"/>
    <w:rsid w:val="00BC6A37"/>
    <w:rsid w:val="00BD3D3F"/>
    <w:rsid w:val="00BF0BBF"/>
    <w:rsid w:val="00BF1AF6"/>
    <w:rsid w:val="00BF1B74"/>
    <w:rsid w:val="00C02648"/>
    <w:rsid w:val="00C02CA1"/>
    <w:rsid w:val="00C041A1"/>
    <w:rsid w:val="00C063C2"/>
    <w:rsid w:val="00C07128"/>
    <w:rsid w:val="00C10D7D"/>
    <w:rsid w:val="00C14E06"/>
    <w:rsid w:val="00C337CA"/>
    <w:rsid w:val="00C41423"/>
    <w:rsid w:val="00C52F5E"/>
    <w:rsid w:val="00C574A7"/>
    <w:rsid w:val="00C679D3"/>
    <w:rsid w:val="00C731CA"/>
    <w:rsid w:val="00C776BB"/>
    <w:rsid w:val="00C813F8"/>
    <w:rsid w:val="00C85ADA"/>
    <w:rsid w:val="00C91635"/>
    <w:rsid w:val="00C94E01"/>
    <w:rsid w:val="00C95A55"/>
    <w:rsid w:val="00C96B46"/>
    <w:rsid w:val="00CA1288"/>
    <w:rsid w:val="00CA4592"/>
    <w:rsid w:val="00CA4A62"/>
    <w:rsid w:val="00CA7841"/>
    <w:rsid w:val="00CB1300"/>
    <w:rsid w:val="00CB4B98"/>
    <w:rsid w:val="00CC1B90"/>
    <w:rsid w:val="00CC33C6"/>
    <w:rsid w:val="00CC39DF"/>
    <w:rsid w:val="00CC45EF"/>
    <w:rsid w:val="00CD20FE"/>
    <w:rsid w:val="00CD405F"/>
    <w:rsid w:val="00CE10A4"/>
    <w:rsid w:val="00D041C4"/>
    <w:rsid w:val="00D07BC4"/>
    <w:rsid w:val="00D170C0"/>
    <w:rsid w:val="00D17121"/>
    <w:rsid w:val="00D20A08"/>
    <w:rsid w:val="00D228B1"/>
    <w:rsid w:val="00D24CBD"/>
    <w:rsid w:val="00D25ADD"/>
    <w:rsid w:val="00D3632A"/>
    <w:rsid w:val="00D4167C"/>
    <w:rsid w:val="00D56571"/>
    <w:rsid w:val="00D57A8D"/>
    <w:rsid w:val="00D642F2"/>
    <w:rsid w:val="00D70CA4"/>
    <w:rsid w:val="00D71BA6"/>
    <w:rsid w:val="00D7379A"/>
    <w:rsid w:val="00D767DF"/>
    <w:rsid w:val="00D77294"/>
    <w:rsid w:val="00D8136D"/>
    <w:rsid w:val="00D834A7"/>
    <w:rsid w:val="00D94A8D"/>
    <w:rsid w:val="00D97817"/>
    <w:rsid w:val="00DB343A"/>
    <w:rsid w:val="00DB5256"/>
    <w:rsid w:val="00DB6745"/>
    <w:rsid w:val="00DB7ECB"/>
    <w:rsid w:val="00DC1CC4"/>
    <w:rsid w:val="00DC2479"/>
    <w:rsid w:val="00DC35EC"/>
    <w:rsid w:val="00DC4C49"/>
    <w:rsid w:val="00DC6EFB"/>
    <w:rsid w:val="00DD20EC"/>
    <w:rsid w:val="00DD215C"/>
    <w:rsid w:val="00DD2FFC"/>
    <w:rsid w:val="00DE0F68"/>
    <w:rsid w:val="00DE5577"/>
    <w:rsid w:val="00DE5858"/>
    <w:rsid w:val="00DF2128"/>
    <w:rsid w:val="00E0551A"/>
    <w:rsid w:val="00E10687"/>
    <w:rsid w:val="00E21296"/>
    <w:rsid w:val="00E2191E"/>
    <w:rsid w:val="00E24708"/>
    <w:rsid w:val="00E248BC"/>
    <w:rsid w:val="00E26C7F"/>
    <w:rsid w:val="00E272A3"/>
    <w:rsid w:val="00E275E0"/>
    <w:rsid w:val="00E310CF"/>
    <w:rsid w:val="00E335DE"/>
    <w:rsid w:val="00E3773D"/>
    <w:rsid w:val="00E41D08"/>
    <w:rsid w:val="00E44E30"/>
    <w:rsid w:val="00E45940"/>
    <w:rsid w:val="00E56918"/>
    <w:rsid w:val="00E5732E"/>
    <w:rsid w:val="00E60C89"/>
    <w:rsid w:val="00E65D50"/>
    <w:rsid w:val="00E70C75"/>
    <w:rsid w:val="00E814D9"/>
    <w:rsid w:val="00E81F8B"/>
    <w:rsid w:val="00E83A9F"/>
    <w:rsid w:val="00E9412A"/>
    <w:rsid w:val="00E9504A"/>
    <w:rsid w:val="00EA1A2D"/>
    <w:rsid w:val="00EA745A"/>
    <w:rsid w:val="00EA7E7C"/>
    <w:rsid w:val="00EB6095"/>
    <w:rsid w:val="00EC570A"/>
    <w:rsid w:val="00EC5DE0"/>
    <w:rsid w:val="00ED216C"/>
    <w:rsid w:val="00ED2C53"/>
    <w:rsid w:val="00ED3BF6"/>
    <w:rsid w:val="00ED3F2E"/>
    <w:rsid w:val="00ED75AB"/>
    <w:rsid w:val="00EE188B"/>
    <w:rsid w:val="00EE4792"/>
    <w:rsid w:val="00EF6920"/>
    <w:rsid w:val="00F00DD1"/>
    <w:rsid w:val="00F01210"/>
    <w:rsid w:val="00F05B80"/>
    <w:rsid w:val="00F06C39"/>
    <w:rsid w:val="00F079F5"/>
    <w:rsid w:val="00F175C6"/>
    <w:rsid w:val="00F2183E"/>
    <w:rsid w:val="00F23B63"/>
    <w:rsid w:val="00F3325E"/>
    <w:rsid w:val="00F33E1B"/>
    <w:rsid w:val="00F346F2"/>
    <w:rsid w:val="00F40632"/>
    <w:rsid w:val="00F422B3"/>
    <w:rsid w:val="00F56F3F"/>
    <w:rsid w:val="00F60C19"/>
    <w:rsid w:val="00F6769D"/>
    <w:rsid w:val="00F705A6"/>
    <w:rsid w:val="00F70F43"/>
    <w:rsid w:val="00F723FE"/>
    <w:rsid w:val="00F76AAD"/>
    <w:rsid w:val="00F81BF1"/>
    <w:rsid w:val="00F82761"/>
    <w:rsid w:val="00F83C7A"/>
    <w:rsid w:val="00F84D7B"/>
    <w:rsid w:val="00F8698E"/>
    <w:rsid w:val="00F87B55"/>
    <w:rsid w:val="00F93503"/>
    <w:rsid w:val="00FB1A58"/>
    <w:rsid w:val="00FB1FA4"/>
    <w:rsid w:val="00FB1FE4"/>
    <w:rsid w:val="00FC3261"/>
    <w:rsid w:val="00FD2542"/>
    <w:rsid w:val="00FF3F9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EC5D1"/>
  <w15:chartTrackingRefBased/>
  <w15:docId w15:val="{5792D366-9920-4DDC-AD0D-50924223A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440"/>
  </w:style>
  <w:style w:type="paragraph" w:styleId="Heading1">
    <w:name w:val="heading 1"/>
    <w:basedOn w:val="Normal"/>
    <w:next w:val="Normal"/>
    <w:link w:val="Heading1Char"/>
    <w:uiPriority w:val="9"/>
    <w:qFormat/>
    <w:rsid w:val="001A2A9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57F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57F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A92"/>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A2A92"/>
    <w:pPr>
      <w:outlineLvl w:val="9"/>
    </w:pPr>
    <w:rPr>
      <w:lang w:val="en-US"/>
    </w:rPr>
  </w:style>
  <w:style w:type="paragraph" w:styleId="ListParagraph">
    <w:name w:val="List Paragraph"/>
    <w:basedOn w:val="Normal"/>
    <w:uiPriority w:val="34"/>
    <w:qFormat/>
    <w:rsid w:val="001A2A92"/>
    <w:pPr>
      <w:ind w:left="720"/>
      <w:contextualSpacing/>
    </w:pPr>
  </w:style>
  <w:style w:type="paragraph" w:styleId="TOC1">
    <w:name w:val="toc 1"/>
    <w:basedOn w:val="Normal"/>
    <w:next w:val="Normal"/>
    <w:autoRedefine/>
    <w:uiPriority w:val="39"/>
    <w:unhideWhenUsed/>
    <w:rsid w:val="000E64CA"/>
    <w:pPr>
      <w:spacing w:after="100"/>
    </w:pPr>
  </w:style>
  <w:style w:type="character" w:styleId="Hyperlink">
    <w:name w:val="Hyperlink"/>
    <w:basedOn w:val="DefaultParagraphFont"/>
    <w:uiPriority w:val="99"/>
    <w:unhideWhenUsed/>
    <w:rsid w:val="000E64CA"/>
    <w:rPr>
      <w:color w:val="0563C1" w:themeColor="hyperlink"/>
      <w:u w:val="single"/>
    </w:rPr>
  </w:style>
  <w:style w:type="character" w:styleId="CommentReference">
    <w:name w:val="annotation reference"/>
    <w:basedOn w:val="DefaultParagraphFont"/>
    <w:uiPriority w:val="99"/>
    <w:semiHidden/>
    <w:unhideWhenUsed/>
    <w:rsid w:val="001D2BB2"/>
    <w:rPr>
      <w:sz w:val="16"/>
      <w:szCs w:val="16"/>
    </w:rPr>
  </w:style>
  <w:style w:type="paragraph" w:styleId="CommentText">
    <w:name w:val="annotation text"/>
    <w:basedOn w:val="Normal"/>
    <w:link w:val="CommentTextChar"/>
    <w:uiPriority w:val="99"/>
    <w:semiHidden/>
    <w:unhideWhenUsed/>
    <w:rsid w:val="001D2BB2"/>
    <w:pPr>
      <w:spacing w:line="240" w:lineRule="auto"/>
    </w:pPr>
    <w:rPr>
      <w:sz w:val="20"/>
      <w:szCs w:val="20"/>
    </w:rPr>
  </w:style>
  <w:style w:type="character" w:customStyle="1" w:styleId="CommentTextChar">
    <w:name w:val="Comment Text Char"/>
    <w:basedOn w:val="DefaultParagraphFont"/>
    <w:link w:val="CommentText"/>
    <w:uiPriority w:val="99"/>
    <w:semiHidden/>
    <w:rsid w:val="001D2BB2"/>
    <w:rPr>
      <w:sz w:val="20"/>
      <w:szCs w:val="20"/>
    </w:rPr>
  </w:style>
  <w:style w:type="paragraph" w:styleId="CommentSubject">
    <w:name w:val="annotation subject"/>
    <w:basedOn w:val="CommentText"/>
    <w:next w:val="CommentText"/>
    <w:link w:val="CommentSubjectChar"/>
    <w:uiPriority w:val="99"/>
    <w:semiHidden/>
    <w:unhideWhenUsed/>
    <w:rsid w:val="001D2BB2"/>
    <w:rPr>
      <w:b/>
      <w:bCs/>
    </w:rPr>
  </w:style>
  <w:style w:type="character" w:customStyle="1" w:styleId="CommentSubjectChar">
    <w:name w:val="Comment Subject Char"/>
    <w:basedOn w:val="CommentTextChar"/>
    <w:link w:val="CommentSubject"/>
    <w:uiPriority w:val="99"/>
    <w:semiHidden/>
    <w:rsid w:val="001D2BB2"/>
    <w:rPr>
      <w:b/>
      <w:bCs/>
      <w:sz w:val="20"/>
      <w:szCs w:val="20"/>
    </w:rPr>
  </w:style>
  <w:style w:type="paragraph" w:styleId="BalloonText">
    <w:name w:val="Balloon Text"/>
    <w:basedOn w:val="Normal"/>
    <w:link w:val="BalloonTextChar"/>
    <w:uiPriority w:val="99"/>
    <w:semiHidden/>
    <w:unhideWhenUsed/>
    <w:rsid w:val="001D2B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2BB2"/>
    <w:rPr>
      <w:rFonts w:ascii="Segoe UI" w:hAnsi="Segoe UI" w:cs="Segoe UI"/>
      <w:sz w:val="18"/>
      <w:szCs w:val="18"/>
    </w:rPr>
  </w:style>
  <w:style w:type="character" w:customStyle="1" w:styleId="Heading2Char">
    <w:name w:val="Heading 2 Char"/>
    <w:basedOn w:val="DefaultParagraphFont"/>
    <w:link w:val="Heading2"/>
    <w:uiPriority w:val="9"/>
    <w:rsid w:val="00A57F0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57F01"/>
    <w:rPr>
      <w:rFonts w:asciiTheme="majorHAnsi" w:eastAsiaTheme="majorEastAsia" w:hAnsiTheme="majorHAnsi" w:cstheme="majorBidi"/>
      <w:color w:val="1F4D78" w:themeColor="accent1" w:themeShade="7F"/>
      <w:sz w:val="24"/>
      <w:szCs w:val="24"/>
    </w:rPr>
  </w:style>
  <w:style w:type="paragraph" w:styleId="TOC2">
    <w:name w:val="toc 2"/>
    <w:basedOn w:val="Normal"/>
    <w:next w:val="Normal"/>
    <w:autoRedefine/>
    <w:uiPriority w:val="39"/>
    <w:unhideWhenUsed/>
    <w:rsid w:val="00A57F01"/>
    <w:pPr>
      <w:spacing w:after="100"/>
      <w:ind w:left="220"/>
    </w:pPr>
  </w:style>
  <w:style w:type="paragraph" w:styleId="TOC3">
    <w:name w:val="toc 3"/>
    <w:basedOn w:val="Normal"/>
    <w:next w:val="Normal"/>
    <w:autoRedefine/>
    <w:uiPriority w:val="39"/>
    <w:unhideWhenUsed/>
    <w:rsid w:val="00A57F01"/>
    <w:pPr>
      <w:spacing w:after="100"/>
      <w:ind w:left="440"/>
    </w:pPr>
  </w:style>
  <w:style w:type="paragraph" w:styleId="Header">
    <w:name w:val="header"/>
    <w:basedOn w:val="Normal"/>
    <w:link w:val="HeaderChar"/>
    <w:uiPriority w:val="99"/>
    <w:unhideWhenUsed/>
    <w:rsid w:val="00DD215C"/>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215C"/>
  </w:style>
  <w:style w:type="paragraph" w:styleId="Footer">
    <w:name w:val="footer"/>
    <w:basedOn w:val="Normal"/>
    <w:link w:val="FooterChar"/>
    <w:uiPriority w:val="99"/>
    <w:unhideWhenUsed/>
    <w:rsid w:val="00DD215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215C"/>
  </w:style>
  <w:style w:type="table" w:styleId="TableGrid">
    <w:name w:val="Table Grid"/>
    <w:basedOn w:val="TableNormal"/>
    <w:uiPriority w:val="39"/>
    <w:rsid w:val="008358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3B63"/>
    <w:rPr>
      <w:color w:val="954F72" w:themeColor="followedHyperlink"/>
      <w:u w:val="single"/>
    </w:rPr>
  </w:style>
  <w:style w:type="paragraph" w:styleId="FootnoteText">
    <w:name w:val="footnote text"/>
    <w:basedOn w:val="Normal"/>
    <w:link w:val="FootnoteTextChar"/>
    <w:uiPriority w:val="99"/>
    <w:semiHidden/>
    <w:unhideWhenUsed/>
    <w:rsid w:val="009A5AF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5AF4"/>
    <w:rPr>
      <w:sz w:val="20"/>
      <w:szCs w:val="20"/>
    </w:rPr>
  </w:style>
  <w:style w:type="character" w:styleId="FootnoteReference">
    <w:name w:val="footnote reference"/>
    <w:basedOn w:val="DefaultParagraphFont"/>
    <w:uiPriority w:val="99"/>
    <w:unhideWhenUsed/>
    <w:rsid w:val="009A5AF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293497">
      <w:bodyDiv w:val="1"/>
      <w:marLeft w:val="0"/>
      <w:marRight w:val="0"/>
      <w:marTop w:val="0"/>
      <w:marBottom w:val="0"/>
      <w:divBdr>
        <w:top w:val="none" w:sz="0" w:space="0" w:color="auto"/>
        <w:left w:val="none" w:sz="0" w:space="0" w:color="auto"/>
        <w:bottom w:val="none" w:sz="0" w:space="0" w:color="auto"/>
        <w:right w:val="none" w:sz="0" w:space="0" w:color="auto"/>
      </w:divBdr>
    </w:div>
    <w:div w:id="391658673">
      <w:bodyDiv w:val="1"/>
      <w:marLeft w:val="0"/>
      <w:marRight w:val="0"/>
      <w:marTop w:val="0"/>
      <w:marBottom w:val="0"/>
      <w:divBdr>
        <w:top w:val="none" w:sz="0" w:space="0" w:color="auto"/>
        <w:left w:val="none" w:sz="0" w:space="0" w:color="auto"/>
        <w:bottom w:val="none" w:sz="0" w:space="0" w:color="auto"/>
        <w:right w:val="none" w:sz="0" w:space="0" w:color="auto"/>
      </w:divBdr>
    </w:div>
    <w:div w:id="419251588">
      <w:bodyDiv w:val="1"/>
      <w:marLeft w:val="0"/>
      <w:marRight w:val="0"/>
      <w:marTop w:val="0"/>
      <w:marBottom w:val="0"/>
      <w:divBdr>
        <w:top w:val="none" w:sz="0" w:space="0" w:color="auto"/>
        <w:left w:val="none" w:sz="0" w:space="0" w:color="auto"/>
        <w:bottom w:val="none" w:sz="0" w:space="0" w:color="auto"/>
        <w:right w:val="none" w:sz="0" w:space="0" w:color="auto"/>
      </w:divBdr>
    </w:div>
    <w:div w:id="545601794">
      <w:bodyDiv w:val="1"/>
      <w:marLeft w:val="0"/>
      <w:marRight w:val="0"/>
      <w:marTop w:val="0"/>
      <w:marBottom w:val="0"/>
      <w:divBdr>
        <w:top w:val="none" w:sz="0" w:space="0" w:color="auto"/>
        <w:left w:val="none" w:sz="0" w:space="0" w:color="auto"/>
        <w:bottom w:val="none" w:sz="0" w:space="0" w:color="auto"/>
        <w:right w:val="none" w:sz="0" w:space="0" w:color="auto"/>
      </w:divBdr>
    </w:div>
    <w:div w:id="575869944">
      <w:bodyDiv w:val="1"/>
      <w:marLeft w:val="0"/>
      <w:marRight w:val="0"/>
      <w:marTop w:val="0"/>
      <w:marBottom w:val="0"/>
      <w:divBdr>
        <w:top w:val="none" w:sz="0" w:space="0" w:color="auto"/>
        <w:left w:val="none" w:sz="0" w:space="0" w:color="auto"/>
        <w:bottom w:val="none" w:sz="0" w:space="0" w:color="auto"/>
        <w:right w:val="none" w:sz="0" w:space="0" w:color="auto"/>
      </w:divBdr>
    </w:div>
    <w:div w:id="596444824">
      <w:bodyDiv w:val="1"/>
      <w:marLeft w:val="0"/>
      <w:marRight w:val="0"/>
      <w:marTop w:val="0"/>
      <w:marBottom w:val="0"/>
      <w:divBdr>
        <w:top w:val="none" w:sz="0" w:space="0" w:color="auto"/>
        <w:left w:val="none" w:sz="0" w:space="0" w:color="auto"/>
        <w:bottom w:val="none" w:sz="0" w:space="0" w:color="auto"/>
        <w:right w:val="none" w:sz="0" w:space="0" w:color="auto"/>
      </w:divBdr>
    </w:div>
    <w:div w:id="605311139">
      <w:bodyDiv w:val="1"/>
      <w:marLeft w:val="0"/>
      <w:marRight w:val="0"/>
      <w:marTop w:val="0"/>
      <w:marBottom w:val="0"/>
      <w:divBdr>
        <w:top w:val="none" w:sz="0" w:space="0" w:color="auto"/>
        <w:left w:val="none" w:sz="0" w:space="0" w:color="auto"/>
        <w:bottom w:val="none" w:sz="0" w:space="0" w:color="auto"/>
        <w:right w:val="none" w:sz="0" w:space="0" w:color="auto"/>
      </w:divBdr>
    </w:div>
    <w:div w:id="659965708">
      <w:bodyDiv w:val="1"/>
      <w:marLeft w:val="0"/>
      <w:marRight w:val="0"/>
      <w:marTop w:val="0"/>
      <w:marBottom w:val="0"/>
      <w:divBdr>
        <w:top w:val="none" w:sz="0" w:space="0" w:color="auto"/>
        <w:left w:val="none" w:sz="0" w:space="0" w:color="auto"/>
        <w:bottom w:val="none" w:sz="0" w:space="0" w:color="auto"/>
        <w:right w:val="none" w:sz="0" w:space="0" w:color="auto"/>
      </w:divBdr>
    </w:div>
    <w:div w:id="758065893">
      <w:bodyDiv w:val="1"/>
      <w:marLeft w:val="0"/>
      <w:marRight w:val="0"/>
      <w:marTop w:val="0"/>
      <w:marBottom w:val="0"/>
      <w:divBdr>
        <w:top w:val="none" w:sz="0" w:space="0" w:color="auto"/>
        <w:left w:val="none" w:sz="0" w:space="0" w:color="auto"/>
        <w:bottom w:val="none" w:sz="0" w:space="0" w:color="auto"/>
        <w:right w:val="none" w:sz="0" w:space="0" w:color="auto"/>
      </w:divBdr>
    </w:div>
    <w:div w:id="819661645">
      <w:bodyDiv w:val="1"/>
      <w:marLeft w:val="0"/>
      <w:marRight w:val="0"/>
      <w:marTop w:val="0"/>
      <w:marBottom w:val="0"/>
      <w:divBdr>
        <w:top w:val="none" w:sz="0" w:space="0" w:color="auto"/>
        <w:left w:val="none" w:sz="0" w:space="0" w:color="auto"/>
        <w:bottom w:val="none" w:sz="0" w:space="0" w:color="auto"/>
        <w:right w:val="none" w:sz="0" w:space="0" w:color="auto"/>
      </w:divBdr>
    </w:div>
    <w:div w:id="943537741">
      <w:bodyDiv w:val="1"/>
      <w:marLeft w:val="0"/>
      <w:marRight w:val="0"/>
      <w:marTop w:val="0"/>
      <w:marBottom w:val="0"/>
      <w:divBdr>
        <w:top w:val="none" w:sz="0" w:space="0" w:color="auto"/>
        <w:left w:val="none" w:sz="0" w:space="0" w:color="auto"/>
        <w:bottom w:val="none" w:sz="0" w:space="0" w:color="auto"/>
        <w:right w:val="none" w:sz="0" w:space="0" w:color="auto"/>
      </w:divBdr>
    </w:div>
    <w:div w:id="1044603814">
      <w:bodyDiv w:val="1"/>
      <w:marLeft w:val="0"/>
      <w:marRight w:val="0"/>
      <w:marTop w:val="0"/>
      <w:marBottom w:val="0"/>
      <w:divBdr>
        <w:top w:val="none" w:sz="0" w:space="0" w:color="auto"/>
        <w:left w:val="none" w:sz="0" w:space="0" w:color="auto"/>
        <w:bottom w:val="none" w:sz="0" w:space="0" w:color="auto"/>
        <w:right w:val="none" w:sz="0" w:space="0" w:color="auto"/>
      </w:divBdr>
    </w:div>
    <w:div w:id="1050542744">
      <w:bodyDiv w:val="1"/>
      <w:marLeft w:val="0"/>
      <w:marRight w:val="0"/>
      <w:marTop w:val="0"/>
      <w:marBottom w:val="0"/>
      <w:divBdr>
        <w:top w:val="none" w:sz="0" w:space="0" w:color="auto"/>
        <w:left w:val="none" w:sz="0" w:space="0" w:color="auto"/>
        <w:bottom w:val="none" w:sz="0" w:space="0" w:color="auto"/>
        <w:right w:val="none" w:sz="0" w:space="0" w:color="auto"/>
      </w:divBdr>
    </w:div>
    <w:div w:id="1204707169">
      <w:bodyDiv w:val="1"/>
      <w:marLeft w:val="0"/>
      <w:marRight w:val="0"/>
      <w:marTop w:val="0"/>
      <w:marBottom w:val="0"/>
      <w:divBdr>
        <w:top w:val="none" w:sz="0" w:space="0" w:color="auto"/>
        <w:left w:val="none" w:sz="0" w:space="0" w:color="auto"/>
        <w:bottom w:val="none" w:sz="0" w:space="0" w:color="auto"/>
        <w:right w:val="none" w:sz="0" w:space="0" w:color="auto"/>
      </w:divBdr>
    </w:div>
    <w:div w:id="1246302438">
      <w:bodyDiv w:val="1"/>
      <w:marLeft w:val="0"/>
      <w:marRight w:val="0"/>
      <w:marTop w:val="0"/>
      <w:marBottom w:val="0"/>
      <w:divBdr>
        <w:top w:val="none" w:sz="0" w:space="0" w:color="auto"/>
        <w:left w:val="none" w:sz="0" w:space="0" w:color="auto"/>
        <w:bottom w:val="none" w:sz="0" w:space="0" w:color="auto"/>
        <w:right w:val="none" w:sz="0" w:space="0" w:color="auto"/>
      </w:divBdr>
    </w:div>
    <w:div w:id="1496455305">
      <w:bodyDiv w:val="1"/>
      <w:marLeft w:val="0"/>
      <w:marRight w:val="0"/>
      <w:marTop w:val="0"/>
      <w:marBottom w:val="0"/>
      <w:divBdr>
        <w:top w:val="none" w:sz="0" w:space="0" w:color="auto"/>
        <w:left w:val="none" w:sz="0" w:space="0" w:color="auto"/>
        <w:bottom w:val="none" w:sz="0" w:space="0" w:color="auto"/>
        <w:right w:val="none" w:sz="0" w:space="0" w:color="auto"/>
      </w:divBdr>
    </w:div>
    <w:div w:id="1531382753">
      <w:bodyDiv w:val="1"/>
      <w:marLeft w:val="0"/>
      <w:marRight w:val="0"/>
      <w:marTop w:val="0"/>
      <w:marBottom w:val="0"/>
      <w:divBdr>
        <w:top w:val="none" w:sz="0" w:space="0" w:color="auto"/>
        <w:left w:val="none" w:sz="0" w:space="0" w:color="auto"/>
        <w:bottom w:val="none" w:sz="0" w:space="0" w:color="auto"/>
        <w:right w:val="none" w:sz="0" w:space="0" w:color="auto"/>
      </w:divBdr>
    </w:div>
    <w:div w:id="1586265141">
      <w:bodyDiv w:val="1"/>
      <w:marLeft w:val="0"/>
      <w:marRight w:val="0"/>
      <w:marTop w:val="0"/>
      <w:marBottom w:val="0"/>
      <w:divBdr>
        <w:top w:val="none" w:sz="0" w:space="0" w:color="auto"/>
        <w:left w:val="none" w:sz="0" w:space="0" w:color="auto"/>
        <w:bottom w:val="none" w:sz="0" w:space="0" w:color="auto"/>
        <w:right w:val="none" w:sz="0" w:space="0" w:color="auto"/>
      </w:divBdr>
    </w:div>
    <w:div w:id="1659261739">
      <w:bodyDiv w:val="1"/>
      <w:marLeft w:val="0"/>
      <w:marRight w:val="0"/>
      <w:marTop w:val="0"/>
      <w:marBottom w:val="0"/>
      <w:divBdr>
        <w:top w:val="none" w:sz="0" w:space="0" w:color="auto"/>
        <w:left w:val="none" w:sz="0" w:space="0" w:color="auto"/>
        <w:bottom w:val="none" w:sz="0" w:space="0" w:color="auto"/>
        <w:right w:val="none" w:sz="0" w:space="0" w:color="auto"/>
      </w:divBdr>
    </w:div>
    <w:div w:id="1676346331">
      <w:bodyDiv w:val="1"/>
      <w:marLeft w:val="0"/>
      <w:marRight w:val="0"/>
      <w:marTop w:val="0"/>
      <w:marBottom w:val="0"/>
      <w:divBdr>
        <w:top w:val="none" w:sz="0" w:space="0" w:color="auto"/>
        <w:left w:val="none" w:sz="0" w:space="0" w:color="auto"/>
        <w:bottom w:val="none" w:sz="0" w:space="0" w:color="auto"/>
        <w:right w:val="none" w:sz="0" w:space="0" w:color="auto"/>
      </w:divBdr>
    </w:div>
    <w:div w:id="1685286165">
      <w:bodyDiv w:val="1"/>
      <w:marLeft w:val="0"/>
      <w:marRight w:val="0"/>
      <w:marTop w:val="0"/>
      <w:marBottom w:val="0"/>
      <w:divBdr>
        <w:top w:val="none" w:sz="0" w:space="0" w:color="auto"/>
        <w:left w:val="none" w:sz="0" w:space="0" w:color="auto"/>
        <w:bottom w:val="none" w:sz="0" w:space="0" w:color="auto"/>
        <w:right w:val="none" w:sz="0" w:space="0" w:color="auto"/>
      </w:divBdr>
    </w:div>
    <w:div w:id="1700429068">
      <w:bodyDiv w:val="1"/>
      <w:marLeft w:val="0"/>
      <w:marRight w:val="0"/>
      <w:marTop w:val="0"/>
      <w:marBottom w:val="0"/>
      <w:divBdr>
        <w:top w:val="none" w:sz="0" w:space="0" w:color="auto"/>
        <w:left w:val="none" w:sz="0" w:space="0" w:color="auto"/>
        <w:bottom w:val="none" w:sz="0" w:space="0" w:color="auto"/>
        <w:right w:val="none" w:sz="0" w:space="0" w:color="auto"/>
      </w:divBdr>
    </w:div>
    <w:div w:id="1794908040">
      <w:bodyDiv w:val="1"/>
      <w:marLeft w:val="0"/>
      <w:marRight w:val="0"/>
      <w:marTop w:val="0"/>
      <w:marBottom w:val="0"/>
      <w:divBdr>
        <w:top w:val="none" w:sz="0" w:space="0" w:color="auto"/>
        <w:left w:val="none" w:sz="0" w:space="0" w:color="auto"/>
        <w:bottom w:val="none" w:sz="0" w:space="0" w:color="auto"/>
        <w:right w:val="none" w:sz="0" w:space="0" w:color="auto"/>
      </w:divBdr>
    </w:div>
    <w:div w:id="1863862218">
      <w:bodyDiv w:val="1"/>
      <w:marLeft w:val="0"/>
      <w:marRight w:val="0"/>
      <w:marTop w:val="0"/>
      <w:marBottom w:val="0"/>
      <w:divBdr>
        <w:top w:val="none" w:sz="0" w:space="0" w:color="auto"/>
        <w:left w:val="none" w:sz="0" w:space="0" w:color="auto"/>
        <w:bottom w:val="none" w:sz="0" w:space="0" w:color="auto"/>
        <w:right w:val="none" w:sz="0" w:space="0" w:color="auto"/>
      </w:divBdr>
    </w:div>
    <w:div w:id="1954245551">
      <w:bodyDiv w:val="1"/>
      <w:marLeft w:val="0"/>
      <w:marRight w:val="0"/>
      <w:marTop w:val="0"/>
      <w:marBottom w:val="0"/>
      <w:divBdr>
        <w:top w:val="none" w:sz="0" w:space="0" w:color="auto"/>
        <w:left w:val="none" w:sz="0" w:space="0" w:color="auto"/>
        <w:bottom w:val="none" w:sz="0" w:space="0" w:color="auto"/>
        <w:right w:val="none" w:sz="0" w:space="0" w:color="auto"/>
      </w:divBdr>
    </w:div>
    <w:div w:id="1975675267">
      <w:bodyDiv w:val="1"/>
      <w:marLeft w:val="0"/>
      <w:marRight w:val="0"/>
      <w:marTop w:val="0"/>
      <w:marBottom w:val="0"/>
      <w:divBdr>
        <w:top w:val="none" w:sz="0" w:space="0" w:color="auto"/>
        <w:left w:val="none" w:sz="0" w:space="0" w:color="auto"/>
        <w:bottom w:val="none" w:sz="0" w:space="0" w:color="auto"/>
        <w:right w:val="none" w:sz="0" w:space="0" w:color="auto"/>
      </w:divBdr>
    </w:div>
    <w:div w:id="2015916725">
      <w:bodyDiv w:val="1"/>
      <w:marLeft w:val="0"/>
      <w:marRight w:val="0"/>
      <w:marTop w:val="0"/>
      <w:marBottom w:val="0"/>
      <w:divBdr>
        <w:top w:val="none" w:sz="0" w:space="0" w:color="auto"/>
        <w:left w:val="none" w:sz="0" w:space="0" w:color="auto"/>
        <w:bottom w:val="none" w:sz="0" w:space="0" w:color="auto"/>
        <w:right w:val="none" w:sz="0" w:space="0" w:color="auto"/>
      </w:divBdr>
    </w:div>
    <w:div w:id="2116319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hakom.hr/default.aspx?id=191" TargetMode="External"/><Relationship Id="rId4" Type="http://schemas.openxmlformats.org/officeDocument/2006/relationships/settings" Target="settings.xml"/><Relationship Id="rId9" Type="http://schemas.openxmlformats.org/officeDocument/2006/relationships/hyperlink" Target="https://www.hakom.hr/UserDocsImages/2017/propisi/Pro&#269;i&#353;&#263;eni-Pravilnik%20o%20rf%20spektru-20171110.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HR/TXT/PDF/?uri=CELEX:32015D0750&amp;from=EN" TargetMode="External"/><Relationship Id="rId13" Type="http://schemas.openxmlformats.org/officeDocument/2006/relationships/hyperlink" Target="https://narodne-novine.nn.hr/clanci/sluzbeni/2020_10_110_2186.html" TargetMode="External"/><Relationship Id="rId18" Type="http://schemas.openxmlformats.org/officeDocument/2006/relationships/hyperlink" Target="https://www.hakom.hr/UserDocsImages/2021/propisi/Plan_dodjele_za_frekvencijski_pojas-3_6GHz_nakon_JR_20210505_NN53_21.pdf?vel=614991" TargetMode="External"/><Relationship Id="rId26" Type="http://schemas.openxmlformats.org/officeDocument/2006/relationships/hyperlink" Target="https://www.hakom.hr/UserDocsImages/2017/propisi/Pro&#269;i&#353;&#263;eni-Pravilnik%20o%20rf%20spektru-20171110.pdf" TargetMode="External"/><Relationship Id="rId3" Type="http://schemas.openxmlformats.org/officeDocument/2006/relationships/hyperlink" Target="https://www.hakom.hr/UserDocsImages/2021/Radiokomunikacije/Baza_rf_spektra_hrv_reginalno_20210823.pdf?vel=208824" TargetMode="External"/><Relationship Id="rId21" Type="http://schemas.openxmlformats.org/officeDocument/2006/relationships/hyperlink" Target="https://eur-lex.europa.eu/legal-content/HR/TXT/PDF/?uri=CELEX:32019D0784&amp;from=EN" TargetMode="External"/><Relationship Id="rId7" Type="http://schemas.openxmlformats.org/officeDocument/2006/relationships/hyperlink" Target="https://narodne-novine.nn.hr/clanci/sluzbeni/2020_10_110_2189.html" TargetMode="External"/><Relationship Id="rId12" Type="http://schemas.openxmlformats.org/officeDocument/2006/relationships/hyperlink" Target="https://docdb.cept.org/download/2926" TargetMode="External"/><Relationship Id="rId17" Type="http://schemas.openxmlformats.org/officeDocument/2006/relationships/hyperlink" Target="https://eur-lex.europa.eu/legal-content/HR/TXT/PDF/?uri=CELEX:32019D0235&amp;from=EN" TargetMode="External"/><Relationship Id="rId25" Type="http://schemas.openxmlformats.org/officeDocument/2006/relationships/hyperlink" Target="https://www.hakom.hr/UserDocsImages/2017/propisi/ZEK-pro&#269;i&#353;&#263;eni%202017.pdf" TargetMode="External"/><Relationship Id="rId2" Type="http://schemas.openxmlformats.org/officeDocument/2006/relationships/hyperlink" Target="https://eur-lex.europa.eu/legal-content/HR/TXT/PDF/?uri=CELEX:32018L1972&amp;from=EN" TargetMode="External"/><Relationship Id="rId16" Type="http://schemas.openxmlformats.org/officeDocument/2006/relationships/hyperlink" Target="https://narodne-novine.nn.hr/clanci/sluzbeni/2020_10_110_2187.html" TargetMode="External"/><Relationship Id="rId20" Type="http://schemas.openxmlformats.org/officeDocument/2006/relationships/hyperlink" Target="https://www.hakom.hr/UserDocsImages/2021/Radiokomunikacije/Baza_rf_spektra_hrv_reginalno_20210823.pdf?vel=208824" TargetMode="External"/><Relationship Id="rId1" Type="http://schemas.openxmlformats.org/officeDocument/2006/relationships/hyperlink" Target="https://www.hakom.hr/UserDocsImages/2021/dokumenti/Baza_rf_spektra_hrv_20210812.pdf?vel=414712" TargetMode="External"/><Relationship Id="rId6" Type="http://schemas.openxmlformats.org/officeDocument/2006/relationships/hyperlink" Target="https://eur-lex.europa.eu/legal-content/HR/TXT/PDF/?uri=CELEX:02009D0766-20180425&amp;from=EN" TargetMode="External"/><Relationship Id="rId11" Type="http://schemas.openxmlformats.org/officeDocument/2006/relationships/hyperlink" Target="https://narodne-novine.nn.hr/clanci/sluzbeni/2020_10_110_2189.html" TargetMode="External"/><Relationship Id="rId24" Type="http://schemas.openxmlformats.org/officeDocument/2006/relationships/hyperlink" Target="https://www.hakom.hr/UserDocsImages/2021/dokumenti/Baza_rf_spektra_hrv_20210812.pdf?vel=414712" TargetMode="External"/><Relationship Id="rId5" Type="http://schemas.openxmlformats.org/officeDocument/2006/relationships/hyperlink" Target="https://narodne-novine.nn.hr/clanci/sluzbeni/2020_10_110_2188.html" TargetMode="External"/><Relationship Id="rId15" Type="http://schemas.openxmlformats.org/officeDocument/2006/relationships/hyperlink" Target="https://docdb.cept.org/download/1664" TargetMode="External"/><Relationship Id="rId23" Type="http://schemas.openxmlformats.org/officeDocument/2006/relationships/hyperlink" Target="https://www.hakom.hr/UserDocsImages/2021/propisi/Plan_dodjele_za_frekvencijski_pojas_26GHz_nakon_JR-20210429_NN53_21.pdf?vel=554368" TargetMode="External"/><Relationship Id="rId28" Type="http://schemas.openxmlformats.org/officeDocument/2006/relationships/hyperlink" Target="https://www.hakom.hr/default.aspx?id=594" TargetMode="External"/><Relationship Id="rId10" Type="http://schemas.openxmlformats.org/officeDocument/2006/relationships/hyperlink" Target="https://eur-lex.europa.eu/legal-content/HR/TXT/PDF/?uri=CELEX:02009D0766-20180425&amp;from=EN" TargetMode="External"/><Relationship Id="rId19" Type="http://schemas.openxmlformats.org/officeDocument/2006/relationships/hyperlink" Target="https://www.hakom.hr/UserDocsImages/2021/dokumenti/Baza_rf_spektra_hrv_20210812.pdf?vel=414712" TargetMode="External"/><Relationship Id="rId4" Type="http://schemas.openxmlformats.org/officeDocument/2006/relationships/hyperlink" Target="https://eur-lex.europa.eu/legal-content/HR/TXT/PDF/?uri=CELEX:32010D0267&amp;from=EN" TargetMode="External"/><Relationship Id="rId9" Type="http://schemas.openxmlformats.org/officeDocument/2006/relationships/hyperlink" Target="https://docdb.cept.org/download/ccf1bd32-f898/ECCDec1303.pdf" TargetMode="External"/><Relationship Id="rId14" Type="http://schemas.openxmlformats.org/officeDocument/2006/relationships/hyperlink" Target="https://eur-lex.europa.eu/legal-content/HR/TXT/PDF/?uri=CELEX:02008D0477-20200512&amp;from=EN" TargetMode="External"/><Relationship Id="rId22" Type="http://schemas.openxmlformats.org/officeDocument/2006/relationships/hyperlink" Target="https://docdb.cept.org/download/1459" TargetMode="External"/><Relationship Id="rId27" Type="http://schemas.openxmlformats.org/officeDocument/2006/relationships/hyperlink" Target="https://www.hakom.hr/UserDocsImages/2021/Radiokomunikacije/Baza_rf_spektra_hrv_reginalno_20210823.pdf?vel=2088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A2876E-4C81-4B74-B16F-888518ED3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3740</Words>
  <Characters>21320</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 Šimac</dc:creator>
  <cp:keywords/>
  <dc:description/>
  <cp:lastModifiedBy>Ivančica Sakal</cp:lastModifiedBy>
  <cp:revision>2</cp:revision>
  <dcterms:created xsi:type="dcterms:W3CDTF">2021-10-22T13:09:00Z</dcterms:created>
  <dcterms:modified xsi:type="dcterms:W3CDTF">2021-10-22T13:09:00Z</dcterms:modified>
</cp:coreProperties>
</file>