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CC2A" w14:textId="77777777" w:rsidR="00A36BA7" w:rsidRPr="00343EBC" w:rsidRDefault="00A36BA7" w:rsidP="005A0F5A">
      <w:pPr>
        <w:jc w:val="right"/>
        <w:rPr>
          <w:i/>
        </w:rPr>
      </w:pPr>
      <w:r w:rsidRPr="00343EBC">
        <w:rPr>
          <w:i/>
          <w:color w:val="1F497D" w:themeColor="text2"/>
        </w:rPr>
        <w:t>PRIJEDLOG ZA JAVNU RASPRAVU</w:t>
      </w:r>
    </w:p>
    <w:p w14:paraId="21301B8F" w14:textId="77777777" w:rsidR="00A36BA7" w:rsidRPr="00343EBC" w:rsidRDefault="00A36BA7" w:rsidP="00FC5E0B">
      <w:pPr>
        <w:jc w:val="both"/>
      </w:pPr>
    </w:p>
    <w:p w14:paraId="4D9E0E8C" w14:textId="77777777" w:rsidR="00A36BA7" w:rsidRPr="00343EBC" w:rsidRDefault="007C5D4A" w:rsidP="00FC5E0B">
      <w:pPr>
        <w:jc w:val="both"/>
      </w:pPr>
      <w:r w:rsidRPr="00343EBC">
        <w:t xml:space="preserve">KLASA: </w:t>
      </w:r>
      <w:r w:rsidR="00A36BA7" w:rsidRPr="00343EBC">
        <w:t>344-03/21-12/56</w:t>
      </w:r>
      <w:r w:rsidR="00A36BA7" w:rsidRPr="00343EBC">
        <w:tab/>
      </w:r>
      <w:r w:rsidR="00A36BA7" w:rsidRPr="00343EBC">
        <w:tab/>
      </w:r>
      <w:r w:rsidR="00A36BA7" w:rsidRPr="00343EBC">
        <w:tab/>
      </w:r>
      <w:r w:rsidR="00A36BA7" w:rsidRPr="00343EBC">
        <w:tab/>
      </w:r>
      <w:r w:rsidR="00A36BA7" w:rsidRPr="00343EBC">
        <w:tab/>
      </w:r>
    </w:p>
    <w:p w14:paraId="43A0E348" w14:textId="77777777" w:rsidR="00CD5A2E" w:rsidRPr="00343EBC" w:rsidRDefault="007C5D4A" w:rsidP="00FC5E0B">
      <w:pPr>
        <w:jc w:val="both"/>
      </w:pPr>
      <w:r w:rsidRPr="00343EBC">
        <w:t xml:space="preserve">URBROJ: </w:t>
      </w:r>
    </w:p>
    <w:p w14:paraId="0E3C1381" w14:textId="77777777" w:rsidR="00CD5A2E" w:rsidRPr="00343EBC" w:rsidRDefault="00A36BA7" w:rsidP="00FC5E0B">
      <w:pPr>
        <w:jc w:val="both"/>
      </w:pPr>
      <w:r w:rsidRPr="00343EBC">
        <w:t>Zagreb, __</w:t>
      </w:r>
      <w:r w:rsidR="00CD5A2E" w:rsidRPr="00343EBC">
        <w:t xml:space="preserve">. </w:t>
      </w:r>
      <w:r w:rsidRPr="00343EBC">
        <w:t>studenog</w:t>
      </w:r>
      <w:r w:rsidR="00CD5A2E" w:rsidRPr="00343EBC">
        <w:t xml:space="preserve"> 20</w:t>
      </w:r>
      <w:r w:rsidR="007C5D4A" w:rsidRPr="00343EBC">
        <w:t>21</w:t>
      </w:r>
      <w:r w:rsidR="00CD5A2E" w:rsidRPr="00343EBC">
        <w:t>.</w:t>
      </w:r>
    </w:p>
    <w:p w14:paraId="31C5073E" w14:textId="77777777" w:rsidR="00CD5A2E" w:rsidRPr="00343EBC" w:rsidRDefault="00CD5A2E" w:rsidP="00FC5E0B">
      <w:pPr>
        <w:jc w:val="both"/>
      </w:pPr>
    </w:p>
    <w:p w14:paraId="6EB3A505" w14:textId="77777777" w:rsidR="00CD5A2E" w:rsidRPr="00343EBC" w:rsidRDefault="00CD5A2E" w:rsidP="00FC5E0B">
      <w:pPr>
        <w:jc w:val="both"/>
      </w:pPr>
      <w:r w:rsidRPr="00343EBC">
        <w:t xml:space="preserve">Na temelju članka 12. stavka </w:t>
      </w:r>
      <w:r w:rsidR="007C5D4A" w:rsidRPr="00343EBC">
        <w:t xml:space="preserve">1. točke </w:t>
      </w:r>
      <w:r w:rsidR="00A36BA7" w:rsidRPr="00343EBC">
        <w:t>4</w:t>
      </w:r>
      <w:r w:rsidR="005949CE" w:rsidRPr="00343EBC">
        <w:t xml:space="preserve">., članka </w:t>
      </w:r>
      <w:r w:rsidR="00A36BA7" w:rsidRPr="00343EBC">
        <w:t>35</w:t>
      </w:r>
      <w:r w:rsidR="005949CE" w:rsidRPr="00343EBC">
        <w:t xml:space="preserve">. </w:t>
      </w:r>
      <w:r w:rsidRPr="00343EBC">
        <w:t>Zakona o elektroničkim komunikacijama (NN br. 73/08, 90/11, 133/12, 80/13, 71/14 i 72/17) te članka</w:t>
      </w:r>
      <w:r w:rsidR="00A36BA7" w:rsidRPr="00343EBC">
        <w:t xml:space="preserve"> </w:t>
      </w:r>
      <w:r w:rsidR="00564B33" w:rsidRPr="00343EBC">
        <w:t>96</w:t>
      </w:r>
      <w:r w:rsidRPr="00343EBC">
        <w:t>. Zakona o općem upravnom post</w:t>
      </w:r>
      <w:r w:rsidR="00A36BA7" w:rsidRPr="00343EBC">
        <w:t>upku (NN br. 47/09), u postupku preispitivanja statusa postojećih univerzalnih usluga</w:t>
      </w:r>
      <w:r w:rsidRPr="00343EBC">
        <w:t>, Vijeće Hrvatske regulatorne agencije za mrežne djelat</w:t>
      </w:r>
      <w:r w:rsidR="00C83FCB" w:rsidRPr="00343EBC">
        <w:t xml:space="preserve">nosti na sjednici održanoj </w:t>
      </w:r>
      <w:r w:rsidR="00A36BA7" w:rsidRPr="00343EBC">
        <w:t>_________</w:t>
      </w:r>
      <w:r w:rsidRPr="00343EBC">
        <w:t xml:space="preserve"> 20</w:t>
      </w:r>
      <w:r w:rsidR="00C83FCB" w:rsidRPr="00343EBC">
        <w:t>21</w:t>
      </w:r>
      <w:r w:rsidRPr="00343EBC">
        <w:t>. donijelo</w:t>
      </w:r>
      <w:r w:rsidR="00A36BA7" w:rsidRPr="00343EBC">
        <w:t xml:space="preserve"> je sljedeću</w:t>
      </w:r>
    </w:p>
    <w:p w14:paraId="7CCEA64D" w14:textId="77777777" w:rsidR="00CD5A2E" w:rsidRPr="00343EBC" w:rsidRDefault="00CD5A2E" w:rsidP="00FC5E0B">
      <w:pPr>
        <w:jc w:val="both"/>
      </w:pPr>
    </w:p>
    <w:p w14:paraId="1ECED0FC" w14:textId="77777777" w:rsidR="00CD5A2E" w:rsidRPr="00343EBC" w:rsidRDefault="00CD5A2E" w:rsidP="00FC5E0B">
      <w:pPr>
        <w:jc w:val="both"/>
      </w:pPr>
    </w:p>
    <w:p w14:paraId="7F341482" w14:textId="77777777" w:rsidR="00CD5A2E" w:rsidRPr="00343EBC" w:rsidRDefault="00CD5A2E" w:rsidP="00FC5E0B">
      <w:pPr>
        <w:jc w:val="both"/>
      </w:pPr>
    </w:p>
    <w:p w14:paraId="0C03AB94" w14:textId="77777777" w:rsidR="00CD5A2E" w:rsidRPr="00343EBC" w:rsidRDefault="00A36BA7" w:rsidP="00FC5E0B">
      <w:pPr>
        <w:jc w:val="center"/>
        <w:rPr>
          <w:b/>
        </w:rPr>
      </w:pPr>
      <w:r w:rsidRPr="00343EBC">
        <w:rPr>
          <w:b/>
        </w:rPr>
        <w:t>ODLUKU</w:t>
      </w:r>
    </w:p>
    <w:p w14:paraId="03D9F30F" w14:textId="77777777" w:rsidR="00CD5A2E" w:rsidRPr="00343EBC" w:rsidRDefault="00CD5A2E" w:rsidP="00FC5E0B">
      <w:pPr>
        <w:jc w:val="both"/>
      </w:pPr>
    </w:p>
    <w:p w14:paraId="5B4E32F5" w14:textId="77777777" w:rsidR="00BA38A3" w:rsidRPr="00343EBC" w:rsidRDefault="00BA38A3" w:rsidP="00FC5E0B">
      <w:pPr>
        <w:jc w:val="both"/>
      </w:pPr>
    </w:p>
    <w:p w14:paraId="6205B6CC" w14:textId="77777777" w:rsidR="00CD5A2E" w:rsidRPr="00343EBC" w:rsidRDefault="00A36BA7" w:rsidP="005A0F5A">
      <w:pPr>
        <w:pStyle w:val="ListParagraph"/>
        <w:numPr>
          <w:ilvl w:val="0"/>
          <w:numId w:val="6"/>
        </w:numPr>
        <w:jc w:val="both"/>
      </w:pPr>
      <w:r w:rsidRPr="00343EBC">
        <w:t>Utvrđuje se da se sljedeće usluge</w:t>
      </w:r>
      <w:r w:rsidR="00424CC7" w:rsidRPr="00343EBC">
        <w:t xml:space="preserve"> definirane </w:t>
      </w:r>
      <w:r w:rsidR="004E694F" w:rsidRPr="00343EBC">
        <w:t>člank</w:t>
      </w:r>
      <w:r w:rsidR="00424CC7" w:rsidRPr="00343EBC">
        <w:t>om</w:t>
      </w:r>
      <w:r w:rsidR="004E694F" w:rsidRPr="00343EBC">
        <w:t xml:space="preserve"> 35. stavk</w:t>
      </w:r>
      <w:r w:rsidR="00424CC7" w:rsidRPr="00343EBC">
        <w:t>om</w:t>
      </w:r>
      <w:r w:rsidR="004E694F" w:rsidRPr="00343EBC">
        <w:t xml:space="preserve"> 2.</w:t>
      </w:r>
      <w:r w:rsidRPr="00343EBC">
        <w:t xml:space="preserve"> </w:t>
      </w:r>
      <w:r w:rsidR="004E694F" w:rsidRPr="00343EBC">
        <w:t xml:space="preserve">Zakona o elektroničkim komunikacijama </w:t>
      </w:r>
      <w:r w:rsidRPr="00343EBC">
        <w:t>nastavljaju pružati u okviru univerzalnih usluga:</w:t>
      </w:r>
    </w:p>
    <w:p w14:paraId="10428921" w14:textId="77777777" w:rsidR="00A36BA7" w:rsidRPr="00343EBC" w:rsidRDefault="00A36BA7" w:rsidP="00FC5E0B">
      <w:pPr>
        <w:jc w:val="both"/>
      </w:pPr>
    </w:p>
    <w:p w14:paraId="6393625F" w14:textId="77777777" w:rsidR="0095223C" w:rsidRPr="00343EBC" w:rsidRDefault="00FC5E0B" w:rsidP="005A0F5A">
      <w:pPr>
        <w:pStyle w:val="ListParagraph"/>
        <w:numPr>
          <w:ilvl w:val="0"/>
          <w:numId w:val="5"/>
        </w:numPr>
        <w:jc w:val="both"/>
      </w:pPr>
      <w:r w:rsidRPr="00343EBC">
        <w:t>postavljanje javnih telefonskih govornica ili drugih javno dostupnih pristupnih točaka za javnu govornu uslugu na javnim mjestima u svako doba, u skladu s razumnim potrebama krajnjih korisnika usluga u pogledu zemljopisne pokrivenosti, kakvoće usluge, broja javnih telefonskih govornica ili drugih javno dostupnih pristupnih točaka i njihove dostupnosti osobama s invaliditetom;</w:t>
      </w:r>
    </w:p>
    <w:p w14:paraId="2831B6DF" w14:textId="77777777" w:rsidR="00FC5E0B" w:rsidRPr="00343EBC" w:rsidRDefault="00FC5E0B" w:rsidP="005A0F5A">
      <w:pPr>
        <w:pStyle w:val="ListParagraph"/>
        <w:numPr>
          <w:ilvl w:val="0"/>
          <w:numId w:val="5"/>
        </w:numPr>
        <w:jc w:val="both"/>
      </w:pPr>
      <w:r w:rsidRPr="00343EBC">
        <w:t>posebne mjere za osobe s invaliditetom u odnosu na uslug</w:t>
      </w:r>
      <w:r w:rsidR="00FF7032" w:rsidRPr="00343EBC">
        <w:t>u</w:t>
      </w:r>
      <w:r w:rsidRPr="00343EBC">
        <w:t xml:space="preserve"> iz točke (i);</w:t>
      </w:r>
    </w:p>
    <w:p w14:paraId="1641531E" w14:textId="77777777" w:rsidR="00FC5E0B" w:rsidRPr="00343EBC" w:rsidRDefault="00FC5E0B" w:rsidP="005A0F5A">
      <w:pPr>
        <w:pStyle w:val="ListParagraph"/>
        <w:numPr>
          <w:ilvl w:val="0"/>
          <w:numId w:val="5"/>
        </w:numPr>
        <w:jc w:val="both"/>
      </w:pPr>
      <w:r w:rsidRPr="00343EBC">
        <w:t>posebni cjenovni sustav prilagođen potrebama socijalno ugroženih skupina krajnjih korisnika za uslug</w:t>
      </w:r>
      <w:r w:rsidR="00FF7032" w:rsidRPr="00343EBC">
        <w:t>u</w:t>
      </w:r>
      <w:r w:rsidRPr="00343EBC">
        <w:t xml:space="preserve"> iz točke (i).</w:t>
      </w:r>
    </w:p>
    <w:p w14:paraId="631E7206" w14:textId="77777777" w:rsidR="00A36BA7" w:rsidRPr="00343EBC" w:rsidRDefault="00A36BA7" w:rsidP="005A0F5A">
      <w:pPr>
        <w:ind w:left="1080" w:hanging="720"/>
        <w:jc w:val="both"/>
      </w:pPr>
    </w:p>
    <w:p w14:paraId="22093F00" w14:textId="4DB07EC2" w:rsidR="00AD188A" w:rsidRPr="00343EBC" w:rsidRDefault="00AD188A" w:rsidP="005A0F5A">
      <w:pPr>
        <w:pStyle w:val="ListParagraph"/>
        <w:numPr>
          <w:ilvl w:val="0"/>
          <w:numId w:val="6"/>
        </w:numPr>
        <w:jc w:val="both"/>
      </w:pPr>
      <w:r w:rsidRPr="00343EBC">
        <w:t xml:space="preserve">Utvrđuje se da se sljedeće usluge </w:t>
      </w:r>
      <w:r w:rsidR="00A36BA7" w:rsidRPr="00343EBC">
        <w:t>nastavljaju pružati u okviru univerzalnih usluga</w:t>
      </w:r>
      <w:r w:rsidR="00875614">
        <w:t xml:space="preserve"> isključivo</w:t>
      </w:r>
      <w:r w:rsidRPr="00343EBC">
        <w:t xml:space="preserve"> do isteka obveze pružanja tih usluga određene trgovačkom društvu Imenik d.o.o. iz Zagreba</w:t>
      </w:r>
      <w:r w:rsidR="003F298C" w:rsidRPr="00343EBC">
        <w:t>,</w:t>
      </w:r>
      <w:r w:rsidRPr="00343EBC">
        <w:t xml:space="preserve"> </w:t>
      </w:r>
      <w:proofErr w:type="spellStart"/>
      <w:r w:rsidR="00841443" w:rsidRPr="00343EBC">
        <w:t>Folnegovićeva</w:t>
      </w:r>
      <w:proofErr w:type="spellEnd"/>
      <w:r w:rsidR="00841443" w:rsidRPr="00343EBC">
        <w:t xml:space="preserve"> 1c, </w:t>
      </w:r>
      <w:r w:rsidRPr="00343EBC">
        <w:t>Odlukom Hrvatske regulatorne agencije za mrežne djelatnosti KLASA: UP/I-344-01/19-07/01, URBROJ: 376-05-4-19-12 od 26. kolovoza 2019.</w:t>
      </w:r>
      <w:r w:rsidR="005A0F5A" w:rsidRPr="00343EBC">
        <w:t>:</w:t>
      </w:r>
      <w:r w:rsidRPr="00343EBC">
        <w:t xml:space="preserve"> </w:t>
      </w:r>
    </w:p>
    <w:p w14:paraId="57C2AF47" w14:textId="77777777" w:rsidR="005A0F5A" w:rsidRPr="00343EBC" w:rsidRDefault="005A0F5A" w:rsidP="005A0F5A">
      <w:pPr>
        <w:pStyle w:val="ListParagraph"/>
        <w:ind w:left="1080"/>
        <w:jc w:val="both"/>
      </w:pPr>
    </w:p>
    <w:p w14:paraId="62CB0D2F" w14:textId="77777777" w:rsidR="00AD188A" w:rsidRPr="00343EBC" w:rsidRDefault="00AD188A" w:rsidP="005A0F5A">
      <w:pPr>
        <w:pStyle w:val="ListParagraph"/>
        <w:numPr>
          <w:ilvl w:val="0"/>
          <w:numId w:val="7"/>
        </w:numPr>
        <w:ind w:left="1080"/>
        <w:jc w:val="both"/>
      </w:pPr>
      <w:r w:rsidRPr="00343EBC">
        <w:t>pristup krajnjih korisnika usluga najmanje jednom sveobuhvatnom imeniku svih pretplatnika javno dostupnih telefonskih usluga;</w:t>
      </w:r>
    </w:p>
    <w:p w14:paraId="22C5AE79" w14:textId="77777777" w:rsidR="00AD188A" w:rsidRPr="00343EBC" w:rsidRDefault="00AD188A" w:rsidP="005A0F5A">
      <w:pPr>
        <w:pStyle w:val="ListParagraph"/>
        <w:numPr>
          <w:ilvl w:val="0"/>
          <w:numId w:val="7"/>
        </w:numPr>
        <w:ind w:left="1080"/>
        <w:jc w:val="both"/>
      </w:pPr>
      <w:r w:rsidRPr="00343EBC">
        <w:t>pristup krajnjih korisnika, uključujući i korisnike javnih telefonskih govornica, službi davanja obavijesti (inform</w:t>
      </w:r>
      <w:r w:rsidR="005A0F5A" w:rsidRPr="00343EBC">
        <w:t>acija) o brojevima pretplatnika.</w:t>
      </w:r>
    </w:p>
    <w:p w14:paraId="14C32F1A" w14:textId="77777777" w:rsidR="00A36BA7" w:rsidRPr="00343EBC" w:rsidRDefault="00A36BA7" w:rsidP="00FC5E0B">
      <w:pPr>
        <w:jc w:val="both"/>
      </w:pPr>
    </w:p>
    <w:p w14:paraId="1EF2B570" w14:textId="77777777" w:rsidR="00CD5A2E" w:rsidRPr="00343EBC" w:rsidRDefault="00CD5A2E" w:rsidP="00FC5E0B">
      <w:pPr>
        <w:pStyle w:val="ListParagraph"/>
        <w:ind w:left="0"/>
        <w:jc w:val="both"/>
      </w:pPr>
    </w:p>
    <w:p w14:paraId="60275DFB" w14:textId="77777777" w:rsidR="00CD5A2E" w:rsidRPr="00343EBC" w:rsidRDefault="00CD5A2E" w:rsidP="00FC5E0B">
      <w:pPr>
        <w:jc w:val="both"/>
      </w:pPr>
    </w:p>
    <w:p w14:paraId="614D4D49" w14:textId="77777777" w:rsidR="00CD5A2E" w:rsidRPr="00343EBC" w:rsidRDefault="00CD5A2E" w:rsidP="00FC5E0B">
      <w:pPr>
        <w:jc w:val="center"/>
        <w:rPr>
          <w:b/>
          <w:i/>
        </w:rPr>
      </w:pPr>
      <w:r w:rsidRPr="00343EBC">
        <w:rPr>
          <w:b/>
          <w:i/>
        </w:rPr>
        <w:t>Obrazloženje</w:t>
      </w:r>
    </w:p>
    <w:p w14:paraId="6D9AC0F5" w14:textId="77777777" w:rsidR="00CD5A2E" w:rsidRPr="00343EBC" w:rsidRDefault="00CD5A2E" w:rsidP="00FC5E0B">
      <w:pPr>
        <w:jc w:val="both"/>
      </w:pPr>
    </w:p>
    <w:p w14:paraId="144CC29A" w14:textId="53B4BD9E" w:rsidR="005B6EFB" w:rsidRDefault="00FC5E0B" w:rsidP="00FC5E0B">
      <w:pPr>
        <w:jc w:val="both"/>
      </w:pPr>
      <w:r w:rsidRPr="00343EBC">
        <w:t xml:space="preserve">Sukladno članku 5. Zakona o elektroničkim komunikacijama (NN br. 73/08, 90/11, 133/12, 80/13, 71/14 i 72/17; dalje: ZEK), Hrvatska regulatorna agencija za mrežne djelatnosti (dalje: HAKOM) dužna je promicati interese korisnika usluga na različite načine, između ostalog i putem osiguravanja </w:t>
      </w:r>
      <w:r w:rsidRPr="00343EBC">
        <w:lastRenderedPageBreak/>
        <w:t xml:space="preserve">pristupa univerzalnim uslugama za sve korisnike usluga u skladu s odredbama ZEK-a. </w:t>
      </w:r>
      <w:r w:rsidR="001D5EA4" w:rsidRPr="00343EBC">
        <w:t>Č</w:t>
      </w:r>
      <w:r w:rsidRPr="00343EBC">
        <w:t xml:space="preserve">lankom 87. Direktive (EU) 2018/1972 Europskog parlamenta i Vijeća od 11. prosinca 2018. o Europskom zakoniku elektroničkih komunikacija (dalje: Zakonik) propisana je obveza preispitivanja obveze dostupnosti ili cjenovne pristupačnosti drugih usluga koje nisu usluge širokopojasnog pristupa internetu ni usluge glasovnih komunikacija na fiksnoj lokaciji do 21. prosinca 2021. </w:t>
      </w:r>
      <w:r w:rsidR="003267DD" w:rsidRPr="00343EBC">
        <w:t xml:space="preserve">Iako Zakonik nije do dana donošenja ove Odluke transponiran u hrvatsko zakonodavstvo, HAKOM smatra da </w:t>
      </w:r>
      <w:r w:rsidR="00453B82" w:rsidRPr="00343EBC">
        <w:t>je spomenutu odredbu potrebno</w:t>
      </w:r>
      <w:r w:rsidR="003267DD" w:rsidRPr="00343EBC">
        <w:t xml:space="preserve"> </w:t>
      </w:r>
      <w:r w:rsidR="00DD486A" w:rsidRPr="00343EBC">
        <w:t>izravno primjenj</w:t>
      </w:r>
      <w:r w:rsidR="00453B82" w:rsidRPr="00343EBC">
        <w:t>ivati</w:t>
      </w:r>
      <w:r w:rsidR="003267DD" w:rsidRPr="00343EBC">
        <w:t xml:space="preserve"> budući da jasno i precizno definira obvez</w:t>
      </w:r>
      <w:r w:rsidR="00B156AB" w:rsidRPr="00343EBC">
        <w:t>u</w:t>
      </w:r>
      <w:r w:rsidR="003267DD" w:rsidRPr="00343EBC">
        <w:t xml:space="preserve"> preispitiv</w:t>
      </w:r>
      <w:r w:rsidR="005B6EFB">
        <w:t xml:space="preserve">anja opsega univerzalnih usluga </w:t>
      </w:r>
      <w:r w:rsidR="005B6EFB" w:rsidRPr="00B654F0">
        <w:t>u skladu s praksom</w:t>
      </w:r>
      <w:r w:rsidR="003267DD" w:rsidRPr="00B654F0">
        <w:t xml:space="preserve"> </w:t>
      </w:r>
      <w:r w:rsidR="00214125" w:rsidRPr="00B654F0">
        <w:t>Europskog suda pravde</w:t>
      </w:r>
      <w:r w:rsidR="00760312" w:rsidRPr="00B654F0">
        <w:t xml:space="preserve">, primjerice </w:t>
      </w:r>
      <w:r w:rsidR="005B6EFB" w:rsidRPr="00B654F0">
        <w:t xml:space="preserve">Van </w:t>
      </w:r>
      <w:proofErr w:type="spellStart"/>
      <w:r w:rsidR="005B6EFB" w:rsidRPr="00B654F0">
        <w:t>Duyn</w:t>
      </w:r>
      <w:proofErr w:type="spellEnd"/>
      <w:r w:rsidR="005B6EFB" w:rsidRPr="00B654F0">
        <w:t xml:space="preserve"> 41/74 i </w:t>
      </w:r>
      <w:proofErr w:type="spellStart"/>
      <w:r w:rsidR="00760312" w:rsidRPr="00B654F0">
        <w:t>Becker</w:t>
      </w:r>
      <w:proofErr w:type="spellEnd"/>
      <w:r w:rsidR="00760312" w:rsidRPr="00B654F0">
        <w:t xml:space="preserve"> 8/81</w:t>
      </w:r>
      <w:r w:rsidR="005B6EFB" w:rsidRPr="00B654F0">
        <w:t>.</w:t>
      </w:r>
    </w:p>
    <w:p w14:paraId="00908C02" w14:textId="3B449C1A" w:rsidR="00214125" w:rsidRDefault="005B6EFB" w:rsidP="00FC5E0B">
      <w:pPr>
        <w:jc w:val="both"/>
      </w:pPr>
      <w:r>
        <w:t xml:space="preserve"> </w:t>
      </w:r>
    </w:p>
    <w:p w14:paraId="64E9763B" w14:textId="33E558E8" w:rsidR="00FC5E0B" w:rsidRPr="00343EBC" w:rsidRDefault="00FC5E0B" w:rsidP="00FC5E0B">
      <w:pPr>
        <w:jc w:val="both"/>
      </w:pPr>
      <w:r w:rsidRPr="00343EBC">
        <w:t xml:space="preserve">Stoga je HAKOM započeo postupak preispitivanja statusa sljedećih univerzalnih usluga iz članka 35. stavka 2. ZEK-a, a koji postupak sukladno članku 22. stavak 5. ZEK-a uključuje i postupak javne rasprave: </w:t>
      </w:r>
    </w:p>
    <w:p w14:paraId="6B699FC1" w14:textId="77777777" w:rsidR="001D5EA4" w:rsidRPr="00343EBC" w:rsidRDefault="001D5EA4" w:rsidP="001D5EA4">
      <w:pPr>
        <w:jc w:val="both"/>
      </w:pPr>
    </w:p>
    <w:p w14:paraId="4E22A5A6" w14:textId="77777777" w:rsidR="001D5EA4" w:rsidRPr="00343EBC" w:rsidRDefault="001D5EA4" w:rsidP="001D5EA4">
      <w:pPr>
        <w:jc w:val="both"/>
      </w:pPr>
      <w:r w:rsidRPr="00343EBC">
        <w:t>(i)</w:t>
      </w:r>
      <w:r w:rsidRPr="00343EBC">
        <w:tab/>
        <w:t>pristup krajnjih korisnika usluga najmanje jednom sveobuhvatnom imeniku svih pretplatnika javno dostupnih telefonskih usluga;</w:t>
      </w:r>
    </w:p>
    <w:p w14:paraId="2239B8EF" w14:textId="77777777" w:rsidR="001D5EA4" w:rsidRPr="00343EBC" w:rsidRDefault="001D5EA4" w:rsidP="001D5EA4">
      <w:pPr>
        <w:jc w:val="both"/>
      </w:pPr>
      <w:r w:rsidRPr="00343EBC">
        <w:t>(ii)</w:t>
      </w:r>
      <w:r w:rsidRPr="00343EBC">
        <w:tab/>
        <w:t>pristup krajnjih korisnika, uključujući i korisnike javnih telefonskih govornica, službi davanja obavijesti (informacija) o brojevima pretplatnika;</w:t>
      </w:r>
    </w:p>
    <w:p w14:paraId="1B786452" w14:textId="77777777" w:rsidR="001D5EA4" w:rsidRPr="00343EBC" w:rsidRDefault="001D5EA4" w:rsidP="001D5EA4">
      <w:pPr>
        <w:jc w:val="both"/>
      </w:pPr>
      <w:r w:rsidRPr="00343EBC">
        <w:t>(iii)</w:t>
      </w:r>
      <w:r w:rsidRPr="00343EBC">
        <w:tab/>
        <w:t>postavljanje javnih telefonskih govornica ili drugih javno dostupnih pristupnih točaka za javnu govornu uslugu na javnim mjestima u svako doba, u skladu s razumnim potrebama krajnjih korisnika usluga u pogledu zemljopisne pokrivenosti, kakvoće usluge, broja javnih telefonskih govornica ili drugih javno dostupnih pristupnih točaka i njihove dostupnosti osobama s invaliditetom;</w:t>
      </w:r>
    </w:p>
    <w:p w14:paraId="74AD59CE" w14:textId="77777777" w:rsidR="001D5EA4" w:rsidRPr="00343EBC" w:rsidRDefault="001D5EA4" w:rsidP="001D5EA4">
      <w:pPr>
        <w:jc w:val="both"/>
      </w:pPr>
      <w:r w:rsidRPr="00343EBC">
        <w:t>(iv)</w:t>
      </w:r>
      <w:r w:rsidRPr="00343EBC">
        <w:tab/>
        <w:t>posebne mjere za osobe s invaliditetom u odnosu na usluge iz točke (i) – (iii);</w:t>
      </w:r>
    </w:p>
    <w:p w14:paraId="395B20A2" w14:textId="77777777" w:rsidR="005A0F5A" w:rsidRPr="00343EBC" w:rsidRDefault="001D5EA4" w:rsidP="00FC5E0B">
      <w:pPr>
        <w:jc w:val="both"/>
      </w:pPr>
      <w:r w:rsidRPr="00343EBC">
        <w:t>(v)</w:t>
      </w:r>
      <w:r w:rsidRPr="00343EBC">
        <w:tab/>
        <w:t>posebni cjenovni sustav</w:t>
      </w:r>
      <w:r w:rsidR="00233C6D" w:rsidRPr="00343EBC">
        <w:t>i</w:t>
      </w:r>
      <w:r w:rsidRPr="00343EBC">
        <w:t xml:space="preserve"> prilagođen</w:t>
      </w:r>
      <w:r w:rsidR="00233C6D" w:rsidRPr="00343EBC">
        <w:t>i</w:t>
      </w:r>
      <w:r w:rsidRPr="00343EBC">
        <w:t xml:space="preserve"> potrebama socijalno ugroženih skupina krajnjih korisnika za usluge iz točke (i) i (ii).</w:t>
      </w:r>
    </w:p>
    <w:p w14:paraId="77FFB6CC" w14:textId="77777777" w:rsidR="005A0F5A" w:rsidRPr="00343EBC" w:rsidRDefault="005A0F5A" w:rsidP="00FC5E0B">
      <w:pPr>
        <w:jc w:val="both"/>
      </w:pPr>
    </w:p>
    <w:p w14:paraId="3BA5EB6E" w14:textId="39220F63" w:rsidR="001D5EA4" w:rsidRPr="00343EBC" w:rsidRDefault="001D5EA4" w:rsidP="00FC5E0B">
      <w:pPr>
        <w:jc w:val="both"/>
      </w:pPr>
      <w:r w:rsidRPr="00343EBC">
        <w:t>T</w:t>
      </w:r>
      <w:r w:rsidR="00FC5E0B" w:rsidRPr="00343EBC">
        <w:t xml:space="preserve">renutno </w:t>
      </w:r>
      <w:r w:rsidRPr="00343EBC">
        <w:t xml:space="preserve">su </w:t>
      </w:r>
      <w:r w:rsidR="00FC5E0B" w:rsidRPr="00343EBC">
        <w:t>dva operatora imenovana operatorima univerzalne usluge i to</w:t>
      </w:r>
      <w:r w:rsidR="00841443" w:rsidRPr="00343EBC">
        <w:t xml:space="preserve">: trgovačko društvo Imenik d.o.o. iz Zagreba, </w:t>
      </w:r>
      <w:proofErr w:type="spellStart"/>
      <w:r w:rsidR="00841443" w:rsidRPr="00343EBC">
        <w:t>Folnegovićeva</w:t>
      </w:r>
      <w:proofErr w:type="spellEnd"/>
      <w:r w:rsidR="00841443" w:rsidRPr="00343EBC">
        <w:t xml:space="preserve"> 1c, koje je imenovano operatorom univerzalne usluge za usluge iz točke (i) i (ii), te </w:t>
      </w:r>
      <w:r w:rsidR="00D071F0" w:rsidRPr="00343EBC">
        <w:t xml:space="preserve">trgovačko društvo </w:t>
      </w:r>
      <w:r w:rsidR="00FC5E0B" w:rsidRPr="00343EBC">
        <w:t>Hrvatski Telekom d.d. iz Zagreba, Radnička cesta 21, za usluge</w:t>
      </w:r>
      <w:r w:rsidR="00D071F0" w:rsidRPr="00343EBC">
        <w:t xml:space="preserve"> definirane točkama (</w:t>
      </w:r>
      <w:r w:rsidR="00841443" w:rsidRPr="00343EBC">
        <w:t>i</w:t>
      </w:r>
      <w:r w:rsidR="00D071F0" w:rsidRPr="00343EBC">
        <w:t>ii) do (v)</w:t>
      </w:r>
      <w:r w:rsidR="00841443" w:rsidRPr="00343EBC">
        <w:t>.</w:t>
      </w:r>
      <w:r w:rsidR="00D071F0" w:rsidRPr="00343EBC">
        <w:t xml:space="preserve"> </w:t>
      </w:r>
    </w:p>
    <w:p w14:paraId="39B124C9" w14:textId="77777777" w:rsidR="000119DC" w:rsidRDefault="000119DC" w:rsidP="00FC5E0B">
      <w:pPr>
        <w:jc w:val="both"/>
      </w:pPr>
    </w:p>
    <w:p w14:paraId="6745AC08" w14:textId="77777777" w:rsidR="00FC5E0B" w:rsidRPr="00343EBC" w:rsidRDefault="00FC5E0B" w:rsidP="00FC5E0B">
      <w:pPr>
        <w:jc w:val="both"/>
      </w:pPr>
      <w:r w:rsidRPr="00343EBC">
        <w:t>U svrhu analize statusa postojećih usluga u okviru univerzalne usluge sukladno članku 87. Zakonika, HAKOM je u postupku KLASA: 344-03/21-12/56 dana 9. rujna 2021. uputio poziv operatorima koji su sukladno važećim odlukama HAKOM-a određeni operatorima univerzalnih usluga (Hrvatski Telekom d.d. i Imenik d.o.o.) sa zahtjevom za dostavom konkretnih podataka o korištenju univerzalnih usluga koje nisu usluge širokopojasnog pristupa internetu ni usluge glasovnih komunikacija na fiksnoj lokaciji</w:t>
      </w:r>
      <w:r w:rsidR="0097241F" w:rsidRPr="00343EBC">
        <w:t xml:space="preserve"> (dalje: Zahtjev)</w:t>
      </w:r>
      <w:r w:rsidRPr="00343EBC">
        <w:t xml:space="preserve">. </w:t>
      </w:r>
    </w:p>
    <w:p w14:paraId="76E59D46" w14:textId="77777777" w:rsidR="001D5EA4" w:rsidRPr="00343EBC" w:rsidRDefault="001D5EA4" w:rsidP="00FC5E0B">
      <w:pPr>
        <w:jc w:val="both"/>
      </w:pPr>
    </w:p>
    <w:p w14:paraId="61CF759F" w14:textId="52257673" w:rsidR="00FC5E0B" w:rsidRPr="00343EBC" w:rsidRDefault="00FC5E0B" w:rsidP="00FC5E0B">
      <w:pPr>
        <w:jc w:val="both"/>
      </w:pPr>
      <w:r w:rsidRPr="00343EBC">
        <w:t xml:space="preserve">Na navedeni </w:t>
      </w:r>
      <w:r w:rsidR="0097241F" w:rsidRPr="00343EBC">
        <w:t xml:space="preserve">Zahtjev </w:t>
      </w:r>
      <w:r w:rsidRPr="00343EBC">
        <w:t>društvo Imenik d.o.o. se očitovalo dana 27. rujna 2021. i dostavilo tražene podatke o broju poziva i SMS upita prema broju 1188</w:t>
      </w:r>
      <w:r w:rsidR="00E31725">
        <w:t>0</w:t>
      </w:r>
      <w:r w:rsidRPr="00343EBC">
        <w:t xml:space="preserve">, maloprodajnim cijenama kao i broju upita na stranici </w:t>
      </w:r>
      <w:hyperlink r:id="rId11" w:history="1">
        <w:r w:rsidRPr="00343EBC">
          <w:rPr>
            <w:rStyle w:val="Hyperlink"/>
          </w:rPr>
          <w:t>www.imenik.hr</w:t>
        </w:r>
      </w:hyperlink>
      <w:r w:rsidRPr="00343EBC">
        <w:t>. Hrvatski Telekom d.d. (dalje: HT) se na poziv HAKOM-a očitovao dana 6. listopada 2021.</w:t>
      </w:r>
      <w:r w:rsidR="00841443" w:rsidRPr="00343EBC">
        <w:t>, te dodatno dana 29. listopada 2021. kada je dostavio ispravak određenih podataka. U svojim očitovanjima HT j</w:t>
      </w:r>
      <w:r w:rsidRPr="00343EBC">
        <w:t>e dostavio podatke o ukupnom broju telefonskih govornica, broju minuta na govornicama, broju govornica koje su prilagođene za potrebe osoba s invaliditetom, broju kvarova i vremenu otklona kvarova na telefonskim govornicama te je također dostavio prikaz raspodjele javnih telefonskih govornica po količini ostvarenog prihoda odnosno prometa. HT je također dostavio poda</w:t>
      </w:r>
      <w:r w:rsidR="00E31725">
        <w:t>tke o broju poziva na broj 11888</w:t>
      </w:r>
      <w:r w:rsidRPr="00343EBC">
        <w:t xml:space="preserve">, prikaz maloprodajnih cijena poziva na broj 11888, broj SMS upita te broj upita na stranici </w:t>
      </w:r>
      <w:hyperlink r:id="rId12" w:history="1">
        <w:r w:rsidRPr="00343EBC">
          <w:rPr>
            <w:rStyle w:val="Hyperlink"/>
          </w:rPr>
          <w:t>www.imenik.tportal.hr</w:t>
        </w:r>
      </w:hyperlink>
      <w:r w:rsidRPr="00343EBC">
        <w:t xml:space="preserve">. Nadalje, dostavljeni su podaci o zahtjevima za </w:t>
      </w:r>
      <w:r w:rsidRPr="00343EBC">
        <w:lastRenderedPageBreak/>
        <w:t>korištenje posebnih cjenovnih sustava, opis poduzetih aktivnosti u smjeru oglašavanja i upoznavanja osoba s invaliditetom i socijalno ugroženih skupina krajnjih korisnika o pogodnosti korištenja univerzalnih usluga te o opremi koja je dostupna osobama s invaliditetom.</w:t>
      </w:r>
    </w:p>
    <w:p w14:paraId="6EE043E1" w14:textId="77777777" w:rsidR="001D5EA4" w:rsidRPr="00343EBC" w:rsidRDefault="001D5EA4" w:rsidP="00FC5E0B">
      <w:pPr>
        <w:jc w:val="both"/>
      </w:pPr>
    </w:p>
    <w:p w14:paraId="2C98F6E4" w14:textId="076BAF9A" w:rsidR="00FC5E0B" w:rsidRPr="00343EBC" w:rsidRDefault="00FC5E0B" w:rsidP="00FC5E0B">
      <w:pPr>
        <w:jc w:val="both"/>
      </w:pPr>
      <w:r w:rsidRPr="00343EBC">
        <w:t xml:space="preserve">HAKOM je u okviru predmetnog postupka dana 18. </w:t>
      </w:r>
      <w:r w:rsidR="004539BA">
        <w:t>rujna</w:t>
      </w:r>
      <w:r w:rsidRPr="00343EBC">
        <w:t xml:space="preserve"> 2021. uputio pozive i udrugama za osobe s invaliditetom, kao i Uredu pravobraniteljice za osobe s invaliditetom, s konkretnim upitima o zadovoljstvu trenutno dostupnim posebnim mjerama za osobe s invaliditetom koje pružaju operatori univerzalnih usluga, o eventualnoj potrebi uključivanja i drugih usluga u opseg univerzalnih usluga, zadovoljstvu mogućnostima fizičkog pristupa poslovnim prostorima operatora te o učestalosti korištenja javnih telefonskih govornica i imenika pretplatnika.</w:t>
      </w:r>
    </w:p>
    <w:p w14:paraId="03444EE4" w14:textId="77777777" w:rsidR="001D5EA4" w:rsidRPr="00343EBC" w:rsidRDefault="001D5EA4" w:rsidP="00FC5E0B">
      <w:pPr>
        <w:jc w:val="both"/>
      </w:pPr>
    </w:p>
    <w:p w14:paraId="6E932DEF" w14:textId="77777777" w:rsidR="00FC5E0B" w:rsidRPr="00343EBC" w:rsidRDefault="00FC5E0B" w:rsidP="00FC5E0B">
      <w:pPr>
        <w:jc w:val="both"/>
      </w:pPr>
      <w:r w:rsidRPr="00343EBC">
        <w:t xml:space="preserve">Na predmetni poziv svoje očitovanje dostavile su dvije udruge za osobe s invaliditetom – Savez udruga za mlade i studente s invaliditetom dana 23. rujna 2021. te Udruga roditelja djece s oštećenjem vida i dodatnim poteškoćama u razvoju „OKO“ koja je svoje očitovanje dostavila dana 14. listopada 2021. </w:t>
      </w:r>
    </w:p>
    <w:p w14:paraId="1F561101" w14:textId="77777777" w:rsidR="003F298C" w:rsidRPr="00343EBC" w:rsidRDefault="003F298C" w:rsidP="00FC5E0B">
      <w:pPr>
        <w:jc w:val="both"/>
      </w:pPr>
    </w:p>
    <w:p w14:paraId="43D7226A" w14:textId="77777777" w:rsidR="00FC5E0B" w:rsidRPr="00343EBC" w:rsidRDefault="00FC5E0B" w:rsidP="00FC5E0B">
      <w:pPr>
        <w:jc w:val="both"/>
      </w:pPr>
      <w:r w:rsidRPr="00343EBC">
        <w:t>Savez udruga za mlade i studente s invaliditetom u bitnome je istaknuo kako su načelno zadovoljni trenutno dostupnim uslugama koje bi trebalo proširiti uslugama namijenjenim slijepim osobama, da su zadovoljni fizičkim pristupom poslovnicama operatora</w:t>
      </w:r>
      <w:r w:rsidR="00F511D7">
        <w:t>,</w:t>
      </w:r>
      <w:r w:rsidRPr="00343EBC">
        <w:t xml:space="preserve"> ali napominju da ono što je dobro za osobe s tjelesnim invaliditetom uglavnom nije primjereno za slijepe osobe. Na kraju su istaknuli da ne koriste javne telefonske govornice dok imenik koriste samo ponekad.</w:t>
      </w:r>
    </w:p>
    <w:p w14:paraId="2F500830" w14:textId="77777777" w:rsidR="003F298C" w:rsidRPr="00343EBC" w:rsidRDefault="003F298C" w:rsidP="00FC5E0B">
      <w:pPr>
        <w:jc w:val="both"/>
      </w:pPr>
    </w:p>
    <w:p w14:paraId="2C56DE73" w14:textId="77777777" w:rsidR="00FC5E0B" w:rsidRPr="00343EBC" w:rsidRDefault="00FC5E0B" w:rsidP="00FC5E0B">
      <w:pPr>
        <w:jc w:val="both"/>
      </w:pPr>
      <w:r w:rsidRPr="00343EBC">
        <w:t xml:space="preserve">Udruga roditelja djece s oštećenjem vida i dodatnim poteškoćama u razvoju „OKO“ je napomenula da je njihovo iskustvo veoma loše. U svom očitovanju istaknuli su da stranice davatelja univerzalnih usluga (HT-a) te operatora A1 nemaju mogućnosti prilagodbe za osobe s invaliditetom (OSI) ni u najnužnijoj izvedbi (povećanje teksta, podešavanje kontrasta, podešavanje boje podloge, </w:t>
      </w:r>
      <w:proofErr w:type="spellStart"/>
      <w:r w:rsidRPr="00343EBC">
        <w:t>itd</w:t>
      </w:r>
      <w:proofErr w:type="spellEnd"/>
      <w:r w:rsidRPr="00343EBC">
        <w:t xml:space="preserve">). Također, kada se na stranicama izabere imenik, prebacuje se na stranice koje su potpuno neprilagođene osobama s oštećenjem vida, disleksijom i poremećajem pažnje jer sadrže puno reklama i </w:t>
      </w:r>
      <w:proofErr w:type="spellStart"/>
      <w:r w:rsidRPr="00343EBC">
        <w:t>distraktibilnih</w:t>
      </w:r>
      <w:proofErr w:type="spellEnd"/>
      <w:r w:rsidRPr="00343EBC">
        <w:t xml:space="preserve"> elemenata. Na takvim stranicama nalazi se govorni asistent (aplikacija koja pomaže slijepim osobama snalaženje po stranici), a koja nije od koristi slijepim osobama. Napominju da je pretraživanje teško, a iz tog razloga rijetko se može koristiti imenik.</w:t>
      </w:r>
    </w:p>
    <w:p w14:paraId="1BA0A06C" w14:textId="77777777" w:rsidR="003F298C" w:rsidRPr="00343EBC" w:rsidRDefault="003F298C" w:rsidP="00FC5E0B">
      <w:pPr>
        <w:jc w:val="both"/>
      </w:pPr>
    </w:p>
    <w:p w14:paraId="7C36FD03" w14:textId="77777777" w:rsidR="00FC5E0B" w:rsidRPr="00343EBC" w:rsidRDefault="00FC5E0B" w:rsidP="00FC5E0B">
      <w:pPr>
        <w:jc w:val="both"/>
      </w:pPr>
      <w:r w:rsidRPr="00343EBC">
        <w:t xml:space="preserve">Što se tiče javnih telefonskih govornica i njihove dostupnosti, Udruga „OKO“ je istaknula da se još uvijek rijetko pronalaze govornice koje su prilagođene osobama u invalidskim kolicima. U odnosu na fizičku pristupačnost prodavaonicama, napominju da je ista dobra, iako postoje neke poslovnice koje su u potpunosti nepristupačne zbog stepenica. Šalteri za korisnike uglavnom nemaju stolić koji je spušten kako bi korisnici u kolicima mogli potpisati dokumentaciju. Zaposlenici nisu dovoljno educirani za ispravnu komunikaciju s OSI, naročito ako oni usporeno govore ili imaju problem sa sluhom. Izložbeni uređaji su postavljeni pod </w:t>
      </w:r>
      <w:r w:rsidR="00737916" w:rsidRPr="00343EBC">
        <w:t>kutom</w:t>
      </w:r>
      <w:r w:rsidRPr="00343EBC">
        <w:t>, što je dobro, ali opisi i cijena su postavljeni vodoravno, što je teško čitljivo iz sjedećeg položaja osobe u kolicima. Također napominju da je ponuda uređaja koji su prilagođeni OSI veoma loša, ima ih u nekim poslovnicama, ali nema na webu.</w:t>
      </w:r>
    </w:p>
    <w:p w14:paraId="64955B9E" w14:textId="77777777" w:rsidR="00FC5E0B" w:rsidRPr="00343EBC" w:rsidRDefault="00FC5E0B" w:rsidP="00FC5E0B">
      <w:pPr>
        <w:jc w:val="both"/>
      </w:pPr>
      <w:r w:rsidRPr="00343EBC">
        <w:t>Što se tiče usluga koje se nudi OSI, iz Udruge “OKO“ napominju da je to najmanji dijapazon usluga koji u većini slučajeva ne zadovoljava današnje potrebe. HT nudi popuste svim OSI samo u fiksnoj pretplati za najnepovoljniju tarifu, a A1 ni to. Zaključno, Udruga „OKO“ napominje da je ponuda u svakom pogledu puno lošija nego prijašnjih godina, a zbog modernizacije grafičkog sučelja web stranicama, internetske stranice su postale još i neprikladnije OSI-</w:t>
      </w:r>
      <w:proofErr w:type="spellStart"/>
      <w:r w:rsidRPr="00343EBC">
        <w:t>jima</w:t>
      </w:r>
      <w:proofErr w:type="spellEnd"/>
      <w:r w:rsidRPr="00343EBC">
        <w:t>. </w:t>
      </w:r>
    </w:p>
    <w:p w14:paraId="50E89C3B" w14:textId="77777777" w:rsidR="00FC5E0B" w:rsidRPr="00343EBC" w:rsidRDefault="00FC5E0B" w:rsidP="00FC5E0B">
      <w:pPr>
        <w:jc w:val="both"/>
      </w:pPr>
    </w:p>
    <w:p w14:paraId="06BE697D" w14:textId="77777777" w:rsidR="00B45836" w:rsidRPr="00343EBC" w:rsidRDefault="00B45836" w:rsidP="00FC5E0B">
      <w:pPr>
        <w:jc w:val="both"/>
      </w:pPr>
      <w:r w:rsidRPr="00343EBC">
        <w:lastRenderedPageBreak/>
        <w:t>HAKOM u nastavku iznosi konkretne podatke prikupljene u okviru predmetnog postupka preispitivanja postojećih univerzalnih usluga, kao i zaključke koji su doneseni za svaku pojedinu uslugu koja je predmetom ove Odluke.</w:t>
      </w:r>
    </w:p>
    <w:p w14:paraId="51E1A305" w14:textId="77777777" w:rsidR="00FC5E0B" w:rsidRPr="00343EBC" w:rsidRDefault="00FC5E0B" w:rsidP="00FC5E0B">
      <w:pPr>
        <w:jc w:val="both"/>
        <w:rPr>
          <w:b/>
          <w:i/>
        </w:rPr>
      </w:pPr>
    </w:p>
    <w:p w14:paraId="5837E303" w14:textId="77777777" w:rsidR="00841443" w:rsidRPr="00343EBC" w:rsidRDefault="001D5EA4" w:rsidP="00FC5E0B">
      <w:pPr>
        <w:jc w:val="both"/>
      </w:pPr>
      <w:r w:rsidRPr="00343EBC">
        <w:rPr>
          <w:b/>
          <w:i/>
        </w:rPr>
        <w:t>(i) Pristup krajnjih korisnika usluga najmanje jednom sveobuhvatnom imeniku svih pretplatnika javno dostupnih telefonskih usluga</w:t>
      </w:r>
      <w:r w:rsidRPr="00343EBC" w:rsidDel="001D5EA4">
        <w:t xml:space="preserve"> </w:t>
      </w:r>
    </w:p>
    <w:p w14:paraId="730CCF04" w14:textId="77777777" w:rsidR="00841443" w:rsidRPr="00343EBC" w:rsidRDefault="00841443" w:rsidP="00FC5E0B">
      <w:pPr>
        <w:jc w:val="both"/>
      </w:pPr>
    </w:p>
    <w:p w14:paraId="4D6EBFFE" w14:textId="493C4896" w:rsidR="00FC5E0B" w:rsidRPr="00343EBC" w:rsidRDefault="00FC5E0B" w:rsidP="00FC5E0B">
      <w:pPr>
        <w:jc w:val="both"/>
      </w:pPr>
      <w:r w:rsidRPr="00343EBC">
        <w:t xml:space="preserve">Sukladno </w:t>
      </w:r>
      <w:r w:rsidR="0097241F" w:rsidRPr="00343EBC">
        <w:t>Z</w:t>
      </w:r>
      <w:r w:rsidRPr="00343EBC">
        <w:t>ahtjevu HAKOM-a društvo Imenik d.o.o. je dostavi</w:t>
      </w:r>
      <w:r w:rsidR="0097241F" w:rsidRPr="00343EBC">
        <w:t>l</w:t>
      </w:r>
      <w:r w:rsidRPr="00343EBC">
        <w:t xml:space="preserve">o sljedeće podatke vezano za broj upita korisnika na njihovoj stranici </w:t>
      </w:r>
      <w:hyperlink r:id="rId13" w:history="1">
        <w:r w:rsidRPr="00343EBC">
          <w:rPr>
            <w:rStyle w:val="Hyperlink"/>
          </w:rPr>
          <w:t>www.imenik.hr</w:t>
        </w:r>
      </w:hyperlink>
      <w:r w:rsidRPr="00343EBC">
        <w:t xml:space="preserve"> za posljednje tri godine:</w:t>
      </w:r>
    </w:p>
    <w:p w14:paraId="2CC850B6" w14:textId="77777777" w:rsidR="00CE1C46" w:rsidRPr="00343EBC" w:rsidRDefault="00CE1C46" w:rsidP="00FC5E0B">
      <w:pPr>
        <w:jc w:val="both"/>
        <w:rPr>
          <w:b/>
          <w:i/>
        </w:rPr>
      </w:pPr>
    </w:p>
    <w:p w14:paraId="1BCD1D00" w14:textId="77777777" w:rsidR="00CE1C46" w:rsidRPr="000119DC" w:rsidRDefault="00CE1C46" w:rsidP="00FC5E0B">
      <w:pPr>
        <w:jc w:val="both"/>
        <w:rPr>
          <w:b/>
          <w:i/>
        </w:rPr>
      </w:pPr>
      <w:r w:rsidRPr="000119DC">
        <w:rPr>
          <w:b/>
          <w:i/>
        </w:rPr>
        <w:t>Tablica 1.1 –</w:t>
      </w:r>
      <w:r w:rsidRPr="00343EBC">
        <w:rPr>
          <w:b/>
          <w:i/>
        </w:rPr>
        <w:t xml:space="preserve"> b</w:t>
      </w:r>
      <w:r w:rsidRPr="000119DC">
        <w:rPr>
          <w:b/>
          <w:i/>
        </w:rPr>
        <w:t>roj upita na Internet stranici</w:t>
      </w:r>
      <w:r w:rsidRPr="00343EBC">
        <w:rPr>
          <w:b/>
          <w:i/>
        </w:rPr>
        <w:t xml:space="preserve"> Imenik d.o.o.</w:t>
      </w:r>
    </w:p>
    <w:tbl>
      <w:tblPr>
        <w:tblW w:w="0" w:type="auto"/>
        <w:tblCellMar>
          <w:left w:w="0" w:type="dxa"/>
          <w:right w:w="0" w:type="dxa"/>
        </w:tblCellMar>
        <w:tblLook w:val="04A0" w:firstRow="1" w:lastRow="0" w:firstColumn="1" w:lastColumn="0" w:noHBand="0" w:noVBand="1"/>
      </w:tblPr>
      <w:tblGrid>
        <w:gridCol w:w="3124"/>
        <w:gridCol w:w="3125"/>
        <w:gridCol w:w="3125"/>
      </w:tblGrid>
      <w:tr w:rsidR="00FC5E0B" w:rsidRPr="00343EBC" w14:paraId="454F305D" w14:textId="77777777" w:rsidTr="0047402C">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E5C66" w14:textId="77777777" w:rsidR="00FC5E0B" w:rsidRPr="00343EBC" w:rsidRDefault="00FC5E0B" w:rsidP="00FC5E0B">
            <w:pPr>
              <w:jc w:val="both"/>
              <w:rPr>
                <w:lang w:val="en-GB"/>
              </w:rPr>
            </w:pPr>
            <w:r w:rsidRPr="00343EBC">
              <w:t xml:space="preserve"> </w:t>
            </w:r>
            <w:r w:rsidRPr="00343EBC">
              <w:rPr>
                <w:lang w:val="en-GB"/>
              </w:rPr>
              <w:t>2019</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B6EE6" w14:textId="77777777" w:rsidR="00FC5E0B" w:rsidRPr="00343EBC" w:rsidRDefault="00FC5E0B" w:rsidP="00FC5E0B">
            <w:pPr>
              <w:jc w:val="both"/>
              <w:rPr>
                <w:lang w:val="en-GB"/>
              </w:rPr>
            </w:pPr>
            <w:r w:rsidRPr="00343EBC">
              <w:rPr>
                <w:lang w:val="en-GB"/>
              </w:rPr>
              <w:t>2020</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A5015" w14:textId="77777777" w:rsidR="00FC5E0B" w:rsidRPr="00343EBC" w:rsidRDefault="00FC5E0B" w:rsidP="00FC5E0B">
            <w:pPr>
              <w:jc w:val="both"/>
              <w:rPr>
                <w:lang w:val="en-GB"/>
              </w:rPr>
            </w:pPr>
            <w:r w:rsidRPr="00343EBC">
              <w:rPr>
                <w:lang w:val="en-GB"/>
              </w:rPr>
              <w:t xml:space="preserve"> (</w:t>
            </w:r>
            <w:proofErr w:type="gramStart"/>
            <w:r w:rsidRPr="00343EBC">
              <w:rPr>
                <w:lang w:val="en-GB"/>
              </w:rPr>
              <w:t>do</w:t>
            </w:r>
            <w:proofErr w:type="gramEnd"/>
            <w:r w:rsidRPr="00343EBC">
              <w:rPr>
                <w:lang w:val="en-GB"/>
              </w:rPr>
              <w:t xml:space="preserve"> 23.09.21.)</w:t>
            </w:r>
          </w:p>
        </w:tc>
      </w:tr>
      <w:tr w:rsidR="00FC5E0B" w:rsidRPr="00343EBC" w14:paraId="54832B0F" w14:textId="77777777" w:rsidTr="0047402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F27A5" w14:textId="77777777" w:rsidR="00FC5E0B" w:rsidRPr="00343EBC" w:rsidRDefault="00FC5E0B" w:rsidP="00FC5E0B">
            <w:pPr>
              <w:jc w:val="both"/>
              <w:rPr>
                <w:lang w:val="en-GB"/>
              </w:rPr>
            </w:pPr>
            <w:r w:rsidRPr="00343EBC">
              <w:rPr>
                <w:lang w:val="en-GB"/>
              </w:rPr>
              <w:t>33 928 569</w:t>
            </w:r>
          </w:p>
        </w:tc>
        <w:tc>
          <w:tcPr>
            <w:tcW w:w="3125" w:type="dxa"/>
            <w:tcBorders>
              <w:top w:val="nil"/>
              <w:left w:val="nil"/>
              <w:bottom w:val="single" w:sz="8" w:space="0" w:color="auto"/>
              <w:right w:val="single" w:sz="8" w:space="0" w:color="auto"/>
            </w:tcBorders>
            <w:tcMar>
              <w:top w:w="0" w:type="dxa"/>
              <w:left w:w="108" w:type="dxa"/>
              <w:bottom w:w="0" w:type="dxa"/>
              <w:right w:w="108" w:type="dxa"/>
            </w:tcMar>
            <w:hideMark/>
          </w:tcPr>
          <w:p w14:paraId="1CA09FD6" w14:textId="77777777" w:rsidR="00FC5E0B" w:rsidRPr="00343EBC" w:rsidRDefault="00FC5E0B" w:rsidP="00FC5E0B">
            <w:pPr>
              <w:jc w:val="both"/>
              <w:rPr>
                <w:lang w:val="en-GB"/>
              </w:rPr>
            </w:pPr>
            <w:r w:rsidRPr="00343EBC">
              <w:rPr>
                <w:lang w:val="en-GB"/>
              </w:rPr>
              <w:t>31 492 531</w:t>
            </w:r>
          </w:p>
        </w:tc>
        <w:tc>
          <w:tcPr>
            <w:tcW w:w="3125" w:type="dxa"/>
            <w:tcBorders>
              <w:top w:val="nil"/>
              <w:left w:val="nil"/>
              <w:bottom w:val="single" w:sz="8" w:space="0" w:color="auto"/>
              <w:right w:val="single" w:sz="8" w:space="0" w:color="auto"/>
            </w:tcBorders>
            <w:tcMar>
              <w:top w:w="0" w:type="dxa"/>
              <w:left w:w="108" w:type="dxa"/>
              <w:bottom w:w="0" w:type="dxa"/>
              <w:right w:w="108" w:type="dxa"/>
            </w:tcMar>
            <w:hideMark/>
          </w:tcPr>
          <w:p w14:paraId="5920A5BD" w14:textId="77777777" w:rsidR="00FC5E0B" w:rsidRPr="00343EBC" w:rsidRDefault="00FC5E0B" w:rsidP="00FC5E0B">
            <w:pPr>
              <w:jc w:val="both"/>
              <w:rPr>
                <w:lang w:val="en-GB"/>
              </w:rPr>
            </w:pPr>
            <w:r w:rsidRPr="00343EBC">
              <w:rPr>
                <w:lang w:val="en-GB"/>
              </w:rPr>
              <w:t>27 216 315</w:t>
            </w:r>
          </w:p>
        </w:tc>
      </w:tr>
    </w:tbl>
    <w:p w14:paraId="4717D1C4" w14:textId="77777777" w:rsidR="00FC5E0B" w:rsidRPr="00343EBC" w:rsidRDefault="00FC5E0B" w:rsidP="00FC5E0B">
      <w:pPr>
        <w:jc w:val="both"/>
      </w:pPr>
    </w:p>
    <w:p w14:paraId="77D71495" w14:textId="77777777" w:rsidR="00FC5E0B" w:rsidRPr="00343EBC" w:rsidRDefault="00FC5E0B" w:rsidP="00FC5E0B">
      <w:pPr>
        <w:jc w:val="both"/>
      </w:pPr>
      <w:r w:rsidRPr="00343EBC">
        <w:t xml:space="preserve">Također, vezano za količinu upita korisnika na web stranici </w:t>
      </w:r>
      <w:hyperlink r:id="rId14" w:history="1">
        <w:r w:rsidRPr="00343EBC">
          <w:rPr>
            <w:rStyle w:val="Hyperlink"/>
          </w:rPr>
          <w:t>www.imenik.tportal.hr</w:t>
        </w:r>
      </w:hyperlink>
      <w:r w:rsidR="00B45836" w:rsidRPr="00343EBC">
        <w:rPr>
          <w:rStyle w:val="Hyperlink"/>
        </w:rPr>
        <w:t>,</w:t>
      </w:r>
      <w:r w:rsidRPr="00343EBC">
        <w:t xml:space="preserve"> HT je dostavio slijedeće podatke:</w:t>
      </w:r>
    </w:p>
    <w:p w14:paraId="113D83CE" w14:textId="77777777" w:rsidR="00CE1C46" w:rsidRPr="00343EBC" w:rsidRDefault="00CE1C46" w:rsidP="00FC5E0B">
      <w:pPr>
        <w:jc w:val="both"/>
      </w:pPr>
    </w:p>
    <w:p w14:paraId="7FF62A0F" w14:textId="77777777" w:rsidR="00CE1C46" w:rsidRPr="000119DC" w:rsidRDefault="00CE1C46" w:rsidP="00FC5E0B">
      <w:pPr>
        <w:jc w:val="both"/>
        <w:rPr>
          <w:b/>
          <w:i/>
        </w:rPr>
      </w:pPr>
      <w:r w:rsidRPr="000119DC">
        <w:rPr>
          <w:b/>
          <w:i/>
        </w:rPr>
        <w:t>Tablica 1.2 –</w:t>
      </w:r>
      <w:r w:rsidRPr="00343EBC">
        <w:rPr>
          <w:b/>
          <w:i/>
        </w:rPr>
        <w:t xml:space="preserve"> b</w:t>
      </w:r>
      <w:r w:rsidRPr="000119DC">
        <w:rPr>
          <w:b/>
          <w:i/>
        </w:rPr>
        <w:t>roj upita na Internet stranici HT d.d.</w:t>
      </w:r>
    </w:p>
    <w:tbl>
      <w:tblPr>
        <w:tblW w:w="0" w:type="auto"/>
        <w:tblCellMar>
          <w:left w:w="0" w:type="dxa"/>
          <w:right w:w="0" w:type="dxa"/>
        </w:tblCellMar>
        <w:tblLook w:val="04A0" w:firstRow="1" w:lastRow="0" w:firstColumn="1" w:lastColumn="0" w:noHBand="0" w:noVBand="1"/>
      </w:tblPr>
      <w:tblGrid>
        <w:gridCol w:w="3016"/>
        <w:gridCol w:w="3018"/>
        <w:gridCol w:w="3018"/>
      </w:tblGrid>
      <w:tr w:rsidR="00FC5E0B" w:rsidRPr="00343EBC" w14:paraId="3733A2B3" w14:textId="77777777" w:rsidTr="0047402C">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87271" w14:textId="77777777" w:rsidR="00FC5E0B" w:rsidRPr="00343EBC" w:rsidRDefault="00FC5E0B" w:rsidP="00FC5E0B">
            <w:pPr>
              <w:jc w:val="both"/>
              <w:rPr>
                <w:lang w:val="en-GB"/>
              </w:rPr>
            </w:pPr>
            <w:r w:rsidRPr="00343EBC">
              <w:rPr>
                <w:lang w:val="en-GB"/>
              </w:rPr>
              <w:t>H1 2019</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B2F98" w14:textId="77777777" w:rsidR="00FC5E0B" w:rsidRPr="00343EBC" w:rsidRDefault="00FC5E0B" w:rsidP="00FC5E0B">
            <w:pPr>
              <w:jc w:val="both"/>
              <w:rPr>
                <w:lang w:val="en-GB"/>
              </w:rPr>
            </w:pPr>
            <w:r w:rsidRPr="00343EBC">
              <w:rPr>
                <w:lang w:val="en-GB"/>
              </w:rPr>
              <w:t>H1 2020</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DAC31" w14:textId="77777777" w:rsidR="00FC5E0B" w:rsidRPr="00343EBC" w:rsidRDefault="00FC5E0B" w:rsidP="00FC5E0B">
            <w:pPr>
              <w:jc w:val="both"/>
              <w:rPr>
                <w:lang w:val="en-GB"/>
              </w:rPr>
            </w:pPr>
            <w:r w:rsidRPr="00343EBC">
              <w:rPr>
                <w:lang w:val="en-GB"/>
              </w:rPr>
              <w:t>H1 2021</w:t>
            </w:r>
          </w:p>
        </w:tc>
      </w:tr>
      <w:tr w:rsidR="00FC5E0B" w:rsidRPr="00343EBC" w14:paraId="1B2739B8" w14:textId="77777777" w:rsidTr="0047402C">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59121" w14:textId="77777777" w:rsidR="00FC5E0B" w:rsidRPr="00343EBC" w:rsidRDefault="00FC5E0B" w:rsidP="00FC5E0B">
            <w:pPr>
              <w:jc w:val="both"/>
              <w:rPr>
                <w:lang w:val="en-GB"/>
              </w:rPr>
            </w:pPr>
            <w:r w:rsidRPr="00343EBC">
              <w:rPr>
                <w:lang w:val="en-GB"/>
              </w:rPr>
              <w:t>3 993 725</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31CD929B" w14:textId="77777777" w:rsidR="00FC5E0B" w:rsidRPr="00343EBC" w:rsidRDefault="00FC5E0B" w:rsidP="00FC5E0B">
            <w:pPr>
              <w:jc w:val="both"/>
              <w:rPr>
                <w:lang w:val="en-GB"/>
              </w:rPr>
            </w:pPr>
            <w:r w:rsidRPr="00343EBC">
              <w:rPr>
                <w:lang w:val="en-GB"/>
              </w:rPr>
              <w:t>3 720 055</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367E0233" w14:textId="77777777" w:rsidR="00FC5E0B" w:rsidRPr="00343EBC" w:rsidRDefault="00FC5E0B" w:rsidP="00FC5E0B">
            <w:pPr>
              <w:jc w:val="both"/>
              <w:rPr>
                <w:lang w:val="en-GB"/>
              </w:rPr>
            </w:pPr>
            <w:r w:rsidRPr="00343EBC">
              <w:rPr>
                <w:lang w:val="en-GB"/>
              </w:rPr>
              <w:t>1 590 247</w:t>
            </w:r>
          </w:p>
        </w:tc>
      </w:tr>
    </w:tbl>
    <w:p w14:paraId="4ADDFD7E" w14:textId="77777777" w:rsidR="00FC5E0B" w:rsidRPr="00343EBC" w:rsidRDefault="00FC5E0B" w:rsidP="00FC5E0B">
      <w:pPr>
        <w:jc w:val="both"/>
        <w:rPr>
          <w:b/>
          <w:bCs/>
          <w:lang w:val="en-GB"/>
        </w:rPr>
      </w:pPr>
    </w:p>
    <w:p w14:paraId="4152A6B6" w14:textId="5BDCFAB9" w:rsidR="00FC5E0B" w:rsidRPr="00343EBC" w:rsidRDefault="00FC5E0B" w:rsidP="00FC5E0B">
      <w:pPr>
        <w:jc w:val="both"/>
      </w:pPr>
      <w:r w:rsidRPr="00343EBC">
        <w:t xml:space="preserve">Iz prethodno navedenih podataka vidljivo je da postoji određeni pad broja internetskih upita na godišnjoj razini, ali ipak razvidno je da je prisutan </w:t>
      </w:r>
      <w:r w:rsidR="00CC6C56" w:rsidRPr="00343EBC">
        <w:t xml:space="preserve">značajan </w:t>
      </w:r>
      <w:r w:rsidRPr="00343EBC">
        <w:t>broj korisnički</w:t>
      </w:r>
      <w:r w:rsidR="00C063A7" w:rsidRPr="00343EBC">
        <w:t>h</w:t>
      </w:r>
      <w:r w:rsidRPr="00343EBC">
        <w:t xml:space="preserve"> upita, na postojećim </w:t>
      </w:r>
      <w:r w:rsidR="00CC6C56" w:rsidRPr="00343EBC">
        <w:t>Internet</w:t>
      </w:r>
      <w:r w:rsidRPr="00343EBC">
        <w:t xml:space="preserve"> stranicama ova dva imenika. </w:t>
      </w:r>
      <w:r w:rsidR="0014591E" w:rsidRPr="00343EBC">
        <w:t xml:space="preserve"> HAKOM napominje da je u odnosu na ovu uslugu Odlukom </w:t>
      </w:r>
      <w:r w:rsidR="00557EC5" w:rsidRPr="00343EBC">
        <w:t xml:space="preserve">KLASA: UP/I-344-01/19-07/01, URBROJ: 376-05-4-19-12 od 26. kolovoza 2019. </w:t>
      </w:r>
      <w:r w:rsidR="0014591E" w:rsidRPr="00343EBC">
        <w:t xml:space="preserve">društvo Imenik d.o.o. određeno davateljem univerzalne usluge koji je odabran u okviru natječaja na koji se javio kao jedini ponuditelj. </w:t>
      </w:r>
      <w:r w:rsidR="003F298C" w:rsidRPr="000119DC">
        <w:t xml:space="preserve">Imajući u vidu da je predmetna usluga komercijalno dostupna, te da se od strane operatora koji nije određen davateljem univerzalne usluge koristi </w:t>
      </w:r>
      <w:r w:rsidR="004539BA">
        <w:t>u velikom</w:t>
      </w:r>
      <w:r w:rsidR="000119DC">
        <w:t xml:space="preserve"> </w:t>
      </w:r>
      <w:r w:rsidR="003F298C" w:rsidRPr="000119DC">
        <w:t>opsegu,</w:t>
      </w:r>
      <w:r w:rsidR="003F298C" w:rsidRPr="00343EBC">
        <w:t xml:space="preserve"> HAKOM </w:t>
      </w:r>
      <w:r w:rsidR="0014591E" w:rsidRPr="00343EBC">
        <w:t xml:space="preserve">smatra primjerenim odrediti nastavak pružanja ove usluge u okviru univerzalne usluge </w:t>
      </w:r>
      <w:r w:rsidR="00FF7032" w:rsidRPr="00343EBC">
        <w:t>samo</w:t>
      </w:r>
      <w:r w:rsidR="0014591E" w:rsidRPr="00343EBC">
        <w:t xml:space="preserve"> do isteka </w:t>
      </w:r>
      <w:r w:rsidR="00C379C7" w:rsidRPr="00343EBC">
        <w:t xml:space="preserve">trogodišnje </w:t>
      </w:r>
      <w:r w:rsidR="00557EC5" w:rsidRPr="00343EBC">
        <w:t xml:space="preserve">obveze pružanja usluge </w:t>
      </w:r>
      <w:r w:rsidR="00D74716" w:rsidRPr="00343EBC">
        <w:t xml:space="preserve">definirane </w:t>
      </w:r>
      <w:r w:rsidR="00557EC5" w:rsidRPr="00343EBC">
        <w:t>gore spomenutom</w:t>
      </w:r>
      <w:r w:rsidR="0014591E" w:rsidRPr="00343EBC">
        <w:t xml:space="preserve"> O</w:t>
      </w:r>
      <w:r w:rsidR="00557EC5" w:rsidRPr="00343EBC">
        <w:t>dlukom</w:t>
      </w:r>
      <w:r w:rsidR="000C03F6" w:rsidRPr="00343EBC">
        <w:t xml:space="preserve"> (odnosno do </w:t>
      </w:r>
      <w:r w:rsidR="00557EC5" w:rsidRPr="00343EBC">
        <w:t>30. studenog 2022</w:t>
      </w:r>
      <w:r w:rsidR="000C03F6" w:rsidRPr="00343EBC">
        <w:t>.)</w:t>
      </w:r>
      <w:r w:rsidR="0097241F" w:rsidRPr="00343EBC">
        <w:t xml:space="preserve">. </w:t>
      </w:r>
    </w:p>
    <w:p w14:paraId="1AD26917" w14:textId="77777777" w:rsidR="00FC5E0B" w:rsidRPr="00343EBC" w:rsidRDefault="00FC5E0B" w:rsidP="00FC5E0B">
      <w:pPr>
        <w:jc w:val="both"/>
      </w:pPr>
    </w:p>
    <w:p w14:paraId="15164A16" w14:textId="77777777" w:rsidR="00CE1C46" w:rsidRPr="00343EBC" w:rsidRDefault="000E6C32" w:rsidP="00FC5E0B">
      <w:pPr>
        <w:jc w:val="both"/>
      </w:pPr>
      <w:r w:rsidRPr="00343EBC">
        <w:rPr>
          <w:b/>
          <w:i/>
        </w:rPr>
        <w:t>(ii)</w:t>
      </w:r>
      <w:r w:rsidRPr="00343EBC">
        <w:rPr>
          <w:b/>
          <w:i/>
        </w:rPr>
        <w:tab/>
        <w:t>Pristup krajnjih korisnika, uključujući i korisnike javnih telefonskih govornica, službi davanja obavijesti (informacija) o brojevima pretplatnika</w:t>
      </w:r>
      <w:r w:rsidRPr="00343EBC" w:rsidDel="000E6C32">
        <w:t xml:space="preserve"> </w:t>
      </w:r>
    </w:p>
    <w:p w14:paraId="1324E059" w14:textId="77777777" w:rsidR="00CE1C46" w:rsidRPr="00343EBC" w:rsidRDefault="00CE1C46" w:rsidP="00FC5E0B">
      <w:pPr>
        <w:jc w:val="both"/>
      </w:pPr>
    </w:p>
    <w:p w14:paraId="08BF6C36" w14:textId="77777777" w:rsidR="00FC5E0B" w:rsidRPr="00343EBC" w:rsidRDefault="00FC5E0B" w:rsidP="00FC5E0B">
      <w:pPr>
        <w:jc w:val="both"/>
      </w:pPr>
      <w:r w:rsidRPr="00343EBC">
        <w:t>U svrhu preispitivanja statusa postojeće univerzalne usluge pristupa krajnjih korisnika, uključujući i korisnike javnih telefonskih govornica službi davanja obavijesti (informacija) o pretplatnicima</w:t>
      </w:r>
      <w:r w:rsidR="000E2B2B" w:rsidRPr="00343EBC">
        <w:t>,</w:t>
      </w:r>
      <w:r w:rsidRPr="00343EBC">
        <w:t xml:space="preserve"> HAKOM je zatražio određene mjerodavne podatke za posljednje tri godine i to: </w:t>
      </w:r>
    </w:p>
    <w:p w14:paraId="32A6F7BC" w14:textId="77777777" w:rsidR="00FC5E0B" w:rsidRPr="00343EBC" w:rsidRDefault="00FC5E0B" w:rsidP="00F511D7">
      <w:pPr>
        <w:pStyle w:val="ListParagraph"/>
        <w:numPr>
          <w:ilvl w:val="1"/>
          <w:numId w:val="6"/>
        </w:numPr>
        <w:ind w:left="426"/>
        <w:jc w:val="both"/>
      </w:pPr>
      <w:r w:rsidRPr="00343EBC">
        <w:t>Broj poziva prema službi davanja obavijesti (informacija)</w:t>
      </w:r>
      <w:r w:rsidR="00C414B7">
        <w:t xml:space="preserve"> </w:t>
      </w:r>
      <w:r w:rsidR="00C414B7" w:rsidRPr="00343EBC">
        <w:t xml:space="preserve">11880 </w:t>
      </w:r>
      <w:r w:rsidR="00C414B7">
        <w:t xml:space="preserve">i 11888 </w:t>
      </w:r>
      <w:r w:rsidRPr="00343EBC">
        <w:t xml:space="preserve"> za razdoblja: H1 2019</w:t>
      </w:r>
      <w:r w:rsidR="000E6C32" w:rsidRPr="00343EBC">
        <w:t>.</w:t>
      </w:r>
      <w:r w:rsidRPr="00343EBC">
        <w:t>, H1 2020. i H1 2021.</w:t>
      </w:r>
    </w:p>
    <w:p w14:paraId="4A7AAFE7" w14:textId="77777777" w:rsidR="00FC5E0B" w:rsidRPr="00343EBC" w:rsidRDefault="00FC5E0B" w:rsidP="00F511D7">
      <w:pPr>
        <w:pStyle w:val="ListParagraph"/>
        <w:numPr>
          <w:ilvl w:val="1"/>
          <w:numId w:val="6"/>
        </w:numPr>
        <w:ind w:left="426"/>
        <w:jc w:val="both"/>
      </w:pPr>
      <w:r w:rsidRPr="00343EBC">
        <w:t xml:space="preserve">Broj poziva koje su ostvarile slijepe osobe prema službi davanja obavijesti (informacija) 11880 </w:t>
      </w:r>
      <w:r w:rsidR="00C414B7">
        <w:t xml:space="preserve">i 11888 </w:t>
      </w:r>
      <w:r w:rsidRPr="00343EBC">
        <w:t>za razdoblja: H1 2019</w:t>
      </w:r>
      <w:r w:rsidR="000E6C32" w:rsidRPr="00343EBC">
        <w:t>.</w:t>
      </w:r>
      <w:r w:rsidRPr="00343EBC">
        <w:t>, H1 2020. i H1 2021.</w:t>
      </w:r>
    </w:p>
    <w:p w14:paraId="5FBB0B21" w14:textId="77777777" w:rsidR="00FC5E0B" w:rsidRPr="00343EBC" w:rsidRDefault="00FC5E0B" w:rsidP="00F511D7">
      <w:pPr>
        <w:pStyle w:val="ListParagraph"/>
        <w:numPr>
          <w:ilvl w:val="1"/>
          <w:numId w:val="6"/>
        </w:numPr>
        <w:ind w:left="426"/>
        <w:jc w:val="both"/>
      </w:pPr>
      <w:r w:rsidRPr="00343EBC">
        <w:t xml:space="preserve">Maloprodajne cijene poziva na broj 11880 </w:t>
      </w:r>
      <w:r w:rsidR="00C414B7">
        <w:t xml:space="preserve">i 11888 </w:t>
      </w:r>
      <w:r w:rsidRPr="00343EBC">
        <w:t>za razdoblja: H1 2019, H1 2020. i H1 2021.</w:t>
      </w:r>
    </w:p>
    <w:p w14:paraId="25A6E581" w14:textId="77777777" w:rsidR="00FC5E0B" w:rsidRPr="00343EBC" w:rsidRDefault="00FC5E0B" w:rsidP="00F511D7">
      <w:pPr>
        <w:pStyle w:val="ListParagraph"/>
        <w:numPr>
          <w:ilvl w:val="1"/>
          <w:numId w:val="6"/>
        </w:numPr>
        <w:ind w:left="426"/>
        <w:jc w:val="both"/>
      </w:pPr>
      <w:r w:rsidRPr="00343EBC">
        <w:t xml:space="preserve">Broj SMS upita na broj 11880 </w:t>
      </w:r>
      <w:r w:rsidR="00C414B7">
        <w:t xml:space="preserve">i 11888 </w:t>
      </w:r>
      <w:r w:rsidRPr="00343EBC">
        <w:t>za razdoblja: H1 2019, H1 2020. i H1 2021.</w:t>
      </w:r>
    </w:p>
    <w:p w14:paraId="0EBF4AA7" w14:textId="77777777" w:rsidR="00FC5E0B" w:rsidRPr="00343EBC" w:rsidRDefault="00FC5E0B" w:rsidP="00F511D7">
      <w:pPr>
        <w:pStyle w:val="ListParagraph"/>
        <w:numPr>
          <w:ilvl w:val="1"/>
          <w:numId w:val="6"/>
        </w:numPr>
        <w:ind w:left="426"/>
        <w:jc w:val="both"/>
      </w:pPr>
      <w:r w:rsidRPr="00343EBC">
        <w:t xml:space="preserve">Broj SMS upita koje su ostvarile gluhe osobe prema službi davanja obavijesti (informacija) 11880 </w:t>
      </w:r>
      <w:r w:rsidR="00C414B7">
        <w:t xml:space="preserve">i 11888 </w:t>
      </w:r>
      <w:r w:rsidRPr="00343EBC">
        <w:t>za razdoblja: H1 2019, H1 2020. i H1 2021.</w:t>
      </w:r>
    </w:p>
    <w:p w14:paraId="5B9F9267" w14:textId="77777777" w:rsidR="000E6C32" w:rsidRPr="00343EBC" w:rsidRDefault="000E6C32" w:rsidP="00FC5E0B">
      <w:pPr>
        <w:jc w:val="both"/>
      </w:pPr>
    </w:p>
    <w:p w14:paraId="13C059EE" w14:textId="77777777" w:rsidR="00FC5E0B" w:rsidRPr="00343EBC" w:rsidRDefault="0097241F" w:rsidP="00FC5E0B">
      <w:pPr>
        <w:jc w:val="both"/>
      </w:pPr>
      <w:r w:rsidRPr="00343EBC">
        <w:t>Na Z</w:t>
      </w:r>
      <w:r w:rsidR="000E6C32" w:rsidRPr="00343EBC">
        <w:t>ahtjev</w:t>
      </w:r>
      <w:r w:rsidR="000E2B2B" w:rsidRPr="00343EBC">
        <w:t xml:space="preserve"> HAKOM-a</w:t>
      </w:r>
      <w:r w:rsidR="000E6C32" w:rsidRPr="00343EBC">
        <w:t>, d</w:t>
      </w:r>
      <w:r w:rsidR="00FC5E0B" w:rsidRPr="00343EBC">
        <w:t xml:space="preserve">ruštvo Imenik d.o.o. </w:t>
      </w:r>
      <w:r w:rsidR="000E6C32" w:rsidRPr="00343EBC">
        <w:t>dostavilo je</w:t>
      </w:r>
      <w:r w:rsidR="00FC5E0B" w:rsidRPr="00343EBC">
        <w:t xml:space="preserve"> sljedeće</w:t>
      </w:r>
      <w:r w:rsidR="000E6C32" w:rsidRPr="00343EBC">
        <w:t xml:space="preserve"> podatke</w:t>
      </w:r>
      <w:r w:rsidR="00FC5E0B" w:rsidRPr="00343EBC">
        <w:t>:</w:t>
      </w:r>
    </w:p>
    <w:p w14:paraId="5474F68F" w14:textId="77777777" w:rsidR="000119DC" w:rsidRDefault="000119DC" w:rsidP="00FC5E0B">
      <w:pPr>
        <w:jc w:val="both"/>
        <w:rPr>
          <w:b/>
          <w:i/>
        </w:rPr>
      </w:pPr>
    </w:p>
    <w:p w14:paraId="5546B123" w14:textId="77777777" w:rsidR="00CE1C46" w:rsidRPr="000119DC" w:rsidRDefault="00CE1C46" w:rsidP="00FC5E0B">
      <w:pPr>
        <w:jc w:val="both"/>
        <w:rPr>
          <w:b/>
          <w:i/>
        </w:rPr>
      </w:pPr>
      <w:r w:rsidRPr="000119DC">
        <w:rPr>
          <w:b/>
          <w:i/>
        </w:rPr>
        <w:t>Tablica 2.1 –</w:t>
      </w:r>
      <w:r w:rsidRPr="00343EBC">
        <w:rPr>
          <w:b/>
          <w:i/>
        </w:rPr>
        <w:t xml:space="preserve"> b</w:t>
      </w:r>
      <w:r w:rsidRPr="000119DC">
        <w:rPr>
          <w:b/>
          <w:i/>
        </w:rPr>
        <w:t xml:space="preserve">roj poziva prema službi davanja </w:t>
      </w:r>
      <w:r w:rsidRPr="00343EBC">
        <w:rPr>
          <w:b/>
          <w:i/>
        </w:rPr>
        <w:t>obavijesti</w:t>
      </w:r>
      <w:r w:rsidRPr="000119DC">
        <w:rPr>
          <w:b/>
          <w:i/>
        </w:rPr>
        <w:t xml:space="preserve"> Imenik d.o.o. </w:t>
      </w:r>
    </w:p>
    <w:tbl>
      <w:tblPr>
        <w:tblW w:w="0" w:type="auto"/>
        <w:tblCellMar>
          <w:left w:w="0" w:type="dxa"/>
          <w:right w:w="0" w:type="dxa"/>
        </w:tblCellMar>
        <w:tblLook w:val="04A0" w:firstRow="1" w:lastRow="0" w:firstColumn="1" w:lastColumn="0" w:noHBand="0" w:noVBand="1"/>
      </w:tblPr>
      <w:tblGrid>
        <w:gridCol w:w="3124"/>
        <w:gridCol w:w="3125"/>
        <w:gridCol w:w="3125"/>
      </w:tblGrid>
      <w:tr w:rsidR="00FC5E0B" w:rsidRPr="00343EBC" w14:paraId="67F6C3C7" w14:textId="77777777" w:rsidTr="0047402C">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0675F7" w14:textId="77777777" w:rsidR="00FC5E0B" w:rsidRPr="00343EBC" w:rsidRDefault="00FC5E0B" w:rsidP="00FC5E0B">
            <w:pPr>
              <w:jc w:val="both"/>
            </w:pPr>
            <w:r w:rsidRPr="00343EBC">
              <w:t>2019</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84DEF" w14:textId="77777777" w:rsidR="00FC5E0B" w:rsidRPr="00343EBC" w:rsidRDefault="00FC5E0B" w:rsidP="00FC5E0B">
            <w:pPr>
              <w:jc w:val="both"/>
            </w:pPr>
            <w:r w:rsidRPr="00343EBC">
              <w:t>2020</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2B56C" w14:textId="77777777" w:rsidR="00FC5E0B" w:rsidRPr="00343EBC" w:rsidRDefault="00FC5E0B" w:rsidP="00FC5E0B">
            <w:pPr>
              <w:jc w:val="both"/>
            </w:pPr>
            <w:r w:rsidRPr="00343EBC">
              <w:t>(do 23.09.2021.)</w:t>
            </w:r>
          </w:p>
        </w:tc>
      </w:tr>
      <w:tr w:rsidR="00FC5E0B" w:rsidRPr="00343EBC" w14:paraId="33364DB7" w14:textId="77777777" w:rsidTr="0047402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19771" w14:textId="77777777" w:rsidR="00FC5E0B" w:rsidRPr="00343EBC" w:rsidRDefault="00FC5E0B" w:rsidP="00FC5E0B">
            <w:pPr>
              <w:jc w:val="both"/>
            </w:pPr>
            <w:r w:rsidRPr="00343EBC">
              <w:t>163.270</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B7DFA" w14:textId="77777777" w:rsidR="00FC5E0B" w:rsidRPr="00343EBC" w:rsidRDefault="00FC5E0B" w:rsidP="00FC5E0B">
            <w:pPr>
              <w:jc w:val="both"/>
            </w:pPr>
            <w:r w:rsidRPr="00343EBC">
              <w:t>115.606</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CB4F2" w14:textId="77777777" w:rsidR="00FC5E0B" w:rsidRPr="00343EBC" w:rsidRDefault="00FC5E0B" w:rsidP="00FC5E0B">
            <w:pPr>
              <w:jc w:val="both"/>
            </w:pPr>
            <w:r w:rsidRPr="00343EBC">
              <w:t>80.951</w:t>
            </w:r>
          </w:p>
        </w:tc>
      </w:tr>
    </w:tbl>
    <w:p w14:paraId="4550449A" w14:textId="77777777" w:rsidR="00557EC5" w:rsidRPr="00343EBC" w:rsidRDefault="000E6C32" w:rsidP="00EE363F">
      <w:pPr>
        <w:jc w:val="both"/>
      </w:pPr>
      <w:r w:rsidRPr="00343EBC">
        <w:t>Imenik je t</w:t>
      </w:r>
      <w:r w:rsidR="00FC5E0B" w:rsidRPr="00343EBC">
        <w:t>akođer naveo da su ovo kumulativni pozivi tj. da nema podatak odvojeno za broj poziva koje su ostvarile slijepe osobe prema njihovoj službi davanja obav</w:t>
      </w:r>
      <w:r w:rsidRPr="00343EBC">
        <w:t>i</w:t>
      </w:r>
      <w:r w:rsidR="00FC5E0B" w:rsidRPr="00343EBC">
        <w:t xml:space="preserve">jesti (11880). Vezano za broj SMS upita na broj 11880 u zatraženom razdoblju društvo Imenik d.o.o. je naveo da nije bilo istih </w:t>
      </w:r>
      <w:r w:rsidR="00DD486A" w:rsidRPr="00343EBC">
        <w:t>odnosno da ista nije korištena</w:t>
      </w:r>
      <w:r w:rsidR="00FC5E0B" w:rsidRPr="00343EBC">
        <w:t>.</w:t>
      </w:r>
    </w:p>
    <w:p w14:paraId="3364A558" w14:textId="77777777" w:rsidR="003746FB" w:rsidRPr="00343EBC" w:rsidRDefault="003746FB" w:rsidP="00EE363F">
      <w:pPr>
        <w:jc w:val="both"/>
      </w:pPr>
    </w:p>
    <w:p w14:paraId="3727F796" w14:textId="77777777" w:rsidR="00FC5E0B" w:rsidRPr="00343EBC" w:rsidRDefault="00FC5E0B" w:rsidP="00EE363F">
      <w:pPr>
        <w:jc w:val="both"/>
      </w:pPr>
      <w:r w:rsidRPr="00343EBC">
        <w:t>Vezano za broj poziva na broj 11888 po godinama HT je dostavio slijedeće:</w:t>
      </w:r>
    </w:p>
    <w:p w14:paraId="478B84E4" w14:textId="77777777" w:rsidR="000119DC" w:rsidRDefault="000119DC" w:rsidP="00EE363F">
      <w:pPr>
        <w:jc w:val="both"/>
        <w:rPr>
          <w:b/>
          <w:i/>
        </w:rPr>
      </w:pPr>
    </w:p>
    <w:p w14:paraId="4E00831A" w14:textId="77777777" w:rsidR="00CE1C46" w:rsidRPr="000119DC" w:rsidRDefault="00CE1C46" w:rsidP="00EE363F">
      <w:pPr>
        <w:jc w:val="both"/>
        <w:rPr>
          <w:b/>
          <w:i/>
        </w:rPr>
      </w:pPr>
      <w:r w:rsidRPr="000119DC">
        <w:rPr>
          <w:b/>
          <w:i/>
        </w:rPr>
        <w:t>Tablica 2.2 – broj poziva prema službi davanja obavijesti HT d.d.</w:t>
      </w:r>
    </w:p>
    <w:tbl>
      <w:tblPr>
        <w:tblW w:w="0" w:type="auto"/>
        <w:tblCellMar>
          <w:left w:w="0" w:type="dxa"/>
          <w:right w:w="0" w:type="dxa"/>
        </w:tblCellMar>
        <w:tblLook w:val="04A0" w:firstRow="1" w:lastRow="0" w:firstColumn="1" w:lastColumn="0" w:noHBand="0" w:noVBand="1"/>
      </w:tblPr>
      <w:tblGrid>
        <w:gridCol w:w="3124"/>
        <w:gridCol w:w="3125"/>
        <w:gridCol w:w="3125"/>
      </w:tblGrid>
      <w:tr w:rsidR="00FC5E0B" w:rsidRPr="00343EBC" w14:paraId="1F916FD2" w14:textId="77777777" w:rsidTr="0047402C">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260EE" w14:textId="77777777" w:rsidR="00FC5E0B" w:rsidRPr="00343EBC" w:rsidRDefault="00FC5E0B" w:rsidP="00E40944">
            <w:pPr>
              <w:jc w:val="both"/>
            </w:pPr>
            <w:r w:rsidRPr="00343EBC">
              <w:t>H1 2019</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D2DD4" w14:textId="77777777" w:rsidR="00FC5E0B" w:rsidRPr="00343EBC" w:rsidRDefault="00FC5E0B">
            <w:pPr>
              <w:jc w:val="both"/>
            </w:pPr>
            <w:r w:rsidRPr="00343EBC">
              <w:t>H1 2020</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3EDAB" w14:textId="77777777" w:rsidR="00FC5E0B" w:rsidRPr="00343EBC" w:rsidRDefault="00FC5E0B">
            <w:pPr>
              <w:jc w:val="both"/>
            </w:pPr>
            <w:r w:rsidRPr="00343EBC">
              <w:t>H1 2021</w:t>
            </w:r>
          </w:p>
        </w:tc>
      </w:tr>
      <w:tr w:rsidR="00FC5E0B" w:rsidRPr="00343EBC" w14:paraId="3D63B37A" w14:textId="77777777" w:rsidTr="0047402C">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B95B2" w14:textId="77777777" w:rsidR="00FC5E0B" w:rsidRPr="00343EBC" w:rsidRDefault="00FC5E0B" w:rsidP="00EE363F">
            <w:pPr>
              <w:jc w:val="both"/>
            </w:pPr>
            <w:r w:rsidRPr="00343EBC">
              <w:t>759.556</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A8F4E" w14:textId="77777777" w:rsidR="00FC5E0B" w:rsidRPr="00343EBC" w:rsidRDefault="00FC5E0B" w:rsidP="00E40944">
            <w:pPr>
              <w:jc w:val="both"/>
            </w:pPr>
            <w:r w:rsidRPr="00343EBC">
              <w:t>632.045</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85B4F" w14:textId="77777777" w:rsidR="00FC5E0B" w:rsidRPr="00343EBC" w:rsidRDefault="00FC5E0B">
            <w:pPr>
              <w:jc w:val="both"/>
            </w:pPr>
            <w:r w:rsidRPr="00343EBC">
              <w:t>529.578</w:t>
            </w:r>
          </w:p>
        </w:tc>
      </w:tr>
    </w:tbl>
    <w:p w14:paraId="34E917A1" w14:textId="77777777" w:rsidR="00FC5E0B" w:rsidRPr="00343EBC" w:rsidRDefault="00FC5E0B">
      <w:pPr>
        <w:jc w:val="both"/>
      </w:pPr>
    </w:p>
    <w:p w14:paraId="6D3C39D4" w14:textId="77777777" w:rsidR="00FC5E0B" w:rsidRPr="00343EBC" w:rsidRDefault="00FC5E0B" w:rsidP="00FC5E0B">
      <w:pPr>
        <w:jc w:val="both"/>
      </w:pPr>
      <w:r w:rsidRPr="00343EBC">
        <w:t>Vezano za broj SMS upita po godinama na njihovu službu informacija (11888) HT se očitovao o br</w:t>
      </w:r>
      <w:r w:rsidR="000E6C32" w:rsidRPr="00343EBC">
        <w:t>o</w:t>
      </w:r>
      <w:r w:rsidRPr="00343EBC">
        <w:t>ju zaprimljenih upita na sljedeći način:</w:t>
      </w:r>
    </w:p>
    <w:p w14:paraId="4E75F811" w14:textId="77777777" w:rsidR="000119DC" w:rsidRDefault="000119DC" w:rsidP="00FC5E0B">
      <w:pPr>
        <w:jc w:val="both"/>
        <w:rPr>
          <w:b/>
          <w:i/>
        </w:rPr>
      </w:pPr>
    </w:p>
    <w:p w14:paraId="5BECC207" w14:textId="77777777" w:rsidR="00CE1C46" w:rsidRPr="000119DC" w:rsidRDefault="00CE1C46" w:rsidP="00FC5E0B">
      <w:pPr>
        <w:jc w:val="both"/>
        <w:rPr>
          <w:b/>
          <w:i/>
        </w:rPr>
      </w:pPr>
      <w:r w:rsidRPr="000119DC">
        <w:rPr>
          <w:b/>
          <w:i/>
        </w:rPr>
        <w:t xml:space="preserve">Tablica 2.3 – broj SMS upita prema službi davanja obavijesti HT d.d. </w:t>
      </w:r>
    </w:p>
    <w:tbl>
      <w:tblPr>
        <w:tblW w:w="0" w:type="auto"/>
        <w:tblCellMar>
          <w:left w:w="0" w:type="dxa"/>
          <w:right w:w="0" w:type="dxa"/>
        </w:tblCellMar>
        <w:tblLook w:val="04A0" w:firstRow="1" w:lastRow="0" w:firstColumn="1" w:lastColumn="0" w:noHBand="0" w:noVBand="1"/>
      </w:tblPr>
      <w:tblGrid>
        <w:gridCol w:w="3016"/>
        <w:gridCol w:w="3018"/>
        <w:gridCol w:w="3018"/>
      </w:tblGrid>
      <w:tr w:rsidR="00FC5E0B" w:rsidRPr="00343EBC" w14:paraId="3490FC22" w14:textId="77777777" w:rsidTr="0047402C">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C6BB3" w14:textId="77777777" w:rsidR="00FC5E0B" w:rsidRPr="00343EBC" w:rsidRDefault="00FC5E0B" w:rsidP="00FC5E0B">
            <w:pPr>
              <w:jc w:val="both"/>
            </w:pPr>
            <w:r w:rsidRPr="00343EBC">
              <w:t>H1 2019</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C6DBF" w14:textId="77777777" w:rsidR="00FC5E0B" w:rsidRPr="00343EBC" w:rsidRDefault="00FC5E0B" w:rsidP="00FC5E0B">
            <w:pPr>
              <w:jc w:val="both"/>
            </w:pPr>
            <w:r w:rsidRPr="00343EBC">
              <w:t>H1 2020</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B094F" w14:textId="77777777" w:rsidR="00FC5E0B" w:rsidRPr="00343EBC" w:rsidRDefault="00FC5E0B" w:rsidP="00FC5E0B">
            <w:pPr>
              <w:jc w:val="both"/>
            </w:pPr>
            <w:r w:rsidRPr="00343EBC">
              <w:t>H1 2021</w:t>
            </w:r>
          </w:p>
        </w:tc>
      </w:tr>
      <w:tr w:rsidR="00FC5E0B" w:rsidRPr="00343EBC" w14:paraId="0B0152D6" w14:textId="77777777" w:rsidTr="0047402C">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5756D" w14:textId="77777777" w:rsidR="00FC5E0B" w:rsidRPr="00343EBC" w:rsidRDefault="00FC5E0B" w:rsidP="00FC5E0B">
            <w:pPr>
              <w:jc w:val="both"/>
            </w:pPr>
            <w:r w:rsidRPr="00343EBC">
              <w:t>5 477</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6D169E9A" w14:textId="77777777" w:rsidR="00FC5E0B" w:rsidRPr="00343EBC" w:rsidRDefault="00FC5E0B" w:rsidP="00FC5E0B">
            <w:pPr>
              <w:jc w:val="both"/>
            </w:pPr>
            <w:r w:rsidRPr="00343EBC">
              <w:t>4 437</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17CF6924" w14:textId="77777777" w:rsidR="00FC5E0B" w:rsidRPr="00343EBC" w:rsidRDefault="00FC5E0B" w:rsidP="00FC5E0B">
            <w:pPr>
              <w:jc w:val="both"/>
            </w:pPr>
            <w:r w:rsidRPr="00343EBC">
              <w:t>4 540</w:t>
            </w:r>
          </w:p>
        </w:tc>
      </w:tr>
    </w:tbl>
    <w:p w14:paraId="18DCF1B2" w14:textId="5151C2A6" w:rsidR="00FC1A4F" w:rsidRPr="00343EBC" w:rsidRDefault="00FC1A4F" w:rsidP="00FC1A4F">
      <w:pPr>
        <w:jc w:val="both"/>
      </w:pPr>
    </w:p>
    <w:p w14:paraId="6F310304" w14:textId="77777777" w:rsidR="00FC5E0B" w:rsidRPr="00343EBC" w:rsidRDefault="00FC5E0B" w:rsidP="00FC5E0B">
      <w:pPr>
        <w:jc w:val="both"/>
      </w:pPr>
      <w:r w:rsidRPr="00343EBC">
        <w:t xml:space="preserve">Iz prethodno navedenih podataka vidljivo je da postoji određeni pad broja poziva i upita prema službi davanja obavijesti (informacija) o pretplatnicima na godišnjoj razini, ali ipak razvidno je da je i dalje prisutan </w:t>
      </w:r>
      <w:r w:rsidR="00CC6C56" w:rsidRPr="00343EBC">
        <w:t xml:space="preserve">značajan </w:t>
      </w:r>
      <w:r w:rsidRPr="00343EBC">
        <w:t xml:space="preserve">broj poziva i </w:t>
      </w:r>
      <w:r w:rsidR="00F0370D" w:rsidRPr="00343EBC">
        <w:t xml:space="preserve">SMS </w:t>
      </w:r>
      <w:r w:rsidRPr="00343EBC">
        <w:t>upita, oko pola mili</w:t>
      </w:r>
      <w:r w:rsidR="00471557" w:rsidRPr="00343EBC">
        <w:t>ju</w:t>
      </w:r>
      <w:r w:rsidRPr="00343EBC">
        <w:t>na poziva i oko 5</w:t>
      </w:r>
      <w:r w:rsidR="00471557" w:rsidRPr="00343EBC">
        <w:t>.</w:t>
      </w:r>
      <w:r w:rsidRPr="00343EBC">
        <w:t xml:space="preserve">000 upita na godišnjoj razini, koji ipak </w:t>
      </w:r>
      <w:r w:rsidR="00383247" w:rsidRPr="00343EBC">
        <w:t>u</w:t>
      </w:r>
      <w:r w:rsidRPr="00343EBC">
        <w:t xml:space="preserve">kazuje </w:t>
      </w:r>
      <w:r w:rsidR="00383247" w:rsidRPr="00343EBC">
        <w:t xml:space="preserve">na </w:t>
      </w:r>
      <w:r w:rsidRPr="00343EBC">
        <w:t xml:space="preserve">važnost ove usluge za krajnje korisnike. </w:t>
      </w:r>
      <w:r w:rsidR="00580A33" w:rsidRPr="00343EBC">
        <w:t xml:space="preserve">Kao što je pojašnjeno i Ad (i) ovog obrazloženja, u odnosu na ovu uslugu Odlukom KLASA: UP/I-344-01/19-07/01, URBROJ: 376-05-4-19-12 od 26. kolovoza 2019. društvo Imenik d.o.o. određeno je davateljem univerzalne usluge koji je odabran u okviru natječaja na koji se javio kao jedini ponuditelj. </w:t>
      </w:r>
      <w:r w:rsidR="00CC6C56" w:rsidRPr="000119DC">
        <w:t>Imajući u vidu da je predmetna usluga komercijalno dostupna, te da se od strane operatora koji nije određen davateljem univerzalne usluge koristi i u širem opsegu,</w:t>
      </w:r>
      <w:r w:rsidR="00CC6C56" w:rsidRPr="00343EBC">
        <w:t xml:space="preserve"> HAKOM smatra primjerenim odrediti nastavak pružanja ove usluge u okviru univerzalne usluge samo do isteka trogodišnje obveze pružanja usluge definirane gore spomenutom Odlukom (odnosno do 30. studenog 2022.). </w:t>
      </w:r>
    </w:p>
    <w:p w14:paraId="464DA9FD" w14:textId="77777777" w:rsidR="00FC5E0B" w:rsidRPr="00343EBC" w:rsidRDefault="00FC5E0B" w:rsidP="00FC5E0B">
      <w:pPr>
        <w:jc w:val="both"/>
      </w:pPr>
    </w:p>
    <w:p w14:paraId="2C7F1A5D" w14:textId="77777777" w:rsidR="008450B1" w:rsidRPr="00343EBC" w:rsidRDefault="00185B53" w:rsidP="008450B1">
      <w:pPr>
        <w:jc w:val="both"/>
        <w:rPr>
          <w:b/>
          <w:i/>
        </w:rPr>
      </w:pPr>
      <w:r w:rsidRPr="00343EBC">
        <w:rPr>
          <w:b/>
          <w:i/>
        </w:rPr>
        <w:t>(iii)</w:t>
      </w:r>
      <w:r w:rsidRPr="00343EBC">
        <w:rPr>
          <w:b/>
          <w:i/>
        </w:rPr>
        <w:tab/>
        <w:t>P</w:t>
      </w:r>
      <w:r w:rsidR="008450B1" w:rsidRPr="00343EBC">
        <w:rPr>
          <w:b/>
          <w:i/>
        </w:rPr>
        <w:t>ostavljanje javnih telefonskih govornica ili drugih javno dostupnih pristupnih točaka za javnu govornu uslugu na javnim mjestima u svako doba, u skladu s razumnim potrebama krajnjih korisnika usluga u pogledu zemljopisne pokrivenosti, kakvoće usluge, broja javnih telefonskih govornica ili drugih javno dostupnih pristupnih točaka i njihove dostupnosti</w:t>
      </w:r>
      <w:r w:rsidRPr="00343EBC">
        <w:rPr>
          <w:b/>
          <w:i/>
        </w:rPr>
        <w:t xml:space="preserve"> osobama s invaliditetom</w:t>
      </w:r>
    </w:p>
    <w:p w14:paraId="23233841" w14:textId="77777777" w:rsidR="00FC5E0B" w:rsidRPr="00343EBC" w:rsidRDefault="00FC5E0B" w:rsidP="008450B1">
      <w:pPr>
        <w:jc w:val="both"/>
      </w:pPr>
    </w:p>
    <w:p w14:paraId="1931E09F" w14:textId="77777777" w:rsidR="00FC5E0B" w:rsidRPr="00343EBC" w:rsidRDefault="00FC5E0B" w:rsidP="00FC5E0B">
      <w:pPr>
        <w:jc w:val="both"/>
      </w:pPr>
      <w:r w:rsidRPr="00343EBC">
        <w:t xml:space="preserve">Sukladno </w:t>
      </w:r>
      <w:r w:rsidR="00FC1F22" w:rsidRPr="00343EBC">
        <w:t xml:space="preserve">obvezama </w:t>
      </w:r>
      <w:r w:rsidRPr="00343EBC">
        <w:t xml:space="preserve"> </w:t>
      </w:r>
      <w:r w:rsidR="00FC1F22" w:rsidRPr="00343EBC">
        <w:t>propisani</w:t>
      </w:r>
      <w:r w:rsidR="000E2B2B" w:rsidRPr="00343EBC">
        <w:t>m</w:t>
      </w:r>
      <w:r w:rsidR="00FC1F22" w:rsidRPr="00343EBC">
        <w:t xml:space="preserve"> ZEK</w:t>
      </w:r>
      <w:r w:rsidR="004866E3" w:rsidRPr="00343EBC">
        <w:t xml:space="preserve">-om i </w:t>
      </w:r>
      <w:r w:rsidR="00FC1F22" w:rsidRPr="00343EBC">
        <w:t xml:space="preserve"> Pravilnikom o univerzalnim uslugama u elektroničkim komunikacijama (NN br. 146/12, 82/14,</w:t>
      </w:r>
      <w:r w:rsidR="000E2B2B" w:rsidRPr="00343EBC">
        <w:t xml:space="preserve"> </w:t>
      </w:r>
      <w:r w:rsidR="00FC1F22" w:rsidRPr="00343EBC">
        <w:t>41/16</w:t>
      </w:r>
      <w:r w:rsidR="000E2B2B" w:rsidRPr="00343EBC">
        <w:t>, 62/19</w:t>
      </w:r>
      <w:r w:rsidR="00FC1F22" w:rsidRPr="00343EBC">
        <w:t xml:space="preserve"> i 68/19) operator univerzalnih usluga </w:t>
      </w:r>
      <w:r w:rsidRPr="00343EBC">
        <w:t xml:space="preserve">obvezan je na području obavljanja univerzalnih usluga postaviti i osigurati uporabu javnih telefonskih govornica </w:t>
      </w:r>
      <w:r w:rsidR="008E4F47" w:rsidRPr="00343EBC">
        <w:t xml:space="preserve">na mjestima od javnog interesa </w:t>
      </w:r>
      <w:r w:rsidRPr="00343EBC">
        <w:t xml:space="preserve">(dalje: telefonske govornice). HAKOM je proveo analizu na temelju dostavljenih podataka te zaključio kako je potrebno da telefonske govornice i u razdoblju na koji se odnosi analiza ostanu u opsegu univerzalnih usluga. </w:t>
      </w:r>
    </w:p>
    <w:p w14:paraId="2982E06C" w14:textId="77777777" w:rsidR="005A0F5A" w:rsidRPr="00343EBC" w:rsidRDefault="005A0F5A" w:rsidP="00FC5E0B">
      <w:pPr>
        <w:jc w:val="both"/>
      </w:pPr>
    </w:p>
    <w:p w14:paraId="1CE84C9A" w14:textId="06694EA0" w:rsidR="00FC5E0B" w:rsidRPr="00343EBC" w:rsidRDefault="00FC5E0B" w:rsidP="00FC5E0B">
      <w:pPr>
        <w:jc w:val="both"/>
      </w:pPr>
      <w:r w:rsidRPr="00343EBC">
        <w:lastRenderedPageBreak/>
        <w:t xml:space="preserve">Na temelju dostavljenih podataka za razdoblje od zadnje tri godine (H1 2019., H1 2020. i H1 2021.) vidljiv je pad ukupnog broja minuta za </w:t>
      </w:r>
      <w:r w:rsidR="00D50889">
        <w:t>52</w:t>
      </w:r>
      <w:r w:rsidR="00D50889" w:rsidRPr="00343EBC">
        <w:t xml:space="preserve"> </w:t>
      </w:r>
      <w:r w:rsidRPr="00343EBC">
        <w:t>posto iz čega HAKOM zaključuje kako je, i u ovom</w:t>
      </w:r>
      <w:r w:rsidR="009B4DEC" w:rsidRPr="00343EBC">
        <w:t xml:space="preserve"> razdoblju</w:t>
      </w:r>
      <w:r w:rsidRPr="00343EBC">
        <w:t xml:space="preserve">, nastavljen trend smanjenja društvene važnosti telefonskih govornica. Također, u tom istom razdoblju došlo je do pada </w:t>
      </w:r>
      <w:r w:rsidRPr="000119DC">
        <w:t>od 55 posto</w:t>
      </w:r>
      <w:r w:rsidRPr="00343EBC">
        <w:t xml:space="preserve"> u ukupnom broju poziva na telefonskim govornicama prema brojevima hitnih službi dok se broj poziva prema službi davanja obavijesti zadržao gotovo na istoj razini (pad od 1,5 posto).</w:t>
      </w:r>
      <w:r w:rsidR="005A0F5A" w:rsidRPr="00343EBC">
        <w:t xml:space="preserve"> </w:t>
      </w:r>
      <w:r w:rsidRPr="00343EBC">
        <w:t xml:space="preserve">Usprkos nastavku trenda smanjenja društvene važnosti telefonskih govornica, HAKOM je mišljenja kako ostvarenih </w:t>
      </w:r>
      <w:r w:rsidR="009903D1">
        <w:t>sto tisuća</w:t>
      </w:r>
      <w:r w:rsidRPr="00343EBC">
        <w:t xml:space="preserve"> minuta putem telefonskih govornica (H1 2021.) pokazuje da telefonske govornice i dalje nisu u potpunosti izgubile društvenu važnost odnosno da trebaju ostati sastavni dio univerzalnih usluga. </w:t>
      </w:r>
    </w:p>
    <w:p w14:paraId="16CF80B9" w14:textId="77777777" w:rsidR="00343EBC" w:rsidRPr="00343EBC" w:rsidRDefault="00343EBC" w:rsidP="00343EBC">
      <w:pPr>
        <w:jc w:val="both"/>
      </w:pPr>
    </w:p>
    <w:p w14:paraId="3189E557" w14:textId="77777777" w:rsidR="00343EBC" w:rsidRPr="000119DC" w:rsidRDefault="00343EBC" w:rsidP="00343EBC">
      <w:pPr>
        <w:jc w:val="both"/>
        <w:rPr>
          <w:b/>
          <w:i/>
        </w:rPr>
      </w:pPr>
      <w:r w:rsidRPr="000119DC">
        <w:rPr>
          <w:b/>
          <w:i/>
        </w:rPr>
        <w:t xml:space="preserve">Tablica 3.1 – broj minuta na telefonskim govornicama </w:t>
      </w:r>
    </w:p>
    <w:tbl>
      <w:tblPr>
        <w:tblW w:w="0" w:type="auto"/>
        <w:tblInd w:w="142" w:type="dxa"/>
        <w:tblCellMar>
          <w:left w:w="0" w:type="dxa"/>
          <w:right w:w="0" w:type="dxa"/>
        </w:tblCellMar>
        <w:tblLook w:val="04A0" w:firstRow="1" w:lastRow="0" w:firstColumn="1" w:lastColumn="0" w:noHBand="0" w:noVBand="1"/>
      </w:tblPr>
      <w:tblGrid>
        <w:gridCol w:w="1189"/>
        <w:gridCol w:w="1327"/>
        <w:gridCol w:w="1327"/>
      </w:tblGrid>
      <w:tr w:rsidR="00343EBC" w:rsidRPr="00343EBC" w14:paraId="5BF68068" w14:textId="77777777" w:rsidTr="000119D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013EC" w14:textId="77777777" w:rsidR="00343EBC" w:rsidRPr="00343EBC" w:rsidRDefault="00343EBC" w:rsidP="00343EBC">
            <w:pPr>
              <w:jc w:val="both"/>
            </w:pPr>
            <w:r w:rsidRPr="00343EBC">
              <w:rPr>
                <w:b/>
                <w:bCs/>
              </w:rPr>
              <w:t>H1 2019</w:t>
            </w:r>
          </w:p>
        </w:tc>
        <w:tc>
          <w:tcPr>
            <w:tcW w:w="13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9790BFD" w14:textId="77777777" w:rsidR="00343EBC" w:rsidRPr="00343EBC" w:rsidRDefault="00343EBC" w:rsidP="00343EBC">
            <w:pPr>
              <w:jc w:val="both"/>
            </w:pPr>
            <w:r w:rsidRPr="00343EBC">
              <w:rPr>
                <w:b/>
                <w:bCs/>
              </w:rPr>
              <w:t>H1 2020</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DDF26" w14:textId="77777777" w:rsidR="00343EBC" w:rsidRPr="00343EBC" w:rsidRDefault="00343EBC" w:rsidP="00343EBC">
            <w:pPr>
              <w:jc w:val="both"/>
            </w:pPr>
            <w:r w:rsidRPr="00343EBC">
              <w:rPr>
                <w:b/>
                <w:bCs/>
              </w:rPr>
              <w:t>H1 2021</w:t>
            </w:r>
          </w:p>
        </w:tc>
      </w:tr>
      <w:tr w:rsidR="00343EBC" w:rsidRPr="00343EBC" w14:paraId="1BC34E4C" w14:textId="77777777" w:rsidTr="000119D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8FA30" w14:textId="77777777" w:rsidR="00343EBC" w:rsidRPr="00343EBC" w:rsidRDefault="00343EBC" w:rsidP="00343EBC">
            <w:pPr>
              <w:jc w:val="both"/>
            </w:pPr>
            <w:r w:rsidRPr="00343EBC">
              <w:rPr>
                <w:b/>
                <w:bCs/>
              </w:rPr>
              <w:t>208.974</w:t>
            </w:r>
          </w:p>
        </w:tc>
        <w:tc>
          <w:tcPr>
            <w:tcW w:w="132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F92C632" w14:textId="77777777" w:rsidR="00343EBC" w:rsidRPr="00343EBC" w:rsidRDefault="00343EBC" w:rsidP="00343EBC">
            <w:pPr>
              <w:jc w:val="both"/>
            </w:pPr>
            <w:r w:rsidRPr="00343EBC">
              <w:rPr>
                <w:b/>
                <w:bCs/>
              </w:rPr>
              <w:t>115.520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CCA664D" w14:textId="77777777" w:rsidR="00343EBC" w:rsidRPr="00343EBC" w:rsidRDefault="00343EBC" w:rsidP="00343EBC">
            <w:pPr>
              <w:jc w:val="both"/>
            </w:pPr>
            <w:r w:rsidRPr="00343EBC">
              <w:rPr>
                <w:b/>
                <w:bCs/>
              </w:rPr>
              <w:t>100.318</w:t>
            </w:r>
          </w:p>
        </w:tc>
      </w:tr>
    </w:tbl>
    <w:p w14:paraId="2E9F8789" w14:textId="77777777" w:rsidR="005A0F5A" w:rsidRPr="00343EBC" w:rsidRDefault="005A0F5A" w:rsidP="00FC5E0B">
      <w:pPr>
        <w:jc w:val="both"/>
      </w:pPr>
    </w:p>
    <w:p w14:paraId="391F6903" w14:textId="77777777" w:rsidR="00FC5E0B" w:rsidRPr="00343EBC" w:rsidRDefault="00FC5E0B" w:rsidP="00FC5E0B">
      <w:pPr>
        <w:jc w:val="both"/>
      </w:pPr>
      <w:r w:rsidRPr="00343EBC">
        <w:t xml:space="preserve">U </w:t>
      </w:r>
      <w:r w:rsidR="00BD4436" w:rsidRPr="00343EBC">
        <w:t>okviru predmetne</w:t>
      </w:r>
      <w:r w:rsidRPr="00343EBC">
        <w:t xml:space="preserve"> analize HAKOM je zaključio da je </w:t>
      </w:r>
      <w:r w:rsidR="000E2B2B" w:rsidRPr="00343EBC">
        <w:t xml:space="preserve">u narednom razdoblju </w:t>
      </w:r>
      <w:r w:rsidR="00FC1F22" w:rsidRPr="00343EBC">
        <w:t xml:space="preserve">potrebno razmotriti osiguravanje </w:t>
      </w:r>
      <w:r w:rsidRPr="00343EBC">
        <w:t>telefonsk</w:t>
      </w:r>
      <w:r w:rsidR="00FC1F22" w:rsidRPr="00343EBC">
        <w:t>ih</w:t>
      </w:r>
      <w:r w:rsidRPr="00343EBC">
        <w:t xml:space="preserve"> govornic</w:t>
      </w:r>
      <w:r w:rsidR="00FC1F22" w:rsidRPr="00343EBC">
        <w:t>a</w:t>
      </w:r>
      <w:r w:rsidRPr="00343EBC">
        <w:t xml:space="preserve"> isključivo u određenim javnim institucijama. HAKOM smatra kako je obvezu </w:t>
      </w:r>
      <w:r w:rsidR="00291646" w:rsidRPr="00343EBC">
        <w:t xml:space="preserve">postavljanja </w:t>
      </w:r>
      <w:r w:rsidRPr="00343EBC">
        <w:t>telefonskih govornica i dalje potrebno razmjerno primijeniti, postići potrebno opravdanu društvenu svrhu</w:t>
      </w:r>
      <w:r w:rsidR="00BD4436" w:rsidRPr="00343EBC">
        <w:t>,</w:t>
      </w:r>
      <w:r w:rsidRPr="00343EBC">
        <w:t xml:space="preserve"> uz što manje opterećenje davatelja usluge. Drugim riječima, </w:t>
      </w:r>
      <w:r w:rsidR="000E2B2B" w:rsidRPr="00343EBC">
        <w:t>potrebno je razmotriti obvezno osiguravanje</w:t>
      </w:r>
      <w:r w:rsidRPr="00343EBC">
        <w:t xml:space="preserve"> telefonsk</w:t>
      </w:r>
      <w:r w:rsidR="000E2B2B" w:rsidRPr="00343EBC">
        <w:t>ih</w:t>
      </w:r>
      <w:r w:rsidRPr="00343EBC">
        <w:t xml:space="preserve"> govornic</w:t>
      </w:r>
      <w:r w:rsidR="000E2B2B" w:rsidRPr="00343EBC">
        <w:t>a</w:t>
      </w:r>
      <w:r w:rsidRPr="00343EBC">
        <w:t xml:space="preserve"> isključivo </w:t>
      </w:r>
      <w:r w:rsidR="008E4F47" w:rsidRPr="00343EBC">
        <w:t>na mjestima od javnog interesa</w:t>
      </w:r>
      <w:r w:rsidRPr="00343EBC">
        <w:t>, ali samo on</w:t>
      </w:r>
      <w:r w:rsidR="000E2B2B" w:rsidRPr="00343EBC">
        <w:t>ih</w:t>
      </w:r>
      <w:r w:rsidRPr="00343EBC">
        <w:t xml:space="preserve"> telefonsk</w:t>
      </w:r>
      <w:r w:rsidR="000E2B2B" w:rsidRPr="00343EBC">
        <w:t>ih</w:t>
      </w:r>
      <w:r w:rsidRPr="00343EBC">
        <w:t xml:space="preserve"> govornic</w:t>
      </w:r>
      <w:r w:rsidR="000E2B2B" w:rsidRPr="00343EBC">
        <w:t>a</w:t>
      </w:r>
      <w:r w:rsidRPr="00343EBC">
        <w:t xml:space="preserve"> na kojima je u zadnjih godinu dana ostvaren promet</w:t>
      </w:r>
      <w:r w:rsidR="00343EBC" w:rsidRPr="00343EBC">
        <w:t>, pod uvjetom da su ispravne odnosno u radu</w:t>
      </w:r>
      <w:r w:rsidRPr="00343EBC">
        <w:t xml:space="preserve">. Uzevši u obzir kako HT trenutno ima postavljene 2064 telefonske govornice od kojih je 1299 na mjestima od javnog interesa te da na tim mjestima od javnog interesa na 308 telefonskih govornica nije ostvaren promet, HT-u </w:t>
      </w:r>
      <w:r w:rsidR="00FC1F22" w:rsidRPr="00343EBC">
        <w:t>bi</w:t>
      </w:r>
      <w:r w:rsidR="00BD4436" w:rsidRPr="00343EBC">
        <w:t>, prema procjeni HAKOM-a, a uz primjenu</w:t>
      </w:r>
      <w:r w:rsidR="00FC1F22" w:rsidRPr="00343EBC">
        <w:t xml:space="preserve"> navedeni</w:t>
      </w:r>
      <w:r w:rsidR="00BD4436" w:rsidRPr="00343EBC">
        <w:t>h</w:t>
      </w:r>
      <w:r w:rsidR="00FC1F22" w:rsidRPr="00343EBC">
        <w:t xml:space="preserve"> kriterija</w:t>
      </w:r>
      <w:r w:rsidR="00291646" w:rsidRPr="00343EBC">
        <w:t>,</w:t>
      </w:r>
      <w:r w:rsidR="00FC1F22" w:rsidRPr="00343EBC">
        <w:t xml:space="preserve"> </w:t>
      </w:r>
      <w:r w:rsidRPr="00343EBC">
        <w:t>osta</w:t>
      </w:r>
      <w:r w:rsidR="00FC1F22" w:rsidRPr="00343EBC">
        <w:t>la</w:t>
      </w:r>
      <w:r w:rsidRPr="00343EBC">
        <w:t xml:space="preserve"> obveza postavljan</w:t>
      </w:r>
      <w:r w:rsidR="00291646" w:rsidRPr="00343EBC">
        <w:t>j</w:t>
      </w:r>
      <w:r w:rsidRPr="00343EBC">
        <w:t>a</w:t>
      </w:r>
      <w:r w:rsidR="00291646" w:rsidRPr="00343EBC">
        <w:t xml:space="preserve"> i održavanja</w:t>
      </w:r>
      <w:r w:rsidRPr="00343EBC">
        <w:t xml:space="preserve"> maksimalno 991 telefonske govornice. Isto predstavlja smanjenje od 52 posto u odnosu na trenutnu situaciju. Dodatno, </w:t>
      </w:r>
      <w:r w:rsidR="00291646" w:rsidRPr="00343EBC">
        <w:t xml:space="preserve">prema mišljenju HAKOM-a potrebno je razmotriti obvezu da </w:t>
      </w:r>
      <w:r w:rsidRPr="00343EBC">
        <w:t>na svakom mjestu od javnog interesa bude barem jedna telefonska govornica prilagođena osobama s posebnim potrebama</w:t>
      </w:r>
      <w:r w:rsidR="00291646" w:rsidRPr="00343EBC">
        <w:t>,</w:t>
      </w:r>
      <w:r w:rsidRPr="00343EBC">
        <w:t xml:space="preserve"> s naglaskom na osobe u invalidskim kolicima. Na temelju navedene mogućnosti broj telefonskih govornica može biti i manji uzevši u obzir da danas postoje mjesta od javnog interesa na kojima postoji više od jedne telefonske govornice. </w:t>
      </w:r>
    </w:p>
    <w:p w14:paraId="050C748E" w14:textId="77777777" w:rsidR="005A0F5A" w:rsidRPr="00343EBC" w:rsidRDefault="005A0F5A" w:rsidP="00FC5E0B">
      <w:pPr>
        <w:jc w:val="both"/>
      </w:pPr>
    </w:p>
    <w:p w14:paraId="49E0249B" w14:textId="77777777" w:rsidR="00FC5E0B" w:rsidRPr="00343EBC" w:rsidRDefault="00FC5E0B" w:rsidP="00FC5E0B">
      <w:pPr>
        <w:jc w:val="both"/>
      </w:pPr>
      <w:r w:rsidRPr="00343EBC">
        <w:t xml:space="preserve">Nadalje, u slučaju da se, u razdoblju od godine dana, pojave nove telefonske govornice na kojima nije ostvaren promet, HT </w:t>
      </w:r>
      <w:r w:rsidR="00B0131B" w:rsidRPr="00343EBC">
        <w:t xml:space="preserve">bi </w:t>
      </w:r>
      <w:r w:rsidRPr="00343EBC">
        <w:t>ima</w:t>
      </w:r>
      <w:r w:rsidR="00B0131B" w:rsidRPr="00343EBC">
        <w:t>o</w:t>
      </w:r>
      <w:r w:rsidRPr="00343EBC">
        <w:t xml:space="preserve"> mogućnost ukloniti takve telefonske govornice.</w:t>
      </w:r>
      <w:r w:rsidR="005A0F5A" w:rsidRPr="00343EBC">
        <w:t xml:space="preserve"> </w:t>
      </w:r>
      <w:r w:rsidRPr="00343EBC">
        <w:t xml:space="preserve">HAKOM napominje kako se </w:t>
      </w:r>
      <w:r w:rsidR="00B0131B" w:rsidRPr="00343EBC">
        <w:t xml:space="preserve">uslijed </w:t>
      </w:r>
      <w:r w:rsidR="00291646" w:rsidRPr="00343EBC">
        <w:t>spomenutih promjena</w:t>
      </w:r>
      <w:r w:rsidR="00B0131B" w:rsidRPr="00343EBC">
        <w:t xml:space="preserve"> </w:t>
      </w:r>
      <w:r w:rsidRPr="00343EBC">
        <w:t>ne očekuje povećanje broja telefonskih govornica u odnosu na postojeće stanje. Međutim, to ne isključuje obvezu postavljanja telefonskih govornica u novoizgrađene javne institucije od izrazitog značenja ili na temelju opravdanog zahtjeva takve institucije.</w:t>
      </w:r>
    </w:p>
    <w:p w14:paraId="36E930EA" w14:textId="77777777" w:rsidR="00FC5E0B" w:rsidRPr="00343EBC" w:rsidRDefault="00FC5E0B" w:rsidP="00FC5E0B">
      <w:pPr>
        <w:jc w:val="both"/>
      </w:pPr>
    </w:p>
    <w:p w14:paraId="2B065C59" w14:textId="77777777" w:rsidR="00FC5E0B" w:rsidRPr="00343EBC" w:rsidRDefault="00FC5E0B" w:rsidP="00FC5E0B">
      <w:pPr>
        <w:jc w:val="both"/>
      </w:pPr>
      <w:r w:rsidRPr="00343EBC">
        <w:t>Na temelju svega prethodno navedenog</w:t>
      </w:r>
      <w:r w:rsidR="00B0131B" w:rsidRPr="00343EBC">
        <w:t>,</w:t>
      </w:r>
      <w:r w:rsidRPr="00343EBC">
        <w:t xml:space="preserve"> HAKOM </w:t>
      </w:r>
      <w:r w:rsidR="00B0131B" w:rsidRPr="00343EBC">
        <w:t xml:space="preserve">će prema opisanim kriterijima razmotriti izmjene uvjeta pružanja univerzalne usluge dostupnosti telefonskih govornica u narednom razdoblju. HAKOM </w:t>
      </w:r>
      <w:r w:rsidRPr="00343EBC">
        <w:t xml:space="preserve">je mišljenja kako </w:t>
      </w:r>
      <w:r w:rsidR="00B0131B" w:rsidRPr="00343EBC">
        <w:t>bi se</w:t>
      </w:r>
      <w:r w:rsidRPr="00343EBC">
        <w:t xml:space="preserve"> dostupnost usluge telefonskih govornica zadovolj</w:t>
      </w:r>
      <w:r w:rsidR="00B0131B" w:rsidRPr="00343EBC">
        <w:t>ila</w:t>
      </w:r>
      <w:r w:rsidRPr="00343EBC">
        <w:t xml:space="preserve"> ako se iste pružaju isključivo na mjestima od javnog interesa s naglaskom na telefonske govornice na kojima je unazad godinu dana ostvaren promet. U slučaju da na javnim mjestima postoje telefonske govornice na kojima u zadnjih godinu dana nije ostvaren promet iste </w:t>
      </w:r>
      <w:r w:rsidR="00B0131B" w:rsidRPr="00343EBC">
        <w:t>bi bilo</w:t>
      </w:r>
      <w:r w:rsidRPr="00343EBC">
        <w:t xml:space="preserve"> moguće ukinuti uzevši u obzir da po mišljenju HAKOM-a nisu </w:t>
      </w:r>
      <w:r w:rsidR="008A287D" w:rsidRPr="00343EBC">
        <w:t xml:space="preserve">više </w:t>
      </w:r>
      <w:r w:rsidRPr="00343EBC">
        <w:t xml:space="preserve">od javnog interesa. </w:t>
      </w:r>
    </w:p>
    <w:p w14:paraId="2E1185EB" w14:textId="77777777" w:rsidR="005A0F5A" w:rsidRPr="00343EBC" w:rsidRDefault="005A0F5A" w:rsidP="00FC5E0B">
      <w:pPr>
        <w:jc w:val="both"/>
      </w:pPr>
    </w:p>
    <w:p w14:paraId="714B5C10" w14:textId="77777777" w:rsidR="00FC5E0B" w:rsidRPr="00343EBC" w:rsidRDefault="00FC5E0B" w:rsidP="00FC5E0B">
      <w:pPr>
        <w:jc w:val="both"/>
      </w:pPr>
      <w:r w:rsidRPr="00343EBC">
        <w:lastRenderedPageBreak/>
        <w:t xml:space="preserve">Dodatno, uzevši u obzir da HAKOM nije zaprimio primjedbe/komentare na postojeće maloprodajne cijene usluga, HAKOM je mišljenja kako je postojećim cijenama zadovoljena cjenovna pristupačnost.  </w:t>
      </w:r>
    </w:p>
    <w:p w14:paraId="7317CDE4" w14:textId="77777777" w:rsidR="00FC5E0B" w:rsidRPr="00343EBC" w:rsidRDefault="00FC5E0B" w:rsidP="00FC5E0B">
      <w:pPr>
        <w:jc w:val="both"/>
      </w:pPr>
    </w:p>
    <w:p w14:paraId="73429C3C" w14:textId="6043F551" w:rsidR="00FC5E0B" w:rsidRPr="00343EBC" w:rsidRDefault="00FC5E0B" w:rsidP="00105853">
      <w:pPr>
        <w:jc w:val="both"/>
      </w:pPr>
      <w:r w:rsidRPr="00343EBC">
        <w:t>Također, iz dostavljenih podataka vidljiv je značajan porast vremena otklona kvara na telefonskim govornicama. Navedeno vrijeme otklona kvara je poraslo s 61,92 sata na kraju H1 2019</w:t>
      </w:r>
      <w:r w:rsidR="006834C5" w:rsidRPr="00343EBC">
        <w:t>.</w:t>
      </w:r>
      <w:r w:rsidRPr="00343EBC">
        <w:t xml:space="preserve"> na 212,87 sati na kraju H1 2021. što predstavlja porast od gotovo 250 posto u samo dvije godine. HT navodi kako je povećanje prosječnog vremena otklona kvara u razdoblju od H1 2019</w:t>
      </w:r>
      <w:r w:rsidR="00875614">
        <w:t>.</w:t>
      </w:r>
      <w:r w:rsidRPr="00343EBC">
        <w:t xml:space="preserve"> do H1 2021</w:t>
      </w:r>
      <w:r w:rsidR="00875614">
        <w:t>.</w:t>
      </w:r>
      <w:r w:rsidRPr="00343EBC">
        <w:t xml:space="preserve"> uzrokovano povećanjem broja devastacija telefonskih govornica, uslijed čega je došlo do povećanja broja otvorenih kvarova koji su utjecali na dulje ukupno prosječno vrijeme otklona kvara na telefonskim govornicama. Dodatno, HT navodi kako planira u cilju bržeg popravka takvih kvarova na telefonskim govornicama kao rezervne dijelove koristiti dijelove demontiranih telefonskih govornica na određenim lokacijama koje nisu lokacije u prostorima ili blizini mjesta od javnog interesa.</w:t>
      </w:r>
      <w:r w:rsidR="00B0131B" w:rsidRPr="00343EBC">
        <w:t xml:space="preserve"> U tom smislu je HAKOM Odlukom </w:t>
      </w:r>
      <w:r w:rsidR="00105853" w:rsidRPr="00343EBC">
        <w:t xml:space="preserve">KLASA: 344-03/21-12/25, URBROJ: 376-05-4-21-09 </w:t>
      </w:r>
      <w:r w:rsidR="00B0131B" w:rsidRPr="00343EBC">
        <w:t>od 14. listopada 2021. dao suglasnost na predložene mjere</w:t>
      </w:r>
      <w:r w:rsidR="008E4F47" w:rsidRPr="00343EBC">
        <w:t xml:space="preserve"> HT-a za</w:t>
      </w:r>
      <w:r w:rsidR="00B0131B" w:rsidRPr="00343EBC">
        <w:t xml:space="preserve"> uklanjanj</w:t>
      </w:r>
      <w:r w:rsidR="008E4F47" w:rsidRPr="00343EBC">
        <w:t>e</w:t>
      </w:r>
      <w:r w:rsidR="00B0131B" w:rsidRPr="00343EBC">
        <w:t xml:space="preserve"> nedostataka pokazatelja kakvoće univerzalne usluge.</w:t>
      </w:r>
    </w:p>
    <w:p w14:paraId="5D70A61A" w14:textId="77777777" w:rsidR="00B52AF0" w:rsidRPr="00343EBC" w:rsidRDefault="00B52AF0" w:rsidP="00FC5E0B">
      <w:pPr>
        <w:jc w:val="both"/>
      </w:pPr>
    </w:p>
    <w:p w14:paraId="45A11A79" w14:textId="77777777" w:rsidR="00737916" w:rsidRPr="00343EBC" w:rsidRDefault="00FC5E0B" w:rsidP="00FC5E0B">
      <w:pPr>
        <w:jc w:val="both"/>
      </w:pPr>
      <w:r w:rsidRPr="00343EBC">
        <w:t xml:space="preserve">Uzevši u obzir kako HAKOM ovim prijedlogom, s jedne strane, uvelike smanjuje broj obaveznih telefonskih govornica te, s druge strane, predlaže da telefonske govornice ostanu isključivo na mjestima od javnog interesa, HAKOM je mišljenja kako </w:t>
      </w:r>
      <w:r w:rsidR="00291646" w:rsidRPr="00343EBC">
        <w:t xml:space="preserve">je </w:t>
      </w:r>
      <w:r w:rsidR="00C7421E" w:rsidRPr="00343EBC">
        <w:t>razumno</w:t>
      </w:r>
      <w:r w:rsidR="00291646" w:rsidRPr="00343EBC">
        <w:t xml:space="preserve"> za očekivati da će </w:t>
      </w:r>
      <w:r w:rsidRPr="00343EBC">
        <w:t xml:space="preserve">maksimalno vrijeme otklona kvara biti manje u odnosu na vrijeme otklona kvara iz 2019. </w:t>
      </w:r>
    </w:p>
    <w:p w14:paraId="5081646E" w14:textId="77777777" w:rsidR="00FC5E0B" w:rsidRPr="00343EBC" w:rsidRDefault="00FC5E0B" w:rsidP="00FC5E0B">
      <w:pPr>
        <w:jc w:val="both"/>
      </w:pPr>
    </w:p>
    <w:p w14:paraId="0EF6ACF3" w14:textId="77777777" w:rsidR="005A0F5A" w:rsidRPr="00343EBC" w:rsidRDefault="004866E3" w:rsidP="00FC5E0B">
      <w:pPr>
        <w:jc w:val="both"/>
        <w:rPr>
          <w:b/>
          <w:i/>
        </w:rPr>
      </w:pPr>
      <w:r w:rsidRPr="00343EBC">
        <w:rPr>
          <w:b/>
          <w:i/>
        </w:rPr>
        <w:t>(iv) Posebne mjere za osobe s invaliditetom u odnosu na usluge iz točke (i) – (iii)</w:t>
      </w:r>
    </w:p>
    <w:p w14:paraId="2855A9B7" w14:textId="77777777" w:rsidR="005A0F5A" w:rsidRPr="00343EBC" w:rsidRDefault="005A0F5A" w:rsidP="00FC5E0B">
      <w:pPr>
        <w:jc w:val="both"/>
      </w:pPr>
    </w:p>
    <w:p w14:paraId="795C973C" w14:textId="77777777" w:rsidR="00FC5E0B" w:rsidRPr="00343EBC" w:rsidRDefault="00FC5E0B" w:rsidP="00FC5E0B">
      <w:pPr>
        <w:jc w:val="both"/>
      </w:pPr>
      <w:r w:rsidRPr="00343EBC">
        <w:t xml:space="preserve">Vezano za upit HAKOM-a o posebnim mjerama za osobe s invaliditetom </w:t>
      </w:r>
      <w:r w:rsidR="00E624A0" w:rsidRPr="00343EBC">
        <w:t xml:space="preserve">operator univerzalnih usluga, </w:t>
      </w:r>
      <w:r w:rsidRPr="00343EBC">
        <w:t xml:space="preserve"> Imenik d.o.o. je odgovorio da postoji besplatni servis na </w:t>
      </w:r>
      <w:hyperlink r:id="rId15" w:history="1">
        <w:r w:rsidRPr="00343EBC">
          <w:rPr>
            <w:rStyle w:val="Hyperlink"/>
          </w:rPr>
          <w:t>www.imenik.hr</w:t>
        </w:r>
      </w:hyperlink>
      <w:r w:rsidRPr="00343EBC">
        <w:t xml:space="preserve"> k</w:t>
      </w:r>
      <w:r w:rsidR="00E624A0" w:rsidRPr="00343EBC">
        <w:t>o</w:t>
      </w:r>
      <w:r w:rsidRPr="00343EBC">
        <w:t>jem se može pristupiti putem interneta ukoliko osoba nije u mogućnosti uputiti poziv prema 11880 službi.</w:t>
      </w:r>
    </w:p>
    <w:p w14:paraId="7022DD1E" w14:textId="77777777" w:rsidR="00E624A0" w:rsidRPr="00343EBC" w:rsidRDefault="00E624A0" w:rsidP="00FC5E0B">
      <w:pPr>
        <w:jc w:val="both"/>
      </w:pPr>
    </w:p>
    <w:p w14:paraId="0489BFB6" w14:textId="77777777" w:rsidR="00FC5E0B" w:rsidRPr="00343EBC" w:rsidRDefault="00E624A0" w:rsidP="00FC5E0B">
      <w:pPr>
        <w:jc w:val="both"/>
      </w:pPr>
      <w:r w:rsidRPr="00343EBC">
        <w:t>U odnosu na</w:t>
      </w:r>
      <w:r w:rsidR="00FC5E0B" w:rsidRPr="00343EBC">
        <w:t xml:space="preserve"> </w:t>
      </w:r>
      <w:r w:rsidR="0032658F" w:rsidRPr="00343EBC">
        <w:t xml:space="preserve">predmetne </w:t>
      </w:r>
      <w:r w:rsidR="00FC5E0B" w:rsidRPr="00343EBC">
        <w:t>obveze</w:t>
      </w:r>
      <w:r w:rsidRPr="00343EBC">
        <w:t>,</w:t>
      </w:r>
      <w:r w:rsidR="00FC5E0B" w:rsidRPr="00343EBC">
        <w:t xml:space="preserve"> HT je naveo </w:t>
      </w:r>
      <w:r w:rsidR="00B02979" w:rsidRPr="00343EBC">
        <w:t xml:space="preserve">kako na su </w:t>
      </w:r>
      <w:r w:rsidR="00FC5E0B" w:rsidRPr="00343EBC">
        <w:t xml:space="preserve">poveznici </w:t>
      </w:r>
      <w:hyperlink r:id="rId16" w:history="1">
        <w:r w:rsidR="00FC5E0B" w:rsidRPr="00343EBC">
          <w:rPr>
            <w:rStyle w:val="Hyperlink"/>
          </w:rPr>
          <w:t>https://imenik.tportal.hr/show?action=tcomInfo</w:t>
        </w:r>
      </w:hyperlink>
      <w:r w:rsidR="00FC5E0B" w:rsidRPr="00343EBC">
        <w:t xml:space="preserve"> navedeni brojevi svih hitnih službi te su izdvojeni iz navigacije kako bi korisnici </w:t>
      </w:r>
      <w:r w:rsidR="00C44E70" w:rsidRPr="00343EBC">
        <w:t>ostvarili izravan</w:t>
      </w:r>
      <w:r w:rsidR="00FC5E0B" w:rsidRPr="00343EBC">
        <w:t xml:space="preserve"> pristup. </w:t>
      </w:r>
      <w:r w:rsidR="0032658F" w:rsidRPr="00343EBC">
        <w:t>Prema navodima HT-a, o</w:t>
      </w:r>
      <w:r w:rsidR="00FC5E0B" w:rsidRPr="00343EBC">
        <w:t xml:space="preserve">sobe s invaliditetom imaju jednaku mogućnost pristupa javnim komunikacijskim uslugama HT-a kao i ostali korisnici. </w:t>
      </w:r>
      <w:r w:rsidR="0032658F" w:rsidRPr="00343EBC">
        <w:t>Dodatno</w:t>
      </w:r>
      <w:r w:rsidR="00FC5E0B" w:rsidRPr="00343EBC">
        <w:t xml:space="preserve">, HT za osobe s invaliditetom ima u ponudi i posebne popuste. </w:t>
      </w:r>
    </w:p>
    <w:p w14:paraId="15E8C632" w14:textId="77777777" w:rsidR="000119DC" w:rsidRDefault="000119DC" w:rsidP="00FC5E0B">
      <w:pPr>
        <w:jc w:val="both"/>
      </w:pPr>
    </w:p>
    <w:p w14:paraId="338C6DAD" w14:textId="50F0B76F" w:rsidR="00FC5E0B" w:rsidRPr="00343EBC" w:rsidRDefault="00B02979" w:rsidP="00FC5E0B">
      <w:pPr>
        <w:jc w:val="both"/>
      </w:pPr>
      <w:r w:rsidRPr="00343EBC">
        <w:t xml:space="preserve">Vezano uz pitanje </w:t>
      </w:r>
      <w:r w:rsidR="00FC5E0B" w:rsidRPr="00343EBC">
        <w:t>poduzetih aktivnosti u smjeru oglašavanja i upoznavanja osoba s invaliditetom i socijalno ugroženih skupina krajnjih korisnika o pogodnosti</w:t>
      </w:r>
      <w:r w:rsidRPr="00343EBC">
        <w:t>ma</w:t>
      </w:r>
      <w:r w:rsidR="00FC5E0B" w:rsidRPr="00343EBC">
        <w:t xml:space="preserve"> korištenja univerzalnih usluga</w:t>
      </w:r>
      <w:r w:rsidRPr="00343EBC">
        <w:t>,</w:t>
      </w:r>
      <w:r w:rsidR="00FC5E0B" w:rsidRPr="00343EBC">
        <w:t xml:space="preserve"> HT </w:t>
      </w:r>
      <w:r w:rsidRPr="00343EBC">
        <w:t xml:space="preserve">je naveo da </w:t>
      </w:r>
      <w:r w:rsidR="00FC5E0B" w:rsidRPr="00343EBC">
        <w:t>oglašava i upoznaje osobe s invaliditetom i socijalno ugrožene skupine krajnjih korisnika o pogodnosti</w:t>
      </w:r>
      <w:r w:rsidR="0032658F" w:rsidRPr="00343EBC">
        <w:t>ma</w:t>
      </w:r>
      <w:r w:rsidR="00FC5E0B" w:rsidRPr="00343EBC">
        <w:t xml:space="preserve"> korištenja univerzalnih usluga na svojoj internetskoj stranici na sljedećim poveznicama: </w:t>
      </w:r>
      <w:hyperlink r:id="rId17" w:history="1">
        <w:r w:rsidR="00FC5E0B" w:rsidRPr="00343EBC">
          <w:rPr>
            <w:rStyle w:val="Hyperlink"/>
          </w:rPr>
          <w:t>https://www.hrvatskitelekom.hr/internet/maxnet-mini</w:t>
        </w:r>
      </w:hyperlink>
      <w:r w:rsidR="00FC5E0B" w:rsidRPr="00343EBC">
        <w:t xml:space="preserve"> i  </w:t>
      </w:r>
      <w:hyperlink r:id="rId18" w:history="1">
        <w:r w:rsidR="00FC5E0B" w:rsidRPr="00343EBC">
          <w:rPr>
            <w:rStyle w:val="Hyperlink"/>
          </w:rPr>
          <w:t>https://www.hrvatskitelekom.hr/obavijesti</w:t>
        </w:r>
      </w:hyperlink>
      <w:r w:rsidR="00FC5E0B" w:rsidRPr="00343EBC">
        <w:t xml:space="preserve">. </w:t>
      </w:r>
      <w:bookmarkStart w:id="0" w:name="_GoBack"/>
      <w:bookmarkEnd w:id="0"/>
      <w:r w:rsidR="00FC5E0B" w:rsidRPr="00343EBC">
        <w:t xml:space="preserve">HT </w:t>
      </w:r>
      <w:r w:rsidRPr="00343EBC">
        <w:t xml:space="preserve">također napominje da </w:t>
      </w:r>
      <w:r w:rsidR="00FC5E0B" w:rsidRPr="00343EBC">
        <w:t xml:space="preserve">odgovara na medijske upite koji se odnose na pružanje usluga socijalno ugroženim skupinama i </w:t>
      </w:r>
      <w:r w:rsidR="004539BA">
        <w:t>osobama s invaliditetom</w:t>
      </w:r>
      <w:r w:rsidR="00E31725">
        <w:t>.</w:t>
      </w:r>
      <w:r w:rsidR="00FC5E0B" w:rsidRPr="00343EBC">
        <w:t xml:space="preserve"> </w:t>
      </w:r>
    </w:p>
    <w:p w14:paraId="2D586768" w14:textId="77777777" w:rsidR="00FC5E0B" w:rsidRPr="00343EBC" w:rsidRDefault="00FC5E0B" w:rsidP="00FC5E0B">
      <w:pPr>
        <w:jc w:val="both"/>
      </w:pPr>
      <w:r w:rsidRPr="00343EBC">
        <w:t>HT omogućava svim krajnjim korisnicima, uključujući i korisnicima koji su osobe s invaliditetom, pristup broju 112 i to slanjem SMS-a na broj 112. Preko partnera HT-a navedene poruke dobiva MUP i na iste ima mogućnost odgovarati putem SMS-a.</w:t>
      </w:r>
    </w:p>
    <w:p w14:paraId="1E081E71" w14:textId="77777777" w:rsidR="000119DC" w:rsidRDefault="000119DC" w:rsidP="00FC5E0B">
      <w:pPr>
        <w:jc w:val="both"/>
      </w:pPr>
    </w:p>
    <w:p w14:paraId="3383C74A" w14:textId="77777777" w:rsidR="00FC5E0B" w:rsidRPr="00343EBC" w:rsidRDefault="00B02979" w:rsidP="00FC5E0B">
      <w:pPr>
        <w:jc w:val="both"/>
      </w:pPr>
      <w:r w:rsidRPr="00343EBC">
        <w:t xml:space="preserve">Dodatno, </w:t>
      </w:r>
      <w:r w:rsidR="00FC5E0B" w:rsidRPr="00343EBC">
        <w:t xml:space="preserve">HT je 2010. godine uspostavio suradnju s Hrvatskim savezom slijepih koja obuhvaća uslugu besplatnih poziva prema službi davanja obavijesti (informacija) o brojevima pretplatnika na broj 11888. Uslugu mogu bez naplate troškova koristiti svi članovi Hrvatskog saveza slijepih koji su </w:t>
      </w:r>
      <w:r w:rsidR="00FC5E0B" w:rsidRPr="00343EBC">
        <w:lastRenderedPageBreak/>
        <w:t xml:space="preserve">korisnici HT-a i na čije ime glasi pretplatnički broj telefonske linije. Ako takvi korisnici imaju više pretplatničkih brojeva, uslugu mogu koristiti s jednog pretplatničkog broja koji sami odaberu. Hrvatski savez slijepih HT-u redovito dostavlja popis svojih članova radi ostvarivanja prava na korištenje navedene usluge. </w:t>
      </w:r>
    </w:p>
    <w:p w14:paraId="3884AA52" w14:textId="77777777" w:rsidR="000119DC" w:rsidRDefault="000119DC" w:rsidP="00FC5E0B">
      <w:pPr>
        <w:jc w:val="both"/>
      </w:pPr>
    </w:p>
    <w:p w14:paraId="618138CC" w14:textId="77777777" w:rsidR="00FC5E0B" w:rsidRPr="00343EBC" w:rsidRDefault="00FC5E0B" w:rsidP="00FC5E0B">
      <w:pPr>
        <w:jc w:val="both"/>
      </w:pPr>
      <w:r w:rsidRPr="00343EBC">
        <w:t xml:space="preserve">Imajući u vidu prethodno </w:t>
      </w:r>
      <w:r w:rsidR="0032658F" w:rsidRPr="00343EBC">
        <w:t>o</w:t>
      </w:r>
      <w:r w:rsidRPr="00343EBC">
        <w:t xml:space="preserve">pisane posebne mjere za osobe s invaliditetom koje društvo Imenik d.o.o. i HT poduzimaju u svom poslovanju te pristigle odgovore  </w:t>
      </w:r>
      <w:r w:rsidR="0032010B" w:rsidRPr="00343EBC">
        <w:t>U</w:t>
      </w:r>
      <w:r w:rsidRPr="00343EBC">
        <w:t>druge „OKO“ i  Savez</w:t>
      </w:r>
      <w:r w:rsidR="0032658F" w:rsidRPr="00343EBC">
        <w:t>a</w:t>
      </w:r>
      <w:r w:rsidRPr="00343EBC">
        <w:t xml:space="preserve"> udruga za mlade i studente s invaliditetom, HAKOM je mišljenja da su implementirane mjere </w:t>
      </w:r>
      <w:r w:rsidR="00421ED3" w:rsidRPr="00343EBC">
        <w:t>relativno zadovoljavajuće</w:t>
      </w:r>
      <w:r w:rsidRPr="00343EBC">
        <w:t xml:space="preserve"> i da postoji prostor za unapređenje istih osobito vezano za mogućnosti bolje prilagodbe internetskih portala </w:t>
      </w:r>
      <w:r w:rsidR="0032010B" w:rsidRPr="00343EBC">
        <w:t>u cilju</w:t>
      </w:r>
      <w:r w:rsidRPr="00343EBC">
        <w:t xml:space="preserve"> povećanj</w:t>
      </w:r>
      <w:r w:rsidR="00377DE0" w:rsidRPr="00343EBC">
        <w:t>a</w:t>
      </w:r>
      <w:r w:rsidRPr="00343EBC">
        <w:t xml:space="preserve"> teksta, podešavanj</w:t>
      </w:r>
      <w:r w:rsidR="00377DE0" w:rsidRPr="00343EBC">
        <w:t>a</w:t>
      </w:r>
      <w:r w:rsidRPr="00343EBC">
        <w:t xml:space="preserve"> kontrasta, podešavanj</w:t>
      </w:r>
      <w:r w:rsidR="00377DE0" w:rsidRPr="00343EBC">
        <w:t>a</w:t>
      </w:r>
      <w:r w:rsidRPr="00343EBC">
        <w:t xml:space="preserve"> boje podloge i sl. Također, </w:t>
      </w:r>
      <w:r w:rsidR="0032010B" w:rsidRPr="00343EBC">
        <w:t xml:space="preserve">potrebno je poduzeti daljnje aktivnosti u odnosu na korištenje  Internet </w:t>
      </w:r>
      <w:r w:rsidRPr="00343EBC">
        <w:t>stranica</w:t>
      </w:r>
      <w:r w:rsidR="0032010B" w:rsidRPr="00343EBC">
        <w:t xml:space="preserve"> </w:t>
      </w:r>
      <w:r w:rsidR="00CC7D8C" w:rsidRPr="00343EBC">
        <w:t xml:space="preserve">određenih operatora </w:t>
      </w:r>
      <w:r w:rsidR="0032010B" w:rsidRPr="00343EBC">
        <w:t xml:space="preserve">na kojima se nalazi </w:t>
      </w:r>
      <w:r w:rsidRPr="00343EBC">
        <w:t>imenik</w:t>
      </w:r>
      <w:r w:rsidR="0032010B" w:rsidRPr="00343EBC">
        <w:t>, a vezano uz prikaz</w:t>
      </w:r>
      <w:r w:rsidRPr="00343EBC">
        <w:t xml:space="preserve"> reklama i </w:t>
      </w:r>
      <w:r w:rsidR="0032010B" w:rsidRPr="00343EBC">
        <w:t xml:space="preserve">drugih </w:t>
      </w:r>
      <w:proofErr w:type="spellStart"/>
      <w:r w:rsidRPr="00343EBC">
        <w:t>distraktibilnih</w:t>
      </w:r>
      <w:proofErr w:type="spellEnd"/>
      <w:r w:rsidRPr="00343EBC">
        <w:t xml:space="preserve"> elemenata</w:t>
      </w:r>
      <w:r w:rsidR="0032010B" w:rsidRPr="00343EBC">
        <w:t>.</w:t>
      </w:r>
      <w:r w:rsidRPr="00343EBC">
        <w:t xml:space="preserve"> Nadalje, budući da  postojeći govorni asistent (aplikacija koja pomaže slijepim osobama snalaženje po </w:t>
      </w:r>
      <w:r w:rsidR="00892C2E" w:rsidRPr="00343EBC">
        <w:t>Internet</w:t>
      </w:r>
      <w:r w:rsidRPr="00343EBC">
        <w:t xml:space="preserve"> stranici) nije zadovoljavajuća, HAKOM smatra da su potrebni dodatni napori od strane davatelja ovih usluga da postojeće i nove mjere za osobe s invaliditetom budu u potpunosti funkcionalne i korisnički orijentirane. </w:t>
      </w:r>
    </w:p>
    <w:p w14:paraId="5486DA63" w14:textId="77777777" w:rsidR="000119DC" w:rsidRDefault="000119DC" w:rsidP="00FC5E0B">
      <w:pPr>
        <w:jc w:val="both"/>
      </w:pPr>
    </w:p>
    <w:p w14:paraId="356CDEEC" w14:textId="77777777" w:rsidR="00FC5E0B" w:rsidRPr="00343EBC" w:rsidRDefault="00FC5E0B" w:rsidP="00FC5E0B">
      <w:pPr>
        <w:jc w:val="both"/>
      </w:pPr>
      <w:r w:rsidRPr="00343EBC">
        <w:t xml:space="preserve">Što se tiče pristupačnosti javnih telefonskih govornica za osobe s </w:t>
      </w:r>
      <w:r w:rsidR="00892C2E" w:rsidRPr="00343EBC">
        <w:t>invaliditetom</w:t>
      </w:r>
      <w:r w:rsidRPr="00343EBC">
        <w:t xml:space="preserve">, HAKOM i ovdje nalazi prostora za poboljšanje ove mjere, </w:t>
      </w:r>
      <w:r w:rsidR="00892C2E" w:rsidRPr="00343EBC">
        <w:t xml:space="preserve">odnosno </w:t>
      </w:r>
      <w:r w:rsidRPr="00343EBC">
        <w:t>povećanje broja dostupnih telefonski</w:t>
      </w:r>
      <w:r w:rsidR="00892C2E" w:rsidRPr="00343EBC">
        <w:t>h</w:t>
      </w:r>
      <w:r w:rsidRPr="00343EBC">
        <w:t xml:space="preserve"> govornica za osobe s invaliditetom, </w:t>
      </w:r>
      <w:r w:rsidR="00341743" w:rsidRPr="00343EBC">
        <w:t>kako je opisano Ad (iii) ove Odluke</w:t>
      </w:r>
      <w:r w:rsidRPr="00343EBC">
        <w:t xml:space="preserve">. </w:t>
      </w:r>
    </w:p>
    <w:p w14:paraId="2CB0E465" w14:textId="77777777" w:rsidR="00FC5E0B" w:rsidRPr="00343EBC" w:rsidRDefault="00FC5E0B" w:rsidP="00FC5E0B">
      <w:pPr>
        <w:jc w:val="both"/>
      </w:pPr>
    </w:p>
    <w:p w14:paraId="62FCB057" w14:textId="77777777" w:rsidR="00CC7D8C" w:rsidRPr="00343EBC" w:rsidRDefault="00CB681E" w:rsidP="00FC1A4F">
      <w:pPr>
        <w:jc w:val="both"/>
      </w:pPr>
      <w:r w:rsidRPr="00343EBC">
        <w:rPr>
          <w:b/>
          <w:i/>
        </w:rPr>
        <w:t>(v)</w:t>
      </w:r>
      <w:r w:rsidRPr="00343EBC">
        <w:rPr>
          <w:b/>
          <w:i/>
        </w:rPr>
        <w:tab/>
        <w:t>Posebni cjenovni sustav prilagođen potrebama socijalno ugroženih skupina krajnjih korisnika za usluge iz točke (i) i (ii)</w:t>
      </w:r>
    </w:p>
    <w:p w14:paraId="1305E9ED" w14:textId="77777777" w:rsidR="005A0F5A" w:rsidRPr="00343EBC" w:rsidRDefault="005A0F5A" w:rsidP="00FC1A4F">
      <w:pPr>
        <w:jc w:val="both"/>
      </w:pPr>
    </w:p>
    <w:p w14:paraId="64EBE749" w14:textId="77777777" w:rsidR="00FC1A4F" w:rsidRPr="00343EBC" w:rsidRDefault="00FC1A4F" w:rsidP="00FC1A4F">
      <w:pPr>
        <w:jc w:val="both"/>
      </w:pPr>
      <w:r w:rsidRPr="00343EBC">
        <w:t xml:space="preserve">Vezano uz iznose maloprodajnih cijena za usluge iz točke </w:t>
      </w:r>
      <w:r w:rsidR="00B52AF0" w:rsidRPr="00343EBC">
        <w:t>II.</w:t>
      </w:r>
      <w:r w:rsidRPr="00343EBC">
        <w:t xml:space="preserve"> </w:t>
      </w:r>
      <w:r w:rsidR="00052F0F" w:rsidRPr="00343EBC">
        <w:t xml:space="preserve">ove Odluke, </w:t>
      </w:r>
      <w:r w:rsidRPr="00343EBC">
        <w:t xml:space="preserve">društvo Imenik d.o.o. je naveo da se </w:t>
      </w:r>
      <w:r w:rsidR="00052F0F" w:rsidRPr="00343EBC">
        <w:t>cijena</w:t>
      </w:r>
      <w:r w:rsidRPr="00343EBC">
        <w:t xml:space="preserve"> poziva na broj 11880 </w:t>
      </w:r>
      <w:r w:rsidR="00052F0F" w:rsidRPr="00343EBC">
        <w:t>nije tijek</w:t>
      </w:r>
      <w:r w:rsidRPr="00343EBC">
        <w:t xml:space="preserve">om prethodnog razdoblja mijenjala i da </w:t>
      </w:r>
      <w:r w:rsidR="00052F0F" w:rsidRPr="00343EBC">
        <w:t xml:space="preserve">primjenjuju </w:t>
      </w:r>
      <w:r w:rsidRPr="00343EBC">
        <w:t xml:space="preserve">preporučenu cijenu od 1,90 kn (veleprodajna cijena je 1,75 kn) ali da krajnju maloprodajnu cijenu prema korisniku definira svaki operator u kojoj je poziv </w:t>
      </w:r>
      <w:proofErr w:type="spellStart"/>
      <w:r w:rsidRPr="00343EBC">
        <w:t>originiran</w:t>
      </w:r>
      <w:proofErr w:type="spellEnd"/>
      <w:r w:rsidRPr="00343EBC">
        <w:t xml:space="preserve">. </w:t>
      </w:r>
    </w:p>
    <w:p w14:paraId="4914D295" w14:textId="77777777" w:rsidR="00421ED3" w:rsidRPr="00343EBC" w:rsidRDefault="00421ED3" w:rsidP="00FC1A4F">
      <w:pPr>
        <w:jc w:val="both"/>
      </w:pPr>
    </w:p>
    <w:p w14:paraId="3EDF69A8" w14:textId="77777777" w:rsidR="00FC1A4F" w:rsidRPr="00343EBC" w:rsidRDefault="00FC1A4F" w:rsidP="00FC1A4F">
      <w:pPr>
        <w:jc w:val="both"/>
      </w:pPr>
      <w:r w:rsidRPr="00343EBC">
        <w:t xml:space="preserve">Nadalje, HT je naveo da je maloprodajna cijena poziva iz nepokretne mreže HT-a </w:t>
      </w:r>
      <w:r w:rsidR="0040127E" w:rsidRPr="00343EBC">
        <w:t xml:space="preserve">na broj 11888 </w:t>
      </w:r>
      <w:r w:rsidRPr="00343EBC">
        <w:t xml:space="preserve">u cijelom proteklom razdoblju iznosila 3,00 kune (bez PDV-a). Pri tome napominje da su pozivi s javnih telefonskih govornica bili besplatni. S druge strane, cijena poziva iz pokretne mreže HT-a u svim je traženim razdobljima iznosila 4,38 kuna (s PDV-om). </w:t>
      </w:r>
    </w:p>
    <w:p w14:paraId="1BE52F78" w14:textId="77777777" w:rsidR="00421ED3" w:rsidRPr="00343EBC" w:rsidRDefault="00421ED3" w:rsidP="00FC1A4F">
      <w:pPr>
        <w:jc w:val="both"/>
      </w:pPr>
    </w:p>
    <w:p w14:paraId="425AD57A" w14:textId="77777777" w:rsidR="00FC1A4F" w:rsidRPr="00343EBC" w:rsidRDefault="00FC1A4F" w:rsidP="00FC1A4F">
      <w:pPr>
        <w:jc w:val="both"/>
      </w:pPr>
      <w:r w:rsidRPr="00343EBC">
        <w:t>Također, HT je naveo da nije u mogućnosti dostaviti podatke o maloprodajnim cijenama poziva na broj 11888 iz mreža drugih operatora za tražena razdoblja jer ih ne bilježi.</w:t>
      </w:r>
    </w:p>
    <w:p w14:paraId="31BC7CB7" w14:textId="77777777" w:rsidR="00B52AF0" w:rsidRPr="00343EBC" w:rsidRDefault="00B52AF0" w:rsidP="00FC1A4F">
      <w:pPr>
        <w:jc w:val="both"/>
      </w:pPr>
    </w:p>
    <w:p w14:paraId="270958B1" w14:textId="77777777" w:rsidR="00FC1A4F" w:rsidRPr="00343EBC" w:rsidRDefault="00B52AF0" w:rsidP="00FC1A4F">
      <w:pPr>
        <w:jc w:val="both"/>
      </w:pPr>
      <w:r w:rsidRPr="000119DC">
        <w:t xml:space="preserve">Vezano za iznos </w:t>
      </w:r>
      <w:r w:rsidR="00FC1A4F" w:rsidRPr="000119DC">
        <w:t xml:space="preserve">maloprodajnih </w:t>
      </w:r>
      <w:r w:rsidRPr="000119DC">
        <w:t xml:space="preserve">cijena </w:t>
      </w:r>
      <w:r w:rsidR="00FC1A4F" w:rsidRPr="000119DC">
        <w:t>usluga</w:t>
      </w:r>
      <w:r w:rsidRPr="000119DC">
        <w:t xml:space="preserve"> koje su predmetom ove Odluke,</w:t>
      </w:r>
      <w:r w:rsidR="00FC1A4F" w:rsidRPr="000119DC">
        <w:t xml:space="preserve"> HAKOM </w:t>
      </w:r>
      <w:r w:rsidRPr="000119DC">
        <w:t>napominje kako su iste dijelom odobrene odnosno regulirane odlukama HAKOM-a prilikom određivanja operatora univerzalnih usluga. Ova analiza nije ukazala na neprimjerenost odnosno cjenovnu nepristupačnost predmetnih cijena te se dodatno napominje da u protekom razdoblju, a i u okviru ovog postupka, nisu zaprimljeni komentari odnosno pritužbe na iznos cijena predmetnih usluga.</w:t>
      </w:r>
    </w:p>
    <w:p w14:paraId="2C9C3A78" w14:textId="77777777" w:rsidR="00FC1A4F" w:rsidRPr="00343EBC" w:rsidRDefault="00FC1A4F" w:rsidP="00FC1A4F">
      <w:pPr>
        <w:jc w:val="both"/>
      </w:pPr>
    </w:p>
    <w:p w14:paraId="007BE1F8" w14:textId="77777777" w:rsidR="00BA38A3" w:rsidRPr="00343EBC" w:rsidRDefault="00052F0F" w:rsidP="00FC5E0B">
      <w:pPr>
        <w:jc w:val="both"/>
      </w:pPr>
      <w:r w:rsidRPr="000119DC">
        <w:t xml:space="preserve">Zaključno, HAKOM je nakon analize </w:t>
      </w:r>
      <w:r w:rsidR="00E40944" w:rsidRPr="000119DC">
        <w:t xml:space="preserve">i preispitivanja potrebe za pružanjem </w:t>
      </w:r>
      <w:r w:rsidRPr="000119DC">
        <w:t xml:space="preserve">pojedinačnih usluga iz opsega univerzalne usluge </w:t>
      </w:r>
      <w:r w:rsidR="00E40944" w:rsidRPr="000119DC">
        <w:t xml:space="preserve">procijenio kako je </w:t>
      </w:r>
      <w:r w:rsidR="00B52AF0" w:rsidRPr="000119DC">
        <w:t xml:space="preserve">od svih usluga </w:t>
      </w:r>
      <w:r w:rsidR="00E40944" w:rsidRPr="000119DC">
        <w:t>koje su bile definirane opsegom univerzalne usluge u prethodn</w:t>
      </w:r>
      <w:r w:rsidR="00737916" w:rsidRPr="000119DC">
        <w:t>om razdoblju potrebno zadržati</w:t>
      </w:r>
      <w:r w:rsidR="00B52AF0" w:rsidRPr="000119DC">
        <w:t xml:space="preserve"> samo uslugu javnih telefonskih govornica, kako je definirano točkom I. ove Odluke</w:t>
      </w:r>
      <w:r w:rsidR="00343EBC">
        <w:t>,</w:t>
      </w:r>
      <w:r w:rsidR="00B52AF0" w:rsidRPr="000119DC">
        <w:t xml:space="preserve"> smatrajući to</w:t>
      </w:r>
      <w:r w:rsidR="008A287D" w:rsidRPr="000119DC">
        <w:t xml:space="preserve"> opravdan</w:t>
      </w:r>
      <w:r w:rsidR="00B52AF0" w:rsidRPr="000119DC">
        <w:t>om</w:t>
      </w:r>
      <w:r w:rsidR="008A287D" w:rsidRPr="000119DC">
        <w:t xml:space="preserve"> i razmjern</w:t>
      </w:r>
      <w:r w:rsidR="00B52AF0" w:rsidRPr="000119DC">
        <w:t>om</w:t>
      </w:r>
      <w:r w:rsidR="008A287D" w:rsidRPr="000119DC">
        <w:t xml:space="preserve"> regulatorn</w:t>
      </w:r>
      <w:r w:rsidR="00B52AF0" w:rsidRPr="000119DC">
        <w:t>om</w:t>
      </w:r>
      <w:r w:rsidR="008A287D" w:rsidRPr="000119DC">
        <w:t xml:space="preserve"> mjer</w:t>
      </w:r>
      <w:r w:rsidR="00B52AF0" w:rsidRPr="000119DC">
        <w:t>om</w:t>
      </w:r>
      <w:r w:rsidR="008A287D" w:rsidRPr="000119DC">
        <w:t xml:space="preserve"> u svrhu zaštite interesa krajnjih korisnika</w:t>
      </w:r>
      <w:r w:rsidR="00737916" w:rsidRPr="000119DC">
        <w:t xml:space="preserve">, posebice imajući u vidu </w:t>
      </w:r>
      <w:r w:rsidR="00424CC7" w:rsidRPr="000119DC">
        <w:t xml:space="preserve">još uvijek </w:t>
      </w:r>
      <w:r w:rsidR="00424CC7" w:rsidRPr="000119DC">
        <w:lastRenderedPageBreak/>
        <w:t xml:space="preserve">značajne </w:t>
      </w:r>
      <w:r w:rsidR="00737916" w:rsidRPr="000119DC">
        <w:t>p</w:t>
      </w:r>
      <w:r w:rsidR="00B52AF0" w:rsidRPr="000119DC">
        <w:t>okazatelje korištenja predmetne</w:t>
      </w:r>
      <w:r w:rsidR="00737916" w:rsidRPr="000119DC">
        <w:t xml:space="preserve"> uslug</w:t>
      </w:r>
      <w:r w:rsidR="00B52AF0" w:rsidRPr="000119DC">
        <w:t>e.</w:t>
      </w:r>
      <w:r w:rsidR="00737916" w:rsidRPr="000119DC">
        <w:t xml:space="preserve"> </w:t>
      </w:r>
      <w:r w:rsidR="00424CC7" w:rsidRPr="000119DC">
        <w:t xml:space="preserve">Naime, usluge javnih telefonskih govornica i dalje su relativno korištene usluge te HAKOM smatra da se radi o uslugama za koje su još uvijek potrebno osigurati kako dostupnost tako i cjenovnu pristupačnost. </w:t>
      </w:r>
      <w:r w:rsidR="00E40944" w:rsidRPr="000119DC">
        <w:t xml:space="preserve">U okviru predmetne analize HAKOM je utvrdio određene elemente </w:t>
      </w:r>
      <w:r w:rsidR="00202AD1" w:rsidRPr="000119DC">
        <w:t xml:space="preserve">za poboljšanjem </w:t>
      </w:r>
      <w:r w:rsidR="00E40944" w:rsidRPr="000119DC">
        <w:t xml:space="preserve">pružanja </w:t>
      </w:r>
      <w:r w:rsidR="00B52AF0" w:rsidRPr="000119DC">
        <w:t>usluge javnih telefonskih govornica</w:t>
      </w:r>
      <w:r w:rsidR="00E40944" w:rsidRPr="000119DC">
        <w:t xml:space="preserve"> koje će </w:t>
      </w:r>
      <w:r w:rsidR="000F2EE0" w:rsidRPr="000119DC">
        <w:t xml:space="preserve">u budućem razdoblju </w:t>
      </w:r>
      <w:r w:rsidR="00E40944" w:rsidRPr="000119DC">
        <w:t xml:space="preserve">razmotriti </w:t>
      </w:r>
      <w:r w:rsidR="00202AD1" w:rsidRPr="000119DC">
        <w:t xml:space="preserve">i </w:t>
      </w:r>
      <w:r w:rsidR="00E40944" w:rsidRPr="000119DC">
        <w:t>definirati</w:t>
      </w:r>
      <w:r w:rsidR="000F2EE0" w:rsidRPr="000119DC">
        <w:t xml:space="preserve"> na </w:t>
      </w:r>
      <w:r w:rsidR="00202AD1" w:rsidRPr="000119DC">
        <w:t>odgovarajući</w:t>
      </w:r>
      <w:r w:rsidR="000F2EE0" w:rsidRPr="000119DC">
        <w:t xml:space="preserve"> nači</w:t>
      </w:r>
      <w:r w:rsidR="00737916" w:rsidRPr="000119DC">
        <w:t>n, odnosno uz određene izmjene</w:t>
      </w:r>
      <w:r w:rsidR="00424CC7" w:rsidRPr="000119DC">
        <w:t xml:space="preserve">, kako je detaljnije pojašnjeno u obrazloženju ove </w:t>
      </w:r>
      <w:r w:rsidR="006479EE" w:rsidRPr="000119DC">
        <w:t>O</w:t>
      </w:r>
      <w:r w:rsidR="00424CC7" w:rsidRPr="000119DC">
        <w:t>dluke</w:t>
      </w:r>
      <w:r w:rsidR="00737916" w:rsidRPr="000119DC">
        <w:t>.</w:t>
      </w:r>
      <w:r w:rsidR="00E40944" w:rsidRPr="000119DC">
        <w:t xml:space="preserve"> </w:t>
      </w:r>
      <w:r w:rsidR="006479EE" w:rsidRPr="000119DC">
        <w:t>U odnosu na usluge definirane točkom II. ove Odluke HAKOM je zaključio kako je interes za navedene usluge u padu te da je ista komercijalno dostupna. Stoga je zaključeno kako predmetne usluge javnog telefonskog imenika i usluga pružanja obavijesti o brojevima pretplatnika treba zadržati isključivo do isteka obveze pružanja tih usluga od strane operatora koji je određen davateljem tih univerzalnih usluga.</w:t>
      </w:r>
    </w:p>
    <w:p w14:paraId="2B988870" w14:textId="77777777" w:rsidR="00CD5A2E" w:rsidRPr="00343EBC" w:rsidRDefault="00CD5A2E" w:rsidP="00FC5E0B">
      <w:pPr>
        <w:autoSpaceDE w:val="0"/>
        <w:autoSpaceDN w:val="0"/>
        <w:adjustRightInd w:val="0"/>
        <w:jc w:val="both"/>
      </w:pPr>
    </w:p>
    <w:p w14:paraId="15B70403" w14:textId="77777777" w:rsidR="00CD5A2E" w:rsidRPr="00343EBC" w:rsidRDefault="00CD5A2E" w:rsidP="00FC5E0B">
      <w:pPr>
        <w:autoSpaceDE w:val="0"/>
        <w:autoSpaceDN w:val="0"/>
        <w:adjustRightInd w:val="0"/>
        <w:jc w:val="both"/>
      </w:pPr>
    </w:p>
    <w:p w14:paraId="2921A578" w14:textId="77777777" w:rsidR="00CD5A2E" w:rsidRPr="00343EBC" w:rsidRDefault="00CD5A2E" w:rsidP="00FC5E0B">
      <w:pPr>
        <w:autoSpaceDE w:val="0"/>
        <w:autoSpaceDN w:val="0"/>
        <w:adjustRightInd w:val="0"/>
        <w:jc w:val="both"/>
      </w:pPr>
      <w:r w:rsidRPr="00343EBC">
        <w:rPr>
          <w:b/>
        </w:rPr>
        <w:t>UPUTA O PRAVNOM LIJEKU:</w:t>
      </w:r>
    </w:p>
    <w:p w14:paraId="0AD5BB89" w14:textId="77777777" w:rsidR="00CD5A2E" w:rsidRPr="00343EBC" w:rsidRDefault="00CD5A2E" w:rsidP="00FC5E0B">
      <w:pPr>
        <w:autoSpaceDE w:val="0"/>
        <w:autoSpaceDN w:val="0"/>
        <w:adjustRightInd w:val="0"/>
        <w:jc w:val="both"/>
      </w:pPr>
    </w:p>
    <w:p w14:paraId="448824D0" w14:textId="77777777" w:rsidR="00CD5A2E" w:rsidRPr="00343EBC" w:rsidRDefault="00CD5A2E" w:rsidP="00FC5E0B">
      <w:pPr>
        <w:jc w:val="both"/>
      </w:pPr>
      <w:r w:rsidRPr="00343EBC">
        <w:t xml:space="preserve">Protiv </w:t>
      </w:r>
      <w:r w:rsidR="008E4F47" w:rsidRPr="00343EBC">
        <w:t>ove odluke</w:t>
      </w:r>
      <w:r w:rsidRPr="00343EBC">
        <w:t xml:space="preserve"> žalba nije dopuštena, ali se može pokrenuti upravni spor pred Visokim upravnim sudom Republike Hrvatske u roku 30 dana od dana primitka </w:t>
      </w:r>
      <w:r w:rsidR="008E4F47" w:rsidRPr="00343EBC">
        <w:t>odluke</w:t>
      </w:r>
      <w:r w:rsidRPr="00343EBC">
        <w:t>.</w:t>
      </w:r>
    </w:p>
    <w:p w14:paraId="35F91DF0" w14:textId="77777777" w:rsidR="00CD5A2E" w:rsidRPr="00343EBC" w:rsidRDefault="00CD5A2E" w:rsidP="00FC5E0B">
      <w:pPr>
        <w:jc w:val="both"/>
      </w:pPr>
    </w:p>
    <w:p w14:paraId="30FE3E3B" w14:textId="77777777" w:rsidR="00CD5A2E" w:rsidRPr="00343EBC" w:rsidRDefault="00CD5A2E" w:rsidP="00FC5E0B">
      <w:pPr>
        <w:jc w:val="both"/>
        <w:rPr>
          <w:szCs w:val="20"/>
        </w:rPr>
      </w:pPr>
    </w:p>
    <w:p w14:paraId="24A62032" w14:textId="77777777" w:rsidR="00CD5A2E" w:rsidRPr="00343EBC" w:rsidRDefault="00CD5A2E" w:rsidP="00FC5E0B">
      <w:pPr>
        <w:jc w:val="both"/>
        <w:rPr>
          <w:szCs w:val="20"/>
        </w:rPr>
      </w:pPr>
    </w:p>
    <w:tbl>
      <w:tblPr>
        <w:tblW w:w="0" w:type="auto"/>
        <w:tblInd w:w="4717" w:type="dxa"/>
        <w:tblLook w:val="01E0" w:firstRow="1" w:lastRow="1" w:firstColumn="1" w:lastColumn="1" w:noHBand="0" w:noVBand="0"/>
      </w:tblPr>
      <w:tblGrid>
        <w:gridCol w:w="4921"/>
      </w:tblGrid>
      <w:tr w:rsidR="00CD5A2E" w:rsidRPr="00343EBC" w14:paraId="41A73A83" w14:textId="77777777" w:rsidTr="00CD5A2E">
        <w:tc>
          <w:tcPr>
            <w:tcW w:w="4927" w:type="dxa"/>
            <w:hideMark/>
          </w:tcPr>
          <w:p w14:paraId="142DF1F0" w14:textId="77777777" w:rsidR="00CD5A2E" w:rsidRPr="00343EBC" w:rsidRDefault="00CD5A2E" w:rsidP="005A0F5A">
            <w:pPr>
              <w:pStyle w:val="Uloga"/>
              <w:jc w:val="center"/>
            </w:pPr>
            <w:r w:rsidRPr="00343EBC">
              <w:t>Predsjednik Vijeća</w:t>
            </w:r>
          </w:p>
        </w:tc>
      </w:tr>
      <w:tr w:rsidR="00CD5A2E" w14:paraId="0E817B33" w14:textId="77777777" w:rsidTr="00CD5A2E">
        <w:tc>
          <w:tcPr>
            <w:tcW w:w="4927" w:type="dxa"/>
            <w:hideMark/>
          </w:tcPr>
          <w:p w14:paraId="477C8184" w14:textId="77777777" w:rsidR="00CD5A2E" w:rsidRDefault="00CD5A2E" w:rsidP="005A0F5A">
            <w:pPr>
              <w:pStyle w:val="Uloga-ime"/>
              <w:jc w:val="center"/>
            </w:pPr>
            <w:r w:rsidRPr="00343EBC">
              <w:t>Tonko Obuljen</w:t>
            </w:r>
          </w:p>
        </w:tc>
      </w:tr>
    </w:tbl>
    <w:p w14:paraId="186009A1" w14:textId="77777777" w:rsidR="00CD5A2E" w:rsidRDefault="00CD5A2E" w:rsidP="00FC5E0B">
      <w:pPr>
        <w:jc w:val="both"/>
      </w:pPr>
    </w:p>
    <w:p w14:paraId="375E1E82" w14:textId="77777777" w:rsidR="00CD5A2E" w:rsidRDefault="00CD5A2E" w:rsidP="00FC5E0B">
      <w:pPr>
        <w:jc w:val="both"/>
      </w:pPr>
    </w:p>
    <w:p w14:paraId="30C543D5" w14:textId="77777777" w:rsidR="00CD5A2E" w:rsidRDefault="00CD5A2E" w:rsidP="00FC5E0B">
      <w:pPr>
        <w:jc w:val="both"/>
      </w:pPr>
    </w:p>
    <w:sectPr w:rsidR="00CD5A2E" w:rsidSect="00396F15">
      <w:headerReference w:type="default" r:id="rId19"/>
      <w:headerReference w:type="first" r:id="rId20"/>
      <w:footerReference w:type="first" r:id="rId21"/>
      <w:pgSz w:w="11906" w:h="16838" w:code="9"/>
      <w:pgMar w:top="1701" w:right="1134" w:bottom="1701"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B1ED" w14:textId="77777777" w:rsidR="00FD1366" w:rsidRDefault="00FD1366">
      <w:r>
        <w:separator/>
      </w:r>
    </w:p>
  </w:endnote>
  <w:endnote w:type="continuationSeparator" w:id="0">
    <w:p w14:paraId="128A2962" w14:textId="77777777" w:rsidR="00FD1366" w:rsidRDefault="00FD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INCE-Regular">
    <w:altName w:val="Times New Roman"/>
    <w:panose1 w:val="00000000000000000000"/>
    <w:charset w:val="EE"/>
    <w:family w:val="auto"/>
    <w:notTrueType/>
    <w:pitch w:val="variable"/>
    <w:sig w:usb0="00000001"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B4E6" w14:textId="77777777" w:rsidR="00DC2C85" w:rsidRPr="008639AE" w:rsidRDefault="00124418" w:rsidP="00192D15">
    <w:pPr>
      <w:pStyle w:val="Footer"/>
      <w:tabs>
        <w:tab w:val="clear" w:pos="4320"/>
        <w:tab w:val="clear" w:pos="8640"/>
      </w:tabs>
      <w:spacing w:line="240" w:lineRule="auto"/>
      <w:ind w:left="-357" w:right="-357"/>
      <w:rPr>
        <w:rFonts w:ascii="DINCE-Regular" w:hAnsi="DINCE-Regular"/>
      </w:rPr>
    </w:pPr>
    <w:r w:rsidRPr="008639AE">
      <w:rPr>
        <w:rFonts w:ascii="DINCE-Regular" w:hAnsi="DINCE-Regular"/>
        <w:noProof/>
      </w:rPr>
      <mc:AlternateContent>
        <mc:Choice Requires="wps">
          <w:drawing>
            <wp:inline distT="0" distB="0" distL="0" distR="0" wp14:anchorId="74CF4BCB" wp14:editId="4F9B9B10">
              <wp:extent cx="6480175" cy="0"/>
              <wp:effectExtent l="9525" t="9525" r="6350" b="9525"/>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
                        <a:solidFill>
                          <a:srgbClr val="024182"/>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5CBF099C" id="Line 1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obFAIAACk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" strokecolor="#024182" strokeweight=".1pt">
              <w10:anchorlock/>
            </v:line>
          </w:pict>
        </mc:Fallback>
      </mc:AlternateContent>
    </w:r>
  </w:p>
  <w:p w14:paraId="3E23CAF9" w14:textId="77777777" w:rsidR="00AF569C" w:rsidRPr="00605B1D" w:rsidRDefault="00AF569C" w:rsidP="00AF569C">
    <w:pPr>
      <w:pStyle w:val="Footer"/>
      <w:tabs>
        <w:tab w:val="clear" w:pos="4320"/>
        <w:tab w:val="clear" w:pos="8640"/>
      </w:tabs>
      <w:spacing w:before="80"/>
      <w:rPr>
        <w:rFonts w:ascii="Corbel" w:hAnsi="Corbel"/>
        <w:b/>
        <w:sz w:val="15"/>
        <w:szCs w:val="15"/>
      </w:rPr>
    </w:pPr>
    <w:r w:rsidRPr="00605B1D">
      <w:rPr>
        <w:rFonts w:ascii="Corbel" w:hAnsi="Corbel"/>
        <w:b/>
        <w:sz w:val="15"/>
        <w:szCs w:val="15"/>
      </w:rPr>
      <w:t>HRVATSKA REGULATORNA AGENCIJA ZA MREŽNE DJELATNOSTI</w:t>
    </w:r>
  </w:p>
  <w:p w14:paraId="7E2E901D" w14:textId="77777777" w:rsidR="00964B0D" w:rsidRPr="00AF569C" w:rsidRDefault="00AF569C" w:rsidP="00AF569C">
    <w:pPr>
      <w:pStyle w:val="Footer"/>
      <w:tabs>
        <w:tab w:val="clear" w:pos="4320"/>
        <w:tab w:val="clear" w:pos="8640"/>
      </w:tabs>
      <w:ind w:left="-142" w:right="-143"/>
      <w:rPr>
        <w:rFonts w:ascii="Corbel" w:hAnsi="Corbel"/>
        <w:sz w:val="15"/>
        <w:szCs w:val="15"/>
      </w:rPr>
    </w:pPr>
    <w:r w:rsidRPr="00605B1D">
      <w:rPr>
        <w:rFonts w:ascii="Corbel" w:hAnsi="Corbel"/>
        <w:sz w:val="15"/>
        <w:szCs w:val="15"/>
      </w:rPr>
      <w:t>Roberta Frangeša Mihanovi</w:t>
    </w:r>
    <w:r w:rsidRPr="00605B1D">
      <w:rPr>
        <w:rFonts w:ascii="Corbel" w:hAnsi="Corbel" w:cs="Cambria"/>
        <w:sz w:val="15"/>
        <w:szCs w:val="15"/>
      </w:rPr>
      <w:t>ć</w:t>
    </w:r>
    <w:r w:rsidRPr="00605B1D">
      <w:rPr>
        <w:rFonts w:ascii="Corbel" w:hAnsi="Corbel"/>
        <w:sz w:val="15"/>
        <w:szCs w:val="15"/>
      </w:rPr>
      <w:t>a 9, 10110 Zagreb / OIB: 87950783661 / Tel: (01) 7007 007, Faks: (01) 7007 070 / www.hakom.hr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8383" w14:textId="77777777" w:rsidR="00FD1366" w:rsidRDefault="00FD1366">
      <w:r>
        <w:separator/>
      </w:r>
    </w:p>
  </w:footnote>
  <w:footnote w:type="continuationSeparator" w:id="0">
    <w:p w14:paraId="4CBFBCBC" w14:textId="77777777" w:rsidR="00FD1366" w:rsidRDefault="00FD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E01A" w14:textId="77777777" w:rsidR="00DC2C85" w:rsidRDefault="00DC2C85" w:rsidP="00731423">
    <w:pPr>
      <w:pStyle w:val="Header"/>
      <w:tabs>
        <w:tab w:val="clear" w:pos="4536"/>
        <w:tab w:val="clear" w:pos="9072"/>
      </w:tabs>
      <w:ind w:left="-360" w:right="-44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4344" w14:textId="77777777" w:rsidR="00DC2C85" w:rsidRDefault="009F6CDB" w:rsidP="009F6CDB">
    <w:pPr>
      <w:pStyle w:val="Header"/>
      <w:tabs>
        <w:tab w:val="clear" w:pos="4536"/>
        <w:tab w:val="clear" w:pos="9072"/>
      </w:tabs>
      <w:ind w:left="-357" w:right="-357"/>
      <w:jc w:val="center"/>
    </w:pPr>
    <w:r w:rsidRPr="009F6CDB">
      <w:rPr>
        <w:noProof/>
      </w:rPr>
      <w:drawing>
        <wp:inline distT="0" distB="0" distL="0" distR="0" wp14:anchorId="058C334D" wp14:editId="6E98BE74">
          <wp:extent cx="1057523" cy="1025220"/>
          <wp:effectExtent l="0" t="0" r="0" b="3810"/>
          <wp:docPr id="2" name="Picture 2" descr="\\hzt.local\hakom\Mape_Odjela\KIS\Vizualni identitet HAKOM - javno\HAKOM color logotip 1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zt.local\hakom\Mape_Odjela\KIS\Vizualni identitet HAKOM - javno\HAKOM color logotip 1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152" cy="1030677"/>
                  </a:xfrm>
                  <a:prstGeom prst="rect">
                    <a:avLst/>
                  </a:prstGeom>
                  <a:noFill/>
                  <a:ln>
                    <a:noFill/>
                  </a:ln>
                </pic:spPr>
              </pic:pic>
            </a:graphicData>
          </a:graphic>
        </wp:inline>
      </w:drawing>
    </w:r>
  </w:p>
  <w:p w14:paraId="1C5276D3" w14:textId="77777777" w:rsidR="00DC2C85" w:rsidRDefault="00DC2C85" w:rsidP="00192D15">
    <w:pPr>
      <w:pStyle w:val="Header"/>
      <w:tabs>
        <w:tab w:val="clear" w:pos="4536"/>
        <w:tab w:val="clear" w:pos="9072"/>
      </w:tabs>
      <w:ind w:left="-357" w:right="-357"/>
      <w:jc w:val="center"/>
    </w:pPr>
  </w:p>
  <w:p w14:paraId="22A53E71" w14:textId="77777777" w:rsidR="00DC2C85" w:rsidRDefault="00DC2C85" w:rsidP="00192D15">
    <w:pPr>
      <w:pStyle w:val="Header"/>
      <w:tabs>
        <w:tab w:val="clear" w:pos="4536"/>
        <w:tab w:val="clear" w:pos="9072"/>
      </w:tabs>
      <w:spacing w:after="60"/>
      <w:ind w:right="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4CF"/>
    <w:multiLevelType w:val="hybridMultilevel"/>
    <w:tmpl w:val="A0CC3CD6"/>
    <w:lvl w:ilvl="0" w:tplc="54BC2E98">
      <w:start w:val="1"/>
      <w:numFmt w:val="upperRoman"/>
      <w:lvlText w:val="%1."/>
      <w:lvlJc w:val="left"/>
      <w:pPr>
        <w:ind w:left="1080" w:hanging="720"/>
      </w:pPr>
      <w:rPr>
        <w:rFonts w:hint="default"/>
      </w:rPr>
    </w:lvl>
    <w:lvl w:ilvl="1" w:tplc="679E916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A576ED"/>
    <w:multiLevelType w:val="hybridMultilevel"/>
    <w:tmpl w:val="2E48E20E"/>
    <w:lvl w:ilvl="0" w:tplc="71AAECD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07C9A"/>
    <w:multiLevelType w:val="hybridMultilevel"/>
    <w:tmpl w:val="A4500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F780165"/>
    <w:multiLevelType w:val="hybridMultilevel"/>
    <w:tmpl w:val="611A94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8025B4"/>
    <w:multiLevelType w:val="hybridMultilevel"/>
    <w:tmpl w:val="01B03BE0"/>
    <w:lvl w:ilvl="0" w:tplc="88CA3FC0">
      <w:start w:val="1"/>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71DF4F9C"/>
    <w:multiLevelType w:val="hybridMultilevel"/>
    <w:tmpl w:val="D6003A60"/>
    <w:lvl w:ilvl="0" w:tplc="2110E026">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F71132"/>
    <w:multiLevelType w:val="hybridMultilevel"/>
    <w:tmpl w:val="8FEA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2049">
      <o:colormru v:ext="edit" colors="#0241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7"/>
    <w:rsid w:val="000119DC"/>
    <w:rsid w:val="000143FB"/>
    <w:rsid w:val="00017189"/>
    <w:rsid w:val="00032795"/>
    <w:rsid w:val="000505B3"/>
    <w:rsid w:val="00052F0F"/>
    <w:rsid w:val="00057A02"/>
    <w:rsid w:val="00060041"/>
    <w:rsid w:val="00064A4F"/>
    <w:rsid w:val="000732AB"/>
    <w:rsid w:val="00081243"/>
    <w:rsid w:val="00096907"/>
    <w:rsid w:val="000A0E5F"/>
    <w:rsid w:val="000A1C33"/>
    <w:rsid w:val="000A31DE"/>
    <w:rsid w:val="000B05EF"/>
    <w:rsid w:val="000B55BB"/>
    <w:rsid w:val="000B65B9"/>
    <w:rsid w:val="000C03F6"/>
    <w:rsid w:val="000C4706"/>
    <w:rsid w:val="000D1AB5"/>
    <w:rsid w:val="000E082E"/>
    <w:rsid w:val="000E2B2B"/>
    <w:rsid w:val="000E6C32"/>
    <w:rsid w:val="000F2723"/>
    <w:rsid w:val="000F2EE0"/>
    <w:rsid w:val="00105853"/>
    <w:rsid w:val="00112ED3"/>
    <w:rsid w:val="001171FF"/>
    <w:rsid w:val="00120AA8"/>
    <w:rsid w:val="00121580"/>
    <w:rsid w:val="00124418"/>
    <w:rsid w:val="00126B20"/>
    <w:rsid w:val="00141CD2"/>
    <w:rsid w:val="0014591E"/>
    <w:rsid w:val="00145C97"/>
    <w:rsid w:val="00165B16"/>
    <w:rsid w:val="00177E8E"/>
    <w:rsid w:val="00180EA7"/>
    <w:rsid w:val="00185B53"/>
    <w:rsid w:val="00192D15"/>
    <w:rsid w:val="0019512E"/>
    <w:rsid w:val="00196538"/>
    <w:rsid w:val="001A179D"/>
    <w:rsid w:val="001A592A"/>
    <w:rsid w:val="001C0185"/>
    <w:rsid w:val="001D5EA4"/>
    <w:rsid w:val="001E3BAC"/>
    <w:rsid w:val="001F26A7"/>
    <w:rsid w:val="001F71D3"/>
    <w:rsid w:val="00202AD1"/>
    <w:rsid w:val="00206F40"/>
    <w:rsid w:val="00207E71"/>
    <w:rsid w:val="00214125"/>
    <w:rsid w:val="00220259"/>
    <w:rsid w:val="00226A35"/>
    <w:rsid w:val="002307B2"/>
    <w:rsid w:val="00232E77"/>
    <w:rsid w:val="00233C6D"/>
    <w:rsid w:val="00237832"/>
    <w:rsid w:val="00244A64"/>
    <w:rsid w:val="00263262"/>
    <w:rsid w:val="00266E0E"/>
    <w:rsid w:val="00285CE8"/>
    <w:rsid w:val="002908E3"/>
    <w:rsid w:val="00291646"/>
    <w:rsid w:val="002B6E48"/>
    <w:rsid w:val="002C1412"/>
    <w:rsid w:val="002F7144"/>
    <w:rsid w:val="00304ABA"/>
    <w:rsid w:val="00304CEB"/>
    <w:rsid w:val="00310964"/>
    <w:rsid w:val="0032010B"/>
    <w:rsid w:val="0032262F"/>
    <w:rsid w:val="0032658F"/>
    <w:rsid w:val="003267DD"/>
    <w:rsid w:val="00341743"/>
    <w:rsid w:val="00343EBC"/>
    <w:rsid w:val="003462FD"/>
    <w:rsid w:val="003470BB"/>
    <w:rsid w:val="00350ABD"/>
    <w:rsid w:val="00370283"/>
    <w:rsid w:val="003746FB"/>
    <w:rsid w:val="00377DE0"/>
    <w:rsid w:val="00383247"/>
    <w:rsid w:val="003872AF"/>
    <w:rsid w:val="00396F15"/>
    <w:rsid w:val="003A6B22"/>
    <w:rsid w:val="003A75B4"/>
    <w:rsid w:val="003C05AF"/>
    <w:rsid w:val="003C2530"/>
    <w:rsid w:val="003D4F2F"/>
    <w:rsid w:val="003D77EC"/>
    <w:rsid w:val="003D7AE9"/>
    <w:rsid w:val="003F298C"/>
    <w:rsid w:val="0040127E"/>
    <w:rsid w:val="004020AC"/>
    <w:rsid w:val="00407BB1"/>
    <w:rsid w:val="004161EC"/>
    <w:rsid w:val="00421ED3"/>
    <w:rsid w:val="00422734"/>
    <w:rsid w:val="00424CC7"/>
    <w:rsid w:val="0043159D"/>
    <w:rsid w:val="00431D91"/>
    <w:rsid w:val="0043255F"/>
    <w:rsid w:val="00441FAE"/>
    <w:rsid w:val="004530E7"/>
    <w:rsid w:val="004539BA"/>
    <w:rsid w:val="00453B82"/>
    <w:rsid w:val="00467F65"/>
    <w:rsid w:val="00471557"/>
    <w:rsid w:val="00472347"/>
    <w:rsid w:val="004809AA"/>
    <w:rsid w:val="004842B7"/>
    <w:rsid w:val="004866E3"/>
    <w:rsid w:val="004873AC"/>
    <w:rsid w:val="004A6DDC"/>
    <w:rsid w:val="004B5682"/>
    <w:rsid w:val="004B7E8F"/>
    <w:rsid w:val="004D580E"/>
    <w:rsid w:val="004E694F"/>
    <w:rsid w:val="00507DEB"/>
    <w:rsid w:val="00510ECB"/>
    <w:rsid w:val="0051309C"/>
    <w:rsid w:val="00532946"/>
    <w:rsid w:val="005467C1"/>
    <w:rsid w:val="00557290"/>
    <w:rsid w:val="00557EC5"/>
    <w:rsid w:val="00557FF1"/>
    <w:rsid w:val="00564B33"/>
    <w:rsid w:val="00565E59"/>
    <w:rsid w:val="005720A4"/>
    <w:rsid w:val="00572A77"/>
    <w:rsid w:val="00575E9E"/>
    <w:rsid w:val="00576F89"/>
    <w:rsid w:val="005806A4"/>
    <w:rsid w:val="00580A33"/>
    <w:rsid w:val="005949CE"/>
    <w:rsid w:val="005A0F5A"/>
    <w:rsid w:val="005A2DB7"/>
    <w:rsid w:val="005B24DD"/>
    <w:rsid w:val="005B6EFB"/>
    <w:rsid w:val="005B7122"/>
    <w:rsid w:val="005D633C"/>
    <w:rsid w:val="005D7228"/>
    <w:rsid w:val="005E3460"/>
    <w:rsid w:val="005E42A7"/>
    <w:rsid w:val="005F23AC"/>
    <w:rsid w:val="005F357B"/>
    <w:rsid w:val="005F3BAF"/>
    <w:rsid w:val="005F6319"/>
    <w:rsid w:val="005F791E"/>
    <w:rsid w:val="00602217"/>
    <w:rsid w:val="00623FAE"/>
    <w:rsid w:val="006323FF"/>
    <w:rsid w:val="0063519E"/>
    <w:rsid w:val="006479EE"/>
    <w:rsid w:val="0065292C"/>
    <w:rsid w:val="00663925"/>
    <w:rsid w:val="00667974"/>
    <w:rsid w:val="006834C5"/>
    <w:rsid w:val="00684AB0"/>
    <w:rsid w:val="00693ADD"/>
    <w:rsid w:val="006A082D"/>
    <w:rsid w:val="006A1D2D"/>
    <w:rsid w:val="006A6273"/>
    <w:rsid w:val="006B78DA"/>
    <w:rsid w:val="006C4F4A"/>
    <w:rsid w:val="006C65DF"/>
    <w:rsid w:val="006D0573"/>
    <w:rsid w:val="006D24B7"/>
    <w:rsid w:val="006D461E"/>
    <w:rsid w:val="006D783E"/>
    <w:rsid w:val="006E5D17"/>
    <w:rsid w:val="006F0850"/>
    <w:rsid w:val="006F32B7"/>
    <w:rsid w:val="006F3BEB"/>
    <w:rsid w:val="00702429"/>
    <w:rsid w:val="007049FD"/>
    <w:rsid w:val="00707C3C"/>
    <w:rsid w:val="007152F1"/>
    <w:rsid w:val="00726E3B"/>
    <w:rsid w:val="00731423"/>
    <w:rsid w:val="007352A3"/>
    <w:rsid w:val="007363F7"/>
    <w:rsid w:val="00737916"/>
    <w:rsid w:val="00742D06"/>
    <w:rsid w:val="007447D5"/>
    <w:rsid w:val="00760312"/>
    <w:rsid w:val="00771F34"/>
    <w:rsid w:val="00780E4F"/>
    <w:rsid w:val="00793180"/>
    <w:rsid w:val="00794EF8"/>
    <w:rsid w:val="007A08B5"/>
    <w:rsid w:val="007B24A0"/>
    <w:rsid w:val="007B6587"/>
    <w:rsid w:val="007B6887"/>
    <w:rsid w:val="007C04AC"/>
    <w:rsid w:val="007C38FA"/>
    <w:rsid w:val="007C504C"/>
    <w:rsid w:val="007C5D4A"/>
    <w:rsid w:val="007D13A6"/>
    <w:rsid w:val="007D24E5"/>
    <w:rsid w:val="007E130A"/>
    <w:rsid w:val="007F6CBA"/>
    <w:rsid w:val="00800562"/>
    <w:rsid w:val="00805473"/>
    <w:rsid w:val="008118B7"/>
    <w:rsid w:val="00814EA6"/>
    <w:rsid w:val="00816926"/>
    <w:rsid w:val="008237FF"/>
    <w:rsid w:val="0082622E"/>
    <w:rsid w:val="00833447"/>
    <w:rsid w:val="00841443"/>
    <w:rsid w:val="008450B1"/>
    <w:rsid w:val="00850279"/>
    <w:rsid w:val="00854576"/>
    <w:rsid w:val="00855FFF"/>
    <w:rsid w:val="008639AE"/>
    <w:rsid w:val="00871283"/>
    <w:rsid w:val="00875614"/>
    <w:rsid w:val="008762A4"/>
    <w:rsid w:val="00880B27"/>
    <w:rsid w:val="00884AE7"/>
    <w:rsid w:val="00892C2E"/>
    <w:rsid w:val="00895989"/>
    <w:rsid w:val="008A287D"/>
    <w:rsid w:val="008B25DD"/>
    <w:rsid w:val="008C50C7"/>
    <w:rsid w:val="008E4F47"/>
    <w:rsid w:val="008F1418"/>
    <w:rsid w:val="0090222D"/>
    <w:rsid w:val="0091001E"/>
    <w:rsid w:val="00914CC5"/>
    <w:rsid w:val="0093265C"/>
    <w:rsid w:val="00933951"/>
    <w:rsid w:val="00933A5F"/>
    <w:rsid w:val="00935CFC"/>
    <w:rsid w:val="0095223C"/>
    <w:rsid w:val="00955805"/>
    <w:rsid w:val="00955870"/>
    <w:rsid w:val="009568E1"/>
    <w:rsid w:val="009616AD"/>
    <w:rsid w:val="00964B0D"/>
    <w:rsid w:val="009650DD"/>
    <w:rsid w:val="0097241F"/>
    <w:rsid w:val="00986F67"/>
    <w:rsid w:val="009903D1"/>
    <w:rsid w:val="009A09E5"/>
    <w:rsid w:val="009A3462"/>
    <w:rsid w:val="009A4AD4"/>
    <w:rsid w:val="009A57FC"/>
    <w:rsid w:val="009A7313"/>
    <w:rsid w:val="009B4DEC"/>
    <w:rsid w:val="009E21FB"/>
    <w:rsid w:val="009E5C4C"/>
    <w:rsid w:val="009F3FBB"/>
    <w:rsid w:val="009F6CDB"/>
    <w:rsid w:val="00A03CA8"/>
    <w:rsid w:val="00A1796D"/>
    <w:rsid w:val="00A208AC"/>
    <w:rsid w:val="00A31AE4"/>
    <w:rsid w:val="00A32AE7"/>
    <w:rsid w:val="00A36BA7"/>
    <w:rsid w:val="00A41300"/>
    <w:rsid w:val="00A45DEE"/>
    <w:rsid w:val="00A615C9"/>
    <w:rsid w:val="00A74A08"/>
    <w:rsid w:val="00A834BA"/>
    <w:rsid w:val="00A966F3"/>
    <w:rsid w:val="00A970B1"/>
    <w:rsid w:val="00AA45F5"/>
    <w:rsid w:val="00AB3695"/>
    <w:rsid w:val="00AB49F3"/>
    <w:rsid w:val="00AB5470"/>
    <w:rsid w:val="00AC0184"/>
    <w:rsid w:val="00AC455F"/>
    <w:rsid w:val="00AD188A"/>
    <w:rsid w:val="00AD21DE"/>
    <w:rsid w:val="00AD3E6A"/>
    <w:rsid w:val="00AE145E"/>
    <w:rsid w:val="00AE2703"/>
    <w:rsid w:val="00AF02D7"/>
    <w:rsid w:val="00AF2553"/>
    <w:rsid w:val="00AF569C"/>
    <w:rsid w:val="00B01212"/>
    <w:rsid w:val="00B0131B"/>
    <w:rsid w:val="00B02979"/>
    <w:rsid w:val="00B156AB"/>
    <w:rsid w:val="00B33D6B"/>
    <w:rsid w:val="00B34F68"/>
    <w:rsid w:val="00B42A6A"/>
    <w:rsid w:val="00B45836"/>
    <w:rsid w:val="00B4662B"/>
    <w:rsid w:val="00B52AF0"/>
    <w:rsid w:val="00B654F0"/>
    <w:rsid w:val="00B67A78"/>
    <w:rsid w:val="00B7326B"/>
    <w:rsid w:val="00B771A9"/>
    <w:rsid w:val="00B91B02"/>
    <w:rsid w:val="00BA38A3"/>
    <w:rsid w:val="00BC1C56"/>
    <w:rsid w:val="00BC2665"/>
    <w:rsid w:val="00BC3566"/>
    <w:rsid w:val="00BD22CA"/>
    <w:rsid w:val="00BD3224"/>
    <w:rsid w:val="00BD4436"/>
    <w:rsid w:val="00BE10C2"/>
    <w:rsid w:val="00C063A7"/>
    <w:rsid w:val="00C06A07"/>
    <w:rsid w:val="00C1643F"/>
    <w:rsid w:val="00C16B18"/>
    <w:rsid w:val="00C2545D"/>
    <w:rsid w:val="00C379C7"/>
    <w:rsid w:val="00C414B7"/>
    <w:rsid w:val="00C44E70"/>
    <w:rsid w:val="00C511C1"/>
    <w:rsid w:val="00C548F8"/>
    <w:rsid w:val="00C552B0"/>
    <w:rsid w:val="00C56F5F"/>
    <w:rsid w:val="00C66640"/>
    <w:rsid w:val="00C67B67"/>
    <w:rsid w:val="00C71216"/>
    <w:rsid w:val="00C72178"/>
    <w:rsid w:val="00C73702"/>
    <w:rsid w:val="00C738DE"/>
    <w:rsid w:val="00C7421E"/>
    <w:rsid w:val="00C83FCB"/>
    <w:rsid w:val="00C9692A"/>
    <w:rsid w:val="00CA47AB"/>
    <w:rsid w:val="00CB4BB1"/>
    <w:rsid w:val="00CB5E17"/>
    <w:rsid w:val="00CB65AD"/>
    <w:rsid w:val="00CB681E"/>
    <w:rsid w:val="00CC1A99"/>
    <w:rsid w:val="00CC6C56"/>
    <w:rsid w:val="00CC7D8C"/>
    <w:rsid w:val="00CD377B"/>
    <w:rsid w:val="00CD5A2E"/>
    <w:rsid w:val="00CE10EC"/>
    <w:rsid w:val="00CE1C46"/>
    <w:rsid w:val="00D071F0"/>
    <w:rsid w:val="00D11282"/>
    <w:rsid w:val="00D15B41"/>
    <w:rsid w:val="00D46AF4"/>
    <w:rsid w:val="00D50889"/>
    <w:rsid w:val="00D61E19"/>
    <w:rsid w:val="00D74716"/>
    <w:rsid w:val="00D77220"/>
    <w:rsid w:val="00D91324"/>
    <w:rsid w:val="00D925CA"/>
    <w:rsid w:val="00D952DA"/>
    <w:rsid w:val="00D96C65"/>
    <w:rsid w:val="00D97C0C"/>
    <w:rsid w:val="00DA169D"/>
    <w:rsid w:val="00DA4028"/>
    <w:rsid w:val="00DC2C85"/>
    <w:rsid w:val="00DC4BA7"/>
    <w:rsid w:val="00DD243E"/>
    <w:rsid w:val="00DD486A"/>
    <w:rsid w:val="00DD768B"/>
    <w:rsid w:val="00DE6EA9"/>
    <w:rsid w:val="00DF565B"/>
    <w:rsid w:val="00DF7146"/>
    <w:rsid w:val="00E12428"/>
    <w:rsid w:val="00E131D8"/>
    <w:rsid w:val="00E31242"/>
    <w:rsid w:val="00E31725"/>
    <w:rsid w:val="00E35CBB"/>
    <w:rsid w:val="00E35E24"/>
    <w:rsid w:val="00E40944"/>
    <w:rsid w:val="00E51307"/>
    <w:rsid w:val="00E57DCB"/>
    <w:rsid w:val="00E62312"/>
    <w:rsid w:val="00E624A0"/>
    <w:rsid w:val="00E64E2E"/>
    <w:rsid w:val="00E77F92"/>
    <w:rsid w:val="00E8066C"/>
    <w:rsid w:val="00E85FEC"/>
    <w:rsid w:val="00E9407B"/>
    <w:rsid w:val="00EB5F0A"/>
    <w:rsid w:val="00ED3312"/>
    <w:rsid w:val="00ED4557"/>
    <w:rsid w:val="00EE1BB3"/>
    <w:rsid w:val="00EE363F"/>
    <w:rsid w:val="00EE460F"/>
    <w:rsid w:val="00EE6009"/>
    <w:rsid w:val="00F0370D"/>
    <w:rsid w:val="00F10A0D"/>
    <w:rsid w:val="00F175E6"/>
    <w:rsid w:val="00F511D7"/>
    <w:rsid w:val="00F60A02"/>
    <w:rsid w:val="00F814AB"/>
    <w:rsid w:val="00F8557F"/>
    <w:rsid w:val="00F879B6"/>
    <w:rsid w:val="00F967D2"/>
    <w:rsid w:val="00FA0967"/>
    <w:rsid w:val="00FA10DA"/>
    <w:rsid w:val="00FA3130"/>
    <w:rsid w:val="00FA406F"/>
    <w:rsid w:val="00FA67E0"/>
    <w:rsid w:val="00FB07BA"/>
    <w:rsid w:val="00FB66A2"/>
    <w:rsid w:val="00FC0886"/>
    <w:rsid w:val="00FC1A4F"/>
    <w:rsid w:val="00FC1F22"/>
    <w:rsid w:val="00FC23C3"/>
    <w:rsid w:val="00FC5E0B"/>
    <w:rsid w:val="00FC6319"/>
    <w:rsid w:val="00FC6A20"/>
    <w:rsid w:val="00FD1366"/>
    <w:rsid w:val="00FD7E3B"/>
    <w:rsid w:val="00FF339A"/>
    <w:rsid w:val="00FF57AC"/>
    <w:rsid w:val="00FF7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4182"/>
    </o:shapedefaults>
    <o:shapelayout v:ext="edit">
      <o:idmap v:ext="edit" data="1"/>
    </o:shapelayout>
  </w:shapeDefaults>
  <w:decimalSymbol w:val=","/>
  <w:listSeparator w:val=";"/>
  <w14:docId w14:val="581F1B2C"/>
  <w15:docId w15:val="{DD07A0CE-AF41-471B-BECA-8FAF64FD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A57FC"/>
    <w:pPr>
      <w:keepNext/>
      <w:spacing w:before="240" w:after="120"/>
      <w:outlineLvl w:val="0"/>
    </w:pPr>
    <w:rPr>
      <w:rFonts w:cs="Arial"/>
      <w:b/>
      <w:bCs/>
      <w:caps/>
      <w:kern w:val="32"/>
      <w:sz w:val="28"/>
      <w:szCs w:val="32"/>
    </w:rPr>
  </w:style>
  <w:style w:type="paragraph" w:styleId="Heading2">
    <w:name w:val="heading 2"/>
    <w:basedOn w:val="Normal"/>
    <w:next w:val="Normal"/>
    <w:qFormat/>
    <w:rsid w:val="009A57FC"/>
    <w:pPr>
      <w:keepNext/>
      <w:spacing w:before="120" w:after="60"/>
      <w:outlineLvl w:val="1"/>
    </w:pPr>
    <w:rPr>
      <w:rFonts w:cs="Arial"/>
      <w:b/>
      <w:bCs/>
      <w:iCs/>
      <w:szCs w:val="28"/>
    </w:rPr>
  </w:style>
  <w:style w:type="paragraph" w:styleId="Heading3">
    <w:name w:val="heading 3"/>
    <w:basedOn w:val="Normal"/>
    <w:next w:val="Normal"/>
    <w:qFormat/>
    <w:rsid w:val="009A57FC"/>
    <w:pPr>
      <w:keepNext/>
      <w:spacing w:before="60" w:after="60"/>
      <w:outlineLvl w:val="2"/>
    </w:pPr>
    <w:rPr>
      <w:rFonts w:cs="Arial"/>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64A4F"/>
    <w:pPr>
      <w:overflowPunct w:val="0"/>
      <w:autoSpaceDE w:val="0"/>
      <w:autoSpaceDN w:val="0"/>
      <w:adjustRightInd w:val="0"/>
      <w:spacing w:line="360" w:lineRule="auto"/>
      <w:jc w:val="both"/>
      <w:textAlignment w:val="baseline"/>
    </w:pPr>
    <w:rPr>
      <w:szCs w:val="20"/>
      <w:lang w:val="en-US"/>
    </w:rPr>
  </w:style>
  <w:style w:type="character" w:styleId="PageNumber">
    <w:name w:val="page number"/>
    <w:basedOn w:val="DefaultParagraphFont"/>
    <w:rsid w:val="00FD7E3B"/>
  </w:style>
  <w:style w:type="paragraph" w:styleId="Footer">
    <w:name w:val="footer"/>
    <w:basedOn w:val="Normal"/>
    <w:rsid w:val="009A57FC"/>
    <w:pPr>
      <w:tabs>
        <w:tab w:val="center" w:pos="4320"/>
        <w:tab w:val="right" w:pos="8640"/>
      </w:tabs>
      <w:spacing w:line="360" w:lineRule="auto"/>
      <w:jc w:val="center"/>
    </w:pPr>
    <w:rPr>
      <w:rFonts w:ascii="Calibri" w:hAnsi="Calibri"/>
      <w:color w:val="024182"/>
      <w:sz w:val="16"/>
      <w:szCs w:val="20"/>
    </w:rPr>
  </w:style>
  <w:style w:type="paragraph" w:customStyle="1" w:styleId="Uloga">
    <w:name w:val="Uloga"/>
    <w:basedOn w:val="Normal"/>
    <w:rsid w:val="00A615C9"/>
    <w:pPr>
      <w:tabs>
        <w:tab w:val="center" w:pos="7655"/>
      </w:tabs>
      <w:spacing w:before="240" w:after="600"/>
    </w:pPr>
    <w:rPr>
      <w:b/>
      <w:i/>
      <w:caps/>
      <w:sz w:val="20"/>
    </w:rPr>
  </w:style>
  <w:style w:type="table" w:styleId="TableGrid">
    <w:name w:val="Table Grid"/>
    <w:basedOn w:val="TableNormal"/>
    <w:rsid w:val="00F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1212"/>
    <w:pPr>
      <w:tabs>
        <w:tab w:val="center" w:pos="4536"/>
        <w:tab w:val="right" w:pos="9072"/>
      </w:tabs>
    </w:pPr>
    <w:rPr>
      <w:rFonts w:ascii="Calibri" w:hAnsi="Calibri"/>
      <w:color w:val="024182"/>
      <w:sz w:val="16"/>
    </w:rPr>
  </w:style>
  <w:style w:type="paragraph" w:customStyle="1" w:styleId="Uloga-ime">
    <w:name w:val="Uloga - ime"/>
    <w:basedOn w:val="Normal"/>
    <w:rsid w:val="00A615C9"/>
    <w:pPr>
      <w:tabs>
        <w:tab w:val="center" w:pos="7655"/>
      </w:tabs>
      <w:spacing w:after="600"/>
    </w:pPr>
    <w:rPr>
      <w:b/>
      <w:i/>
      <w:sz w:val="22"/>
    </w:rPr>
  </w:style>
  <w:style w:type="paragraph" w:styleId="BalloonText">
    <w:name w:val="Balloon Text"/>
    <w:basedOn w:val="Normal"/>
    <w:link w:val="BalloonTextChar"/>
    <w:rsid w:val="00AF02D7"/>
    <w:rPr>
      <w:rFonts w:ascii="Tahoma" w:hAnsi="Tahoma" w:cs="Tahoma"/>
      <w:sz w:val="16"/>
      <w:szCs w:val="16"/>
    </w:rPr>
  </w:style>
  <w:style w:type="character" w:customStyle="1" w:styleId="BalloonTextChar">
    <w:name w:val="Balloon Text Char"/>
    <w:basedOn w:val="DefaultParagraphFont"/>
    <w:link w:val="BalloonText"/>
    <w:rsid w:val="00AF02D7"/>
    <w:rPr>
      <w:rFonts w:ascii="Tahoma" w:hAnsi="Tahoma" w:cs="Tahoma"/>
      <w:sz w:val="16"/>
      <w:szCs w:val="16"/>
    </w:rPr>
  </w:style>
  <w:style w:type="character" w:styleId="Hyperlink">
    <w:name w:val="Hyperlink"/>
    <w:basedOn w:val="DefaultParagraphFont"/>
    <w:unhideWhenUsed/>
    <w:rsid w:val="000A1C33"/>
    <w:rPr>
      <w:color w:val="0000FF" w:themeColor="hyperlink"/>
      <w:u w:val="single"/>
    </w:rPr>
  </w:style>
  <w:style w:type="character" w:styleId="CommentReference">
    <w:name w:val="annotation reference"/>
    <w:basedOn w:val="DefaultParagraphFont"/>
    <w:uiPriority w:val="99"/>
    <w:semiHidden/>
    <w:unhideWhenUsed/>
    <w:rsid w:val="00A32AE7"/>
    <w:rPr>
      <w:sz w:val="16"/>
      <w:szCs w:val="16"/>
    </w:rPr>
  </w:style>
  <w:style w:type="paragraph" w:styleId="CommentText">
    <w:name w:val="annotation text"/>
    <w:basedOn w:val="Normal"/>
    <w:link w:val="CommentTextChar"/>
    <w:semiHidden/>
    <w:unhideWhenUsed/>
    <w:rsid w:val="00A32AE7"/>
    <w:rPr>
      <w:sz w:val="20"/>
      <w:szCs w:val="20"/>
    </w:rPr>
  </w:style>
  <w:style w:type="character" w:customStyle="1" w:styleId="CommentTextChar">
    <w:name w:val="Comment Text Char"/>
    <w:basedOn w:val="DefaultParagraphFont"/>
    <w:link w:val="CommentText"/>
    <w:semiHidden/>
    <w:rsid w:val="00A32AE7"/>
  </w:style>
  <w:style w:type="paragraph" w:styleId="CommentSubject">
    <w:name w:val="annotation subject"/>
    <w:basedOn w:val="CommentText"/>
    <w:next w:val="CommentText"/>
    <w:link w:val="CommentSubjectChar"/>
    <w:semiHidden/>
    <w:unhideWhenUsed/>
    <w:rsid w:val="00A32AE7"/>
    <w:rPr>
      <w:b/>
      <w:bCs/>
    </w:rPr>
  </w:style>
  <w:style w:type="character" w:customStyle="1" w:styleId="CommentSubjectChar">
    <w:name w:val="Comment Subject Char"/>
    <w:basedOn w:val="CommentTextChar"/>
    <w:link w:val="CommentSubject"/>
    <w:semiHidden/>
    <w:rsid w:val="00A32AE7"/>
    <w:rPr>
      <w:b/>
      <w:bCs/>
    </w:rPr>
  </w:style>
  <w:style w:type="paragraph" w:styleId="ListParagraph">
    <w:name w:val="List Paragraph"/>
    <w:basedOn w:val="Normal"/>
    <w:uiPriority w:val="34"/>
    <w:qFormat/>
    <w:rsid w:val="00CD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7161">
      <w:bodyDiv w:val="1"/>
      <w:marLeft w:val="0"/>
      <w:marRight w:val="0"/>
      <w:marTop w:val="0"/>
      <w:marBottom w:val="0"/>
      <w:divBdr>
        <w:top w:val="none" w:sz="0" w:space="0" w:color="auto"/>
        <w:left w:val="none" w:sz="0" w:space="0" w:color="auto"/>
        <w:bottom w:val="none" w:sz="0" w:space="0" w:color="auto"/>
        <w:right w:val="none" w:sz="0" w:space="0" w:color="auto"/>
      </w:divBdr>
    </w:div>
    <w:div w:id="613950308">
      <w:bodyDiv w:val="1"/>
      <w:marLeft w:val="0"/>
      <w:marRight w:val="0"/>
      <w:marTop w:val="0"/>
      <w:marBottom w:val="0"/>
      <w:divBdr>
        <w:top w:val="none" w:sz="0" w:space="0" w:color="auto"/>
        <w:left w:val="none" w:sz="0" w:space="0" w:color="auto"/>
        <w:bottom w:val="none" w:sz="0" w:space="0" w:color="auto"/>
        <w:right w:val="none" w:sz="0" w:space="0" w:color="auto"/>
      </w:divBdr>
    </w:div>
    <w:div w:id="757406318">
      <w:bodyDiv w:val="1"/>
      <w:marLeft w:val="0"/>
      <w:marRight w:val="0"/>
      <w:marTop w:val="0"/>
      <w:marBottom w:val="0"/>
      <w:divBdr>
        <w:top w:val="none" w:sz="0" w:space="0" w:color="auto"/>
        <w:left w:val="none" w:sz="0" w:space="0" w:color="auto"/>
        <w:bottom w:val="none" w:sz="0" w:space="0" w:color="auto"/>
        <w:right w:val="none" w:sz="0" w:space="0" w:color="auto"/>
      </w:divBdr>
    </w:div>
    <w:div w:id="15193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enik.hr" TargetMode="External"/><Relationship Id="rId18" Type="http://schemas.openxmlformats.org/officeDocument/2006/relationships/hyperlink" Target="https://urldefense.com/v3/__https:/www.hrvatskitelekom.hr/obavijesti__;!!NQFYEpm_!T3wwpCAB4zPdXdpdG4ZIno-RIHqNzj9A3VXrEFLcORY82LypG4PIoodpX5Y28_Uk-Gv4h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menik.tportal.hr" TargetMode="External"/><Relationship Id="rId17" Type="http://schemas.openxmlformats.org/officeDocument/2006/relationships/hyperlink" Target="https://urldefense.com/v3/__https:/www.hrvatskitelekom.hr/internet/maxnet-mini__;!!NQFYEpm_!T3wwpCAB4zPdXdpdG4ZIno-RIHqNzj9A3VXrEFLcORY82LypG4PIoodpX5Y28_VKHpXpRA$" TargetMode="External"/><Relationship Id="rId2" Type="http://schemas.openxmlformats.org/officeDocument/2006/relationships/customXml" Target="../customXml/item2.xml"/><Relationship Id="rId16" Type="http://schemas.openxmlformats.org/officeDocument/2006/relationships/hyperlink" Target="https://urldefense.com/v3/__https:/imenik.tportal.hr/show?action=tcomInfo__;!!NQFYEpm_!T3wwpCAB4zPdXdpdG4ZIno-RIHqNzj9A3VXrEFLcORY82LypG4PIoodpX5Y28_VFvRNVl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enik.hr" TargetMode="External"/><Relationship Id="rId5" Type="http://schemas.openxmlformats.org/officeDocument/2006/relationships/numbering" Target="numbering.xml"/><Relationship Id="rId15" Type="http://schemas.openxmlformats.org/officeDocument/2006/relationships/hyperlink" Target="http://www.imenik.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enik.tportal.h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64D133891958459AE81003228E31AE" ma:contentTypeVersion="3" ma:contentTypeDescription="Stvaranje novog dokumenta." ma:contentTypeScope="" ma:versionID="ed2ea0fc914c9fe856b16804f9017ec3">
  <xsd:schema xmlns:xsd="http://www.w3.org/2001/XMLSchema" xmlns:xs="http://www.w3.org/2001/XMLSchema" xmlns:p="http://schemas.microsoft.com/office/2006/metadata/properties" xmlns:ns2="f45d8b5b-b624-41fb-afb8-da03212d0f19" targetNamespace="http://schemas.microsoft.com/office/2006/metadata/properties" ma:root="true" ma:fieldsID="252a417815a7f7c55b63c71a016e8da7" ns2:_="">
    <xsd:import namespace="f45d8b5b-b624-41fb-afb8-da03212d0f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8b5b-b624-41fb-afb8-da03212d0f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F885-87C8-419C-A7E2-6E6EF0AD4BFF}">
  <ds:schemaRefs>
    <ds:schemaRef ds:uri="http://schemas.microsoft.com/sharepoint/v3/contenttype/forms"/>
  </ds:schemaRefs>
</ds:datastoreItem>
</file>

<file path=customXml/itemProps2.xml><?xml version="1.0" encoding="utf-8"?>
<ds:datastoreItem xmlns:ds="http://schemas.openxmlformats.org/officeDocument/2006/customXml" ds:itemID="{643F1B32-05A0-4A83-998A-EACFC2E2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8b5b-b624-41fb-afb8-da03212d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6945B-9DB6-418A-824E-F9B948076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55B65-E0A8-4637-9F92-6CAE683D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4159</Words>
  <Characters>23707</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vt:lpstr>
      <vt:lpstr>Ravnatelj</vt:lpstr>
    </vt:vector>
  </TitlesOfParts>
  <Manager>Mirjana Todorić</Manager>
  <Company>HAKOM</Company>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dc:title>
  <dc:subject>Memorandum</dc:subject>
  <dc:creator>Cornelia Krušlin</dc:creator>
  <cp:keywords>English version</cp:keywords>
  <cp:lastModifiedBy>Velimir Švedek</cp:lastModifiedBy>
  <cp:revision>2</cp:revision>
  <cp:lastPrinted>2021-10-28T06:34:00Z</cp:lastPrinted>
  <dcterms:created xsi:type="dcterms:W3CDTF">2021-11-05T10:05:00Z</dcterms:created>
  <dcterms:modified xsi:type="dcterms:W3CDTF">2021-11-05T10:05:00Z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ija">
    <vt:lpwstr>3</vt:lpwstr>
  </property>
  <property fmtid="{D5CDD505-2E9C-101B-9397-08002B2CF9AE}" pid="3" name="revizija">
    <vt:lpwstr>0</vt:lpwstr>
  </property>
  <property fmtid="{D5CDD505-2E9C-101B-9397-08002B2CF9AE}" pid="4" name="Datum dovršetka">
    <vt:filetime>2012-08-31T22:00:00Z</vt:filetime>
  </property>
  <property fmtid="{D5CDD505-2E9C-101B-9397-08002B2CF9AE}" pid="5" name="Odjel">
    <vt:lpwstr>Zajednički poslovi</vt:lpwstr>
  </property>
  <property fmtid="{D5CDD505-2E9C-101B-9397-08002B2CF9AE}" pid="6" name="Office">
    <vt:lpwstr>HAKOM</vt:lpwstr>
  </property>
  <property fmtid="{D5CDD505-2E9C-101B-9397-08002B2CF9AE}" pid="7" name="Provjerio">
    <vt:lpwstr>Mirjana Todorić</vt:lpwstr>
  </property>
  <property fmtid="{D5CDD505-2E9C-101B-9397-08002B2CF9AE}" pid="8" name="Uređivač">
    <vt:lpwstr>Cornelia Krušlin</vt:lpwstr>
  </property>
  <property fmtid="{D5CDD505-2E9C-101B-9397-08002B2CF9AE}" pid="9" name="Vlasnik">
    <vt:lpwstr>HAKOM</vt:lpwstr>
  </property>
  <property fmtid="{D5CDD505-2E9C-101B-9397-08002B2CF9AE}" pid="10" name="Jezik">
    <vt:lpwstr>engleski</vt:lpwstr>
  </property>
  <property fmtid="{D5CDD505-2E9C-101B-9397-08002B2CF9AE}" pid="11" name="ContentTypeId">
    <vt:lpwstr>0x0101005F64D133891958459AE81003228E31AE</vt:lpwstr>
  </property>
  <property fmtid="{D5CDD505-2E9C-101B-9397-08002B2CF9AE}" pid="12" name="Order">
    <vt:r8>249100</vt:r8>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ies>
</file>