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36D" w:rsidRPr="00A71B49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B49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B49"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5E100A" w:rsidRPr="00A71B49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7B1F" w:rsidRPr="00A71B49" w:rsidRDefault="00A42EA6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B49">
        <w:rPr>
          <w:rFonts w:ascii="Times New Roman" w:hAnsi="Times New Roman" w:cs="Times New Roman"/>
          <w:b/>
          <w:sz w:val="28"/>
          <w:szCs w:val="28"/>
        </w:rPr>
        <w:t>Plan</w:t>
      </w:r>
      <w:r w:rsidR="005624B8" w:rsidRPr="00A71B49">
        <w:rPr>
          <w:rFonts w:ascii="Times New Roman" w:hAnsi="Times New Roman" w:cs="Times New Roman"/>
          <w:b/>
          <w:sz w:val="28"/>
          <w:szCs w:val="28"/>
        </w:rPr>
        <w:t>a</w:t>
      </w:r>
      <w:r w:rsidRPr="00A71B49">
        <w:rPr>
          <w:rFonts w:ascii="Times New Roman" w:hAnsi="Times New Roman" w:cs="Times New Roman"/>
          <w:b/>
          <w:sz w:val="28"/>
          <w:szCs w:val="28"/>
        </w:rPr>
        <w:t xml:space="preserve"> dodjele za </w:t>
      </w:r>
      <w:r w:rsidR="009F7B1F" w:rsidRPr="00A71B49">
        <w:rPr>
          <w:rFonts w:ascii="Times New Roman" w:hAnsi="Times New Roman" w:cs="Times New Roman"/>
          <w:b/>
          <w:sz w:val="28"/>
          <w:szCs w:val="28"/>
        </w:rPr>
        <w:t>frekvencijsk</w:t>
      </w:r>
      <w:r w:rsidR="00AC1AE2" w:rsidRPr="00A71B49">
        <w:rPr>
          <w:rFonts w:ascii="Times New Roman" w:hAnsi="Times New Roman" w:cs="Times New Roman"/>
          <w:b/>
          <w:sz w:val="28"/>
          <w:szCs w:val="28"/>
        </w:rPr>
        <w:t>e</w:t>
      </w:r>
      <w:r w:rsidR="009F7B1F" w:rsidRPr="00A71B49">
        <w:rPr>
          <w:rFonts w:ascii="Times New Roman" w:hAnsi="Times New Roman" w:cs="Times New Roman"/>
          <w:b/>
          <w:sz w:val="28"/>
          <w:szCs w:val="28"/>
        </w:rPr>
        <w:t xml:space="preserve"> pojas</w:t>
      </w:r>
      <w:r w:rsidR="00AC1AE2" w:rsidRPr="00A71B49">
        <w:rPr>
          <w:rFonts w:ascii="Times New Roman" w:hAnsi="Times New Roman" w:cs="Times New Roman"/>
          <w:b/>
          <w:sz w:val="28"/>
          <w:szCs w:val="28"/>
        </w:rPr>
        <w:t>eve</w:t>
      </w:r>
      <w:r w:rsidR="009F7B1F" w:rsidRPr="00A71B4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44041" w:rsidRPr="00A71B49" w:rsidRDefault="0092455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1B49">
        <w:rPr>
          <w:rFonts w:ascii="Times New Roman" w:hAnsi="Times New Roman" w:cs="Times New Roman"/>
          <w:b/>
          <w:sz w:val="28"/>
          <w:szCs w:val="28"/>
        </w:rPr>
        <w:t>874,4–880,0 MHz i 919,4–925,0 MHz za željezničke pokretne radijske komunikacije</w:t>
      </w:r>
      <w:r w:rsidR="00FC3318" w:rsidRPr="00A71B49">
        <w:rPr>
          <w:rFonts w:ascii="Times New Roman" w:hAnsi="Times New Roman" w:cs="Times New Roman"/>
          <w:b/>
          <w:sz w:val="28"/>
          <w:szCs w:val="28"/>
        </w:rPr>
        <w:t xml:space="preserve"> (RMR)</w:t>
      </w: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3BD2" w:rsidRPr="00A71B49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7B1F" w:rsidRPr="00A71B49" w:rsidRDefault="009F7B1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A71B49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A71B49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C60DD1" w:rsidRPr="00A71B49">
        <w:rPr>
          <w:rFonts w:ascii="Times New Roman" w:hAnsi="Times New Roman" w:cs="Times New Roman"/>
          <w:b/>
          <w:sz w:val="24"/>
          <w:szCs w:val="24"/>
        </w:rPr>
        <w:t>ožujak</w:t>
      </w:r>
      <w:r w:rsidR="005E100A" w:rsidRPr="00A71B49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0279E7" w:rsidRPr="00A71B49">
        <w:rPr>
          <w:rFonts w:ascii="Times New Roman" w:hAnsi="Times New Roman" w:cs="Times New Roman"/>
          <w:b/>
          <w:sz w:val="24"/>
          <w:szCs w:val="24"/>
        </w:rPr>
        <w:t>2</w:t>
      </w:r>
      <w:r w:rsidR="00924551" w:rsidRPr="00A71B49">
        <w:rPr>
          <w:rFonts w:ascii="Times New Roman" w:hAnsi="Times New Roman" w:cs="Times New Roman"/>
          <w:b/>
          <w:sz w:val="24"/>
          <w:szCs w:val="24"/>
        </w:rPr>
        <w:t>2</w:t>
      </w:r>
      <w:r w:rsidR="005E100A" w:rsidRPr="00A71B49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C4637" w:rsidRPr="00A71B49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A71B4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1B49"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9E2193" w:rsidRPr="00A71B4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BF3FE9" w:rsidRPr="00A71B49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6C4637" w:rsidRPr="00A71B49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4B8" w:rsidRPr="00A71B49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 w:rsidR="005E100A" w:rsidRPr="00A71B4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82. </w:t>
      </w:r>
      <w:r w:rsidR="006C4637" w:rsidRPr="00A71B49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</w:t>
      </w:r>
      <w:r w:rsidR="00DD2891" w:rsidRPr="00A71B49">
        <w:rPr>
          <w:rFonts w:ascii="Times New Roman" w:hAnsi="Times New Roman" w:cs="Times New Roman"/>
          <w:sz w:val="24"/>
          <w:szCs w:val="24"/>
        </w:rPr>
        <w:t>80/13, 71/14 i 72/17</w:t>
      </w:r>
      <w:r w:rsidR="006C4637" w:rsidRPr="00A71B49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A71B49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 w:rsidRPr="00A71B49">
        <w:rPr>
          <w:rFonts w:ascii="Times New Roman" w:hAnsi="Times New Roman" w:cs="Times New Roman"/>
          <w:sz w:val="24"/>
          <w:szCs w:val="24"/>
        </w:rPr>
        <w:t>e</w:t>
      </w:r>
      <w:r w:rsidRPr="00A71B49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5624B8" w:rsidRPr="00A71B49">
        <w:rPr>
          <w:rFonts w:ascii="Times New Roman" w:hAnsi="Times New Roman" w:cs="Times New Roman"/>
          <w:sz w:val="24"/>
          <w:szCs w:val="24"/>
        </w:rPr>
        <w:t xml:space="preserve">planova dodjele kojima  se propisuju podrobniji uvjeti dodjele i uporabe radijskih frekvencija u okviru pojedinih </w:t>
      </w:r>
      <w:proofErr w:type="spellStart"/>
      <w:r w:rsidR="005624B8" w:rsidRPr="00A71B49">
        <w:rPr>
          <w:rFonts w:ascii="Times New Roman" w:hAnsi="Times New Roman" w:cs="Times New Roman"/>
          <w:sz w:val="24"/>
          <w:szCs w:val="24"/>
        </w:rPr>
        <w:t>radiofrekvencijskih</w:t>
      </w:r>
      <w:proofErr w:type="spellEnd"/>
      <w:r w:rsidR="005624B8" w:rsidRPr="00A71B49">
        <w:rPr>
          <w:rFonts w:ascii="Times New Roman" w:hAnsi="Times New Roman" w:cs="Times New Roman"/>
          <w:sz w:val="24"/>
          <w:szCs w:val="24"/>
        </w:rPr>
        <w:t xml:space="preserve"> pojasa, određenih Tablicom namjene </w:t>
      </w:r>
      <w:proofErr w:type="spellStart"/>
      <w:r w:rsidR="005624B8" w:rsidRPr="00A71B49"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 w:rsidR="005624B8" w:rsidRPr="00A71B49">
        <w:rPr>
          <w:rFonts w:ascii="Times New Roman" w:hAnsi="Times New Roman" w:cs="Times New Roman"/>
          <w:sz w:val="24"/>
          <w:szCs w:val="24"/>
        </w:rPr>
        <w:t xml:space="preserve"> spektra.</w:t>
      </w:r>
    </w:p>
    <w:p w:rsidR="009954F3" w:rsidRPr="00A71B49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A71B49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A71B4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1B49"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A71B4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A71B4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A71B4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A71B4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A71B4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Pr="00A71B49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Pr="00A71B49" w:rsidRDefault="005624B8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>Provedbena o</w:t>
      </w:r>
      <w:r w:rsidR="00A91B65" w:rsidRPr="00A71B49">
        <w:rPr>
          <w:rFonts w:ascii="Times New Roman" w:hAnsi="Times New Roman" w:cs="Times New Roman"/>
          <w:sz w:val="24"/>
          <w:szCs w:val="24"/>
        </w:rPr>
        <w:t xml:space="preserve">dluka </w:t>
      </w:r>
      <w:r w:rsidRPr="00A71B49">
        <w:rPr>
          <w:rFonts w:ascii="Times New Roman" w:hAnsi="Times New Roman" w:cs="Times New Roman"/>
          <w:sz w:val="24"/>
          <w:szCs w:val="24"/>
        </w:rPr>
        <w:t xml:space="preserve">Komisije </w:t>
      </w:r>
      <w:r w:rsidR="00B834B5" w:rsidRPr="00A71B49">
        <w:rPr>
          <w:rFonts w:ascii="Times New Roman" w:hAnsi="Times New Roman" w:cs="Times New Roman"/>
          <w:sz w:val="24"/>
          <w:szCs w:val="24"/>
        </w:rPr>
        <w:t xml:space="preserve">(EU) 2021/1730 </w:t>
      </w:r>
      <w:proofErr w:type="spellStart"/>
      <w:r w:rsidR="00B834B5" w:rsidRPr="00A71B49">
        <w:rPr>
          <w:rFonts w:ascii="Times New Roman" w:hAnsi="Times New Roman" w:cs="Times New Roman"/>
          <w:sz w:val="24"/>
          <w:szCs w:val="24"/>
        </w:rPr>
        <w:t>оd</w:t>
      </w:r>
      <w:proofErr w:type="spellEnd"/>
      <w:r w:rsidR="00B834B5" w:rsidRPr="00A71B49">
        <w:rPr>
          <w:rFonts w:ascii="Times New Roman" w:hAnsi="Times New Roman" w:cs="Times New Roman"/>
          <w:sz w:val="24"/>
          <w:szCs w:val="24"/>
        </w:rPr>
        <w:t xml:space="preserve"> 28. rujna 2021. o usklađenoj uporabi uparenih frekvencijskih pojaseva 874,4–880,0 MHz i 919,4–925,0 MHz i </w:t>
      </w:r>
      <w:proofErr w:type="spellStart"/>
      <w:r w:rsidR="00B834B5" w:rsidRPr="00A71B49">
        <w:rPr>
          <w:rFonts w:ascii="Times New Roman" w:hAnsi="Times New Roman" w:cs="Times New Roman"/>
          <w:sz w:val="24"/>
          <w:szCs w:val="24"/>
        </w:rPr>
        <w:t>neuparenog</w:t>
      </w:r>
      <w:proofErr w:type="spellEnd"/>
      <w:r w:rsidR="00B834B5" w:rsidRPr="00A71B49">
        <w:rPr>
          <w:rFonts w:ascii="Times New Roman" w:hAnsi="Times New Roman" w:cs="Times New Roman"/>
          <w:sz w:val="24"/>
          <w:szCs w:val="24"/>
        </w:rPr>
        <w:t xml:space="preserve"> frekvencijskog pojasa 1 900–1 910 MHz za </w:t>
      </w:r>
      <w:r w:rsidR="00FC3318" w:rsidRPr="00A71B49">
        <w:rPr>
          <w:rFonts w:ascii="Times New Roman" w:hAnsi="Times New Roman" w:cs="Times New Roman"/>
          <w:sz w:val="24"/>
          <w:szCs w:val="24"/>
        </w:rPr>
        <w:t>RMR</w:t>
      </w:r>
      <w:r w:rsidR="00E07E65" w:rsidRPr="00A71B49">
        <w:rPr>
          <w:rFonts w:ascii="Times New Roman" w:hAnsi="Times New Roman" w:cs="Times New Roman"/>
          <w:sz w:val="24"/>
          <w:szCs w:val="24"/>
        </w:rPr>
        <w:t>,</w:t>
      </w:r>
      <w:r w:rsidR="00B834B5" w:rsidRPr="00A71B49">
        <w:rPr>
          <w:rFonts w:ascii="Times New Roman" w:hAnsi="Times New Roman" w:cs="Times New Roman"/>
          <w:sz w:val="24"/>
          <w:szCs w:val="24"/>
        </w:rPr>
        <w:t xml:space="preserve"> utvrđuje usklađene uvjete za dostupnost i učinkovitu uporabu </w:t>
      </w:r>
      <w:proofErr w:type="spellStart"/>
      <w:r w:rsidR="00B834B5" w:rsidRPr="00A71B49"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 w:rsidR="00B834B5" w:rsidRPr="00A71B49">
        <w:rPr>
          <w:rFonts w:ascii="Times New Roman" w:hAnsi="Times New Roman" w:cs="Times New Roman"/>
          <w:sz w:val="24"/>
          <w:szCs w:val="24"/>
        </w:rPr>
        <w:t xml:space="preserve"> spektra za </w:t>
      </w:r>
      <w:r w:rsidR="00FC3318" w:rsidRPr="00A71B49">
        <w:rPr>
          <w:rFonts w:ascii="Times New Roman" w:hAnsi="Times New Roman" w:cs="Times New Roman"/>
          <w:sz w:val="24"/>
          <w:szCs w:val="24"/>
        </w:rPr>
        <w:t>RMR</w:t>
      </w:r>
      <w:r w:rsidR="00B834B5" w:rsidRPr="00A71B49">
        <w:rPr>
          <w:rFonts w:ascii="Times New Roman" w:hAnsi="Times New Roman" w:cs="Times New Roman"/>
          <w:sz w:val="24"/>
          <w:szCs w:val="24"/>
        </w:rPr>
        <w:t xml:space="preserve"> u pojasevima 874,4–880,0 MHz, 919,4–925,0 MHz i 1 900–1 910 MHz.</w:t>
      </w:r>
    </w:p>
    <w:p w:rsidR="00E07E65" w:rsidRPr="00A71B49" w:rsidRDefault="00E07E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7E65" w:rsidRPr="00A71B49" w:rsidRDefault="00E07E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>HAKOM je u razdoblju od 14. siječnja 2022. do 13. veljače 2022. proveo postupak javne rasprave o prijedlogu izmjena Tablice namjene, kojima se između ostalog osigurava prenošenje predmetne Provedbene odluke.</w:t>
      </w:r>
    </w:p>
    <w:p w:rsidR="00E07E65" w:rsidRPr="00A71B49" w:rsidRDefault="00E07E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7E65" w:rsidRPr="00A71B49" w:rsidRDefault="00E07E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>Kako bi se u cijelosti prenijela Provedbena odluka, potrebno je planom dodjele urediti tehničke uvjete uporabe predmetnih frekvencijskih pojaseva, u koju svrhu se predlaže predmetni Plan dodjele.</w:t>
      </w:r>
    </w:p>
    <w:p w:rsidR="00545B49" w:rsidRPr="00A71B49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B49" w:rsidRPr="00A71B49" w:rsidRDefault="00545B49" w:rsidP="00545B49">
      <w:pPr>
        <w:pStyle w:val="Naslovpoglavlja"/>
        <w:pBdr>
          <w:bottom w:val="none" w:sz="0" w:space="0" w:color="auto"/>
        </w:pBdr>
        <w:spacing w:before="0" w:after="0"/>
        <w:jc w:val="both"/>
        <w:rPr>
          <w:b w:val="0"/>
          <w:bCs w:val="0"/>
          <w:lang w:eastAsia="hr-HR"/>
        </w:rPr>
      </w:pPr>
      <w:r w:rsidRPr="00A71B49">
        <w:rPr>
          <w:b w:val="0"/>
          <w:bCs w:val="0"/>
          <w:lang w:eastAsia="hr-HR"/>
        </w:rPr>
        <w:t xml:space="preserve">Predloženim Planom dodjele za frekvencijske pojaseve 874,4–880,0 MHz i 919,4–925,0 MHz za RMR uređuju se tehnički uvjeti uporabe navedenih pojaseva, odnosno prenosi dio A i B priloga Odluke. </w:t>
      </w:r>
    </w:p>
    <w:p w:rsidR="00545B49" w:rsidRPr="00A71B49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Pr="00A71B49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 xml:space="preserve">Provedbenom odlukom također je propisana obveza država članica do 1. siječnja 2025. odrediti i staviti na raspolaganje na neisključivoj osnovi </w:t>
      </w:r>
      <w:proofErr w:type="spellStart"/>
      <w:r w:rsidRPr="00A71B49">
        <w:rPr>
          <w:rFonts w:ascii="Times New Roman" w:hAnsi="Times New Roman" w:cs="Times New Roman"/>
          <w:sz w:val="24"/>
          <w:szCs w:val="24"/>
        </w:rPr>
        <w:t>neupareni</w:t>
      </w:r>
      <w:proofErr w:type="spellEnd"/>
      <w:r w:rsidRPr="00A71B49">
        <w:rPr>
          <w:rFonts w:ascii="Times New Roman" w:hAnsi="Times New Roman" w:cs="Times New Roman"/>
          <w:sz w:val="24"/>
          <w:szCs w:val="24"/>
        </w:rPr>
        <w:t xml:space="preserve"> frekvencijski pojas 1 900–1 910 MHz za željezničke pokretne radijske komunikacije. Navedena obveza planira se prenijeti u kasnijoj fazi te stoga nije predmet ovog Plana dodjele.</w:t>
      </w:r>
    </w:p>
    <w:p w:rsidR="00545B49" w:rsidRPr="00A71B49" w:rsidRDefault="00545B49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4D36" w:rsidRPr="00A71B49" w:rsidRDefault="00A84D3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A71B49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A71B49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1B49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2B297E" w:rsidRPr="00A71B49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B1537A" w:rsidRPr="00A71B49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71B4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A71B49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1B49">
        <w:rPr>
          <w:rFonts w:ascii="Times New Roman" w:hAnsi="Times New Roman" w:cs="Times New Roman"/>
          <w:sz w:val="24"/>
          <w:szCs w:val="24"/>
        </w:rPr>
        <w:t>Prilaže se tekst Nacrta P</w:t>
      </w:r>
      <w:r w:rsidR="002B297E" w:rsidRPr="00A71B49">
        <w:rPr>
          <w:rFonts w:ascii="Times New Roman" w:hAnsi="Times New Roman" w:cs="Times New Roman"/>
          <w:sz w:val="24"/>
          <w:szCs w:val="24"/>
        </w:rPr>
        <w:t>lana dodjele</w:t>
      </w:r>
      <w:r w:rsidRPr="00A71B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537A" w:rsidRPr="00A71B49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Pr="00A71B49" w:rsidRDefault="00C7722A" w:rsidP="00D37DD3">
      <w:pPr>
        <w:jc w:val="center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b/>
          <w:bCs/>
          <w:color w:val="231F20"/>
          <w:sz w:val="40"/>
          <w:szCs w:val="40"/>
          <w:lang w:eastAsia="hr-HR"/>
        </w:rPr>
        <w:t>HRVATSKA REGULATORNA AGENCIJA ZA MREŽNE DJELATNOSTI</w:t>
      </w:r>
    </w:p>
    <w:p w:rsidR="00C7722A" w:rsidRPr="00A71B49" w:rsidRDefault="00C7722A" w:rsidP="00C7722A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A71B49">
        <w:rPr>
          <w:rFonts w:ascii="Times New Roman" w:hAnsi="Times New Roman"/>
          <w:szCs w:val="24"/>
          <w:lang w:val="hr-HR"/>
        </w:rPr>
        <w:t>Na temelju članka 12. stavka 1. točke 9. i članka 82. Zakona o elektroničkim komunikacijama (Narodne novine br.</w:t>
      </w:r>
      <w:r w:rsidRPr="00A71B49">
        <w:rPr>
          <w:rFonts w:ascii="Times New Roman" w:hAnsi="Times New Roman"/>
          <w:bCs/>
          <w:iCs/>
          <w:szCs w:val="24"/>
          <w:lang w:val="hr-HR"/>
        </w:rPr>
        <w:t xml:space="preserve"> 73/08, 90/11, 133/12, 80/13, 71/14 i 72/17</w:t>
      </w:r>
      <w:r w:rsidRPr="00A71B49">
        <w:rPr>
          <w:rFonts w:ascii="Times New Roman" w:hAnsi="Times New Roman"/>
          <w:szCs w:val="24"/>
          <w:lang w:val="hr-HR"/>
        </w:rPr>
        <w:t xml:space="preserve">), Vijeće Hrvatske regulatorne agencije za mrežne djelatnosti donosi </w:t>
      </w:r>
    </w:p>
    <w:p w:rsidR="00C7722A" w:rsidRPr="00A71B49" w:rsidRDefault="00C7722A" w:rsidP="00C7722A">
      <w:pPr>
        <w:spacing w:after="225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</w:p>
    <w:p w:rsidR="00FC3318" w:rsidRPr="00A71B49" w:rsidRDefault="00C7722A" w:rsidP="00FC3318">
      <w:pPr>
        <w:spacing w:after="0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A71B49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 xml:space="preserve">Plan dodjele za frekvencijske pojaseve </w:t>
      </w:r>
    </w:p>
    <w:p w:rsidR="00FC3318" w:rsidRPr="00A71B49" w:rsidRDefault="00FC3318" w:rsidP="00FC3318">
      <w:pPr>
        <w:spacing w:after="225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A71B49">
        <w:rPr>
          <w:rFonts w:ascii="Times New Roman" w:hAnsi="Times New Roman" w:cs="Times New Roman"/>
          <w:b/>
          <w:sz w:val="36"/>
          <w:szCs w:val="36"/>
        </w:rPr>
        <w:t>874,4–880,0 MHz i 919,4–925,0 MHz za željezničke pokretne radijske komunikacije (RMR)</w:t>
      </w:r>
    </w:p>
    <w:p w:rsidR="00C7722A" w:rsidRPr="00A71B49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C7722A" w:rsidRPr="00A71B49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1.</w:t>
      </w:r>
    </w:p>
    <w:p w:rsidR="00FC3318" w:rsidRDefault="00FC3318" w:rsidP="00FC3318">
      <w:p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>Za potrebe ove Odluke, primjenjuju se sljedeće definicije:</w:t>
      </w:r>
    </w:p>
    <w:p w:rsidR="00A71B49" w:rsidRPr="00A71B49" w:rsidRDefault="00A71B49" w:rsidP="00A71B49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>„RMR terminal” znači jedinica pokretne radijske opreme pod kontrolom RMR mreže;</w:t>
      </w:r>
    </w:p>
    <w:p w:rsidR="00A71B49" w:rsidRDefault="00A71B49" w:rsidP="00A71B49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 xml:space="preserve">„radiouređaj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upravljačnice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>” znači RMR terminal instaliran u vlaku koji može podržavati glasovne i podatkovne aplikacije;</w:t>
      </w:r>
    </w:p>
    <w:p w:rsidR="00A71B49" w:rsidRPr="00A71B49" w:rsidRDefault="00A71B49" w:rsidP="00A71B49">
      <w:pPr>
        <w:pStyle w:val="ListParagraph"/>
        <w:numPr>
          <w:ilvl w:val="0"/>
          <w:numId w:val="7"/>
        </w:numPr>
        <w:shd w:val="clear" w:color="auto" w:fill="FFFFFF"/>
        <w:spacing w:before="120"/>
        <w:jc w:val="both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color w:val="000000"/>
          <w:sz w:val="24"/>
        </w:rPr>
        <w:t xml:space="preserve">„ekvivalentna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izotropna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izračena snaga” ili „EIRP” znači umnožak snage privedene anteni i apsolutnog ili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izotropnog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dobitka antene u danom smjeru u odnosu na </w:t>
      </w:r>
      <w:proofErr w:type="spellStart"/>
      <w:r w:rsidRPr="00A71B49">
        <w:rPr>
          <w:rFonts w:ascii="Times New Roman" w:hAnsi="Times New Roman" w:cs="Times New Roman"/>
          <w:color w:val="000000"/>
          <w:sz w:val="24"/>
        </w:rPr>
        <w:t>izotropnu</w:t>
      </w:r>
      <w:proofErr w:type="spellEnd"/>
      <w:r w:rsidRPr="00A71B49">
        <w:rPr>
          <w:rFonts w:ascii="Times New Roman" w:hAnsi="Times New Roman" w:cs="Times New Roman"/>
          <w:color w:val="000000"/>
          <w:sz w:val="24"/>
        </w:rPr>
        <w:t xml:space="preserve"> antenu.</w:t>
      </w:r>
    </w:p>
    <w:p w:rsidR="00FC3318" w:rsidRPr="00A71B49" w:rsidRDefault="00FC3318" w:rsidP="00FC3318">
      <w:pPr>
        <w:rPr>
          <w:rFonts w:ascii="Times New Roman" w:hAnsi="Times New Roman" w:cs="Times New Roman"/>
          <w:vanish/>
          <w:sz w:val="24"/>
        </w:rPr>
      </w:pPr>
    </w:p>
    <w:p w:rsidR="00FC3318" w:rsidRPr="00A71B49" w:rsidRDefault="00FC3318" w:rsidP="00FC3318">
      <w:pPr>
        <w:rPr>
          <w:rFonts w:ascii="Times New Roman" w:hAnsi="Times New Roman" w:cs="Times New Roman"/>
          <w:vanish/>
          <w:sz w:val="24"/>
        </w:rPr>
      </w:pPr>
    </w:p>
    <w:p w:rsidR="00C7722A" w:rsidRPr="00A71B49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7722A" w:rsidRPr="00A71B49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2.</w:t>
      </w:r>
    </w:p>
    <w:p w:rsidR="00314EFF" w:rsidRPr="00A71B49" w:rsidRDefault="00314EFF" w:rsidP="00314EFF">
      <w:pPr>
        <w:spacing w:after="240" w:line="240" w:lineRule="auto"/>
        <w:rPr>
          <w:rFonts w:ascii="Times New Roman" w:eastAsia="Time New Roman" w:hAnsi="Times New Roman" w:cs="Times New Roman"/>
          <w:sz w:val="24"/>
          <w:szCs w:val="24"/>
        </w:rPr>
      </w:pPr>
      <w:r w:rsidRPr="00A71B49">
        <w:rPr>
          <w:rFonts w:ascii="Times New Roman" w:eastAsia="Time New Roman" w:hAnsi="Times New Roman" w:cs="Times New Roman"/>
          <w:sz w:val="24"/>
          <w:szCs w:val="24"/>
        </w:rPr>
        <w:t>U Prilogu A ovog plana dodjele dani su tehnički uvjeti za GSM-R u pojasevima 874,4–880,0 MHz i 919,4–925,0 MHz.</w:t>
      </w:r>
    </w:p>
    <w:p w:rsidR="00FC3318" w:rsidRPr="00A71B49" w:rsidRDefault="00FC3318" w:rsidP="00FC3318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Članak </w:t>
      </w:r>
      <w:r w:rsidR="00314EFF"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3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:rsidR="00314EFF" w:rsidRPr="00A71B49" w:rsidRDefault="00314EFF" w:rsidP="00D759C7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U Prilogu B ovog plana dodjele dani su tehnički uvjeti za jedan širokopojasni </w:t>
      </w:r>
      <w:proofErr w:type="spellStart"/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nosioc</w:t>
      </w:r>
      <w:proofErr w:type="spellEnd"/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RMR-a u pojasevima 874,4–880,0 MHz i 919,4–925,0 MHz.</w:t>
      </w:r>
    </w:p>
    <w:p w:rsidR="00D759C7" w:rsidRPr="00A71B49" w:rsidRDefault="00D759C7" w:rsidP="00D759C7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5D0320" w:rsidRPr="00A71B49" w:rsidRDefault="005D0320" w:rsidP="00D759C7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5D0320" w:rsidRPr="00A71B49" w:rsidRDefault="005D0320" w:rsidP="00D759C7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FC3318" w:rsidRPr="00A71B49" w:rsidRDefault="00314EFF" w:rsidP="005D0320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Članak </w:t>
      </w:r>
      <w:r w:rsidR="00D759C7"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4</w:t>
      </w:r>
      <w:r w:rsidRPr="00A71B49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:rsidR="00C7722A" w:rsidRPr="00A71B49" w:rsidRDefault="00C7722A" w:rsidP="00C7722A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A71B49">
        <w:rPr>
          <w:rFonts w:ascii="Times New Roman" w:hAnsi="Times New Roman" w:cs="Times New Roman"/>
          <w:sz w:val="24"/>
          <w:szCs w:val="24"/>
        </w:rPr>
        <w:t xml:space="preserve">Ovaj Plan dodjele stupa na snagu </w:t>
      </w:r>
      <w:r w:rsidR="00FC3318" w:rsidRPr="00A71B49">
        <w:rPr>
          <w:rFonts w:ascii="Times New Roman" w:hAnsi="Times New Roman" w:cs="Times New Roman"/>
          <w:sz w:val="24"/>
          <w:szCs w:val="24"/>
        </w:rPr>
        <w:t>osmoga</w:t>
      </w:r>
      <w:r w:rsidRPr="00A71B49">
        <w:rPr>
          <w:rFonts w:ascii="Times New Roman" w:hAnsi="Times New Roman" w:cs="Times New Roman"/>
          <w:sz w:val="24"/>
          <w:szCs w:val="24"/>
        </w:rPr>
        <w:t xml:space="preserve"> dana od dana objave u „Narodnim novinama“.</w:t>
      </w:r>
    </w:p>
    <w:p w:rsidR="00C7722A" w:rsidRPr="00A71B49" w:rsidRDefault="00C7722A" w:rsidP="00C7722A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C7722A" w:rsidRPr="00A71B49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C7722A" w:rsidRPr="00A71B49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A71B49">
        <w:rPr>
          <w:rFonts w:ascii="Times New Roman" w:eastAsia="Times New Roman" w:hAnsi="Times New Roman" w:cs="Times New Roman"/>
          <w:sz w:val="24"/>
          <w:szCs w:val="24"/>
        </w:rPr>
        <w:t>Urbroj</w:t>
      </w:r>
      <w:proofErr w:type="spellEnd"/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C7722A" w:rsidRPr="00A71B49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p w:rsidR="00C7722A" w:rsidRPr="00A71B49" w:rsidRDefault="00C7722A" w:rsidP="00C7722A">
      <w:pP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tbl>
      <w:tblPr>
        <w:tblW w:w="9214" w:type="dxa"/>
        <w:tblInd w:w="2552" w:type="dxa"/>
        <w:tblLook w:val="01E0" w:firstRow="1" w:lastRow="1" w:firstColumn="1" w:lastColumn="1" w:noHBand="0" w:noVBand="0"/>
      </w:tblPr>
      <w:tblGrid>
        <w:gridCol w:w="9214"/>
      </w:tblGrid>
      <w:tr w:rsidR="00C7722A" w:rsidRPr="00A71B49" w:rsidTr="0039276F">
        <w:tc>
          <w:tcPr>
            <w:tcW w:w="9214" w:type="dxa"/>
            <w:shd w:val="clear" w:color="auto" w:fill="auto"/>
          </w:tcPr>
          <w:p w:rsidR="00C7722A" w:rsidRPr="00A71B49" w:rsidRDefault="00C7722A" w:rsidP="0039276F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C7722A" w:rsidRPr="00A71B49" w:rsidTr="0039276F">
        <w:tc>
          <w:tcPr>
            <w:tcW w:w="9214" w:type="dxa"/>
            <w:shd w:val="clear" w:color="auto" w:fill="auto"/>
          </w:tcPr>
          <w:p w:rsidR="00C7722A" w:rsidRPr="00A71B49" w:rsidRDefault="00C7722A" w:rsidP="0039276F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:rsidR="004A4F69" w:rsidRPr="00A71B49" w:rsidRDefault="004A4F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A4F69" w:rsidRPr="00A71B49" w:rsidRDefault="004A4F69">
      <w:pPr>
        <w:rPr>
          <w:rFonts w:ascii="Times New Roman" w:hAnsi="Times New Roman" w:cs="Times New Roman"/>
          <w:sz w:val="24"/>
          <w:szCs w:val="24"/>
          <w:u w:val="single"/>
        </w:rPr>
      </w:pPr>
      <w:r w:rsidRPr="00A71B49"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:rsidR="004A4F69" w:rsidRPr="00A71B49" w:rsidRDefault="004A4F69" w:rsidP="004A4F6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 New Roman" w:hAnsi="Times New Roman" w:cs="Times New Roman"/>
          <w:sz w:val="24"/>
          <w:szCs w:val="24"/>
        </w:rPr>
        <w:t>PRILOG A</w:t>
      </w: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TEHNIČKI UVJETI ZA GSM-R U POJASEVIMA 874,4–880,0 MHz I 919,4–925,0 MHz</w:t>
      </w:r>
    </w:p>
    <w:p w:rsidR="00314EFF" w:rsidRPr="00A71B49" w:rsidRDefault="00314EFF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Za GSM-R primjenjuju se sljedeći parametri: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Središnja frekvencija silazne veze GSM-R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A71B49">
        <w:rPr>
          <w:rFonts w:ascii="Times New Roman" w:eastAsia="Times New Roman" w:hAnsi="Times New Roman" w:cs="Times New Roman"/>
          <w:color w:val="000000"/>
          <w:sz w:val="17"/>
          <w:szCs w:val="17"/>
          <w:vertAlign w:val="subscript"/>
        </w:rPr>
        <w:t>DL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= 921 MHz + </w:t>
      </w:r>
      <w:r w:rsidRPr="00A71B4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n</w:t>
      </w: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× 0,2 MHz</w:t>
      </w:r>
      <w:r w:rsidRPr="00A71B49"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1"/>
      </w: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, pri čemu je</w:t>
      </w:r>
    </w:p>
    <w:p w:rsidR="004A4F69" w:rsidRPr="00A71B49" w:rsidRDefault="004A4F69" w:rsidP="004A4F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F33AE15" wp14:editId="2CAA5B4F">
            <wp:extent cx="1248410" cy="127000"/>
            <wp:effectExtent l="0" t="0" r="8890" b="6350"/>
            <wp:docPr id="1" name="Picture 1" descr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12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009B3" w:rsidRPr="00A71B49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Središnja frekvencija uzlazne veze GSM-R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A71B49">
        <w:rPr>
          <w:rFonts w:ascii="Times New Roman" w:eastAsia="Times New Roman" w:hAnsi="Times New Roman" w:cs="Times New Roman"/>
          <w:color w:val="000000"/>
          <w:sz w:val="17"/>
          <w:szCs w:val="17"/>
          <w:vertAlign w:val="subscript"/>
        </w:rPr>
        <w:t>UL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=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A71B49">
        <w:rPr>
          <w:rFonts w:ascii="Times New Roman" w:eastAsia="Times New Roman" w:hAnsi="Times New Roman" w:cs="Times New Roman"/>
          <w:color w:val="000000"/>
          <w:sz w:val="17"/>
          <w:szCs w:val="17"/>
          <w:vertAlign w:val="subscript"/>
        </w:rPr>
        <w:t>DL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– 45 MHz</w:t>
      </w:r>
      <w:r w:rsidR="006009B3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Pojasna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širina GSM-R kanala je 200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kHz</w:t>
      </w:r>
      <w:proofErr w:type="spellEnd"/>
      <w:r w:rsidR="006009B3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2D69AA" w:rsidRPr="00A71B49" w:rsidRDefault="002D69AA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Tablica 1</w:t>
      </w:r>
    </w:p>
    <w:p w:rsidR="004A4F69" w:rsidRPr="00A71B4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Zahtjevi unutar bloka za GSM-R bazne postaje u frekvencijskom pojasu 919,4 – 921 MHz nekoordinirano uvođenje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65"/>
        <w:gridCol w:w="4391"/>
      </w:tblGrid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Pojasna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širina kanala GSM-R-a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Najveći EIRP</w:t>
            </w:r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</w:rPr>
              <w:t xml:space="preserve">200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kHz</w:t>
            </w:r>
            <w:proofErr w:type="spellEnd"/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</w:rPr>
              <w:t xml:space="preserve"> 70,5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dBm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 xml:space="preserve"> + (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f</w:t>
            </w:r>
            <w:r w:rsidRPr="00A71B49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vertAlign w:val="subscript"/>
              </w:rPr>
              <w:t>DL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 – 921) × 40/3 dB</w:t>
            </w:r>
          </w:p>
        </w:tc>
      </w:tr>
      <w:tr w:rsidR="004A4F69" w:rsidRPr="00A71B49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4A4F69" w:rsidRPr="00A71B49" w:rsidRDefault="004A4F69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  <w:r w:rsidRPr="00A71B49">
              <w:rPr>
                <w:rFonts w:ascii="Times New Roman" w:eastAsia="Times New Roman" w:hAnsi="Times New Roman" w:cs="Times New Roman"/>
                <w:color w:val="000000"/>
                <w:sz w:val="17"/>
                <w:szCs w:val="17"/>
                <w:vertAlign w:val="subscript"/>
              </w:rPr>
              <w:t>DL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je središnja frekvencija u MHz</w:t>
            </w:r>
          </w:p>
          <w:p w:rsidR="004A4F69" w:rsidRPr="00A71B49" w:rsidRDefault="004A4F69" w:rsidP="00E124CD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Nema ograničenja EIRP-a na GSM-R baznim postajama koje </w:t>
            </w:r>
            <w:r w:rsidR="00E124CD"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odašilju</w:t>
            </w: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u frekvencijskom pojasu 921–925 MHz. Formula je primjenjiva za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</w:t>
            </w:r>
            <w:r w:rsidRPr="00A71B49">
              <w:rPr>
                <w:rFonts w:ascii="Times New Roman" w:eastAsia="Times New Roman" w:hAnsi="Times New Roman" w:cs="Times New Roman"/>
                <w:color w:val="000000"/>
                <w:sz w:val="17"/>
                <w:szCs w:val="17"/>
                <w:vertAlign w:val="subscript"/>
              </w:rPr>
              <w:t>DL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≤ 921 MHz. Da bi se omogućila viša razina EIRP-a, mora se primijeniti postupak koordinacije ili druge mjere za smanjenje smetnji.</w:t>
            </w:r>
          </w:p>
        </w:tc>
      </w:tr>
    </w:tbl>
    <w:p w:rsidR="004A4F69" w:rsidRPr="00A71B49" w:rsidRDefault="004A4F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A4F69" w:rsidRPr="00A71B49" w:rsidRDefault="004A4F69">
      <w:pPr>
        <w:rPr>
          <w:rFonts w:ascii="Times New Roman" w:hAnsi="Times New Roman" w:cs="Times New Roman"/>
          <w:sz w:val="24"/>
          <w:szCs w:val="24"/>
          <w:u w:val="single"/>
        </w:rPr>
      </w:pPr>
      <w:r w:rsidRPr="00A71B49"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PRILOG B</w:t>
      </w: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TEHNIČKI UVJETI ZA JEDAN ŠIROKOPOJASNI NOSIOC RMR-a U POJASEVIMA 874,4–880,0 MHz i 919,4–925,0 MHz</w:t>
      </w:r>
    </w:p>
    <w:p w:rsidR="007F4596" w:rsidRPr="00A71B49" w:rsidRDefault="007F4596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Tehnički uvjeti za RMR bazne postaje koje upotrebljavaju širokopojasne tehnologije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Tehnički uvjeti definirani u ovom odjeljku u obliku su maske ruba kanala (BEM) koja se primjenjuju na širokopojasne RMR bazne postaje. Tehnički uvjeti definirani u ovom odjeljku vrijede za jedan nosi</w:t>
      </w:r>
      <w:r w:rsidR="006009B3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la</w:t>
      </w: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 RMR-a koji upotrebljava širokopojasne tehnologije. BEM je utvrđen na temelju pretpostavke da prije uvođenja mreže nije potrebno uspostaviti detaljne sporazume o koordinaciji i suradnji. Kako bi se omogućio veći broj nosioca ili viši EIRP za bazne postaje RMR-a od onoga što je navedeno u usklađenim tehničkim uvjetima, mora se primijeniti postupak koordinacije ili druge mjere za smanjenje smetnji. </w:t>
      </w:r>
      <w:r w:rsidR="006B2C81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Nisu </w:t>
      </w:r>
      <w:r w:rsidR="00327FF1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dopuštene</w:t>
      </w: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bazne postaje s aktivnim antenskim sustavima.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"/>
        <w:gridCol w:w="8832"/>
      </w:tblGrid>
      <w:tr w:rsidR="004A4F69" w:rsidRPr="00A71B49" w:rsidTr="00FE2B27">
        <w:tc>
          <w:tcPr>
            <w:tcW w:w="0" w:type="auto"/>
            <w:shd w:val="clear" w:color="auto" w:fill="FFFFFF"/>
            <w:hideMark/>
          </w:tcPr>
          <w:p w:rsidR="004A4F69" w:rsidRPr="00A71B49" w:rsidRDefault="004A4F69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—</w:t>
            </w:r>
          </w:p>
        </w:tc>
        <w:tc>
          <w:tcPr>
            <w:tcW w:w="0" w:type="auto"/>
            <w:shd w:val="clear" w:color="auto" w:fill="FFFFFF"/>
            <w:hideMark/>
          </w:tcPr>
          <w:p w:rsidR="004A4F69" w:rsidRPr="00A71B49" w:rsidRDefault="00613264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A4F69"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donji rub najnižeg resursnog bloka je ≥ 919,6 MHz.</w:t>
            </w:r>
          </w:p>
          <w:p w:rsidR="002D69AA" w:rsidRPr="00A71B49" w:rsidRDefault="002D69AA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Tablica 2</w:t>
            </w: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Opći zahtjev unutar bloka – nije obvezan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86"/>
              <w:gridCol w:w="6030"/>
            </w:tblGrid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Pojasna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Za bilo koju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pojasnu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širinu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min {65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/kanal, maksimalni EIRP specifičan za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pojasnu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širinu kanala}</w:t>
                  </w:r>
                </w:p>
              </w:tc>
            </w:tr>
          </w:tbl>
          <w:p w:rsidR="002D69AA" w:rsidRPr="00A71B49" w:rsidRDefault="002D69AA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Tablica 3</w:t>
            </w: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Specifični zahtjevi unutar bloka za kanale 5,6 MHz i 5 MHz obvezno za nekoordinirano uvođenje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839"/>
              <w:gridCol w:w="4977"/>
            </w:tblGrid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Pojasna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>5,6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62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/5,6 MHz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>5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64,5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/5 MHz + (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 – 922,1) × 40/3 dB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7"/>
                      <w:szCs w:val="17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je središnja frekvencija u MHz.</w:t>
                  </w:r>
                </w:p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Dopušten je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unutarpojasni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način rada NB-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IoT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-a bez povećanja snage. Nije dopušten način rada NB-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IoT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-a u zaštitnom pojasu ni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unutarpojasni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način rada s pojačanjem snage.</w:t>
                  </w:r>
                </w:p>
              </w:tc>
            </w:tr>
          </w:tbl>
          <w:p w:rsidR="002D69AA" w:rsidRPr="00A71B49" w:rsidRDefault="002D69AA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7F4596" w:rsidRPr="00A71B49" w:rsidRDefault="007F4596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7F4596" w:rsidRPr="00A71B49" w:rsidRDefault="007F4596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7F4596" w:rsidRPr="00A71B49" w:rsidRDefault="007F4596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7F4596" w:rsidRPr="00A71B49" w:rsidRDefault="007F4596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Tablica 4</w:t>
            </w: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Specifični zahtjevi unutar bloka za kanale 1,4 MHz i 200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kHz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obvezn</w:t>
            </w:r>
            <w:r w:rsidR="00327FF1"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</w:t>
            </w: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za nekoordinirano uvođenje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00"/>
              <w:gridCol w:w="5616"/>
            </w:tblGrid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Pojasna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 xml:space="preserve"> širina RMR kanala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Najveći EIRP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>1,4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56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/1,4 MHz + (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 – 920,2) × 40/3 dB (napomena 1.)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200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kHz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(napomena 2.)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70,5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/200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kHz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+ (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5"/>
                      <w:szCs w:val="15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 – 921) × 40/3 dB (napomena 3.)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7"/>
                      <w:szCs w:val="17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je središnja frekvencija u MHz.</w:t>
                  </w:r>
                </w:p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Napomena 1.: Formula je primjenjiva za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7"/>
                      <w:szCs w:val="17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≤ 921,7 MHz. Nema posebnih ograničenja EIRP-a iznad te vrijednosti.</w:t>
                  </w:r>
                </w:p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Napomena 2.: Primjenjuje se na samostalan način rada NB-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IoT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-a koji se sastoji od jednog resursnog bloka.</w:t>
                  </w:r>
                </w:p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Napomena 3.: Formula je primjenjiva za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</w:t>
                  </w:r>
                  <w:r w:rsidRPr="00A71B49">
                    <w:rPr>
                      <w:rFonts w:ascii="Times New Roman" w:eastAsia="Times New Roman" w:hAnsi="Times New Roman" w:cs="Times New Roman"/>
                      <w:sz w:val="17"/>
                      <w:szCs w:val="17"/>
                      <w:vertAlign w:val="subscript"/>
                    </w:rPr>
                    <w:t>DL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≤ 921,0 MHz. Nema posebnih ograničenja EIRP-a iznad te vrijednosti.</w:t>
                  </w:r>
                </w:p>
              </w:tc>
            </w:tr>
          </w:tbl>
          <w:p w:rsidR="002D69AA" w:rsidRPr="00A71B49" w:rsidRDefault="002D69AA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Tablica 5</w:t>
            </w: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Zahtjevi izvan pojasa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01"/>
              <w:gridCol w:w="3215"/>
            </w:tblGrid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MHz od ruba bloka (919,4–925 MHz)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Ograničenje EIRP-a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0 ≤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Δf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&lt; 0,2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32,5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/200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kHz</w:t>
                  </w:r>
                  <w:proofErr w:type="spellEnd"/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0,2 ≤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Δf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&lt; 1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14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/800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kHz</w:t>
                  </w:r>
                  <w:proofErr w:type="spellEnd"/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1 ≤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Δf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 &lt; 10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5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/MHz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:rsidR="004A4F69" w:rsidRPr="00A71B49" w:rsidRDefault="004A4F69" w:rsidP="00ED5C17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Ovisno o slučaju, na nacionalnoj razini mogu se primijeniti </w:t>
                  </w:r>
                  <w:r w:rsidR="00ED5C17"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stroža</w:t>
                  </w: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izvanpojasna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ograničenja.</w:t>
                  </w:r>
                </w:p>
              </w:tc>
            </w:tr>
          </w:tbl>
          <w:p w:rsidR="002D69AA" w:rsidRPr="00A71B49" w:rsidRDefault="002D69AA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Tablica 6</w:t>
            </w:r>
          </w:p>
          <w:p w:rsidR="004A4F69" w:rsidRPr="00A71B49" w:rsidRDefault="004A4F69" w:rsidP="004A4F6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Osnovni zahtjev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02"/>
              <w:gridCol w:w="4114"/>
            </w:tblGrid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Frekvencijsko područje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ind w:right="195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b/>
                      <w:bCs/>
                    </w:rPr>
                    <w:t>Ograničenje EIRP-a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>880-915 MHz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hideMark/>
                </w:tcPr>
                <w:p w:rsidR="004A4F69" w:rsidRPr="00A71B49" w:rsidRDefault="004A4F69" w:rsidP="004A4F69">
                  <w:pPr>
                    <w:spacing w:before="60" w:after="60" w:line="240" w:lineRule="auto"/>
                    <w:rPr>
                      <w:rFonts w:ascii="Times New Roman" w:eastAsia="Times New Roman" w:hAnsi="Times New Roman" w:cs="Times New Roman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</w:rPr>
                    <w:t xml:space="preserve">-49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</w:rPr>
                    <w:t>dBm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</w:rPr>
                    <w:t>/5 MHz</w:t>
                  </w:r>
                </w:p>
              </w:tc>
            </w:tr>
            <w:tr w:rsidR="004A4F69" w:rsidRPr="00A71B49" w:rsidTr="00FE2B27">
              <w:tc>
                <w:tcPr>
                  <w:tcW w:w="0" w:type="auto"/>
                  <w:gridSpan w:val="2"/>
                  <w:shd w:val="clear" w:color="auto" w:fill="auto"/>
                  <w:vAlign w:val="center"/>
                  <w:hideMark/>
                </w:tcPr>
                <w:p w:rsidR="004A4F69" w:rsidRPr="00A71B49" w:rsidRDefault="004A4F69" w:rsidP="004A4F69">
                  <w:pPr>
                    <w:spacing w:before="120" w:after="0" w:line="240" w:lineRule="auto"/>
                    <w:jc w:val="both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Taj zahtjev ima prednost pred </w:t>
                  </w:r>
                  <w:proofErr w:type="spellStart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izvanpojasnim</w:t>
                  </w:r>
                  <w:proofErr w:type="spellEnd"/>
                  <w:r w:rsidRPr="00A71B49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zahtjevima.</w:t>
                  </w:r>
                </w:p>
              </w:tc>
            </w:tr>
          </w:tbl>
          <w:p w:rsidR="004A4F69" w:rsidRPr="00A71B49" w:rsidRDefault="004A4F69" w:rsidP="004A4F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7F4596" w:rsidRPr="00A71B49" w:rsidRDefault="007F4596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Tehnički uvjeti za radiouređaje </w:t>
      </w:r>
      <w:proofErr w:type="spellStart"/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upravljačnice</w:t>
      </w:r>
      <w:proofErr w:type="spellEnd"/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RMR-a koji upotrebljavaju širokopojasne tehnologije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Najveća izlazna snaga: viša od 23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najviše 31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ACLR</w:t>
      </w:r>
      <w:r w:rsidR="002D69AA" w:rsidRPr="00A71B49"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2"/>
      </w:r>
      <w:r w:rsidR="002D69AA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najmanje 37 dB;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Regulacija snage uzlazne veze je obvezna i mora se aktivirati.</w:t>
      </w: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Tehnički uvjeti za RMR terminale, osim radiouređaja </w:t>
      </w:r>
      <w:proofErr w:type="spellStart"/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upravljačnice</w:t>
      </w:r>
      <w:proofErr w:type="spellEnd"/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 koji upotrebljavaju širokopojasne tehnologije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Za radijske pristupne tehnologije, osim GSM-R-a, primjenjuju se sljedeći parametri: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Najveća izlazna snaga: 23 </w:t>
      </w:r>
      <w:proofErr w:type="spellStart"/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dBm</w:t>
      </w:r>
      <w:proofErr w:type="spellEnd"/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ACLR: najmanje 30 dB;</w:t>
      </w:r>
    </w:p>
    <w:p w:rsidR="004A4F69" w:rsidRPr="00A71B49" w:rsidRDefault="004A4F69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Regulacija snage uzlazne veze je obvezna i mora se aktivirati.</w:t>
      </w:r>
    </w:p>
    <w:p w:rsidR="007F4596" w:rsidRPr="00A71B49" w:rsidRDefault="007F4596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Tehnički uvjeti za RMR prijamnike koji upotrebljavaju širokopojasne tehnologije</w:t>
      </w:r>
    </w:p>
    <w:p w:rsidR="004A4F69" w:rsidRPr="00A71B49" w:rsidRDefault="00A0762E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Frekvencijski pojas se može koristiti</w:t>
      </w:r>
      <w:r w:rsidR="004A4F69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ako se upotrebljavaju tehnike za pristup </w:t>
      </w:r>
      <w:proofErr w:type="spellStart"/>
      <w:r w:rsidR="004A4F69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radiofrekvencijskom</w:t>
      </w:r>
      <w:proofErr w:type="spellEnd"/>
      <w:r w:rsidR="004A4F69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spektru i za smanjenje smetnji kojima se osigurava odgovarajući radni učinak prijamnika u skladu s osnovnim zahtjevima Direktive 2014/53/EU Europskog parlamenta i Vijeća</w:t>
      </w:r>
      <w:r w:rsidR="00E26FD1" w:rsidRPr="00A71B49">
        <w:rPr>
          <w:rStyle w:val="FootnoteReference"/>
          <w:rFonts w:ascii="Times New Roman" w:eastAsia="Times New Roman" w:hAnsi="Times New Roman" w:cs="Times New Roman"/>
          <w:color w:val="000000"/>
          <w:sz w:val="24"/>
          <w:szCs w:val="24"/>
        </w:rPr>
        <w:footnoteReference w:id="3"/>
      </w:r>
      <w:r w:rsidR="00E26FD1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4A4F69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Ako su odgovarajuće tehnike opisane u usklađenim normama ili njihovim dijelovima, a upućivanja na te norme objavljena u </w:t>
      </w:r>
      <w:r w:rsidR="004A4F69" w:rsidRPr="00A71B4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Službenom listu Europske unije</w:t>
      </w:r>
      <w:r w:rsidR="004A4F69" w:rsidRPr="00A71B49">
        <w:rPr>
          <w:rFonts w:ascii="Times New Roman" w:eastAsia="Times New Roman" w:hAnsi="Times New Roman" w:cs="Times New Roman"/>
          <w:color w:val="000000"/>
          <w:sz w:val="24"/>
          <w:szCs w:val="24"/>
        </w:rPr>
        <w:t> u skladu s Direktivom 2014/53/EU, radni učinak mora biti barem jednak razini radnog učinka koja se povezuje s tim tehnikama.</w:t>
      </w:r>
    </w:p>
    <w:p w:rsidR="007F4596" w:rsidRPr="00A71B49" w:rsidRDefault="007F4596" w:rsidP="004A4F69">
      <w:pPr>
        <w:shd w:val="clear" w:color="auto" w:fill="FFFFFF"/>
        <w:spacing w:before="120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4F69" w:rsidRPr="00A71B4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Tablica 7</w:t>
      </w:r>
    </w:p>
    <w:p w:rsidR="004A4F69" w:rsidRPr="00A71B49" w:rsidRDefault="004A4F69" w:rsidP="004A4F69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71B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Zahtjevi u pogledu karakteristika prijamnika širokopojasne RMR bazne postaje</w:t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94"/>
        <w:gridCol w:w="2262"/>
      </w:tblGrid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ind w:right="195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Vrijednost</w:t>
            </w:r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RefSens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 + 3 dB</w:t>
            </w:r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</w:rPr>
              <w:t>Najjači signal smetnje u pojasu 870–874,4 MHz (napomena 1.)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4A4F69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</w:rPr>
              <w:t xml:space="preserve">-34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</w:rPr>
              <w:t>dBm</w:t>
            </w:r>
            <w:proofErr w:type="spellEnd"/>
          </w:p>
        </w:tc>
      </w:tr>
      <w:tr w:rsidR="004A4F69" w:rsidRPr="00A71B49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4A4F69" w:rsidRPr="00A71B49" w:rsidRDefault="004A4F69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Referentna točka je priključak antene radijskog modula. Referentna osjetljivost (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RefSens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 najmanja je srednja snaga primljena na priključku antene pri kojoj se mora postići zadani najmanji radni učinak.</w:t>
            </w:r>
          </w:p>
          <w:p w:rsidR="004A4F69" w:rsidRPr="00A71B49" w:rsidRDefault="004A4F69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Ti zahtjevi obuhvaćaju i blokiranje i </w:t>
            </w:r>
            <w:proofErr w:type="spellStart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intermodulaciju</w:t>
            </w:r>
            <w:proofErr w:type="spellEnd"/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trećeg reda.</w:t>
            </w:r>
          </w:p>
          <w:p w:rsidR="004A4F69" w:rsidRPr="00A71B49" w:rsidRDefault="004A4F69" w:rsidP="004A4F6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1B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Napomena 1: Pretpostavlja se da je širina pojasa signala smetnje 200kHz.</w:t>
            </w:r>
          </w:p>
        </w:tc>
      </w:tr>
    </w:tbl>
    <w:p w:rsidR="004A4F69" w:rsidRPr="00A71B49" w:rsidRDefault="004A4F69" w:rsidP="004A4F69">
      <w:pPr>
        <w:shd w:val="clear" w:color="auto" w:fill="FFFFFF"/>
        <w:spacing w:after="150"/>
        <w:rPr>
          <w:rFonts w:ascii="Times New Roman" w:hAnsi="Times New Roman" w:cs="Times New Roman"/>
          <w:color w:val="000000"/>
          <w:sz w:val="24"/>
        </w:rPr>
      </w:pPr>
    </w:p>
    <w:p w:rsidR="004A4F69" w:rsidRPr="00A71B49" w:rsidRDefault="004A4F69" w:rsidP="004A4F69">
      <w:pPr>
        <w:shd w:val="clear" w:color="auto" w:fill="FFFFFF"/>
        <w:spacing w:before="120" w:after="120"/>
        <w:jc w:val="center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i/>
          <w:iCs/>
          <w:color w:val="000000"/>
          <w:sz w:val="24"/>
        </w:rPr>
        <w:t>Tablica 8</w:t>
      </w:r>
    </w:p>
    <w:p w:rsidR="004A4F69" w:rsidRPr="00A71B49" w:rsidRDefault="004A4F69" w:rsidP="004A4F69">
      <w:pPr>
        <w:shd w:val="clear" w:color="auto" w:fill="FFFFFF"/>
        <w:spacing w:before="120" w:after="120"/>
        <w:jc w:val="center"/>
        <w:rPr>
          <w:rFonts w:ascii="Times New Roman" w:hAnsi="Times New Roman" w:cs="Times New Roman"/>
          <w:color w:val="000000"/>
          <w:sz w:val="24"/>
        </w:rPr>
      </w:pPr>
      <w:r w:rsidRPr="00A71B49">
        <w:rPr>
          <w:rFonts w:ascii="Times New Roman" w:hAnsi="Times New Roman" w:cs="Times New Roman"/>
          <w:b/>
          <w:bCs/>
          <w:color w:val="000000"/>
          <w:sz w:val="24"/>
        </w:rPr>
        <w:t>Zahtjevi samo za karakteristike prijamnika kabinskog radiouređaja širokopojasnog RMR-a</w:t>
      </w:r>
      <w:r w:rsidR="00E26FD1" w:rsidRPr="00A71B49">
        <w:rPr>
          <w:rStyle w:val="FootnoteReference"/>
          <w:rFonts w:ascii="Times New Roman" w:hAnsi="Times New Roman" w:cs="Times New Roman"/>
          <w:b/>
          <w:bCs/>
          <w:color w:val="000000"/>
          <w:sz w:val="24"/>
        </w:rPr>
        <w:footnoteReference w:id="4"/>
      </w:r>
    </w:p>
    <w:tbl>
      <w:tblPr>
        <w:tblW w:w="500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36"/>
        <w:gridCol w:w="2120"/>
      </w:tblGrid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ind w:right="195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71B49">
              <w:rPr>
                <w:rFonts w:ascii="Times New Roman" w:hAnsi="Times New Roman" w:cs="Times New Roman"/>
                <w:b/>
                <w:bCs/>
                <w:color w:val="000000"/>
              </w:rPr>
              <w:t>Parametar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ind w:right="195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71B49">
              <w:rPr>
                <w:rFonts w:ascii="Times New Roman" w:hAnsi="Times New Roman" w:cs="Times New Roman"/>
                <w:b/>
                <w:bCs/>
                <w:color w:val="000000"/>
              </w:rPr>
              <w:t>Vrijednost</w:t>
            </w:r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>Razina željenog signala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RefSens</w:t>
            </w:r>
            <w:proofErr w:type="spellEnd"/>
            <w:r w:rsidRPr="00A71B49">
              <w:rPr>
                <w:rFonts w:ascii="Times New Roman" w:hAnsi="Times New Roman" w:cs="Times New Roman"/>
                <w:color w:val="000000"/>
              </w:rPr>
              <w:t> + 3 dB</w:t>
            </w:r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>Maksimalni signal smetnje u pojasu 880–918,9 MHz (napomena 1.)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 xml:space="preserve">-26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dBm</w:t>
            </w:r>
            <w:proofErr w:type="spellEnd"/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>Maksimalni kontinuirani valni signal smetnje u pojasu 925,6–927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 xml:space="preserve">-13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dBm</w:t>
            </w:r>
            <w:proofErr w:type="spellEnd"/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>Maksimalni kontinuirani valni signal smetnje u pojasu 927–960 MHz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 xml:space="preserve">-10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dBm</w:t>
            </w:r>
            <w:proofErr w:type="spellEnd"/>
          </w:p>
        </w:tc>
      </w:tr>
      <w:tr w:rsidR="004A4F69" w:rsidRPr="00A71B49" w:rsidTr="00FE2B2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 xml:space="preserve">Maksimalni signal smetnje 5 MHz LTE (najniži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nosioc</w:t>
            </w:r>
            <w:proofErr w:type="spellEnd"/>
            <w:r w:rsidRPr="00A71B49">
              <w:rPr>
                <w:rFonts w:ascii="Times New Roman" w:hAnsi="Times New Roman" w:cs="Times New Roman"/>
                <w:color w:val="000000"/>
              </w:rPr>
              <w:t xml:space="preserve"> na 927,6 MHz)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4A4F69" w:rsidRPr="00A71B49" w:rsidRDefault="004A4F69" w:rsidP="00FE2B27">
            <w:pPr>
              <w:spacing w:before="60" w:after="60"/>
              <w:rPr>
                <w:rFonts w:ascii="Times New Roman" w:hAnsi="Times New Roman" w:cs="Times New Roman"/>
                <w:color w:val="000000"/>
              </w:rPr>
            </w:pPr>
            <w:r w:rsidRPr="00A71B49">
              <w:rPr>
                <w:rFonts w:ascii="Times New Roman" w:hAnsi="Times New Roman" w:cs="Times New Roman"/>
                <w:color w:val="000000"/>
              </w:rPr>
              <w:t xml:space="preserve">-13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</w:rPr>
              <w:t>dBm</w:t>
            </w:r>
            <w:proofErr w:type="spellEnd"/>
          </w:p>
        </w:tc>
      </w:tr>
      <w:tr w:rsidR="004A4F69" w:rsidRPr="00A71B49" w:rsidTr="00FE2B27">
        <w:tc>
          <w:tcPr>
            <w:tcW w:w="0" w:type="auto"/>
            <w:gridSpan w:val="2"/>
            <w:shd w:val="clear" w:color="auto" w:fill="FFFFFF"/>
            <w:vAlign w:val="center"/>
            <w:hideMark/>
          </w:tcPr>
          <w:p w:rsidR="004A4F69" w:rsidRPr="00A71B49" w:rsidRDefault="004A4F69" w:rsidP="00FE2B27">
            <w:pPr>
              <w:spacing w:before="12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Referentna točka je priključak antene radijskog modula. Referentna osjetljivost (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RefSens</w:t>
            </w:r>
            <w:proofErr w:type="spellEnd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) najmanja je srednja snaga primljena na priključku antene pri kojoj se mora postići zadani najmanji radni učinak.</w:t>
            </w:r>
          </w:p>
          <w:p w:rsidR="004A4F69" w:rsidRPr="00A71B49" w:rsidRDefault="004A4F69" w:rsidP="00FE2B27">
            <w:pPr>
              <w:spacing w:before="12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 xml:space="preserve">Ti zahtjevi obuhvaćaju i blokiranje i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intermodulaciju</w:t>
            </w:r>
            <w:proofErr w:type="spellEnd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 xml:space="preserve"> trećeg reda.</w:t>
            </w:r>
          </w:p>
          <w:p w:rsidR="004A4F69" w:rsidRPr="00A71B49" w:rsidRDefault="004A4F69" w:rsidP="00FE2B27">
            <w:pPr>
              <w:spacing w:before="12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 xml:space="preserve">Napomena 1: Pretpostavlja se da je širina pojasa signala smetnje RFID-a 400 </w:t>
            </w:r>
            <w:proofErr w:type="spellStart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kHz</w:t>
            </w:r>
            <w:proofErr w:type="spellEnd"/>
            <w:r w:rsidRPr="00A71B49">
              <w:rPr>
                <w:rFonts w:ascii="Times New Roman" w:hAnsi="Times New Roman" w:cs="Times New Roman"/>
                <w:color w:val="000000"/>
                <w:sz w:val="24"/>
              </w:rPr>
              <w:t>.</w:t>
            </w:r>
          </w:p>
        </w:tc>
      </w:tr>
    </w:tbl>
    <w:p w:rsidR="004A4F69" w:rsidRPr="00A71B49" w:rsidRDefault="004A4F69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4A4F69" w:rsidRPr="00A71B49" w:rsidRDefault="004A4F69">
      <w:pPr>
        <w:rPr>
          <w:rFonts w:ascii="Times New Roman" w:hAnsi="Times New Roman" w:cs="Times New Roman"/>
          <w:sz w:val="24"/>
          <w:szCs w:val="24"/>
          <w:u w:val="single"/>
        </w:rPr>
      </w:pPr>
    </w:p>
    <w:sectPr w:rsidR="004A4F69" w:rsidRPr="00A71B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5929" w:rsidRDefault="00D95929" w:rsidP="0056206C">
      <w:pPr>
        <w:spacing w:after="0" w:line="240" w:lineRule="auto"/>
      </w:pPr>
      <w:r>
        <w:separator/>
      </w:r>
    </w:p>
  </w:endnote>
  <w:endnote w:type="continuationSeparator" w:id="0">
    <w:p w:rsidR="00D95929" w:rsidRDefault="00D95929" w:rsidP="00562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 New Roman">
    <w:altName w:val="Times New Roman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5929" w:rsidRDefault="00D95929" w:rsidP="0056206C">
      <w:pPr>
        <w:spacing w:after="0" w:line="240" w:lineRule="auto"/>
      </w:pPr>
      <w:r>
        <w:separator/>
      </w:r>
    </w:p>
  </w:footnote>
  <w:footnote w:type="continuationSeparator" w:id="0">
    <w:p w:rsidR="00D95929" w:rsidRDefault="00D95929" w:rsidP="0056206C">
      <w:pPr>
        <w:spacing w:after="0" w:line="240" w:lineRule="auto"/>
      </w:pPr>
      <w:r>
        <w:continuationSeparator/>
      </w:r>
    </w:p>
  </w:footnote>
  <w:footnote w:id="1">
    <w:p w:rsidR="004A4F69" w:rsidRDefault="004A4F6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 xml:space="preserve">Raster kanala GSM-R 200 </w:t>
      </w:r>
      <w:proofErr w:type="spellStart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kHz</w:t>
      </w:r>
      <w:proofErr w:type="spellEnd"/>
    </w:p>
  </w:footnote>
  <w:footnote w:id="2">
    <w:p w:rsidR="002D69AA" w:rsidRDefault="002D69A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ACLR: Omjer snage istjecanja između susjednih kanala</w:t>
      </w:r>
    </w:p>
  </w:footnote>
  <w:footnote w:id="3">
    <w:p w:rsidR="00E26FD1" w:rsidRDefault="00E26FD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Direktiva 2014/53/EU Europskog parlamenta i Vijeća od 16. travnja 2014. o usklađivanju zakonodavstava država članica o stavljanju na raspolaganje radijske opreme na tržištu i stavljanju izvan snage Direktive 1999/5/EZ (</w:t>
      </w:r>
      <w:hyperlink r:id="rId1" w:history="1">
        <w:r w:rsidRPr="004A4F69">
          <w:rPr>
            <w:rFonts w:ascii="inherit" w:eastAsia="Times New Roman" w:hAnsi="inherit" w:cs="Times New Roman"/>
            <w:color w:val="3366CC"/>
            <w:sz w:val="19"/>
            <w:szCs w:val="19"/>
            <w:u w:val="single"/>
          </w:rPr>
          <w:t>SL L 153, 22.5.2014., str. 62.</w:t>
        </w:r>
      </w:hyperlink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).</w:t>
      </w:r>
    </w:p>
  </w:footnote>
  <w:footnote w:id="4">
    <w:p w:rsidR="00E26FD1" w:rsidRDefault="00E26FD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 xml:space="preserve">U ovoj tablici navedeni su zahtjevi samo za RMR terminalne prijamnike koji nisu radiouređaji </w:t>
      </w:r>
      <w:proofErr w:type="spellStart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upravljačnice</w:t>
      </w:r>
      <w:proofErr w:type="spellEnd"/>
      <w:r w:rsidRPr="004A4F69">
        <w:rPr>
          <w:rFonts w:ascii="inherit" w:eastAsia="Times New Roman" w:hAnsi="inherit" w:cs="Times New Roman"/>
          <w:color w:val="000000"/>
          <w:sz w:val="19"/>
          <w:szCs w:val="19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B4A7C"/>
    <w:multiLevelType w:val="hybridMultilevel"/>
    <w:tmpl w:val="B96CE56A"/>
    <w:lvl w:ilvl="0" w:tplc="91C476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D2232A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AB0C7C"/>
    <w:multiLevelType w:val="hybridMultilevel"/>
    <w:tmpl w:val="D2F0D44A"/>
    <w:lvl w:ilvl="0" w:tplc="EA7A081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96608D"/>
    <w:multiLevelType w:val="hybridMultilevel"/>
    <w:tmpl w:val="871A868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5C4F28"/>
    <w:multiLevelType w:val="hybridMultilevel"/>
    <w:tmpl w:val="3042E3E8"/>
    <w:lvl w:ilvl="0" w:tplc="DB5CE970">
      <w:start w:val="1"/>
      <w:numFmt w:val="lowerLetter"/>
      <w:lvlText w:val="(%1)"/>
      <w:lvlJc w:val="left"/>
      <w:pPr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279E7"/>
    <w:rsid w:val="000560ED"/>
    <w:rsid w:val="00075299"/>
    <w:rsid w:val="00077CC2"/>
    <w:rsid w:val="000865E8"/>
    <w:rsid w:val="000912F3"/>
    <w:rsid w:val="00095DD9"/>
    <w:rsid w:val="000C2375"/>
    <w:rsid w:val="000C4F79"/>
    <w:rsid w:val="00107285"/>
    <w:rsid w:val="0013058E"/>
    <w:rsid w:val="00134B52"/>
    <w:rsid w:val="00140221"/>
    <w:rsid w:val="00166CFF"/>
    <w:rsid w:val="00171811"/>
    <w:rsid w:val="001B5A6E"/>
    <w:rsid w:val="002149DF"/>
    <w:rsid w:val="00244041"/>
    <w:rsid w:val="002444F5"/>
    <w:rsid w:val="0024721E"/>
    <w:rsid w:val="0027546A"/>
    <w:rsid w:val="00297C09"/>
    <w:rsid w:val="002B297E"/>
    <w:rsid w:val="002B3959"/>
    <w:rsid w:val="002B5806"/>
    <w:rsid w:val="002D69AA"/>
    <w:rsid w:val="00314EFF"/>
    <w:rsid w:val="00316B99"/>
    <w:rsid w:val="00327FF1"/>
    <w:rsid w:val="00370097"/>
    <w:rsid w:val="0039748E"/>
    <w:rsid w:val="003A017D"/>
    <w:rsid w:val="003B3678"/>
    <w:rsid w:val="003B658F"/>
    <w:rsid w:val="003E7A09"/>
    <w:rsid w:val="003F44AE"/>
    <w:rsid w:val="004424BE"/>
    <w:rsid w:val="00466F8A"/>
    <w:rsid w:val="00491B14"/>
    <w:rsid w:val="004949BE"/>
    <w:rsid w:val="004A4F69"/>
    <w:rsid w:val="004A7382"/>
    <w:rsid w:val="005370CE"/>
    <w:rsid w:val="00545B49"/>
    <w:rsid w:val="005466D6"/>
    <w:rsid w:val="0056206C"/>
    <w:rsid w:val="005624B8"/>
    <w:rsid w:val="00577A11"/>
    <w:rsid w:val="005B09AC"/>
    <w:rsid w:val="005D0320"/>
    <w:rsid w:val="005E100A"/>
    <w:rsid w:val="005F6341"/>
    <w:rsid w:val="006009B3"/>
    <w:rsid w:val="00613264"/>
    <w:rsid w:val="00617C4A"/>
    <w:rsid w:val="006B2C81"/>
    <w:rsid w:val="006C4637"/>
    <w:rsid w:val="006D01FD"/>
    <w:rsid w:val="006F7214"/>
    <w:rsid w:val="00703080"/>
    <w:rsid w:val="007354FA"/>
    <w:rsid w:val="00780EAD"/>
    <w:rsid w:val="007A1838"/>
    <w:rsid w:val="007A3BD2"/>
    <w:rsid w:val="007C34AA"/>
    <w:rsid w:val="007C7270"/>
    <w:rsid w:val="007F4596"/>
    <w:rsid w:val="00824F3C"/>
    <w:rsid w:val="008855F7"/>
    <w:rsid w:val="00896AA2"/>
    <w:rsid w:val="008B15D8"/>
    <w:rsid w:val="008B6B95"/>
    <w:rsid w:val="008D643D"/>
    <w:rsid w:val="008E5470"/>
    <w:rsid w:val="008F7F9B"/>
    <w:rsid w:val="009124EF"/>
    <w:rsid w:val="00924551"/>
    <w:rsid w:val="00970883"/>
    <w:rsid w:val="00980053"/>
    <w:rsid w:val="009954F3"/>
    <w:rsid w:val="009D036D"/>
    <w:rsid w:val="009D59E8"/>
    <w:rsid w:val="009E2193"/>
    <w:rsid w:val="009F7B1F"/>
    <w:rsid w:val="00A00DAB"/>
    <w:rsid w:val="00A0762E"/>
    <w:rsid w:val="00A179CC"/>
    <w:rsid w:val="00A30ED4"/>
    <w:rsid w:val="00A31005"/>
    <w:rsid w:val="00A343D9"/>
    <w:rsid w:val="00A42EA6"/>
    <w:rsid w:val="00A71B49"/>
    <w:rsid w:val="00A73D1D"/>
    <w:rsid w:val="00A84D36"/>
    <w:rsid w:val="00A87B33"/>
    <w:rsid w:val="00A91B65"/>
    <w:rsid w:val="00AA72D2"/>
    <w:rsid w:val="00AC1AE2"/>
    <w:rsid w:val="00AC39CF"/>
    <w:rsid w:val="00B1537A"/>
    <w:rsid w:val="00B819ED"/>
    <w:rsid w:val="00B83120"/>
    <w:rsid w:val="00B834B5"/>
    <w:rsid w:val="00BA04C0"/>
    <w:rsid w:val="00BF3FE9"/>
    <w:rsid w:val="00C55F8F"/>
    <w:rsid w:val="00C60DD1"/>
    <w:rsid w:val="00C7722A"/>
    <w:rsid w:val="00CA2472"/>
    <w:rsid w:val="00CD6B4C"/>
    <w:rsid w:val="00CD7271"/>
    <w:rsid w:val="00CE5AF0"/>
    <w:rsid w:val="00CF47F4"/>
    <w:rsid w:val="00D01118"/>
    <w:rsid w:val="00D344CE"/>
    <w:rsid w:val="00D37DD3"/>
    <w:rsid w:val="00D759C7"/>
    <w:rsid w:val="00D95929"/>
    <w:rsid w:val="00DA6CD3"/>
    <w:rsid w:val="00DC269D"/>
    <w:rsid w:val="00DD2891"/>
    <w:rsid w:val="00DF62CD"/>
    <w:rsid w:val="00E07E65"/>
    <w:rsid w:val="00E124CD"/>
    <w:rsid w:val="00E26FD1"/>
    <w:rsid w:val="00E7645C"/>
    <w:rsid w:val="00EB7966"/>
    <w:rsid w:val="00ED56D3"/>
    <w:rsid w:val="00ED5C17"/>
    <w:rsid w:val="00EF6A54"/>
    <w:rsid w:val="00F05368"/>
    <w:rsid w:val="00F506F3"/>
    <w:rsid w:val="00F6349F"/>
    <w:rsid w:val="00FB5341"/>
    <w:rsid w:val="00FC3318"/>
    <w:rsid w:val="00FF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1388B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character" w:customStyle="1" w:styleId="ECCParagraph">
    <w:name w:val="ECC Paragraph"/>
    <w:basedOn w:val="DefaultParagraphFont"/>
    <w:uiPriority w:val="1"/>
    <w:qFormat/>
    <w:rsid w:val="006D01FD"/>
    <w:rPr>
      <w:rFonts w:ascii="Arial" w:hAnsi="Arial"/>
      <w:noProof w:val="0"/>
      <w:sz w:val="20"/>
      <w:bdr w:val="none" w:sz="0" w:space="0" w:color="auto"/>
      <w:lang w:val="en-GB"/>
    </w:rPr>
  </w:style>
  <w:style w:type="paragraph" w:customStyle="1" w:styleId="ECCFootnote">
    <w:name w:val="ECC Footnote"/>
    <w:basedOn w:val="Normal"/>
    <w:autoRedefine/>
    <w:rsid w:val="0056206C"/>
    <w:pPr>
      <w:spacing w:after="0" w:line="240" w:lineRule="auto"/>
      <w:ind w:left="454" w:hanging="454"/>
    </w:pPr>
    <w:rPr>
      <w:rFonts w:ascii="Arial" w:eastAsia="Times New Roman" w:hAnsi="Arial" w:cs="Times New Roman"/>
      <w:sz w:val="16"/>
      <w:szCs w:val="24"/>
      <w:lang w:val="en-US"/>
    </w:rPr>
  </w:style>
  <w:style w:type="character" w:styleId="FootnoteReference">
    <w:name w:val="footnote reference"/>
    <w:aliases w:val="Appel note de bas de p,ECC Footnote number,Nota,Footnote symbol,Footnote"/>
    <w:basedOn w:val="DefaultParagraphFont"/>
    <w:rsid w:val="0056206C"/>
    <w:rPr>
      <w:vertAlign w:val="superscript"/>
    </w:rPr>
  </w:style>
  <w:style w:type="paragraph" w:customStyle="1" w:styleId="ECCBulletsLv1">
    <w:name w:val="ECC Bullets Lv1"/>
    <w:basedOn w:val="Normal"/>
    <w:qFormat/>
    <w:rsid w:val="0056206C"/>
    <w:pPr>
      <w:tabs>
        <w:tab w:val="left" w:pos="340"/>
      </w:tabs>
      <w:spacing w:before="60" w:after="0" w:line="240" w:lineRule="auto"/>
      <w:jc w:val="both"/>
    </w:pPr>
    <w:rPr>
      <w:rFonts w:ascii="Arial" w:eastAsia="Calibri" w:hAnsi="Arial" w:cs="Times New Roman"/>
      <w:sz w:val="20"/>
      <w:lang w:val="en-GB"/>
    </w:rPr>
  </w:style>
  <w:style w:type="paragraph" w:customStyle="1" w:styleId="BodyText21">
    <w:name w:val="Body Text 21"/>
    <w:basedOn w:val="Normal"/>
    <w:rsid w:val="00C7722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C772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FC33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C3318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C3318"/>
    <w:rPr>
      <w:rFonts w:ascii="Arial" w:eastAsia="Times New Roman" w:hAnsi="Arial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3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3318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3318"/>
    <w:pPr>
      <w:spacing w:after="200"/>
    </w:pPr>
    <w:rPr>
      <w:rFonts w:asciiTheme="minorHAnsi" w:eastAsiaTheme="minorHAnsi" w:hAnsiTheme="minorHAnsi" w:cstheme="minorBidi"/>
      <w:b/>
      <w:bCs/>
      <w:lang w:val="hr-HR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3318"/>
    <w:rPr>
      <w:rFonts w:ascii="Arial" w:eastAsia="Times New Roman" w:hAnsi="Arial" w:cs="Times New Roman"/>
      <w:b/>
      <w:bCs/>
      <w:sz w:val="20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4F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4F69"/>
    <w:rPr>
      <w:sz w:val="20"/>
      <w:szCs w:val="20"/>
    </w:rPr>
  </w:style>
  <w:style w:type="paragraph" w:customStyle="1" w:styleId="Naslovpoglavlja">
    <w:name w:val="Naslov poglavlja"/>
    <w:next w:val="Normal"/>
    <w:rsid w:val="00545B49"/>
    <w:pPr>
      <w:pBdr>
        <w:bottom w:val="single" w:sz="4" w:space="1" w:color="auto"/>
      </w:pBdr>
      <w:spacing w:before="360" w:after="240" w:line="240" w:lineRule="auto"/>
    </w:pPr>
    <w:rPr>
      <w:rFonts w:ascii="Times New Roman" w:eastAsia="Times New Roman" w:hAnsi="Times New Roman" w:cs="Times New Roman"/>
      <w:b/>
      <w:bCs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HR/AUTO/?uri=OJ:L:2014:153:T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0D1099A-D8B1-432F-B74C-C21E3FBDC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1437</Words>
  <Characters>8194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Ivančica Sakal</cp:lastModifiedBy>
  <cp:revision>5</cp:revision>
  <dcterms:created xsi:type="dcterms:W3CDTF">2022-03-02T07:42:00Z</dcterms:created>
  <dcterms:modified xsi:type="dcterms:W3CDTF">2022-03-08T12:25:00Z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