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F984" w14:textId="2D120227" w:rsidR="00FF3417" w:rsidRPr="00A031D0" w:rsidRDefault="00FF3417" w:rsidP="00FF3417">
      <w:r w:rsidRPr="00A031D0">
        <w:t>KLASA: UP/I-344-01/</w:t>
      </w:r>
      <w:r>
        <w:t>22</w:t>
      </w:r>
      <w:r w:rsidRPr="00A031D0">
        <w:t>-05/</w:t>
      </w:r>
      <w:r w:rsidR="000F52FB">
        <w:t>05</w:t>
      </w:r>
    </w:p>
    <w:p w14:paraId="55062CBF" w14:textId="611E3A36" w:rsidR="00FF3417" w:rsidRPr="00A031D0" w:rsidRDefault="00FF3417" w:rsidP="00FF3417">
      <w:r w:rsidRPr="00A031D0">
        <w:t>URBROJ: 376-05-1-</w:t>
      </w:r>
      <w:r>
        <w:t>22-</w:t>
      </w:r>
      <w:r w:rsidR="000F52FB">
        <w:t>2</w:t>
      </w:r>
    </w:p>
    <w:p w14:paraId="68EF7586" w14:textId="76D7C79C" w:rsidR="00FF3417" w:rsidRPr="00A031D0" w:rsidRDefault="00FF3417" w:rsidP="00FF3417">
      <w:pPr>
        <w:spacing w:after="240"/>
      </w:pPr>
      <w:r w:rsidRPr="001431C6">
        <w:t xml:space="preserve">Zagreb, </w:t>
      </w:r>
      <w:r w:rsidR="00951DAA" w:rsidRPr="001431C6">
        <w:t>0</w:t>
      </w:r>
      <w:r w:rsidR="009240AC" w:rsidRPr="001431C6">
        <w:t>8</w:t>
      </w:r>
      <w:r w:rsidRPr="001431C6">
        <w:t xml:space="preserve">. </w:t>
      </w:r>
      <w:r w:rsidR="009240AC" w:rsidRPr="001431C6">
        <w:t>srp</w:t>
      </w:r>
      <w:r w:rsidR="00951DAA" w:rsidRPr="001431C6">
        <w:t>nj</w:t>
      </w:r>
      <w:r w:rsidRPr="001431C6">
        <w:t>a 2022.</w:t>
      </w:r>
    </w:p>
    <w:p w14:paraId="457C833A" w14:textId="77777777" w:rsidR="00FF3417" w:rsidRPr="00A031D0" w:rsidRDefault="00FF3417" w:rsidP="00FF3417">
      <w:pPr>
        <w:jc w:val="both"/>
      </w:pPr>
    </w:p>
    <w:p w14:paraId="54C310F9" w14:textId="2FFD13B2" w:rsidR="00FF3417" w:rsidRPr="00A031D0" w:rsidRDefault="00FF3417" w:rsidP="00FF3417">
      <w:pPr>
        <w:jc w:val="both"/>
      </w:pPr>
      <w:r w:rsidRPr="00A031D0">
        <w:t xml:space="preserve">Na temelju članka 12. stavka 1. točke 3. i članka 62. Zakona o elektroničkim komunikacijama (NN br. 73/08, 90/11, 133/12, 80/13, 71/14 i 72/17), radi provođenja regulatorne obveze nadzora cijena i vođenja troškovnog računovodstva za usluge u javnoj komunikacijskoj mreži, Vijeće Hrvatske regulatorne agencije za mrežne djelatnosti je na sjednici </w:t>
      </w:r>
      <w:r w:rsidRPr="001431C6">
        <w:t xml:space="preserve">održanoj </w:t>
      </w:r>
      <w:r w:rsidR="00951DAA" w:rsidRPr="001431C6">
        <w:t>0</w:t>
      </w:r>
      <w:r w:rsidR="009240AC" w:rsidRPr="001431C6">
        <w:t>8</w:t>
      </w:r>
      <w:r w:rsidRPr="001431C6">
        <w:t xml:space="preserve">. </w:t>
      </w:r>
      <w:r w:rsidR="009240AC" w:rsidRPr="001431C6">
        <w:t>sr</w:t>
      </w:r>
      <w:r w:rsidRPr="001431C6">
        <w:t>p</w:t>
      </w:r>
      <w:r w:rsidR="00951DAA" w:rsidRPr="001431C6">
        <w:t>nj</w:t>
      </w:r>
      <w:r w:rsidRPr="001431C6">
        <w:t>a 20</w:t>
      </w:r>
      <w:r w:rsidR="00F14262" w:rsidRPr="001431C6">
        <w:t>22</w:t>
      </w:r>
      <w:r w:rsidRPr="001431C6">
        <w:t>. donijelo</w:t>
      </w:r>
    </w:p>
    <w:p w14:paraId="5A6F168B" w14:textId="77777777" w:rsidR="00FF3417" w:rsidRDefault="00FF3417" w:rsidP="00FF3417">
      <w:pPr>
        <w:spacing w:before="120" w:after="120"/>
        <w:jc w:val="center"/>
        <w:rPr>
          <w:b/>
          <w:color w:val="000000"/>
        </w:rPr>
      </w:pPr>
    </w:p>
    <w:p w14:paraId="738CDC02" w14:textId="77777777" w:rsidR="007043B7" w:rsidRPr="00A031D0" w:rsidRDefault="007043B7" w:rsidP="00FF3417">
      <w:pPr>
        <w:spacing w:before="120" w:after="120"/>
        <w:jc w:val="center"/>
        <w:rPr>
          <w:b/>
          <w:color w:val="000000"/>
        </w:rPr>
      </w:pPr>
    </w:p>
    <w:p w14:paraId="72C0B686" w14:textId="77777777" w:rsidR="00FF3417" w:rsidRPr="00A031D0" w:rsidRDefault="00FF3417" w:rsidP="00FF3417">
      <w:pPr>
        <w:jc w:val="center"/>
        <w:rPr>
          <w:b/>
          <w:color w:val="000000"/>
        </w:rPr>
      </w:pPr>
      <w:r w:rsidRPr="00A031D0">
        <w:rPr>
          <w:b/>
          <w:color w:val="000000"/>
        </w:rPr>
        <w:t>ODLUKU</w:t>
      </w:r>
    </w:p>
    <w:p w14:paraId="66271F53" w14:textId="77777777" w:rsidR="00FF3417" w:rsidRPr="00FF3417" w:rsidRDefault="00FF3417" w:rsidP="00FF3417">
      <w:pPr>
        <w:spacing w:before="120" w:after="120"/>
        <w:jc w:val="both"/>
      </w:pPr>
    </w:p>
    <w:p w14:paraId="05E99BAE" w14:textId="60E5CCD4" w:rsidR="00FF3417" w:rsidRPr="00A138B6" w:rsidRDefault="00FF3417" w:rsidP="00FF3417">
      <w:pPr>
        <w:pStyle w:val="ListParagraph"/>
        <w:numPr>
          <w:ilvl w:val="0"/>
          <w:numId w:val="7"/>
        </w:numPr>
        <w:ind w:left="426" w:hanging="426"/>
        <w:contextualSpacing/>
        <w:jc w:val="both"/>
        <w:rPr>
          <w:rFonts w:ascii="Times New Roman" w:eastAsia="Times New Roman" w:hAnsi="Times New Roman" w:cs="Times New Roman"/>
          <w:sz w:val="24"/>
          <w:szCs w:val="24"/>
          <w:lang w:eastAsia="hr-HR"/>
        </w:rPr>
      </w:pPr>
      <w:r w:rsidRPr="00FF3417">
        <w:rPr>
          <w:rFonts w:ascii="Times New Roman" w:hAnsi="Times New Roman" w:cs="Times New Roman"/>
          <w:sz w:val="24"/>
          <w:szCs w:val="24"/>
        </w:rPr>
        <w:t xml:space="preserve">Određuje se stopa povrata uloženog kapitala u iznosu od </w:t>
      </w:r>
      <w:r w:rsidR="00C87822" w:rsidRPr="00951DAA">
        <w:rPr>
          <w:rFonts w:ascii="Times New Roman" w:hAnsi="Times New Roman" w:cs="Times New Roman"/>
          <w:sz w:val="24"/>
          <w:szCs w:val="24"/>
        </w:rPr>
        <w:t>4,</w:t>
      </w:r>
      <w:r w:rsidR="00AC1096">
        <w:rPr>
          <w:rFonts w:ascii="Times New Roman" w:hAnsi="Times New Roman" w:cs="Times New Roman"/>
          <w:sz w:val="24"/>
          <w:szCs w:val="24"/>
        </w:rPr>
        <w:t>71</w:t>
      </w:r>
      <w:r w:rsidRPr="00FF3417">
        <w:rPr>
          <w:rFonts w:ascii="Times New Roman" w:hAnsi="Times New Roman" w:cs="Times New Roman"/>
          <w:sz w:val="24"/>
          <w:szCs w:val="24"/>
        </w:rPr>
        <w:t>% u svrhu provođenja regulatorne obveze nadzora cijena i vođenja troškovnog računovodstva</w:t>
      </w:r>
      <w:r w:rsidR="004740D9">
        <w:rPr>
          <w:rFonts w:ascii="Times New Roman" w:hAnsi="Times New Roman" w:cs="Times New Roman"/>
          <w:sz w:val="24"/>
          <w:szCs w:val="24"/>
        </w:rPr>
        <w:t xml:space="preserve"> </w:t>
      </w:r>
      <w:r w:rsidR="004740D9" w:rsidRPr="00A138B6">
        <w:rPr>
          <w:rFonts w:ascii="Times New Roman" w:eastAsia="Times New Roman" w:hAnsi="Times New Roman" w:cs="Times New Roman"/>
          <w:sz w:val="24"/>
          <w:szCs w:val="24"/>
          <w:lang w:eastAsia="hr-HR"/>
        </w:rPr>
        <w:t>za usluge u javnoj komunikacijskoj mreži</w:t>
      </w:r>
      <w:r w:rsidRPr="00A138B6">
        <w:rPr>
          <w:rFonts w:ascii="Times New Roman" w:eastAsia="Times New Roman" w:hAnsi="Times New Roman" w:cs="Times New Roman"/>
          <w:sz w:val="24"/>
          <w:szCs w:val="24"/>
          <w:lang w:eastAsia="hr-HR"/>
        </w:rPr>
        <w:t xml:space="preserve">. </w:t>
      </w:r>
    </w:p>
    <w:p w14:paraId="6E062498" w14:textId="77777777" w:rsidR="00FF3417" w:rsidRPr="00FF3417" w:rsidRDefault="00FF3417" w:rsidP="00FF3417">
      <w:pPr>
        <w:pStyle w:val="ListParagraph"/>
        <w:ind w:left="426" w:hanging="426"/>
        <w:jc w:val="both"/>
        <w:rPr>
          <w:rFonts w:ascii="Times New Roman" w:hAnsi="Times New Roman" w:cs="Times New Roman"/>
          <w:sz w:val="24"/>
          <w:szCs w:val="24"/>
        </w:rPr>
      </w:pPr>
    </w:p>
    <w:p w14:paraId="6DA26055" w14:textId="6F46A6CB" w:rsidR="00FF3417" w:rsidRPr="00FF3417" w:rsidRDefault="00DC0C31" w:rsidP="00FF3417">
      <w:pPr>
        <w:pStyle w:val="ListParagraph"/>
        <w:numPr>
          <w:ilvl w:val="0"/>
          <w:numId w:val="7"/>
        </w:numPr>
        <w:ind w:left="426" w:hanging="426"/>
        <w:contextualSpacing/>
        <w:jc w:val="both"/>
        <w:rPr>
          <w:rFonts w:ascii="Times New Roman" w:hAnsi="Times New Roman" w:cs="Times New Roman"/>
          <w:sz w:val="24"/>
          <w:szCs w:val="24"/>
        </w:rPr>
      </w:pPr>
      <w:r w:rsidRPr="00FF3417">
        <w:rPr>
          <w:rFonts w:ascii="Times New Roman" w:hAnsi="Times New Roman" w:cs="Times New Roman"/>
          <w:sz w:val="24"/>
          <w:szCs w:val="24"/>
        </w:rPr>
        <w:t xml:space="preserve">Stopa povrata uloženog kapitala iz točke I. izreke ove odluke uvećava se za dodatnu premiju rizika u iznosu od </w:t>
      </w:r>
      <w:r w:rsidRPr="000A1439">
        <w:rPr>
          <w:rFonts w:ascii="Times New Roman" w:hAnsi="Times New Roman" w:cs="Times New Roman"/>
          <w:sz w:val="24"/>
          <w:szCs w:val="24"/>
        </w:rPr>
        <w:t>1,50%</w:t>
      </w:r>
      <w:r w:rsidRPr="00FF3417">
        <w:rPr>
          <w:rFonts w:ascii="Times New Roman" w:hAnsi="Times New Roman" w:cs="Times New Roman"/>
          <w:sz w:val="24"/>
          <w:szCs w:val="24"/>
        </w:rPr>
        <w:t xml:space="preserve"> za</w:t>
      </w:r>
      <w:r>
        <w:rPr>
          <w:rFonts w:ascii="Times New Roman" w:hAnsi="Times New Roman" w:cs="Times New Roman"/>
          <w:sz w:val="24"/>
          <w:szCs w:val="24"/>
        </w:rPr>
        <w:t xml:space="preserve"> ulaganja u nove mreže koje se temelje na svjetlovodnoj tehnologiji (</w:t>
      </w:r>
      <w:r w:rsidRPr="00FF3417">
        <w:rPr>
          <w:rFonts w:ascii="Times New Roman" w:hAnsi="Times New Roman" w:cs="Times New Roman"/>
          <w:sz w:val="24"/>
          <w:szCs w:val="24"/>
        </w:rPr>
        <w:t>FTTH/FTTB</w:t>
      </w:r>
      <w:r>
        <w:rPr>
          <w:rFonts w:ascii="Times New Roman" w:hAnsi="Times New Roman" w:cs="Times New Roman"/>
          <w:sz w:val="24"/>
          <w:szCs w:val="24"/>
        </w:rPr>
        <w:t>/FTTDP pristupne mreže)</w:t>
      </w:r>
      <w:r w:rsidR="00FF3417" w:rsidRPr="00FF3417">
        <w:rPr>
          <w:rFonts w:ascii="Times New Roman" w:hAnsi="Times New Roman" w:cs="Times New Roman"/>
          <w:sz w:val="24"/>
          <w:szCs w:val="24"/>
        </w:rPr>
        <w:t>.</w:t>
      </w:r>
    </w:p>
    <w:p w14:paraId="09568795" w14:textId="77777777" w:rsidR="00FF3417" w:rsidRPr="001F1DEB" w:rsidRDefault="00FF3417" w:rsidP="001F1DEB"/>
    <w:p w14:paraId="59B9C9E7" w14:textId="22CD760A" w:rsidR="00F32A04" w:rsidRPr="00A138B6" w:rsidRDefault="00DC0C31" w:rsidP="00A138B6">
      <w:pPr>
        <w:pStyle w:val="ListParagraph"/>
        <w:numPr>
          <w:ilvl w:val="0"/>
          <w:numId w:val="7"/>
        </w:numPr>
        <w:ind w:hanging="502"/>
        <w:contextualSpacing/>
        <w:jc w:val="both"/>
        <w:rPr>
          <w:rFonts w:ascii="Times New Roman" w:hAnsi="Times New Roman" w:cs="Times New Roman"/>
          <w:sz w:val="24"/>
          <w:szCs w:val="24"/>
        </w:rPr>
      </w:pPr>
      <w:r w:rsidRPr="00A138B6">
        <w:rPr>
          <w:rFonts w:ascii="Times New Roman" w:hAnsi="Times New Roman" w:cs="Times New Roman"/>
          <w:sz w:val="24"/>
          <w:szCs w:val="24"/>
        </w:rPr>
        <w:t xml:space="preserve">Stope povrata uloženog kapitala iz točaka I. i II. izreke ove odluke primjenjuju se od 1. siječnja 2023. </w:t>
      </w:r>
      <w:r w:rsidR="00816E8E" w:rsidRPr="00816E8E">
        <w:rPr>
          <w:rFonts w:ascii="Times New Roman" w:hAnsi="Times New Roman" w:cs="Times New Roman"/>
          <w:sz w:val="24"/>
          <w:szCs w:val="24"/>
        </w:rPr>
        <w:t>do primjene novog ažuriranog WACC-a</w:t>
      </w:r>
      <w:r>
        <w:rPr>
          <w:rFonts w:ascii="Times New Roman" w:hAnsi="Times New Roman" w:cs="Times New Roman"/>
          <w:sz w:val="24"/>
          <w:szCs w:val="24"/>
        </w:rPr>
        <w:t xml:space="preserve">. </w:t>
      </w:r>
      <w:r w:rsidRPr="00A138B6">
        <w:rPr>
          <w:rFonts w:ascii="Times New Roman" w:hAnsi="Times New Roman" w:cs="Times New Roman"/>
          <w:sz w:val="24"/>
          <w:szCs w:val="24"/>
        </w:rPr>
        <w:t>Trgovačko društvo Hrvatski Telekom d.d. je obvezno u regulatornim financijskim izvještajima primjenjivati stopu povrata uloženog kapitala iz točke I.</w:t>
      </w:r>
      <w:r w:rsidR="00C10DE1">
        <w:rPr>
          <w:rFonts w:ascii="Times New Roman" w:hAnsi="Times New Roman" w:cs="Times New Roman"/>
          <w:sz w:val="24"/>
          <w:szCs w:val="24"/>
        </w:rPr>
        <w:t xml:space="preserve"> </w:t>
      </w:r>
      <w:r>
        <w:rPr>
          <w:rFonts w:ascii="Times New Roman" w:hAnsi="Times New Roman" w:cs="Times New Roman"/>
          <w:sz w:val="24"/>
          <w:szCs w:val="24"/>
        </w:rPr>
        <w:t>i II.</w:t>
      </w:r>
      <w:r w:rsidRPr="00A138B6">
        <w:rPr>
          <w:rFonts w:ascii="Times New Roman" w:hAnsi="Times New Roman" w:cs="Times New Roman"/>
          <w:sz w:val="24"/>
          <w:szCs w:val="24"/>
        </w:rPr>
        <w:t xml:space="preserve"> izreke ove odluke.</w:t>
      </w:r>
      <w:r w:rsidR="00A138B6" w:rsidRPr="00A138B6">
        <w:rPr>
          <w:rFonts w:ascii="Times New Roman" w:hAnsi="Times New Roman" w:cs="Times New Roman"/>
          <w:sz w:val="24"/>
          <w:szCs w:val="24"/>
        </w:rPr>
        <w:t xml:space="preserve"> </w:t>
      </w:r>
    </w:p>
    <w:p w14:paraId="500C8CF1" w14:textId="77777777" w:rsidR="00FF3417" w:rsidRPr="00A031D0" w:rsidRDefault="00FF3417" w:rsidP="00FF3417">
      <w:pPr>
        <w:spacing w:before="360" w:after="360"/>
        <w:jc w:val="center"/>
        <w:rPr>
          <w:b/>
          <w:i/>
        </w:rPr>
      </w:pPr>
      <w:bookmarkStart w:id="0" w:name="_Toc318884777"/>
      <w:r w:rsidRPr="00A031D0">
        <w:rPr>
          <w:b/>
          <w:i/>
        </w:rPr>
        <w:t>Obrazloženje</w:t>
      </w:r>
    </w:p>
    <w:p w14:paraId="06077074" w14:textId="2A87C9B1" w:rsidR="009240AC" w:rsidRDefault="009240AC" w:rsidP="009240AC">
      <w:pPr>
        <w:spacing w:after="100" w:afterAutospacing="1"/>
        <w:jc w:val="both"/>
      </w:pPr>
      <w:r w:rsidRPr="00F403D2">
        <w:t xml:space="preserve">Hrvatska regulatorna agencija za mrežne djelatnosti (dalje: HAKOM) je odlukom od </w:t>
      </w:r>
      <w:r>
        <w:t>19</w:t>
      </w:r>
      <w:r w:rsidRPr="00F403D2">
        <w:t xml:space="preserve">. </w:t>
      </w:r>
      <w:r>
        <w:t xml:space="preserve">lipnja </w:t>
      </w:r>
      <w:r w:rsidRPr="00F403D2">
        <w:t>201</w:t>
      </w:r>
      <w:r>
        <w:t>9</w:t>
      </w:r>
      <w:r w:rsidRPr="00F403D2">
        <w:t>. (KLASA: UP/I-344-01/1</w:t>
      </w:r>
      <w:r>
        <w:t>9</w:t>
      </w:r>
      <w:r w:rsidRPr="00F403D2">
        <w:t>-05/0</w:t>
      </w:r>
      <w:r>
        <w:t>2</w:t>
      </w:r>
      <w:r w:rsidRPr="00F403D2">
        <w:t>, URBROJ: 376-</w:t>
      </w:r>
      <w:r>
        <w:t>05-1</w:t>
      </w:r>
      <w:r w:rsidRPr="00F403D2">
        <w:t>-1</w:t>
      </w:r>
      <w:r>
        <w:t>9</w:t>
      </w:r>
      <w:r w:rsidRPr="00F403D2">
        <w:t>-</w:t>
      </w:r>
      <w:r>
        <w:t>1</w:t>
      </w:r>
      <w:r w:rsidRPr="00F403D2">
        <w:rPr>
          <w:sz w:val="22"/>
          <w:szCs w:val="22"/>
        </w:rPr>
        <w:t xml:space="preserve">) </w:t>
      </w:r>
      <w:r w:rsidRPr="00F403D2">
        <w:t xml:space="preserve">odredila vrijednost stope povrata uloženog kapitala (dalje: WACC-a) za nepokretnu mrežu u Republici Hrvatskoj u iznosu od </w:t>
      </w:r>
      <w:r>
        <w:t>6,28</w:t>
      </w:r>
      <w:r w:rsidRPr="00F403D2">
        <w:t>% i vrijednost WACC-a</w:t>
      </w:r>
      <w:r w:rsidR="001F1DEB">
        <w:t xml:space="preserve"> i</w:t>
      </w:r>
      <w:r w:rsidRPr="00F403D2">
        <w:t xml:space="preserve"> za pokretnu mrežu u iznosu od </w:t>
      </w:r>
      <w:r>
        <w:t>6,38</w:t>
      </w:r>
      <w:r w:rsidRPr="00F403D2">
        <w:t>%. Istom odlukom, HAKOM je odredio da se WACC za nepokretnu mrežu uvećava za dodatnu premiju rizika u iznosu od</w:t>
      </w:r>
      <w:r>
        <w:t xml:space="preserve"> 2</w:t>
      </w:r>
      <w:r w:rsidRPr="00F403D2">
        <w:t>,</w:t>
      </w:r>
      <w:r>
        <w:t>2</w:t>
      </w:r>
      <w:r w:rsidRPr="00F403D2">
        <w:t xml:space="preserve">3% za usluge </w:t>
      </w:r>
      <w:r>
        <w:t>na temelju FTTH/FTTB koncepta</w:t>
      </w:r>
      <w:r w:rsidRPr="00F403D2">
        <w:t>.</w:t>
      </w:r>
      <w:r>
        <w:t xml:space="preserve"> Navedene vrijednosti WACC-a</w:t>
      </w:r>
      <w:r w:rsidRPr="00947688">
        <w:t xml:space="preserve"> primjenj</w:t>
      </w:r>
      <w:r>
        <w:t xml:space="preserve">uju </w:t>
      </w:r>
      <w:r w:rsidRPr="00947688">
        <w:t xml:space="preserve">se od </w:t>
      </w:r>
      <w:r w:rsidRPr="00F403D2">
        <w:t>1. siječnja 20</w:t>
      </w:r>
      <w:r>
        <w:t>20</w:t>
      </w:r>
      <w:r w:rsidRPr="00F403D2">
        <w:t xml:space="preserve">. do </w:t>
      </w:r>
      <w:r>
        <w:t>3</w:t>
      </w:r>
      <w:r w:rsidRPr="00F403D2">
        <w:t xml:space="preserve">1. </w:t>
      </w:r>
      <w:r>
        <w:t>prosinca</w:t>
      </w:r>
      <w:r w:rsidRPr="00F403D2">
        <w:t xml:space="preserve"> 202</w:t>
      </w:r>
      <w:r>
        <w:t>2</w:t>
      </w:r>
      <w:r w:rsidRPr="00F403D2">
        <w:t>.</w:t>
      </w:r>
      <w:r w:rsidRPr="00ED721D">
        <w:t xml:space="preserve"> </w:t>
      </w:r>
    </w:p>
    <w:p w14:paraId="3BE99306" w14:textId="3B445325" w:rsidR="007043B7" w:rsidRDefault="007043B7" w:rsidP="007043B7">
      <w:pPr>
        <w:spacing w:after="100" w:afterAutospacing="1"/>
        <w:jc w:val="both"/>
      </w:pPr>
      <w:r w:rsidRPr="00CE7ED0">
        <w:t>Vrijednosti WACC-a primjenjuju se u izračunu troškovno usmjerenih cijena usluga operator</w:t>
      </w:r>
      <w:r w:rsidR="00462A82">
        <w:t>a koji su proglašeni operatorima</w:t>
      </w:r>
      <w:r w:rsidRPr="00CE7ED0">
        <w:t xml:space="preserve"> sa značajnom tržišnom snagom na mjerodavnim tržištima </w:t>
      </w:r>
      <w:r w:rsidR="00462A82">
        <w:t xml:space="preserve">i kojima je određena </w:t>
      </w:r>
      <w:r w:rsidRPr="00CE7ED0">
        <w:t>regulatorn</w:t>
      </w:r>
      <w:r w:rsidR="00462A82">
        <w:t>a</w:t>
      </w:r>
      <w:r w:rsidRPr="00CE7ED0">
        <w:t xml:space="preserve"> obvez</w:t>
      </w:r>
      <w:r w:rsidR="00462A82">
        <w:t>a</w:t>
      </w:r>
      <w:r w:rsidRPr="00CE7ED0">
        <w:t xml:space="preserve"> nadzora cijena, kao i u drugim slučajevima kada su operatori obvezni primjenjivati načelo troškovne usmjerenosti </w:t>
      </w:r>
      <w:r w:rsidR="004740D9">
        <w:t xml:space="preserve">cijena </w:t>
      </w:r>
      <w:r w:rsidRPr="00CE7ED0">
        <w:t>na temelju odred</w:t>
      </w:r>
      <w:r w:rsidR="00462A82">
        <w:t>a</w:t>
      </w:r>
      <w:r w:rsidRPr="00CE7ED0">
        <w:t>b</w:t>
      </w:r>
      <w:r w:rsidR="00462A82">
        <w:t>a</w:t>
      </w:r>
      <w:r w:rsidRPr="00CE7ED0">
        <w:t xml:space="preserve"> </w:t>
      </w:r>
      <w:r w:rsidR="001F1DEB" w:rsidRPr="004740D9">
        <w:t xml:space="preserve">Zakona o elektroničkim komunikacijama (dalje: </w:t>
      </w:r>
      <w:r w:rsidR="001F1DEB" w:rsidRPr="00A031D0">
        <w:t>ZEK</w:t>
      </w:r>
      <w:r w:rsidR="001F1DEB">
        <w:t>)</w:t>
      </w:r>
      <w:r w:rsidR="001F1DEB" w:rsidRPr="00A031D0">
        <w:t xml:space="preserve"> </w:t>
      </w:r>
      <w:r w:rsidRPr="00CE7ED0">
        <w:t>i/ili odluke HAKOM-a.</w:t>
      </w:r>
      <w:r w:rsidRPr="004F7EB3">
        <w:t xml:space="preserve"> </w:t>
      </w:r>
    </w:p>
    <w:p w14:paraId="0ABA309D" w14:textId="67B994C1" w:rsidR="007043B7" w:rsidRPr="00F403D2" w:rsidRDefault="007043B7" w:rsidP="007043B7">
      <w:pPr>
        <w:spacing w:after="100" w:afterAutospacing="1"/>
        <w:jc w:val="both"/>
      </w:pPr>
      <w:r w:rsidRPr="00F403D2">
        <w:lastRenderedPageBreak/>
        <w:t xml:space="preserve">HAKOM je po službenoj dužnosti pokrenuo ovaj postupak kako bi ažurirao vrijednosti WACC-a za usluge u </w:t>
      </w:r>
      <w:r w:rsidR="00EA497A">
        <w:t>javnoj komunikacijskoj</w:t>
      </w:r>
      <w:r w:rsidR="00EA497A" w:rsidRPr="00F403D2">
        <w:t xml:space="preserve"> </w:t>
      </w:r>
      <w:r w:rsidRPr="00F403D2">
        <w:t xml:space="preserve">mreži za </w:t>
      </w:r>
      <w:r w:rsidR="00462A82">
        <w:t>razdoblje od 1. siječnja 2023.</w:t>
      </w:r>
    </w:p>
    <w:p w14:paraId="23E7ABF0" w14:textId="77777777" w:rsidR="007043B7" w:rsidRPr="009444B1" w:rsidRDefault="007043B7" w:rsidP="007043B7">
      <w:pPr>
        <w:spacing w:before="100" w:beforeAutospacing="1" w:after="100" w:afterAutospacing="1"/>
        <w:jc w:val="both"/>
        <w:rPr>
          <w:i/>
          <w:u w:val="single"/>
        </w:rPr>
      </w:pPr>
      <w:r w:rsidRPr="009444B1">
        <w:rPr>
          <w:i/>
          <w:u w:val="single"/>
        </w:rPr>
        <w:t>Izračun WACC-a</w:t>
      </w:r>
    </w:p>
    <w:p w14:paraId="3F691A45" w14:textId="51D2B55B" w:rsidR="00AB6BAD" w:rsidRDefault="00437545" w:rsidP="00702AF0">
      <w:pPr>
        <w:pStyle w:val="Tekst"/>
        <w:spacing w:line="240" w:lineRule="auto"/>
        <w:rPr>
          <w:lang w:val="hr-HR"/>
        </w:rPr>
      </w:pPr>
      <w:r w:rsidRPr="004740D9">
        <w:rPr>
          <w:lang w:val="hr-HR"/>
        </w:rPr>
        <w:t>WACC</w:t>
      </w:r>
      <w:r w:rsidR="001F1DEB">
        <w:rPr>
          <w:lang w:val="hr-HR"/>
        </w:rPr>
        <w:t xml:space="preserve"> se</w:t>
      </w:r>
      <w:r w:rsidR="00FF3417" w:rsidRPr="00A031D0">
        <w:rPr>
          <w:lang w:val="hr-HR"/>
        </w:rPr>
        <w:t xml:space="preserve"> primjenjuj</w:t>
      </w:r>
      <w:r w:rsidR="005F6A45">
        <w:rPr>
          <w:lang w:val="hr-HR"/>
        </w:rPr>
        <w:t>e</w:t>
      </w:r>
      <w:r w:rsidR="00FF3417" w:rsidRPr="00A031D0">
        <w:rPr>
          <w:lang w:val="hr-HR"/>
        </w:rPr>
        <w:t xml:space="preserve"> u izračunu troškovno usmjerenih cijena usluga za koje operatori sa značajnom tržišnom snagom na pojedinim mjerodavnim tržištima imaju regulatornu obvezu nadzora cijena, kao i u drugim slučajevima kada su operatori obvezni primjenjivati načelo troškovne usmjerenosti na temelju odredbi</w:t>
      </w:r>
      <w:r w:rsidR="00080D8F" w:rsidRPr="004740D9">
        <w:rPr>
          <w:lang w:val="hr-HR"/>
        </w:rPr>
        <w:t xml:space="preserve"> </w:t>
      </w:r>
      <w:r w:rsidR="00FF3417" w:rsidRPr="00A031D0">
        <w:rPr>
          <w:lang w:val="hr-HR"/>
        </w:rPr>
        <w:t>ZEK</w:t>
      </w:r>
      <w:r w:rsidR="001F1DEB">
        <w:rPr>
          <w:lang w:val="hr-HR"/>
        </w:rPr>
        <w:t>-a</w:t>
      </w:r>
      <w:r w:rsidR="00FF3417" w:rsidRPr="00A031D0">
        <w:rPr>
          <w:lang w:val="hr-HR"/>
        </w:rPr>
        <w:t xml:space="preserve"> i/ili odluke HAKOM-a. </w:t>
      </w:r>
    </w:p>
    <w:p w14:paraId="1F96E81E" w14:textId="77777777" w:rsidR="009240AC" w:rsidRDefault="009240AC" w:rsidP="00221F1C">
      <w:pPr>
        <w:jc w:val="both"/>
      </w:pPr>
    </w:p>
    <w:p w14:paraId="002BCDB6" w14:textId="62C23573" w:rsidR="00DE693E" w:rsidRDefault="001B70B8" w:rsidP="00221F1C">
      <w:pPr>
        <w:jc w:val="both"/>
      </w:pPr>
      <w:r>
        <w:t xml:space="preserve">Europska komisija (dalje: EK) </w:t>
      </w:r>
      <w:r w:rsidR="00221F1C">
        <w:t>je</w:t>
      </w:r>
      <w:r w:rsidR="00221F1C" w:rsidRPr="008E5339">
        <w:t xml:space="preserve"> uočila znatne razlike u </w:t>
      </w:r>
      <w:r w:rsidR="00DE693E">
        <w:t xml:space="preserve">metodologiji </w:t>
      </w:r>
      <w:r w:rsidR="00221F1C" w:rsidRPr="00460A70">
        <w:t>procjen</w:t>
      </w:r>
      <w:r w:rsidR="00DE693E">
        <w:t>e vrijednosti parametara za</w:t>
      </w:r>
      <w:r w:rsidR="003B6FAB">
        <w:t xml:space="preserve"> izračun</w:t>
      </w:r>
      <w:r w:rsidR="00221F1C" w:rsidRPr="00460A70">
        <w:t xml:space="preserve"> WACC</w:t>
      </w:r>
      <w:r w:rsidR="003B6FAB">
        <w:t>-a</w:t>
      </w:r>
      <w:r w:rsidR="00221F1C" w:rsidRPr="008E5339">
        <w:t xml:space="preserve"> za usluge koje se pružaju putem elektroničkih komunikacijskih mreža</w:t>
      </w:r>
      <w:r w:rsidR="00221F1C">
        <w:t xml:space="preserve"> te</w:t>
      </w:r>
      <w:r w:rsidR="00F84FAF">
        <w:t xml:space="preserve"> je</w:t>
      </w:r>
      <w:r w:rsidR="00221F1C" w:rsidRPr="008E5339">
        <w:t xml:space="preserve"> </w:t>
      </w:r>
      <w:r w:rsidR="00221F1C">
        <w:t>p</w:t>
      </w:r>
      <w:r w:rsidR="00221F1C" w:rsidRPr="008E5339">
        <w:t>rim</w:t>
      </w:r>
      <w:r w:rsidR="00221F1C">
        <w:t>i</w:t>
      </w:r>
      <w:r w:rsidR="00221F1C" w:rsidRPr="008E5339">
        <w:t>jeće</w:t>
      </w:r>
      <w:r w:rsidR="00221F1C">
        <w:t>n nedostatak dosljednosti primjene metodologije</w:t>
      </w:r>
      <w:r w:rsidR="00221F1C" w:rsidRPr="008E5339">
        <w:t xml:space="preserve">. </w:t>
      </w:r>
      <w:r w:rsidR="00221F1C">
        <w:t xml:space="preserve">Iz tih razloga </w:t>
      </w:r>
      <w:r>
        <w:t>EK</w:t>
      </w:r>
      <w:r w:rsidR="00221F1C">
        <w:t xml:space="preserve"> je</w:t>
      </w:r>
      <w:r w:rsidR="00221F1C" w:rsidRPr="008E5339">
        <w:t xml:space="preserve"> smatra</w:t>
      </w:r>
      <w:r w:rsidR="00221F1C">
        <w:t>la</w:t>
      </w:r>
      <w:r w:rsidR="00221F1C" w:rsidRPr="008E5339">
        <w:t xml:space="preserve"> da bi takve metodološke nedosljednosti mogle narušiti poticaje za ulaganja na jedinstvenom digitalnom tržištu i ugroziti razvoj unutarnjeg tržišta sprečavanjem stvaranja konvergentnih uvjeta za ulaganja u elektroničke komunikacijske mreže</w:t>
      </w:r>
      <w:r w:rsidR="00221F1C">
        <w:rPr>
          <w:rStyle w:val="FootnoteReference"/>
        </w:rPr>
        <w:footnoteReference w:id="1"/>
      </w:r>
      <w:r w:rsidR="00221F1C" w:rsidRPr="008E5339">
        <w:t>.</w:t>
      </w:r>
      <w:r w:rsidR="00221F1C">
        <w:t xml:space="preserve"> </w:t>
      </w:r>
    </w:p>
    <w:p w14:paraId="16F22F1E" w14:textId="29C62B92" w:rsidR="00221F1C" w:rsidRDefault="002F76D6" w:rsidP="00221F1C">
      <w:pPr>
        <w:jc w:val="both"/>
      </w:pPr>
      <w:r>
        <w:t>Radi toga je</w:t>
      </w:r>
      <w:r w:rsidR="00221F1C">
        <w:t xml:space="preserve"> </w:t>
      </w:r>
      <w:r>
        <w:t>EK</w:t>
      </w:r>
      <w:r w:rsidR="001B70B8">
        <w:t xml:space="preserve"> </w:t>
      </w:r>
      <w:r w:rsidR="00221F1C">
        <w:t xml:space="preserve">u studenom 2019. donijela </w:t>
      </w:r>
      <w:r w:rsidR="00221F1C" w:rsidRPr="00441926">
        <w:t xml:space="preserve">Obavijest o izračunu troška kapitala za postojeću infrastrukturu u kontekstu preispitivanja nacionalnih obavijesti u sektoru elektroničkih komunikacija </w:t>
      </w:r>
      <w:r w:rsidR="009B6056">
        <w:t>EU-a</w:t>
      </w:r>
      <w:r w:rsidR="00221F1C">
        <w:rPr>
          <w:rStyle w:val="FootnoteReference"/>
        </w:rPr>
        <w:footnoteReference w:id="2"/>
      </w:r>
      <w:r w:rsidR="00221F1C" w:rsidRPr="008E5339">
        <w:t xml:space="preserve"> </w:t>
      </w:r>
      <w:r w:rsidR="00221F1C">
        <w:t>(dalje: Obavijest).</w:t>
      </w:r>
    </w:p>
    <w:p w14:paraId="7A7E69E7" w14:textId="77777777" w:rsidR="00F84FAF" w:rsidRDefault="00F84FAF" w:rsidP="00221F1C">
      <w:pPr>
        <w:jc w:val="both"/>
      </w:pPr>
    </w:p>
    <w:p w14:paraId="523BA1C5" w14:textId="4AB8FDD2" w:rsidR="00106272" w:rsidRDefault="00E8628D" w:rsidP="00E8628D">
      <w:pPr>
        <w:jc w:val="both"/>
      </w:pPr>
      <w:r>
        <w:t>EK</w:t>
      </w:r>
      <w:r w:rsidR="00221F1C" w:rsidRPr="00F84FAF">
        <w:t xml:space="preserve"> detaljno opisuje metodologiju</w:t>
      </w:r>
      <w:r w:rsidR="00DE693E">
        <w:t xml:space="preserve"> za izračun vrijednosti parametara za WACC</w:t>
      </w:r>
      <w:r w:rsidR="00221F1C" w:rsidRPr="00F84FAF">
        <w:t xml:space="preserve"> u odjeljcima </w:t>
      </w:r>
      <w:r w:rsidR="0060398A">
        <w:t>2</w:t>
      </w:r>
      <w:r w:rsidR="00221F1C" w:rsidRPr="00F84FAF">
        <w:t xml:space="preserve">. do 6. </w:t>
      </w:r>
      <w:r w:rsidR="00F84FAF" w:rsidRPr="00F84FAF">
        <w:t>Obavijesti</w:t>
      </w:r>
      <w:r w:rsidR="00221F1C" w:rsidRPr="00F84FAF">
        <w:t xml:space="preserve">. </w:t>
      </w:r>
      <w:r w:rsidR="005510CD">
        <w:t>U o</w:t>
      </w:r>
      <w:r w:rsidR="00221F1C" w:rsidRPr="00F84FAF">
        <w:t>djeljk</w:t>
      </w:r>
      <w:r w:rsidR="005510CD">
        <w:t>u</w:t>
      </w:r>
      <w:r w:rsidR="00221F1C" w:rsidRPr="00F84FAF">
        <w:t xml:space="preserve"> 3</w:t>
      </w:r>
      <w:r w:rsidR="005510CD">
        <w:t>.</w:t>
      </w:r>
      <w:r w:rsidR="00221F1C" w:rsidRPr="00F84FAF">
        <w:t xml:space="preserve"> </w:t>
      </w:r>
      <w:r w:rsidR="005510CD">
        <w:t xml:space="preserve">opisane su </w:t>
      </w:r>
      <w:r w:rsidR="00221F1C" w:rsidRPr="00F84FAF">
        <w:t xml:space="preserve">specifikacije o </w:t>
      </w:r>
      <w:r w:rsidR="0060398A">
        <w:t>zajedničkim</w:t>
      </w:r>
      <w:r w:rsidR="00221F1C" w:rsidRPr="00F84FAF">
        <w:t xml:space="preserve"> pretpostavkama izračuna WACC paramet</w:t>
      </w:r>
      <w:r w:rsidR="001B70B8">
        <w:t>a</w:t>
      </w:r>
      <w:r w:rsidR="00221F1C" w:rsidRPr="00F84FAF">
        <w:t>r</w:t>
      </w:r>
      <w:r w:rsidR="001B70B8">
        <w:t>a</w:t>
      </w:r>
      <w:r w:rsidR="00F84FAF">
        <w:t xml:space="preserve">, </w:t>
      </w:r>
      <w:r w:rsidR="005510CD">
        <w:t>dok je</w:t>
      </w:r>
      <w:r w:rsidR="00F84FAF">
        <w:t xml:space="preserve"> u odjeljku 7. navedeno</w:t>
      </w:r>
      <w:r w:rsidR="001B70B8">
        <w:t xml:space="preserve"> </w:t>
      </w:r>
      <w:r w:rsidR="005510CD">
        <w:t>kako</w:t>
      </w:r>
      <w:r w:rsidR="002F76D6">
        <w:t xml:space="preserve"> </w:t>
      </w:r>
      <w:r w:rsidR="00F84FAF">
        <w:t>je</w:t>
      </w:r>
      <w:r w:rsidR="001B70B8">
        <w:t xml:space="preserve"> </w:t>
      </w:r>
      <w:r w:rsidR="001B70B8" w:rsidRPr="001B70B8">
        <w:t>Tijelo europskih regulatora za elektroničke komunikacije (</w:t>
      </w:r>
      <w:r w:rsidR="001B70B8">
        <w:t xml:space="preserve">dalje: </w:t>
      </w:r>
      <w:r w:rsidR="001B70B8" w:rsidRPr="001B70B8">
        <w:t>BEREC)</w:t>
      </w:r>
      <w:r w:rsidR="00F84FAF">
        <w:t xml:space="preserve"> </w:t>
      </w:r>
      <w:r w:rsidR="00221F1C" w:rsidRPr="00F84FAF">
        <w:t>odgovorn</w:t>
      </w:r>
      <w:r w:rsidR="00DA4F56">
        <w:t>o</w:t>
      </w:r>
      <w:r w:rsidR="00221F1C" w:rsidRPr="00F84FAF">
        <w:t xml:space="preserve"> za godišnji izračun parametara i njihovu objavu.</w:t>
      </w:r>
      <w:r w:rsidR="00106272">
        <w:t xml:space="preserve"> </w:t>
      </w:r>
      <w:r w:rsidR="00221F1C" w:rsidRPr="00F84FAF">
        <w:t xml:space="preserve">HAKOM je u ovoj Odluci </w:t>
      </w:r>
      <w:r>
        <w:t>koristio</w:t>
      </w:r>
      <w:r w:rsidR="00221F1C" w:rsidRPr="00F84FAF">
        <w:t xml:space="preserve"> metodologiju opisanu u </w:t>
      </w:r>
      <w:r>
        <w:t>Obavijesti</w:t>
      </w:r>
      <w:r w:rsidR="00DE693E">
        <w:t>, te stoga</w:t>
      </w:r>
      <w:r w:rsidR="00221F1C" w:rsidRPr="00F84FAF">
        <w:t xml:space="preserve"> </w:t>
      </w:r>
      <w:r w:rsidR="00DE693E">
        <w:t>u</w:t>
      </w:r>
      <w:r w:rsidR="00221F1C" w:rsidRPr="00F84FAF">
        <w:t xml:space="preserve"> ovom dokumentu neće biti detaljnije</w:t>
      </w:r>
      <w:r>
        <w:t xml:space="preserve"> opisane</w:t>
      </w:r>
      <w:r w:rsidR="00221F1C" w:rsidRPr="00F84FAF">
        <w:t xml:space="preserve"> pretpostavke koje je</w:t>
      </w:r>
      <w:r w:rsidR="00DE693E">
        <w:t xml:space="preserve"> već</w:t>
      </w:r>
      <w:r w:rsidR="00221F1C" w:rsidRPr="00F84FAF">
        <w:t xml:space="preserve"> usvojila </w:t>
      </w:r>
      <w:r>
        <w:t>EK</w:t>
      </w:r>
      <w:r w:rsidR="00221F1C" w:rsidRPr="00F84FAF">
        <w:t>.</w:t>
      </w:r>
      <w:r>
        <w:t xml:space="preserve"> </w:t>
      </w:r>
    </w:p>
    <w:p w14:paraId="7CE409F0" w14:textId="77777777" w:rsidR="00106272" w:rsidRDefault="00106272" w:rsidP="00E8628D">
      <w:pPr>
        <w:jc w:val="both"/>
      </w:pPr>
    </w:p>
    <w:p w14:paraId="447C937C" w14:textId="54B9F475" w:rsidR="00E8628D" w:rsidRPr="00460A70" w:rsidRDefault="00E8628D" w:rsidP="00E8628D">
      <w:pPr>
        <w:jc w:val="both"/>
      </w:pPr>
      <w:r w:rsidRPr="00460A70">
        <w:t>BEREC u godišnjem izračunu</w:t>
      </w:r>
      <w:r>
        <w:t xml:space="preserve"> </w:t>
      </w:r>
      <w:r w:rsidRPr="00460A70">
        <w:t>procjenj</w:t>
      </w:r>
      <w:r>
        <w:t>uje</w:t>
      </w:r>
    </w:p>
    <w:p w14:paraId="7A32D5E2" w14:textId="77777777" w:rsidR="00E8628D" w:rsidRPr="00460A70" w:rsidRDefault="00E8628D" w:rsidP="00E8628D">
      <w:pPr>
        <w:pStyle w:val="ListParagraph"/>
        <w:numPr>
          <w:ilvl w:val="0"/>
          <w:numId w:val="14"/>
        </w:numPr>
        <w:spacing w:after="160" w:line="259" w:lineRule="auto"/>
        <w:contextualSpacing/>
        <w:jc w:val="both"/>
        <w:rPr>
          <w:rFonts w:ascii="Times New Roman" w:hAnsi="Times New Roman" w:cs="Times New Roman"/>
          <w:sz w:val="24"/>
          <w:szCs w:val="24"/>
        </w:rPr>
      </w:pPr>
      <w:r w:rsidRPr="00460A70">
        <w:rPr>
          <w:rFonts w:ascii="Times New Roman" w:hAnsi="Times New Roman" w:cs="Times New Roman"/>
          <w:sz w:val="24"/>
          <w:szCs w:val="24"/>
        </w:rPr>
        <w:t xml:space="preserve">parametre koji odražavaju opće gospodarske uvjete i </w:t>
      </w:r>
    </w:p>
    <w:p w14:paraId="0B443724" w14:textId="77777777" w:rsidR="00E8628D" w:rsidRPr="00460A70" w:rsidRDefault="00E8628D" w:rsidP="00E8628D">
      <w:pPr>
        <w:pStyle w:val="ListParagraph"/>
        <w:numPr>
          <w:ilvl w:val="0"/>
          <w:numId w:val="14"/>
        </w:numPr>
        <w:spacing w:after="160" w:line="259" w:lineRule="auto"/>
        <w:contextualSpacing/>
        <w:jc w:val="both"/>
        <w:rPr>
          <w:rFonts w:ascii="Times New Roman" w:hAnsi="Times New Roman" w:cs="Times New Roman"/>
          <w:sz w:val="24"/>
          <w:szCs w:val="24"/>
        </w:rPr>
      </w:pPr>
      <w:r w:rsidRPr="00460A70">
        <w:rPr>
          <w:rFonts w:ascii="Times New Roman" w:hAnsi="Times New Roman" w:cs="Times New Roman"/>
          <w:sz w:val="24"/>
          <w:szCs w:val="24"/>
        </w:rPr>
        <w:t xml:space="preserve">parametre specifične za društva za skupinu istovrsnih društava. </w:t>
      </w:r>
    </w:p>
    <w:p w14:paraId="322C0F37" w14:textId="77777777" w:rsidR="00EA497A" w:rsidRDefault="00EA497A" w:rsidP="00E8628D">
      <w:pPr>
        <w:jc w:val="both"/>
      </w:pPr>
    </w:p>
    <w:p w14:paraId="53041341" w14:textId="0B812DEC" w:rsidR="00E8628D" w:rsidRDefault="00E8628D" w:rsidP="00E8628D">
      <w:pPr>
        <w:jc w:val="both"/>
      </w:pPr>
      <w:r w:rsidRPr="00460A70">
        <w:t>Kad je riječ o parametrima koji odražavaju opće gospodarske uvjete BEREC procjenj</w:t>
      </w:r>
      <w:r>
        <w:t>uje</w:t>
      </w:r>
      <w:r w:rsidRPr="00460A70">
        <w:t xml:space="preserve"> nerizičnu kamatnu stopu za svaku državu članicu te jedinstvenu premiju rizika vlasničkog kapitala na razini </w:t>
      </w:r>
      <w:r w:rsidR="00080D8F">
        <w:t>E</w:t>
      </w:r>
      <w:r w:rsidRPr="00460A70">
        <w:t>U</w:t>
      </w:r>
      <w:r w:rsidR="00080D8F">
        <w:t>-a</w:t>
      </w:r>
      <w:r w:rsidRPr="00460A70">
        <w:t>. U pogledu parametara specifičnih za društva BEREC</w:t>
      </w:r>
      <w:r w:rsidR="00A25857">
        <w:t xml:space="preserve"> je</w:t>
      </w:r>
      <w:r w:rsidR="00DE693E">
        <w:t xml:space="preserve"> u svom izvješću</w:t>
      </w:r>
      <w:r w:rsidRPr="00460A70">
        <w:t xml:space="preserve"> pripremi</w:t>
      </w:r>
      <w:r w:rsidR="00A25857">
        <w:t>o</w:t>
      </w:r>
      <w:r w:rsidRPr="00460A70">
        <w:t xml:space="preserve"> popis društava </w:t>
      </w:r>
      <w:r w:rsidR="00816E8E">
        <w:t xml:space="preserve">koja se mogu </w:t>
      </w:r>
      <w:r w:rsidRPr="00460A70">
        <w:t>uvr</w:t>
      </w:r>
      <w:r w:rsidR="00816E8E">
        <w:t>stiti</w:t>
      </w:r>
      <w:r w:rsidRPr="00460A70">
        <w:t xml:space="preserve"> u skupinu istovrsnih društava te procijeni</w:t>
      </w:r>
      <w:r w:rsidR="00A25857">
        <w:t>o</w:t>
      </w:r>
      <w:r w:rsidRPr="00460A70">
        <w:t xml:space="preserve"> beta</w:t>
      </w:r>
      <w:r>
        <w:t xml:space="preserve"> </w:t>
      </w:r>
      <w:r w:rsidRPr="00460A70">
        <w:t>koeficijent</w:t>
      </w:r>
      <w:r w:rsidR="00A141E4">
        <w:t>e</w:t>
      </w:r>
      <w:r w:rsidRPr="00460A70">
        <w:t xml:space="preserve"> vlasničkog kapitala, stupanj zaduženosti, premiju duga i trošak duga za svako društvo </w:t>
      </w:r>
      <w:r w:rsidR="00DA4F56">
        <w:t>s</w:t>
      </w:r>
      <w:r w:rsidRPr="00460A70">
        <w:t xml:space="preserve"> popis</w:t>
      </w:r>
      <w:r w:rsidR="00DA4F56">
        <w:t>a</w:t>
      </w:r>
      <w:r w:rsidR="00080D8F">
        <w:t>.</w:t>
      </w:r>
    </w:p>
    <w:p w14:paraId="6177B056" w14:textId="38DEC5D5" w:rsidR="00221F1C" w:rsidRPr="00F84FAF" w:rsidRDefault="005510CD" w:rsidP="00221F1C">
      <w:pPr>
        <w:jc w:val="both"/>
      </w:pPr>
      <w:r>
        <w:t>Obavijest</w:t>
      </w:r>
      <w:r w:rsidRPr="00F84FAF">
        <w:t xml:space="preserve"> predviđa da se BEREC izvješće, a time i parametri sadržani u njemu, ažuriraju svake godine.</w:t>
      </w:r>
    </w:p>
    <w:p w14:paraId="5F508AAB" w14:textId="77777777" w:rsidR="00EA497A" w:rsidRDefault="00EA497A" w:rsidP="005510CD">
      <w:pPr>
        <w:jc w:val="both"/>
      </w:pPr>
    </w:p>
    <w:p w14:paraId="5DC3B7F8" w14:textId="03DF5831" w:rsidR="005510CD" w:rsidRDefault="005510CD" w:rsidP="005510CD">
      <w:pPr>
        <w:jc w:val="both"/>
      </w:pPr>
      <w:r w:rsidRPr="00A031D0">
        <w:t xml:space="preserve">HAKOM je po službenoj dužnosti pokrenuo postupak kako bi ažurirao vrijednosti </w:t>
      </w:r>
      <w:r>
        <w:t xml:space="preserve">WACC-a </w:t>
      </w:r>
      <w:r w:rsidRPr="00A031D0">
        <w:t>za buduće razdoblje. Za izračun budu</w:t>
      </w:r>
      <w:r>
        <w:t xml:space="preserve">ćih vrijednosti WACC-a HAKOM je koristio podatke iz </w:t>
      </w:r>
      <w:r w:rsidR="003B6FAB">
        <w:t xml:space="preserve">BEREC-ovog </w:t>
      </w:r>
      <w:r>
        <w:t>izvješća</w:t>
      </w:r>
      <w:r w:rsidR="003B6FAB">
        <w:t xml:space="preserve"> za</w:t>
      </w:r>
      <w:r>
        <w:t xml:space="preserve"> </w:t>
      </w:r>
      <w:r w:rsidR="00F417F4" w:rsidRPr="005510CD">
        <w:t xml:space="preserve">WACC </w:t>
      </w:r>
      <w:r w:rsidR="003B6FAB">
        <w:t>(</w:t>
      </w:r>
      <w:proofErr w:type="spellStart"/>
      <w:r w:rsidR="00F417F4" w:rsidRPr="005510CD">
        <w:t>BoR</w:t>
      </w:r>
      <w:proofErr w:type="spellEnd"/>
      <w:r w:rsidR="00F417F4" w:rsidRPr="005510CD">
        <w:t xml:space="preserve"> (22) </w:t>
      </w:r>
      <w:r w:rsidR="00F417F4">
        <w:t>70</w:t>
      </w:r>
      <w:r w:rsidR="003B6FAB">
        <w:t>)</w:t>
      </w:r>
      <w:r w:rsidR="00F417F4">
        <w:rPr>
          <w:rStyle w:val="FootnoteReference"/>
        </w:rPr>
        <w:footnoteReference w:id="3"/>
      </w:r>
      <w:r w:rsidR="00F417F4">
        <w:t xml:space="preserve"> (dalje u tekstu: Izvješće o parametrima WACC 2022.) objavljenog </w:t>
      </w:r>
      <w:r w:rsidR="00F417F4" w:rsidRPr="005510CD">
        <w:t>14. lipnja 202</w:t>
      </w:r>
      <w:r w:rsidR="00F417F4">
        <w:t>2.</w:t>
      </w:r>
      <w:r w:rsidR="00BD7D0E">
        <w:t xml:space="preserve"> </w:t>
      </w:r>
    </w:p>
    <w:p w14:paraId="2A46FD95" w14:textId="320F32E2" w:rsidR="00BD7D0E" w:rsidRDefault="00BD7D0E" w:rsidP="005510CD">
      <w:pPr>
        <w:jc w:val="both"/>
      </w:pPr>
    </w:p>
    <w:p w14:paraId="36C87C21" w14:textId="77777777" w:rsidR="009F4D75" w:rsidRPr="009F4D75" w:rsidRDefault="009F4D75" w:rsidP="009F4D75">
      <w:pPr>
        <w:jc w:val="both"/>
      </w:pPr>
      <w:r w:rsidRPr="009F4D75">
        <w:t>WACC se računa po donjoj formuli:</w:t>
      </w:r>
    </w:p>
    <w:p w14:paraId="444ED428" w14:textId="77777777" w:rsidR="009F4D75" w:rsidRPr="009F4D75" w:rsidRDefault="009F4D75" w:rsidP="009F4D75">
      <w:pPr>
        <w:jc w:val="both"/>
      </w:pPr>
    </w:p>
    <w:p w14:paraId="1F2DD807" w14:textId="77777777" w:rsidR="009F4D75" w:rsidRPr="009F4D75" w:rsidRDefault="00063DA4" w:rsidP="009F4D75">
      <w:pPr>
        <w:jc w:val="both"/>
      </w:pPr>
      <w:r>
        <w:object w:dxaOrig="1440" w:dyaOrig="1440" w14:anchorId="67E95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4.9pt;margin-top:4.55pt;width:191.7pt;height:43.05pt;z-index:251660288;visibility:visible" strokecolor="#c30">
            <v:imagedata r:id="rId11" o:title=""/>
          </v:shape>
          <o:OLEObject Type="Embed" ProgID="Unknown" ShapeID="_x0000_s1029" DrawAspect="Content" ObjectID="_1718432018" r:id="rId12"/>
        </w:object>
      </w:r>
    </w:p>
    <w:p w14:paraId="3CC541AF" w14:textId="77777777" w:rsidR="009F4D75" w:rsidRPr="009F4D75" w:rsidRDefault="009F4D75" w:rsidP="009F4D75">
      <w:pPr>
        <w:jc w:val="both"/>
      </w:pPr>
    </w:p>
    <w:p w14:paraId="7675B8CD" w14:textId="77777777" w:rsidR="009F4D75" w:rsidRPr="009F4D75" w:rsidRDefault="009F4D75" w:rsidP="009F4D75">
      <w:pPr>
        <w:jc w:val="both"/>
      </w:pPr>
    </w:p>
    <w:p w14:paraId="1D3F95B3" w14:textId="77777777" w:rsidR="009F4D75" w:rsidRPr="009F4D75" w:rsidRDefault="009F4D75" w:rsidP="009F4D75">
      <w:pPr>
        <w:jc w:val="both"/>
      </w:pPr>
    </w:p>
    <w:p w14:paraId="671B1154" w14:textId="7F0F1D3E" w:rsidR="00702AF0" w:rsidRDefault="009F4D75" w:rsidP="005510CD">
      <w:pPr>
        <w:jc w:val="both"/>
      </w:pPr>
      <w:r w:rsidRPr="009F4D75">
        <w:t>U nastavku odluke slijede pojašnjenja te korišteni iznosi svih parametara izračuna WACC-a prema gore navedenoj formuli.</w:t>
      </w:r>
    </w:p>
    <w:p w14:paraId="1444ECF6" w14:textId="650E3B00" w:rsidR="00FF3417" w:rsidRPr="00B21D68" w:rsidRDefault="00FF3417" w:rsidP="00B21D68">
      <w:pPr>
        <w:pStyle w:val="BodyText"/>
        <w:numPr>
          <w:ilvl w:val="0"/>
          <w:numId w:val="16"/>
        </w:numPr>
        <w:spacing w:before="100" w:beforeAutospacing="1" w:after="100" w:afterAutospacing="1"/>
        <w:rPr>
          <w:i/>
        </w:rPr>
      </w:pPr>
      <w:bookmarkStart w:id="1" w:name="_Toc318884778"/>
      <w:bookmarkEnd w:id="0"/>
      <w:r w:rsidRPr="00B21D68">
        <w:rPr>
          <w:i/>
        </w:rPr>
        <w:t>Trošak duga C</w:t>
      </w:r>
      <w:r w:rsidRPr="0045798F">
        <w:rPr>
          <w:i/>
          <w:vertAlign w:val="subscript"/>
        </w:rPr>
        <w:t>D</w:t>
      </w:r>
      <w:bookmarkEnd w:id="1"/>
    </w:p>
    <w:p w14:paraId="311E6C1C" w14:textId="24978D23" w:rsidR="00C4478C" w:rsidRDefault="00021157" w:rsidP="00FF3417">
      <w:pPr>
        <w:spacing w:before="100" w:beforeAutospacing="1" w:after="100" w:afterAutospacing="1"/>
        <w:jc w:val="both"/>
      </w:pPr>
      <w:r>
        <w:t>Trošak duga</w:t>
      </w:r>
      <w:r w:rsidR="006F73D5">
        <w:t xml:space="preserve"> </w:t>
      </w:r>
      <w:r w:rsidR="006F73D5" w:rsidRPr="00B21D68">
        <w:rPr>
          <w:i/>
        </w:rPr>
        <w:t>(</w:t>
      </w:r>
      <w:r w:rsidR="006F73D5" w:rsidRPr="00EA497A">
        <w:rPr>
          <w:i/>
          <w:lang w:val="pl-PL"/>
        </w:rPr>
        <w:t>eng</w:t>
      </w:r>
      <w:r w:rsidR="006F73D5" w:rsidRPr="00EA497A">
        <w:rPr>
          <w:lang w:val="pl-PL"/>
        </w:rPr>
        <w:t xml:space="preserve">. </w:t>
      </w:r>
      <w:r w:rsidR="006F73D5" w:rsidRPr="006F73D5">
        <w:rPr>
          <w:i/>
          <w:lang w:val="pl-PL"/>
        </w:rPr>
        <w:t xml:space="preserve">Cost of </w:t>
      </w:r>
      <w:r w:rsidR="006F73D5" w:rsidRPr="00EA497A">
        <w:rPr>
          <w:i/>
          <w:lang w:val="pl-PL"/>
        </w:rPr>
        <w:t>Debt</w:t>
      </w:r>
      <w:r w:rsidR="006F73D5">
        <w:rPr>
          <w:i/>
          <w:lang w:val="pl-PL"/>
        </w:rPr>
        <w:t>)</w:t>
      </w:r>
      <w:r>
        <w:t xml:space="preserve"> može se mjeriti izravno kao kamata koju društvo plaća za svoja dugovanja ili neizravno kao premija na nerizičnu kamatnu stopu. Premija duga može se procijeniti kao razlika između domaće nerizične kamatne stope i prinosa dugoročnih korporativnih obveznica (što je moguće bliže 10</w:t>
      </w:r>
      <w:r w:rsidR="005F6A45">
        <w:t xml:space="preserve"> </w:t>
      </w:r>
      <w:r>
        <w:t>godišnjem roku dospijeća koji se primjenjuje za nerizičnu kamatnu stopu).</w:t>
      </w:r>
    </w:p>
    <w:p w14:paraId="33434F64" w14:textId="6D6B4DC8" w:rsidR="00FF3417" w:rsidRPr="00A031D0" w:rsidRDefault="00FF3417" w:rsidP="00FF3417">
      <w:pPr>
        <w:spacing w:before="100" w:beforeAutospacing="1" w:after="100" w:afterAutospacing="1"/>
        <w:jc w:val="both"/>
      </w:pPr>
      <w:r w:rsidRPr="00A031D0">
        <w:t xml:space="preserve">Trošak duga se izračunao </w:t>
      </w:r>
      <w:r w:rsidR="00C4478C">
        <w:t>kao zbroj</w:t>
      </w:r>
      <w:r w:rsidRPr="00A031D0">
        <w:t xml:space="preserve"> nerizičn</w:t>
      </w:r>
      <w:r w:rsidR="00C4478C">
        <w:t xml:space="preserve">e kamatne stope </w:t>
      </w:r>
      <w:r w:rsidR="00EE58F4">
        <w:t>(</w:t>
      </w:r>
      <w:proofErr w:type="spellStart"/>
      <w:r w:rsidR="00EE58F4">
        <w:t>rf</w:t>
      </w:r>
      <w:proofErr w:type="spellEnd"/>
      <w:r w:rsidR="00EE58F4">
        <w:t>)</w:t>
      </w:r>
      <w:r w:rsidRPr="00A031D0">
        <w:t xml:space="preserve"> i premije </w:t>
      </w:r>
      <w:r w:rsidR="00EE58F4">
        <w:t>duga</w:t>
      </w:r>
      <w:r w:rsidRPr="00A031D0">
        <w:t xml:space="preserve"> (DP).</w:t>
      </w:r>
    </w:p>
    <w:p w14:paraId="384987BF" w14:textId="7075CA33" w:rsidR="00FF3417" w:rsidRPr="00A031D0" w:rsidRDefault="00FF3417" w:rsidP="00FF3417">
      <w:pPr>
        <w:pStyle w:val="BodyText"/>
        <w:spacing w:before="100" w:beforeAutospacing="1" w:after="100" w:afterAutospacing="1"/>
        <w:rPr>
          <w:i/>
        </w:rPr>
      </w:pPr>
      <w:r w:rsidRPr="00A031D0">
        <w:rPr>
          <w:i/>
        </w:rPr>
        <w:t xml:space="preserve">Nerizična stopa </w:t>
      </w:r>
      <w:proofErr w:type="spellStart"/>
      <w:r w:rsidRPr="00A031D0">
        <w:rPr>
          <w:i/>
        </w:rPr>
        <w:t>r</w:t>
      </w:r>
      <w:r w:rsidRPr="00A031D0">
        <w:rPr>
          <w:i/>
          <w:vertAlign w:val="subscript"/>
        </w:rPr>
        <w:t>F</w:t>
      </w:r>
      <w:proofErr w:type="spellEnd"/>
    </w:p>
    <w:p w14:paraId="745685EE" w14:textId="5A6F0942" w:rsidR="0013454A" w:rsidRDefault="006C7246" w:rsidP="00B21D68">
      <w:pPr>
        <w:jc w:val="both"/>
      </w:pPr>
      <w:r>
        <w:t>Nerizična stopa</w:t>
      </w:r>
      <w:r w:rsidR="006F73D5">
        <w:t xml:space="preserve"> </w:t>
      </w:r>
      <w:r w:rsidR="006F73D5" w:rsidRPr="00A031D0">
        <w:rPr>
          <w:i/>
        </w:rPr>
        <w:t>(</w:t>
      </w:r>
      <w:r w:rsidR="006F73D5" w:rsidRPr="00EA497A">
        <w:rPr>
          <w:i/>
          <w:lang w:val="pl-PL"/>
        </w:rPr>
        <w:t>eng</w:t>
      </w:r>
      <w:r w:rsidR="006F73D5" w:rsidRPr="00EA497A">
        <w:rPr>
          <w:lang w:val="pl-PL"/>
        </w:rPr>
        <w:t>.</w:t>
      </w:r>
      <w:r w:rsidR="006F73D5">
        <w:rPr>
          <w:lang w:val="pl-PL"/>
        </w:rPr>
        <w:t xml:space="preserve"> </w:t>
      </w:r>
      <w:proofErr w:type="spellStart"/>
      <w:r w:rsidR="006F73D5" w:rsidRPr="006F73D5">
        <w:rPr>
          <w:i/>
        </w:rPr>
        <w:t>Risk</w:t>
      </w:r>
      <w:proofErr w:type="spellEnd"/>
      <w:r w:rsidR="006F73D5" w:rsidRPr="006F73D5">
        <w:rPr>
          <w:i/>
        </w:rPr>
        <w:t xml:space="preserve"> Free Rate</w:t>
      </w:r>
      <w:r w:rsidRPr="00A031D0">
        <w:rPr>
          <w:i/>
        </w:rPr>
        <w:t>)</w:t>
      </w:r>
      <w:r w:rsidR="0013454A">
        <w:t xml:space="preserve"> je stopa povrata koju bi ulagač očekivao dobiti od ulaganja u financijske instrumente koji teoretski ne nose nikakav rizik od neispunjavanja obveza, kao što je državna obveznica.</w:t>
      </w:r>
      <w:r w:rsidR="00DA4F56">
        <w:t xml:space="preserve"> </w:t>
      </w:r>
      <w:r w:rsidR="0013454A">
        <w:t>Dosadašnja praksa većine nacionalnih regulatornih tijela bila je izračunavanje</w:t>
      </w:r>
      <w:r w:rsidR="00D231FD">
        <w:t xml:space="preserve"> nerizične</w:t>
      </w:r>
      <w:r w:rsidR="0013454A">
        <w:t xml:space="preserve"> stope korištenjem prinosa na 10-godišnje domaće državne obveznice.</w:t>
      </w:r>
      <w:r w:rsidR="00B21D68">
        <w:t xml:space="preserve"> </w:t>
      </w:r>
    </w:p>
    <w:p w14:paraId="7C12F515" w14:textId="77777777" w:rsidR="00DA4F56" w:rsidRDefault="00DA4F56" w:rsidP="00B21D68">
      <w:pPr>
        <w:jc w:val="both"/>
      </w:pPr>
    </w:p>
    <w:p w14:paraId="070E644B" w14:textId="3EA1C49A" w:rsidR="00465889" w:rsidRDefault="00FF3417" w:rsidP="00465889">
      <w:pPr>
        <w:jc w:val="both"/>
      </w:pPr>
      <w:r w:rsidRPr="00A031D0">
        <w:t>HAKOM je za izračun n</w:t>
      </w:r>
      <w:r w:rsidR="00B21D68">
        <w:t xml:space="preserve">erizične stope koristio metodu </w:t>
      </w:r>
      <w:r w:rsidRPr="00B21D68">
        <w:t>prinosa na hrvatske državne obveznice sa desetogodišnjim dospijećem.</w:t>
      </w:r>
      <w:r w:rsidR="00080D8F">
        <w:t xml:space="preserve"> </w:t>
      </w:r>
      <w:r w:rsidR="00465889">
        <w:t xml:space="preserve">Dakle, </w:t>
      </w:r>
      <w:r w:rsidR="009B6056">
        <w:t>n</w:t>
      </w:r>
      <w:r w:rsidR="00465889">
        <w:t xml:space="preserve">erizična stopa korištena na temelju prosjeka mjesečnih prinosa promatranih tijekom posljednjih 5 godina </w:t>
      </w:r>
      <w:r w:rsidR="00465889" w:rsidRPr="00B21D68">
        <w:t>(od travnja 2017. do ožujka 2022.)</w:t>
      </w:r>
      <w:r w:rsidR="00465889">
        <w:t xml:space="preserve"> za hrvatske državne obveznice s preostalim dospijećem od 10 godina iznosi 1,</w:t>
      </w:r>
      <w:r w:rsidR="00B21D68">
        <w:t>43</w:t>
      </w:r>
      <w:r w:rsidR="00465889">
        <w:t>%.</w:t>
      </w:r>
    </w:p>
    <w:p w14:paraId="368D8DBD" w14:textId="44EA8A1E" w:rsidR="00FF3417" w:rsidRPr="00A031D0" w:rsidRDefault="00FF3417" w:rsidP="00FF3417">
      <w:pPr>
        <w:jc w:val="both"/>
      </w:pPr>
      <w:r w:rsidRPr="00A031D0">
        <w:t>Vrijednost koja je korištena</w:t>
      </w:r>
      <w:r w:rsidR="00591E49">
        <w:t xml:space="preserve"> u izračunu</w:t>
      </w:r>
      <w:r w:rsidRPr="00A031D0">
        <w:t xml:space="preserve"> iznosi </w:t>
      </w:r>
      <w:r w:rsidR="00465889">
        <w:rPr>
          <w:b/>
        </w:rPr>
        <w:t>1,</w:t>
      </w:r>
      <w:r w:rsidR="00B21D68">
        <w:rPr>
          <w:b/>
        </w:rPr>
        <w:t>43</w:t>
      </w:r>
      <w:r w:rsidRPr="00A031D0">
        <w:rPr>
          <w:b/>
        </w:rPr>
        <w:t>%.</w:t>
      </w:r>
    </w:p>
    <w:p w14:paraId="6F835B88" w14:textId="7BC30230" w:rsidR="00FF3417" w:rsidRPr="00A031D0" w:rsidRDefault="00FF3417" w:rsidP="00FF3417">
      <w:pPr>
        <w:spacing w:before="100" w:beforeAutospacing="1" w:after="100" w:afterAutospacing="1"/>
        <w:jc w:val="both"/>
        <w:rPr>
          <w:i/>
        </w:rPr>
      </w:pPr>
      <w:r w:rsidRPr="00A031D0">
        <w:rPr>
          <w:i/>
        </w:rPr>
        <w:t xml:space="preserve">Premija </w:t>
      </w:r>
      <w:r w:rsidR="006F73D5">
        <w:rPr>
          <w:i/>
        </w:rPr>
        <w:t>duga</w:t>
      </w:r>
      <w:r w:rsidRPr="00A031D0">
        <w:rPr>
          <w:i/>
        </w:rPr>
        <w:t xml:space="preserve"> (D</w:t>
      </w:r>
      <w:r w:rsidRPr="00080D8F">
        <w:rPr>
          <w:i/>
          <w:vertAlign w:val="subscript"/>
        </w:rPr>
        <w:t>P</w:t>
      </w:r>
      <w:r w:rsidRPr="00A031D0">
        <w:rPr>
          <w:i/>
        </w:rPr>
        <w:t>)</w:t>
      </w:r>
    </w:p>
    <w:p w14:paraId="3E9DCBD1" w14:textId="21E1C8C2" w:rsidR="00263139" w:rsidRDefault="00263139" w:rsidP="00263139">
      <w:pPr>
        <w:jc w:val="both"/>
      </w:pPr>
      <w:r>
        <w:t xml:space="preserve">Premija duga </w:t>
      </w:r>
      <w:r w:rsidRPr="00A031D0">
        <w:t>(</w:t>
      </w:r>
      <w:r w:rsidRPr="00EA497A">
        <w:rPr>
          <w:i/>
          <w:lang w:val="pl-PL"/>
        </w:rPr>
        <w:t>eng</w:t>
      </w:r>
      <w:r w:rsidRPr="00EA497A">
        <w:rPr>
          <w:lang w:val="pl-PL"/>
        </w:rPr>
        <w:t xml:space="preserve">. </w:t>
      </w:r>
      <w:r w:rsidRPr="00EA497A">
        <w:rPr>
          <w:i/>
          <w:lang w:val="pl-PL"/>
        </w:rPr>
        <w:t>Debt Premium</w:t>
      </w:r>
      <w:r w:rsidRPr="00A031D0">
        <w:t xml:space="preserve">) </w:t>
      </w:r>
      <w:r>
        <w:t>je dodatni povrat koji zajmodavci ili investitori zahtijevaju za tvrtku iznad nerizične stope. Razina premije duga u velikoj mjeri ovisi o uočenom kreditnom riziku i kreditnom rejtingu. Premija duga može se procijeniti korištenjem prinosa na korporativne obveznice iznad kamatne stope na dugoročne državne obveznice. Premija duga izračunava se na sljedeći način:</w:t>
      </w:r>
    </w:p>
    <w:p w14:paraId="69A05B3F" w14:textId="77777777" w:rsidR="00263139" w:rsidRDefault="00263139" w:rsidP="00263139">
      <w:pPr>
        <w:jc w:val="both"/>
      </w:pPr>
    </w:p>
    <w:p w14:paraId="46A0E9A4" w14:textId="4DF46E1A" w:rsidR="00263139" w:rsidRDefault="00263139" w:rsidP="0045798F">
      <w:pPr>
        <w:jc w:val="center"/>
      </w:pPr>
      <w:r>
        <w:t>Premija duga</w:t>
      </w:r>
      <w:r w:rsidR="0045798F">
        <w:t xml:space="preserve"> (</w:t>
      </w:r>
      <w:r w:rsidR="0045798F" w:rsidRPr="00A031D0">
        <w:rPr>
          <w:i/>
        </w:rPr>
        <w:t>D</w:t>
      </w:r>
      <w:r w:rsidR="0045798F" w:rsidRPr="00080D8F">
        <w:rPr>
          <w:i/>
          <w:vertAlign w:val="subscript"/>
        </w:rPr>
        <w:t>P</w:t>
      </w:r>
      <w:r w:rsidR="0045798F">
        <w:t>)</w:t>
      </w:r>
      <w:r>
        <w:t xml:space="preserve"> = trošak duga</w:t>
      </w:r>
      <w:r w:rsidR="0045798F">
        <w:t xml:space="preserve"> (</w:t>
      </w:r>
      <w:r w:rsidR="0045798F" w:rsidRPr="00B21D68">
        <w:rPr>
          <w:i/>
        </w:rPr>
        <w:t>C</w:t>
      </w:r>
      <w:r w:rsidR="0045798F" w:rsidRPr="0045798F">
        <w:rPr>
          <w:i/>
          <w:vertAlign w:val="subscript"/>
        </w:rPr>
        <w:t>D</w:t>
      </w:r>
      <w:r w:rsidR="0045798F">
        <w:t>)</w:t>
      </w:r>
      <w:r>
        <w:t xml:space="preserve"> - stopa bez rizika</w:t>
      </w:r>
      <w:r w:rsidR="0045798F" w:rsidRPr="0045798F">
        <w:rPr>
          <w:b/>
          <w:bCs/>
          <w:color w:val="000000"/>
          <w:sz w:val="22"/>
          <w:szCs w:val="22"/>
        </w:rPr>
        <w:t xml:space="preserve"> </w:t>
      </w:r>
      <w:r w:rsidR="0045798F">
        <w:rPr>
          <w:b/>
          <w:bCs/>
          <w:color w:val="000000"/>
          <w:sz w:val="22"/>
          <w:szCs w:val="22"/>
        </w:rPr>
        <w:t>(</w:t>
      </w:r>
      <w:r w:rsidR="0045798F" w:rsidRPr="0045798F">
        <w:rPr>
          <w:bCs/>
          <w:i/>
          <w:color w:val="000000"/>
          <w:sz w:val="22"/>
          <w:szCs w:val="22"/>
        </w:rPr>
        <w:t>R</w:t>
      </w:r>
      <w:r w:rsidR="0045798F" w:rsidRPr="0045798F">
        <w:rPr>
          <w:bCs/>
          <w:i/>
          <w:color w:val="000000"/>
          <w:sz w:val="12"/>
          <w:szCs w:val="12"/>
        </w:rPr>
        <w:t>F</w:t>
      </w:r>
      <w:r w:rsidR="0045798F">
        <w:t>)</w:t>
      </w:r>
      <w:r w:rsidR="0045798F" w:rsidRPr="00A031D0">
        <w:rPr>
          <w:b/>
          <w:bCs/>
          <w:color w:val="000000"/>
          <w:sz w:val="22"/>
          <w:szCs w:val="22"/>
        </w:rPr>
        <w:t xml:space="preserve"> </w:t>
      </w:r>
    </w:p>
    <w:p w14:paraId="0C0652BA" w14:textId="77777777" w:rsidR="00263139" w:rsidRDefault="00263139" w:rsidP="00263139">
      <w:pPr>
        <w:jc w:val="both"/>
      </w:pPr>
    </w:p>
    <w:p w14:paraId="0A81F7F5" w14:textId="24985C9F" w:rsidR="00263139" w:rsidRDefault="00263139" w:rsidP="00263139">
      <w:pPr>
        <w:jc w:val="both"/>
      </w:pPr>
      <w:r>
        <w:t xml:space="preserve">Za izračun premije duga BEREC procjenjuje, u skladu s ustaljenom praksom, prinos na dugoročne korporativne obveznice iznad nerizične stope. Izvor podataka korišten za izračun premije duga je </w:t>
      </w:r>
      <w:proofErr w:type="spellStart"/>
      <w:r w:rsidRPr="00080D8F">
        <w:rPr>
          <w:i/>
        </w:rPr>
        <w:t>Bloomberg</w:t>
      </w:r>
      <w:proofErr w:type="spellEnd"/>
      <w:r w:rsidR="00D231FD">
        <w:t xml:space="preserve">, koji </w:t>
      </w:r>
      <w:r>
        <w:t>se uvelike koristi u financijskom i korporativnom sektoru.</w:t>
      </w:r>
    </w:p>
    <w:p w14:paraId="061FD929" w14:textId="77777777" w:rsidR="00263139" w:rsidRDefault="00263139" w:rsidP="00465889">
      <w:pPr>
        <w:jc w:val="both"/>
      </w:pPr>
    </w:p>
    <w:p w14:paraId="40CB422D" w14:textId="6C8941F3" w:rsidR="003F70E9" w:rsidRPr="00A031D0" w:rsidRDefault="00465889" w:rsidP="0045798F">
      <w:pPr>
        <w:jc w:val="both"/>
        <w:rPr>
          <w:b/>
        </w:rPr>
      </w:pPr>
      <w:r>
        <w:t xml:space="preserve">Prema Obavijesti, </w:t>
      </w:r>
      <w:r w:rsidR="00591E49" w:rsidRPr="00A031D0">
        <w:t>specifični rizik kompanije</w:t>
      </w:r>
      <w:r w:rsidR="00591E49">
        <w:t xml:space="preserve"> (premija duga)</w:t>
      </w:r>
      <w:r w:rsidR="00591E49" w:rsidRPr="00A031D0">
        <w:t xml:space="preserve"> </w:t>
      </w:r>
      <w:r>
        <w:t>izračuna</w:t>
      </w:r>
      <w:r w:rsidR="00591E49">
        <w:t>t</w:t>
      </w:r>
      <w:r>
        <w:t xml:space="preserve"> </w:t>
      </w:r>
      <w:r w:rsidR="00591E49">
        <w:t>j</w:t>
      </w:r>
      <w:r>
        <w:t>e kao razlika između prinosa na 10-godišnje obveznice svake od usporedivih tvrtki i prinosa na 10-godišnje državne obveznice zemlje u kojoj je sjedište tvrtke.</w:t>
      </w:r>
      <w:r w:rsidR="00A33977">
        <w:t xml:space="preserve"> </w:t>
      </w:r>
      <w:r>
        <w:t xml:space="preserve">Nakon toga je izračunata aritmetička sredina vrijednosti ove razlike za svaku tvrtku. </w:t>
      </w:r>
      <w:r w:rsidR="003F70E9" w:rsidRPr="00A031D0">
        <w:t xml:space="preserve">Popis </w:t>
      </w:r>
      <w:r w:rsidR="003F70E9">
        <w:t xml:space="preserve">usporedivih </w:t>
      </w:r>
      <w:r w:rsidR="003F70E9" w:rsidRPr="00A031D0">
        <w:t xml:space="preserve">operatora nalazi se u Privitku </w:t>
      </w:r>
      <w:r w:rsidR="009E2334">
        <w:t>1</w:t>
      </w:r>
      <w:r w:rsidR="003F70E9" w:rsidRPr="00A031D0">
        <w:t xml:space="preserve"> ove odluke.</w:t>
      </w:r>
    </w:p>
    <w:p w14:paraId="5F2C1077" w14:textId="0F3A6E88" w:rsidR="00A33977" w:rsidRDefault="005F6A45" w:rsidP="00A33977">
      <w:pPr>
        <w:jc w:val="both"/>
      </w:pPr>
      <w:r w:rsidRPr="00C15A45">
        <w:t>P</w:t>
      </w:r>
      <w:r w:rsidR="00465889" w:rsidRPr="00C15A45">
        <w:t>remija duga</w:t>
      </w:r>
      <w:r w:rsidR="00465889">
        <w:t xml:space="preserve"> koja će se koristiti </w:t>
      </w:r>
      <w:r w:rsidR="00D231FD">
        <w:t xml:space="preserve">u izračunu </w:t>
      </w:r>
      <w:r w:rsidR="00DA4F56">
        <w:t>je</w:t>
      </w:r>
      <w:r w:rsidR="00465889">
        <w:t xml:space="preserve"> 1</w:t>
      </w:r>
      <w:r w:rsidR="00B21D68">
        <w:t>31</w:t>
      </w:r>
      <w:r w:rsidR="00465889">
        <w:t xml:space="preserve"> baznih bodova, </w:t>
      </w:r>
      <w:r w:rsidR="00591E49">
        <w:t>o</w:t>
      </w:r>
      <w:r w:rsidR="00465889">
        <w:t xml:space="preserve">dnosno </w:t>
      </w:r>
      <w:r w:rsidR="00465889" w:rsidRPr="00C15A45">
        <w:rPr>
          <w:b/>
        </w:rPr>
        <w:t>1,</w:t>
      </w:r>
      <w:r w:rsidR="00B21D68" w:rsidRPr="00C15A45">
        <w:rPr>
          <w:b/>
        </w:rPr>
        <w:t>31</w:t>
      </w:r>
      <w:r w:rsidR="00465889" w:rsidRPr="00C15A45">
        <w:rPr>
          <w:b/>
        </w:rPr>
        <w:t>%.</w:t>
      </w:r>
      <w:r w:rsidR="00465889">
        <w:t xml:space="preserve"> </w:t>
      </w:r>
    </w:p>
    <w:p w14:paraId="1CE3383C" w14:textId="77777777" w:rsidR="009B6056" w:rsidRDefault="009B6056" w:rsidP="00A33977">
      <w:pPr>
        <w:jc w:val="both"/>
      </w:pPr>
    </w:p>
    <w:p w14:paraId="621E1342" w14:textId="3B7D0D17" w:rsidR="00FF3417" w:rsidRPr="00A031D0" w:rsidRDefault="00FF3417" w:rsidP="00A33977">
      <w:pPr>
        <w:jc w:val="both"/>
      </w:pPr>
      <w:r w:rsidRPr="00A031D0">
        <w:lastRenderedPageBreak/>
        <w:t xml:space="preserve">Na temelju zbroja izračunatih vrijednosti za nerizičnu stopu na ulaganja i premije na specifični rizik kompanije, HAKOM je izračunao ukupnu </w:t>
      </w:r>
      <w:r w:rsidRPr="00A031D0">
        <w:rPr>
          <w:b/>
        </w:rPr>
        <w:t>vrijednost troška duga (C</w:t>
      </w:r>
      <w:r w:rsidRPr="00A031D0">
        <w:rPr>
          <w:b/>
          <w:vertAlign w:val="subscript"/>
        </w:rPr>
        <w:t>D</w:t>
      </w:r>
      <w:r w:rsidRPr="00A031D0">
        <w:rPr>
          <w:b/>
        </w:rPr>
        <w:t>)</w:t>
      </w:r>
      <w:r w:rsidRPr="00A031D0">
        <w:t xml:space="preserve"> u iznos</w:t>
      </w:r>
      <w:r w:rsidR="00591E49">
        <w:t>u</w:t>
      </w:r>
      <w:r w:rsidRPr="00A031D0">
        <w:t xml:space="preserve"> od </w:t>
      </w:r>
      <w:r w:rsidR="00B21D68" w:rsidRPr="00B21D68">
        <w:rPr>
          <w:b/>
        </w:rPr>
        <w:t>2</w:t>
      </w:r>
      <w:r w:rsidRPr="00A031D0">
        <w:rPr>
          <w:b/>
        </w:rPr>
        <w:t>,</w:t>
      </w:r>
      <w:r w:rsidR="00B21D68">
        <w:rPr>
          <w:b/>
        </w:rPr>
        <w:t>74</w:t>
      </w:r>
      <w:r w:rsidRPr="00A031D0">
        <w:rPr>
          <w:b/>
        </w:rPr>
        <w:t>%</w:t>
      </w:r>
      <w:r w:rsidRPr="00A031D0">
        <w:t xml:space="preserve">. </w:t>
      </w:r>
    </w:p>
    <w:p w14:paraId="36D5A950" w14:textId="77777777" w:rsidR="00FF3417" w:rsidRPr="00B21D68" w:rsidRDefault="00FF3417" w:rsidP="00B21D68">
      <w:pPr>
        <w:pStyle w:val="BodyText"/>
        <w:numPr>
          <w:ilvl w:val="0"/>
          <w:numId w:val="16"/>
        </w:numPr>
        <w:spacing w:before="100" w:beforeAutospacing="1" w:after="100" w:afterAutospacing="1"/>
        <w:rPr>
          <w:i/>
        </w:rPr>
      </w:pPr>
      <w:bookmarkStart w:id="2" w:name="_Toc318884779"/>
      <w:r w:rsidRPr="00B21D68">
        <w:rPr>
          <w:i/>
        </w:rPr>
        <w:t>Trošak dioničkog kapitala (C</w:t>
      </w:r>
      <w:r w:rsidRPr="00080D8F">
        <w:rPr>
          <w:i/>
          <w:vertAlign w:val="subscript"/>
        </w:rPr>
        <w:t>E</w:t>
      </w:r>
      <w:r w:rsidRPr="00B21D68">
        <w:rPr>
          <w:i/>
        </w:rPr>
        <w:t>)</w:t>
      </w:r>
      <w:bookmarkEnd w:id="2"/>
    </w:p>
    <w:p w14:paraId="3DCD2FD7" w14:textId="4BC912C7" w:rsidR="00FF3417" w:rsidRPr="00A031D0" w:rsidRDefault="00FF3417" w:rsidP="00FF3417">
      <w:pPr>
        <w:spacing w:before="120" w:after="120"/>
        <w:jc w:val="both"/>
      </w:pPr>
      <w:r w:rsidRPr="00A031D0">
        <w:t>Za izračun troška dioničkog kapitala</w:t>
      </w:r>
      <w:r w:rsidR="006F73D5">
        <w:t xml:space="preserve"> (</w:t>
      </w:r>
      <w:proofErr w:type="spellStart"/>
      <w:r w:rsidR="006F73D5" w:rsidRPr="006F73D5">
        <w:rPr>
          <w:i/>
        </w:rPr>
        <w:t>eng</w:t>
      </w:r>
      <w:proofErr w:type="spellEnd"/>
      <w:r w:rsidR="006F73D5" w:rsidRPr="006F73D5">
        <w:rPr>
          <w:i/>
        </w:rPr>
        <w:t xml:space="preserve">. </w:t>
      </w:r>
      <w:proofErr w:type="spellStart"/>
      <w:r w:rsidR="006F73D5" w:rsidRPr="006F73D5">
        <w:rPr>
          <w:i/>
        </w:rPr>
        <w:t>Cost</w:t>
      </w:r>
      <w:proofErr w:type="spellEnd"/>
      <w:r w:rsidR="006F73D5" w:rsidRPr="006F73D5">
        <w:rPr>
          <w:i/>
        </w:rPr>
        <w:t xml:space="preserve"> </w:t>
      </w:r>
      <w:proofErr w:type="spellStart"/>
      <w:r w:rsidR="006F73D5" w:rsidRPr="006F73D5">
        <w:rPr>
          <w:i/>
        </w:rPr>
        <w:t>of</w:t>
      </w:r>
      <w:proofErr w:type="spellEnd"/>
      <w:r w:rsidR="006F73D5" w:rsidRPr="006F73D5">
        <w:rPr>
          <w:i/>
        </w:rPr>
        <w:t xml:space="preserve"> </w:t>
      </w:r>
      <w:proofErr w:type="spellStart"/>
      <w:r w:rsidR="006F73D5">
        <w:rPr>
          <w:i/>
        </w:rPr>
        <w:t>E</w:t>
      </w:r>
      <w:r w:rsidR="006F73D5" w:rsidRPr="006F73D5">
        <w:rPr>
          <w:i/>
        </w:rPr>
        <w:t>quity</w:t>
      </w:r>
      <w:proofErr w:type="spellEnd"/>
      <w:r w:rsidR="006F73D5">
        <w:t>)</w:t>
      </w:r>
      <w:r w:rsidRPr="00A031D0">
        <w:t xml:space="preserve">, HAKOM je sukladno </w:t>
      </w:r>
      <w:r w:rsidR="00A33977">
        <w:t>Obavijesti</w:t>
      </w:r>
      <w:r w:rsidRPr="00A031D0">
        <w:t xml:space="preserve"> koristio cjenovni model vrednovanja kapitalne imovine (</w:t>
      </w:r>
      <w:proofErr w:type="spellStart"/>
      <w:r w:rsidRPr="00080D8F">
        <w:rPr>
          <w:i/>
        </w:rPr>
        <w:t>eng</w:t>
      </w:r>
      <w:proofErr w:type="spellEnd"/>
      <w:r w:rsidRPr="00A031D0">
        <w:t xml:space="preserve">. </w:t>
      </w:r>
      <w:r w:rsidRPr="00A031D0">
        <w:rPr>
          <w:i/>
        </w:rPr>
        <w:t xml:space="preserve">Capital </w:t>
      </w:r>
      <w:proofErr w:type="spellStart"/>
      <w:r w:rsidRPr="00EA497A">
        <w:rPr>
          <w:i/>
        </w:rPr>
        <w:t>Asset</w:t>
      </w:r>
      <w:proofErr w:type="spellEnd"/>
      <w:r w:rsidRPr="00EA497A">
        <w:rPr>
          <w:i/>
        </w:rPr>
        <w:t xml:space="preserve"> </w:t>
      </w:r>
      <w:proofErr w:type="spellStart"/>
      <w:r w:rsidRPr="00EA497A">
        <w:rPr>
          <w:i/>
        </w:rPr>
        <w:t>Pricing</w:t>
      </w:r>
      <w:proofErr w:type="spellEnd"/>
      <w:r w:rsidRPr="00A031D0">
        <w:rPr>
          <w:i/>
        </w:rPr>
        <w:t xml:space="preserve"> Model - CAPM</w:t>
      </w:r>
      <w:r w:rsidRPr="00A031D0">
        <w:t xml:space="preserve">). </w:t>
      </w:r>
      <w:r w:rsidRPr="00297292">
        <w:t xml:space="preserve">CAPM je model koji nacionalna regulatorna tijela najčešće koriste za procjenu troška dioničkog kapitala jer ima jasnu teoretsku osnovu i </w:t>
      </w:r>
      <w:r w:rsidR="00080D8F">
        <w:t>jednostavnu</w:t>
      </w:r>
      <w:r w:rsidR="00080D8F" w:rsidRPr="00297292">
        <w:t xml:space="preserve"> </w:t>
      </w:r>
      <w:r w:rsidRPr="00297292">
        <w:t>provedb</w:t>
      </w:r>
      <w:r w:rsidR="00080D8F">
        <w:t>u</w:t>
      </w:r>
      <w:r w:rsidRPr="00297292">
        <w:t>.</w:t>
      </w:r>
      <w:r w:rsidRPr="00A031D0">
        <w:t xml:space="preserve"> Trošak dioničkog kapitala se prema navedenom modelu računa na sljedeći način:</w:t>
      </w:r>
    </w:p>
    <w:p w14:paraId="03B1136A" w14:textId="77777777" w:rsidR="00FF3417" w:rsidRPr="00A031D0" w:rsidRDefault="00FF3417" w:rsidP="00FF3417">
      <w:pPr>
        <w:spacing w:before="240" w:after="120"/>
        <w:ind w:firstLine="709"/>
        <w:jc w:val="center"/>
      </w:pPr>
      <w:r w:rsidRPr="00A031D0">
        <w:t>C</w:t>
      </w:r>
      <w:r w:rsidRPr="00A031D0">
        <w:rPr>
          <w:vertAlign w:val="subscript"/>
        </w:rPr>
        <w:t>E</w:t>
      </w:r>
      <w:r w:rsidRPr="00A031D0">
        <w:t xml:space="preserve"> = </w:t>
      </w:r>
      <w:proofErr w:type="spellStart"/>
      <w:r w:rsidRPr="00A031D0">
        <w:t>r</w:t>
      </w:r>
      <w:r w:rsidRPr="00A031D0">
        <w:rPr>
          <w:vertAlign w:val="subscript"/>
        </w:rPr>
        <w:t>F</w:t>
      </w:r>
      <w:proofErr w:type="spellEnd"/>
      <w:r w:rsidRPr="00A031D0">
        <w:t xml:space="preserve"> + β</w:t>
      </w:r>
      <w:r w:rsidRPr="00A031D0">
        <w:rPr>
          <w:vertAlign w:val="subscript"/>
        </w:rPr>
        <w:t>E</w:t>
      </w:r>
      <w:r w:rsidRPr="00A031D0">
        <w:t xml:space="preserve"> x (</w:t>
      </w:r>
      <w:proofErr w:type="spellStart"/>
      <w:r w:rsidRPr="00A031D0">
        <w:t>r</w:t>
      </w:r>
      <w:r w:rsidRPr="00A031D0">
        <w:rPr>
          <w:vertAlign w:val="subscript"/>
        </w:rPr>
        <w:t>M</w:t>
      </w:r>
      <w:proofErr w:type="spellEnd"/>
      <w:r w:rsidRPr="00A031D0">
        <w:t xml:space="preserve"> – </w:t>
      </w:r>
      <w:proofErr w:type="spellStart"/>
      <w:r w:rsidRPr="00A031D0">
        <w:t>r</w:t>
      </w:r>
      <w:r w:rsidRPr="00A031D0">
        <w:rPr>
          <w:vertAlign w:val="subscript"/>
        </w:rPr>
        <w:t>F</w:t>
      </w:r>
      <w:proofErr w:type="spellEnd"/>
      <w:r w:rsidRPr="00A031D0">
        <w:t>)</w:t>
      </w:r>
    </w:p>
    <w:p w14:paraId="3B4287D9" w14:textId="77777777" w:rsidR="00FF3417" w:rsidRPr="00A031D0" w:rsidRDefault="00FF3417" w:rsidP="00FF3417">
      <w:pPr>
        <w:pStyle w:val="BodyText"/>
        <w:spacing w:before="0" w:after="100" w:afterAutospacing="1"/>
        <w:rPr>
          <w:i/>
        </w:rPr>
      </w:pPr>
      <w:r w:rsidRPr="00A031D0">
        <w:rPr>
          <w:i/>
        </w:rPr>
        <w:t>Nerizična stopa (</w:t>
      </w:r>
      <w:proofErr w:type="spellStart"/>
      <w:r w:rsidRPr="00A031D0">
        <w:rPr>
          <w:i/>
        </w:rPr>
        <w:t>r</w:t>
      </w:r>
      <w:r w:rsidRPr="00A031D0">
        <w:rPr>
          <w:i/>
          <w:vertAlign w:val="subscript"/>
        </w:rPr>
        <w:t>F</w:t>
      </w:r>
      <w:proofErr w:type="spellEnd"/>
      <w:r w:rsidRPr="00A031D0">
        <w:rPr>
          <w:i/>
        </w:rPr>
        <w:t>)</w:t>
      </w:r>
    </w:p>
    <w:p w14:paraId="02626E78" w14:textId="26EAA469" w:rsidR="00FF3417" w:rsidRDefault="00FF3417" w:rsidP="00FF3417">
      <w:pPr>
        <w:spacing w:before="100" w:beforeAutospacing="1" w:after="100" w:afterAutospacing="1"/>
        <w:jc w:val="both"/>
      </w:pPr>
      <w:r w:rsidRPr="00A031D0">
        <w:t>Način na koji je HAKOM izračunao nerizičnu stopu je pojašnjen ranije</w:t>
      </w:r>
      <w:r w:rsidR="00FB6F3B">
        <w:t>,</w:t>
      </w:r>
      <w:r w:rsidRPr="00A031D0">
        <w:t xml:space="preserve"> u dijelu koji se odnosi na trošak duga te se ovdje koristi ista vrijednost koja iznosi</w:t>
      </w:r>
      <w:r w:rsidRPr="00A031D0">
        <w:rPr>
          <w:b/>
        </w:rPr>
        <w:t xml:space="preserve"> </w:t>
      </w:r>
      <w:r w:rsidR="00A33977">
        <w:rPr>
          <w:b/>
        </w:rPr>
        <w:t>1,</w:t>
      </w:r>
      <w:r w:rsidR="00B21D68">
        <w:rPr>
          <w:b/>
        </w:rPr>
        <w:t>43</w:t>
      </w:r>
      <w:r w:rsidRPr="00A031D0">
        <w:rPr>
          <w:b/>
        </w:rPr>
        <w:t>%.</w:t>
      </w:r>
      <w:r w:rsidRPr="00A031D0">
        <w:t xml:space="preserve"> </w:t>
      </w:r>
    </w:p>
    <w:p w14:paraId="488F966B" w14:textId="77777777" w:rsidR="003D66CE" w:rsidRPr="00A031D0" w:rsidRDefault="003D66CE" w:rsidP="003D66CE">
      <w:pPr>
        <w:spacing w:before="100" w:beforeAutospacing="1" w:after="100" w:afterAutospacing="1"/>
        <w:jc w:val="both"/>
        <w:rPr>
          <w:i/>
        </w:rPr>
      </w:pPr>
      <w:r w:rsidRPr="00A031D0">
        <w:rPr>
          <w:i/>
        </w:rPr>
        <w:t>Beta koeficijent (β</w:t>
      </w:r>
      <w:r w:rsidRPr="00A031D0">
        <w:rPr>
          <w:i/>
          <w:vertAlign w:val="subscript"/>
        </w:rPr>
        <w:t>E</w:t>
      </w:r>
      <w:r w:rsidRPr="00A031D0">
        <w:rPr>
          <w:i/>
        </w:rPr>
        <w:t>)</w:t>
      </w:r>
    </w:p>
    <w:p w14:paraId="478A5A44" w14:textId="77777777" w:rsidR="003D66CE" w:rsidRDefault="003D66CE" w:rsidP="003D66CE">
      <w:pPr>
        <w:spacing w:before="100" w:beforeAutospacing="1" w:after="100" w:afterAutospacing="1"/>
        <w:jc w:val="both"/>
      </w:pPr>
      <w:r w:rsidRPr="00A031D0">
        <w:t>Beta koeficijent je mjera rizika rizične imovine u odnosu na tržišni rizik. U teoriji je jedini rizik obuhvaćen Beta koeficijentom sistemski rizik, a to je rizik koji ulagač diversifikacijom portfelja ne može ukloniti. Beta koeficijent odražava stupanj do kojeg se očekuje da će se budući povrati mijenjati s očekivanim povratom na široki portfelj imovine tj. stupanj kretanja između povrata operatora i tržišnog povrata. Što je viša vrijednost Beta koeficijenta, to je veći sistemski rizik s kojim se suočavaju dioničari operatora.</w:t>
      </w:r>
    </w:p>
    <w:p w14:paraId="22DEDE2F" w14:textId="1A54E1AC" w:rsidR="00FE7BAB" w:rsidRDefault="003D66CE" w:rsidP="00297292">
      <w:pPr>
        <w:jc w:val="both"/>
      </w:pPr>
      <w:r w:rsidRPr="00400DA7">
        <w:t xml:space="preserve">Beta se procjenjuje korištenjem regresijske analize, odnosno procjene korelacije između prinosa dionica tvrtke i prinosa tržišnog indeksa. </w:t>
      </w:r>
      <w:r w:rsidR="00297292">
        <w:t>BEREC je procijenio beta imovinu i odgovarajuću razinu zaduženosti 15 tvrtki u grupi. Beta vlasnički kapital, zaduženost i beta imovin</w:t>
      </w:r>
      <w:r w:rsidR="00FE7BAB">
        <w:t>a procjenjuju se iz sirovih podataka o cijenama dionica dobivenih na tjednoj bazi za svak</w:t>
      </w:r>
      <w:r w:rsidR="00A141E4">
        <w:t xml:space="preserve">u </w:t>
      </w:r>
      <w:r w:rsidR="00BB7B26">
        <w:t xml:space="preserve">kompaniju iz </w:t>
      </w:r>
      <w:r w:rsidR="00A141E4">
        <w:t>skupin</w:t>
      </w:r>
      <w:r w:rsidR="00BB7B26">
        <w:t>e</w:t>
      </w:r>
      <w:r w:rsidR="00A141E4">
        <w:t xml:space="preserve"> uspored</w:t>
      </w:r>
      <w:r w:rsidR="00BD7D0E">
        <w:t>ivih</w:t>
      </w:r>
      <w:r w:rsidR="00A141E4">
        <w:t xml:space="preserve"> </w:t>
      </w:r>
      <w:r w:rsidR="00BD7D0E">
        <w:t>društava</w:t>
      </w:r>
      <w:r w:rsidR="00A141E4">
        <w:t xml:space="preserve"> </w:t>
      </w:r>
      <w:r w:rsidR="00FE7BAB">
        <w:t>i odgovarajuć</w:t>
      </w:r>
      <w:r w:rsidR="00A23E22">
        <w:t>eg burzovnog</w:t>
      </w:r>
      <w:r w:rsidR="00FE7BAB">
        <w:t xml:space="preserve"> </w:t>
      </w:r>
      <w:r w:rsidR="00A23E22">
        <w:t>i</w:t>
      </w:r>
      <w:r w:rsidR="00BB7B26" w:rsidRPr="00BB7B26">
        <w:t>ndeks</w:t>
      </w:r>
      <w:r w:rsidR="00A23E22">
        <w:t>a</w:t>
      </w:r>
      <w:r w:rsidR="00BB7B26" w:rsidRPr="00BB7B26">
        <w:t xml:space="preserve"> </w:t>
      </w:r>
      <w:r w:rsidR="00A23E22">
        <w:t>e</w:t>
      </w:r>
      <w:r w:rsidR="00BB7B26" w:rsidRPr="00BB7B26">
        <w:t>urop</w:t>
      </w:r>
      <w:r w:rsidR="00A23E22">
        <w:t>skih dionica</w:t>
      </w:r>
      <w:r w:rsidR="003711E4">
        <w:t xml:space="preserve"> (STOXX)</w:t>
      </w:r>
      <w:r w:rsidR="00FE7BAB" w:rsidRPr="00FE7BAB">
        <w:t xml:space="preserve">. Sirovi podaci dobiveni su </w:t>
      </w:r>
      <w:r w:rsidR="00A141E4">
        <w:t>iz</w:t>
      </w:r>
      <w:r w:rsidR="00A141E4" w:rsidRPr="00FE7BAB">
        <w:t xml:space="preserve"> </w:t>
      </w:r>
      <w:proofErr w:type="spellStart"/>
      <w:r w:rsidR="00FE7BAB" w:rsidRPr="006D7088">
        <w:rPr>
          <w:i/>
        </w:rPr>
        <w:t>Bloomberg</w:t>
      </w:r>
      <w:proofErr w:type="spellEnd"/>
      <w:r w:rsidR="00A141E4">
        <w:rPr>
          <w:i/>
        </w:rPr>
        <w:t xml:space="preserve"> </w:t>
      </w:r>
      <w:r w:rsidR="00A141E4">
        <w:t>baze podataka</w:t>
      </w:r>
      <w:r w:rsidR="00FE7BAB" w:rsidRPr="00FE7BAB">
        <w:t>.</w:t>
      </w:r>
      <w:r w:rsidR="00297292">
        <w:t xml:space="preserve"> </w:t>
      </w:r>
    </w:p>
    <w:p w14:paraId="6E752F19" w14:textId="78778922" w:rsidR="00FE7BAB" w:rsidRDefault="00FE7BAB" w:rsidP="00FE7BAB">
      <w:pPr>
        <w:jc w:val="both"/>
      </w:pPr>
    </w:p>
    <w:p w14:paraId="1ECDF3C3" w14:textId="5AFE7256" w:rsidR="00297292" w:rsidRDefault="00297292" w:rsidP="00297292">
      <w:pPr>
        <w:jc w:val="both"/>
      </w:pPr>
      <w:r>
        <w:t>Vrijednost beta</w:t>
      </w:r>
      <w:r w:rsidR="00FE7BAB">
        <w:t xml:space="preserve"> koeficijenta</w:t>
      </w:r>
      <w:r>
        <w:t xml:space="preserve"> i zaduženosti pojedine tvrtke u grupi izračunava se kao prosjek petogodišnjeg razdoblja </w:t>
      </w:r>
      <w:r w:rsidRPr="00400DA7">
        <w:t>(</w:t>
      </w:r>
      <w:r>
        <w:t xml:space="preserve">od </w:t>
      </w:r>
      <w:r w:rsidRPr="009442C8">
        <w:t>1. travnja 2017. do 1. travnja 2022.</w:t>
      </w:r>
      <w:r w:rsidRPr="00EA497A">
        <w:rPr>
          <w:color w:val="000000"/>
        </w:rPr>
        <w:t>)</w:t>
      </w:r>
      <w:r>
        <w:t xml:space="preserve"> na temelju tjednih vrijednosti.</w:t>
      </w:r>
    </w:p>
    <w:p w14:paraId="21B5C2EA" w14:textId="485003E7" w:rsidR="003D66CE" w:rsidRPr="00EA497A" w:rsidRDefault="003D66CE" w:rsidP="003E2A57">
      <w:pPr>
        <w:jc w:val="both"/>
        <w:rPr>
          <w:rFonts w:eastAsiaTheme="minorHAnsi" w:cs="Arial"/>
          <w:color w:val="000000"/>
        </w:rPr>
      </w:pPr>
      <w:r w:rsidRPr="00400DA7">
        <w:t>Zaduženost je procijenjena na temelju knjigovodstvene vrijednosti neto duga poduzeća, uključujući vrijednost financijskih najmova. Nezadužena (aktivna) beta, koja omogućuje nultu korporativnu zaduženost, i zadužena (vlasnička) beta, koja uzima u obzir korporativnu zaduženost,</w:t>
      </w:r>
      <w:r>
        <w:t xml:space="preserve"> preračunate su prema formuli:</w:t>
      </w:r>
    </w:p>
    <w:p w14:paraId="5503472D" w14:textId="77777777" w:rsidR="003D66CE" w:rsidRPr="00A031D0" w:rsidRDefault="003D66CE" w:rsidP="003D66CE">
      <w:pPr>
        <w:spacing w:before="240" w:after="120"/>
        <w:ind w:firstLine="708"/>
      </w:pPr>
      <w:r w:rsidRPr="00A031D0">
        <w:t>β</w:t>
      </w:r>
      <w:r>
        <w:rPr>
          <w:vertAlign w:val="subscript"/>
        </w:rPr>
        <w:t>a</w:t>
      </w:r>
      <w:r w:rsidRPr="00A031D0">
        <w:t xml:space="preserve"> = </w:t>
      </w:r>
      <w:r>
        <w:t>(E/D+E)*</w:t>
      </w:r>
      <w:r w:rsidRPr="00A031D0">
        <w:t xml:space="preserve"> β</w:t>
      </w:r>
      <w:r w:rsidRPr="00A031D0">
        <w:rPr>
          <w:vertAlign w:val="subscript"/>
        </w:rPr>
        <w:t>E</w:t>
      </w:r>
      <w:r w:rsidRPr="00A031D0">
        <w:t xml:space="preserve"> </w:t>
      </w:r>
      <w:r>
        <w:t>+</w:t>
      </w:r>
      <w:r w:rsidRPr="00A031D0">
        <w:t xml:space="preserve"> (</w:t>
      </w:r>
      <w:r>
        <w:t>D/D+E)*</w:t>
      </w:r>
      <w:r w:rsidRPr="00C84B10">
        <w:t xml:space="preserve"> </w:t>
      </w:r>
      <w:r w:rsidRPr="00A031D0">
        <w:t>β</w:t>
      </w:r>
      <w:r>
        <w:rPr>
          <w:vertAlign w:val="subscript"/>
        </w:rPr>
        <w:t>d</w:t>
      </w:r>
    </w:p>
    <w:p w14:paraId="79CE5DB7" w14:textId="77777777" w:rsidR="003D66CE" w:rsidRDefault="003D66CE" w:rsidP="003D66CE">
      <w:pPr>
        <w:jc w:val="both"/>
      </w:pPr>
      <w:r>
        <w:t>gdje je:</w:t>
      </w:r>
    </w:p>
    <w:p w14:paraId="7CEE238C" w14:textId="1C946E33" w:rsidR="003D66CE" w:rsidRDefault="003D66CE" w:rsidP="003D66CE">
      <w:pPr>
        <w:jc w:val="both"/>
      </w:pPr>
      <w:r w:rsidRPr="00A031D0">
        <w:t>β</w:t>
      </w:r>
      <w:r>
        <w:rPr>
          <w:vertAlign w:val="subscript"/>
        </w:rPr>
        <w:t xml:space="preserve">a </w:t>
      </w:r>
      <w:r w:rsidRPr="00370A02">
        <w:t>–</w:t>
      </w:r>
      <w:r w:rsidR="003E2A57">
        <w:t xml:space="preserve"> </w:t>
      </w:r>
      <w:r w:rsidRPr="00370A02">
        <w:t>beta</w:t>
      </w:r>
      <w:r w:rsidR="003E2A57">
        <w:t xml:space="preserve"> imovine</w:t>
      </w:r>
      <w:r w:rsidRPr="00370A02">
        <w:t xml:space="preserve"> </w:t>
      </w:r>
    </w:p>
    <w:p w14:paraId="56D6AB9E" w14:textId="77777777" w:rsidR="003D66CE" w:rsidRPr="00370A02" w:rsidRDefault="003D66CE" w:rsidP="003D66CE">
      <w:pPr>
        <w:jc w:val="both"/>
      </w:pPr>
      <w:r w:rsidRPr="00A031D0">
        <w:t>β</w:t>
      </w:r>
      <w:r w:rsidRPr="00370A02">
        <w:rPr>
          <w:vertAlign w:val="subscript"/>
        </w:rPr>
        <w:t>d</w:t>
      </w:r>
      <w:r w:rsidRPr="00370A02">
        <w:t xml:space="preserve"> – beta duga</w:t>
      </w:r>
    </w:p>
    <w:p w14:paraId="0482ACAF" w14:textId="77777777" w:rsidR="003D66CE" w:rsidRDefault="003D66CE" w:rsidP="003D66CE">
      <w:pPr>
        <w:jc w:val="both"/>
      </w:pPr>
      <w:r w:rsidRPr="00A031D0">
        <w:t>β</w:t>
      </w:r>
      <w:r>
        <w:rPr>
          <w:vertAlign w:val="subscript"/>
        </w:rPr>
        <w:t xml:space="preserve">e </w:t>
      </w:r>
      <w:r>
        <w:t>– beta kapitala</w:t>
      </w:r>
    </w:p>
    <w:p w14:paraId="242778B6" w14:textId="77777777" w:rsidR="003D66CE" w:rsidRDefault="003D66CE" w:rsidP="003D66CE">
      <w:pPr>
        <w:jc w:val="both"/>
      </w:pPr>
      <w:r>
        <w:t>D – dug poduzeća</w:t>
      </w:r>
    </w:p>
    <w:p w14:paraId="194EAE5E" w14:textId="77777777" w:rsidR="003D66CE" w:rsidRDefault="003D66CE" w:rsidP="003D66CE">
      <w:pPr>
        <w:jc w:val="both"/>
      </w:pPr>
      <w:r>
        <w:t>E – vlasnički kapital</w:t>
      </w:r>
    </w:p>
    <w:p w14:paraId="7A84143A" w14:textId="77777777" w:rsidR="003D66CE" w:rsidRDefault="003D66CE" w:rsidP="003D66CE">
      <w:pPr>
        <w:jc w:val="both"/>
      </w:pPr>
    </w:p>
    <w:p w14:paraId="76F8CC55" w14:textId="77777777" w:rsidR="00F4712A" w:rsidRPr="00F4712A" w:rsidRDefault="003E2A57" w:rsidP="009442C8">
      <w:pPr>
        <w:jc w:val="both"/>
      </w:pPr>
      <w:r>
        <w:lastRenderedPageBreak/>
        <w:t xml:space="preserve">HAKOM je pri izračunu vrijednosti </w:t>
      </w:r>
      <w:proofErr w:type="spellStart"/>
      <w:r w:rsidRPr="006D7088">
        <w:t>bete</w:t>
      </w:r>
      <w:proofErr w:type="spellEnd"/>
      <w:r>
        <w:t xml:space="preserve"> bez i sa zaduženošću te stupnja zaduženosti uzeo u obzir prosjeke svih 1</w:t>
      </w:r>
      <w:r w:rsidR="009442C8">
        <w:t>5</w:t>
      </w:r>
      <w:r>
        <w:t xml:space="preserve"> društava u </w:t>
      </w:r>
      <w:proofErr w:type="spellStart"/>
      <w:r w:rsidRPr="008D36F9">
        <w:rPr>
          <w:i/>
        </w:rPr>
        <w:t>peer</w:t>
      </w:r>
      <w:proofErr w:type="spellEnd"/>
      <w:r>
        <w:t xml:space="preserve"> grupi, pri čemu je izračunata beta bez zaduženja (</w:t>
      </w:r>
      <w:proofErr w:type="spellStart"/>
      <w:r w:rsidR="00D231FD" w:rsidRPr="00D231FD">
        <w:rPr>
          <w:i/>
        </w:rPr>
        <w:t>equity</w:t>
      </w:r>
      <w:proofErr w:type="spellEnd"/>
      <w:r w:rsidR="00D231FD">
        <w:t xml:space="preserve"> </w:t>
      </w:r>
      <w:r w:rsidRPr="006F73D5">
        <w:rPr>
          <w:i/>
        </w:rPr>
        <w:t>beta</w:t>
      </w:r>
      <w:r>
        <w:t>) 0,</w:t>
      </w:r>
      <w:r w:rsidR="009442C8">
        <w:t>41</w:t>
      </w:r>
      <w:r>
        <w:t>, beta sa zaduženošću (</w:t>
      </w:r>
      <w:proofErr w:type="spellStart"/>
      <w:r w:rsidRPr="008D36F9">
        <w:rPr>
          <w:i/>
        </w:rPr>
        <w:t>asset</w:t>
      </w:r>
      <w:proofErr w:type="spellEnd"/>
      <w:r>
        <w:t xml:space="preserve"> </w:t>
      </w:r>
      <w:r w:rsidRPr="006F73D5">
        <w:rPr>
          <w:i/>
        </w:rPr>
        <w:t>beta</w:t>
      </w:r>
      <w:r w:rsidRPr="00297292">
        <w:t>) 0,</w:t>
      </w:r>
      <w:r w:rsidR="009442C8" w:rsidRPr="00297292">
        <w:t>67</w:t>
      </w:r>
      <w:r w:rsidRPr="00297292">
        <w:t xml:space="preserve">, a stopa zaduženosti </w:t>
      </w:r>
      <w:r w:rsidR="009442C8" w:rsidRPr="00297292">
        <w:rPr>
          <w:iCs/>
        </w:rPr>
        <w:t>42,38%.</w:t>
      </w:r>
      <w:r w:rsidR="00F4712A">
        <w:rPr>
          <w:iCs/>
        </w:rPr>
        <w:t xml:space="preserve"> </w:t>
      </w:r>
      <w:r w:rsidR="003D66CE" w:rsidRPr="00F4712A">
        <w:t xml:space="preserve">Srednja vrijednost koeficijenta beta duga od 0,1 definirana je u Obavijesti. </w:t>
      </w:r>
    </w:p>
    <w:p w14:paraId="070AAB3D" w14:textId="77777777" w:rsidR="00F4712A" w:rsidRDefault="00F4712A" w:rsidP="009442C8">
      <w:pPr>
        <w:jc w:val="both"/>
        <w:rPr>
          <w:highlight w:val="yellow"/>
        </w:rPr>
      </w:pPr>
    </w:p>
    <w:p w14:paraId="66272950" w14:textId="18B61D6D" w:rsidR="003D66CE" w:rsidRPr="00A031D0" w:rsidRDefault="003D66CE" w:rsidP="009442C8">
      <w:pPr>
        <w:jc w:val="both"/>
      </w:pPr>
      <w:r w:rsidRPr="00F4712A">
        <w:t xml:space="preserve">Na temelju ovih prosječnih vrijednosti, vrijednost beta </w:t>
      </w:r>
      <w:r w:rsidR="00F4712A">
        <w:t>koeficijenta</w:t>
      </w:r>
      <w:r w:rsidRPr="00F4712A">
        <w:t xml:space="preserve"> od </w:t>
      </w:r>
      <w:r w:rsidRPr="00F4712A">
        <w:rPr>
          <w:b/>
        </w:rPr>
        <w:t>0,64</w:t>
      </w:r>
      <w:r w:rsidRPr="00F4712A">
        <w:t xml:space="preserve"> određena je prema gornjoj formuli</w:t>
      </w:r>
      <w:r w:rsidR="00F4712A">
        <w:t xml:space="preserve"> i</w:t>
      </w:r>
      <w:r>
        <w:t xml:space="preserve"> korištena</w:t>
      </w:r>
      <w:r w:rsidR="00F4712A">
        <w:t xml:space="preserve"> je</w:t>
      </w:r>
      <w:r>
        <w:t xml:space="preserve"> u kalkulaciji izračuna vrijednosti WACC-a.</w:t>
      </w:r>
      <w:r w:rsidRPr="00A031D0">
        <w:t xml:space="preserve"> </w:t>
      </w:r>
    </w:p>
    <w:p w14:paraId="1534B4E2" w14:textId="162CBAB4" w:rsidR="00FF3417" w:rsidRPr="00A031D0" w:rsidRDefault="00FF3417" w:rsidP="00FF3417">
      <w:pPr>
        <w:spacing w:before="100" w:beforeAutospacing="1" w:after="100" w:afterAutospacing="1"/>
        <w:jc w:val="both"/>
        <w:rPr>
          <w:i/>
        </w:rPr>
      </w:pPr>
      <w:r w:rsidRPr="00A031D0">
        <w:rPr>
          <w:i/>
        </w:rPr>
        <w:t>Premija tržišnog rizika (</w:t>
      </w:r>
      <w:r w:rsidR="00DC0C31">
        <w:rPr>
          <w:i/>
        </w:rPr>
        <w:t>ERP</w:t>
      </w:r>
      <w:r w:rsidRPr="00A031D0">
        <w:rPr>
          <w:i/>
        </w:rPr>
        <w:t xml:space="preserve">) </w:t>
      </w:r>
    </w:p>
    <w:p w14:paraId="42F488C2" w14:textId="77777777" w:rsidR="00DC0C31" w:rsidRDefault="00FF3417" w:rsidP="0060413F">
      <w:pPr>
        <w:spacing w:before="100" w:beforeAutospacing="1" w:after="100" w:afterAutospacing="1"/>
        <w:jc w:val="both"/>
      </w:pPr>
      <w:r w:rsidRPr="00A031D0">
        <w:t>Premija tržišnog rizika</w:t>
      </w:r>
      <w:r w:rsidR="00DC0C31">
        <w:t xml:space="preserve"> (</w:t>
      </w:r>
      <w:proofErr w:type="spellStart"/>
      <w:r w:rsidR="00DC0C31" w:rsidRPr="00DC0C31">
        <w:rPr>
          <w:i/>
        </w:rPr>
        <w:t>eng</w:t>
      </w:r>
      <w:proofErr w:type="spellEnd"/>
      <w:r w:rsidR="00DC0C31" w:rsidRPr="00DC0C31">
        <w:rPr>
          <w:i/>
        </w:rPr>
        <w:t xml:space="preserve">. </w:t>
      </w:r>
      <w:proofErr w:type="spellStart"/>
      <w:r w:rsidR="00DC0C31" w:rsidRPr="00DC0C31">
        <w:rPr>
          <w:i/>
        </w:rPr>
        <w:t>Equity</w:t>
      </w:r>
      <w:proofErr w:type="spellEnd"/>
      <w:r w:rsidR="00DC0C31" w:rsidRPr="00DC0C31">
        <w:rPr>
          <w:i/>
        </w:rPr>
        <w:t xml:space="preserve"> </w:t>
      </w:r>
      <w:proofErr w:type="spellStart"/>
      <w:r w:rsidR="00DC0C31" w:rsidRPr="00DC0C31">
        <w:rPr>
          <w:i/>
        </w:rPr>
        <w:t>risk</w:t>
      </w:r>
      <w:proofErr w:type="spellEnd"/>
      <w:r w:rsidR="00DC0C31" w:rsidRPr="00DC0C31">
        <w:rPr>
          <w:i/>
        </w:rPr>
        <w:t xml:space="preserve"> </w:t>
      </w:r>
      <w:proofErr w:type="spellStart"/>
      <w:r w:rsidR="00DC0C31" w:rsidRPr="00DC0C31">
        <w:rPr>
          <w:i/>
        </w:rPr>
        <w:t>premium</w:t>
      </w:r>
      <w:proofErr w:type="spellEnd"/>
      <w:r w:rsidR="00DC0C31">
        <w:t>)</w:t>
      </w:r>
      <w:r w:rsidRPr="00A031D0">
        <w:t xml:space="preserve"> predstavlja dodatni povrat iznad nerizične stope koju ulagači traže kao naknadu za rizik kojem se izlažu ulažući na tržištu kapitala.</w:t>
      </w:r>
      <w:r w:rsidR="0060413F">
        <w:t xml:space="preserve"> Poput nerizične stope povrata, premija rizika kapitala (dalje: ERP) je parametar koji odražava opću gospodarsku situaciju. ERP je očekivani povrat na kapital (dionice), koja je viša od nerizične stope prinosa (prinos na državne obveznice) i sadrži očekivanu dodatnu premiju za posjedovanje dionica. Premija rizika kapitala namijenjena je pokrivanju dodatnih rizika kojima su ulagači izloženi prilikom ulaganja u kapital. </w:t>
      </w:r>
    </w:p>
    <w:p w14:paraId="05B2E63D" w14:textId="147FF4A6" w:rsidR="0060413F" w:rsidRDefault="0060413F" w:rsidP="0060413F">
      <w:pPr>
        <w:spacing w:before="100" w:beforeAutospacing="1" w:after="100" w:afterAutospacing="1"/>
        <w:jc w:val="both"/>
      </w:pPr>
      <w:r>
        <w:t>EK smatra prikladnim izračunati jedinstvenu ERP vrijednost za cijelu EU koristeći povijesne serije tržišnih premija u državama članicama EU. Prema EK, procjena jedinstvene vrijednosti ERP u cijeloj EU u skladu je s empirijskim dokazima da su financijska tržišta EU-a sve više integrirana i stoga imaju konvergentne ERP-ove.</w:t>
      </w:r>
    </w:p>
    <w:p w14:paraId="5BF66B18" w14:textId="15483F8C" w:rsidR="0060413F" w:rsidRDefault="0060413F" w:rsidP="0060413F">
      <w:pPr>
        <w:jc w:val="both"/>
      </w:pPr>
      <w:r>
        <w:t xml:space="preserve">Za izračun jedinstvenog ERP-a, BEREC je koristio podatke </w:t>
      </w:r>
      <w:proofErr w:type="spellStart"/>
      <w:r>
        <w:t>Morningstar</w:t>
      </w:r>
      <w:proofErr w:type="spellEnd"/>
      <w:r>
        <w:t xml:space="preserve"> 202</w:t>
      </w:r>
      <w:r w:rsidR="00744E59">
        <w:t>2</w:t>
      </w:r>
      <w:r>
        <w:t xml:space="preserve"> (dalje: DMS), koji sadrži podatke o globalnim povratima DMS-a za razdoblje od 1900. do 20</w:t>
      </w:r>
      <w:r w:rsidR="00744E59">
        <w:t>2</w:t>
      </w:r>
      <w:r>
        <w:t>1. za 1</w:t>
      </w:r>
      <w:r w:rsidR="00744E59">
        <w:t>4</w:t>
      </w:r>
      <w:r>
        <w:t xml:space="preserve"> zemalja država članic</w:t>
      </w:r>
      <w:r w:rsidR="00FB6F3B">
        <w:t>a</w:t>
      </w:r>
      <w:r>
        <w:t xml:space="preserve"> EU. Za ostalih 1</w:t>
      </w:r>
      <w:r w:rsidR="00744E59">
        <w:t>4</w:t>
      </w:r>
      <w:r>
        <w:t xml:space="preserve"> država članica EU koje nisu uključene u skup podataka </w:t>
      </w:r>
      <w:proofErr w:type="spellStart"/>
      <w:r>
        <w:t>Morningstar</w:t>
      </w:r>
      <w:r w:rsidR="0007205E">
        <w:t>a</w:t>
      </w:r>
      <w:proofErr w:type="spellEnd"/>
      <w:r>
        <w:t xml:space="preserve"> (</w:t>
      </w:r>
      <w:r w:rsidR="00744E59" w:rsidRPr="00744E59">
        <w:t>Bugarska, Hrvatska, Cipar, Češka, Estonija, Mađarska, Latvija, Litva, Luksemburg, Malta, Poljska, Rumunjska, Slovačka i Slovenija</w:t>
      </w:r>
      <w:r>
        <w:t xml:space="preserve">) BEREC je koristio podatke od </w:t>
      </w:r>
      <w:proofErr w:type="spellStart"/>
      <w:r>
        <w:t>Bloomberga</w:t>
      </w:r>
      <w:proofErr w:type="spellEnd"/>
      <w:r w:rsidR="00FB6F3B">
        <w:t>,</w:t>
      </w:r>
      <w:r>
        <w:t xml:space="preserve"> i </w:t>
      </w:r>
      <w:r w:rsidR="00B74B00">
        <w:t xml:space="preserve">izračunao je vrijednosti </w:t>
      </w:r>
      <w:r>
        <w:t>prema metodi koju koristi CFA Institut. Cjelokupni proces izračuna konačne vrijednosti premije rizika kapitala detaljnije je opisan u</w:t>
      </w:r>
      <w:r w:rsidR="00EB3CAB">
        <w:t xml:space="preserve"> </w:t>
      </w:r>
      <w:r w:rsidR="006D7088">
        <w:t>Izvješće o parametrima WACC 2022.</w:t>
      </w:r>
      <w:r w:rsidR="00EB3CAB" w:rsidRPr="006D7088">
        <w:rPr>
          <w:rStyle w:val="FootnoteReference"/>
        </w:rPr>
        <w:footnoteReference w:id="4"/>
      </w:r>
      <w:r>
        <w:t xml:space="preserve"> (</w:t>
      </w:r>
      <w:r w:rsidRPr="00F4712A">
        <w:t xml:space="preserve">str. </w:t>
      </w:r>
      <w:r w:rsidR="00744E59" w:rsidRPr="00F4712A">
        <w:t>42</w:t>
      </w:r>
      <w:r w:rsidRPr="00F4712A">
        <w:t>-</w:t>
      </w:r>
      <w:r w:rsidR="00744E59" w:rsidRPr="00F4712A">
        <w:t xml:space="preserve"> </w:t>
      </w:r>
      <w:r w:rsidR="00F4712A">
        <w:t>59</w:t>
      </w:r>
      <w:r>
        <w:t>).</w:t>
      </w:r>
      <w:r w:rsidR="00FB6F3B">
        <w:t xml:space="preserve"> </w:t>
      </w:r>
    </w:p>
    <w:p w14:paraId="1DD39194" w14:textId="77777777" w:rsidR="00EB3CAB" w:rsidRDefault="00EB3CAB" w:rsidP="0060413F">
      <w:pPr>
        <w:jc w:val="both"/>
      </w:pPr>
    </w:p>
    <w:p w14:paraId="450B4018" w14:textId="6DBCD942" w:rsidR="0060413F" w:rsidRDefault="0060413F" w:rsidP="0060413F">
      <w:pPr>
        <w:jc w:val="both"/>
      </w:pPr>
      <w:r>
        <w:t xml:space="preserve">U izračunu </w:t>
      </w:r>
      <w:r w:rsidR="00B74B00">
        <w:t xml:space="preserve">je </w:t>
      </w:r>
      <w:r w:rsidR="00EB3CAB">
        <w:t>HAKOM koristio</w:t>
      </w:r>
      <w:r>
        <w:t xml:space="preserve"> premij</w:t>
      </w:r>
      <w:r w:rsidR="00B74B00">
        <w:t xml:space="preserve">u tržišnog </w:t>
      </w:r>
      <w:r>
        <w:t xml:space="preserve">rizika </w:t>
      </w:r>
      <w:r w:rsidR="00B74B00">
        <w:t xml:space="preserve">u iznosu </w:t>
      </w:r>
      <w:r>
        <w:t xml:space="preserve">od </w:t>
      </w:r>
      <w:r w:rsidRPr="00EB3CAB">
        <w:rPr>
          <w:b/>
        </w:rPr>
        <w:t>5,</w:t>
      </w:r>
      <w:r w:rsidR="00FD6B32">
        <w:rPr>
          <w:b/>
        </w:rPr>
        <w:t>7</w:t>
      </w:r>
      <w:r w:rsidR="00EB3CAB">
        <w:rPr>
          <w:b/>
        </w:rPr>
        <w:t>0</w:t>
      </w:r>
      <w:r w:rsidRPr="00EB3CAB">
        <w:rPr>
          <w:b/>
        </w:rPr>
        <w:t>%.</w:t>
      </w:r>
    </w:p>
    <w:p w14:paraId="62374BBB" w14:textId="556B9356" w:rsidR="00FF3417" w:rsidRDefault="00FF3417" w:rsidP="003B6FAB">
      <w:pPr>
        <w:jc w:val="both"/>
      </w:pPr>
      <w:r w:rsidRPr="00A031D0">
        <w:t xml:space="preserve">Na temelju izračunatih vrijednosti za nerizičnu stopu </w:t>
      </w:r>
      <w:r w:rsidR="00702AF0">
        <w:t>z</w:t>
      </w:r>
      <w:r w:rsidRPr="00A031D0">
        <w:t xml:space="preserve">a ulaganja, premije </w:t>
      </w:r>
      <w:r w:rsidR="00B74B00">
        <w:t xml:space="preserve">tržišnog </w:t>
      </w:r>
      <w:r w:rsidRPr="00A031D0">
        <w:t xml:space="preserve">rizika i Beta koeficijenta, koristeći ranije spomenuti CAPM model, HAKOM je izračunao </w:t>
      </w:r>
      <w:r w:rsidRPr="00A031D0">
        <w:rPr>
          <w:b/>
        </w:rPr>
        <w:t>trošak dioničkog kapitala (C</w:t>
      </w:r>
      <w:r w:rsidRPr="00A031D0">
        <w:rPr>
          <w:b/>
          <w:vertAlign w:val="subscript"/>
        </w:rPr>
        <w:t>E</w:t>
      </w:r>
      <w:r w:rsidRPr="00A031D0">
        <w:rPr>
          <w:b/>
        </w:rPr>
        <w:t>)</w:t>
      </w:r>
      <w:r w:rsidRPr="00A031D0">
        <w:t xml:space="preserve"> u iznosu od </w:t>
      </w:r>
      <w:r w:rsidR="003D66CE" w:rsidRPr="003D66CE">
        <w:rPr>
          <w:b/>
        </w:rPr>
        <w:t>5</w:t>
      </w:r>
      <w:r w:rsidRPr="00A031D0">
        <w:rPr>
          <w:b/>
        </w:rPr>
        <w:t>,0</w:t>
      </w:r>
      <w:r w:rsidR="003D66CE">
        <w:rPr>
          <w:b/>
        </w:rPr>
        <w:t>5</w:t>
      </w:r>
      <w:r w:rsidRPr="00A031D0">
        <w:rPr>
          <w:b/>
        </w:rPr>
        <w:t>%</w:t>
      </w:r>
      <w:r w:rsidR="00DC0C31">
        <w:t>.</w:t>
      </w:r>
    </w:p>
    <w:p w14:paraId="7E611D1F" w14:textId="77777777" w:rsidR="00FF3417" w:rsidRPr="00B21D68" w:rsidRDefault="00FF3417" w:rsidP="00B21D68">
      <w:pPr>
        <w:pStyle w:val="BodyText"/>
        <w:numPr>
          <w:ilvl w:val="0"/>
          <w:numId w:val="16"/>
        </w:numPr>
        <w:spacing w:before="100" w:beforeAutospacing="1" w:after="100" w:afterAutospacing="1"/>
        <w:rPr>
          <w:i/>
        </w:rPr>
      </w:pPr>
      <w:bookmarkStart w:id="3" w:name="_Toc318884780"/>
      <w:r w:rsidRPr="00B21D68">
        <w:rPr>
          <w:i/>
        </w:rPr>
        <w:t>Stopa poreza na dobit (t)</w:t>
      </w:r>
      <w:bookmarkEnd w:id="3"/>
    </w:p>
    <w:p w14:paraId="6EA72672" w14:textId="17881E11" w:rsidR="00FF3417" w:rsidRDefault="00FF3417" w:rsidP="00FF3417">
      <w:pPr>
        <w:spacing w:before="100" w:beforeAutospacing="1" w:after="100" w:afterAutospacing="1"/>
        <w:jc w:val="both"/>
      </w:pPr>
      <w:r w:rsidRPr="00A031D0">
        <w:t xml:space="preserve">Sukladno Metodologiji, HAKOM je pri izračunu WACC-a koristio zakonsku poreznu stopu </w:t>
      </w:r>
      <w:r w:rsidR="00BD7D0E">
        <w:t xml:space="preserve">u Republici Hrvatskoj </w:t>
      </w:r>
      <w:r w:rsidRPr="00A031D0">
        <w:t>u iznosu od 18%.</w:t>
      </w:r>
    </w:p>
    <w:p w14:paraId="1627FA82" w14:textId="77777777" w:rsidR="00DE693E" w:rsidRPr="00B21D68" w:rsidRDefault="00DE693E" w:rsidP="00B21D68">
      <w:pPr>
        <w:pStyle w:val="BodyText"/>
        <w:numPr>
          <w:ilvl w:val="0"/>
          <w:numId w:val="16"/>
        </w:numPr>
        <w:spacing w:before="100" w:beforeAutospacing="1" w:after="100" w:afterAutospacing="1"/>
        <w:rPr>
          <w:i/>
        </w:rPr>
      </w:pPr>
      <w:r w:rsidRPr="00B21D68">
        <w:rPr>
          <w:i/>
        </w:rPr>
        <w:t>Omjer zaduženosti (G)</w:t>
      </w:r>
    </w:p>
    <w:p w14:paraId="16C1FA39" w14:textId="6142D5CE" w:rsidR="00DE693E" w:rsidRPr="00A031D0" w:rsidRDefault="00DE693E" w:rsidP="00DE693E">
      <w:pPr>
        <w:spacing w:before="100" w:beforeAutospacing="1" w:after="120"/>
        <w:jc w:val="both"/>
      </w:pPr>
      <w:r w:rsidRPr="00A031D0">
        <w:t>Omjer zaduženosti</w:t>
      </w:r>
      <w:r w:rsidR="00DC0C31">
        <w:t xml:space="preserve"> (</w:t>
      </w:r>
      <w:proofErr w:type="spellStart"/>
      <w:r w:rsidR="00DC0C31" w:rsidRPr="00DC0C31">
        <w:rPr>
          <w:i/>
        </w:rPr>
        <w:t>eng</w:t>
      </w:r>
      <w:proofErr w:type="spellEnd"/>
      <w:r w:rsidR="00DC0C31" w:rsidRPr="00DC0C31">
        <w:rPr>
          <w:i/>
        </w:rPr>
        <w:t xml:space="preserve">. </w:t>
      </w:r>
      <w:proofErr w:type="spellStart"/>
      <w:r w:rsidR="00DC0C31" w:rsidRPr="00DC0C31">
        <w:rPr>
          <w:i/>
        </w:rPr>
        <w:t>Gearing</w:t>
      </w:r>
      <w:proofErr w:type="spellEnd"/>
      <w:r w:rsidR="00DC0C31">
        <w:t>)</w:t>
      </w:r>
      <w:r w:rsidRPr="00A031D0">
        <w:t xml:space="preserve"> mjeri odnos duga poduzeća podijeljenog s ukupnim dugom poduzeća (V</w:t>
      </w:r>
      <w:r w:rsidRPr="00A031D0">
        <w:rPr>
          <w:vertAlign w:val="subscript"/>
        </w:rPr>
        <w:t>D</w:t>
      </w:r>
      <w:r w:rsidRPr="00A031D0">
        <w:t>) i dioničkim kapitalom (V</w:t>
      </w:r>
      <w:r w:rsidRPr="00A031D0">
        <w:rPr>
          <w:vertAlign w:val="subscript"/>
        </w:rPr>
        <w:t>E</w:t>
      </w:r>
      <w:r w:rsidRPr="00A031D0">
        <w:t>) i definira se kao:</w:t>
      </w:r>
    </w:p>
    <w:p w14:paraId="2AA92640" w14:textId="77777777" w:rsidR="00DE693E" w:rsidRPr="00A031D0" w:rsidRDefault="00DE693E" w:rsidP="00DE693E">
      <w:pPr>
        <w:spacing w:before="100" w:beforeAutospacing="1" w:after="100" w:afterAutospacing="1"/>
        <w:jc w:val="center"/>
      </w:pPr>
      <w:r w:rsidRPr="00A031D0">
        <w:t>G = V</w:t>
      </w:r>
      <w:r w:rsidRPr="00A031D0">
        <w:rPr>
          <w:vertAlign w:val="subscript"/>
        </w:rPr>
        <w:t>D</w:t>
      </w:r>
      <w:r w:rsidRPr="00A031D0">
        <w:t xml:space="preserve"> / (V</w:t>
      </w:r>
      <w:r w:rsidRPr="00A031D0">
        <w:rPr>
          <w:vertAlign w:val="subscript"/>
        </w:rPr>
        <w:t>D</w:t>
      </w:r>
      <w:r w:rsidRPr="00A031D0">
        <w:t xml:space="preserve"> + V</w:t>
      </w:r>
      <w:r w:rsidRPr="00A031D0">
        <w:rPr>
          <w:vertAlign w:val="subscript"/>
        </w:rPr>
        <w:t>E</w:t>
      </w:r>
      <w:r w:rsidRPr="00A031D0">
        <w:t>)</w:t>
      </w:r>
    </w:p>
    <w:p w14:paraId="362D36A9" w14:textId="77777777" w:rsidR="00DE693E" w:rsidRPr="00A031D0" w:rsidRDefault="00DE693E" w:rsidP="00DE693E">
      <w:pPr>
        <w:spacing w:before="120" w:after="100" w:afterAutospacing="1"/>
        <w:jc w:val="both"/>
      </w:pPr>
      <w:r w:rsidRPr="00A031D0">
        <w:lastRenderedPageBreak/>
        <w:t>S obzirom da se poduzeće financira iz vlastitog kapitala i duga, omjer zaduženosti koristi se kao težinski faktor (ponder) u izračunu WACC-a kako bi se odredila optimalna struktura kapitala, odnosno optimalni udio vlastitog kapitala i udio duga u ukupnom kapitalu poduzeća.</w:t>
      </w:r>
    </w:p>
    <w:p w14:paraId="7F96C593" w14:textId="77777777" w:rsidR="00DE693E" w:rsidRDefault="00DE693E" w:rsidP="00DE693E">
      <w:pPr>
        <w:jc w:val="both"/>
      </w:pPr>
      <w:r w:rsidRPr="00A031D0">
        <w:t xml:space="preserve">Kod optimalnog omjera zaduženosti uzeti su u obzir omjeri zaduženosti operatora elektroničkih komunikacija na europskom tržištu, pri čemu se za izračun duga koriste knjigovodstvene vrijednosti, a za izračun dioničkog kapitala tržišne vrijednosti. </w:t>
      </w:r>
      <w:r>
        <w:t xml:space="preserve">Prema Metodologiji definiranoj u Obavijesti, omjer zaduženosti se izračunava na temelju podataka o prosječnoj strukturi kapitala grupe usporedivih društava odabranih za razdoblje od 5 godina. </w:t>
      </w:r>
    </w:p>
    <w:p w14:paraId="1F43C04E" w14:textId="07668822" w:rsidR="00DE693E" w:rsidRDefault="00DE693E" w:rsidP="00DE693E">
      <w:pPr>
        <w:spacing w:before="120" w:after="100" w:afterAutospacing="1"/>
        <w:jc w:val="both"/>
      </w:pPr>
      <w:r>
        <w:t xml:space="preserve">U tu svrhu BEREC je izračunao prosječne tjedne vrijednosti dugoročnog duga i tržišne kapitalizacije za razdoblje od </w:t>
      </w:r>
      <w:r w:rsidRPr="00EC7E97">
        <w:t>1. travnja 201</w:t>
      </w:r>
      <w:r w:rsidR="00EC7E97" w:rsidRPr="00EC7E97">
        <w:t>7</w:t>
      </w:r>
      <w:r w:rsidRPr="00EC7E97">
        <w:t xml:space="preserve">. do 1. </w:t>
      </w:r>
      <w:r w:rsidR="00EC7E97">
        <w:t>travnja</w:t>
      </w:r>
      <w:r w:rsidRPr="00EC7E97">
        <w:t xml:space="preserve"> 202</w:t>
      </w:r>
      <w:r w:rsidR="00EC7E97">
        <w:t>2</w:t>
      </w:r>
      <w:r>
        <w:t xml:space="preserve">. na temelju </w:t>
      </w:r>
      <w:proofErr w:type="spellStart"/>
      <w:r w:rsidRPr="00276083">
        <w:rPr>
          <w:i/>
        </w:rPr>
        <w:t>Bloombergovih</w:t>
      </w:r>
      <w:proofErr w:type="spellEnd"/>
      <w:r>
        <w:t xml:space="preserve"> podataka. Nakon toga je izračunata </w:t>
      </w:r>
      <w:r w:rsidR="00BD7D0E">
        <w:t xml:space="preserve">vrijednost </w:t>
      </w:r>
      <w:r>
        <w:t>aritmetičk</w:t>
      </w:r>
      <w:r w:rsidR="00BD7D0E">
        <w:t>e</w:t>
      </w:r>
      <w:r>
        <w:t xml:space="preserve"> sredin</w:t>
      </w:r>
      <w:r w:rsidR="00BD7D0E">
        <w:t>e</w:t>
      </w:r>
      <w:r>
        <w:t xml:space="preserve"> za svaku tvrtku.</w:t>
      </w:r>
    </w:p>
    <w:p w14:paraId="1C07D3FE" w14:textId="4553AEB2" w:rsidR="00DE693E" w:rsidRPr="00A031D0" w:rsidRDefault="00DE693E" w:rsidP="003F70E9">
      <w:pPr>
        <w:spacing w:before="120" w:after="100" w:afterAutospacing="1"/>
        <w:jc w:val="both"/>
      </w:pPr>
      <w:r w:rsidRPr="00A031D0">
        <w:t xml:space="preserve">Popis operatora korištenih u izračunu omjera zaduženosti nalazi se u Privitku </w:t>
      </w:r>
      <w:r w:rsidR="00D30D42">
        <w:t>2</w:t>
      </w:r>
      <w:r w:rsidRPr="00A031D0">
        <w:t xml:space="preserve"> ove odluke.</w:t>
      </w:r>
      <w:r w:rsidR="003F70E9">
        <w:t xml:space="preserve"> </w:t>
      </w:r>
      <w:r w:rsidR="00FD6B32">
        <w:t>V</w:t>
      </w:r>
      <w:r w:rsidRPr="00A031D0">
        <w:t>rijednost omjera zaduženosti</w:t>
      </w:r>
      <w:r w:rsidR="00FD6B32">
        <w:t xml:space="preserve"> korištena u izračunu WACC-a je</w:t>
      </w:r>
      <w:r w:rsidRPr="00A031D0">
        <w:t xml:space="preserve"> </w:t>
      </w:r>
      <w:r w:rsidR="00EC7E97" w:rsidRPr="00EC7E97">
        <w:rPr>
          <w:b/>
        </w:rPr>
        <w:t>42,38</w:t>
      </w:r>
      <w:r w:rsidRPr="00EC7E97">
        <w:rPr>
          <w:b/>
        </w:rPr>
        <w:t>%</w:t>
      </w:r>
      <w:r w:rsidRPr="00EC7E97">
        <w:t>.</w:t>
      </w:r>
    </w:p>
    <w:p w14:paraId="1D7ACABE" w14:textId="6C2E624D" w:rsidR="00FF3417" w:rsidRPr="00A031D0" w:rsidRDefault="00FF3417" w:rsidP="00FF3417">
      <w:pPr>
        <w:spacing w:before="100" w:beforeAutospacing="1" w:after="360"/>
        <w:jc w:val="both"/>
      </w:pPr>
      <w:r w:rsidRPr="00A031D0">
        <w:t>Na temelju svih prethodno opisanih parametra</w:t>
      </w:r>
      <w:r>
        <w:t>,</w:t>
      </w:r>
      <w:r w:rsidRPr="00A031D0">
        <w:t xml:space="preserve"> te koristeći ranije spomenutu formulu za izračun WACC-a, HAKOM je odredio konačnu vrijednost WACC-a u iznosu od </w:t>
      </w:r>
      <w:r w:rsidR="00EC7E97" w:rsidRPr="00EC7E97">
        <w:rPr>
          <w:b/>
        </w:rPr>
        <w:t>4</w:t>
      </w:r>
      <w:r w:rsidRPr="00EC7E97">
        <w:rPr>
          <w:b/>
        </w:rPr>
        <w:t>,</w:t>
      </w:r>
      <w:r w:rsidR="00EC7E97" w:rsidRPr="00EC7E97">
        <w:rPr>
          <w:b/>
        </w:rPr>
        <w:t>71</w:t>
      </w:r>
      <w:r w:rsidRPr="00A031D0">
        <w:rPr>
          <w:b/>
        </w:rPr>
        <w:t>%</w:t>
      </w:r>
      <w:r w:rsidR="00041855">
        <w:t>.</w:t>
      </w:r>
    </w:p>
    <w:p w14:paraId="0AC0A116" w14:textId="77777777" w:rsidR="00FF3417" w:rsidRPr="00A031D0" w:rsidRDefault="00FF3417" w:rsidP="00FF3417">
      <w:pPr>
        <w:spacing w:before="100" w:beforeAutospacing="1" w:after="360"/>
        <w:jc w:val="both"/>
      </w:pPr>
      <w:r w:rsidRPr="00A031D0">
        <w:t>Slijedom navedenog, određeno je kako se navodi u točkama I. i II. izreke ove odluke.</w:t>
      </w:r>
    </w:p>
    <w:p w14:paraId="3856B24D" w14:textId="77777777" w:rsidR="00FF3417" w:rsidRPr="00A031D0" w:rsidRDefault="00FF3417" w:rsidP="00FF3417">
      <w:pPr>
        <w:spacing w:before="100" w:beforeAutospacing="1" w:after="360"/>
        <w:jc w:val="both"/>
      </w:pPr>
      <w:r w:rsidRPr="00A031D0">
        <w:t>Izračun WACC-a prikazan je u tablici niže.</w:t>
      </w:r>
    </w:p>
    <w:tbl>
      <w:tblPr>
        <w:tblW w:w="6466" w:type="dxa"/>
        <w:jc w:val="center"/>
        <w:tblLook w:val="04A0" w:firstRow="1" w:lastRow="0" w:firstColumn="1" w:lastColumn="0" w:noHBand="0" w:noVBand="1"/>
      </w:tblPr>
      <w:tblGrid>
        <w:gridCol w:w="4456"/>
        <w:gridCol w:w="2010"/>
      </w:tblGrid>
      <w:tr w:rsidR="00041855" w:rsidRPr="00A031D0" w14:paraId="31E93BD3" w14:textId="77777777" w:rsidTr="001D18F6">
        <w:trPr>
          <w:trHeight w:val="291"/>
          <w:jc w:val="center"/>
        </w:trPr>
        <w:tc>
          <w:tcPr>
            <w:tcW w:w="4456" w:type="dxa"/>
            <w:tcBorders>
              <w:top w:val="single" w:sz="4" w:space="0" w:color="auto"/>
              <w:left w:val="single" w:sz="4" w:space="0" w:color="auto"/>
              <w:bottom w:val="nil"/>
              <w:right w:val="single" w:sz="4" w:space="0" w:color="auto"/>
            </w:tcBorders>
            <w:shd w:val="clear" w:color="auto" w:fill="auto"/>
            <w:noWrap/>
            <w:vAlign w:val="center"/>
            <w:hideMark/>
          </w:tcPr>
          <w:p w14:paraId="229F76DD" w14:textId="77777777" w:rsidR="00041855" w:rsidRPr="00A031D0" w:rsidRDefault="00041855" w:rsidP="00C84B10">
            <w:pPr>
              <w:rPr>
                <w:b/>
                <w:bCs/>
                <w:color w:val="000000"/>
                <w:sz w:val="22"/>
                <w:szCs w:val="22"/>
              </w:rPr>
            </w:pPr>
            <w:r w:rsidRPr="00A031D0">
              <w:rPr>
                <w:b/>
                <w:bCs/>
                <w:color w:val="000000"/>
                <w:sz w:val="22"/>
                <w:szCs w:val="22"/>
              </w:rPr>
              <w:t>Trošak duga = R</w:t>
            </w:r>
            <w:r w:rsidRPr="00A031D0">
              <w:rPr>
                <w:b/>
                <w:bCs/>
                <w:color w:val="000000"/>
                <w:sz w:val="12"/>
                <w:szCs w:val="12"/>
              </w:rPr>
              <w:t>F</w:t>
            </w:r>
            <w:r w:rsidRPr="00A031D0">
              <w:rPr>
                <w:b/>
                <w:bCs/>
                <w:color w:val="000000"/>
                <w:sz w:val="22"/>
                <w:szCs w:val="22"/>
              </w:rPr>
              <w:t xml:space="preserve"> + DP</w:t>
            </w:r>
          </w:p>
        </w:tc>
        <w:tc>
          <w:tcPr>
            <w:tcW w:w="2010" w:type="dxa"/>
            <w:tcBorders>
              <w:top w:val="single" w:sz="4" w:space="0" w:color="auto"/>
              <w:left w:val="single" w:sz="4" w:space="0" w:color="auto"/>
              <w:bottom w:val="nil"/>
              <w:right w:val="single" w:sz="4" w:space="0" w:color="auto"/>
            </w:tcBorders>
          </w:tcPr>
          <w:p w14:paraId="5A9FB29B" w14:textId="77777777" w:rsidR="00041855" w:rsidRPr="00A031D0" w:rsidRDefault="00041855" w:rsidP="00C84B10">
            <w:pPr>
              <w:rPr>
                <w:b/>
                <w:bCs/>
                <w:color w:val="000000"/>
                <w:sz w:val="22"/>
                <w:szCs w:val="22"/>
              </w:rPr>
            </w:pPr>
          </w:p>
        </w:tc>
      </w:tr>
      <w:tr w:rsidR="00041855" w:rsidRPr="00A031D0" w14:paraId="3D9D2829" w14:textId="77777777" w:rsidTr="001D18F6">
        <w:trPr>
          <w:trHeight w:val="291"/>
          <w:jc w:val="center"/>
        </w:trPr>
        <w:tc>
          <w:tcPr>
            <w:tcW w:w="4456" w:type="dxa"/>
            <w:tcBorders>
              <w:top w:val="single" w:sz="4" w:space="0" w:color="auto"/>
              <w:left w:val="single" w:sz="4" w:space="0" w:color="auto"/>
              <w:bottom w:val="nil"/>
              <w:right w:val="single" w:sz="4" w:space="0" w:color="auto"/>
            </w:tcBorders>
            <w:shd w:val="clear" w:color="000000" w:fill="DCE6F1"/>
            <w:noWrap/>
            <w:vAlign w:val="center"/>
            <w:hideMark/>
          </w:tcPr>
          <w:p w14:paraId="5BA8EA1D" w14:textId="77777777" w:rsidR="00041855" w:rsidRPr="00A031D0" w:rsidRDefault="00041855" w:rsidP="00C84B10">
            <w:pPr>
              <w:ind w:firstLineChars="200" w:firstLine="440"/>
              <w:rPr>
                <w:color w:val="000000"/>
                <w:sz w:val="22"/>
                <w:szCs w:val="22"/>
              </w:rPr>
            </w:pPr>
            <w:r w:rsidRPr="00A031D0">
              <w:rPr>
                <w:color w:val="000000"/>
                <w:sz w:val="22"/>
                <w:szCs w:val="22"/>
              </w:rPr>
              <w:t>Nerizična stopa (R</w:t>
            </w:r>
            <w:r w:rsidRPr="00A031D0">
              <w:rPr>
                <w:color w:val="000000"/>
                <w:sz w:val="12"/>
                <w:szCs w:val="12"/>
              </w:rPr>
              <w:t>F</w:t>
            </w:r>
            <w:r w:rsidRPr="00A031D0">
              <w:rPr>
                <w:color w:val="000000"/>
                <w:sz w:val="22"/>
                <w:szCs w:val="22"/>
              </w:rPr>
              <w:t>)</w:t>
            </w:r>
          </w:p>
        </w:tc>
        <w:tc>
          <w:tcPr>
            <w:tcW w:w="2010" w:type="dxa"/>
            <w:tcBorders>
              <w:top w:val="single" w:sz="4" w:space="0" w:color="auto"/>
              <w:left w:val="single" w:sz="4" w:space="0" w:color="auto"/>
              <w:bottom w:val="nil"/>
              <w:right w:val="single" w:sz="4" w:space="0" w:color="auto"/>
            </w:tcBorders>
            <w:shd w:val="clear" w:color="000000" w:fill="DCE6F1"/>
            <w:vAlign w:val="center"/>
          </w:tcPr>
          <w:p w14:paraId="7A2A39EA" w14:textId="01FF7A8A" w:rsidR="00041855" w:rsidRPr="00A031D0" w:rsidRDefault="00041855" w:rsidP="00FD6B32">
            <w:pPr>
              <w:jc w:val="center"/>
              <w:rPr>
                <w:bCs/>
                <w:sz w:val="22"/>
                <w:szCs w:val="22"/>
              </w:rPr>
            </w:pPr>
            <w:r>
              <w:rPr>
                <w:bCs/>
                <w:sz w:val="22"/>
                <w:szCs w:val="22"/>
              </w:rPr>
              <w:t>1,</w:t>
            </w:r>
            <w:r w:rsidR="00EC7E97">
              <w:rPr>
                <w:bCs/>
                <w:sz w:val="22"/>
                <w:szCs w:val="22"/>
              </w:rPr>
              <w:t>43</w:t>
            </w:r>
            <w:r w:rsidRPr="00A031D0">
              <w:rPr>
                <w:bCs/>
                <w:sz w:val="22"/>
                <w:szCs w:val="22"/>
              </w:rPr>
              <w:t>%</w:t>
            </w:r>
          </w:p>
        </w:tc>
      </w:tr>
      <w:tr w:rsidR="00041855" w:rsidRPr="00A031D0" w14:paraId="2E5FB10D" w14:textId="77777777" w:rsidTr="001D18F6">
        <w:trPr>
          <w:trHeight w:val="291"/>
          <w:jc w:val="center"/>
        </w:trPr>
        <w:tc>
          <w:tcPr>
            <w:tcW w:w="4456" w:type="dxa"/>
            <w:tcBorders>
              <w:top w:val="nil"/>
              <w:left w:val="single" w:sz="4" w:space="0" w:color="auto"/>
              <w:bottom w:val="nil"/>
              <w:right w:val="single" w:sz="4" w:space="0" w:color="auto"/>
            </w:tcBorders>
            <w:shd w:val="clear" w:color="000000" w:fill="DCE6F1"/>
            <w:noWrap/>
            <w:vAlign w:val="center"/>
            <w:hideMark/>
          </w:tcPr>
          <w:p w14:paraId="511A707B" w14:textId="77777777" w:rsidR="00041855" w:rsidRPr="00A031D0" w:rsidRDefault="00041855" w:rsidP="00C84B10">
            <w:pPr>
              <w:ind w:right="-448" w:firstLineChars="200" w:firstLine="440"/>
              <w:rPr>
                <w:color w:val="000000"/>
                <w:sz w:val="22"/>
                <w:szCs w:val="22"/>
              </w:rPr>
            </w:pPr>
            <w:r w:rsidRPr="00A031D0">
              <w:rPr>
                <w:color w:val="000000"/>
                <w:sz w:val="22"/>
                <w:szCs w:val="22"/>
              </w:rPr>
              <w:t>Premija na specifični rizik kompanije (DP)</w:t>
            </w:r>
          </w:p>
        </w:tc>
        <w:tc>
          <w:tcPr>
            <w:tcW w:w="2010" w:type="dxa"/>
            <w:tcBorders>
              <w:top w:val="nil"/>
              <w:left w:val="single" w:sz="4" w:space="0" w:color="auto"/>
              <w:bottom w:val="nil"/>
              <w:right w:val="single" w:sz="4" w:space="0" w:color="auto"/>
            </w:tcBorders>
            <w:shd w:val="clear" w:color="000000" w:fill="DCE6F1"/>
            <w:vAlign w:val="center"/>
          </w:tcPr>
          <w:p w14:paraId="7E59F260" w14:textId="76AF73AA" w:rsidR="00041855" w:rsidRPr="00A031D0" w:rsidRDefault="00041855" w:rsidP="00FD6B32">
            <w:pPr>
              <w:jc w:val="center"/>
              <w:rPr>
                <w:bCs/>
                <w:sz w:val="22"/>
                <w:szCs w:val="22"/>
              </w:rPr>
            </w:pPr>
            <w:r w:rsidRPr="00A031D0">
              <w:rPr>
                <w:bCs/>
                <w:sz w:val="22"/>
                <w:szCs w:val="22"/>
              </w:rPr>
              <w:t>1,</w:t>
            </w:r>
            <w:r w:rsidR="00EC7E97">
              <w:rPr>
                <w:bCs/>
                <w:sz w:val="22"/>
                <w:szCs w:val="22"/>
              </w:rPr>
              <w:t>31</w:t>
            </w:r>
            <w:r w:rsidRPr="00A031D0">
              <w:rPr>
                <w:bCs/>
                <w:sz w:val="22"/>
                <w:szCs w:val="22"/>
              </w:rPr>
              <w:t>%</w:t>
            </w:r>
          </w:p>
        </w:tc>
      </w:tr>
      <w:tr w:rsidR="00041855" w:rsidRPr="00A031D0" w14:paraId="1581A0AB" w14:textId="77777777" w:rsidTr="001D18F6">
        <w:trPr>
          <w:trHeight w:val="291"/>
          <w:jc w:val="center"/>
        </w:trPr>
        <w:tc>
          <w:tcPr>
            <w:tcW w:w="44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181598" w14:textId="77777777" w:rsidR="00041855" w:rsidRPr="00A031D0" w:rsidRDefault="00041855" w:rsidP="00C84B10">
            <w:pPr>
              <w:ind w:firstLineChars="200" w:firstLine="442"/>
              <w:rPr>
                <w:b/>
                <w:color w:val="000000"/>
                <w:sz w:val="22"/>
                <w:szCs w:val="22"/>
              </w:rPr>
            </w:pPr>
            <w:r w:rsidRPr="00A031D0">
              <w:rPr>
                <w:b/>
                <w:color w:val="000000"/>
                <w:sz w:val="22"/>
                <w:szCs w:val="22"/>
              </w:rPr>
              <w:t>Trošak duga (C</w:t>
            </w:r>
            <w:r w:rsidRPr="00A031D0">
              <w:rPr>
                <w:b/>
                <w:color w:val="000000"/>
                <w:sz w:val="12"/>
                <w:szCs w:val="12"/>
              </w:rPr>
              <w:t>D</w:t>
            </w:r>
            <w:r w:rsidRPr="00A031D0">
              <w:rPr>
                <w:b/>
                <w:color w:val="000000"/>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000000" w:fill="DCE6F1"/>
            <w:vAlign w:val="center"/>
          </w:tcPr>
          <w:p w14:paraId="3F0121D7" w14:textId="6AD8CD5E" w:rsidR="00041855" w:rsidRPr="00A031D0" w:rsidRDefault="00EC7E97" w:rsidP="00FD6B32">
            <w:pPr>
              <w:jc w:val="center"/>
              <w:rPr>
                <w:b/>
                <w:bCs/>
                <w:sz w:val="22"/>
                <w:szCs w:val="22"/>
              </w:rPr>
            </w:pPr>
            <w:r>
              <w:rPr>
                <w:b/>
                <w:bCs/>
                <w:sz w:val="22"/>
                <w:szCs w:val="22"/>
              </w:rPr>
              <w:t>2</w:t>
            </w:r>
            <w:r w:rsidR="00041855" w:rsidRPr="00A031D0">
              <w:rPr>
                <w:b/>
                <w:bCs/>
                <w:sz w:val="22"/>
                <w:szCs w:val="22"/>
              </w:rPr>
              <w:t>,</w:t>
            </w:r>
            <w:r>
              <w:rPr>
                <w:b/>
                <w:bCs/>
                <w:sz w:val="22"/>
                <w:szCs w:val="22"/>
              </w:rPr>
              <w:t>74</w:t>
            </w:r>
            <w:r w:rsidR="00041855" w:rsidRPr="00A031D0">
              <w:rPr>
                <w:b/>
                <w:bCs/>
                <w:sz w:val="22"/>
                <w:szCs w:val="22"/>
              </w:rPr>
              <w:t>%</w:t>
            </w:r>
          </w:p>
        </w:tc>
      </w:tr>
      <w:tr w:rsidR="00041855" w:rsidRPr="00A031D0" w14:paraId="618EE94B" w14:textId="77777777" w:rsidTr="001D18F6">
        <w:trPr>
          <w:trHeight w:val="291"/>
          <w:jc w:val="center"/>
        </w:trPr>
        <w:tc>
          <w:tcPr>
            <w:tcW w:w="4456" w:type="dxa"/>
            <w:tcBorders>
              <w:top w:val="nil"/>
              <w:left w:val="single" w:sz="4" w:space="0" w:color="auto"/>
              <w:bottom w:val="nil"/>
              <w:right w:val="single" w:sz="4" w:space="0" w:color="auto"/>
            </w:tcBorders>
            <w:shd w:val="clear" w:color="auto" w:fill="auto"/>
            <w:noWrap/>
            <w:vAlign w:val="center"/>
            <w:hideMark/>
          </w:tcPr>
          <w:p w14:paraId="28FD86B5" w14:textId="77777777" w:rsidR="00041855" w:rsidRPr="00A031D0" w:rsidRDefault="00041855" w:rsidP="00C84B10">
            <w:pPr>
              <w:rPr>
                <w:b/>
                <w:bCs/>
                <w:color w:val="000000"/>
                <w:sz w:val="22"/>
                <w:szCs w:val="22"/>
              </w:rPr>
            </w:pPr>
            <w:r w:rsidRPr="00A031D0">
              <w:rPr>
                <w:b/>
                <w:bCs/>
                <w:color w:val="000000"/>
                <w:sz w:val="22"/>
                <w:szCs w:val="22"/>
              </w:rPr>
              <w:t>Trošak dioničkog kapitala = R</w:t>
            </w:r>
            <w:r w:rsidRPr="00A031D0">
              <w:rPr>
                <w:b/>
                <w:bCs/>
                <w:color w:val="000000"/>
                <w:sz w:val="12"/>
                <w:szCs w:val="12"/>
              </w:rPr>
              <w:t>F</w:t>
            </w:r>
            <w:r w:rsidRPr="00A031D0">
              <w:rPr>
                <w:b/>
                <w:bCs/>
                <w:color w:val="000000"/>
                <w:sz w:val="22"/>
                <w:szCs w:val="22"/>
              </w:rPr>
              <w:t xml:space="preserve"> + β*ERP</w:t>
            </w:r>
          </w:p>
        </w:tc>
        <w:tc>
          <w:tcPr>
            <w:tcW w:w="2010" w:type="dxa"/>
            <w:tcBorders>
              <w:top w:val="nil"/>
              <w:left w:val="single" w:sz="4" w:space="0" w:color="auto"/>
              <w:bottom w:val="nil"/>
              <w:right w:val="single" w:sz="4" w:space="0" w:color="auto"/>
            </w:tcBorders>
            <w:vAlign w:val="center"/>
          </w:tcPr>
          <w:p w14:paraId="21258547" w14:textId="77777777" w:rsidR="00041855" w:rsidRPr="00A031D0" w:rsidRDefault="00041855" w:rsidP="00FD6B32">
            <w:pPr>
              <w:jc w:val="center"/>
              <w:rPr>
                <w:b/>
                <w:bCs/>
                <w:sz w:val="22"/>
                <w:szCs w:val="22"/>
              </w:rPr>
            </w:pPr>
          </w:p>
        </w:tc>
      </w:tr>
      <w:tr w:rsidR="00041855" w:rsidRPr="00A031D0" w14:paraId="7F841F58" w14:textId="77777777" w:rsidTr="001D18F6">
        <w:trPr>
          <w:trHeight w:val="291"/>
          <w:jc w:val="center"/>
        </w:trPr>
        <w:tc>
          <w:tcPr>
            <w:tcW w:w="4456" w:type="dxa"/>
            <w:tcBorders>
              <w:top w:val="single" w:sz="4" w:space="0" w:color="auto"/>
              <w:left w:val="single" w:sz="4" w:space="0" w:color="auto"/>
              <w:bottom w:val="nil"/>
              <w:right w:val="single" w:sz="4" w:space="0" w:color="auto"/>
            </w:tcBorders>
            <w:shd w:val="clear" w:color="000000" w:fill="DCE6F1"/>
            <w:noWrap/>
            <w:vAlign w:val="center"/>
            <w:hideMark/>
          </w:tcPr>
          <w:p w14:paraId="4298C4B4" w14:textId="77777777" w:rsidR="00041855" w:rsidRPr="00A031D0" w:rsidRDefault="00041855" w:rsidP="00C84B10">
            <w:pPr>
              <w:ind w:firstLineChars="200" w:firstLine="440"/>
              <w:rPr>
                <w:color w:val="000000"/>
                <w:sz w:val="22"/>
                <w:szCs w:val="22"/>
              </w:rPr>
            </w:pPr>
            <w:r w:rsidRPr="00A031D0">
              <w:rPr>
                <w:color w:val="000000"/>
                <w:sz w:val="22"/>
                <w:szCs w:val="22"/>
              </w:rPr>
              <w:t>Nerizična stopa (R</w:t>
            </w:r>
            <w:r w:rsidRPr="00A031D0">
              <w:rPr>
                <w:color w:val="000000"/>
                <w:sz w:val="12"/>
                <w:szCs w:val="12"/>
              </w:rPr>
              <w:t>F</w:t>
            </w:r>
            <w:r w:rsidRPr="00A031D0">
              <w:rPr>
                <w:color w:val="000000"/>
                <w:sz w:val="22"/>
                <w:szCs w:val="22"/>
              </w:rPr>
              <w:t>)</w:t>
            </w:r>
          </w:p>
        </w:tc>
        <w:tc>
          <w:tcPr>
            <w:tcW w:w="2010" w:type="dxa"/>
            <w:tcBorders>
              <w:top w:val="single" w:sz="4" w:space="0" w:color="auto"/>
              <w:left w:val="single" w:sz="4" w:space="0" w:color="auto"/>
              <w:bottom w:val="nil"/>
              <w:right w:val="single" w:sz="4" w:space="0" w:color="auto"/>
            </w:tcBorders>
            <w:shd w:val="clear" w:color="000000" w:fill="DCE6F1"/>
            <w:vAlign w:val="center"/>
          </w:tcPr>
          <w:p w14:paraId="79BEFACA" w14:textId="5BA6FCE8" w:rsidR="00041855" w:rsidRPr="00A031D0" w:rsidRDefault="00041855" w:rsidP="00FD6B32">
            <w:pPr>
              <w:jc w:val="center"/>
              <w:rPr>
                <w:bCs/>
                <w:sz w:val="22"/>
                <w:szCs w:val="22"/>
              </w:rPr>
            </w:pPr>
            <w:r>
              <w:rPr>
                <w:bCs/>
                <w:sz w:val="22"/>
                <w:szCs w:val="22"/>
              </w:rPr>
              <w:t>1,</w:t>
            </w:r>
            <w:r w:rsidR="00EC7E97">
              <w:rPr>
                <w:bCs/>
                <w:sz w:val="22"/>
                <w:szCs w:val="22"/>
              </w:rPr>
              <w:t>43</w:t>
            </w:r>
            <w:r w:rsidRPr="00A031D0">
              <w:rPr>
                <w:bCs/>
                <w:sz w:val="22"/>
                <w:szCs w:val="22"/>
              </w:rPr>
              <w:t>%</w:t>
            </w:r>
          </w:p>
        </w:tc>
      </w:tr>
      <w:tr w:rsidR="00041855" w:rsidRPr="00A031D0" w14:paraId="1819E727" w14:textId="77777777" w:rsidTr="001D18F6">
        <w:trPr>
          <w:trHeight w:val="291"/>
          <w:jc w:val="center"/>
        </w:trPr>
        <w:tc>
          <w:tcPr>
            <w:tcW w:w="4456" w:type="dxa"/>
            <w:tcBorders>
              <w:top w:val="nil"/>
              <w:left w:val="single" w:sz="4" w:space="0" w:color="auto"/>
              <w:bottom w:val="nil"/>
              <w:right w:val="single" w:sz="4" w:space="0" w:color="auto"/>
            </w:tcBorders>
            <w:shd w:val="clear" w:color="000000" w:fill="DCE6F1"/>
            <w:noWrap/>
            <w:vAlign w:val="center"/>
            <w:hideMark/>
          </w:tcPr>
          <w:p w14:paraId="0AB37619" w14:textId="77777777" w:rsidR="00041855" w:rsidRPr="00A031D0" w:rsidRDefault="00041855" w:rsidP="00C84B10">
            <w:pPr>
              <w:ind w:firstLineChars="200" w:firstLine="440"/>
              <w:rPr>
                <w:color w:val="000000"/>
                <w:sz w:val="22"/>
                <w:szCs w:val="22"/>
              </w:rPr>
            </w:pPr>
            <w:r w:rsidRPr="00A031D0">
              <w:rPr>
                <w:color w:val="000000"/>
                <w:sz w:val="22"/>
                <w:szCs w:val="22"/>
              </w:rPr>
              <w:t>Beta (β)</w:t>
            </w:r>
          </w:p>
        </w:tc>
        <w:tc>
          <w:tcPr>
            <w:tcW w:w="2010" w:type="dxa"/>
            <w:tcBorders>
              <w:top w:val="nil"/>
              <w:left w:val="single" w:sz="4" w:space="0" w:color="auto"/>
              <w:bottom w:val="nil"/>
              <w:right w:val="single" w:sz="4" w:space="0" w:color="auto"/>
            </w:tcBorders>
            <w:shd w:val="clear" w:color="000000" w:fill="DCE6F1"/>
            <w:vAlign w:val="center"/>
          </w:tcPr>
          <w:p w14:paraId="21C64BC4" w14:textId="78E283E8" w:rsidR="00041855" w:rsidRPr="00A031D0" w:rsidRDefault="00041855" w:rsidP="00FD6B32">
            <w:pPr>
              <w:jc w:val="center"/>
              <w:rPr>
                <w:bCs/>
                <w:sz w:val="22"/>
                <w:szCs w:val="22"/>
              </w:rPr>
            </w:pPr>
            <w:r w:rsidRPr="00A031D0">
              <w:rPr>
                <w:bCs/>
                <w:sz w:val="22"/>
                <w:szCs w:val="22"/>
              </w:rPr>
              <w:t>0,</w:t>
            </w:r>
            <w:r w:rsidR="00EC7E97">
              <w:rPr>
                <w:bCs/>
                <w:sz w:val="22"/>
                <w:szCs w:val="22"/>
              </w:rPr>
              <w:t>64</w:t>
            </w:r>
          </w:p>
        </w:tc>
      </w:tr>
      <w:tr w:rsidR="00041855" w:rsidRPr="00A031D0" w14:paraId="22C00C54" w14:textId="77777777" w:rsidTr="001D18F6">
        <w:trPr>
          <w:trHeight w:val="291"/>
          <w:jc w:val="center"/>
        </w:trPr>
        <w:tc>
          <w:tcPr>
            <w:tcW w:w="4456" w:type="dxa"/>
            <w:tcBorders>
              <w:top w:val="nil"/>
              <w:left w:val="single" w:sz="4" w:space="0" w:color="auto"/>
              <w:bottom w:val="nil"/>
              <w:right w:val="single" w:sz="4" w:space="0" w:color="auto"/>
            </w:tcBorders>
            <w:shd w:val="clear" w:color="000000" w:fill="DCE6F1"/>
            <w:noWrap/>
            <w:vAlign w:val="center"/>
            <w:hideMark/>
          </w:tcPr>
          <w:p w14:paraId="34C5796B" w14:textId="77777777" w:rsidR="00041855" w:rsidRPr="00A031D0" w:rsidRDefault="00041855" w:rsidP="00C84B10">
            <w:pPr>
              <w:ind w:firstLineChars="200" w:firstLine="440"/>
              <w:rPr>
                <w:color w:val="000000"/>
                <w:sz w:val="22"/>
                <w:szCs w:val="22"/>
              </w:rPr>
            </w:pPr>
            <w:r w:rsidRPr="00A031D0">
              <w:rPr>
                <w:color w:val="000000"/>
                <w:sz w:val="22"/>
                <w:szCs w:val="22"/>
              </w:rPr>
              <w:t>Premija rizika (ERP)</w:t>
            </w:r>
          </w:p>
        </w:tc>
        <w:tc>
          <w:tcPr>
            <w:tcW w:w="2010" w:type="dxa"/>
            <w:tcBorders>
              <w:top w:val="nil"/>
              <w:left w:val="single" w:sz="4" w:space="0" w:color="auto"/>
              <w:bottom w:val="nil"/>
              <w:right w:val="single" w:sz="4" w:space="0" w:color="auto"/>
            </w:tcBorders>
            <w:shd w:val="clear" w:color="000000" w:fill="DCE6F1"/>
            <w:vAlign w:val="center"/>
          </w:tcPr>
          <w:p w14:paraId="16CFC4D5" w14:textId="5C00C94E" w:rsidR="00041855" w:rsidRPr="00A031D0" w:rsidRDefault="00041855" w:rsidP="00FD6B32">
            <w:pPr>
              <w:jc w:val="center"/>
              <w:rPr>
                <w:bCs/>
                <w:sz w:val="22"/>
                <w:szCs w:val="22"/>
              </w:rPr>
            </w:pPr>
            <w:r>
              <w:rPr>
                <w:bCs/>
                <w:sz w:val="22"/>
                <w:szCs w:val="22"/>
              </w:rPr>
              <w:t>5</w:t>
            </w:r>
            <w:r w:rsidR="00FD6B32">
              <w:rPr>
                <w:bCs/>
                <w:sz w:val="22"/>
                <w:szCs w:val="22"/>
              </w:rPr>
              <w:t>,7</w:t>
            </w:r>
            <w:r>
              <w:rPr>
                <w:bCs/>
                <w:sz w:val="22"/>
                <w:szCs w:val="22"/>
              </w:rPr>
              <w:t>0</w:t>
            </w:r>
            <w:r w:rsidRPr="00A031D0">
              <w:rPr>
                <w:bCs/>
                <w:sz w:val="22"/>
                <w:szCs w:val="22"/>
              </w:rPr>
              <w:t>%</w:t>
            </w:r>
          </w:p>
        </w:tc>
      </w:tr>
      <w:tr w:rsidR="00041855" w:rsidRPr="00A031D0" w14:paraId="3683D219" w14:textId="77777777" w:rsidTr="001D18F6">
        <w:trPr>
          <w:trHeight w:val="291"/>
          <w:jc w:val="center"/>
        </w:trPr>
        <w:tc>
          <w:tcPr>
            <w:tcW w:w="44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CA5AF0F" w14:textId="77777777" w:rsidR="00041855" w:rsidRPr="00A031D0" w:rsidRDefault="00041855" w:rsidP="00C84B10">
            <w:pPr>
              <w:ind w:firstLineChars="200" w:firstLine="442"/>
              <w:rPr>
                <w:b/>
                <w:color w:val="000000"/>
                <w:sz w:val="22"/>
                <w:szCs w:val="22"/>
              </w:rPr>
            </w:pPr>
            <w:r w:rsidRPr="00A031D0">
              <w:rPr>
                <w:b/>
                <w:color w:val="000000"/>
                <w:sz w:val="22"/>
                <w:szCs w:val="22"/>
              </w:rPr>
              <w:t>Trošak dioničkog kapitala (C</w:t>
            </w:r>
            <w:r w:rsidRPr="00A031D0">
              <w:rPr>
                <w:b/>
                <w:color w:val="000000"/>
                <w:sz w:val="12"/>
                <w:szCs w:val="12"/>
              </w:rPr>
              <w:t>E</w:t>
            </w:r>
            <w:r w:rsidRPr="00A031D0">
              <w:rPr>
                <w:b/>
                <w:color w:val="000000"/>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000000" w:fill="DCE6F1"/>
            <w:vAlign w:val="center"/>
          </w:tcPr>
          <w:p w14:paraId="3B39A34C" w14:textId="4FB5B83E" w:rsidR="00041855" w:rsidRPr="00A031D0" w:rsidRDefault="00041855" w:rsidP="00FD6B32">
            <w:pPr>
              <w:jc w:val="center"/>
              <w:rPr>
                <w:b/>
                <w:bCs/>
                <w:sz w:val="22"/>
                <w:szCs w:val="22"/>
              </w:rPr>
            </w:pPr>
            <w:r>
              <w:rPr>
                <w:b/>
                <w:bCs/>
                <w:sz w:val="22"/>
                <w:szCs w:val="22"/>
              </w:rPr>
              <w:t>5</w:t>
            </w:r>
            <w:r w:rsidRPr="00A031D0">
              <w:rPr>
                <w:b/>
                <w:bCs/>
                <w:sz w:val="22"/>
                <w:szCs w:val="22"/>
              </w:rPr>
              <w:t>,</w:t>
            </w:r>
            <w:r w:rsidR="00EC7E97">
              <w:rPr>
                <w:b/>
                <w:bCs/>
                <w:sz w:val="22"/>
                <w:szCs w:val="22"/>
              </w:rPr>
              <w:t>05</w:t>
            </w:r>
            <w:r w:rsidRPr="00A031D0">
              <w:rPr>
                <w:b/>
                <w:bCs/>
                <w:sz w:val="22"/>
                <w:szCs w:val="22"/>
              </w:rPr>
              <w:t>%</w:t>
            </w:r>
          </w:p>
        </w:tc>
      </w:tr>
      <w:tr w:rsidR="00041855" w:rsidRPr="00A031D0" w14:paraId="192BC8D0" w14:textId="77777777" w:rsidTr="001D18F6">
        <w:trPr>
          <w:trHeight w:val="175"/>
          <w:jc w:val="center"/>
        </w:trPr>
        <w:tc>
          <w:tcPr>
            <w:tcW w:w="4456" w:type="dxa"/>
            <w:tcBorders>
              <w:top w:val="nil"/>
              <w:left w:val="single" w:sz="4" w:space="0" w:color="auto"/>
              <w:bottom w:val="nil"/>
              <w:right w:val="single" w:sz="4" w:space="0" w:color="auto"/>
            </w:tcBorders>
            <w:shd w:val="clear" w:color="auto" w:fill="auto"/>
            <w:noWrap/>
            <w:vAlign w:val="center"/>
            <w:hideMark/>
          </w:tcPr>
          <w:p w14:paraId="7A1FD0B6" w14:textId="77777777" w:rsidR="00041855" w:rsidRPr="00A031D0" w:rsidRDefault="00041855" w:rsidP="00C84B10">
            <w:pPr>
              <w:ind w:firstLineChars="17" w:firstLine="38"/>
              <w:rPr>
                <w:b/>
                <w:color w:val="000000"/>
                <w:sz w:val="22"/>
                <w:szCs w:val="22"/>
              </w:rPr>
            </w:pPr>
            <w:r w:rsidRPr="00A031D0">
              <w:rPr>
                <w:b/>
                <w:color w:val="000000"/>
                <w:sz w:val="22"/>
                <w:szCs w:val="22"/>
              </w:rPr>
              <w:t>Ostali parametri</w:t>
            </w:r>
          </w:p>
        </w:tc>
        <w:tc>
          <w:tcPr>
            <w:tcW w:w="2010" w:type="dxa"/>
            <w:tcBorders>
              <w:top w:val="nil"/>
              <w:left w:val="single" w:sz="4" w:space="0" w:color="auto"/>
              <w:bottom w:val="nil"/>
              <w:right w:val="single" w:sz="4" w:space="0" w:color="auto"/>
            </w:tcBorders>
            <w:vAlign w:val="center"/>
          </w:tcPr>
          <w:p w14:paraId="3196C8D5" w14:textId="77777777" w:rsidR="00041855" w:rsidRPr="00A031D0" w:rsidRDefault="00041855" w:rsidP="00FD6B32">
            <w:pPr>
              <w:jc w:val="center"/>
              <w:rPr>
                <w:b/>
                <w:bCs/>
                <w:sz w:val="22"/>
                <w:szCs w:val="22"/>
              </w:rPr>
            </w:pPr>
          </w:p>
        </w:tc>
      </w:tr>
      <w:tr w:rsidR="00041855" w:rsidRPr="00A031D0" w14:paraId="1F50CBA4" w14:textId="77777777" w:rsidTr="001D18F6">
        <w:trPr>
          <w:trHeight w:val="291"/>
          <w:jc w:val="center"/>
        </w:trPr>
        <w:tc>
          <w:tcPr>
            <w:tcW w:w="4456" w:type="dxa"/>
            <w:tcBorders>
              <w:top w:val="single" w:sz="4" w:space="0" w:color="auto"/>
              <w:left w:val="single" w:sz="4" w:space="0" w:color="auto"/>
              <w:bottom w:val="nil"/>
              <w:right w:val="single" w:sz="4" w:space="0" w:color="auto"/>
            </w:tcBorders>
            <w:shd w:val="clear" w:color="000000" w:fill="DCE6F1"/>
            <w:noWrap/>
            <w:vAlign w:val="center"/>
            <w:hideMark/>
          </w:tcPr>
          <w:p w14:paraId="3FC38099" w14:textId="77777777" w:rsidR="00041855" w:rsidRPr="00A031D0" w:rsidRDefault="00041855" w:rsidP="00C84B10">
            <w:pPr>
              <w:ind w:firstLineChars="200" w:firstLine="442"/>
              <w:rPr>
                <w:b/>
                <w:color w:val="000000"/>
                <w:sz w:val="22"/>
                <w:szCs w:val="22"/>
              </w:rPr>
            </w:pPr>
            <w:r w:rsidRPr="00A031D0">
              <w:rPr>
                <w:b/>
                <w:color w:val="000000"/>
                <w:sz w:val="22"/>
                <w:szCs w:val="22"/>
              </w:rPr>
              <w:t>Stopa poreza (t)</w:t>
            </w:r>
          </w:p>
        </w:tc>
        <w:tc>
          <w:tcPr>
            <w:tcW w:w="2010" w:type="dxa"/>
            <w:tcBorders>
              <w:top w:val="single" w:sz="4" w:space="0" w:color="auto"/>
              <w:left w:val="single" w:sz="4" w:space="0" w:color="auto"/>
              <w:bottom w:val="nil"/>
              <w:right w:val="single" w:sz="4" w:space="0" w:color="auto"/>
            </w:tcBorders>
            <w:shd w:val="clear" w:color="000000" w:fill="DCE6F1"/>
            <w:vAlign w:val="center"/>
          </w:tcPr>
          <w:p w14:paraId="4A2932EE" w14:textId="77777777" w:rsidR="00041855" w:rsidRPr="00A031D0" w:rsidRDefault="00041855" w:rsidP="00FD6B32">
            <w:pPr>
              <w:jc w:val="center"/>
              <w:rPr>
                <w:b/>
                <w:bCs/>
                <w:sz w:val="22"/>
                <w:szCs w:val="22"/>
              </w:rPr>
            </w:pPr>
            <w:r w:rsidRPr="00A031D0">
              <w:rPr>
                <w:b/>
                <w:bCs/>
                <w:sz w:val="22"/>
                <w:szCs w:val="22"/>
              </w:rPr>
              <w:t>18%</w:t>
            </w:r>
          </w:p>
        </w:tc>
      </w:tr>
      <w:tr w:rsidR="00041855" w:rsidRPr="00A031D0" w14:paraId="7C2335F6" w14:textId="77777777" w:rsidTr="001D18F6">
        <w:trPr>
          <w:trHeight w:val="291"/>
          <w:jc w:val="center"/>
        </w:trPr>
        <w:tc>
          <w:tcPr>
            <w:tcW w:w="4456" w:type="dxa"/>
            <w:tcBorders>
              <w:top w:val="nil"/>
              <w:left w:val="single" w:sz="4" w:space="0" w:color="auto"/>
              <w:bottom w:val="single" w:sz="4" w:space="0" w:color="auto"/>
              <w:right w:val="single" w:sz="4" w:space="0" w:color="auto"/>
            </w:tcBorders>
            <w:shd w:val="clear" w:color="000000" w:fill="DCE6F1"/>
            <w:noWrap/>
            <w:vAlign w:val="center"/>
            <w:hideMark/>
          </w:tcPr>
          <w:p w14:paraId="79A11C4E" w14:textId="77777777" w:rsidR="00041855" w:rsidRPr="00A031D0" w:rsidRDefault="00041855" w:rsidP="00C84B10">
            <w:pPr>
              <w:ind w:firstLineChars="200" w:firstLine="442"/>
              <w:rPr>
                <w:b/>
                <w:color w:val="000000"/>
                <w:sz w:val="22"/>
                <w:szCs w:val="22"/>
              </w:rPr>
            </w:pPr>
            <w:r w:rsidRPr="00A031D0">
              <w:rPr>
                <w:b/>
                <w:color w:val="000000"/>
                <w:sz w:val="22"/>
                <w:szCs w:val="22"/>
              </w:rPr>
              <w:t>Omjer zaduženosti (G)</w:t>
            </w:r>
          </w:p>
        </w:tc>
        <w:tc>
          <w:tcPr>
            <w:tcW w:w="2010" w:type="dxa"/>
            <w:tcBorders>
              <w:top w:val="nil"/>
              <w:left w:val="single" w:sz="4" w:space="0" w:color="auto"/>
              <w:bottom w:val="single" w:sz="4" w:space="0" w:color="auto"/>
              <w:right w:val="single" w:sz="4" w:space="0" w:color="auto"/>
            </w:tcBorders>
            <w:shd w:val="clear" w:color="000000" w:fill="DCE6F1"/>
            <w:vAlign w:val="center"/>
          </w:tcPr>
          <w:p w14:paraId="34C7D259" w14:textId="3EC6516E" w:rsidR="00041855" w:rsidRPr="00A031D0" w:rsidRDefault="00EC7E97" w:rsidP="00FD6B32">
            <w:pPr>
              <w:jc w:val="center"/>
              <w:rPr>
                <w:b/>
                <w:bCs/>
                <w:sz w:val="22"/>
                <w:szCs w:val="22"/>
              </w:rPr>
            </w:pPr>
            <w:r>
              <w:rPr>
                <w:b/>
                <w:bCs/>
                <w:sz w:val="22"/>
                <w:szCs w:val="22"/>
              </w:rPr>
              <w:t>42</w:t>
            </w:r>
            <w:r w:rsidR="00041855" w:rsidRPr="00A031D0">
              <w:rPr>
                <w:b/>
                <w:bCs/>
                <w:sz w:val="22"/>
                <w:szCs w:val="22"/>
              </w:rPr>
              <w:t>,</w:t>
            </w:r>
            <w:r>
              <w:rPr>
                <w:b/>
                <w:bCs/>
                <w:sz w:val="22"/>
                <w:szCs w:val="22"/>
              </w:rPr>
              <w:t>38</w:t>
            </w:r>
            <w:r w:rsidR="00041855" w:rsidRPr="00A031D0">
              <w:rPr>
                <w:b/>
                <w:bCs/>
                <w:sz w:val="22"/>
                <w:szCs w:val="22"/>
              </w:rPr>
              <w:t>%</w:t>
            </w:r>
          </w:p>
        </w:tc>
      </w:tr>
      <w:tr w:rsidR="00041855" w:rsidRPr="00A031D0" w14:paraId="1C7BC9CB" w14:textId="77777777" w:rsidTr="001D18F6">
        <w:trPr>
          <w:trHeight w:val="291"/>
          <w:jc w:val="center"/>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DDA28C2" w14:textId="77777777" w:rsidR="00041855" w:rsidRPr="00A031D0" w:rsidRDefault="00041855" w:rsidP="00C84B10">
            <w:pPr>
              <w:rPr>
                <w:b/>
                <w:bCs/>
                <w:color w:val="000000"/>
              </w:rPr>
            </w:pPr>
            <w:r w:rsidRPr="00A031D0">
              <w:rPr>
                <w:b/>
                <w:bCs/>
                <w:color w:val="000000"/>
              </w:rPr>
              <w:t>WACC</w:t>
            </w:r>
          </w:p>
        </w:tc>
        <w:tc>
          <w:tcPr>
            <w:tcW w:w="2010" w:type="dxa"/>
            <w:tcBorders>
              <w:top w:val="nil"/>
              <w:left w:val="single" w:sz="4" w:space="0" w:color="auto"/>
              <w:bottom w:val="single" w:sz="4" w:space="0" w:color="auto"/>
              <w:right w:val="single" w:sz="4" w:space="0" w:color="auto"/>
            </w:tcBorders>
            <w:vAlign w:val="center"/>
          </w:tcPr>
          <w:p w14:paraId="655A8732" w14:textId="77777777" w:rsidR="00041855" w:rsidRPr="00A031D0" w:rsidRDefault="00041855" w:rsidP="00C84B10">
            <w:pPr>
              <w:jc w:val="center"/>
              <w:rPr>
                <w:b/>
                <w:bCs/>
              </w:rPr>
            </w:pPr>
          </w:p>
        </w:tc>
      </w:tr>
      <w:tr w:rsidR="00041855" w:rsidRPr="00A031D0" w14:paraId="7B129DFB" w14:textId="77777777" w:rsidTr="001D18F6">
        <w:trPr>
          <w:trHeight w:val="291"/>
          <w:jc w:val="center"/>
        </w:trPr>
        <w:tc>
          <w:tcPr>
            <w:tcW w:w="4456" w:type="dxa"/>
            <w:tcBorders>
              <w:top w:val="nil"/>
              <w:left w:val="single" w:sz="4" w:space="0" w:color="auto"/>
              <w:bottom w:val="single" w:sz="4" w:space="0" w:color="auto"/>
              <w:right w:val="single" w:sz="4" w:space="0" w:color="auto"/>
            </w:tcBorders>
            <w:shd w:val="clear" w:color="000000" w:fill="DCE6F1"/>
            <w:noWrap/>
            <w:vAlign w:val="center"/>
            <w:hideMark/>
          </w:tcPr>
          <w:p w14:paraId="53F9262B" w14:textId="77777777" w:rsidR="00041855" w:rsidRPr="00A031D0" w:rsidRDefault="00041855" w:rsidP="00C84B10">
            <w:pPr>
              <w:ind w:firstLineChars="131" w:firstLine="316"/>
              <w:rPr>
                <w:b/>
              </w:rPr>
            </w:pPr>
            <w:r w:rsidRPr="00A031D0">
              <w:rPr>
                <w:b/>
              </w:rPr>
              <w:t>Nominalni WACC prije oporezivanja</w:t>
            </w:r>
          </w:p>
        </w:tc>
        <w:tc>
          <w:tcPr>
            <w:tcW w:w="2010" w:type="dxa"/>
            <w:tcBorders>
              <w:top w:val="nil"/>
              <w:left w:val="single" w:sz="4" w:space="0" w:color="auto"/>
              <w:bottom w:val="single" w:sz="4" w:space="0" w:color="auto"/>
              <w:right w:val="single" w:sz="4" w:space="0" w:color="auto"/>
            </w:tcBorders>
            <w:shd w:val="clear" w:color="000000" w:fill="DCE6F1"/>
            <w:vAlign w:val="center"/>
          </w:tcPr>
          <w:p w14:paraId="183A2D05" w14:textId="1B3FFD4C" w:rsidR="00041855" w:rsidRPr="00A031D0" w:rsidRDefault="00EC7E97" w:rsidP="00EC7E97">
            <w:pPr>
              <w:jc w:val="center"/>
              <w:rPr>
                <w:b/>
                <w:bCs/>
              </w:rPr>
            </w:pPr>
            <w:r>
              <w:rPr>
                <w:b/>
                <w:bCs/>
              </w:rPr>
              <w:t>4,71</w:t>
            </w:r>
            <w:r w:rsidR="00041855" w:rsidRPr="00A031D0">
              <w:rPr>
                <w:b/>
                <w:bCs/>
              </w:rPr>
              <w:t>%</w:t>
            </w:r>
          </w:p>
        </w:tc>
      </w:tr>
    </w:tbl>
    <w:p w14:paraId="41492933" w14:textId="77777777" w:rsidR="00276083" w:rsidRDefault="00276083" w:rsidP="00276083">
      <w:pPr>
        <w:jc w:val="both"/>
      </w:pPr>
    </w:p>
    <w:p w14:paraId="03BD256C" w14:textId="0947368D" w:rsidR="00FF3417" w:rsidRPr="00A03A63" w:rsidRDefault="00FF3417" w:rsidP="00FF3417">
      <w:pPr>
        <w:spacing w:before="100" w:beforeAutospacing="1" w:after="100" w:afterAutospacing="1"/>
        <w:jc w:val="both"/>
        <w:rPr>
          <w:i/>
        </w:rPr>
      </w:pPr>
      <w:r w:rsidRPr="00A031D0">
        <w:rPr>
          <w:b/>
        </w:rPr>
        <w:t>Ad II.</w:t>
      </w:r>
      <w:r w:rsidRPr="00A031D0">
        <w:t xml:space="preserve"> - </w:t>
      </w:r>
      <w:r w:rsidRPr="00A031D0">
        <w:rPr>
          <w:b/>
        </w:rPr>
        <w:t>Dodatna premija rizika</w:t>
      </w:r>
    </w:p>
    <w:p w14:paraId="0A5145B4" w14:textId="26625EC8" w:rsidR="00FF3417" w:rsidRPr="00A031D0" w:rsidRDefault="00FF3417" w:rsidP="00FF3417">
      <w:pPr>
        <w:spacing w:before="100" w:beforeAutospacing="1" w:after="100" w:afterAutospacing="1"/>
        <w:jc w:val="both"/>
      </w:pPr>
      <w:r w:rsidRPr="00A031D0">
        <w:t>Prema preporuci Europske komisije od 20. rujna 2010. o reguliranom pristupu mrežama sljedeće generacije (</w:t>
      </w:r>
      <w:proofErr w:type="spellStart"/>
      <w:r w:rsidRPr="00A031D0">
        <w:t>eng</w:t>
      </w:r>
      <w:proofErr w:type="spellEnd"/>
      <w:r w:rsidRPr="00A031D0">
        <w:t xml:space="preserve">. </w:t>
      </w:r>
      <w:proofErr w:type="spellStart"/>
      <w:r w:rsidRPr="004740D9">
        <w:rPr>
          <w:i/>
        </w:rPr>
        <w:t>Next</w:t>
      </w:r>
      <w:proofErr w:type="spellEnd"/>
      <w:r w:rsidRPr="004740D9">
        <w:rPr>
          <w:i/>
        </w:rPr>
        <w:t xml:space="preserve"> </w:t>
      </w:r>
      <w:proofErr w:type="spellStart"/>
      <w:r w:rsidRPr="004740D9">
        <w:rPr>
          <w:i/>
        </w:rPr>
        <w:t>Generation</w:t>
      </w:r>
      <w:proofErr w:type="spellEnd"/>
      <w:r w:rsidRPr="00A031D0">
        <w:rPr>
          <w:i/>
        </w:rPr>
        <w:t xml:space="preserve"> Access</w:t>
      </w:r>
      <w:r w:rsidRPr="00A031D0">
        <w:t xml:space="preserve">, NGA): </w:t>
      </w:r>
      <w:r w:rsidRPr="00A031D0">
        <w:rPr>
          <w:i/>
        </w:rPr>
        <w:t>"Kod određivanja cijena pristupa izdvojenoj petlji na temelju svjetlovodne niti, nacionalna regulatorna tijela bi trebala uključiti veću premiju rizika radi odražavanja dodatnog i kvantificiranog rizika ulaganja koji snosi operator sa značajnom tržišnom snagom."</w:t>
      </w:r>
      <w:r w:rsidRPr="00A031D0">
        <w:t xml:space="preserve"> HAKOM je u prethodnim odlukama o vrijednosti WACC-a odlučio omogućiti veću premiju rizika za pristupne mreže na temelju FTTH (</w:t>
      </w:r>
      <w:proofErr w:type="spellStart"/>
      <w:r w:rsidRPr="00A031D0">
        <w:t>eng</w:t>
      </w:r>
      <w:proofErr w:type="spellEnd"/>
      <w:r w:rsidRPr="00A031D0">
        <w:t xml:space="preserve">. </w:t>
      </w:r>
      <w:r w:rsidRPr="00A031D0">
        <w:rPr>
          <w:i/>
        </w:rPr>
        <w:t xml:space="preserve">Fiber to </w:t>
      </w:r>
      <w:proofErr w:type="spellStart"/>
      <w:r w:rsidRPr="00A031D0">
        <w:rPr>
          <w:i/>
        </w:rPr>
        <w:t>the</w:t>
      </w:r>
      <w:proofErr w:type="spellEnd"/>
      <w:r w:rsidRPr="00A031D0">
        <w:rPr>
          <w:i/>
        </w:rPr>
        <w:t xml:space="preserve"> home</w:t>
      </w:r>
      <w:r w:rsidRPr="00A031D0">
        <w:t>)/FTTB (</w:t>
      </w:r>
      <w:proofErr w:type="spellStart"/>
      <w:r w:rsidRPr="00A031D0">
        <w:t>eng</w:t>
      </w:r>
      <w:proofErr w:type="spellEnd"/>
      <w:r w:rsidRPr="00A031D0">
        <w:t xml:space="preserve">. </w:t>
      </w:r>
      <w:r w:rsidRPr="00A031D0">
        <w:rPr>
          <w:i/>
        </w:rPr>
        <w:t xml:space="preserve">Fiber to </w:t>
      </w:r>
      <w:r w:rsidRPr="00A03A63">
        <w:rPr>
          <w:i/>
          <w:lang w:val="en-GB"/>
        </w:rPr>
        <w:t>the building</w:t>
      </w:r>
      <w:r w:rsidRPr="00A031D0">
        <w:t xml:space="preserve">) pristupa, radi davanja daljnjeg poticaja za ulaganje u navedene pristupne mreže. Dosadašnja premija </w:t>
      </w:r>
      <w:r w:rsidRPr="00A031D0">
        <w:lastRenderedPageBreak/>
        <w:t xml:space="preserve">rizika bila je definirana u iznosu od </w:t>
      </w:r>
      <w:r w:rsidR="00D20CEA">
        <w:t>1</w:t>
      </w:r>
      <w:r w:rsidRPr="00A031D0">
        <w:t>,</w:t>
      </w:r>
      <w:r w:rsidR="00D20CEA">
        <w:t>97</w:t>
      </w:r>
      <w:r w:rsidRPr="00A031D0">
        <w:t>%. Navedena uvećana premija rizika ne primjenjuje se na postojeću imovinu koja s razvojem pristupnih mreža nove generacije neće biti zamijenjena novom imovinom, kao što je, na primjer, postojeća kabelska kanalizacija, dok se uvećana premija rizika primjenjuje</w:t>
      </w:r>
      <w:r w:rsidR="00BF7AEC" w:rsidRPr="00BF7AEC">
        <w:t xml:space="preserve"> </w:t>
      </w:r>
      <w:r w:rsidR="00BF7AEC" w:rsidRPr="00A031D0">
        <w:t>u slučaju izgradnj</w:t>
      </w:r>
      <w:r w:rsidR="00BF7AEC">
        <w:t>e</w:t>
      </w:r>
      <w:r w:rsidR="00BF7AEC" w:rsidRPr="00A031D0">
        <w:t xml:space="preserve"> nove kabelske kanalizacije</w:t>
      </w:r>
      <w:r w:rsidRPr="00A031D0">
        <w:t xml:space="preserve">. </w:t>
      </w:r>
    </w:p>
    <w:p w14:paraId="45500F53" w14:textId="5C8A460A" w:rsidR="00F4712A" w:rsidRPr="00A031D0" w:rsidRDefault="00936EA3" w:rsidP="00F4712A">
      <w:pPr>
        <w:spacing w:before="100" w:beforeAutospacing="1" w:after="100" w:afterAutospacing="1"/>
        <w:jc w:val="both"/>
        <w:rPr>
          <w:b/>
        </w:rPr>
      </w:pPr>
      <w:r w:rsidRPr="00F4712A">
        <w:t xml:space="preserve">HAKOM je </w:t>
      </w:r>
      <w:r w:rsidR="002830BF" w:rsidRPr="00F4712A">
        <w:t xml:space="preserve">i u ovoj </w:t>
      </w:r>
      <w:r w:rsidR="007D713E">
        <w:t>o</w:t>
      </w:r>
      <w:r w:rsidR="002830BF" w:rsidRPr="00F4712A">
        <w:t>dluci</w:t>
      </w:r>
      <w:r w:rsidR="00CB02A0">
        <w:t>, kao i u prethodnim odlukama o WACC-u,</w:t>
      </w:r>
      <w:r w:rsidR="002830BF" w:rsidRPr="00F4712A">
        <w:t xml:space="preserve"> </w:t>
      </w:r>
      <w:r w:rsidR="008A65A4">
        <w:t xml:space="preserve">dodatnu </w:t>
      </w:r>
      <w:r w:rsidR="00CB02A0" w:rsidRPr="00A031D0">
        <w:t>premiju rizika odredio korištenjem metode usporedivih vrijednosti (</w:t>
      </w:r>
      <w:proofErr w:type="spellStart"/>
      <w:r w:rsidR="00CB02A0" w:rsidRPr="00A031D0">
        <w:rPr>
          <w:i/>
        </w:rPr>
        <w:t>benchmark</w:t>
      </w:r>
      <w:proofErr w:type="spellEnd"/>
      <w:r w:rsidR="00CB02A0" w:rsidRPr="00A031D0">
        <w:t>) na temelju dostupnih podataka u drugim zemljama članicama E</w:t>
      </w:r>
      <w:r w:rsidR="007D713E">
        <w:t>U</w:t>
      </w:r>
      <w:r w:rsidR="00CB02A0">
        <w:t xml:space="preserve">, </w:t>
      </w:r>
      <w:r w:rsidR="002830BF" w:rsidRPr="00F4712A">
        <w:t xml:space="preserve">koristeći vrijednosti koje </w:t>
      </w:r>
      <w:r w:rsidRPr="00F4712A">
        <w:t xml:space="preserve">je prikupio iz baze podataka </w:t>
      </w:r>
      <w:proofErr w:type="spellStart"/>
      <w:r w:rsidRPr="00F4712A">
        <w:t>Cullen</w:t>
      </w:r>
      <w:proofErr w:type="spellEnd"/>
      <w:r w:rsidRPr="00F4712A">
        <w:t xml:space="preserve"> International</w:t>
      </w:r>
      <w:r w:rsidR="00CB02A0">
        <w:rPr>
          <w:rStyle w:val="FootnoteReference"/>
        </w:rPr>
        <w:footnoteReference w:id="5"/>
      </w:r>
      <w:r w:rsidR="002830BF" w:rsidRPr="00F4712A">
        <w:t xml:space="preserve">. </w:t>
      </w:r>
      <w:r w:rsidR="008A65A4">
        <w:t>Dodatnu p</w:t>
      </w:r>
      <w:r w:rsidRPr="00F4712A">
        <w:t>remiju</w:t>
      </w:r>
      <w:r w:rsidR="00CB02A0">
        <w:t xml:space="preserve"> rizika</w:t>
      </w:r>
      <w:r w:rsidRPr="00F4712A">
        <w:t xml:space="preserve"> za NGN mrežu koristi </w:t>
      </w:r>
      <w:r w:rsidR="00CB02A0">
        <w:t>9</w:t>
      </w:r>
      <w:r w:rsidRPr="00F4712A">
        <w:t xml:space="preserve"> europskih </w:t>
      </w:r>
      <w:r w:rsidR="00CB02A0">
        <w:t>država</w:t>
      </w:r>
      <w:r w:rsidR="00F4712A">
        <w:t>.</w:t>
      </w:r>
      <w:r w:rsidR="00F4712A" w:rsidRPr="00F4712A">
        <w:t xml:space="preserve"> Popis </w:t>
      </w:r>
      <w:r w:rsidR="00CB02A0">
        <w:t>država</w:t>
      </w:r>
      <w:r w:rsidR="00F4712A" w:rsidRPr="00F4712A">
        <w:t xml:space="preserve"> </w:t>
      </w:r>
      <w:r w:rsidR="00F4712A">
        <w:t>koj</w:t>
      </w:r>
      <w:r w:rsidR="00CB02A0">
        <w:t>e</w:t>
      </w:r>
      <w:r w:rsidR="00F4712A">
        <w:t xml:space="preserve"> koriste </w:t>
      </w:r>
      <w:r w:rsidR="008A65A4">
        <w:t xml:space="preserve">dodatnu </w:t>
      </w:r>
      <w:r w:rsidR="00F4712A">
        <w:t>premiju</w:t>
      </w:r>
      <w:r w:rsidR="008A65A4">
        <w:t xml:space="preserve"> rizika</w:t>
      </w:r>
      <w:r w:rsidR="00F4712A">
        <w:t xml:space="preserve"> za NGN mrežu nalazi se </w:t>
      </w:r>
      <w:r w:rsidR="00F4712A" w:rsidRPr="00F4712A">
        <w:t xml:space="preserve">u Privitku </w:t>
      </w:r>
      <w:r w:rsidR="00F4712A">
        <w:t>4</w:t>
      </w:r>
      <w:r w:rsidR="00F4712A" w:rsidRPr="00F4712A">
        <w:t xml:space="preserve"> ove odluke.</w:t>
      </w:r>
    </w:p>
    <w:p w14:paraId="2769F0F9" w14:textId="2065CE18" w:rsidR="00FF3417" w:rsidRPr="00A031D0" w:rsidRDefault="00FF3417" w:rsidP="00FF3417">
      <w:pPr>
        <w:spacing w:before="100" w:beforeAutospacing="1" w:after="360"/>
        <w:jc w:val="both"/>
      </w:pPr>
      <w:r w:rsidRPr="00A031D0">
        <w:t xml:space="preserve">Slijedom navedenog, HAKOM je odredio da dodatna premija rizika za usluge putem </w:t>
      </w:r>
      <w:r w:rsidR="00816E8E" w:rsidRPr="00FF3417">
        <w:t>FTTH/FTTB</w:t>
      </w:r>
      <w:r w:rsidR="00816E8E">
        <w:t>/FTTDP pristupne mreže</w:t>
      </w:r>
      <w:r w:rsidR="00816E8E" w:rsidRPr="00A031D0">
        <w:t xml:space="preserve"> </w:t>
      </w:r>
      <w:r w:rsidRPr="00A031D0">
        <w:t xml:space="preserve">za naredno razdoblje </w:t>
      </w:r>
      <w:r w:rsidRPr="00521A89">
        <w:t xml:space="preserve">iznosi </w:t>
      </w:r>
      <w:r w:rsidRPr="00521A89">
        <w:rPr>
          <w:b/>
        </w:rPr>
        <w:t>1,</w:t>
      </w:r>
      <w:r w:rsidR="00521A89" w:rsidRPr="00521A89">
        <w:rPr>
          <w:b/>
        </w:rPr>
        <w:t>50</w:t>
      </w:r>
      <w:r w:rsidRPr="00A031D0">
        <w:rPr>
          <w:b/>
        </w:rPr>
        <w:t>%.</w:t>
      </w:r>
    </w:p>
    <w:p w14:paraId="264E598C" w14:textId="368FDAF4" w:rsidR="00FF3417" w:rsidRPr="00A031D0" w:rsidRDefault="00FF3417" w:rsidP="00FF3417">
      <w:pPr>
        <w:spacing w:before="120" w:after="100" w:afterAutospacing="1"/>
        <w:jc w:val="both"/>
        <w:rPr>
          <w:b/>
        </w:rPr>
      </w:pPr>
      <w:r w:rsidRPr="00A031D0">
        <w:rPr>
          <w:b/>
        </w:rPr>
        <w:t>Ad I</w:t>
      </w:r>
      <w:r w:rsidR="003F70E9">
        <w:rPr>
          <w:b/>
        </w:rPr>
        <w:t>II</w:t>
      </w:r>
      <w:r w:rsidRPr="00A031D0">
        <w:rPr>
          <w:b/>
        </w:rPr>
        <w:t>. - Primjena WACC-a</w:t>
      </w:r>
    </w:p>
    <w:p w14:paraId="5C12A7CA" w14:textId="77777777" w:rsidR="00F11F06" w:rsidRDefault="00FF3417" w:rsidP="00CB02A0">
      <w:pPr>
        <w:autoSpaceDE w:val="0"/>
        <w:autoSpaceDN w:val="0"/>
        <w:adjustRightInd w:val="0"/>
        <w:jc w:val="both"/>
      </w:pPr>
      <w:r w:rsidRPr="00A031D0">
        <w:t>HAKOM je u točki I</w:t>
      </w:r>
      <w:r w:rsidR="000A1439">
        <w:t>II</w:t>
      </w:r>
      <w:r w:rsidRPr="00A031D0">
        <w:t>. izreke odlučio da će se navedene vrijednosti WACC-a</w:t>
      </w:r>
      <w:r w:rsidR="00D30D42">
        <w:t xml:space="preserve"> iz točaka I. i II.</w:t>
      </w:r>
      <w:r w:rsidRPr="00A031D0">
        <w:t xml:space="preserve"> </w:t>
      </w:r>
      <w:r w:rsidR="00D30D42">
        <w:t xml:space="preserve">izreke, </w:t>
      </w:r>
      <w:r w:rsidRPr="00A031D0">
        <w:t>primjenjivati od 1. siječnja 202</w:t>
      </w:r>
      <w:r w:rsidR="0007205E">
        <w:t>3</w:t>
      </w:r>
      <w:r w:rsidRPr="00A031D0">
        <w:t xml:space="preserve">. do </w:t>
      </w:r>
      <w:r w:rsidR="00AC1096">
        <w:t xml:space="preserve">primjene </w:t>
      </w:r>
      <w:r w:rsidR="00AD0A78">
        <w:t xml:space="preserve">novog </w:t>
      </w:r>
      <w:r w:rsidR="000211FB">
        <w:t>ažuriranog</w:t>
      </w:r>
      <w:r w:rsidR="00AC1096" w:rsidRPr="000211FB">
        <w:t xml:space="preserve"> WACC-a.</w:t>
      </w:r>
      <w:r w:rsidR="000211FB">
        <w:t xml:space="preserve"> </w:t>
      </w:r>
      <w:r w:rsidR="00F11F06" w:rsidRPr="00A031D0">
        <w:t>Sukladno navedenom, cijene reguliranih veleprodajnih usluga potrebno je uskladiti s nov</w:t>
      </w:r>
      <w:r w:rsidR="00F11F06">
        <w:t>om</w:t>
      </w:r>
      <w:r w:rsidR="00F11F06" w:rsidRPr="00A031D0">
        <w:t xml:space="preserve"> vrijednosti WACC-a od 1. siječnja 202</w:t>
      </w:r>
      <w:r w:rsidR="00F11F06">
        <w:t>3</w:t>
      </w:r>
      <w:r w:rsidR="00F11F06" w:rsidRPr="00A031D0">
        <w:t>.</w:t>
      </w:r>
      <w:r w:rsidR="00F11F06" w:rsidRPr="00F11F06">
        <w:t xml:space="preserve"> </w:t>
      </w:r>
      <w:r w:rsidR="00F11F06" w:rsidRPr="003A37DE">
        <w:t xml:space="preserve">HT </w:t>
      </w:r>
      <w:r w:rsidR="00F11F06">
        <w:t>j</w:t>
      </w:r>
      <w:r w:rsidR="00F11F06" w:rsidRPr="003A37DE">
        <w:t>e</w:t>
      </w:r>
      <w:r w:rsidR="00F11F06">
        <w:t xml:space="preserve"> dužan</w:t>
      </w:r>
      <w:r w:rsidR="00F11F06" w:rsidRPr="003A37DE">
        <w:t xml:space="preserve"> u roku</w:t>
      </w:r>
      <w:r w:rsidR="00F11F06">
        <w:t xml:space="preserve"> od</w:t>
      </w:r>
      <w:r w:rsidR="00F11F06" w:rsidRPr="003A37DE">
        <w:t xml:space="preserve"> 20 dana od dana </w:t>
      </w:r>
      <w:r w:rsidR="00F11F06">
        <w:t xml:space="preserve">zaprimanja </w:t>
      </w:r>
      <w:r w:rsidR="00F11F06" w:rsidRPr="003A37DE">
        <w:t>konačne odluke u ovom postupku poslati obavijest HAKOM-u o novim veleprodajnim cijenama koje će biti ugrađene u standardne</w:t>
      </w:r>
      <w:r w:rsidR="00F11F06">
        <w:t xml:space="preserve"> ponude. </w:t>
      </w:r>
    </w:p>
    <w:p w14:paraId="114AE425" w14:textId="77777777" w:rsidR="00F11F06" w:rsidRDefault="00F11F06" w:rsidP="00CB02A0">
      <w:pPr>
        <w:autoSpaceDE w:val="0"/>
        <w:autoSpaceDN w:val="0"/>
        <w:adjustRightInd w:val="0"/>
        <w:jc w:val="both"/>
      </w:pPr>
    </w:p>
    <w:p w14:paraId="67910403" w14:textId="605BA287" w:rsidR="00CB02A0" w:rsidRDefault="00F11F06" w:rsidP="00CB02A0">
      <w:pPr>
        <w:autoSpaceDE w:val="0"/>
        <w:autoSpaceDN w:val="0"/>
        <w:adjustRightInd w:val="0"/>
        <w:jc w:val="both"/>
      </w:pPr>
      <w:r>
        <w:t xml:space="preserve">Nadalje, </w:t>
      </w:r>
      <w:r w:rsidR="00F13CC9">
        <w:t xml:space="preserve">u istoj točki izreke HAKOM je odredio da će se nova vrijednost WACC-a </w:t>
      </w:r>
      <w:r w:rsidR="00737598">
        <w:t xml:space="preserve">iz točaka I </w:t>
      </w:r>
      <w:proofErr w:type="spellStart"/>
      <w:r w:rsidR="00737598">
        <w:t>i</w:t>
      </w:r>
      <w:proofErr w:type="spellEnd"/>
      <w:r w:rsidR="00737598">
        <w:t xml:space="preserve"> II izreke primjenjivati </w:t>
      </w:r>
      <w:r w:rsidR="00F13CC9">
        <w:t xml:space="preserve">u regulatornim financijskim izvještajima </w:t>
      </w:r>
      <w:r w:rsidR="00737598">
        <w:t xml:space="preserve">HT-a </w:t>
      </w:r>
      <w:r w:rsidR="00F13CC9">
        <w:t xml:space="preserve">počevši od </w:t>
      </w:r>
      <w:r w:rsidR="00737598">
        <w:t xml:space="preserve">godišnjih </w:t>
      </w:r>
      <w:r w:rsidR="00F13CC9">
        <w:t>financijskih izvještaja za 2022. godinu.</w:t>
      </w:r>
    </w:p>
    <w:p w14:paraId="13E6898B" w14:textId="77777777" w:rsidR="00702AF0" w:rsidRDefault="00702AF0" w:rsidP="00D16EAC">
      <w:pPr>
        <w:autoSpaceDE w:val="0"/>
        <w:autoSpaceDN w:val="0"/>
        <w:adjustRightInd w:val="0"/>
        <w:jc w:val="both"/>
      </w:pPr>
    </w:p>
    <w:p w14:paraId="40674AAB" w14:textId="2C54F4F6" w:rsidR="00C23576" w:rsidRDefault="00C23576" w:rsidP="00D16EAC">
      <w:pPr>
        <w:autoSpaceDE w:val="0"/>
        <w:autoSpaceDN w:val="0"/>
        <w:adjustRightInd w:val="0"/>
        <w:jc w:val="both"/>
      </w:pPr>
      <w:r>
        <w:t>Vezano uz učestalost preispitivanja WACC-a, a u skladu s Obavijesti EK, HAKOM</w:t>
      </w:r>
      <w:r w:rsidR="00497538">
        <w:t xml:space="preserve"> smatra da je primjereno ažurirati vrijednosti WACC-a najmanje jedanput godišnje kako bi se uzeli u obzir najnoviji gospodarski uvjeti čime</w:t>
      </w:r>
      <w:r w:rsidR="00497538" w:rsidRPr="00A031D0">
        <w:t xml:space="preserve"> bi se osigurala stabilnost cijena i regulatorna predvidivost</w:t>
      </w:r>
      <w:r w:rsidR="00497538">
        <w:t xml:space="preserve">. </w:t>
      </w:r>
    </w:p>
    <w:p w14:paraId="367B0270" w14:textId="77777777" w:rsidR="00C23576" w:rsidRDefault="00C23576" w:rsidP="00D16EAC">
      <w:pPr>
        <w:autoSpaceDE w:val="0"/>
        <w:autoSpaceDN w:val="0"/>
        <w:adjustRightInd w:val="0"/>
        <w:jc w:val="both"/>
      </w:pPr>
    </w:p>
    <w:p w14:paraId="3029502D" w14:textId="18A0D8A9" w:rsidR="00C23576" w:rsidRDefault="00497538" w:rsidP="00D16EAC">
      <w:pPr>
        <w:autoSpaceDE w:val="0"/>
        <w:autoSpaceDN w:val="0"/>
        <w:adjustRightInd w:val="0"/>
        <w:jc w:val="both"/>
      </w:pPr>
      <w:r>
        <w:t>HAKOM će</w:t>
      </w:r>
      <w:r w:rsidR="00C23576">
        <w:t xml:space="preserve"> provoditi ažuriranje</w:t>
      </w:r>
      <w:r>
        <w:t xml:space="preserve"> WACC</w:t>
      </w:r>
      <w:r w:rsidR="00C23576">
        <w:t>-a</w:t>
      </w:r>
      <w:r>
        <w:t xml:space="preserve"> godišnje, a isti će se primijeniti u postupku donošenja svih relevantnih odluka u koje je potrebno implementirati WACC</w:t>
      </w:r>
      <w:r w:rsidR="00C23576">
        <w:t>,</w:t>
      </w:r>
      <w:r w:rsidR="008A65A4">
        <w:t xml:space="preserve"> </w:t>
      </w:r>
      <w:r w:rsidR="00C23576">
        <w:t>na način da će se ažurirani WACC koristiti u svim novim ili izmijenjenim odlukama o cijenama</w:t>
      </w:r>
      <w:r w:rsidR="00792D28">
        <w:t>.</w:t>
      </w:r>
    </w:p>
    <w:p w14:paraId="567676D2" w14:textId="77777777" w:rsidR="00C23576" w:rsidRDefault="00C23576" w:rsidP="00D16EAC">
      <w:pPr>
        <w:autoSpaceDE w:val="0"/>
        <w:autoSpaceDN w:val="0"/>
        <w:adjustRightInd w:val="0"/>
        <w:jc w:val="both"/>
      </w:pPr>
    </w:p>
    <w:p w14:paraId="0F9E486A" w14:textId="77777777" w:rsidR="00FF3417" w:rsidRDefault="00FF3417" w:rsidP="00FF3417">
      <w:pPr>
        <w:autoSpaceDE w:val="0"/>
        <w:autoSpaceDN w:val="0"/>
        <w:adjustRightInd w:val="0"/>
        <w:jc w:val="both"/>
      </w:pPr>
    </w:p>
    <w:p w14:paraId="32434BEF" w14:textId="12BD5C8A" w:rsidR="00FB419B" w:rsidRDefault="00FB419B" w:rsidP="00FF3417">
      <w:pPr>
        <w:rPr>
          <w:noProof/>
        </w:rPr>
      </w:pPr>
    </w:p>
    <w:p w14:paraId="5AC4D821" w14:textId="77777777" w:rsidR="003F3F15" w:rsidRDefault="003F3F15" w:rsidP="004A12F0">
      <w:pPr>
        <w:pStyle w:val="NormalTimesNewRoman"/>
        <w:ind w:firstLine="0"/>
      </w:pPr>
    </w:p>
    <w:p w14:paraId="6FF06FDD" w14:textId="77777777" w:rsidR="00070959" w:rsidRDefault="00070959" w:rsidP="004A12F0">
      <w:pPr>
        <w:pStyle w:val="NormalTimesNewRoman"/>
        <w:ind w:firstLine="0"/>
      </w:pPr>
    </w:p>
    <w:p w14:paraId="556E6078" w14:textId="77777777" w:rsidR="007E6B06" w:rsidRDefault="007E6B06" w:rsidP="004A12F0">
      <w:pPr>
        <w:pStyle w:val="NormalTimesNewRoman"/>
        <w:ind w:firstLine="0"/>
      </w:pPr>
    </w:p>
    <w:tbl>
      <w:tblPr>
        <w:tblW w:w="4541" w:type="dxa"/>
        <w:tblInd w:w="4875" w:type="dxa"/>
        <w:tblLook w:val="01E0" w:firstRow="1" w:lastRow="1" w:firstColumn="1" w:lastColumn="1" w:noHBand="0" w:noVBand="0"/>
      </w:tblPr>
      <w:tblGrid>
        <w:gridCol w:w="4541"/>
      </w:tblGrid>
      <w:tr w:rsidR="00070959" w14:paraId="402A54F4" w14:textId="77777777" w:rsidTr="007E6B06">
        <w:trPr>
          <w:trHeight w:val="596"/>
        </w:trPr>
        <w:tc>
          <w:tcPr>
            <w:tcW w:w="4541" w:type="dxa"/>
            <w:shd w:val="clear" w:color="auto" w:fill="auto"/>
          </w:tcPr>
          <w:p w14:paraId="12A0DC26" w14:textId="4FDB8FCF" w:rsidR="00070959" w:rsidRDefault="001753D7" w:rsidP="001753D7">
            <w:pPr>
              <w:pStyle w:val="Uloga"/>
              <w:spacing w:after="0"/>
              <w:ind w:right="338"/>
              <w:jc w:val="right"/>
            </w:pPr>
            <w:r>
              <w:t>PREDSJEDNIK VIJEĆA</w:t>
            </w:r>
          </w:p>
        </w:tc>
      </w:tr>
      <w:tr w:rsidR="00070959" w14:paraId="26746BF2" w14:textId="77777777" w:rsidTr="007E6B06">
        <w:trPr>
          <w:trHeight w:val="618"/>
        </w:trPr>
        <w:tc>
          <w:tcPr>
            <w:tcW w:w="4541" w:type="dxa"/>
            <w:shd w:val="clear" w:color="auto" w:fill="auto"/>
          </w:tcPr>
          <w:p w14:paraId="1D42CB0D" w14:textId="69370849" w:rsidR="00070959" w:rsidRPr="009240AC" w:rsidRDefault="001753D7" w:rsidP="009240AC">
            <w:pPr>
              <w:pStyle w:val="Uloga-ime"/>
              <w:spacing w:after="0"/>
              <w:ind w:right="661"/>
              <w:jc w:val="right"/>
            </w:pPr>
            <w:r>
              <w:t>Tonko Obuljen</w:t>
            </w:r>
          </w:p>
        </w:tc>
      </w:tr>
    </w:tbl>
    <w:p w14:paraId="06C5EE7D" w14:textId="77777777" w:rsidR="00665D22" w:rsidRDefault="00665D22" w:rsidP="003F70E9">
      <w:pPr>
        <w:jc w:val="both"/>
      </w:pPr>
    </w:p>
    <w:p w14:paraId="68CB08AD" w14:textId="77777777" w:rsidR="00737598" w:rsidRDefault="00737598" w:rsidP="00840287">
      <w:pPr>
        <w:jc w:val="center"/>
        <w:rPr>
          <w:b/>
        </w:rPr>
      </w:pPr>
    </w:p>
    <w:p w14:paraId="305CB5B4" w14:textId="77777777" w:rsidR="00737598" w:rsidRDefault="00737598" w:rsidP="00840287">
      <w:pPr>
        <w:jc w:val="center"/>
        <w:rPr>
          <w:b/>
        </w:rPr>
      </w:pPr>
    </w:p>
    <w:p w14:paraId="199CA20E" w14:textId="759F434E" w:rsidR="006964E3" w:rsidRDefault="00840287" w:rsidP="00840287">
      <w:pPr>
        <w:jc w:val="center"/>
      </w:pPr>
      <w:r w:rsidRPr="0052427D">
        <w:rPr>
          <w:b/>
        </w:rPr>
        <w:lastRenderedPageBreak/>
        <w:t xml:space="preserve">Privitak </w:t>
      </w:r>
      <w:r>
        <w:rPr>
          <w:b/>
        </w:rPr>
        <w:t>1</w:t>
      </w:r>
      <w:r w:rsidRPr="0052427D">
        <w:t xml:space="preserve"> - Popis </w:t>
      </w:r>
      <w:r>
        <w:t>usporedivih kompanija</w:t>
      </w:r>
      <w:r w:rsidRPr="0052427D">
        <w:t xml:space="preserve"> korištenih u izračunu </w:t>
      </w:r>
      <w:r w:rsidR="006964E3">
        <w:t>parametara</w:t>
      </w:r>
    </w:p>
    <w:p w14:paraId="1EB040DD" w14:textId="2D21A98B" w:rsidR="006964E3" w:rsidRPr="00840287" w:rsidRDefault="006964E3" w:rsidP="006964E3">
      <w:pPr>
        <w:jc w:val="center"/>
        <w:rPr>
          <w:vanish/>
          <w:specVanish/>
        </w:rPr>
      </w:pPr>
      <w:r>
        <w:t>(</w:t>
      </w:r>
      <w:r w:rsidR="00840287">
        <w:t>premij</w:t>
      </w:r>
      <w:r>
        <w:t>a</w:t>
      </w:r>
      <w:r w:rsidR="00840287">
        <w:t xml:space="preserve"> duga</w:t>
      </w:r>
      <w:r>
        <w:t>,</w:t>
      </w:r>
      <w:r w:rsidR="00840287">
        <w:t xml:space="preserve"> troš</w:t>
      </w:r>
      <w:r>
        <w:t>a</w:t>
      </w:r>
      <w:r w:rsidR="00840287">
        <w:t>k duga</w:t>
      </w:r>
      <w:r>
        <w:t xml:space="preserve">, </w:t>
      </w:r>
      <w:r w:rsidR="007D713E">
        <w:t>nerizična kamatna stopa</w:t>
      </w:r>
      <w:r>
        <w:t>)</w:t>
      </w:r>
      <w:r w:rsidRPr="0052427D">
        <w:t xml:space="preserve"> </w:t>
      </w:r>
    </w:p>
    <w:p w14:paraId="6AB51D26" w14:textId="77777777" w:rsidR="006964E3" w:rsidRDefault="006964E3" w:rsidP="006964E3">
      <w:pPr>
        <w:jc w:val="both"/>
      </w:pPr>
      <w:r>
        <w:t xml:space="preserve"> </w:t>
      </w:r>
    </w:p>
    <w:p w14:paraId="412C23DB" w14:textId="77777777" w:rsidR="006964E3" w:rsidRDefault="006964E3" w:rsidP="006964E3">
      <w:pPr>
        <w:jc w:val="both"/>
      </w:pPr>
    </w:p>
    <w:p w14:paraId="2077A3C2" w14:textId="1BDE01CA" w:rsidR="00840287" w:rsidRDefault="00840287" w:rsidP="00840287">
      <w:pPr>
        <w:jc w:val="center"/>
      </w:pPr>
    </w:p>
    <w:tbl>
      <w:tblPr>
        <w:tblStyle w:val="TableGrid"/>
        <w:tblW w:w="0" w:type="auto"/>
        <w:tblInd w:w="489" w:type="dxa"/>
        <w:tblLayout w:type="fixed"/>
        <w:tblLook w:val="04A0" w:firstRow="1" w:lastRow="0" w:firstColumn="1" w:lastColumn="0" w:noHBand="0" w:noVBand="1"/>
      </w:tblPr>
      <w:tblGrid>
        <w:gridCol w:w="2830"/>
        <w:gridCol w:w="1256"/>
        <w:gridCol w:w="1516"/>
        <w:gridCol w:w="1417"/>
        <w:gridCol w:w="1134"/>
      </w:tblGrid>
      <w:tr w:rsidR="007D713E" w:rsidRPr="007D713E" w14:paraId="466F7512" w14:textId="77777777" w:rsidTr="007D713E">
        <w:trPr>
          <w:trHeight w:val="1260"/>
        </w:trPr>
        <w:tc>
          <w:tcPr>
            <w:tcW w:w="2830" w:type="dxa"/>
            <w:vAlign w:val="center"/>
            <w:hideMark/>
          </w:tcPr>
          <w:p w14:paraId="0966B4C1" w14:textId="77777777" w:rsidR="007D713E" w:rsidRPr="007D713E" w:rsidRDefault="007D713E" w:rsidP="007D713E">
            <w:pPr>
              <w:jc w:val="center"/>
              <w:rPr>
                <w:sz w:val="22"/>
                <w:szCs w:val="22"/>
              </w:rPr>
            </w:pPr>
            <w:r w:rsidRPr="007D713E">
              <w:rPr>
                <w:sz w:val="22"/>
                <w:szCs w:val="22"/>
              </w:rPr>
              <w:t>Kompanija</w:t>
            </w:r>
          </w:p>
        </w:tc>
        <w:tc>
          <w:tcPr>
            <w:tcW w:w="1256" w:type="dxa"/>
            <w:vAlign w:val="center"/>
            <w:hideMark/>
          </w:tcPr>
          <w:p w14:paraId="4430FBB9" w14:textId="77777777" w:rsidR="007D713E" w:rsidRPr="007D713E" w:rsidRDefault="007D713E">
            <w:pPr>
              <w:jc w:val="center"/>
              <w:rPr>
                <w:sz w:val="22"/>
                <w:szCs w:val="22"/>
              </w:rPr>
            </w:pPr>
            <w:r w:rsidRPr="007D713E">
              <w:rPr>
                <w:sz w:val="22"/>
                <w:szCs w:val="22"/>
              </w:rPr>
              <w:t>Država</w:t>
            </w:r>
          </w:p>
        </w:tc>
        <w:tc>
          <w:tcPr>
            <w:tcW w:w="1516" w:type="dxa"/>
            <w:vAlign w:val="center"/>
            <w:hideMark/>
          </w:tcPr>
          <w:p w14:paraId="2635B71C" w14:textId="77777777" w:rsidR="007D713E" w:rsidRPr="007D713E" w:rsidRDefault="007D713E">
            <w:pPr>
              <w:jc w:val="center"/>
              <w:rPr>
                <w:sz w:val="22"/>
                <w:szCs w:val="22"/>
              </w:rPr>
            </w:pPr>
            <w:r w:rsidRPr="007D713E">
              <w:rPr>
                <w:sz w:val="22"/>
                <w:szCs w:val="22"/>
              </w:rPr>
              <w:t>Premija duga</w:t>
            </w:r>
            <w:r w:rsidRPr="007D713E">
              <w:rPr>
                <w:sz w:val="22"/>
                <w:szCs w:val="22"/>
              </w:rPr>
              <w:br/>
              <w:t>(</w:t>
            </w:r>
            <w:proofErr w:type="spellStart"/>
            <w:r w:rsidRPr="007D713E">
              <w:rPr>
                <w:sz w:val="22"/>
                <w:szCs w:val="22"/>
              </w:rPr>
              <w:t>basis</w:t>
            </w:r>
            <w:proofErr w:type="spellEnd"/>
            <w:r w:rsidRPr="007D713E">
              <w:rPr>
                <w:sz w:val="22"/>
                <w:szCs w:val="22"/>
              </w:rPr>
              <w:t xml:space="preserve"> </w:t>
            </w:r>
            <w:proofErr w:type="spellStart"/>
            <w:r w:rsidRPr="007D713E">
              <w:rPr>
                <w:sz w:val="22"/>
                <w:szCs w:val="22"/>
              </w:rPr>
              <w:t>point</w:t>
            </w:r>
            <w:proofErr w:type="spellEnd"/>
            <w:r w:rsidRPr="007D713E">
              <w:rPr>
                <w:sz w:val="22"/>
                <w:szCs w:val="22"/>
              </w:rPr>
              <w:t>)</w:t>
            </w:r>
          </w:p>
        </w:tc>
        <w:tc>
          <w:tcPr>
            <w:tcW w:w="1417" w:type="dxa"/>
            <w:vAlign w:val="center"/>
            <w:hideMark/>
          </w:tcPr>
          <w:p w14:paraId="75BE6AE9" w14:textId="77777777" w:rsidR="007D713E" w:rsidRPr="007D713E" w:rsidRDefault="007D713E">
            <w:pPr>
              <w:jc w:val="center"/>
              <w:rPr>
                <w:sz w:val="22"/>
                <w:szCs w:val="22"/>
              </w:rPr>
            </w:pPr>
            <w:r w:rsidRPr="007D713E">
              <w:rPr>
                <w:sz w:val="22"/>
                <w:szCs w:val="22"/>
              </w:rPr>
              <w:t xml:space="preserve">Nerizična kamatna stopa (RFR) </w:t>
            </w:r>
          </w:p>
        </w:tc>
        <w:tc>
          <w:tcPr>
            <w:tcW w:w="1134" w:type="dxa"/>
            <w:vAlign w:val="center"/>
            <w:hideMark/>
          </w:tcPr>
          <w:p w14:paraId="25186043" w14:textId="77777777" w:rsidR="007D713E" w:rsidRPr="007D713E" w:rsidRDefault="007D713E">
            <w:pPr>
              <w:jc w:val="center"/>
              <w:rPr>
                <w:sz w:val="22"/>
                <w:szCs w:val="22"/>
              </w:rPr>
            </w:pPr>
            <w:r w:rsidRPr="007D713E">
              <w:rPr>
                <w:sz w:val="22"/>
                <w:szCs w:val="22"/>
              </w:rPr>
              <w:t>Trošak duga</w:t>
            </w:r>
          </w:p>
        </w:tc>
      </w:tr>
      <w:tr w:rsidR="007D713E" w:rsidRPr="007D713E" w14:paraId="2ACC30CD" w14:textId="77777777" w:rsidTr="007D713E">
        <w:trPr>
          <w:trHeight w:val="441"/>
        </w:trPr>
        <w:tc>
          <w:tcPr>
            <w:tcW w:w="2830" w:type="dxa"/>
            <w:hideMark/>
          </w:tcPr>
          <w:p w14:paraId="3CEB04FD" w14:textId="77777777" w:rsidR="007D713E" w:rsidRPr="004670A8" w:rsidRDefault="007D713E" w:rsidP="004670A8">
            <w:r w:rsidRPr="004670A8">
              <w:t xml:space="preserve">Deutsche Telekom AG </w:t>
            </w:r>
          </w:p>
        </w:tc>
        <w:tc>
          <w:tcPr>
            <w:tcW w:w="1256" w:type="dxa"/>
            <w:hideMark/>
          </w:tcPr>
          <w:p w14:paraId="1F2B2266" w14:textId="77777777" w:rsidR="007D713E" w:rsidRPr="004670A8" w:rsidRDefault="007D713E">
            <w:pPr>
              <w:jc w:val="center"/>
            </w:pPr>
            <w:r w:rsidRPr="004670A8">
              <w:t>DE</w:t>
            </w:r>
          </w:p>
        </w:tc>
        <w:tc>
          <w:tcPr>
            <w:tcW w:w="1516" w:type="dxa"/>
            <w:hideMark/>
          </w:tcPr>
          <w:p w14:paraId="54D35747" w14:textId="77777777" w:rsidR="007D713E" w:rsidRPr="004670A8" w:rsidRDefault="007D713E">
            <w:pPr>
              <w:jc w:val="center"/>
            </w:pPr>
            <w:r w:rsidRPr="004670A8">
              <w:t>125</w:t>
            </w:r>
          </w:p>
        </w:tc>
        <w:tc>
          <w:tcPr>
            <w:tcW w:w="1417" w:type="dxa"/>
            <w:hideMark/>
          </w:tcPr>
          <w:p w14:paraId="4AC82FC9" w14:textId="77777777" w:rsidR="007D713E" w:rsidRPr="004670A8" w:rsidRDefault="007D713E">
            <w:pPr>
              <w:jc w:val="center"/>
            </w:pPr>
            <w:r w:rsidRPr="004670A8">
              <w:t>-0,09</w:t>
            </w:r>
          </w:p>
        </w:tc>
        <w:tc>
          <w:tcPr>
            <w:tcW w:w="1134" w:type="dxa"/>
            <w:hideMark/>
          </w:tcPr>
          <w:p w14:paraId="7CDE088F" w14:textId="77777777" w:rsidR="007D713E" w:rsidRPr="004670A8" w:rsidRDefault="007D713E">
            <w:pPr>
              <w:jc w:val="center"/>
            </w:pPr>
            <w:r w:rsidRPr="004670A8">
              <w:t>1,16</w:t>
            </w:r>
          </w:p>
        </w:tc>
      </w:tr>
      <w:tr w:rsidR="007D713E" w:rsidRPr="007D713E" w14:paraId="719A9060" w14:textId="77777777" w:rsidTr="007D713E">
        <w:trPr>
          <w:trHeight w:val="441"/>
        </w:trPr>
        <w:tc>
          <w:tcPr>
            <w:tcW w:w="2830" w:type="dxa"/>
            <w:hideMark/>
          </w:tcPr>
          <w:p w14:paraId="7678E9F5" w14:textId="77777777" w:rsidR="007D713E" w:rsidRPr="004670A8" w:rsidRDefault="007D713E" w:rsidP="004670A8">
            <w:r w:rsidRPr="004670A8">
              <w:t>DIDI Communications N.V.</w:t>
            </w:r>
          </w:p>
        </w:tc>
        <w:tc>
          <w:tcPr>
            <w:tcW w:w="1256" w:type="dxa"/>
            <w:hideMark/>
          </w:tcPr>
          <w:p w14:paraId="17B452C5" w14:textId="77777777" w:rsidR="007D713E" w:rsidRPr="004670A8" w:rsidRDefault="007D713E">
            <w:pPr>
              <w:jc w:val="center"/>
            </w:pPr>
            <w:r w:rsidRPr="004670A8">
              <w:t>RO</w:t>
            </w:r>
          </w:p>
        </w:tc>
        <w:tc>
          <w:tcPr>
            <w:tcW w:w="1516" w:type="dxa"/>
            <w:hideMark/>
          </w:tcPr>
          <w:p w14:paraId="7BD7FF4B" w14:textId="77777777" w:rsidR="007D713E" w:rsidRPr="004670A8" w:rsidRDefault="007D713E">
            <w:pPr>
              <w:jc w:val="center"/>
            </w:pPr>
            <w:r w:rsidRPr="004670A8">
              <w:t>260</w:t>
            </w:r>
          </w:p>
        </w:tc>
        <w:tc>
          <w:tcPr>
            <w:tcW w:w="1417" w:type="dxa"/>
            <w:hideMark/>
          </w:tcPr>
          <w:p w14:paraId="2869D523" w14:textId="77777777" w:rsidR="007D713E" w:rsidRPr="004670A8" w:rsidRDefault="007D713E">
            <w:pPr>
              <w:jc w:val="center"/>
            </w:pPr>
            <w:r w:rsidRPr="004670A8">
              <w:t>4,23</w:t>
            </w:r>
          </w:p>
        </w:tc>
        <w:tc>
          <w:tcPr>
            <w:tcW w:w="1134" w:type="dxa"/>
            <w:hideMark/>
          </w:tcPr>
          <w:p w14:paraId="7F2260F9" w14:textId="77777777" w:rsidR="007D713E" w:rsidRPr="004670A8" w:rsidRDefault="007D713E">
            <w:pPr>
              <w:jc w:val="center"/>
            </w:pPr>
            <w:r w:rsidRPr="004670A8">
              <w:t>6,83</w:t>
            </w:r>
          </w:p>
        </w:tc>
      </w:tr>
      <w:tr w:rsidR="007D713E" w:rsidRPr="007D713E" w14:paraId="1A372B98" w14:textId="77777777" w:rsidTr="007D713E">
        <w:trPr>
          <w:trHeight w:val="441"/>
        </w:trPr>
        <w:tc>
          <w:tcPr>
            <w:tcW w:w="2830" w:type="dxa"/>
            <w:hideMark/>
          </w:tcPr>
          <w:p w14:paraId="51A1AC8F" w14:textId="77777777" w:rsidR="007D713E" w:rsidRPr="004670A8" w:rsidRDefault="007D713E" w:rsidP="004670A8">
            <w:r w:rsidRPr="004670A8">
              <w:t xml:space="preserve">Elisa </w:t>
            </w:r>
            <w:proofErr w:type="spellStart"/>
            <w:r w:rsidRPr="004670A8">
              <w:t>Oyj</w:t>
            </w:r>
            <w:proofErr w:type="spellEnd"/>
            <w:r w:rsidRPr="004670A8">
              <w:t xml:space="preserve"> </w:t>
            </w:r>
          </w:p>
        </w:tc>
        <w:tc>
          <w:tcPr>
            <w:tcW w:w="1256" w:type="dxa"/>
            <w:hideMark/>
          </w:tcPr>
          <w:p w14:paraId="4265C330" w14:textId="77777777" w:rsidR="007D713E" w:rsidRPr="004670A8" w:rsidRDefault="007D713E">
            <w:pPr>
              <w:jc w:val="center"/>
            </w:pPr>
            <w:r w:rsidRPr="004670A8">
              <w:t>FI</w:t>
            </w:r>
          </w:p>
        </w:tc>
        <w:tc>
          <w:tcPr>
            <w:tcW w:w="1516" w:type="dxa"/>
            <w:hideMark/>
          </w:tcPr>
          <w:p w14:paraId="54FDEF17" w14:textId="77777777" w:rsidR="007D713E" w:rsidRPr="004670A8" w:rsidRDefault="007D713E">
            <w:pPr>
              <w:jc w:val="center"/>
            </w:pPr>
            <w:r w:rsidRPr="004670A8">
              <w:t>69</w:t>
            </w:r>
          </w:p>
        </w:tc>
        <w:tc>
          <w:tcPr>
            <w:tcW w:w="1417" w:type="dxa"/>
            <w:hideMark/>
          </w:tcPr>
          <w:p w14:paraId="2CCA195A" w14:textId="77777777" w:rsidR="007D713E" w:rsidRPr="004670A8" w:rsidRDefault="007D713E">
            <w:pPr>
              <w:jc w:val="center"/>
            </w:pPr>
            <w:r w:rsidRPr="004670A8">
              <w:t>0,19</w:t>
            </w:r>
          </w:p>
        </w:tc>
        <w:tc>
          <w:tcPr>
            <w:tcW w:w="1134" w:type="dxa"/>
            <w:hideMark/>
          </w:tcPr>
          <w:p w14:paraId="603B5CEC" w14:textId="77777777" w:rsidR="007D713E" w:rsidRPr="004670A8" w:rsidRDefault="007D713E">
            <w:pPr>
              <w:jc w:val="center"/>
            </w:pPr>
            <w:r w:rsidRPr="004670A8">
              <w:t>0,88</w:t>
            </w:r>
          </w:p>
        </w:tc>
      </w:tr>
      <w:tr w:rsidR="007D713E" w:rsidRPr="007D713E" w14:paraId="79FCBFD2" w14:textId="77777777" w:rsidTr="007D713E">
        <w:trPr>
          <w:trHeight w:val="441"/>
        </w:trPr>
        <w:tc>
          <w:tcPr>
            <w:tcW w:w="2830" w:type="dxa"/>
            <w:hideMark/>
          </w:tcPr>
          <w:p w14:paraId="51902814" w14:textId="77777777" w:rsidR="007D713E" w:rsidRPr="004670A8" w:rsidRDefault="007D713E" w:rsidP="004670A8">
            <w:proofErr w:type="spellStart"/>
            <w:r w:rsidRPr="004670A8">
              <w:t>Koninklijke</w:t>
            </w:r>
            <w:proofErr w:type="spellEnd"/>
            <w:r w:rsidRPr="004670A8">
              <w:t xml:space="preserve"> KPN N.V. </w:t>
            </w:r>
          </w:p>
        </w:tc>
        <w:tc>
          <w:tcPr>
            <w:tcW w:w="1256" w:type="dxa"/>
            <w:hideMark/>
          </w:tcPr>
          <w:p w14:paraId="225E7A82" w14:textId="77777777" w:rsidR="007D713E" w:rsidRPr="004670A8" w:rsidRDefault="007D713E">
            <w:pPr>
              <w:jc w:val="center"/>
            </w:pPr>
            <w:r w:rsidRPr="004670A8">
              <w:t>NL</w:t>
            </w:r>
          </w:p>
        </w:tc>
        <w:tc>
          <w:tcPr>
            <w:tcW w:w="1516" w:type="dxa"/>
            <w:hideMark/>
          </w:tcPr>
          <w:p w14:paraId="1D8E8EA4" w14:textId="77777777" w:rsidR="007D713E" w:rsidRPr="004670A8" w:rsidRDefault="007D713E">
            <w:pPr>
              <w:jc w:val="center"/>
            </w:pPr>
            <w:r w:rsidRPr="004670A8">
              <w:t>117</w:t>
            </w:r>
          </w:p>
        </w:tc>
        <w:tc>
          <w:tcPr>
            <w:tcW w:w="1417" w:type="dxa"/>
            <w:hideMark/>
          </w:tcPr>
          <w:p w14:paraId="0102F303" w14:textId="77777777" w:rsidR="007D713E" w:rsidRPr="004670A8" w:rsidRDefault="007D713E">
            <w:pPr>
              <w:jc w:val="center"/>
            </w:pPr>
            <w:r w:rsidRPr="004670A8">
              <w:t>0,05</w:t>
            </w:r>
          </w:p>
        </w:tc>
        <w:tc>
          <w:tcPr>
            <w:tcW w:w="1134" w:type="dxa"/>
            <w:hideMark/>
          </w:tcPr>
          <w:p w14:paraId="69316DDD" w14:textId="77777777" w:rsidR="007D713E" w:rsidRPr="004670A8" w:rsidRDefault="007D713E">
            <w:pPr>
              <w:jc w:val="center"/>
            </w:pPr>
            <w:r w:rsidRPr="004670A8">
              <w:t>1,22</w:t>
            </w:r>
          </w:p>
        </w:tc>
      </w:tr>
      <w:tr w:rsidR="007D713E" w:rsidRPr="007D713E" w14:paraId="01360A2A" w14:textId="77777777" w:rsidTr="007D713E">
        <w:trPr>
          <w:trHeight w:val="441"/>
        </w:trPr>
        <w:tc>
          <w:tcPr>
            <w:tcW w:w="2830" w:type="dxa"/>
            <w:hideMark/>
          </w:tcPr>
          <w:p w14:paraId="7057DAE4" w14:textId="77777777" w:rsidR="007D713E" w:rsidRPr="004670A8" w:rsidRDefault="007D713E" w:rsidP="004670A8">
            <w:r w:rsidRPr="004670A8">
              <w:t xml:space="preserve">NOS </w:t>
            </w:r>
          </w:p>
        </w:tc>
        <w:tc>
          <w:tcPr>
            <w:tcW w:w="1256" w:type="dxa"/>
            <w:hideMark/>
          </w:tcPr>
          <w:p w14:paraId="7575438D" w14:textId="77777777" w:rsidR="007D713E" w:rsidRPr="004670A8" w:rsidRDefault="007D713E">
            <w:pPr>
              <w:jc w:val="center"/>
            </w:pPr>
            <w:r w:rsidRPr="004670A8">
              <w:t>PT</w:t>
            </w:r>
          </w:p>
        </w:tc>
        <w:tc>
          <w:tcPr>
            <w:tcW w:w="1516" w:type="dxa"/>
            <w:hideMark/>
          </w:tcPr>
          <w:p w14:paraId="2EAD79A0" w14:textId="77777777" w:rsidR="007D713E" w:rsidRPr="004670A8" w:rsidRDefault="007D713E" w:rsidP="007D713E">
            <w:pPr>
              <w:jc w:val="center"/>
            </w:pPr>
            <w:r w:rsidRPr="004670A8">
              <w:t> </w:t>
            </w:r>
          </w:p>
        </w:tc>
        <w:tc>
          <w:tcPr>
            <w:tcW w:w="1417" w:type="dxa"/>
            <w:hideMark/>
          </w:tcPr>
          <w:p w14:paraId="501FBD46" w14:textId="77777777" w:rsidR="007D713E" w:rsidRPr="004670A8" w:rsidRDefault="007D713E">
            <w:pPr>
              <w:jc w:val="center"/>
            </w:pPr>
            <w:r w:rsidRPr="004670A8">
              <w:t>1,12</w:t>
            </w:r>
          </w:p>
        </w:tc>
        <w:tc>
          <w:tcPr>
            <w:tcW w:w="1134" w:type="dxa"/>
            <w:hideMark/>
          </w:tcPr>
          <w:p w14:paraId="6CAD1193" w14:textId="77777777" w:rsidR="007D713E" w:rsidRPr="004670A8" w:rsidRDefault="007D713E" w:rsidP="007D713E">
            <w:pPr>
              <w:jc w:val="center"/>
            </w:pPr>
            <w:r w:rsidRPr="004670A8">
              <w:t> </w:t>
            </w:r>
          </w:p>
        </w:tc>
      </w:tr>
      <w:tr w:rsidR="007D713E" w:rsidRPr="007D713E" w14:paraId="141D53ED" w14:textId="77777777" w:rsidTr="007D713E">
        <w:trPr>
          <w:trHeight w:val="441"/>
        </w:trPr>
        <w:tc>
          <w:tcPr>
            <w:tcW w:w="2830" w:type="dxa"/>
            <w:hideMark/>
          </w:tcPr>
          <w:p w14:paraId="1130907A" w14:textId="77777777" w:rsidR="007D713E" w:rsidRPr="004670A8" w:rsidRDefault="007D713E" w:rsidP="004670A8">
            <w:r w:rsidRPr="004670A8">
              <w:t xml:space="preserve">Orange S.A. </w:t>
            </w:r>
          </w:p>
        </w:tc>
        <w:tc>
          <w:tcPr>
            <w:tcW w:w="1256" w:type="dxa"/>
            <w:hideMark/>
          </w:tcPr>
          <w:p w14:paraId="0F235A09" w14:textId="77777777" w:rsidR="007D713E" w:rsidRPr="004670A8" w:rsidRDefault="007D713E">
            <w:pPr>
              <w:jc w:val="center"/>
            </w:pPr>
            <w:r w:rsidRPr="004670A8">
              <w:t>FR</w:t>
            </w:r>
          </w:p>
        </w:tc>
        <w:tc>
          <w:tcPr>
            <w:tcW w:w="1516" w:type="dxa"/>
            <w:hideMark/>
          </w:tcPr>
          <w:p w14:paraId="5A41D5B6" w14:textId="77777777" w:rsidR="007D713E" w:rsidRPr="004670A8" w:rsidRDefault="007D713E">
            <w:pPr>
              <w:jc w:val="center"/>
            </w:pPr>
            <w:r w:rsidRPr="004670A8">
              <w:t>84</w:t>
            </w:r>
          </w:p>
        </w:tc>
        <w:tc>
          <w:tcPr>
            <w:tcW w:w="1417" w:type="dxa"/>
            <w:hideMark/>
          </w:tcPr>
          <w:p w14:paraId="2AB07F6C" w14:textId="77777777" w:rsidR="007D713E" w:rsidRPr="004670A8" w:rsidRDefault="007D713E">
            <w:pPr>
              <w:jc w:val="center"/>
            </w:pPr>
            <w:r w:rsidRPr="004670A8">
              <w:t>0,3</w:t>
            </w:r>
          </w:p>
        </w:tc>
        <w:tc>
          <w:tcPr>
            <w:tcW w:w="1134" w:type="dxa"/>
            <w:hideMark/>
          </w:tcPr>
          <w:p w14:paraId="50151B5D" w14:textId="77777777" w:rsidR="007D713E" w:rsidRPr="004670A8" w:rsidRDefault="007D713E">
            <w:pPr>
              <w:jc w:val="center"/>
            </w:pPr>
            <w:r w:rsidRPr="004670A8">
              <w:t>1,14</w:t>
            </w:r>
          </w:p>
        </w:tc>
      </w:tr>
      <w:tr w:rsidR="007D713E" w:rsidRPr="007D713E" w14:paraId="0EE49404" w14:textId="77777777" w:rsidTr="007D713E">
        <w:trPr>
          <w:trHeight w:val="441"/>
        </w:trPr>
        <w:tc>
          <w:tcPr>
            <w:tcW w:w="2830" w:type="dxa"/>
            <w:hideMark/>
          </w:tcPr>
          <w:p w14:paraId="44296E75" w14:textId="77777777" w:rsidR="007D713E" w:rsidRPr="004670A8" w:rsidRDefault="007D713E" w:rsidP="004670A8">
            <w:proofErr w:type="spellStart"/>
            <w:r w:rsidRPr="004670A8">
              <w:t>Proximus</w:t>
            </w:r>
            <w:proofErr w:type="spellEnd"/>
            <w:r w:rsidRPr="004670A8">
              <w:t xml:space="preserve"> S.A. </w:t>
            </w:r>
          </w:p>
        </w:tc>
        <w:tc>
          <w:tcPr>
            <w:tcW w:w="1256" w:type="dxa"/>
            <w:hideMark/>
          </w:tcPr>
          <w:p w14:paraId="047F63A9" w14:textId="77777777" w:rsidR="007D713E" w:rsidRPr="004670A8" w:rsidRDefault="007D713E">
            <w:pPr>
              <w:jc w:val="center"/>
            </w:pPr>
            <w:r w:rsidRPr="004670A8">
              <w:t>BE</w:t>
            </w:r>
          </w:p>
        </w:tc>
        <w:tc>
          <w:tcPr>
            <w:tcW w:w="1516" w:type="dxa"/>
            <w:hideMark/>
          </w:tcPr>
          <w:p w14:paraId="261F061D" w14:textId="77777777" w:rsidR="007D713E" w:rsidRPr="004670A8" w:rsidRDefault="007D713E">
            <w:pPr>
              <w:jc w:val="center"/>
            </w:pPr>
            <w:r w:rsidRPr="004670A8">
              <w:t>96</w:t>
            </w:r>
          </w:p>
        </w:tc>
        <w:tc>
          <w:tcPr>
            <w:tcW w:w="1417" w:type="dxa"/>
            <w:hideMark/>
          </w:tcPr>
          <w:p w14:paraId="0F3A5776" w14:textId="77777777" w:rsidR="007D713E" w:rsidRPr="004670A8" w:rsidRDefault="007D713E">
            <w:pPr>
              <w:jc w:val="center"/>
            </w:pPr>
            <w:r w:rsidRPr="004670A8">
              <w:t>0,3</w:t>
            </w:r>
          </w:p>
        </w:tc>
        <w:tc>
          <w:tcPr>
            <w:tcW w:w="1134" w:type="dxa"/>
            <w:hideMark/>
          </w:tcPr>
          <w:p w14:paraId="4C3A03F0" w14:textId="77777777" w:rsidR="007D713E" w:rsidRPr="004670A8" w:rsidRDefault="007D713E">
            <w:pPr>
              <w:jc w:val="center"/>
            </w:pPr>
            <w:r w:rsidRPr="004670A8">
              <w:t>1,26</w:t>
            </w:r>
          </w:p>
        </w:tc>
      </w:tr>
      <w:tr w:rsidR="007D713E" w:rsidRPr="007D713E" w14:paraId="3CF24D84" w14:textId="77777777" w:rsidTr="007D713E">
        <w:trPr>
          <w:trHeight w:val="441"/>
        </w:trPr>
        <w:tc>
          <w:tcPr>
            <w:tcW w:w="2830" w:type="dxa"/>
            <w:hideMark/>
          </w:tcPr>
          <w:p w14:paraId="720F1F3D" w14:textId="77777777" w:rsidR="007D713E" w:rsidRPr="004670A8" w:rsidRDefault="007D713E" w:rsidP="004670A8">
            <w:r w:rsidRPr="004670A8">
              <w:t xml:space="preserve">Tele2 AB </w:t>
            </w:r>
          </w:p>
        </w:tc>
        <w:tc>
          <w:tcPr>
            <w:tcW w:w="1256" w:type="dxa"/>
            <w:hideMark/>
          </w:tcPr>
          <w:p w14:paraId="492E536E" w14:textId="77777777" w:rsidR="007D713E" w:rsidRPr="004670A8" w:rsidRDefault="007D713E">
            <w:pPr>
              <w:jc w:val="center"/>
            </w:pPr>
            <w:r w:rsidRPr="004670A8">
              <w:t>SE</w:t>
            </w:r>
          </w:p>
        </w:tc>
        <w:tc>
          <w:tcPr>
            <w:tcW w:w="1516" w:type="dxa"/>
            <w:hideMark/>
          </w:tcPr>
          <w:p w14:paraId="11438EF0" w14:textId="77777777" w:rsidR="007D713E" w:rsidRPr="004670A8" w:rsidRDefault="007D713E">
            <w:pPr>
              <w:jc w:val="center"/>
            </w:pPr>
            <w:r w:rsidRPr="004670A8">
              <w:t>142</w:t>
            </w:r>
          </w:p>
        </w:tc>
        <w:tc>
          <w:tcPr>
            <w:tcW w:w="1417" w:type="dxa"/>
            <w:hideMark/>
          </w:tcPr>
          <w:p w14:paraId="67CF36D8" w14:textId="77777777" w:rsidR="007D713E" w:rsidRPr="004670A8" w:rsidRDefault="007D713E">
            <w:pPr>
              <w:jc w:val="center"/>
            </w:pPr>
            <w:r w:rsidRPr="004670A8">
              <w:t>0,31</w:t>
            </w:r>
          </w:p>
        </w:tc>
        <w:tc>
          <w:tcPr>
            <w:tcW w:w="1134" w:type="dxa"/>
            <w:hideMark/>
          </w:tcPr>
          <w:p w14:paraId="1377FC60" w14:textId="77777777" w:rsidR="007D713E" w:rsidRPr="004670A8" w:rsidRDefault="007D713E">
            <w:pPr>
              <w:jc w:val="center"/>
            </w:pPr>
            <w:r w:rsidRPr="004670A8">
              <w:t>1,73</w:t>
            </w:r>
          </w:p>
        </w:tc>
      </w:tr>
      <w:tr w:rsidR="007D713E" w:rsidRPr="007D713E" w14:paraId="3A03EA74" w14:textId="77777777" w:rsidTr="007D713E">
        <w:trPr>
          <w:trHeight w:val="441"/>
        </w:trPr>
        <w:tc>
          <w:tcPr>
            <w:tcW w:w="2830" w:type="dxa"/>
            <w:hideMark/>
          </w:tcPr>
          <w:p w14:paraId="36948E81" w14:textId="77777777" w:rsidR="007D713E" w:rsidRPr="004670A8" w:rsidRDefault="007D713E" w:rsidP="004670A8">
            <w:r w:rsidRPr="004670A8">
              <w:t xml:space="preserve">Telecom </w:t>
            </w:r>
            <w:proofErr w:type="spellStart"/>
            <w:r w:rsidRPr="004670A8">
              <w:t>Italia</w:t>
            </w:r>
            <w:proofErr w:type="spellEnd"/>
            <w:r w:rsidRPr="004670A8">
              <w:t xml:space="preserve"> </w:t>
            </w:r>
          </w:p>
        </w:tc>
        <w:tc>
          <w:tcPr>
            <w:tcW w:w="1256" w:type="dxa"/>
            <w:hideMark/>
          </w:tcPr>
          <w:p w14:paraId="7C2BC4A0" w14:textId="77777777" w:rsidR="007D713E" w:rsidRPr="004670A8" w:rsidRDefault="007D713E">
            <w:pPr>
              <w:jc w:val="center"/>
            </w:pPr>
            <w:r w:rsidRPr="004670A8">
              <w:t>IT</w:t>
            </w:r>
          </w:p>
        </w:tc>
        <w:tc>
          <w:tcPr>
            <w:tcW w:w="1516" w:type="dxa"/>
            <w:hideMark/>
          </w:tcPr>
          <w:p w14:paraId="36231F31" w14:textId="77777777" w:rsidR="007D713E" w:rsidRPr="004670A8" w:rsidRDefault="007D713E">
            <w:pPr>
              <w:jc w:val="center"/>
            </w:pPr>
            <w:r w:rsidRPr="004670A8">
              <w:t>133</w:t>
            </w:r>
          </w:p>
        </w:tc>
        <w:tc>
          <w:tcPr>
            <w:tcW w:w="1417" w:type="dxa"/>
            <w:hideMark/>
          </w:tcPr>
          <w:p w14:paraId="7C707862" w14:textId="77777777" w:rsidR="007D713E" w:rsidRPr="004670A8" w:rsidRDefault="007D713E">
            <w:pPr>
              <w:jc w:val="center"/>
            </w:pPr>
            <w:r w:rsidRPr="004670A8">
              <w:t>1,7</w:t>
            </w:r>
          </w:p>
        </w:tc>
        <w:tc>
          <w:tcPr>
            <w:tcW w:w="1134" w:type="dxa"/>
            <w:hideMark/>
          </w:tcPr>
          <w:p w14:paraId="01C742CA" w14:textId="77777777" w:rsidR="007D713E" w:rsidRPr="004670A8" w:rsidRDefault="007D713E">
            <w:pPr>
              <w:jc w:val="center"/>
            </w:pPr>
            <w:r w:rsidRPr="004670A8">
              <w:t>3,03</w:t>
            </w:r>
          </w:p>
        </w:tc>
      </w:tr>
      <w:tr w:rsidR="007D713E" w:rsidRPr="007D713E" w14:paraId="39180DE0" w14:textId="77777777" w:rsidTr="007D713E">
        <w:trPr>
          <w:trHeight w:val="441"/>
        </w:trPr>
        <w:tc>
          <w:tcPr>
            <w:tcW w:w="2830" w:type="dxa"/>
            <w:hideMark/>
          </w:tcPr>
          <w:p w14:paraId="4346306B" w14:textId="77777777" w:rsidR="007D713E" w:rsidRPr="004670A8" w:rsidRDefault="007D713E" w:rsidP="004670A8">
            <w:proofErr w:type="spellStart"/>
            <w:r w:rsidRPr="004670A8">
              <w:t>Telefónica</w:t>
            </w:r>
            <w:proofErr w:type="spellEnd"/>
            <w:r w:rsidRPr="004670A8">
              <w:t xml:space="preserve"> </w:t>
            </w:r>
          </w:p>
        </w:tc>
        <w:tc>
          <w:tcPr>
            <w:tcW w:w="1256" w:type="dxa"/>
            <w:hideMark/>
          </w:tcPr>
          <w:p w14:paraId="76BC4F43" w14:textId="77777777" w:rsidR="007D713E" w:rsidRPr="004670A8" w:rsidRDefault="007D713E">
            <w:pPr>
              <w:jc w:val="center"/>
            </w:pPr>
            <w:r w:rsidRPr="004670A8">
              <w:t>SA</w:t>
            </w:r>
          </w:p>
        </w:tc>
        <w:tc>
          <w:tcPr>
            <w:tcW w:w="1516" w:type="dxa"/>
            <w:hideMark/>
          </w:tcPr>
          <w:p w14:paraId="3139A7BD" w14:textId="77777777" w:rsidR="007D713E" w:rsidRPr="004670A8" w:rsidRDefault="007D713E">
            <w:pPr>
              <w:jc w:val="center"/>
            </w:pPr>
            <w:r w:rsidRPr="004670A8">
              <w:t>41</w:t>
            </w:r>
          </w:p>
        </w:tc>
        <w:tc>
          <w:tcPr>
            <w:tcW w:w="1417" w:type="dxa"/>
            <w:hideMark/>
          </w:tcPr>
          <w:p w14:paraId="0BE4D4CE" w14:textId="77777777" w:rsidR="007D713E" w:rsidRPr="004670A8" w:rsidRDefault="007D713E">
            <w:pPr>
              <w:jc w:val="center"/>
            </w:pPr>
            <w:r w:rsidRPr="004670A8">
              <w:t>0,84</w:t>
            </w:r>
          </w:p>
        </w:tc>
        <w:tc>
          <w:tcPr>
            <w:tcW w:w="1134" w:type="dxa"/>
            <w:hideMark/>
          </w:tcPr>
          <w:p w14:paraId="64C49FD3" w14:textId="77777777" w:rsidR="007D713E" w:rsidRPr="004670A8" w:rsidRDefault="007D713E">
            <w:pPr>
              <w:jc w:val="center"/>
            </w:pPr>
            <w:r w:rsidRPr="004670A8">
              <w:t>1,25</w:t>
            </w:r>
          </w:p>
        </w:tc>
      </w:tr>
      <w:tr w:rsidR="007D713E" w:rsidRPr="007D713E" w14:paraId="4F145EB1" w14:textId="77777777" w:rsidTr="007D713E">
        <w:trPr>
          <w:trHeight w:val="441"/>
        </w:trPr>
        <w:tc>
          <w:tcPr>
            <w:tcW w:w="2830" w:type="dxa"/>
            <w:hideMark/>
          </w:tcPr>
          <w:p w14:paraId="6AD92530" w14:textId="77777777" w:rsidR="007D713E" w:rsidRPr="004670A8" w:rsidRDefault="007D713E" w:rsidP="004670A8">
            <w:r w:rsidRPr="004670A8">
              <w:t xml:space="preserve">Telecom </w:t>
            </w:r>
            <w:proofErr w:type="spellStart"/>
            <w:r w:rsidRPr="004670A8">
              <w:t>Austria</w:t>
            </w:r>
            <w:proofErr w:type="spellEnd"/>
            <w:r w:rsidRPr="004670A8">
              <w:t xml:space="preserve"> AG </w:t>
            </w:r>
          </w:p>
        </w:tc>
        <w:tc>
          <w:tcPr>
            <w:tcW w:w="1256" w:type="dxa"/>
            <w:hideMark/>
          </w:tcPr>
          <w:p w14:paraId="277481F9" w14:textId="77777777" w:rsidR="007D713E" w:rsidRPr="004670A8" w:rsidRDefault="007D713E">
            <w:pPr>
              <w:jc w:val="center"/>
            </w:pPr>
            <w:r w:rsidRPr="004670A8">
              <w:t>AT</w:t>
            </w:r>
          </w:p>
        </w:tc>
        <w:tc>
          <w:tcPr>
            <w:tcW w:w="1516" w:type="dxa"/>
            <w:hideMark/>
          </w:tcPr>
          <w:p w14:paraId="3BAAF7B6" w14:textId="77777777" w:rsidR="007D713E" w:rsidRPr="004670A8" w:rsidRDefault="007D713E">
            <w:pPr>
              <w:jc w:val="center"/>
            </w:pPr>
            <w:r w:rsidRPr="004670A8">
              <w:t>72</w:t>
            </w:r>
          </w:p>
        </w:tc>
        <w:tc>
          <w:tcPr>
            <w:tcW w:w="1417" w:type="dxa"/>
            <w:hideMark/>
          </w:tcPr>
          <w:p w14:paraId="28EDDB2F" w14:textId="77777777" w:rsidR="007D713E" w:rsidRPr="004670A8" w:rsidRDefault="007D713E">
            <w:pPr>
              <w:jc w:val="center"/>
            </w:pPr>
            <w:r w:rsidRPr="004670A8">
              <w:t>0,2</w:t>
            </w:r>
          </w:p>
        </w:tc>
        <w:tc>
          <w:tcPr>
            <w:tcW w:w="1134" w:type="dxa"/>
            <w:hideMark/>
          </w:tcPr>
          <w:p w14:paraId="47FE5A4A" w14:textId="77777777" w:rsidR="007D713E" w:rsidRPr="004670A8" w:rsidRDefault="007D713E">
            <w:pPr>
              <w:jc w:val="center"/>
            </w:pPr>
            <w:r w:rsidRPr="004670A8">
              <w:t>0,92</w:t>
            </w:r>
          </w:p>
        </w:tc>
      </w:tr>
      <w:tr w:rsidR="007D713E" w:rsidRPr="007D713E" w14:paraId="57DA6A2C" w14:textId="77777777" w:rsidTr="007D713E">
        <w:trPr>
          <w:trHeight w:val="441"/>
        </w:trPr>
        <w:tc>
          <w:tcPr>
            <w:tcW w:w="2830" w:type="dxa"/>
            <w:hideMark/>
          </w:tcPr>
          <w:p w14:paraId="5B817A60" w14:textId="77777777" w:rsidR="007D713E" w:rsidRPr="004670A8" w:rsidRDefault="007D713E" w:rsidP="004670A8">
            <w:proofErr w:type="spellStart"/>
            <w:r w:rsidRPr="004670A8">
              <w:t>Telenet</w:t>
            </w:r>
            <w:proofErr w:type="spellEnd"/>
            <w:r w:rsidRPr="004670A8">
              <w:t xml:space="preserve"> Group Holding N.V. </w:t>
            </w:r>
          </w:p>
        </w:tc>
        <w:tc>
          <w:tcPr>
            <w:tcW w:w="1256" w:type="dxa"/>
            <w:hideMark/>
          </w:tcPr>
          <w:p w14:paraId="1140990F" w14:textId="77777777" w:rsidR="007D713E" w:rsidRPr="004670A8" w:rsidRDefault="007D713E">
            <w:pPr>
              <w:jc w:val="center"/>
            </w:pPr>
            <w:r w:rsidRPr="004670A8">
              <w:t>BE</w:t>
            </w:r>
          </w:p>
        </w:tc>
        <w:tc>
          <w:tcPr>
            <w:tcW w:w="1516" w:type="dxa"/>
            <w:hideMark/>
          </w:tcPr>
          <w:p w14:paraId="763C824D" w14:textId="77777777" w:rsidR="007D713E" w:rsidRPr="004670A8" w:rsidRDefault="007D713E">
            <w:pPr>
              <w:jc w:val="center"/>
            </w:pPr>
            <w:r w:rsidRPr="004670A8">
              <w:t>317</w:t>
            </w:r>
          </w:p>
        </w:tc>
        <w:tc>
          <w:tcPr>
            <w:tcW w:w="1417" w:type="dxa"/>
            <w:hideMark/>
          </w:tcPr>
          <w:p w14:paraId="0A5FCA79" w14:textId="77777777" w:rsidR="007D713E" w:rsidRPr="004670A8" w:rsidRDefault="007D713E">
            <w:pPr>
              <w:jc w:val="center"/>
            </w:pPr>
            <w:r w:rsidRPr="004670A8">
              <w:t>0,3</w:t>
            </w:r>
          </w:p>
        </w:tc>
        <w:tc>
          <w:tcPr>
            <w:tcW w:w="1134" w:type="dxa"/>
            <w:hideMark/>
          </w:tcPr>
          <w:p w14:paraId="17E7393C" w14:textId="77777777" w:rsidR="007D713E" w:rsidRPr="004670A8" w:rsidRDefault="007D713E">
            <w:pPr>
              <w:jc w:val="center"/>
            </w:pPr>
            <w:r w:rsidRPr="004670A8">
              <w:t>3,47</w:t>
            </w:r>
          </w:p>
        </w:tc>
      </w:tr>
      <w:tr w:rsidR="007D713E" w:rsidRPr="007D713E" w14:paraId="0D50B0DA" w14:textId="77777777" w:rsidTr="007D713E">
        <w:trPr>
          <w:trHeight w:val="441"/>
        </w:trPr>
        <w:tc>
          <w:tcPr>
            <w:tcW w:w="2830" w:type="dxa"/>
            <w:hideMark/>
          </w:tcPr>
          <w:p w14:paraId="71281085" w14:textId="77777777" w:rsidR="007D713E" w:rsidRPr="004670A8" w:rsidRDefault="007D713E" w:rsidP="004670A8">
            <w:r w:rsidRPr="004670A8">
              <w:t xml:space="preserve">Telenor </w:t>
            </w:r>
          </w:p>
        </w:tc>
        <w:tc>
          <w:tcPr>
            <w:tcW w:w="1256" w:type="dxa"/>
            <w:hideMark/>
          </w:tcPr>
          <w:p w14:paraId="290EA5CB" w14:textId="77777777" w:rsidR="007D713E" w:rsidRPr="004670A8" w:rsidRDefault="007D713E">
            <w:pPr>
              <w:jc w:val="center"/>
            </w:pPr>
            <w:r w:rsidRPr="004670A8">
              <w:t>NO</w:t>
            </w:r>
          </w:p>
        </w:tc>
        <w:tc>
          <w:tcPr>
            <w:tcW w:w="1516" w:type="dxa"/>
            <w:hideMark/>
          </w:tcPr>
          <w:p w14:paraId="31FB30BE" w14:textId="77777777" w:rsidR="007D713E" w:rsidRPr="004670A8" w:rsidRDefault="007D713E">
            <w:pPr>
              <w:jc w:val="center"/>
            </w:pPr>
            <w:r w:rsidRPr="004670A8">
              <w:t>100</w:t>
            </w:r>
          </w:p>
        </w:tc>
        <w:tc>
          <w:tcPr>
            <w:tcW w:w="1417" w:type="dxa"/>
            <w:hideMark/>
          </w:tcPr>
          <w:p w14:paraId="0C89B441" w14:textId="77777777" w:rsidR="007D713E" w:rsidRPr="004670A8" w:rsidRDefault="007D713E">
            <w:pPr>
              <w:jc w:val="center"/>
            </w:pPr>
            <w:r w:rsidRPr="004670A8">
              <w:t>1,45</w:t>
            </w:r>
          </w:p>
        </w:tc>
        <w:tc>
          <w:tcPr>
            <w:tcW w:w="1134" w:type="dxa"/>
            <w:hideMark/>
          </w:tcPr>
          <w:p w14:paraId="19D4E32E" w14:textId="77777777" w:rsidR="007D713E" w:rsidRPr="004670A8" w:rsidRDefault="007D713E">
            <w:pPr>
              <w:jc w:val="center"/>
            </w:pPr>
            <w:r w:rsidRPr="004670A8">
              <w:t>2,45</w:t>
            </w:r>
          </w:p>
        </w:tc>
      </w:tr>
      <w:tr w:rsidR="007D713E" w:rsidRPr="007D713E" w14:paraId="009FB160" w14:textId="77777777" w:rsidTr="007D713E">
        <w:trPr>
          <w:trHeight w:val="441"/>
        </w:trPr>
        <w:tc>
          <w:tcPr>
            <w:tcW w:w="2830" w:type="dxa"/>
            <w:hideMark/>
          </w:tcPr>
          <w:p w14:paraId="6B9D41B5" w14:textId="77777777" w:rsidR="007D713E" w:rsidRPr="004670A8" w:rsidRDefault="007D713E" w:rsidP="004670A8">
            <w:proofErr w:type="spellStart"/>
            <w:r w:rsidRPr="004670A8">
              <w:t>Telia</w:t>
            </w:r>
            <w:proofErr w:type="spellEnd"/>
            <w:r w:rsidRPr="004670A8">
              <w:t xml:space="preserve"> Company AB </w:t>
            </w:r>
          </w:p>
        </w:tc>
        <w:tc>
          <w:tcPr>
            <w:tcW w:w="1256" w:type="dxa"/>
            <w:hideMark/>
          </w:tcPr>
          <w:p w14:paraId="0AEEA488" w14:textId="77777777" w:rsidR="007D713E" w:rsidRPr="004670A8" w:rsidRDefault="007D713E">
            <w:pPr>
              <w:jc w:val="center"/>
            </w:pPr>
            <w:r w:rsidRPr="004670A8">
              <w:t>SE</w:t>
            </w:r>
          </w:p>
        </w:tc>
        <w:tc>
          <w:tcPr>
            <w:tcW w:w="1516" w:type="dxa"/>
            <w:hideMark/>
          </w:tcPr>
          <w:p w14:paraId="002ABEEA" w14:textId="77777777" w:rsidR="007D713E" w:rsidRPr="004670A8" w:rsidRDefault="007D713E">
            <w:pPr>
              <w:jc w:val="center"/>
            </w:pPr>
            <w:r w:rsidRPr="004670A8">
              <w:t>139</w:t>
            </w:r>
          </w:p>
        </w:tc>
        <w:tc>
          <w:tcPr>
            <w:tcW w:w="1417" w:type="dxa"/>
            <w:hideMark/>
          </w:tcPr>
          <w:p w14:paraId="02EAD1C1" w14:textId="77777777" w:rsidR="007D713E" w:rsidRPr="004670A8" w:rsidRDefault="007D713E">
            <w:pPr>
              <w:jc w:val="center"/>
            </w:pPr>
            <w:r w:rsidRPr="004670A8">
              <w:t>0,31</w:t>
            </w:r>
          </w:p>
        </w:tc>
        <w:tc>
          <w:tcPr>
            <w:tcW w:w="1134" w:type="dxa"/>
            <w:hideMark/>
          </w:tcPr>
          <w:p w14:paraId="057D9C2E" w14:textId="77777777" w:rsidR="007D713E" w:rsidRPr="004670A8" w:rsidRDefault="007D713E">
            <w:pPr>
              <w:jc w:val="center"/>
            </w:pPr>
            <w:r w:rsidRPr="004670A8">
              <w:t>1,7</w:t>
            </w:r>
          </w:p>
        </w:tc>
      </w:tr>
      <w:tr w:rsidR="007D713E" w:rsidRPr="007D713E" w14:paraId="40F961C2" w14:textId="77777777" w:rsidTr="007D713E">
        <w:trPr>
          <w:trHeight w:val="441"/>
        </w:trPr>
        <w:tc>
          <w:tcPr>
            <w:tcW w:w="2830" w:type="dxa"/>
            <w:hideMark/>
          </w:tcPr>
          <w:p w14:paraId="096459FD" w14:textId="77777777" w:rsidR="007D713E" w:rsidRPr="004670A8" w:rsidRDefault="007D713E" w:rsidP="004670A8">
            <w:r w:rsidRPr="004670A8">
              <w:t xml:space="preserve">Vodafone Group </w:t>
            </w:r>
            <w:proofErr w:type="spellStart"/>
            <w:r w:rsidRPr="004670A8">
              <w:t>plc</w:t>
            </w:r>
            <w:proofErr w:type="spellEnd"/>
            <w:r w:rsidRPr="004670A8">
              <w:t xml:space="preserve"> </w:t>
            </w:r>
          </w:p>
        </w:tc>
        <w:tc>
          <w:tcPr>
            <w:tcW w:w="1256" w:type="dxa"/>
            <w:hideMark/>
          </w:tcPr>
          <w:p w14:paraId="69DCF588" w14:textId="77777777" w:rsidR="007D713E" w:rsidRPr="004670A8" w:rsidRDefault="007D713E">
            <w:pPr>
              <w:jc w:val="center"/>
            </w:pPr>
            <w:r w:rsidRPr="004670A8">
              <w:t>UK</w:t>
            </w:r>
          </w:p>
        </w:tc>
        <w:tc>
          <w:tcPr>
            <w:tcW w:w="1516" w:type="dxa"/>
            <w:hideMark/>
          </w:tcPr>
          <w:p w14:paraId="5CC457B4" w14:textId="77777777" w:rsidR="007D713E" w:rsidRPr="004670A8" w:rsidRDefault="007D713E">
            <w:pPr>
              <w:jc w:val="center"/>
            </w:pPr>
            <w:r w:rsidRPr="004670A8">
              <w:t>141</w:t>
            </w:r>
          </w:p>
        </w:tc>
        <w:tc>
          <w:tcPr>
            <w:tcW w:w="1417" w:type="dxa"/>
            <w:hideMark/>
          </w:tcPr>
          <w:p w14:paraId="73658F1F" w14:textId="77777777" w:rsidR="007D713E" w:rsidRPr="004670A8" w:rsidRDefault="007D713E">
            <w:pPr>
              <w:jc w:val="center"/>
            </w:pPr>
            <w:r w:rsidRPr="004670A8">
              <w:t>0,91</w:t>
            </w:r>
          </w:p>
        </w:tc>
        <w:tc>
          <w:tcPr>
            <w:tcW w:w="1134" w:type="dxa"/>
            <w:hideMark/>
          </w:tcPr>
          <w:p w14:paraId="1A308656" w14:textId="77777777" w:rsidR="007D713E" w:rsidRPr="004670A8" w:rsidRDefault="007D713E">
            <w:pPr>
              <w:jc w:val="center"/>
            </w:pPr>
            <w:r w:rsidRPr="004670A8">
              <w:t>2,32</w:t>
            </w:r>
          </w:p>
        </w:tc>
      </w:tr>
      <w:tr w:rsidR="007D713E" w:rsidRPr="007D713E" w14:paraId="0880DD4B" w14:textId="77777777" w:rsidTr="007D713E">
        <w:trPr>
          <w:trHeight w:val="441"/>
        </w:trPr>
        <w:tc>
          <w:tcPr>
            <w:tcW w:w="2830" w:type="dxa"/>
            <w:noWrap/>
            <w:hideMark/>
          </w:tcPr>
          <w:p w14:paraId="3A28172F" w14:textId="77777777" w:rsidR="007D713E" w:rsidRPr="004670A8" w:rsidRDefault="007D713E" w:rsidP="004670A8">
            <w:pPr>
              <w:rPr>
                <w:b/>
                <w:bCs/>
              </w:rPr>
            </w:pPr>
            <w:proofErr w:type="spellStart"/>
            <w:r w:rsidRPr="004670A8">
              <w:rPr>
                <w:b/>
                <w:bCs/>
              </w:rPr>
              <w:t>Average</w:t>
            </w:r>
            <w:proofErr w:type="spellEnd"/>
          </w:p>
        </w:tc>
        <w:tc>
          <w:tcPr>
            <w:tcW w:w="1256" w:type="dxa"/>
            <w:noWrap/>
            <w:hideMark/>
          </w:tcPr>
          <w:p w14:paraId="2F0E3965" w14:textId="77777777" w:rsidR="007D713E" w:rsidRPr="004670A8" w:rsidRDefault="007D713E" w:rsidP="007D713E">
            <w:pPr>
              <w:jc w:val="center"/>
            </w:pPr>
            <w:r w:rsidRPr="004670A8">
              <w:t> </w:t>
            </w:r>
          </w:p>
        </w:tc>
        <w:tc>
          <w:tcPr>
            <w:tcW w:w="1516" w:type="dxa"/>
            <w:hideMark/>
          </w:tcPr>
          <w:p w14:paraId="4FBCB0EE" w14:textId="77777777" w:rsidR="007D713E" w:rsidRPr="004670A8" w:rsidRDefault="007D713E">
            <w:pPr>
              <w:jc w:val="center"/>
              <w:rPr>
                <w:b/>
                <w:bCs/>
              </w:rPr>
            </w:pPr>
            <w:r w:rsidRPr="004670A8">
              <w:rPr>
                <w:b/>
                <w:bCs/>
              </w:rPr>
              <w:t>131</w:t>
            </w:r>
          </w:p>
        </w:tc>
        <w:tc>
          <w:tcPr>
            <w:tcW w:w="1417" w:type="dxa"/>
            <w:noWrap/>
            <w:hideMark/>
          </w:tcPr>
          <w:p w14:paraId="14DC811E" w14:textId="77777777" w:rsidR="007D713E" w:rsidRPr="004670A8" w:rsidRDefault="007D713E" w:rsidP="007D713E">
            <w:pPr>
              <w:jc w:val="center"/>
            </w:pPr>
            <w:r w:rsidRPr="004670A8">
              <w:t> </w:t>
            </w:r>
          </w:p>
        </w:tc>
        <w:tc>
          <w:tcPr>
            <w:tcW w:w="1134" w:type="dxa"/>
            <w:noWrap/>
            <w:hideMark/>
          </w:tcPr>
          <w:p w14:paraId="6A520987" w14:textId="77777777" w:rsidR="007D713E" w:rsidRPr="004670A8" w:rsidRDefault="007D713E" w:rsidP="007D713E">
            <w:pPr>
              <w:jc w:val="center"/>
            </w:pPr>
            <w:r w:rsidRPr="004670A8">
              <w:t> </w:t>
            </w:r>
          </w:p>
        </w:tc>
      </w:tr>
    </w:tbl>
    <w:p w14:paraId="28D204BF" w14:textId="77777777" w:rsidR="00840287" w:rsidRDefault="00840287" w:rsidP="00840287">
      <w:pPr>
        <w:jc w:val="center"/>
      </w:pPr>
    </w:p>
    <w:p w14:paraId="1C0CE0DD" w14:textId="6A1D6E75" w:rsidR="00840287" w:rsidRDefault="00840287" w:rsidP="00840287">
      <w:pPr>
        <w:jc w:val="center"/>
      </w:pPr>
    </w:p>
    <w:p w14:paraId="7F1DB1BC" w14:textId="77777777" w:rsidR="00840287" w:rsidRDefault="00840287" w:rsidP="00840287">
      <w:pPr>
        <w:rPr>
          <w:sz w:val="20"/>
          <w:szCs w:val="20"/>
        </w:rPr>
      </w:pPr>
    </w:p>
    <w:p w14:paraId="31386A37" w14:textId="77777777" w:rsidR="00840287" w:rsidRDefault="00840287" w:rsidP="00840287">
      <w:pPr>
        <w:rPr>
          <w:sz w:val="20"/>
          <w:szCs w:val="20"/>
        </w:rPr>
      </w:pPr>
      <w:r>
        <w:rPr>
          <w:sz w:val="20"/>
          <w:szCs w:val="20"/>
        </w:rPr>
        <w:br w:type="page"/>
      </w:r>
    </w:p>
    <w:p w14:paraId="18E3861D" w14:textId="722D639A" w:rsidR="007D713E" w:rsidRDefault="007D713E" w:rsidP="007D713E">
      <w:pPr>
        <w:jc w:val="center"/>
      </w:pPr>
      <w:r w:rsidRPr="0052427D">
        <w:rPr>
          <w:b/>
        </w:rPr>
        <w:lastRenderedPageBreak/>
        <w:t xml:space="preserve">Privitak </w:t>
      </w:r>
      <w:r>
        <w:rPr>
          <w:b/>
        </w:rPr>
        <w:t>2</w:t>
      </w:r>
      <w:r w:rsidRPr="0052427D">
        <w:t xml:space="preserve"> - Popis </w:t>
      </w:r>
      <w:r>
        <w:t>usporedivih kompanija</w:t>
      </w:r>
      <w:r w:rsidRPr="0052427D">
        <w:t xml:space="preserve"> korištenih u izračunu </w:t>
      </w:r>
      <w:r>
        <w:t>parametara</w:t>
      </w:r>
    </w:p>
    <w:p w14:paraId="6B9CB2AA" w14:textId="1FEFDF2A" w:rsidR="007D713E" w:rsidRDefault="007D713E" w:rsidP="007D713E">
      <w:pPr>
        <w:jc w:val="center"/>
      </w:pPr>
      <w:r>
        <w:t>(</w:t>
      </w:r>
      <w:r w:rsidR="00D30D42">
        <w:t>Beta koeficijenta i omjera zaduženosti</w:t>
      </w:r>
      <w:r>
        <w:t>)</w:t>
      </w:r>
      <w:r w:rsidRPr="0052427D">
        <w:t xml:space="preserve"> </w:t>
      </w:r>
    </w:p>
    <w:p w14:paraId="5253018E" w14:textId="77777777" w:rsidR="007D713E" w:rsidRDefault="007D713E" w:rsidP="007D713E">
      <w:pPr>
        <w:jc w:val="center"/>
      </w:pPr>
    </w:p>
    <w:p w14:paraId="50511849" w14:textId="77777777" w:rsidR="00D30D42" w:rsidRDefault="00D30D42" w:rsidP="007D713E">
      <w:pPr>
        <w:jc w:val="center"/>
      </w:pPr>
    </w:p>
    <w:tbl>
      <w:tblPr>
        <w:tblW w:w="6920" w:type="dxa"/>
        <w:jc w:val="center"/>
        <w:tblLook w:val="04A0" w:firstRow="1" w:lastRow="0" w:firstColumn="1" w:lastColumn="0" w:noHBand="0" w:noVBand="1"/>
      </w:tblPr>
      <w:tblGrid>
        <w:gridCol w:w="2860"/>
        <w:gridCol w:w="1440"/>
        <w:gridCol w:w="1320"/>
        <w:gridCol w:w="1300"/>
      </w:tblGrid>
      <w:tr w:rsidR="007D713E" w:rsidRPr="007D713E" w14:paraId="1BF274BF" w14:textId="77777777" w:rsidTr="007D713E">
        <w:trPr>
          <w:trHeight w:val="1248"/>
          <w:jc w:val="center"/>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42303" w14:textId="77777777" w:rsidR="007D713E" w:rsidRPr="007D713E" w:rsidRDefault="007D713E">
            <w:pPr>
              <w:jc w:val="both"/>
              <w:rPr>
                <w:color w:val="000000"/>
                <w:sz w:val="22"/>
                <w:szCs w:val="22"/>
              </w:rPr>
            </w:pPr>
            <w:r w:rsidRPr="007D713E">
              <w:rPr>
                <w:color w:val="000000"/>
                <w:sz w:val="22"/>
                <w:szCs w:val="22"/>
              </w:rPr>
              <w:t>Kompanija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300BDF" w14:textId="77777777" w:rsidR="007D713E" w:rsidRPr="007D713E" w:rsidRDefault="007D713E">
            <w:pPr>
              <w:jc w:val="center"/>
              <w:rPr>
                <w:color w:val="000000"/>
                <w:sz w:val="22"/>
                <w:szCs w:val="22"/>
              </w:rPr>
            </w:pPr>
            <w:proofErr w:type="spellStart"/>
            <w:r w:rsidRPr="007D713E">
              <w:rPr>
                <w:color w:val="000000"/>
                <w:sz w:val="22"/>
                <w:szCs w:val="22"/>
              </w:rPr>
              <w:t>Equity</w:t>
            </w:r>
            <w:proofErr w:type="spellEnd"/>
            <w:r w:rsidRPr="007D713E">
              <w:rPr>
                <w:color w:val="000000"/>
                <w:sz w:val="22"/>
                <w:szCs w:val="22"/>
              </w:rPr>
              <w:t xml:space="preserve"> Beta (beta sa zaduženjem)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544456C" w14:textId="77777777" w:rsidR="007D713E" w:rsidRPr="007D713E" w:rsidRDefault="007D713E">
            <w:pPr>
              <w:jc w:val="center"/>
              <w:rPr>
                <w:color w:val="000000"/>
                <w:sz w:val="22"/>
                <w:szCs w:val="22"/>
              </w:rPr>
            </w:pPr>
            <w:proofErr w:type="spellStart"/>
            <w:r w:rsidRPr="007D713E">
              <w:rPr>
                <w:color w:val="000000"/>
                <w:sz w:val="22"/>
                <w:szCs w:val="22"/>
              </w:rPr>
              <w:t>Asset</w:t>
            </w:r>
            <w:proofErr w:type="spellEnd"/>
            <w:r w:rsidRPr="007D713E">
              <w:rPr>
                <w:color w:val="000000"/>
                <w:sz w:val="22"/>
                <w:szCs w:val="22"/>
              </w:rPr>
              <w:t xml:space="preserve"> beta (beta bez zaduženja)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7283127" w14:textId="77777777" w:rsidR="007D713E" w:rsidRPr="007D713E" w:rsidRDefault="007D713E">
            <w:pPr>
              <w:jc w:val="center"/>
              <w:rPr>
                <w:color w:val="000000"/>
                <w:sz w:val="22"/>
                <w:szCs w:val="22"/>
              </w:rPr>
            </w:pPr>
            <w:r w:rsidRPr="007D713E">
              <w:rPr>
                <w:color w:val="000000"/>
                <w:sz w:val="22"/>
                <w:szCs w:val="22"/>
              </w:rPr>
              <w:t>Omjer zaduženosti</w:t>
            </w:r>
          </w:p>
        </w:tc>
      </w:tr>
      <w:tr w:rsidR="007D713E" w:rsidRPr="004670A8" w14:paraId="68C333AC"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3F75731E" w14:textId="77777777" w:rsidR="007D713E" w:rsidRPr="004670A8" w:rsidRDefault="007D713E">
            <w:pPr>
              <w:jc w:val="both"/>
              <w:rPr>
                <w:color w:val="000000"/>
              </w:rPr>
            </w:pPr>
            <w:r w:rsidRPr="004670A8">
              <w:rPr>
                <w:color w:val="000000"/>
              </w:rPr>
              <w:t xml:space="preserve">Deutsche Telekom AG </w:t>
            </w:r>
          </w:p>
        </w:tc>
        <w:tc>
          <w:tcPr>
            <w:tcW w:w="1440" w:type="dxa"/>
            <w:tcBorders>
              <w:top w:val="nil"/>
              <w:left w:val="nil"/>
              <w:bottom w:val="single" w:sz="8" w:space="0" w:color="auto"/>
              <w:right w:val="single" w:sz="8" w:space="0" w:color="auto"/>
            </w:tcBorders>
            <w:shd w:val="clear" w:color="auto" w:fill="auto"/>
            <w:vAlign w:val="center"/>
            <w:hideMark/>
          </w:tcPr>
          <w:p w14:paraId="17CE146D" w14:textId="77777777" w:rsidR="007D713E" w:rsidRPr="004670A8" w:rsidRDefault="007D713E">
            <w:pPr>
              <w:jc w:val="center"/>
              <w:rPr>
                <w:color w:val="000000"/>
              </w:rPr>
            </w:pPr>
            <w:r w:rsidRPr="004670A8">
              <w:rPr>
                <w:color w:val="000000"/>
              </w:rPr>
              <w:t>0,78</w:t>
            </w:r>
          </w:p>
        </w:tc>
        <w:tc>
          <w:tcPr>
            <w:tcW w:w="1320" w:type="dxa"/>
            <w:tcBorders>
              <w:top w:val="nil"/>
              <w:left w:val="nil"/>
              <w:bottom w:val="single" w:sz="8" w:space="0" w:color="auto"/>
              <w:right w:val="single" w:sz="8" w:space="0" w:color="auto"/>
            </w:tcBorders>
            <w:shd w:val="clear" w:color="auto" w:fill="auto"/>
            <w:vAlign w:val="center"/>
            <w:hideMark/>
          </w:tcPr>
          <w:p w14:paraId="57F25ADC" w14:textId="77777777" w:rsidR="007D713E" w:rsidRPr="004670A8" w:rsidRDefault="007D713E">
            <w:pPr>
              <w:jc w:val="center"/>
              <w:rPr>
                <w:color w:val="000000"/>
              </w:rPr>
            </w:pPr>
            <w:r w:rsidRPr="004670A8">
              <w:rPr>
                <w:color w:val="000000"/>
              </w:rPr>
              <w:t>0,43</w:t>
            </w:r>
          </w:p>
        </w:tc>
        <w:tc>
          <w:tcPr>
            <w:tcW w:w="1300" w:type="dxa"/>
            <w:tcBorders>
              <w:top w:val="nil"/>
              <w:left w:val="nil"/>
              <w:bottom w:val="single" w:sz="8" w:space="0" w:color="auto"/>
              <w:right w:val="single" w:sz="8" w:space="0" w:color="auto"/>
            </w:tcBorders>
            <w:shd w:val="clear" w:color="auto" w:fill="auto"/>
            <w:vAlign w:val="center"/>
            <w:hideMark/>
          </w:tcPr>
          <w:p w14:paraId="07948BC8" w14:textId="77777777" w:rsidR="007D713E" w:rsidRPr="004670A8" w:rsidRDefault="007D713E">
            <w:pPr>
              <w:jc w:val="center"/>
              <w:rPr>
                <w:color w:val="000000"/>
              </w:rPr>
            </w:pPr>
            <w:r w:rsidRPr="004670A8">
              <w:rPr>
                <w:color w:val="000000"/>
              </w:rPr>
              <w:t>52,69%</w:t>
            </w:r>
          </w:p>
        </w:tc>
      </w:tr>
      <w:tr w:rsidR="007D713E" w:rsidRPr="004670A8" w14:paraId="5E5DA6E4"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3A23A48" w14:textId="77777777" w:rsidR="007D713E" w:rsidRPr="004670A8" w:rsidRDefault="007D713E">
            <w:pPr>
              <w:jc w:val="both"/>
              <w:rPr>
                <w:color w:val="000000"/>
              </w:rPr>
            </w:pPr>
            <w:r w:rsidRPr="004670A8">
              <w:rPr>
                <w:color w:val="000000"/>
              </w:rPr>
              <w:t>DIDI Communications N.V.</w:t>
            </w:r>
          </w:p>
        </w:tc>
        <w:tc>
          <w:tcPr>
            <w:tcW w:w="1440" w:type="dxa"/>
            <w:tcBorders>
              <w:top w:val="nil"/>
              <w:left w:val="nil"/>
              <w:bottom w:val="single" w:sz="8" w:space="0" w:color="auto"/>
              <w:right w:val="single" w:sz="8" w:space="0" w:color="auto"/>
            </w:tcBorders>
            <w:shd w:val="clear" w:color="auto" w:fill="auto"/>
            <w:vAlign w:val="center"/>
            <w:hideMark/>
          </w:tcPr>
          <w:p w14:paraId="21A2AC1B" w14:textId="77777777" w:rsidR="007D713E" w:rsidRPr="004670A8" w:rsidRDefault="007D713E">
            <w:pPr>
              <w:jc w:val="center"/>
              <w:rPr>
                <w:color w:val="000000"/>
              </w:rPr>
            </w:pPr>
            <w:r w:rsidRPr="004670A8">
              <w:rPr>
                <w:color w:val="000000"/>
              </w:rPr>
              <w:t>0,46</w:t>
            </w:r>
          </w:p>
        </w:tc>
        <w:tc>
          <w:tcPr>
            <w:tcW w:w="1320" w:type="dxa"/>
            <w:tcBorders>
              <w:top w:val="nil"/>
              <w:left w:val="nil"/>
              <w:bottom w:val="single" w:sz="8" w:space="0" w:color="auto"/>
              <w:right w:val="single" w:sz="8" w:space="0" w:color="auto"/>
            </w:tcBorders>
            <w:shd w:val="clear" w:color="auto" w:fill="auto"/>
            <w:vAlign w:val="center"/>
            <w:hideMark/>
          </w:tcPr>
          <w:p w14:paraId="78B15A60" w14:textId="77777777" w:rsidR="007D713E" w:rsidRPr="004670A8" w:rsidRDefault="007D713E">
            <w:pPr>
              <w:jc w:val="center"/>
              <w:rPr>
                <w:color w:val="000000"/>
              </w:rPr>
            </w:pPr>
            <w:r w:rsidRPr="004670A8">
              <w:rPr>
                <w:color w:val="000000"/>
              </w:rPr>
              <w:t>0,22</w:t>
            </w:r>
          </w:p>
        </w:tc>
        <w:tc>
          <w:tcPr>
            <w:tcW w:w="1300" w:type="dxa"/>
            <w:tcBorders>
              <w:top w:val="nil"/>
              <w:left w:val="nil"/>
              <w:bottom w:val="single" w:sz="8" w:space="0" w:color="auto"/>
              <w:right w:val="single" w:sz="8" w:space="0" w:color="auto"/>
            </w:tcBorders>
            <w:shd w:val="clear" w:color="auto" w:fill="auto"/>
            <w:vAlign w:val="center"/>
            <w:hideMark/>
          </w:tcPr>
          <w:p w14:paraId="46E51B85" w14:textId="77777777" w:rsidR="007D713E" w:rsidRPr="004670A8" w:rsidRDefault="007D713E">
            <w:pPr>
              <w:jc w:val="center"/>
              <w:rPr>
                <w:color w:val="000000"/>
              </w:rPr>
            </w:pPr>
            <w:r w:rsidRPr="004670A8">
              <w:rPr>
                <w:color w:val="000000"/>
              </w:rPr>
              <w:t>66,60%</w:t>
            </w:r>
          </w:p>
        </w:tc>
      </w:tr>
      <w:tr w:rsidR="007D713E" w:rsidRPr="004670A8" w14:paraId="3E152777"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9D8500B" w14:textId="77777777" w:rsidR="007D713E" w:rsidRPr="004670A8" w:rsidRDefault="007D713E">
            <w:pPr>
              <w:jc w:val="both"/>
              <w:rPr>
                <w:color w:val="000000"/>
              </w:rPr>
            </w:pPr>
            <w:r w:rsidRPr="004670A8">
              <w:rPr>
                <w:color w:val="000000"/>
              </w:rPr>
              <w:t xml:space="preserve">Elisa </w:t>
            </w:r>
            <w:proofErr w:type="spellStart"/>
            <w:r w:rsidRPr="004670A8">
              <w:rPr>
                <w:color w:val="000000"/>
              </w:rPr>
              <w:t>Oyj</w:t>
            </w:r>
            <w:proofErr w:type="spellEnd"/>
            <w:r w:rsidRPr="004670A8">
              <w:rPr>
                <w:color w:val="00000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0A83A053" w14:textId="77777777" w:rsidR="007D713E" w:rsidRPr="004670A8" w:rsidRDefault="007D713E">
            <w:pPr>
              <w:jc w:val="center"/>
              <w:rPr>
                <w:color w:val="000000"/>
              </w:rPr>
            </w:pPr>
            <w:r w:rsidRPr="004670A8">
              <w:rPr>
                <w:color w:val="000000"/>
              </w:rPr>
              <w:t>0,43</w:t>
            </w:r>
          </w:p>
        </w:tc>
        <w:tc>
          <w:tcPr>
            <w:tcW w:w="1320" w:type="dxa"/>
            <w:tcBorders>
              <w:top w:val="nil"/>
              <w:left w:val="nil"/>
              <w:bottom w:val="single" w:sz="8" w:space="0" w:color="auto"/>
              <w:right w:val="single" w:sz="8" w:space="0" w:color="auto"/>
            </w:tcBorders>
            <w:shd w:val="clear" w:color="auto" w:fill="auto"/>
            <w:vAlign w:val="center"/>
            <w:hideMark/>
          </w:tcPr>
          <w:p w14:paraId="76AA39F6" w14:textId="77777777" w:rsidR="007D713E" w:rsidRPr="004670A8" w:rsidRDefault="007D713E">
            <w:pPr>
              <w:jc w:val="center"/>
              <w:rPr>
                <w:color w:val="000000"/>
              </w:rPr>
            </w:pPr>
            <w:r w:rsidRPr="004670A8">
              <w:rPr>
                <w:color w:val="000000"/>
              </w:rPr>
              <w:t>0,38</w:t>
            </w:r>
          </w:p>
        </w:tc>
        <w:tc>
          <w:tcPr>
            <w:tcW w:w="1300" w:type="dxa"/>
            <w:tcBorders>
              <w:top w:val="nil"/>
              <w:left w:val="nil"/>
              <w:bottom w:val="single" w:sz="8" w:space="0" w:color="auto"/>
              <w:right w:val="single" w:sz="8" w:space="0" w:color="auto"/>
            </w:tcBorders>
            <w:shd w:val="clear" w:color="auto" w:fill="auto"/>
            <w:vAlign w:val="center"/>
            <w:hideMark/>
          </w:tcPr>
          <w:p w14:paraId="7B7E79D7" w14:textId="77777777" w:rsidR="007D713E" w:rsidRPr="004670A8" w:rsidRDefault="007D713E">
            <w:pPr>
              <w:jc w:val="center"/>
              <w:rPr>
                <w:color w:val="000000"/>
              </w:rPr>
            </w:pPr>
            <w:r w:rsidRPr="004670A8">
              <w:rPr>
                <w:color w:val="000000"/>
              </w:rPr>
              <w:t>13,28%</w:t>
            </w:r>
          </w:p>
        </w:tc>
      </w:tr>
      <w:tr w:rsidR="007D713E" w:rsidRPr="004670A8" w14:paraId="366A3FAE"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C97CB88" w14:textId="77777777" w:rsidR="007D713E" w:rsidRPr="004670A8" w:rsidRDefault="007D713E">
            <w:pPr>
              <w:jc w:val="both"/>
              <w:rPr>
                <w:color w:val="000000"/>
              </w:rPr>
            </w:pPr>
            <w:proofErr w:type="spellStart"/>
            <w:r w:rsidRPr="004670A8">
              <w:rPr>
                <w:color w:val="000000"/>
              </w:rPr>
              <w:t>Koninklijke</w:t>
            </w:r>
            <w:proofErr w:type="spellEnd"/>
            <w:r w:rsidRPr="004670A8">
              <w:rPr>
                <w:color w:val="000000"/>
              </w:rPr>
              <w:t xml:space="preserve"> KPN N.V. </w:t>
            </w:r>
          </w:p>
        </w:tc>
        <w:tc>
          <w:tcPr>
            <w:tcW w:w="1440" w:type="dxa"/>
            <w:tcBorders>
              <w:top w:val="nil"/>
              <w:left w:val="nil"/>
              <w:bottom w:val="single" w:sz="8" w:space="0" w:color="auto"/>
              <w:right w:val="single" w:sz="8" w:space="0" w:color="auto"/>
            </w:tcBorders>
            <w:shd w:val="clear" w:color="auto" w:fill="auto"/>
            <w:vAlign w:val="center"/>
            <w:hideMark/>
          </w:tcPr>
          <w:p w14:paraId="76680F4C" w14:textId="77777777" w:rsidR="007D713E" w:rsidRPr="004670A8" w:rsidRDefault="007D713E">
            <w:pPr>
              <w:jc w:val="center"/>
              <w:rPr>
                <w:color w:val="000000"/>
              </w:rPr>
            </w:pPr>
            <w:r w:rsidRPr="004670A8">
              <w:rPr>
                <w:color w:val="000000"/>
              </w:rPr>
              <w:t>0,65</w:t>
            </w:r>
          </w:p>
        </w:tc>
        <w:tc>
          <w:tcPr>
            <w:tcW w:w="1320" w:type="dxa"/>
            <w:tcBorders>
              <w:top w:val="nil"/>
              <w:left w:val="nil"/>
              <w:bottom w:val="single" w:sz="8" w:space="0" w:color="auto"/>
              <w:right w:val="single" w:sz="8" w:space="0" w:color="auto"/>
            </w:tcBorders>
            <w:shd w:val="clear" w:color="auto" w:fill="auto"/>
            <w:vAlign w:val="center"/>
            <w:hideMark/>
          </w:tcPr>
          <w:p w14:paraId="111FD039" w14:textId="77777777" w:rsidR="007D713E" w:rsidRPr="004670A8" w:rsidRDefault="007D713E">
            <w:pPr>
              <w:jc w:val="center"/>
              <w:rPr>
                <w:color w:val="000000"/>
              </w:rPr>
            </w:pPr>
            <w:r w:rsidRPr="004670A8">
              <w:rPr>
                <w:color w:val="000000"/>
              </w:rPr>
              <w:t>0,44</w:t>
            </w:r>
          </w:p>
        </w:tc>
        <w:tc>
          <w:tcPr>
            <w:tcW w:w="1300" w:type="dxa"/>
            <w:tcBorders>
              <w:top w:val="nil"/>
              <w:left w:val="nil"/>
              <w:bottom w:val="single" w:sz="8" w:space="0" w:color="auto"/>
              <w:right w:val="single" w:sz="8" w:space="0" w:color="auto"/>
            </w:tcBorders>
            <w:shd w:val="clear" w:color="auto" w:fill="auto"/>
            <w:vAlign w:val="center"/>
            <w:hideMark/>
          </w:tcPr>
          <w:p w14:paraId="0C83C6B2" w14:textId="77777777" w:rsidR="007D713E" w:rsidRPr="004670A8" w:rsidRDefault="007D713E">
            <w:pPr>
              <w:jc w:val="center"/>
              <w:rPr>
                <w:color w:val="000000"/>
              </w:rPr>
            </w:pPr>
            <w:r w:rsidRPr="004670A8">
              <w:rPr>
                <w:color w:val="000000"/>
              </w:rPr>
              <w:t>38,55%</w:t>
            </w:r>
          </w:p>
        </w:tc>
      </w:tr>
      <w:tr w:rsidR="007D713E" w:rsidRPr="004670A8" w14:paraId="7A884B63"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519C5B6" w14:textId="77777777" w:rsidR="007D713E" w:rsidRPr="004670A8" w:rsidRDefault="007D713E">
            <w:pPr>
              <w:jc w:val="both"/>
              <w:rPr>
                <w:color w:val="000000"/>
              </w:rPr>
            </w:pPr>
            <w:r w:rsidRPr="004670A8">
              <w:rPr>
                <w:color w:val="000000"/>
              </w:rPr>
              <w:t xml:space="preserve">NOS </w:t>
            </w:r>
          </w:p>
        </w:tc>
        <w:tc>
          <w:tcPr>
            <w:tcW w:w="1440" w:type="dxa"/>
            <w:tcBorders>
              <w:top w:val="nil"/>
              <w:left w:val="nil"/>
              <w:bottom w:val="single" w:sz="8" w:space="0" w:color="auto"/>
              <w:right w:val="single" w:sz="8" w:space="0" w:color="auto"/>
            </w:tcBorders>
            <w:shd w:val="clear" w:color="auto" w:fill="auto"/>
            <w:vAlign w:val="center"/>
            <w:hideMark/>
          </w:tcPr>
          <w:p w14:paraId="68C2A63D" w14:textId="77777777" w:rsidR="007D713E" w:rsidRPr="004670A8" w:rsidRDefault="007D713E">
            <w:pPr>
              <w:jc w:val="center"/>
              <w:rPr>
                <w:color w:val="000000"/>
              </w:rPr>
            </w:pPr>
            <w:r w:rsidRPr="004670A8">
              <w:rPr>
                <w:color w:val="000000"/>
              </w:rPr>
              <w:t>0,7</w:t>
            </w:r>
          </w:p>
        </w:tc>
        <w:tc>
          <w:tcPr>
            <w:tcW w:w="1320" w:type="dxa"/>
            <w:tcBorders>
              <w:top w:val="nil"/>
              <w:left w:val="nil"/>
              <w:bottom w:val="single" w:sz="8" w:space="0" w:color="auto"/>
              <w:right w:val="single" w:sz="8" w:space="0" w:color="auto"/>
            </w:tcBorders>
            <w:shd w:val="clear" w:color="auto" w:fill="auto"/>
            <w:vAlign w:val="center"/>
            <w:hideMark/>
          </w:tcPr>
          <w:p w14:paraId="0E706B2C" w14:textId="77777777" w:rsidR="007D713E" w:rsidRPr="004670A8" w:rsidRDefault="007D713E">
            <w:pPr>
              <w:jc w:val="center"/>
              <w:rPr>
                <w:color w:val="000000"/>
              </w:rPr>
            </w:pPr>
            <w:r w:rsidRPr="004670A8">
              <w:rPr>
                <w:color w:val="000000"/>
              </w:rPr>
              <w:t>0,49</w:t>
            </w:r>
          </w:p>
        </w:tc>
        <w:tc>
          <w:tcPr>
            <w:tcW w:w="1300" w:type="dxa"/>
            <w:tcBorders>
              <w:top w:val="nil"/>
              <w:left w:val="nil"/>
              <w:bottom w:val="single" w:sz="8" w:space="0" w:color="auto"/>
              <w:right w:val="single" w:sz="8" w:space="0" w:color="auto"/>
            </w:tcBorders>
            <w:shd w:val="clear" w:color="auto" w:fill="auto"/>
            <w:vAlign w:val="center"/>
            <w:hideMark/>
          </w:tcPr>
          <w:p w14:paraId="09CC37E0" w14:textId="77777777" w:rsidR="007D713E" w:rsidRPr="004670A8" w:rsidRDefault="007D713E">
            <w:pPr>
              <w:jc w:val="center"/>
              <w:rPr>
                <w:color w:val="000000"/>
              </w:rPr>
            </w:pPr>
            <w:r w:rsidRPr="004670A8">
              <w:rPr>
                <w:color w:val="000000"/>
              </w:rPr>
              <w:t>35,39%</w:t>
            </w:r>
          </w:p>
        </w:tc>
      </w:tr>
      <w:tr w:rsidR="007D713E" w:rsidRPr="004670A8" w14:paraId="2A13696B"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9C10BF3" w14:textId="77777777" w:rsidR="007D713E" w:rsidRPr="004670A8" w:rsidRDefault="007D713E">
            <w:pPr>
              <w:jc w:val="both"/>
              <w:rPr>
                <w:color w:val="000000"/>
              </w:rPr>
            </w:pPr>
            <w:r w:rsidRPr="004670A8">
              <w:rPr>
                <w:color w:val="000000"/>
              </w:rPr>
              <w:t xml:space="preserve">Orange S.A. </w:t>
            </w:r>
          </w:p>
        </w:tc>
        <w:tc>
          <w:tcPr>
            <w:tcW w:w="1440" w:type="dxa"/>
            <w:tcBorders>
              <w:top w:val="nil"/>
              <w:left w:val="nil"/>
              <w:bottom w:val="single" w:sz="8" w:space="0" w:color="auto"/>
              <w:right w:val="single" w:sz="8" w:space="0" w:color="auto"/>
            </w:tcBorders>
            <w:shd w:val="clear" w:color="auto" w:fill="auto"/>
            <w:vAlign w:val="center"/>
            <w:hideMark/>
          </w:tcPr>
          <w:p w14:paraId="5DF45433" w14:textId="77777777" w:rsidR="007D713E" w:rsidRPr="004670A8" w:rsidRDefault="007D713E">
            <w:pPr>
              <w:jc w:val="center"/>
              <w:rPr>
                <w:color w:val="000000"/>
              </w:rPr>
            </w:pPr>
            <w:r w:rsidRPr="004670A8">
              <w:rPr>
                <w:color w:val="000000"/>
              </w:rPr>
              <w:t>0,7</w:t>
            </w:r>
          </w:p>
        </w:tc>
        <w:tc>
          <w:tcPr>
            <w:tcW w:w="1320" w:type="dxa"/>
            <w:tcBorders>
              <w:top w:val="nil"/>
              <w:left w:val="nil"/>
              <w:bottom w:val="single" w:sz="8" w:space="0" w:color="auto"/>
              <w:right w:val="single" w:sz="8" w:space="0" w:color="auto"/>
            </w:tcBorders>
            <w:shd w:val="clear" w:color="auto" w:fill="auto"/>
            <w:vAlign w:val="center"/>
            <w:hideMark/>
          </w:tcPr>
          <w:p w14:paraId="014F0A17" w14:textId="77777777" w:rsidR="007D713E" w:rsidRPr="004670A8" w:rsidRDefault="007D713E">
            <w:pPr>
              <w:jc w:val="center"/>
              <w:rPr>
                <w:color w:val="000000"/>
              </w:rPr>
            </w:pPr>
            <w:r w:rsidRPr="004670A8">
              <w:rPr>
                <w:color w:val="000000"/>
              </w:rPr>
              <w:t>0,4</w:t>
            </w:r>
          </w:p>
        </w:tc>
        <w:tc>
          <w:tcPr>
            <w:tcW w:w="1300" w:type="dxa"/>
            <w:tcBorders>
              <w:top w:val="nil"/>
              <w:left w:val="nil"/>
              <w:bottom w:val="single" w:sz="8" w:space="0" w:color="auto"/>
              <w:right w:val="single" w:sz="8" w:space="0" w:color="auto"/>
            </w:tcBorders>
            <w:shd w:val="clear" w:color="auto" w:fill="auto"/>
            <w:vAlign w:val="center"/>
            <w:hideMark/>
          </w:tcPr>
          <w:p w14:paraId="5042B480" w14:textId="77777777" w:rsidR="007D713E" w:rsidRPr="004670A8" w:rsidRDefault="007D713E">
            <w:pPr>
              <w:jc w:val="center"/>
              <w:rPr>
                <w:color w:val="000000"/>
              </w:rPr>
            </w:pPr>
            <w:r w:rsidRPr="004670A8">
              <w:rPr>
                <w:color w:val="000000"/>
              </w:rPr>
              <w:t>50,58%</w:t>
            </w:r>
          </w:p>
        </w:tc>
      </w:tr>
      <w:tr w:rsidR="007D713E" w:rsidRPr="004670A8" w14:paraId="3D9B6B65"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5C007C9" w14:textId="77777777" w:rsidR="007D713E" w:rsidRPr="004670A8" w:rsidRDefault="007D713E">
            <w:pPr>
              <w:jc w:val="both"/>
              <w:rPr>
                <w:color w:val="000000"/>
              </w:rPr>
            </w:pPr>
            <w:proofErr w:type="spellStart"/>
            <w:r w:rsidRPr="004670A8">
              <w:rPr>
                <w:color w:val="000000"/>
              </w:rPr>
              <w:t>Proximus</w:t>
            </w:r>
            <w:proofErr w:type="spellEnd"/>
            <w:r w:rsidRPr="004670A8">
              <w:rPr>
                <w:color w:val="000000"/>
              </w:rPr>
              <w:t xml:space="preserve"> S.A. </w:t>
            </w:r>
          </w:p>
        </w:tc>
        <w:tc>
          <w:tcPr>
            <w:tcW w:w="1440" w:type="dxa"/>
            <w:tcBorders>
              <w:top w:val="nil"/>
              <w:left w:val="nil"/>
              <w:bottom w:val="single" w:sz="8" w:space="0" w:color="auto"/>
              <w:right w:val="single" w:sz="8" w:space="0" w:color="auto"/>
            </w:tcBorders>
            <w:shd w:val="clear" w:color="auto" w:fill="auto"/>
            <w:vAlign w:val="center"/>
            <w:hideMark/>
          </w:tcPr>
          <w:p w14:paraId="72F782A8" w14:textId="77777777" w:rsidR="007D713E" w:rsidRPr="004670A8" w:rsidRDefault="007D713E">
            <w:pPr>
              <w:jc w:val="center"/>
              <w:rPr>
                <w:color w:val="000000"/>
              </w:rPr>
            </w:pPr>
            <w:r w:rsidRPr="004670A8">
              <w:rPr>
                <w:color w:val="000000"/>
              </w:rPr>
              <w:t>0,53</w:t>
            </w:r>
          </w:p>
        </w:tc>
        <w:tc>
          <w:tcPr>
            <w:tcW w:w="1320" w:type="dxa"/>
            <w:tcBorders>
              <w:top w:val="nil"/>
              <w:left w:val="nil"/>
              <w:bottom w:val="single" w:sz="8" w:space="0" w:color="auto"/>
              <w:right w:val="single" w:sz="8" w:space="0" w:color="auto"/>
            </w:tcBorders>
            <w:shd w:val="clear" w:color="auto" w:fill="auto"/>
            <w:vAlign w:val="center"/>
            <w:hideMark/>
          </w:tcPr>
          <w:p w14:paraId="1C5C62AA" w14:textId="77777777" w:rsidR="007D713E" w:rsidRPr="004670A8" w:rsidRDefault="007D713E">
            <w:pPr>
              <w:jc w:val="center"/>
              <w:rPr>
                <w:color w:val="000000"/>
              </w:rPr>
            </w:pPr>
            <w:r w:rsidRPr="004670A8">
              <w:rPr>
                <w:color w:val="000000"/>
              </w:rPr>
              <w:t>0,41</w:t>
            </w:r>
          </w:p>
        </w:tc>
        <w:tc>
          <w:tcPr>
            <w:tcW w:w="1300" w:type="dxa"/>
            <w:tcBorders>
              <w:top w:val="nil"/>
              <w:left w:val="nil"/>
              <w:bottom w:val="single" w:sz="8" w:space="0" w:color="auto"/>
              <w:right w:val="single" w:sz="8" w:space="0" w:color="auto"/>
            </w:tcBorders>
            <w:shd w:val="clear" w:color="auto" w:fill="auto"/>
            <w:vAlign w:val="center"/>
            <w:hideMark/>
          </w:tcPr>
          <w:p w14:paraId="1F41E283" w14:textId="77777777" w:rsidR="007D713E" w:rsidRPr="004670A8" w:rsidRDefault="007D713E">
            <w:pPr>
              <w:jc w:val="center"/>
              <w:rPr>
                <w:color w:val="000000"/>
              </w:rPr>
            </w:pPr>
            <w:r w:rsidRPr="004670A8">
              <w:rPr>
                <w:color w:val="000000"/>
              </w:rPr>
              <w:t>26,66%</w:t>
            </w:r>
          </w:p>
        </w:tc>
      </w:tr>
      <w:tr w:rsidR="007D713E" w:rsidRPr="004670A8" w14:paraId="7ECD7553"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0E73D730" w14:textId="77777777" w:rsidR="007D713E" w:rsidRPr="004670A8" w:rsidRDefault="007D713E">
            <w:pPr>
              <w:jc w:val="both"/>
              <w:rPr>
                <w:color w:val="000000"/>
              </w:rPr>
            </w:pPr>
            <w:r w:rsidRPr="004670A8">
              <w:rPr>
                <w:color w:val="000000"/>
              </w:rPr>
              <w:t xml:space="preserve">Tele2 AB </w:t>
            </w:r>
          </w:p>
        </w:tc>
        <w:tc>
          <w:tcPr>
            <w:tcW w:w="1440" w:type="dxa"/>
            <w:tcBorders>
              <w:top w:val="nil"/>
              <w:left w:val="nil"/>
              <w:bottom w:val="single" w:sz="8" w:space="0" w:color="auto"/>
              <w:right w:val="single" w:sz="8" w:space="0" w:color="auto"/>
            </w:tcBorders>
            <w:shd w:val="clear" w:color="auto" w:fill="auto"/>
            <w:vAlign w:val="center"/>
            <w:hideMark/>
          </w:tcPr>
          <w:p w14:paraId="0D130995" w14:textId="77777777" w:rsidR="007D713E" w:rsidRPr="004670A8" w:rsidRDefault="007D713E">
            <w:pPr>
              <w:jc w:val="center"/>
              <w:rPr>
                <w:color w:val="000000"/>
              </w:rPr>
            </w:pPr>
            <w:r w:rsidRPr="004670A8">
              <w:rPr>
                <w:color w:val="000000"/>
              </w:rPr>
              <w:t>0,58</w:t>
            </w:r>
          </w:p>
        </w:tc>
        <w:tc>
          <w:tcPr>
            <w:tcW w:w="1320" w:type="dxa"/>
            <w:tcBorders>
              <w:top w:val="nil"/>
              <w:left w:val="nil"/>
              <w:bottom w:val="single" w:sz="8" w:space="0" w:color="auto"/>
              <w:right w:val="single" w:sz="8" w:space="0" w:color="auto"/>
            </w:tcBorders>
            <w:shd w:val="clear" w:color="auto" w:fill="auto"/>
            <w:vAlign w:val="center"/>
            <w:hideMark/>
          </w:tcPr>
          <w:p w14:paraId="2E6354FF" w14:textId="77777777" w:rsidR="007D713E" w:rsidRPr="004670A8" w:rsidRDefault="007D713E">
            <w:pPr>
              <w:jc w:val="center"/>
              <w:rPr>
                <w:color w:val="000000"/>
              </w:rPr>
            </w:pPr>
            <w:r w:rsidRPr="004670A8">
              <w:rPr>
                <w:color w:val="000000"/>
              </w:rPr>
              <w:t>0,47</w:t>
            </w:r>
          </w:p>
        </w:tc>
        <w:tc>
          <w:tcPr>
            <w:tcW w:w="1300" w:type="dxa"/>
            <w:tcBorders>
              <w:top w:val="nil"/>
              <w:left w:val="nil"/>
              <w:bottom w:val="single" w:sz="8" w:space="0" w:color="auto"/>
              <w:right w:val="single" w:sz="8" w:space="0" w:color="auto"/>
            </w:tcBorders>
            <w:shd w:val="clear" w:color="auto" w:fill="auto"/>
            <w:vAlign w:val="center"/>
            <w:hideMark/>
          </w:tcPr>
          <w:p w14:paraId="33C0997F" w14:textId="77777777" w:rsidR="007D713E" w:rsidRPr="004670A8" w:rsidRDefault="007D713E">
            <w:pPr>
              <w:jc w:val="center"/>
              <w:rPr>
                <w:color w:val="000000"/>
              </w:rPr>
            </w:pPr>
            <w:r w:rsidRPr="004670A8">
              <w:rPr>
                <w:color w:val="000000"/>
              </w:rPr>
              <w:t>22,41%</w:t>
            </w:r>
          </w:p>
        </w:tc>
      </w:tr>
      <w:tr w:rsidR="007D713E" w:rsidRPr="004670A8" w14:paraId="4414F282"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B1AE957" w14:textId="77777777" w:rsidR="007D713E" w:rsidRPr="004670A8" w:rsidRDefault="007D713E">
            <w:pPr>
              <w:jc w:val="both"/>
              <w:rPr>
                <w:color w:val="000000"/>
              </w:rPr>
            </w:pPr>
            <w:r w:rsidRPr="004670A8">
              <w:rPr>
                <w:color w:val="000000"/>
              </w:rPr>
              <w:t xml:space="preserve">Telecom </w:t>
            </w:r>
            <w:proofErr w:type="spellStart"/>
            <w:r w:rsidRPr="004670A8">
              <w:rPr>
                <w:color w:val="000000"/>
              </w:rPr>
              <w:t>Italia</w:t>
            </w:r>
            <w:proofErr w:type="spellEnd"/>
            <w:r w:rsidRPr="004670A8">
              <w:rPr>
                <w:color w:val="00000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42766F92" w14:textId="77777777" w:rsidR="007D713E" w:rsidRPr="004670A8" w:rsidRDefault="007D713E">
            <w:pPr>
              <w:jc w:val="center"/>
              <w:rPr>
                <w:color w:val="000000"/>
              </w:rPr>
            </w:pPr>
            <w:r w:rsidRPr="004670A8">
              <w:rPr>
                <w:color w:val="000000"/>
              </w:rPr>
              <w:t>1,02</w:t>
            </w:r>
          </w:p>
        </w:tc>
        <w:tc>
          <w:tcPr>
            <w:tcW w:w="1320" w:type="dxa"/>
            <w:tcBorders>
              <w:top w:val="nil"/>
              <w:left w:val="nil"/>
              <w:bottom w:val="single" w:sz="8" w:space="0" w:color="auto"/>
              <w:right w:val="single" w:sz="8" w:space="0" w:color="auto"/>
            </w:tcBorders>
            <w:shd w:val="clear" w:color="auto" w:fill="auto"/>
            <w:vAlign w:val="center"/>
            <w:hideMark/>
          </w:tcPr>
          <w:p w14:paraId="54A2FA05" w14:textId="77777777" w:rsidR="007D713E" w:rsidRPr="004670A8" w:rsidRDefault="007D713E">
            <w:pPr>
              <w:jc w:val="center"/>
              <w:rPr>
                <w:color w:val="000000"/>
              </w:rPr>
            </w:pPr>
            <w:r w:rsidRPr="004670A8">
              <w:rPr>
                <w:color w:val="000000"/>
              </w:rPr>
              <w:t>0,38</w:t>
            </w:r>
          </w:p>
        </w:tc>
        <w:tc>
          <w:tcPr>
            <w:tcW w:w="1300" w:type="dxa"/>
            <w:tcBorders>
              <w:top w:val="nil"/>
              <w:left w:val="nil"/>
              <w:bottom w:val="single" w:sz="8" w:space="0" w:color="auto"/>
              <w:right w:val="single" w:sz="8" w:space="0" w:color="auto"/>
            </w:tcBorders>
            <w:shd w:val="clear" w:color="auto" w:fill="auto"/>
            <w:vAlign w:val="center"/>
            <w:hideMark/>
          </w:tcPr>
          <w:p w14:paraId="0B5E84AF" w14:textId="77777777" w:rsidR="007D713E" w:rsidRPr="004670A8" w:rsidRDefault="007D713E">
            <w:pPr>
              <w:jc w:val="center"/>
              <w:rPr>
                <w:color w:val="000000"/>
              </w:rPr>
            </w:pPr>
            <w:r w:rsidRPr="004670A8">
              <w:rPr>
                <w:color w:val="000000"/>
              </w:rPr>
              <w:t>70,52%</w:t>
            </w:r>
          </w:p>
        </w:tc>
      </w:tr>
      <w:tr w:rsidR="007D713E" w:rsidRPr="004670A8" w14:paraId="3F6B9306"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2A84342" w14:textId="77777777" w:rsidR="007D713E" w:rsidRPr="004670A8" w:rsidRDefault="007D713E">
            <w:pPr>
              <w:jc w:val="both"/>
              <w:rPr>
                <w:color w:val="000000"/>
              </w:rPr>
            </w:pPr>
            <w:proofErr w:type="spellStart"/>
            <w:r w:rsidRPr="004670A8">
              <w:rPr>
                <w:color w:val="000000"/>
              </w:rPr>
              <w:t>Telefónica</w:t>
            </w:r>
            <w:proofErr w:type="spellEnd"/>
            <w:r w:rsidRPr="004670A8">
              <w:rPr>
                <w:color w:val="00000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3C29399B" w14:textId="77777777" w:rsidR="007D713E" w:rsidRPr="004670A8" w:rsidRDefault="007D713E">
            <w:pPr>
              <w:jc w:val="center"/>
              <w:rPr>
                <w:color w:val="000000"/>
              </w:rPr>
            </w:pPr>
            <w:r w:rsidRPr="004670A8">
              <w:rPr>
                <w:color w:val="000000"/>
              </w:rPr>
              <w:t>1,01</w:t>
            </w:r>
          </w:p>
        </w:tc>
        <w:tc>
          <w:tcPr>
            <w:tcW w:w="1320" w:type="dxa"/>
            <w:tcBorders>
              <w:top w:val="nil"/>
              <w:left w:val="nil"/>
              <w:bottom w:val="single" w:sz="8" w:space="0" w:color="auto"/>
              <w:right w:val="single" w:sz="8" w:space="0" w:color="auto"/>
            </w:tcBorders>
            <w:shd w:val="clear" w:color="auto" w:fill="auto"/>
            <w:vAlign w:val="center"/>
            <w:hideMark/>
          </w:tcPr>
          <w:p w14:paraId="1493C840" w14:textId="77777777" w:rsidR="007D713E" w:rsidRPr="004670A8" w:rsidRDefault="007D713E">
            <w:pPr>
              <w:jc w:val="center"/>
              <w:rPr>
                <w:color w:val="000000"/>
              </w:rPr>
            </w:pPr>
            <w:r w:rsidRPr="004670A8">
              <w:rPr>
                <w:color w:val="000000"/>
              </w:rPr>
              <w:t>0,49</w:t>
            </w:r>
          </w:p>
        </w:tc>
        <w:tc>
          <w:tcPr>
            <w:tcW w:w="1300" w:type="dxa"/>
            <w:tcBorders>
              <w:top w:val="nil"/>
              <w:left w:val="nil"/>
              <w:bottom w:val="single" w:sz="8" w:space="0" w:color="auto"/>
              <w:right w:val="single" w:sz="8" w:space="0" w:color="auto"/>
            </w:tcBorders>
            <w:shd w:val="clear" w:color="auto" w:fill="auto"/>
            <w:vAlign w:val="center"/>
            <w:hideMark/>
          </w:tcPr>
          <w:p w14:paraId="04760A08" w14:textId="77777777" w:rsidR="007D713E" w:rsidRPr="004670A8" w:rsidRDefault="007D713E">
            <w:pPr>
              <w:jc w:val="center"/>
              <w:rPr>
                <w:color w:val="000000"/>
              </w:rPr>
            </w:pPr>
            <w:r w:rsidRPr="004670A8">
              <w:rPr>
                <w:color w:val="000000"/>
              </w:rPr>
              <w:t>58,01%</w:t>
            </w:r>
          </w:p>
        </w:tc>
      </w:tr>
      <w:tr w:rsidR="007D713E" w:rsidRPr="004670A8" w14:paraId="49664C85"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CF416E9" w14:textId="77777777" w:rsidR="007D713E" w:rsidRPr="004670A8" w:rsidRDefault="007D713E">
            <w:pPr>
              <w:jc w:val="both"/>
              <w:rPr>
                <w:color w:val="000000"/>
              </w:rPr>
            </w:pPr>
            <w:r w:rsidRPr="004670A8">
              <w:rPr>
                <w:color w:val="000000"/>
              </w:rPr>
              <w:t xml:space="preserve">Telecom </w:t>
            </w:r>
            <w:proofErr w:type="spellStart"/>
            <w:r w:rsidRPr="004670A8">
              <w:rPr>
                <w:color w:val="000000"/>
              </w:rPr>
              <w:t>Austria</w:t>
            </w:r>
            <w:proofErr w:type="spellEnd"/>
            <w:r w:rsidRPr="004670A8">
              <w:rPr>
                <w:color w:val="000000"/>
              </w:rPr>
              <w:t xml:space="preserve"> AG </w:t>
            </w:r>
          </w:p>
        </w:tc>
        <w:tc>
          <w:tcPr>
            <w:tcW w:w="1440" w:type="dxa"/>
            <w:tcBorders>
              <w:top w:val="nil"/>
              <w:left w:val="nil"/>
              <w:bottom w:val="single" w:sz="8" w:space="0" w:color="auto"/>
              <w:right w:val="single" w:sz="8" w:space="0" w:color="auto"/>
            </w:tcBorders>
            <w:shd w:val="clear" w:color="auto" w:fill="auto"/>
            <w:vAlign w:val="center"/>
            <w:hideMark/>
          </w:tcPr>
          <w:p w14:paraId="5B1FB84B" w14:textId="77777777" w:rsidR="007D713E" w:rsidRPr="004670A8" w:rsidRDefault="007D713E">
            <w:pPr>
              <w:jc w:val="center"/>
              <w:rPr>
                <w:color w:val="000000"/>
              </w:rPr>
            </w:pPr>
            <w:r w:rsidRPr="004670A8">
              <w:rPr>
                <w:color w:val="000000"/>
              </w:rPr>
              <w:t>0,68</w:t>
            </w:r>
          </w:p>
        </w:tc>
        <w:tc>
          <w:tcPr>
            <w:tcW w:w="1320" w:type="dxa"/>
            <w:tcBorders>
              <w:top w:val="nil"/>
              <w:left w:val="nil"/>
              <w:bottom w:val="single" w:sz="8" w:space="0" w:color="auto"/>
              <w:right w:val="single" w:sz="8" w:space="0" w:color="auto"/>
            </w:tcBorders>
            <w:shd w:val="clear" w:color="auto" w:fill="auto"/>
            <w:vAlign w:val="center"/>
            <w:hideMark/>
          </w:tcPr>
          <w:p w14:paraId="6AEDF24E" w14:textId="77777777" w:rsidR="007D713E" w:rsidRPr="004670A8" w:rsidRDefault="007D713E">
            <w:pPr>
              <w:jc w:val="center"/>
              <w:rPr>
                <w:color w:val="000000"/>
              </w:rPr>
            </w:pPr>
            <w:r w:rsidRPr="004670A8">
              <w:rPr>
                <w:color w:val="000000"/>
              </w:rPr>
              <w:t>0,48</w:t>
            </w:r>
          </w:p>
        </w:tc>
        <w:tc>
          <w:tcPr>
            <w:tcW w:w="1300" w:type="dxa"/>
            <w:tcBorders>
              <w:top w:val="nil"/>
              <w:left w:val="nil"/>
              <w:bottom w:val="single" w:sz="8" w:space="0" w:color="auto"/>
              <w:right w:val="single" w:sz="8" w:space="0" w:color="auto"/>
            </w:tcBorders>
            <w:shd w:val="clear" w:color="auto" w:fill="auto"/>
            <w:vAlign w:val="center"/>
            <w:hideMark/>
          </w:tcPr>
          <w:p w14:paraId="45758B1A" w14:textId="77777777" w:rsidR="007D713E" w:rsidRPr="004670A8" w:rsidRDefault="007D713E">
            <w:pPr>
              <w:jc w:val="center"/>
              <w:rPr>
                <w:color w:val="000000"/>
              </w:rPr>
            </w:pPr>
            <w:r w:rsidRPr="004670A8">
              <w:rPr>
                <w:color w:val="000000"/>
              </w:rPr>
              <w:t>34,35%</w:t>
            </w:r>
          </w:p>
        </w:tc>
      </w:tr>
      <w:tr w:rsidR="007D713E" w:rsidRPr="004670A8" w14:paraId="6F8B4CB3"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4926F9E" w14:textId="77777777" w:rsidR="007D713E" w:rsidRPr="004670A8" w:rsidRDefault="007D713E">
            <w:pPr>
              <w:jc w:val="both"/>
              <w:rPr>
                <w:color w:val="000000"/>
              </w:rPr>
            </w:pPr>
            <w:proofErr w:type="spellStart"/>
            <w:r w:rsidRPr="004670A8">
              <w:rPr>
                <w:color w:val="000000"/>
              </w:rPr>
              <w:t>Telenet</w:t>
            </w:r>
            <w:proofErr w:type="spellEnd"/>
            <w:r w:rsidRPr="004670A8">
              <w:rPr>
                <w:color w:val="000000"/>
              </w:rPr>
              <w:t xml:space="preserve"> Group Holding N.V. </w:t>
            </w:r>
          </w:p>
        </w:tc>
        <w:tc>
          <w:tcPr>
            <w:tcW w:w="1440" w:type="dxa"/>
            <w:tcBorders>
              <w:top w:val="nil"/>
              <w:left w:val="nil"/>
              <w:bottom w:val="single" w:sz="8" w:space="0" w:color="auto"/>
              <w:right w:val="single" w:sz="8" w:space="0" w:color="auto"/>
            </w:tcBorders>
            <w:shd w:val="clear" w:color="auto" w:fill="auto"/>
            <w:vAlign w:val="center"/>
            <w:hideMark/>
          </w:tcPr>
          <w:p w14:paraId="30D0F06B" w14:textId="77777777" w:rsidR="007D713E" w:rsidRPr="004670A8" w:rsidRDefault="007D713E">
            <w:pPr>
              <w:jc w:val="center"/>
              <w:rPr>
                <w:color w:val="000000"/>
              </w:rPr>
            </w:pPr>
            <w:r w:rsidRPr="004670A8">
              <w:rPr>
                <w:color w:val="000000"/>
              </w:rPr>
              <w:t>0,62</w:t>
            </w:r>
          </w:p>
        </w:tc>
        <w:tc>
          <w:tcPr>
            <w:tcW w:w="1320" w:type="dxa"/>
            <w:tcBorders>
              <w:top w:val="nil"/>
              <w:left w:val="nil"/>
              <w:bottom w:val="single" w:sz="8" w:space="0" w:color="auto"/>
              <w:right w:val="single" w:sz="8" w:space="0" w:color="auto"/>
            </w:tcBorders>
            <w:shd w:val="clear" w:color="auto" w:fill="auto"/>
            <w:vAlign w:val="center"/>
            <w:hideMark/>
          </w:tcPr>
          <w:p w14:paraId="5AA401A0" w14:textId="77777777" w:rsidR="007D713E" w:rsidRPr="004670A8" w:rsidRDefault="007D713E">
            <w:pPr>
              <w:jc w:val="center"/>
              <w:rPr>
                <w:color w:val="000000"/>
              </w:rPr>
            </w:pPr>
            <w:r w:rsidRPr="004670A8">
              <w:rPr>
                <w:color w:val="000000"/>
              </w:rPr>
              <w:t>0,35</w:t>
            </w:r>
          </w:p>
        </w:tc>
        <w:tc>
          <w:tcPr>
            <w:tcW w:w="1300" w:type="dxa"/>
            <w:tcBorders>
              <w:top w:val="nil"/>
              <w:left w:val="nil"/>
              <w:bottom w:val="single" w:sz="8" w:space="0" w:color="auto"/>
              <w:right w:val="single" w:sz="8" w:space="0" w:color="auto"/>
            </w:tcBorders>
            <w:shd w:val="clear" w:color="auto" w:fill="auto"/>
            <w:vAlign w:val="center"/>
            <w:hideMark/>
          </w:tcPr>
          <w:p w14:paraId="60DF3F46" w14:textId="77777777" w:rsidR="007D713E" w:rsidRPr="004670A8" w:rsidRDefault="007D713E">
            <w:pPr>
              <w:jc w:val="center"/>
              <w:rPr>
                <w:color w:val="000000"/>
              </w:rPr>
            </w:pPr>
            <w:r w:rsidRPr="004670A8">
              <w:rPr>
                <w:color w:val="000000"/>
              </w:rPr>
              <w:t>51,17%</w:t>
            </w:r>
          </w:p>
        </w:tc>
      </w:tr>
      <w:tr w:rsidR="007D713E" w:rsidRPr="004670A8" w14:paraId="123B9D9D"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E0A5AEC" w14:textId="77777777" w:rsidR="007D713E" w:rsidRPr="004670A8" w:rsidRDefault="007D713E">
            <w:pPr>
              <w:jc w:val="both"/>
              <w:rPr>
                <w:color w:val="000000"/>
              </w:rPr>
            </w:pPr>
            <w:r w:rsidRPr="004670A8">
              <w:rPr>
                <w:color w:val="000000"/>
              </w:rPr>
              <w:t xml:space="preserve">Telenor </w:t>
            </w:r>
          </w:p>
        </w:tc>
        <w:tc>
          <w:tcPr>
            <w:tcW w:w="1440" w:type="dxa"/>
            <w:tcBorders>
              <w:top w:val="nil"/>
              <w:left w:val="nil"/>
              <w:bottom w:val="single" w:sz="8" w:space="0" w:color="auto"/>
              <w:right w:val="single" w:sz="8" w:space="0" w:color="auto"/>
            </w:tcBorders>
            <w:shd w:val="clear" w:color="auto" w:fill="auto"/>
            <w:vAlign w:val="center"/>
            <w:hideMark/>
          </w:tcPr>
          <w:p w14:paraId="7E4EFF26" w14:textId="77777777" w:rsidR="007D713E" w:rsidRPr="004670A8" w:rsidRDefault="007D713E">
            <w:pPr>
              <w:jc w:val="center"/>
              <w:rPr>
                <w:color w:val="000000"/>
              </w:rPr>
            </w:pPr>
            <w:r w:rsidRPr="004670A8">
              <w:rPr>
                <w:color w:val="000000"/>
              </w:rPr>
              <w:t>0,33</w:t>
            </w:r>
          </w:p>
        </w:tc>
        <w:tc>
          <w:tcPr>
            <w:tcW w:w="1320" w:type="dxa"/>
            <w:tcBorders>
              <w:top w:val="nil"/>
              <w:left w:val="nil"/>
              <w:bottom w:val="single" w:sz="8" w:space="0" w:color="auto"/>
              <w:right w:val="single" w:sz="8" w:space="0" w:color="auto"/>
            </w:tcBorders>
            <w:shd w:val="clear" w:color="auto" w:fill="auto"/>
            <w:vAlign w:val="center"/>
            <w:hideMark/>
          </w:tcPr>
          <w:p w14:paraId="379F58D4" w14:textId="77777777" w:rsidR="007D713E" w:rsidRPr="004670A8" w:rsidRDefault="007D713E">
            <w:pPr>
              <w:jc w:val="center"/>
              <w:rPr>
                <w:color w:val="000000"/>
              </w:rPr>
            </w:pPr>
            <w:r w:rsidRPr="004670A8">
              <w:rPr>
                <w:color w:val="000000"/>
              </w:rPr>
              <w:t>0,26</w:t>
            </w:r>
          </w:p>
        </w:tc>
        <w:tc>
          <w:tcPr>
            <w:tcW w:w="1300" w:type="dxa"/>
            <w:tcBorders>
              <w:top w:val="nil"/>
              <w:left w:val="nil"/>
              <w:bottom w:val="single" w:sz="8" w:space="0" w:color="auto"/>
              <w:right w:val="single" w:sz="8" w:space="0" w:color="auto"/>
            </w:tcBorders>
            <w:shd w:val="clear" w:color="auto" w:fill="auto"/>
            <w:vAlign w:val="center"/>
            <w:hideMark/>
          </w:tcPr>
          <w:p w14:paraId="771F98F3" w14:textId="77777777" w:rsidR="007D713E" w:rsidRPr="004670A8" w:rsidRDefault="007D713E">
            <w:pPr>
              <w:jc w:val="center"/>
              <w:rPr>
                <w:color w:val="000000"/>
              </w:rPr>
            </w:pPr>
            <w:r w:rsidRPr="004670A8">
              <w:rPr>
                <w:color w:val="000000"/>
              </w:rPr>
              <w:t>29,17%</w:t>
            </w:r>
          </w:p>
        </w:tc>
      </w:tr>
      <w:tr w:rsidR="007D713E" w:rsidRPr="004670A8" w14:paraId="5FC866B2"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41A42EA" w14:textId="77777777" w:rsidR="007D713E" w:rsidRPr="004670A8" w:rsidRDefault="007D713E">
            <w:pPr>
              <w:jc w:val="both"/>
              <w:rPr>
                <w:color w:val="000000"/>
              </w:rPr>
            </w:pPr>
            <w:proofErr w:type="spellStart"/>
            <w:r w:rsidRPr="004670A8">
              <w:rPr>
                <w:color w:val="000000"/>
              </w:rPr>
              <w:t>Telia</w:t>
            </w:r>
            <w:proofErr w:type="spellEnd"/>
            <w:r w:rsidRPr="004670A8">
              <w:rPr>
                <w:color w:val="000000"/>
              </w:rPr>
              <w:t xml:space="preserve"> Company AB </w:t>
            </w:r>
          </w:p>
        </w:tc>
        <w:tc>
          <w:tcPr>
            <w:tcW w:w="1440" w:type="dxa"/>
            <w:tcBorders>
              <w:top w:val="nil"/>
              <w:left w:val="nil"/>
              <w:bottom w:val="single" w:sz="8" w:space="0" w:color="auto"/>
              <w:right w:val="single" w:sz="8" w:space="0" w:color="auto"/>
            </w:tcBorders>
            <w:shd w:val="clear" w:color="auto" w:fill="auto"/>
            <w:vAlign w:val="center"/>
            <w:hideMark/>
          </w:tcPr>
          <w:p w14:paraId="4E85CB4C" w14:textId="77777777" w:rsidR="007D713E" w:rsidRPr="004670A8" w:rsidRDefault="007D713E">
            <w:pPr>
              <w:jc w:val="center"/>
              <w:rPr>
                <w:color w:val="000000"/>
              </w:rPr>
            </w:pPr>
            <w:r w:rsidRPr="004670A8">
              <w:rPr>
                <w:color w:val="000000"/>
              </w:rPr>
              <w:t>0,62</w:t>
            </w:r>
          </w:p>
        </w:tc>
        <w:tc>
          <w:tcPr>
            <w:tcW w:w="1320" w:type="dxa"/>
            <w:tcBorders>
              <w:top w:val="nil"/>
              <w:left w:val="nil"/>
              <w:bottom w:val="single" w:sz="8" w:space="0" w:color="auto"/>
              <w:right w:val="single" w:sz="8" w:space="0" w:color="auto"/>
            </w:tcBorders>
            <w:shd w:val="clear" w:color="auto" w:fill="auto"/>
            <w:vAlign w:val="center"/>
            <w:hideMark/>
          </w:tcPr>
          <w:p w14:paraId="7DD4F69A" w14:textId="77777777" w:rsidR="007D713E" w:rsidRPr="004670A8" w:rsidRDefault="007D713E">
            <w:pPr>
              <w:jc w:val="center"/>
              <w:rPr>
                <w:color w:val="000000"/>
              </w:rPr>
            </w:pPr>
            <w:r w:rsidRPr="004670A8">
              <w:rPr>
                <w:color w:val="000000"/>
              </w:rPr>
              <w:t>0,43</w:t>
            </w:r>
          </w:p>
        </w:tc>
        <w:tc>
          <w:tcPr>
            <w:tcW w:w="1300" w:type="dxa"/>
            <w:tcBorders>
              <w:top w:val="nil"/>
              <w:left w:val="nil"/>
              <w:bottom w:val="single" w:sz="8" w:space="0" w:color="auto"/>
              <w:right w:val="single" w:sz="8" w:space="0" w:color="auto"/>
            </w:tcBorders>
            <w:shd w:val="clear" w:color="auto" w:fill="auto"/>
            <w:vAlign w:val="center"/>
            <w:hideMark/>
          </w:tcPr>
          <w:p w14:paraId="6E056389" w14:textId="77777777" w:rsidR="007D713E" w:rsidRPr="004670A8" w:rsidRDefault="007D713E">
            <w:pPr>
              <w:jc w:val="center"/>
              <w:rPr>
                <w:color w:val="000000"/>
              </w:rPr>
            </w:pPr>
            <w:r w:rsidRPr="004670A8">
              <w:rPr>
                <w:color w:val="000000"/>
              </w:rPr>
              <w:t>36,27%</w:t>
            </w:r>
          </w:p>
        </w:tc>
      </w:tr>
      <w:tr w:rsidR="007D713E" w:rsidRPr="004670A8" w14:paraId="32AA8735"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618921B" w14:textId="77777777" w:rsidR="007D713E" w:rsidRPr="004670A8" w:rsidRDefault="007D713E">
            <w:pPr>
              <w:jc w:val="both"/>
              <w:rPr>
                <w:color w:val="000000"/>
              </w:rPr>
            </w:pPr>
            <w:r w:rsidRPr="004670A8">
              <w:rPr>
                <w:color w:val="000000"/>
              </w:rPr>
              <w:t xml:space="preserve">Vodafone Group </w:t>
            </w:r>
            <w:proofErr w:type="spellStart"/>
            <w:r w:rsidRPr="004670A8">
              <w:rPr>
                <w:color w:val="000000"/>
              </w:rPr>
              <w:t>plc</w:t>
            </w:r>
            <w:proofErr w:type="spellEnd"/>
            <w:r w:rsidRPr="004670A8">
              <w:rPr>
                <w:color w:val="00000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17A9EEAD" w14:textId="77777777" w:rsidR="007D713E" w:rsidRPr="004670A8" w:rsidRDefault="007D713E">
            <w:pPr>
              <w:jc w:val="center"/>
              <w:rPr>
                <w:color w:val="000000"/>
              </w:rPr>
            </w:pPr>
            <w:r w:rsidRPr="004670A8">
              <w:rPr>
                <w:color w:val="000000"/>
              </w:rPr>
              <w:t>0,9</w:t>
            </w:r>
          </w:p>
        </w:tc>
        <w:tc>
          <w:tcPr>
            <w:tcW w:w="1320" w:type="dxa"/>
            <w:tcBorders>
              <w:top w:val="nil"/>
              <w:left w:val="nil"/>
              <w:bottom w:val="single" w:sz="8" w:space="0" w:color="auto"/>
              <w:right w:val="single" w:sz="8" w:space="0" w:color="auto"/>
            </w:tcBorders>
            <w:shd w:val="clear" w:color="auto" w:fill="auto"/>
            <w:vAlign w:val="center"/>
            <w:hideMark/>
          </w:tcPr>
          <w:p w14:paraId="6D3626A8" w14:textId="77777777" w:rsidR="007D713E" w:rsidRPr="004670A8" w:rsidRDefault="007D713E">
            <w:pPr>
              <w:jc w:val="center"/>
              <w:rPr>
                <w:color w:val="000000"/>
              </w:rPr>
            </w:pPr>
            <w:r w:rsidRPr="004670A8">
              <w:rPr>
                <w:color w:val="000000"/>
              </w:rPr>
              <w:t>0,5</w:t>
            </w:r>
          </w:p>
        </w:tc>
        <w:tc>
          <w:tcPr>
            <w:tcW w:w="1300" w:type="dxa"/>
            <w:tcBorders>
              <w:top w:val="nil"/>
              <w:left w:val="nil"/>
              <w:bottom w:val="single" w:sz="8" w:space="0" w:color="auto"/>
              <w:right w:val="single" w:sz="8" w:space="0" w:color="auto"/>
            </w:tcBorders>
            <w:shd w:val="clear" w:color="auto" w:fill="auto"/>
            <w:vAlign w:val="center"/>
            <w:hideMark/>
          </w:tcPr>
          <w:p w14:paraId="5175E3A1" w14:textId="77777777" w:rsidR="007D713E" w:rsidRPr="004670A8" w:rsidRDefault="007D713E">
            <w:pPr>
              <w:jc w:val="center"/>
              <w:rPr>
                <w:color w:val="000000"/>
              </w:rPr>
            </w:pPr>
            <w:r w:rsidRPr="004670A8">
              <w:rPr>
                <w:color w:val="000000"/>
              </w:rPr>
              <w:t>50,06%</w:t>
            </w:r>
          </w:p>
        </w:tc>
      </w:tr>
      <w:tr w:rsidR="007D713E" w:rsidRPr="004670A8" w14:paraId="601CE073" w14:textId="77777777" w:rsidTr="007D713E">
        <w:trPr>
          <w:trHeight w:val="441"/>
          <w:jc w:val="center"/>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311CF6C" w14:textId="77777777" w:rsidR="007D713E" w:rsidRPr="004670A8" w:rsidRDefault="007D713E">
            <w:pPr>
              <w:jc w:val="both"/>
              <w:rPr>
                <w:b/>
                <w:bCs/>
                <w:color w:val="000000"/>
              </w:rPr>
            </w:pPr>
            <w:proofErr w:type="spellStart"/>
            <w:r w:rsidRPr="004670A8">
              <w:rPr>
                <w:b/>
                <w:bCs/>
                <w:color w:val="000000"/>
              </w:rPr>
              <w:t>Average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6D4F53E6" w14:textId="77777777" w:rsidR="007D713E" w:rsidRPr="004670A8" w:rsidRDefault="007D713E">
            <w:pPr>
              <w:jc w:val="center"/>
              <w:rPr>
                <w:color w:val="000000"/>
              </w:rPr>
            </w:pPr>
            <w:r w:rsidRPr="004670A8">
              <w:rPr>
                <w:color w:val="000000"/>
              </w:rPr>
              <w:t>0,67</w:t>
            </w:r>
          </w:p>
        </w:tc>
        <w:tc>
          <w:tcPr>
            <w:tcW w:w="1320" w:type="dxa"/>
            <w:tcBorders>
              <w:top w:val="nil"/>
              <w:left w:val="nil"/>
              <w:bottom w:val="single" w:sz="8" w:space="0" w:color="auto"/>
              <w:right w:val="single" w:sz="8" w:space="0" w:color="auto"/>
            </w:tcBorders>
            <w:shd w:val="clear" w:color="auto" w:fill="auto"/>
            <w:vAlign w:val="center"/>
            <w:hideMark/>
          </w:tcPr>
          <w:p w14:paraId="17528D74" w14:textId="77777777" w:rsidR="007D713E" w:rsidRPr="004670A8" w:rsidRDefault="007D713E">
            <w:pPr>
              <w:jc w:val="center"/>
              <w:rPr>
                <w:b/>
                <w:bCs/>
                <w:color w:val="000000"/>
              </w:rPr>
            </w:pPr>
            <w:r w:rsidRPr="004670A8">
              <w:rPr>
                <w:b/>
                <w:bCs/>
                <w:color w:val="000000"/>
              </w:rPr>
              <w:t>0,41</w:t>
            </w:r>
          </w:p>
        </w:tc>
        <w:tc>
          <w:tcPr>
            <w:tcW w:w="1300" w:type="dxa"/>
            <w:tcBorders>
              <w:top w:val="nil"/>
              <w:left w:val="nil"/>
              <w:bottom w:val="single" w:sz="8" w:space="0" w:color="auto"/>
              <w:right w:val="single" w:sz="8" w:space="0" w:color="auto"/>
            </w:tcBorders>
            <w:shd w:val="clear" w:color="auto" w:fill="auto"/>
            <w:noWrap/>
            <w:vAlign w:val="center"/>
            <w:hideMark/>
          </w:tcPr>
          <w:p w14:paraId="55094806" w14:textId="77777777" w:rsidR="007D713E" w:rsidRPr="004670A8" w:rsidRDefault="007D713E">
            <w:pPr>
              <w:jc w:val="center"/>
              <w:rPr>
                <w:b/>
                <w:bCs/>
                <w:color w:val="000000"/>
              </w:rPr>
            </w:pPr>
            <w:r w:rsidRPr="004670A8">
              <w:rPr>
                <w:b/>
                <w:bCs/>
                <w:color w:val="000000"/>
              </w:rPr>
              <w:t>42,38%</w:t>
            </w:r>
          </w:p>
        </w:tc>
      </w:tr>
    </w:tbl>
    <w:p w14:paraId="556F931B" w14:textId="77777777" w:rsidR="007D713E" w:rsidRPr="00840287" w:rsidRDefault="007D713E" w:rsidP="007D713E">
      <w:pPr>
        <w:jc w:val="center"/>
        <w:rPr>
          <w:vanish/>
          <w:specVanish/>
        </w:rPr>
      </w:pPr>
    </w:p>
    <w:p w14:paraId="757F236F" w14:textId="77777777" w:rsidR="007D713E" w:rsidRDefault="007D713E" w:rsidP="007D713E">
      <w:pPr>
        <w:jc w:val="both"/>
      </w:pPr>
      <w:r>
        <w:t xml:space="preserve"> </w:t>
      </w:r>
    </w:p>
    <w:p w14:paraId="52D8E464" w14:textId="77777777" w:rsidR="007D713E" w:rsidRDefault="007D713E">
      <w:pPr>
        <w:rPr>
          <w:b/>
        </w:rPr>
      </w:pPr>
    </w:p>
    <w:p w14:paraId="0A6FCDDC" w14:textId="77777777" w:rsidR="007D713E" w:rsidRDefault="007D713E">
      <w:pPr>
        <w:rPr>
          <w:b/>
        </w:rPr>
      </w:pPr>
      <w:r>
        <w:rPr>
          <w:b/>
        </w:rPr>
        <w:br w:type="page"/>
      </w:r>
    </w:p>
    <w:p w14:paraId="050D684D" w14:textId="53C53692" w:rsidR="00665D22" w:rsidRDefault="00665D22" w:rsidP="00665D22">
      <w:pPr>
        <w:jc w:val="center"/>
      </w:pPr>
      <w:r w:rsidRPr="0052427D">
        <w:rPr>
          <w:b/>
        </w:rPr>
        <w:lastRenderedPageBreak/>
        <w:t xml:space="preserve">Privitak </w:t>
      </w:r>
      <w:r w:rsidR="00D30D42">
        <w:rPr>
          <w:b/>
        </w:rPr>
        <w:t>3</w:t>
      </w:r>
      <w:r w:rsidRPr="0052427D">
        <w:t xml:space="preserve"> - </w:t>
      </w:r>
      <w:r w:rsidR="00840287" w:rsidRPr="00840287">
        <w:t>Ekonomski čimbenici zemlje i nerizične stope</w:t>
      </w:r>
      <w:r w:rsidR="00840287">
        <w:t xml:space="preserve"> </w:t>
      </w:r>
    </w:p>
    <w:p w14:paraId="61DA097F" w14:textId="77777777" w:rsidR="00F1793C" w:rsidRDefault="00F1793C" w:rsidP="00936EA3">
      <w:pPr>
        <w:rPr>
          <w:sz w:val="20"/>
          <w:szCs w:val="20"/>
        </w:rPr>
      </w:pPr>
    </w:p>
    <w:p w14:paraId="5D62702A" w14:textId="77777777" w:rsidR="00665D22" w:rsidRDefault="00665D22" w:rsidP="00936EA3">
      <w:pPr>
        <w:rPr>
          <w:sz w:val="20"/>
          <w:szCs w:val="20"/>
        </w:rPr>
      </w:pPr>
    </w:p>
    <w:tbl>
      <w:tblPr>
        <w:tblW w:w="5800" w:type="dxa"/>
        <w:jc w:val="center"/>
        <w:tblLook w:val="04A0" w:firstRow="1" w:lastRow="0" w:firstColumn="1" w:lastColumn="0" w:noHBand="0" w:noVBand="1"/>
      </w:tblPr>
      <w:tblGrid>
        <w:gridCol w:w="2320"/>
        <w:gridCol w:w="1300"/>
        <w:gridCol w:w="2180"/>
      </w:tblGrid>
      <w:tr w:rsidR="00665D22" w:rsidRPr="003F70E9" w14:paraId="131A143B" w14:textId="77777777" w:rsidTr="00570CCF">
        <w:trPr>
          <w:trHeight w:val="5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1D02D" w14:textId="77777777" w:rsidR="00665D22" w:rsidRPr="00DA4F56" w:rsidRDefault="00665D22" w:rsidP="00570CCF">
            <w:pPr>
              <w:rPr>
                <w:color w:val="000000"/>
              </w:rPr>
            </w:pPr>
            <w:r w:rsidRPr="00DA4F56">
              <w:rPr>
                <w:color w:val="000000"/>
              </w:rPr>
              <w:t>Država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451D" w14:textId="77777777" w:rsidR="00665D22" w:rsidRPr="00DA4F56" w:rsidRDefault="00665D22" w:rsidP="00570CCF">
            <w:pPr>
              <w:jc w:val="center"/>
              <w:rPr>
                <w:color w:val="000000"/>
              </w:rPr>
            </w:pPr>
            <w:r w:rsidRPr="00DA4F56">
              <w:rPr>
                <w:color w:val="000000"/>
              </w:rPr>
              <w:t xml:space="preserve"> Kreditni rejting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1943" w14:textId="77777777" w:rsidR="00665D22" w:rsidRPr="00DA4F56" w:rsidRDefault="00665D22" w:rsidP="00570CCF">
            <w:pPr>
              <w:jc w:val="center"/>
              <w:rPr>
                <w:color w:val="000000"/>
              </w:rPr>
            </w:pPr>
            <w:r w:rsidRPr="00DA4F56">
              <w:rPr>
                <w:color w:val="000000"/>
              </w:rPr>
              <w:t>Aritmetička sredina</w:t>
            </w:r>
          </w:p>
        </w:tc>
      </w:tr>
      <w:tr w:rsidR="00665D22" w:rsidRPr="003F70E9" w14:paraId="1159F377"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6DCB2" w14:textId="56239792" w:rsidR="00665D22" w:rsidRPr="004670A8" w:rsidRDefault="00665D22" w:rsidP="00570CCF">
            <w:pPr>
              <w:rPr>
                <w:color w:val="000000"/>
              </w:rPr>
            </w:pPr>
            <w:proofErr w:type="spellStart"/>
            <w:r w:rsidRPr="004670A8">
              <w:rPr>
                <w:color w:val="000000"/>
                <w:lang w:val="de-DE"/>
              </w:rPr>
              <w:t>Austri</w:t>
            </w:r>
            <w:r w:rsidR="00CB02A0" w:rsidRPr="004670A8">
              <w:rPr>
                <w:color w:val="000000"/>
                <w:lang w:val="de-DE"/>
              </w:rPr>
              <w:t>j</w:t>
            </w:r>
            <w:r w:rsidRPr="004670A8">
              <w:rPr>
                <w:color w:val="000000"/>
                <w:lang w:val="de-DE"/>
              </w:rPr>
              <w:t>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D7A85" w14:textId="77777777" w:rsidR="00665D22" w:rsidRPr="004670A8" w:rsidRDefault="00665D22" w:rsidP="00570CCF">
            <w:pPr>
              <w:jc w:val="center"/>
              <w:rPr>
                <w:color w:val="000000"/>
              </w:rPr>
            </w:pPr>
            <w:r w:rsidRPr="004670A8">
              <w:rPr>
                <w:color w:val="000000"/>
                <w:lang w:val="de-DE"/>
              </w:rPr>
              <w:t>AA1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222B3" w14:textId="77777777" w:rsidR="00665D22" w:rsidRPr="004670A8" w:rsidRDefault="00665D22" w:rsidP="00570CCF">
            <w:pPr>
              <w:jc w:val="center"/>
              <w:rPr>
                <w:color w:val="000000"/>
              </w:rPr>
            </w:pPr>
            <w:r w:rsidRPr="004670A8">
              <w:rPr>
                <w:color w:val="000000"/>
                <w:lang w:val="de-DE"/>
              </w:rPr>
              <w:t>0,2</w:t>
            </w:r>
          </w:p>
        </w:tc>
      </w:tr>
      <w:tr w:rsidR="00665D22" w:rsidRPr="003F70E9" w14:paraId="699D575E"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DC5D1" w14:textId="0407E5EB" w:rsidR="00665D22" w:rsidRPr="004670A8" w:rsidRDefault="00665D22" w:rsidP="00CB02A0">
            <w:pPr>
              <w:rPr>
                <w:color w:val="000000"/>
              </w:rPr>
            </w:pPr>
            <w:proofErr w:type="spellStart"/>
            <w:r w:rsidRPr="004670A8">
              <w:rPr>
                <w:color w:val="000000"/>
                <w:lang w:val="de-DE"/>
              </w:rPr>
              <w:t>Belgi</w:t>
            </w:r>
            <w:r w:rsidR="00CB02A0" w:rsidRPr="004670A8">
              <w:rPr>
                <w:color w:val="000000"/>
                <w:lang w:val="de-DE"/>
              </w:rPr>
              <w:t>ja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AB57F" w14:textId="77777777" w:rsidR="00665D22" w:rsidRPr="004670A8" w:rsidRDefault="00665D22" w:rsidP="00570CCF">
            <w:pPr>
              <w:jc w:val="center"/>
              <w:rPr>
                <w:color w:val="000000"/>
              </w:rPr>
            </w:pPr>
            <w:r w:rsidRPr="004670A8">
              <w:rPr>
                <w:color w:val="000000"/>
                <w:lang w:val="de-DE"/>
              </w:rPr>
              <w:t>AA3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1A96C" w14:textId="77777777" w:rsidR="00665D22" w:rsidRPr="004670A8" w:rsidRDefault="00665D22" w:rsidP="00570CCF">
            <w:pPr>
              <w:jc w:val="center"/>
              <w:rPr>
                <w:color w:val="000000"/>
              </w:rPr>
            </w:pPr>
            <w:r w:rsidRPr="004670A8">
              <w:rPr>
                <w:color w:val="000000"/>
                <w:lang w:val="de-DE"/>
              </w:rPr>
              <w:t>0,3</w:t>
            </w:r>
          </w:p>
        </w:tc>
      </w:tr>
      <w:tr w:rsidR="00665D22" w:rsidRPr="003F70E9" w14:paraId="6CA5E87A"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A7C2" w14:textId="3144B564" w:rsidR="00665D22" w:rsidRPr="004670A8" w:rsidRDefault="00665D22" w:rsidP="00CB02A0">
            <w:pPr>
              <w:rPr>
                <w:color w:val="000000"/>
              </w:rPr>
            </w:pPr>
            <w:proofErr w:type="spellStart"/>
            <w:r w:rsidRPr="004670A8">
              <w:rPr>
                <w:color w:val="000000"/>
                <w:lang w:val="de-DE"/>
              </w:rPr>
              <w:t>Bugar</w:t>
            </w:r>
            <w:r w:rsidR="00CB02A0" w:rsidRPr="004670A8">
              <w:rPr>
                <w:color w:val="000000"/>
                <w:lang w:val="de-DE"/>
              </w:rPr>
              <w:t>sk</w:t>
            </w:r>
            <w:r w:rsidRPr="004670A8">
              <w:rPr>
                <w:color w:val="000000"/>
                <w:lang w:val="de-DE"/>
              </w:rPr>
              <w:t>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9ABEB" w14:textId="77777777" w:rsidR="00665D22" w:rsidRPr="004670A8" w:rsidRDefault="00665D22" w:rsidP="00570CCF">
            <w:pPr>
              <w:jc w:val="center"/>
              <w:rPr>
                <w:color w:val="000000"/>
              </w:rPr>
            </w:pPr>
            <w:r w:rsidRPr="004670A8">
              <w:rPr>
                <w:color w:val="000000"/>
                <w:lang w:val="de-DE"/>
              </w:rPr>
              <w:t>BAA1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4C89" w14:textId="77777777" w:rsidR="00665D22" w:rsidRPr="004670A8" w:rsidRDefault="00665D22" w:rsidP="00570CCF">
            <w:pPr>
              <w:jc w:val="center"/>
              <w:rPr>
                <w:color w:val="000000"/>
              </w:rPr>
            </w:pPr>
            <w:r w:rsidRPr="004670A8">
              <w:rPr>
                <w:color w:val="000000"/>
                <w:lang w:val="de-DE"/>
              </w:rPr>
              <w:t>0,62</w:t>
            </w:r>
          </w:p>
        </w:tc>
      </w:tr>
      <w:tr w:rsidR="00665D22" w:rsidRPr="003F70E9" w14:paraId="7134E126"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47FD1" w14:textId="0753B7A5" w:rsidR="00665D22" w:rsidRPr="004670A8" w:rsidRDefault="00CB02A0" w:rsidP="00570CCF">
            <w:pPr>
              <w:rPr>
                <w:bCs/>
                <w:color w:val="000000"/>
              </w:rPr>
            </w:pPr>
            <w:proofErr w:type="spellStart"/>
            <w:r w:rsidRPr="004670A8">
              <w:rPr>
                <w:bCs/>
                <w:color w:val="000000"/>
                <w:lang w:val="de-DE"/>
              </w:rPr>
              <w:t>Hrvatska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3330" w14:textId="77777777" w:rsidR="00665D22" w:rsidRPr="004670A8" w:rsidRDefault="00665D22" w:rsidP="00570CCF">
            <w:pPr>
              <w:jc w:val="center"/>
              <w:rPr>
                <w:bCs/>
                <w:color w:val="000000"/>
              </w:rPr>
            </w:pPr>
            <w:r w:rsidRPr="004670A8">
              <w:rPr>
                <w:bCs/>
                <w:color w:val="000000"/>
                <w:lang w:val="de-DE"/>
              </w:rPr>
              <w:t>BA1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B677" w14:textId="77777777" w:rsidR="00665D22" w:rsidRPr="004670A8" w:rsidRDefault="00665D22" w:rsidP="00570CCF">
            <w:pPr>
              <w:jc w:val="center"/>
              <w:rPr>
                <w:bCs/>
                <w:color w:val="000000"/>
              </w:rPr>
            </w:pPr>
            <w:r w:rsidRPr="004670A8">
              <w:rPr>
                <w:bCs/>
                <w:color w:val="000000"/>
                <w:lang w:val="de-DE"/>
              </w:rPr>
              <w:t>1,43</w:t>
            </w:r>
          </w:p>
        </w:tc>
      </w:tr>
      <w:tr w:rsidR="00665D22" w:rsidRPr="003F70E9" w14:paraId="73204336"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E5A8E" w14:textId="1DF85FB3" w:rsidR="00665D22" w:rsidRPr="004670A8" w:rsidRDefault="00CB02A0" w:rsidP="00570CCF">
            <w:pPr>
              <w:rPr>
                <w:color w:val="000000"/>
              </w:rPr>
            </w:pPr>
            <w:proofErr w:type="spellStart"/>
            <w:r w:rsidRPr="004670A8">
              <w:rPr>
                <w:color w:val="000000"/>
                <w:lang w:val="de-DE"/>
              </w:rPr>
              <w:t>Cipar</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4B4DA" w14:textId="77777777" w:rsidR="00665D22" w:rsidRPr="004670A8" w:rsidRDefault="00665D22" w:rsidP="00570CCF">
            <w:pPr>
              <w:jc w:val="center"/>
              <w:rPr>
                <w:color w:val="000000"/>
              </w:rPr>
            </w:pPr>
            <w:r w:rsidRPr="004670A8">
              <w:rPr>
                <w:color w:val="000000"/>
                <w:lang w:val="de-DE"/>
              </w:rPr>
              <w:t>BA1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B0309" w14:textId="77777777" w:rsidR="00665D22" w:rsidRPr="004670A8" w:rsidRDefault="00665D22" w:rsidP="00570CCF">
            <w:pPr>
              <w:jc w:val="center"/>
              <w:rPr>
                <w:color w:val="000000"/>
              </w:rPr>
            </w:pPr>
            <w:r w:rsidRPr="004670A8">
              <w:rPr>
                <w:color w:val="000000"/>
                <w:lang w:val="de-DE"/>
              </w:rPr>
              <w:t>1,33</w:t>
            </w:r>
          </w:p>
        </w:tc>
      </w:tr>
      <w:tr w:rsidR="00665D22" w:rsidRPr="003F70E9" w14:paraId="07C18165"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F71BE" w14:textId="211D4227" w:rsidR="00665D22" w:rsidRPr="004670A8" w:rsidRDefault="00CB02A0" w:rsidP="00570CCF">
            <w:pPr>
              <w:rPr>
                <w:color w:val="000000"/>
              </w:rPr>
            </w:pPr>
            <w:proofErr w:type="spellStart"/>
            <w:r w:rsidRPr="004670A8">
              <w:rPr>
                <w:color w:val="000000"/>
                <w:lang w:val="de-DE"/>
              </w:rPr>
              <w:t>Češka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B5B11" w14:textId="77777777" w:rsidR="00665D22" w:rsidRPr="004670A8" w:rsidRDefault="00665D22" w:rsidP="00570CCF">
            <w:pPr>
              <w:jc w:val="center"/>
              <w:rPr>
                <w:color w:val="000000"/>
              </w:rPr>
            </w:pPr>
            <w:r w:rsidRPr="004670A8">
              <w:rPr>
                <w:color w:val="000000"/>
                <w:lang w:val="de-DE"/>
              </w:rPr>
              <w:t>AA3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17B3D" w14:textId="77777777" w:rsidR="00665D22" w:rsidRPr="004670A8" w:rsidRDefault="00665D22" w:rsidP="00570CCF">
            <w:pPr>
              <w:jc w:val="center"/>
              <w:rPr>
                <w:color w:val="000000"/>
              </w:rPr>
            </w:pPr>
            <w:r w:rsidRPr="004670A8">
              <w:rPr>
                <w:color w:val="000000"/>
                <w:lang w:val="de-DE"/>
              </w:rPr>
              <w:t>1,64</w:t>
            </w:r>
          </w:p>
        </w:tc>
      </w:tr>
      <w:tr w:rsidR="00665D22" w:rsidRPr="003F70E9" w14:paraId="7063EAF1"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B5F1" w14:textId="0CBD7402" w:rsidR="00665D22" w:rsidRPr="004670A8" w:rsidRDefault="00CB02A0" w:rsidP="00570CCF">
            <w:pPr>
              <w:rPr>
                <w:color w:val="000000"/>
              </w:rPr>
            </w:pPr>
            <w:proofErr w:type="spellStart"/>
            <w:r w:rsidRPr="004670A8">
              <w:rPr>
                <w:color w:val="000000"/>
                <w:lang w:val="de-DE"/>
              </w:rPr>
              <w:t>Danska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9A582" w14:textId="77777777" w:rsidR="00665D22" w:rsidRPr="004670A8" w:rsidRDefault="00665D22" w:rsidP="00570CCF">
            <w:pPr>
              <w:jc w:val="center"/>
              <w:rPr>
                <w:color w:val="000000"/>
              </w:rPr>
            </w:pPr>
            <w:r w:rsidRPr="004670A8">
              <w:rPr>
                <w:color w:val="000000"/>
                <w:lang w:val="de-DE"/>
              </w:rPr>
              <w:t>AAA</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4697" w14:textId="77777777" w:rsidR="00665D22" w:rsidRPr="004670A8" w:rsidRDefault="00665D22" w:rsidP="00570CCF">
            <w:pPr>
              <w:jc w:val="center"/>
              <w:rPr>
                <w:color w:val="000000"/>
              </w:rPr>
            </w:pPr>
            <w:r w:rsidRPr="004670A8">
              <w:rPr>
                <w:color w:val="000000"/>
                <w:lang w:val="de-DE"/>
              </w:rPr>
              <w:t>0.07</w:t>
            </w:r>
          </w:p>
        </w:tc>
      </w:tr>
      <w:tr w:rsidR="00665D22" w:rsidRPr="003F70E9" w14:paraId="7A9E2316"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90275" w14:textId="5B182E17" w:rsidR="00665D22" w:rsidRPr="004670A8" w:rsidRDefault="00665D22" w:rsidP="00570CCF">
            <w:pPr>
              <w:rPr>
                <w:color w:val="000000"/>
              </w:rPr>
            </w:pPr>
            <w:proofErr w:type="spellStart"/>
            <w:r w:rsidRPr="004670A8">
              <w:rPr>
                <w:color w:val="000000"/>
                <w:lang w:val="de-DE"/>
              </w:rPr>
              <w:t>Estoni</w:t>
            </w:r>
            <w:r w:rsidR="00CB02A0" w:rsidRPr="004670A8">
              <w:rPr>
                <w:color w:val="000000"/>
                <w:lang w:val="de-DE"/>
              </w:rPr>
              <w:t>j</w:t>
            </w:r>
            <w:r w:rsidRPr="004670A8">
              <w:rPr>
                <w:color w:val="000000"/>
                <w:lang w:val="de-DE"/>
              </w:rPr>
              <w:t>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135A" w14:textId="77777777" w:rsidR="00665D22" w:rsidRPr="004670A8" w:rsidRDefault="00665D22" w:rsidP="00570CCF">
            <w:pPr>
              <w:jc w:val="center"/>
              <w:rPr>
                <w:color w:val="000000"/>
              </w:rPr>
            </w:pPr>
            <w:r w:rsidRPr="004670A8">
              <w:rPr>
                <w:color w:val="000000"/>
                <w:lang w:val="de-DE"/>
              </w:rPr>
              <w:t>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3D2A" w14:textId="77777777" w:rsidR="00665D22" w:rsidRPr="004670A8" w:rsidRDefault="00665D22" w:rsidP="00570CCF">
            <w:pPr>
              <w:jc w:val="center"/>
              <w:rPr>
                <w:color w:val="000000"/>
              </w:rPr>
            </w:pPr>
            <w:r w:rsidRPr="004670A8">
              <w:rPr>
                <w:color w:val="000000"/>
                <w:lang w:val="en-US"/>
              </w:rPr>
              <w:t>0.50</w:t>
            </w:r>
          </w:p>
        </w:tc>
      </w:tr>
      <w:tr w:rsidR="00665D22" w:rsidRPr="003F70E9" w14:paraId="37FB3A75"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F0FD" w14:textId="2109D5DC" w:rsidR="00665D22" w:rsidRPr="004670A8" w:rsidRDefault="00665D22" w:rsidP="00CB02A0">
            <w:pPr>
              <w:rPr>
                <w:color w:val="000000"/>
              </w:rPr>
            </w:pPr>
            <w:proofErr w:type="spellStart"/>
            <w:r w:rsidRPr="004670A8">
              <w:rPr>
                <w:color w:val="000000"/>
                <w:lang w:val="en-US"/>
              </w:rPr>
              <w:t>Fin</w:t>
            </w:r>
            <w:r w:rsidR="00CB02A0" w:rsidRPr="004670A8">
              <w:rPr>
                <w:color w:val="000000"/>
                <w:lang w:val="en-US"/>
              </w:rPr>
              <w:t>sk</w:t>
            </w:r>
            <w:r w:rsidRPr="004670A8">
              <w:rPr>
                <w:color w:val="000000"/>
                <w:lang w:val="en-US"/>
              </w:rPr>
              <w:t>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DE642" w14:textId="77777777" w:rsidR="00665D22" w:rsidRPr="004670A8" w:rsidRDefault="00665D22" w:rsidP="00570CCF">
            <w:pPr>
              <w:jc w:val="center"/>
              <w:rPr>
                <w:color w:val="000000"/>
              </w:rPr>
            </w:pPr>
            <w:r w:rsidRPr="004670A8">
              <w:rPr>
                <w:color w:val="000000"/>
                <w:lang w:val="en-US"/>
              </w:rPr>
              <w:t>AA1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775B4" w14:textId="77777777" w:rsidR="00665D22" w:rsidRPr="004670A8" w:rsidRDefault="00665D22" w:rsidP="00570CCF">
            <w:pPr>
              <w:jc w:val="center"/>
              <w:rPr>
                <w:color w:val="000000"/>
              </w:rPr>
            </w:pPr>
            <w:r w:rsidRPr="004670A8">
              <w:rPr>
                <w:color w:val="000000"/>
                <w:lang w:val="en-US"/>
              </w:rPr>
              <w:t>0.19</w:t>
            </w:r>
          </w:p>
        </w:tc>
      </w:tr>
      <w:tr w:rsidR="00665D22" w:rsidRPr="003F70E9" w14:paraId="382668EF"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5998" w14:textId="6452C595" w:rsidR="00665D22" w:rsidRPr="004670A8" w:rsidRDefault="00665D22" w:rsidP="00CB02A0">
            <w:pPr>
              <w:rPr>
                <w:color w:val="000000"/>
              </w:rPr>
            </w:pPr>
            <w:proofErr w:type="spellStart"/>
            <w:r w:rsidRPr="004670A8">
              <w:rPr>
                <w:color w:val="000000"/>
                <w:lang w:val="en-US"/>
              </w:rPr>
              <w:t>Franc</w:t>
            </w:r>
            <w:r w:rsidR="00CB02A0" w:rsidRPr="004670A8">
              <w:rPr>
                <w:color w:val="000000"/>
                <w:lang w:val="en-US"/>
              </w:rPr>
              <w:t>uska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FF3D0" w14:textId="77777777" w:rsidR="00665D22" w:rsidRPr="004670A8" w:rsidRDefault="00665D22" w:rsidP="00570CCF">
            <w:pPr>
              <w:jc w:val="center"/>
              <w:rPr>
                <w:color w:val="000000"/>
              </w:rPr>
            </w:pPr>
            <w:r w:rsidRPr="004670A8">
              <w:rPr>
                <w:color w:val="000000"/>
                <w:lang w:val="en-US"/>
              </w:rPr>
              <w:t>AA2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3301" w14:textId="77777777" w:rsidR="00665D22" w:rsidRPr="004670A8" w:rsidRDefault="00665D22" w:rsidP="00570CCF">
            <w:pPr>
              <w:jc w:val="center"/>
              <w:rPr>
                <w:color w:val="000000"/>
              </w:rPr>
            </w:pPr>
            <w:r w:rsidRPr="004670A8">
              <w:rPr>
                <w:color w:val="000000"/>
                <w:lang w:val="en-US"/>
              </w:rPr>
              <w:t>0.30</w:t>
            </w:r>
          </w:p>
        </w:tc>
      </w:tr>
      <w:tr w:rsidR="00665D22" w:rsidRPr="00662860" w14:paraId="62DABB13"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45BD0" w14:textId="0C0C36A6" w:rsidR="00665D22" w:rsidRPr="004670A8" w:rsidRDefault="00CB02A0" w:rsidP="0001032F">
            <w:pPr>
              <w:rPr>
                <w:color w:val="000000"/>
                <w:lang w:val="en-US"/>
              </w:rPr>
            </w:pPr>
            <w:proofErr w:type="spellStart"/>
            <w:r w:rsidRPr="004670A8">
              <w:rPr>
                <w:color w:val="000000"/>
                <w:lang w:val="en-US"/>
              </w:rPr>
              <w:t>Njemačka</w:t>
            </w:r>
            <w:proofErr w:type="spellEnd"/>
            <w:r w:rsidR="00665D22" w:rsidRPr="004670A8">
              <w:rPr>
                <w:color w:val="000000"/>
                <w:lang w:val="en-US"/>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FCE0" w14:textId="77777777" w:rsidR="00665D22" w:rsidRPr="004670A8" w:rsidRDefault="00665D22" w:rsidP="00662860">
            <w:pPr>
              <w:jc w:val="center"/>
              <w:rPr>
                <w:color w:val="000000"/>
                <w:lang w:val="en-US"/>
              </w:rPr>
            </w:pPr>
            <w:r w:rsidRPr="004670A8">
              <w:rPr>
                <w:color w:val="000000"/>
                <w:lang w:val="en-US"/>
              </w:rPr>
              <w:t>AAA</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BEDB3" w14:textId="77777777" w:rsidR="00665D22" w:rsidRPr="004670A8" w:rsidRDefault="00665D22" w:rsidP="00662860">
            <w:pPr>
              <w:jc w:val="center"/>
              <w:rPr>
                <w:color w:val="000000"/>
                <w:lang w:val="en-US"/>
              </w:rPr>
            </w:pPr>
            <w:r w:rsidRPr="004670A8">
              <w:rPr>
                <w:color w:val="000000"/>
                <w:lang w:val="en-US"/>
              </w:rPr>
              <w:t>-0.09</w:t>
            </w:r>
          </w:p>
        </w:tc>
      </w:tr>
      <w:tr w:rsidR="00665D22" w:rsidRPr="003F70E9" w14:paraId="1AD5E5AE"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7B9F1" w14:textId="0801BBC0" w:rsidR="00665D22" w:rsidRPr="004670A8" w:rsidRDefault="00665D22" w:rsidP="00CB02A0">
            <w:pPr>
              <w:rPr>
                <w:color w:val="000000"/>
              </w:rPr>
            </w:pPr>
            <w:proofErr w:type="spellStart"/>
            <w:r w:rsidRPr="004670A8">
              <w:rPr>
                <w:color w:val="000000"/>
                <w:lang w:val="en-US"/>
              </w:rPr>
              <w:t>Gr</w:t>
            </w:r>
            <w:r w:rsidR="00CB02A0" w:rsidRPr="004670A8">
              <w:rPr>
                <w:color w:val="000000"/>
                <w:lang w:val="en-US"/>
              </w:rPr>
              <w:t>čka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3DEC" w14:textId="77777777" w:rsidR="00665D22" w:rsidRPr="004670A8" w:rsidRDefault="00665D22" w:rsidP="00570CCF">
            <w:pPr>
              <w:jc w:val="center"/>
              <w:rPr>
                <w:color w:val="000000"/>
              </w:rPr>
            </w:pPr>
            <w:r w:rsidRPr="004670A8">
              <w:rPr>
                <w:color w:val="000000"/>
                <w:lang w:val="en-US"/>
              </w:rPr>
              <w:t>BA3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6BD0" w14:textId="77777777" w:rsidR="00665D22" w:rsidRPr="004670A8" w:rsidRDefault="00665D22" w:rsidP="00570CCF">
            <w:pPr>
              <w:jc w:val="center"/>
              <w:rPr>
                <w:color w:val="000000"/>
              </w:rPr>
            </w:pPr>
            <w:r w:rsidRPr="004670A8">
              <w:rPr>
                <w:color w:val="000000"/>
                <w:lang w:val="en-US"/>
              </w:rPr>
              <w:t>2,73</w:t>
            </w:r>
          </w:p>
        </w:tc>
      </w:tr>
      <w:tr w:rsidR="00665D22" w:rsidRPr="003F70E9" w14:paraId="70E7850F"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F2E5" w14:textId="38C35102" w:rsidR="00665D22" w:rsidRPr="004670A8" w:rsidRDefault="00CB02A0" w:rsidP="00570CCF">
            <w:pPr>
              <w:rPr>
                <w:color w:val="000000"/>
              </w:rPr>
            </w:pPr>
            <w:proofErr w:type="spellStart"/>
            <w:r w:rsidRPr="004670A8">
              <w:rPr>
                <w:color w:val="000000"/>
                <w:lang w:val="en-US"/>
              </w:rPr>
              <w:t>Mađarska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F4E4" w14:textId="77777777" w:rsidR="00665D22" w:rsidRPr="004670A8" w:rsidRDefault="00665D22" w:rsidP="00570CCF">
            <w:pPr>
              <w:jc w:val="center"/>
              <w:rPr>
                <w:color w:val="000000"/>
              </w:rPr>
            </w:pPr>
            <w:r w:rsidRPr="004670A8">
              <w:rPr>
                <w:color w:val="000000"/>
                <w:lang w:val="en-US"/>
              </w:rPr>
              <w:t>BAA2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7D0F" w14:textId="77777777" w:rsidR="00665D22" w:rsidRPr="004670A8" w:rsidRDefault="00665D22" w:rsidP="00570CCF">
            <w:pPr>
              <w:jc w:val="center"/>
              <w:rPr>
                <w:color w:val="000000"/>
              </w:rPr>
            </w:pPr>
            <w:r w:rsidRPr="004670A8">
              <w:rPr>
                <w:color w:val="000000"/>
                <w:lang w:val="en-US"/>
              </w:rPr>
              <w:t>2,84</w:t>
            </w:r>
          </w:p>
        </w:tc>
      </w:tr>
      <w:tr w:rsidR="00665D22" w:rsidRPr="003F70E9" w14:paraId="3489DD9A"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7DC4" w14:textId="22CE0BDD" w:rsidR="00665D22" w:rsidRPr="004670A8" w:rsidRDefault="00665D22" w:rsidP="00CB02A0">
            <w:pPr>
              <w:rPr>
                <w:color w:val="000000"/>
              </w:rPr>
            </w:pPr>
            <w:proofErr w:type="spellStart"/>
            <w:r w:rsidRPr="004670A8">
              <w:rPr>
                <w:color w:val="000000"/>
                <w:lang w:val="en-US"/>
              </w:rPr>
              <w:t>Ir</w:t>
            </w:r>
            <w:r w:rsidR="00CB02A0" w:rsidRPr="004670A8">
              <w:rPr>
                <w:color w:val="000000"/>
                <w:lang w:val="en-US"/>
              </w:rPr>
              <w:t>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C900" w14:textId="77777777" w:rsidR="00665D22" w:rsidRPr="004670A8" w:rsidRDefault="00665D22" w:rsidP="00570CCF">
            <w:pPr>
              <w:jc w:val="center"/>
              <w:rPr>
                <w:color w:val="000000"/>
              </w:rPr>
            </w:pPr>
            <w:r w:rsidRPr="004670A8">
              <w:rPr>
                <w:color w:val="000000"/>
                <w:lang w:val="en-US"/>
              </w:rPr>
              <w:t>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0E7E" w14:textId="77777777" w:rsidR="00665D22" w:rsidRPr="004670A8" w:rsidRDefault="00665D22" w:rsidP="00570CCF">
            <w:pPr>
              <w:jc w:val="center"/>
              <w:rPr>
                <w:color w:val="000000"/>
              </w:rPr>
            </w:pPr>
            <w:r w:rsidRPr="004670A8">
              <w:rPr>
                <w:color w:val="000000"/>
                <w:lang w:val="en-US"/>
              </w:rPr>
              <w:t>0.40</w:t>
            </w:r>
          </w:p>
        </w:tc>
      </w:tr>
      <w:tr w:rsidR="00665D22" w:rsidRPr="003F70E9" w14:paraId="56D535E9"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73104" w14:textId="71699B9A" w:rsidR="00665D22" w:rsidRPr="004670A8" w:rsidRDefault="00665D22" w:rsidP="00CB02A0">
            <w:pPr>
              <w:rPr>
                <w:color w:val="000000"/>
              </w:rPr>
            </w:pPr>
            <w:proofErr w:type="spellStart"/>
            <w:r w:rsidRPr="004670A8">
              <w:rPr>
                <w:color w:val="000000"/>
                <w:lang w:val="de-DE"/>
              </w:rPr>
              <w:t>Ital</w:t>
            </w:r>
            <w:r w:rsidR="00CB02A0" w:rsidRPr="004670A8">
              <w:rPr>
                <w:color w:val="000000"/>
                <w:lang w:val="de-DE"/>
              </w:rPr>
              <w:t>ija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38A6" w14:textId="77777777" w:rsidR="00665D22" w:rsidRPr="004670A8" w:rsidRDefault="00665D22" w:rsidP="00570CCF">
            <w:pPr>
              <w:jc w:val="center"/>
              <w:rPr>
                <w:color w:val="000000"/>
              </w:rPr>
            </w:pPr>
            <w:r w:rsidRPr="004670A8">
              <w:rPr>
                <w:color w:val="000000"/>
                <w:lang w:val="de-DE"/>
              </w:rPr>
              <w:t>BAA3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1C1C" w14:textId="77777777" w:rsidR="00665D22" w:rsidRPr="004670A8" w:rsidRDefault="00665D22" w:rsidP="00570CCF">
            <w:pPr>
              <w:jc w:val="center"/>
              <w:rPr>
                <w:color w:val="000000"/>
              </w:rPr>
            </w:pPr>
            <w:r w:rsidRPr="004670A8">
              <w:rPr>
                <w:color w:val="000000"/>
                <w:lang w:val="de-DE"/>
              </w:rPr>
              <w:t>1,7</w:t>
            </w:r>
          </w:p>
        </w:tc>
      </w:tr>
      <w:tr w:rsidR="00665D22" w:rsidRPr="003F70E9" w14:paraId="5E38AFD0"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22062" w14:textId="7B8348D8" w:rsidR="00665D22" w:rsidRPr="004670A8" w:rsidRDefault="00665D22" w:rsidP="00570CCF">
            <w:pPr>
              <w:rPr>
                <w:color w:val="000000"/>
              </w:rPr>
            </w:pPr>
            <w:proofErr w:type="spellStart"/>
            <w:r w:rsidRPr="004670A8">
              <w:rPr>
                <w:color w:val="000000"/>
                <w:lang w:val="de-DE"/>
              </w:rPr>
              <w:t>Latvi</w:t>
            </w:r>
            <w:r w:rsidR="00CB02A0" w:rsidRPr="004670A8">
              <w:rPr>
                <w:color w:val="000000"/>
                <w:lang w:val="de-DE"/>
              </w:rPr>
              <w:t>j</w:t>
            </w:r>
            <w:r w:rsidRPr="004670A8">
              <w:rPr>
                <w:color w:val="000000"/>
                <w:lang w:val="de-DE"/>
              </w:rPr>
              <w:t>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1294B" w14:textId="77777777" w:rsidR="00665D22" w:rsidRPr="004670A8" w:rsidRDefault="00665D22" w:rsidP="00570CCF">
            <w:pPr>
              <w:jc w:val="center"/>
              <w:rPr>
                <w:color w:val="000000"/>
              </w:rPr>
            </w:pPr>
            <w:r w:rsidRPr="004670A8">
              <w:rPr>
                <w:color w:val="000000"/>
                <w:lang w:val="de-DE"/>
              </w:rPr>
              <w:t>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E5FC" w14:textId="77777777" w:rsidR="00665D22" w:rsidRPr="004670A8" w:rsidRDefault="00665D22" w:rsidP="00570CCF">
            <w:pPr>
              <w:jc w:val="center"/>
              <w:rPr>
                <w:color w:val="000000"/>
              </w:rPr>
            </w:pPr>
            <w:r w:rsidRPr="004670A8">
              <w:rPr>
                <w:color w:val="000000"/>
                <w:lang w:val="de-DE"/>
              </w:rPr>
              <w:t>0,4</w:t>
            </w:r>
          </w:p>
        </w:tc>
      </w:tr>
      <w:tr w:rsidR="00665D22" w:rsidRPr="003F70E9" w14:paraId="1D4763F9"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B267" w14:textId="14D90BCB" w:rsidR="00665D22" w:rsidRPr="004670A8" w:rsidRDefault="00665D22" w:rsidP="00CB02A0">
            <w:pPr>
              <w:rPr>
                <w:color w:val="000000"/>
              </w:rPr>
            </w:pPr>
            <w:proofErr w:type="spellStart"/>
            <w:r w:rsidRPr="004670A8">
              <w:rPr>
                <w:color w:val="000000"/>
                <w:lang w:val="de-DE"/>
              </w:rPr>
              <w:t>Lit</w:t>
            </w:r>
            <w:r w:rsidR="00CB02A0" w:rsidRPr="004670A8">
              <w:rPr>
                <w:color w:val="000000"/>
                <w:lang w:val="de-DE"/>
              </w:rPr>
              <w:t>vanija</w:t>
            </w:r>
            <w:proofErr w:type="spellEnd"/>
            <w:r w:rsidR="00CB02A0" w:rsidRPr="004670A8">
              <w:rPr>
                <w:color w:val="000000"/>
                <w:lang w:val="de-DE"/>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1EC36" w14:textId="77777777" w:rsidR="00665D22" w:rsidRPr="004670A8" w:rsidRDefault="00665D22" w:rsidP="00570CCF">
            <w:pPr>
              <w:jc w:val="center"/>
              <w:rPr>
                <w:color w:val="000000"/>
              </w:rPr>
            </w:pPr>
            <w:r w:rsidRPr="004670A8">
              <w:rPr>
                <w:color w:val="000000"/>
                <w:lang w:val="de-DE"/>
              </w:rPr>
              <w:t>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C8CF" w14:textId="77777777" w:rsidR="00665D22" w:rsidRPr="004670A8" w:rsidRDefault="00665D22" w:rsidP="00570CCF">
            <w:pPr>
              <w:jc w:val="center"/>
              <w:rPr>
                <w:color w:val="000000"/>
              </w:rPr>
            </w:pPr>
            <w:r w:rsidRPr="004670A8">
              <w:rPr>
                <w:color w:val="000000"/>
                <w:lang w:val="de-DE"/>
              </w:rPr>
              <w:t>0,26</w:t>
            </w:r>
          </w:p>
        </w:tc>
      </w:tr>
      <w:tr w:rsidR="00665D22" w:rsidRPr="003F70E9" w14:paraId="0744DB2D"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18D4" w14:textId="693990FC" w:rsidR="00665D22" w:rsidRPr="004670A8" w:rsidRDefault="00665D22" w:rsidP="00CB02A0">
            <w:pPr>
              <w:rPr>
                <w:color w:val="000000"/>
              </w:rPr>
            </w:pPr>
            <w:proofErr w:type="spellStart"/>
            <w:r w:rsidRPr="004670A8">
              <w:rPr>
                <w:color w:val="000000"/>
                <w:lang w:val="de-DE"/>
              </w:rPr>
              <w:t>Lu</w:t>
            </w:r>
            <w:r w:rsidR="00CB02A0" w:rsidRPr="004670A8">
              <w:rPr>
                <w:color w:val="000000"/>
                <w:lang w:val="de-DE"/>
              </w:rPr>
              <w:t>ks</w:t>
            </w:r>
            <w:r w:rsidRPr="004670A8">
              <w:rPr>
                <w:color w:val="000000"/>
                <w:lang w:val="de-DE"/>
              </w:rPr>
              <w:t>emburg</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60E4" w14:textId="77777777" w:rsidR="00665D22" w:rsidRPr="004670A8" w:rsidRDefault="00665D22" w:rsidP="00570CCF">
            <w:pPr>
              <w:jc w:val="center"/>
              <w:rPr>
                <w:color w:val="000000"/>
              </w:rPr>
            </w:pPr>
            <w:r w:rsidRPr="004670A8">
              <w:rPr>
                <w:color w:val="000000"/>
                <w:lang w:val="de-DE"/>
              </w:rPr>
              <w:t>AAA</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0FE8" w14:textId="77777777" w:rsidR="00665D22" w:rsidRPr="004670A8" w:rsidRDefault="00665D22" w:rsidP="00570CCF">
            <w:pPr>
              <w:jc w:val="center"/>
              <w:rPr>
                <w:color w:val="000000"/>
              </w:rPr>
            </w:pPr>
            <w:r w:rsidRPr="004670A8">
              <w:rPr>
                <w:color w:val="000000"/>
                <w:lang w:val="de-DE"/>
              </w:rPr>
              <w:t>0.03</w:t>
            </w:r>
          </w:p>
        </w:tc>
      </w:tr>
      <w:tr w:rsidR="00665D22" w:rsidRPr="003F70E9" w14:paraId="509FE833"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010C" w14:textId="77777777" w:rsidR="00665D22" w:rsidRPr="004670A8" w:rsidRDefault="00665D22" w:rsidP="00570CCF">
            <w:pPr>
              <w:rPr>
                <w:color w:val="000000"/>
              </w:rPr>
            </w:pPr>
            <w:r w:rsidRPr="004670A8">
              <w:rPr>
                <w:color w:val="000000"/>
                <w:lang w:val="de-DE"/>
              </w:rPr>
              <w:t>Malta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A0FF0" w14:textId="77777777" w:rsidR="00665D22" w:rsidRPr="004670A8" w:rsidRDefault="00665D22" w:rsidP="00570CCF">
            <w:pPr>
              <w:jc w:val="center"/>
              <w:rPr>
                <w:color w:val="000000"/>
              </w:rPr>
            </w:pPr>
            <w:r w:rsidRPr="004670A8">
              <w:rPr>
                <w:color w:val="000000"/>
                <w:lang w:val="de-DE"/>
              </w:rPr>
              <w:t>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374A" w14:textId="77777777" w:rsidR="00665D22" w:rsidRPr="004670A8" w:rsidRDefault="00665D22" w:rsidP="00570CCF">
            <w:pPr>
              <w:jc w:val="center"/>
              <w:rPr>
                <w:color w:val="000000"/>
              </w:rPr>
            </w:pPr>
            <w:r w:rsidRPr="004670A8">
              <w:rPr>
                <w:color w:val="000000"/>
                <w:lang w:val="de-DE"/>
              </w:rPr>
              <w:t>0.85</w:t>
            </w:r>
          </w:p>
        </w:tc>
      </w:tr>
      <w:tr w:rsidR="00665D22" w:rsidRPr="003F70E9" w14:paraId="3ED3A577"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CFF6" w14:textId="122888C5" w:rsidR="00665D22" w:rsidRPr="004670A8" w:rsidRDefault="00CB02A0" w:rsidP="00570CCF">
            <w:pPr>
              <w:rPr>
                <w:color w:val="000000"/>
              </w:rPr>
            </w:pPr>
            <w:proofErr w:type="spellStart"/>
            <w:r w:rsidRPr="004670A8">
              <w:rPr>
                <w:color w:val="000000"/>
                <w:lang w:val="de-DE"/>
              </w:rPr>
              <w:t>Nizozemska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C544" w14:textId="77777777" w:rsidR="00665D22" w:rsidRPr="004670A8" w:rsidRDefault="00665D22" w:rsidP="00570CCF">
            <w:pPr>
              <w:jc w:val="center"/>
              <w:rPr>
                <w:color w:val="000000"/>
              </w:rPr>
            </w:pPr>
            <w:r w:rsidRPr="004670A8">
              <w:rPr>
                <w:color w:val="000000"/>
                <w:lang w:val="de-DE"/>
              </w:rPr>
              <w:t>AAA</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A4AF" w14:textId="77777777" w:rsidR="00665D22" w:rsidRPr="004670A8" w:rsidRDefault="00665D22" w:rsidP="00570CCF">
            <w:pPr>
              <w:jc w:val="center"/>
              <w:rPr>
                <w:color w:val="000000"/>
              </w:rPr>
            </w:pPr>
            <w:r w:rsidRPr="004670A8">
              <w:rPr>
                <w:color w:val="000000"/>
                <w:lang w:val="de-DE"/>
              </w:rPr>
              <w:t>0.05</w:t>
            </w:r>
          </w:p>
        </w:tc>
      </w:tr>
      <w:tr w:rsidR="00665D22" w:rsidRPr="003F70E9" w14:paraId="7965C2A4"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A28A" w14:textId="5B46553D" w:rsidR="00665D22" w:rsidRPr="004670A8" w:rsidRDefault="00665D22" w:rsidP="00CB02A0">
            <w:pPr>
              <w:rPr>
                <w:color w:val="000000"/>
              </w:rPr>
            </w:pPr>
            <w:proofErr w:type="spellStart"/>
            <w:r w:rsidRPr="004670A8">
              <w:rPr>
                <w:color w:val="000000"/>
                <w:lang w:val="de-DE"/>
              </w:rPr>
              <w:t>Pol</w:t>
            </w:r>
            <w:r w:rsidR="00CB02A0" w:rsidRPr="004670A8">
              <w:rPr>
                <w:color w:val="000000"/>
                <w:lang w:val="de-DE"/>
              </w:rPr>
              <w:t>jska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7FF2" w14:textId="77777777" w:rsidR="00665D22" w:rsidRPr="004670A8" w:rsidRDefault="00665D22" w:rsidP="00570CCF">
            <w:pPr>
              <w:jc w:val="center"/>
              <w:rPr>
                <w:color w:val="000000"/>
              </w:rPr>
            </w:pPr>
            <w:r w:rsidRPr="004670A8">
              <w:rPr>
                <w:color w:val="000000"/>
                <w:lang w:val="de-DE"/>
              </w:rPr>
              <w:t>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2B67" w14:textId="77777777" w:rsidR="00665D22" w:rsidRPr="004670A8" w:rsidRDefault="00665D22" w:rsidP="00570CCF">
            <w:pPr>
              <w:jc w:val="center"/>
              <w:rPr>
                <w:color w:val="000000"/>
              </w:rPr>
            </w:pPr>
            <w:r w:rsidRPr="004670A8">
              <w:rPr>
                <w:color w:val="000000"/>
                <w:lang w:val="de-DE"/>
              </w:rPr>
              <w:t>2,51</w:t>
            </w:r>
          </w:p>
        </w:tc>
      </w:tr>
      <w:tr w:rsidR="00665D22" w:rsidRPr="003F70E9" w14:paraId="16D32759"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FE92" w14:textId="77777777" w:rsidR="00665D22" w:rsidRPr="004670A8" w:rsidRDefault="00665D22" w:rsidP="00570CCF">
            <w:pPr>
              <w:rPr>
                <w:color w:val="000000"/>
              </w:rPr>
            </w:pPr>
            <w:r w:rsidRPr="004670A8">
              <w:rPr>
                <w:color w:val="000000"/>
                <w:lang w:val="de-DE"/>
              </w:rPr>
              <w:t>Portugal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AFD95" w14:textId="77777777" w:rsidR="00665D22" w:rsidRPr="004670A8" w:rsidRDefault="00665D22" w:rsidP="00570CCF">
            <w:pPr>
              <w:jc w:val="center"/>
              <w:rPr>
                <w:color w:val="000000"/>
              </w:rPr>
            </w:pPr>
            <w:r w:rsidRPr="004670A8">
              <w:rPr>
                <w:color w:val="000000"/>
                <w:lang w:val="de-DE"/>
              </w:rPr>
              <w:t>BAA2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F0F19" w14:textId="77777777" w:rsidR="00665D22" w:rsidRPr="004670A8" w:rsidRDefault="00665D22" w:rsidP="00570CCF">
            <w:pPr>
              <w:jc w:val="center"/>
              <w:rPr>
                <w:color w:val="000000"/>
              </w:rPr>
            </w:pPr>
            <w:r w:rsidRPr="004670A8">
              <w:rPr>
                <w:color w:val="000000"/>
                <w:lang w:val="de-DE"/>
              </w:rPr>
              <w:t>1,12</w:t>
            </w:r>
          </w:p>
        </w:tc>
      </w:tr>
      <w:tr w:rsidR="00665D22" w:rsidRPr="003F70E9" w14:paraId="39E0E76C"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3F13" w14:textId="1BDB652E" w:rsidR="00665D22" w:rsidRPr="004670A8" w:rsidRDefault="00665D22" w:rsidP="00CB02A0">
            <w:pPr>
              <w:rPr>
                <w:color w:val="000000"/>
              </w:rPr>
            </w:pPr>
            <w:proofErr w:type="spellStart"/>
            <w:r w:rsidRPr="004670A8">
              <w:rPr>
                <w:color w:val="000000"/>
                <w:lang w:val="de-DE"/>
              </w:rPr>
              <w:t>R</w:t>
            </w:r>
            <w:r w:rsidR="00CB02A0" w:rsidRPr="004670A8">
              <w:rPr>
                <w:color w:val="000000"/>
                <w:lang w:val="de-DE"/>
              </w:rPr>
              <w:t>umunjska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58927" w14:textId="77777777" w:rsidR="00665D22" w:rsidRPr="004670A8" w:rsidRDefault="00665D22" w:rsidP="00570CCF">
            <w:pPr>
              <w:jc w:val="center"/>
              <w:rPr>
                <w:color w:val="000000"/>
              </w:rPr>
            </w:pPr>
            <w:r w:rsidRPr="004670A8">
              <w:rPr>
                <w:color w:val="000000"/>
                <w:lang w:val="de-DE"/>
              </w:rPr>
              <w:t>BAA3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B816C" w14:textId="77777777" w:rsidR="00665D22" w:rsidRPr="004670A8" w:rsidRDefault="00665D22" w:rsidP="00570CCF">
            <w:pPr>
              <w:jc w:val="center"/>
              <w:rPr>
                <w:color w:val="000000"/>
              </w:rPr>
            </w:pPr>
            <w:r w:rsidRPr="004670A8">
              <w:rPr>
                <w:color w:val="000000"/>
                <w:lang w:val="de-DE"/>
              </w:rPr>
              <w:t>4,23</w:t>
            </w:r>
          </w:p>
        </w:tc>
      </w:tr>
      <w:tr w:rsidR="00665D22" w:rsidRPr="003F70E9" w14:paraId="68B0EDD9"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AF640" w14:textId="11867AB8" w:rsidR="00665D22" w:rsidRPr="004670A8" w:rsidRDefault="00CB02A0" w:rsidP="00570CCF">
            <w:pPr>
              <w:rPr>
                <w:color w:val="000000"/>
              </w:rPr>
            </w:pPr>
            <w:proofErr w:type="spellStart"/>
            <w:r w:rsidRPr="004670A8">
              <w:rPr>
                <w:color w:val="000000"/>
                <w:lang w:val="de-DE"/>
              </w:rPr>
              <w:t>Slovačka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5AAD4" w14:textId="77777777" w:rsidR="00665D22" w:rsidRPr="004670A8" w:rsidRDefault="00665D22" w:rsidP="00570CCF">
            <w:pPr>
              <w:jc w:val="center"/>
              <w:rPr>
                <w:color w:val="000000"/>
              </w:rPr>
            </w:pPr>
            <w:r w:rsidRPr="004670A8">
              <w:rPr>
                <w:color w:val="000000"/>
                <w:lang w:val="de-DE"/>
              </w:rPr>
              <w:t>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359E" w14:textId="77777777" w:rsidR="00665D22" w:rsidRPr="004670A8" w:rsidRDefault="00665D22" w:rsidP="00570CCF">
            <w:pPr>
              <w:jc w:val="center"/>
              <w:rPr>
                <w:color w:val="000000"/>
              </w:rPr>
            </w:pPr>
            <w:r w:rsidRPr="004670A8">
              <w:rPr>
                <w:color w:val="000000"/>
                <w:lang w:val="de-DE"/>
              </w:rPr>
              <w:t>0.37</w:t>
            </w:r>
          </w:p>
        </w:tc>
      </w:tr>
      <w:tr w:rsidR="00665D22" w:rsidRPr="003F70E9" w14:paraId="1A0AF6F1" w14:textId="77777777" w:rsidTr="00570CC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9CFC" w14:textId="6F1EA32E" w:rsidR="00665D22" w:rsidRPr="004670A8" w:rsidRDefault="00665D22" w:rsidP="00570CCF">
            <w:pPr>
              <w:rPr>
                <w:color w:val="000000"/>
              </w:rPr>
            </w:pPr>
            <w:proofErr w:type="spellStart"/>
            <w:r w:rsidRPr="004670A8">
              <w:rPr>
                <w:color w:val="000000"/>
                <w:lang w:val="de-DE"/>
              </w:rPr>
              <w:t>Sloveni</w:t>
            </w:r>
            <w:r w:rsidR="00CB02A0" w:rsidRPr="004670A8">
              <w:rPr>
                <w:color w:val="000000"/>
                <w:lang w:val="de-DE"/>
              </w:rPr>
              <w:t>j</w:t>
            </w:r>
            <w:r w:rsidRPr="004670A8">
              <w:rPr>
                <w:color w:val="000000"/>
                <w:lang w:val="de-DE"/>
              </w:rPr>
              <w:t>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52C0" w14:textId="77777777" w:rsidR="00665D22" w:rsidRPr="004670A8" w:rsidRDefault="00665D22" w:rsidP="00570CCF">
            <w:pPr>
              <w:jc w:val="center"/>
              <w:rPr>
                <w:color w:val="000000"/>
              </w:rPr>
            </w:pPr>
            <w:r w:rsidRPr="004670A8">
              <w:rPr>
                <w:color w:val="000000"/>
                <w:lang w:val="de-DE"/>
              </w:rPr>
              <w:t>A3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7C78" w14:textId="77777777" w:rsidR="00665D22" w:rsidRPr="004670A8" w:rsidRDefault="00665D22" w:rsidP="00570CCF">
            <w:pPr>
              <w:jc w:val="center"/>
              <w:rPr>
                <w:color w:val="000000"/>
              </w:rPr>
            </w:pPr>
            <w:r w:rsidRPr="004670A8">
              <w:rPr>
                <w:color w:val="000000"/>
                <w:lang w:val="de-DE"/>
              </w:rPr>
              <w:t>0.45</w:t>
            </w:r>
          </w:p>
        </w:tc>
      </w:tr>
      <w:tr w:rsidR="00665D22" w:rsidRPr="003F70E9" w14:paraId="7F9B7638" w14:textId="77777777" w:rsidTr="001223B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2BE1" w14:textId="605EA97A" w:rsidR="00665D22" w:rsidRPr="004670A8" w:rsidRDefault="00CB02A0" w:rsidP="00570CCF">
            <w:pPr>
              <w:rPr>
                <w:color w:val="000000"/>
              </w:rPr>
            </w:pPr>
            <w:proofErr w:type="spellStart"/>
            <w:r w:rsidRPr="004670A8">
              <w:rPr>
                <w:color w:val="000000"/>
                <w:lang w:val="de-DE"/>
              </w:rPr>
              <w:t>Španjolska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036A5" w14:textId="77777777" w:rsidR="00665D22" w:rsidRPr="004670A8" w:rsidRDefault="00665D22" w:rsidP="00570CCF">
            <w:pPr>
              <w:jc w:val="center"/>
              <w:rPr>
                <w:color w:val="000000"/>
              </w:rPr>
            </w:pPr>
            <w:r w:rsidRPr="004670A8">
              <w:rPr>
                <w:color w:val="000000"/>
                <w:lang w:val="de-DE"/>
              </w:rPr>
              <w:t>BAA1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44F7" w14:textId="77777777" w:rsidR="00665D22" w:rsidRPr="004670A8" w:rsidRDefault="00665D22" w:rsidP="00570CCF">
            <w:pPr>
              <w:jc w:val="center"/>
              <w:rPr>
                <w:color w:val="000000"/>
              </w:rPr>
            </w:pPr>
            <w:r w:rsidRPr="004670A8">
              <w:rPr>
                <w:color w:val="000000"/>
                <w:lang w:val="de-DE"/>
              </w:rPr>
              <w:t>0.84</w:t>
            </w:r>
          </w:p>
        </w:tc>
      </w:tr>
      <w:tr w:rsidR="00665D22" w:rsidRPr="003F70E9" w14:paraId="0C1B3D1B" w14:textId="77777777" w:rsidTr="001223BF">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32EEB" w14:textId="3A380E0A" w:rsidR="00665D22" w:rsidRPr="004670A8" w:rsidRDefault="00CB02A0" w:rsidP="00570CCF">
            <w:pPr>
              <w:rPr>
                <w:color w:val="000000"/>
              </w:rPr>
            </w:pPr>
            <w:proofErr w:type="spellStart"/>
            <w:r w:rsidRPr="004670A8">
              <w:rPr>
                <w:color w:val="000000"/>
                <w:lang w:val="de-DE"/>
              </w:rPr>
              <w:t>Švedska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A87E" w14:textId="77777777" w:rsidR="00665D22" w:rsidRPr="004670A8" w:rsidRDefault="00665D22" w:rsidP="00570CCF">
            <w:pPr>
              <w:jc w:val="center"/>
              <w:rPr>
                <w:color w:val="000000"/>
              </w:rPr>
            </w:pPr>
            <w:r w:rsidRPr="004670A8">
              <w:rPr>
                <w:color w:val="000000"/>
                <w:lang w:val="de-DE"/>
              </w:rPr>
              <w:t>AAA</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A94F" w14:textId="77777777" w:rsidR="00665D22" w:rsidRPr="004670A8" w:rsidRDefault="00665D22" w:rsidP="00570CCF">
            <w:pPr>
              <w:jc w:val="center"/>
              <w:rPr>
                <w:color w:val="000000"/>
              </w:rPr>
            </w:pPr>
            <w:r w:rsidRPr="004670A8">
              <w:rPr>
                <w:color w:val="000000"/>
                <w:lang w:val="de-DE"/>
              </w:rPr>
              <w:t>0.31</w:t>
            </w:r>
          </w:p>
        </w:tc>
      </w:tr>
      <w:tr w:rsidR="00665D22" w:rsidRPr="003F70E9" w14:paraId="7D63ED64" w14:textId="77777777" w:rsidTr="001223BF">
        <w:trPr>
          <w:trHeight w:val="288"/>
          <w:jc w:val="center"/>
        </w:trPr>
        <w:tc>
          <w:tcPr>
            <w:tcW w:w="2320" w:type="dxa"/>
            <w:tcBorders>
              <w:top w:val="single" w:sz="4" w:space="0" w:color="auto"/>
              <w:bottom w:val="single" w:sz="4" w:space="0" w:color="auto"/>
            </w:tcBorders>
            <w:shd w:val="clear" w:color="auto" w:fill="auto"/>
            <w:noWrap/>
            <w:vAlign w:val="bottom"/>
            <w:hideMark/>
          </w:tcPr>
          <w:p w14:paraId="0C03DC99" w14:textId="77777777" w:rsidR="00665D22" w:rsidRPr="004670A8" w:rsidRDefault="00665D22" w:rsidP="00570CCF">
            <w:pPr>
              <w:jc w:val="center"/>
              <w:rPr>
                <w:color w:val="000000"/>
              </w:rPr>
            </w:pPr>
          </w:p>
        </w:tc>
        <w:tc>
          <w:tcPr>
            <w:tcW w:w="1300" w:type="dxa"/>
            <w:tcBorders>
              <w:top w:val="single" w:sz="4" w:space="0" w:color="auto"/>
              <w:bottom w:val="single" w:sz="4" w:space="0" w:color="auto"/>
            </w:tcBorders>
            <w:shd w:val="clear" w:color="auto" w:fill="auto"/>
            <w:noWrap/>
            <w:vAlign w:val="bottom"/>
            <w:hideMark/>
          </w:tcPr>
          <w:p w14:paraId="0B329E5F" w14:textId="77777777" w:rsidR="00665D22" w:rsidRPr="004670A8" w:rsidRDefault="00665D22" w:rsidP="00570CCF">
            <w:pPr>
              <w:jc w:val="center"/>
            </w:pPr>
          </w:p>
        </w:tc>
        <w:tc>
          <w:tcPr>
            <w:tcW w:w="2180" w:type="dxa"/>
            <w:tcBorders>
              <w:top w:val="single" w:sz="4" w:space="0" w:color="auto"/>
              <w:bottom w:val="single" w:sz="4" w:space="0" w:color="auto"/>
            </w:tcBorders>
            <w:shd w:val="clear" w:color="auto" w:fill="auto"/>
            <w:noWrap/>
            <w:vAlign w:val="center"/>
            <w:hideMark/>
          </w:tcPr>
          <w:p w14:paraId="2FF24C40" w14:textId="77777777" w:rsidR="00665D22" w:rsidRPr="004670A8" w:rsidRDefault="00665D22" w:rsidP="00570CCF">
            <w:pPr>
              <w:jc w:val="center"/>
            </w:pPr>
          </w:p>
        </w:tc>
      </w:tr>
      <w:tr w:rsidR="00665D22" w:rsidRPr="003F70E9" w14:paraId="112CAC28" w14:textId="77777777" w:rsidTr="001223B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13BB" w14:textId="2B555293" w:rsidR="00665D22" w:rsidRPr="004670A8" w:rsidRDefault="00665D22" w:rsidP="00CB02A0">
            <w:pPr>
              <w:rPr>
                <w:color w:val="000000"/>
              </w:rPr>
            </w:pPr>
            <w:r w:rsidRPr="004670A8">
              <w:rPr>
                <w:color w:val="000000"/>
              </w:rPr>
              <w:t>I</w:t>
            </w:r>
            <w:r w:rsidR="00CB02A0" w:rsidRPr="004670A8">
              <w:rPr>
                <w:color w:val="000000"/>
              </w:rPr>
              <w:t xml:space="preserve">sland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D742" w14:textId="77777777" w:rsidR="00665D22" w:rsidRPr="004670A8" w:rsidRDefault="00665D22" w:rsidP="00570CCF">
            <w:pPr>
              <w:jc w:val="center"/>
              <w:rPr>
                <w:color w:val="000000"/>
              </w:rPr>
            </w:pPr>
            <w:r w:rsidRPr="004670A8">
              <w:rPr>
                <w:color w:val="000000"/>
              </w:rPr>
              <w:t>A2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CF39" w14:textId="77777777" w:rsidR="00665D22" w:rsidRPr="004670A8" w:rsidRDefault="00665D22" w:rsidP="00570CCF">
            <w:pPr>
              <w:jc w:val="center"/>
              <w:rPr>
                <w:color w:val="000000"/>
              </w:rPr>
            </w:pPr>
            <w:r w:rsidRPr="004670A8">
              <w:rPr>
                <w:color w:val="000000"/>
              </w:rPr>
              <w:t>4,14</w:t>
            </w:r>
          </w:p>
        </w:tc>
      </w:tr>
      <w:tr w:rsidR="00665D22" w:rsidRPr="003F70E9" w14:paraId="0CFCB679" w14:textId="77777777" w:rsidTr="001223BF">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523F7" w14:textId="43C655E4" w:rsidR="00665D22" w:rsidRPr="004670A8" w:rsidRDefault="00665D22" w:rsidP="00CB02A0">
            <w:pPr>
              <w:rPr>
                <w:color w:val="000000"/>
              </w:rPr>
            </w:pPr>
            <w:r w:rsidRPr="004670A8">
              <w:rPr>
                <w:color w:val="000000"/>
              </w:rPr>
              <w:t>Nor</w:t>
            </w:r>
            <w:r w:rsidR="00CB02A0" w:rsidRPr="004670A8">
              <w:rPr>
                <w:color w:val="000000"/>
              </w:rPr>
              <w:t>veška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A5BB" w14:textId="77777777" w:rsidR="00665D22" w:rsidRPr="004670A8" w:rsidRDefault="00665D22" w:rsidP="00570CCF">
            <w:pPr>
              <w:jc w:val="center"/>
              <w:rPr>
                <w:color w:val="000000"/>
              </w:rPr>
            </w:pPr>
            <w:r w:rsidRPr="004670A8">
              <w:rPr>
                <w:color w:val="000000"/>
              </w:rPr>
              <w:t>AAA</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B919" w14:textId="77777777" w:rsidR="00665D22" w:rsidRPr="004670A8" w:rsidRDefault="00665D22" w:rsidP="00570CCF">
            <w:pPr>
              <w:jc w:val="center"/>
              <w:rPr>
                <w:color w:val="000000"/>
              </w:rPr>
            </w:pPr>
            <w:r w:rsidRPr="004670A8">
              <w:rPr>
                <w:color w:val="000000"/>
              </w:rPr>
              <w:t>1,45</w:t>
            </w:r>
          </w:p>
        </w:tc>
      </w:tr>
    </w:tbl>
    <w:p w14:paraId="2FC6DC65" w14:textId="7210EA5A" w:rsidR="001747DE" w:rsidRDefault="001747DE" w:rsidP="00936EA3">
      <w:pPr>
        <w:rPr>
          <w:sz w:val="20"/>
          <w:szCs w:val="20"/>
        </w:rPr>
      </w:pPr>
    </w:p>
    <w:p w14:paraId="0DFB6880" w14:textId="77777777" w:rsidR="001747DE" w:rsidRDefault="001747DE">
      <w:pPr>
        <w:rPr>
          <w:sz w:val="20"/>
          <w:szCs w:val="20"/>
        </w:rPr>
      </w:pPr>
      <w:r>
        <w:rPr>
          <w:sz w:val="20"/>
          <w:szCs w:val="20"/>
        </w:rPr>
        <w:br w:type="page"/>
      </w:r>
    </w:p>
    <w:tbl>
      <w:tblPr>
        <w:tblStyle w:val="TableGrid"/>
        <w:tblpPr w:leftFromText="180" w:rightFromText="180" w:vertAnchor="page" w:horzAnchor="margin" w:tblpXSpec="center" w:tblpY="2359"/>
        <w:tblW w:w="0" w:type="auto"/>
        <w:tblLook w:val="04A0" w:firstRow="1" w:lastRow="0" w:firstColumn="1" w:lastColumn="0" w:noHBand="0" w:noVBand="1"/>
      </w:tblPr>
      <w:tblGrid>
        <w:gridCol w:w="2706"/>
        <w:gridCol w:w="1684"/>
        <w:gridCol w:w="1984"/>
      </w:tblGrid>
      <w:tr w:rsidR="001747DE" w:rsidRPr="001747DE" w14:paraId="24BA64D2" w14:textId="77777777" w:rsidTr="00D30D42">
        <w:trPr>
          <w:trHeight w:val="300"/>
        </w:trPr>
        <w:tc>
          <w:tcPr>
            <w:tcW w:w="2706" w:type="dxa"/>
            <w:noWrap/>
            <w:vAlign w:val="center"/>
            <w:hideMark/>
          </w:tcPr>
          <w:p w14:paraId="21615512" w14:textId="4A0FC783" w:rsidR="001747DE" w:rsidRPr="001747DE" w:rsidRDefault="001747DE" w:rsidP="00D30D42">
            <w:pPr>
              <w:rPr>
                <w:bCs/>
              </w:rPr>
            </w:pPr>
            <w:r w:rsidRPr="001747DE">
              <w:rPr>
                <w:color w:val="000000"/>
              </w:rPr>
              <w:lastRenderedPageBreak/>
              <w:t>Država</w:t>
            </w:r>
          </w:p>
        </w:tc>
        <w:tc>
          <w:tcPr>
            <w:tcW w:w="1684" w:type="dxa"/>
            <w:noWrap/>
            <w:vAlign w:val="center"/>
            <w:hideMark/>
          </w:tcPr>
          <w:p w14:paraId="2E095B06" w14:textId="3F8CD508" w:rsidR="001747DE" w:rsidRPr="001747DE" w:rsidRDefault="001747DE" w:rsidP="00D30D42">
            <w:pPr>
              <w:jc w:val="center"/>
              <w:rPr>
                <w:bCs/>
              </w:rPr>
            </w:pPr>
            <w:r w:rsidRPr="001747DE">
              <w:rPr>
                <w:bCs/>
              </w:rPr>
              <w:t>Geometrijska sredina %</w:t>
            </w:r>
          </w:p>
        </w:tc>
        <w:tc>
          <w:tcPr>
            <w:tcW w:w="1984" w:type="dxa"/>
            <w:noWrap/>
            <w:vAlign w:val="center"/>
            <w:hideMark/>
          </w:tcPr>
          <w:p w14:paraId="37F5B399" w14:textId="4C750E86" w:rsidR="001747DE" w:rsidRPr="001747DE" w:rsidRDefault="001747DE" w:rsidP="00D30D42">
            <w:pPr>
              <w:jc w:val="center"/>
              <w:rPr>
                <w:bCs/>
              </w:rPr>
            </w:pPr>
            <w:r w:rsidRPr="001747DE">
              <w:rPr>
                <w:bCs/>
              </w:rPr>
              <w:t>Aritmetička sredina %</w:t>
            </w:r>
          </w:p>
        </w:tc>
      </w:tr>
      <w:tr w:rsidR="001747DE" w:rsidRPr="001747DE" w14:paraId="4B1379F6" w14:textId="77777777" w:rsidTr="00D30D42">
        <w:trPr>
          <w:trHeight w:val="300"/>
        </w:trPr>
        <w:tc>
          <w:tcPr>
            <w:tcW w:w="2706" w:type="dxa"/>
            <w:noWrap/>
            <w:vAlign w:val="center"/>
            <w:hideMark/>
          </w:tcPr>
          <w:p w14:paraId="1DBA847D" w14:textId="19AACC65" w:rsidR="001747DE" w:rsidRPr="001747DE" w:rsidRDefault="00CB248D" w:rsidP="00D30D42">
            <w:r>
              <w:t>Austrija</w:t>
            </w:r>
          </w:p>
        </w:tc>
        <w:tc>
          <w:tcPr>
            <w:tcW w:w="1684" w:type="dxa"/>
            <w:vAlign w:val="center"/>
            <w:hideMark/>
          </w:tcPr>
          <w:p w14:paraId="17796BBB" w14:textId="77777777" w:rsidR="001747DE" w:rsidRPr="001747DE" w:rsidRDefault="001747DE" w:rsidP="00D30D42">
            <w:pPr>
              <w:jc w:val="center"/>
            </w:pPr>
            <w:r w:rsidRPr="001747DE">
              <w:t>3.2%</w:t>
            </w:r>
          </w:p>
        </w:tc>
        <w:tc>
          <w:tcPr>
            <w:tcW w:w="1984" w:type="dxa"/>
            <w:noWrap/>
            <w:vAlign w:val="center"/>
            <w:hideMark/>
          </w:tcPr>
          <w:p w14:paraId="2826A0E1" w14:textId="77777777" w:rsidR="001747DE" w:rsidRPr="001747DE" w:rsidRDefault="001747DE" w:rsidP="00D30D42">
            <w:pPr>
              <w:jc w:val="center"/>
            </w:pPr>
            <w:r w:rsidRPr="001747DE">
              <w:t>21.3%</w:t>
            </w:r>
          </w:p>
        </w:tc>
      </w:tr>
      <w:tr w:rsidR="001747DE" w:rsidRPr="001747DE" w14:paraId="42D2F803" w14:textId="77777777" w:rsidTr="00D30D42">
        <w:trPr>
          <w:trHeight w:val="300"/>
        </w:trPr>
        <w:tc>
          <w:tcPr>
            <w:tcW w:w="2706" w:type="dxa"/>
            <w:noWrap/>
            <w:vAlign w:val="center"/>
            <w:hideMark/>
          </w:tcPr>
          <w:p w14:paraId="453AA4B7" w14:textId="0B3C9B31" w:rsidR="001747DE" w:rsidRPr="001747DE" w:rsidRDefault="00CB248D" w:rsidP="00D30D42">
            <w:r>
              <w:t>Belgija</w:t>
            </w:r>
          </w:p>
        </w:tc>
        <w:tc>
          <w:tcPr>
            <w:tcW w:w="1684" w:type="dxa"/>
            <w:noWrap/>
            <w:vAlign w:val="center"/>
            <w:hideMark/>
          </w:tcPr>
          <w:p w14:paraId="75CDCBDB" w14:textId="77777777" w:rsidR="001747DE" w:rsidRPr="001747DE" w:rsidRDefault="001747DE" w:rsidP="00D30D42">
            <w:pPr>
              <w:jc w:val="center"/>
            </w:pPr>
            <w:r w:rsidRPr="001747DE">
              <w:t>2.2%</w:t>
            </w:r>
          </w:p>
        </w:tc>
        <w:tc>
          <w:tcPr>
            <w:tcW w:w="1984" w:type="dxa"/>
            <w:noWrap/>
            <w:vAlign w:val="center"/>
            <w:hideMark/>
          </w:tcPr>
          <w:p w14:paraId="7312866B" w14:textId="77777777" w:rsidR="001747DE" w:rsidRPr="001747DE" w:rsidRDefault="001747DE" w:rsidP="00D30D42">
            <w:pPr>
              <w:jc w:val="center"/>
            </w:pPr>
            <w:r w:rsidRPr="001747DE">
              <w:t>4.3%</w:t>
            </w:r>
          </w:p>
        </w:tc>
      </w:tr>
      <w:tr w:rsidR="001747DE" w:rsidRPr="001747DE" w14:paraId="6EAA0626" w14:textId="77777777" w:rsidTr="00D30D42">
        <w:trPr>
          <w:trHeight w:val="300"/>
        </w:trPr>
        <w:tc>
          <w:tcPr>
            <w:tcW w:w="2706" w:type="dxa"/>
            <w:noWrap/>
            <w:vAlign w:val="center"/>
            <w:hideMark/>
          </w:tcPr>
          <w:p w14:paraId="32817530" w14:textId="20BB6AD4" w:rsidR="001747DE" w:rsidRPr="001747DE" w:rsidRDefault="00CB248D" w:rsidP="00D30D42">
            <w:r>
              <w:t>Bugarska</w:t>
            </w:r>
          </w:p>
        </w:tc>
        <w:tc>
          <w:tcPr>
            <w:tcW w:w="1684" w:type="dxa"/>
            <w:noWrap/>
            <w:vAlign w:val="center"/>
            <w:hideMark/>
          </w:tcPr>
          <w:p w14:paraId="2B799412" w14:textId="77777777" w:rsidR="001747DE" w:rsidRPr="001747DE" w:rsidRDefault="001747DE" w:rsidP="00D30D42">
            <w:pPr>
              <w:jc w:val="center"/>
            </w:pPr>
            <w:r w:rsidRPr="001747DE">
              <w:t>8.65%</w:t>
            </w:r>
          </w:p>
        </w:tc>
        <w:tc>
          <w:tcPr>
            <w:tcW w:w="1984" w:type="dxa"/>
            <w:noWrap/>
            <w:vAlign w:val="center"/>
            <w:hideMark/>
          </w:tcPr>
          <w:p w14:paraId="72324403" w14:textId="77777777" w:rsidR="001747DE" w:rsidRPr="001747DE" w:rsidRDefault="001747DE" w:rsidP="00D30D42">
            <w:pPr>
              <w:jc w:val="center"/>
            </w:pPr>
            <w:r w:rsidRPr="001747DE">
              <w:t>9.30%</w:t>
            </w:r>
          </w:p>
        </w:tc>
      </w:tr>
      <w:tr w:rsidR="001747DE" w:rsidRPr="001747DE" w14:paraId="5FAA82F5" w14:textId="77777777" w:rsidTr="00D30D42">
        <w:trPr>
          <w:trHeight w:val="300"/>
        </w:trPr>
        <w:tc>
          <w:tcPr>
            <w:tcW w:w="2706" w:type="dxa"/>
            <w:noWrap/>
            <w:vAlign w:val="center"/>
            <w:hideMark/>
          </w:tcPr>
          <w:p w14:paraId="0BBAC3EA" w14:textId="3EFD51B7" w:rsidR="001747DE" w:rsidRPr="001747DE" w:rsidRDefault="00CB248D" w:rsidP="00D30D42">
            <w:pPr>
              <w:rPr>
                <w:bCs/>
              </w:rPr>
            </w:pPr>
            <w:r>
              <w:rPr>
                <w:bCs/>
              </w:rPr>
              <w:t>Hrvatska</w:t>
            </w:r>
          </w:p>
        </w:tc>
        <w:tc>
          <w:tcPr>
            <w:tcW w:w="1684" w:type="dxa"/>
            <w:noWrap/>
            <w:vAlign w:val="center"/>
            <w:hideMark/>
          </w:tcPr>
          <w:p w14:paraId="16FA8EE6" w14:textId="77777777" w:rsidR="001747DE" w:rsidRPr="001747DE" w:rsidRDefault="001747DE" w:rsidP="00D30D42">
            <w:pPr>
              <w:jc w:val="center"/>
              <w:rPr>
                <w:bCs/>
              </w:rPr>
            </w:pPr>
            <w:r w:rsidRPr="001747DE">
              <w:rPr>
                <w:bCs/>
              </w:rPr>
              <w:t>4.40%</w:t>
            </w:r>
          </w:p>
        </w:tc>
        <w:tc>
          <w:tcPr>
            <w:tcW w:w="1984" w:type="dxa"/>
            <w:noWrap/>
            <w:vAlign w:val="center"/>
            <w:hideMark/>
          </w:tcPr>
          <w:p w14:paraId="2548CB73" w14:textId="77777777" w:rsidR="001747DE" w:rsidRPr="001747DE" w:rsidRDefault="001747DE" w:rsidP="00D30D42">
            <w:pPr>
              <w:jc w:val="center"/>
              <w:rPr>
                <w:bCs/>
              </w:rPr>
            </w:pPr>
            <w:r w:rsidRPr="001747DE">
              <w:rPr>
                <w:bCs/>
              </w:rPr>
              <w:t>5.08%</w:t>
            </w:r>
          </w:p>
        </w:tc>
      </w:tr>
      <w:tr w:rsidR="001747DE" w:rsidRPr="001747DE" w14:paraId="69FC5F5F" w14:textId="77777777" w:rsidTr="00D30D42">
        <w:trPr>
          <w:trHeight w:val="300"/>
        </w:trPr>
        <w:tc>
          <w:tcPr>
            <w:tcW w:w="2706" w:type="dxa"/>
            <w:noWrap/>
            <w:vAlign w:val="center"/>
            <w:hideMark/>
          </w:tcPr>
          <w:p w14:paraId="2B6ECCF1" w14:textId="5BECE12B" w:rsidR="001747DE" w:rsidRPr="001747DE" w:rsidRDefault="00CB248D" w:rsidP="00D30D42">
            <w:r>
              <w:t>Cipar</w:t>
            </w:r>
          </w:p>
        </w:tc>
        <w:tc>
          <w:tcPr>
            <w:tcW w:w="1684" w:type="dxa"/>
            <w:noWrap/>
            <w:vAlign w:val="center"/>
            <w:hideMark/>
          </w:tcPr>
          <w:p w14:paraId="54B90E85" w14:textId="77777777" w:rsidR="001747DE" w:rsidRPr="001747DE" w:rsidRDefault="001747DE" w:rsidP="00D30D42">
            <w:pPr>
              <w:jc w:val="center"/>
            </w:pPr>
            <w:r w:rsidRPr="001747DE">
              <w:t>26.82%</w:t>
            </w:r>
          </w:p>
        </w:tc>
        <w:tc>
          <w:tcPr>
            <w:tcW w:w="1984" w:type="dxa"/>
            <w:noWrap/>
            <w:vAlign w:val="center"/>
            <w:hideMark/>
          </w:tcPr>
          <w:p w14:paraId="5A6EDD68" w14:textId="77777777" w:rsidR="001747DE" w:rsidRPr="001747DE" w:rsidRDefault="001747DE" w:rsidP="00D30D42">
            <w:pPr>
              <w:jc w:val="center"/>
            </w:pPr>
            <w:r w:rsidRPr="001747DE">
              <w:t>28.35%</w:t>
            </w:r>
          </w:p>
        </w:tc>
      </w:tr>
      <w:tr w:rsidR="001747DE" w:rsidRPr="001747DE" w14:paraId="08F9FD76" w14:textId="77777777" w:rsidTr="00D30D42">
        <w:trPr>
          <w:trHeight w:val="300"/>
        </w:trPr>
        <w:tc>
          <w:tcPr>
            <w:tcW w:w="2706" w:type="dxa"/>
            <w:noWrap/>
            <w:vAlign w:val="center"/>
            <w:hideMark/>
          </w:tcPr>
          <w:p w14:paraId="11E3B05B" w14:textId="02508C60" w:rsidR="001747DE" w:rsidRPr="001747DE" w:rsidRDefault="00CB248D" w:rsidP="00D30D42">
            <w:r>
              <w:t xml:space="preserve">Češka </w:t>
            </w:r>
          </w:p>
        </w:tc>
        <w:tc>
          <w:tcPr>
            <w:tcW w:w="1684" w:type="dxa"/>
            <w:noWrap/>
            <w:vAlign w:val="center"/>
            <w:hideMark/>
          </w:tcPr>
          <w:p w14:paraId="66F15BA9" w14:textId="77777777" w:rsidR="001747DE" w:rsidRPr="001747DE" w:rsidRDefault="001747DE" w:rsidP="00D30D42">
            <w:pPr>
              <w:jc w:val="center"/>
            </w:pPr>
            <w:r w:rsidRPr="001747DE">
              <w:t>3.61%</w:t>
            </w:r>
          </w:p>
        </w:tc>
        <w:tc>
          <w:tcPr>
            <w:tcW w:w="1984" w:type="dxa"/>
            <w:noWrap/>
            <w:vAlign w:val="center"/>
            <w:hideMark/>
          </w:tcPr>
          <w:p w14:paraId="545662F8" w14:textId="77777777" w:rsidR="001747DE" w:rsidRPr="001747DE" w:rsidRDefault="001747DE" w:rsidP="00D30D42">
            <w:pPr>
              <w:jc w:val="center"/>
            </w:pPr>
            <w:r w:rsidRPr="001747DE">
              <w:t>4.09%</w:t>
            </w:r>
          </w:p>
        </w:tc>
      </w:tr>
      <w:tr w:rsidR="001747DE" w:rsidRPr="001747DE" w14:paraId="3241DB93" w14:textId="77777777" w:rsidTr="00D30D42">
        <w:trPr>
          <w:trHeight w:val="300"/>
        </w:trPr>
        <w:tc>
          <w:tcPr>
            <w:tcW w:w="2706" w:type="dxa"/>
            <w:noWrap/>
            <w:vAlign w:val="center"/>
            <w:hideMark/>
          </w:tcPr>
          <w:p w14:paraId="797D4199" w14:textId="1490CCFC" w:rsidR="001747DE" w:rsidRPr="001747DE" w:rsidRDefault="00CB248D" w:rsidP="00D30D42">
            <w:r>
              <w:t>Danska</w:t>
            </w:r>
          </w:p>
        </w:tc>
        <w:tc>
          <w:tcPr>
            <w:tcW w:w="1684" w:type="dxa"/>
            <w:noWrap/>
            <w:vAlign w:val="center"/>
            <w:hideMark/>
          </w:tcPr>
          <w:p w14:paraId="554A9174" w14:textId="77777777" w:rsidR="001747DE" w:rsidRPr="001747DE" w:rsidRDefault="001747DE" w:rsidP="00D30D42">
            <w:pPr>
              <w:jc w:val="center"/>
            </w:pPr>
            <w:r w:rsidRPr="001747DE">
              <w:t>3.5%</w:t>
            </w:r>
          </w:p>
        </w:tc>
        <w:tc>
          <w:tcPr>
            <w:tcW w:w="1984" w:type="dxa"/>
            <w:noWrap/>
            <w:vAlign w:val="center"/>
            <w:hideMark/>
          </w:tcPr>
          <w:p w14:paraId="28BAE72F" w14:textId="77777777" w:rsidR="001747DE" w:rsidRPr="001747DE" w:rsidRDefault="001747DE" w:rsidP="00D30D42">
            <w:pPr>
              <w:jc w:val="center"/>
            </w:pPr>
            <w:r w:rsidRPr="001747DE">
              <w:t>5.2%</w:t>
            </w:r>
          </w:p>
        </w:tc>
      </w:tr>
      <w:tr w:rsidR="001747DE" w:rsidRPr="001747DE" w14:paraId="063288D8" w14:textId="77777777" w:rsidTr="00D30D42">
        <w:trPr>
          <w:trHeight w:val="300"/>
        </w:trPr>
        <w:tc>
          <w:tcPr>
            <w:tcW w:w="2706" w:type="dxa"/>
            <w:noWrap/>
            <w:vAlign w:val="center"/>
            <w:hideMark/>
          </w:tcPr>
          <w:p w14:paraId="23915BA3" w14:textId="3E35F25D" w:rsidR="001747DE" w:rsidRPr="001747DE" w:rsidRDefault="00CB248D" w:rsidP="00D30D42">
            <w:r>
              <w:t>Estonija</w:t>
            </w:r>
          </w:p>
        </w:tc>
        <w:tc>
          <w:tcPr>
            <w:tcW w:w="1684" w:type="dxa"/>
            <w:noWrap/>
            <w:vAlign w:val="center"/>
            <w:hideMark/>
          </w:tcPr>
          <w:p w14:paraId="1A754FC3" w14:textId="77777777" w:rsidR="001747DE" w:rsidRPr="001747DE" w:rsidRDefault="001747DE" w:rsidP="00D30D42">
            <w:pPr>
              <w:jc w:val="center"/>
            </w:pPr>
            <w:r w:rsidRPr="001747DE">
              <w:t>16.85%</w:t>
            </w:r>
          </w:p>
        </w:tc>
        <w:tc>
          <w:tcPr>
            <w:tcW w:w="1984" w:type="dxa"/>
            <w:noWrap/>
            <w:vAlign w:val="center"/>
            <w:hideMark/>
          </w:tcPr>
          <w:p w14:paraId="2181B3A0" w14:textId="77777777" w:rsidR="001747DE" w:rsidRPr="001747DE" w:rsidRDefault="001747DE" w:rsidP="00D30D42">
            <w:pPr>
              <w:jc w:val="center"/>
            </w:pPr>
            <w:r w:rsidRPr="001747DE">
              <w:t>16.85%</w:t>
            </w:r>
          </w:p>
        </w:tc>
      </w:tr>
      <w:tr w:rsidR="001747DE" w:rsidRPr="001747DE" w14:paraId="30D44C36" w14:textId="77777777" w:rsidTr="00D30D42">
        <w:trPr>
          <w:trHeight w:val="300"/>
        </w:trPr>
        <w:tc>
          <w:tcPr>
            <w:tcW w:w="2706" w:type="dxa"/>
            <w:noWrap/>
            <w:vAlign w:val="center"/>
            <w:hideMark/>
          </w:tcPr>
          <w:p w14:paraId="5BB88721" w14:textId="27EE9079" w:rsidR="001747DE" w:rsidRPr="001747DE" w:rsidRDefault="00CB248D" w:rsidP="00D30D42">
            <w:r>
              <w:t>Finska</w:t>
            </w:r>
          </w:p>
        </w:tc>
        <w:tc>
          <w:tcPr>
            <w:tcW w:w="1684" w:type="dxa"/>
            <w:noWrap/>
            <w:vAlign w:val="center"/>
            <w:hideMark/>
          </w:tcPr>
          <w:p w14:paraId="5124F3D3" w14:textId="77777777" w:rsidR="001747DE" w:rsidRPr="001747DE" w:rsidRDefault="001747DE" w:rsidP="00D30D42">
            <w:pPr>
              <w:jc w:val="center"/>
            </w:pPr>
            <w:r w:rsidRPr="001747DE">
              <w:t>5.4%</w:t>
            </w:r>
          </w:p>
        </w:tc>
        <w:tc>
          <w:tcPr>
            <w:tcW w:w="1984" w:type="dxa"/>
            <w:noWrap/>
            <w:vAlign w:val="center"/>
            <w:hideMark/>
          </w:tcPr>
          <w:p w14:paraId="11AAC2A4" w14:textId="77777777" w:rsidR="001747DE" w:rsidRPr="001747DE" w:rsidRDefault="001747DE" w:rsidP="00D30D42">
            <w:pPr>
              <w:jc w:val="center"/>
            </w:pPr>
            <w:r w:rsidRPr="001747DE">
              <w:t>9.0%</w:t>
            </w:r>
          </w:p>
        </w:tc>
      </w:tr>
      <w:tr w:rsidR="001747DE" w:rsidRPr="001747DE" w14:paraId="3B9C2383" w14:textId="77777777" w:rsidTr="00D30D42">
        <w:trPr>
          <w:trHeight w:val="300"/>
        </w:trPr>
        <w:tc>
          <w:tcPr>
            <w:tcW w:w="2706" w:type="dxa"/>
            <w:noWrap/>
            <w:vAlign w:val="center"/>
            <w:hideMark/>
          </w:tcPr>
          <w:p w14:paraId="5B7C9193" w14:textId="73DE615F" w:rsidR="001747DE" w:rsidRPr="001747DE" w:rsidRDefault="00CB248D" w:rsidP="00D30D42">
            <w:r>
              <w:t>Francuska</w:t>
            </w:r>
          </w:p>
        </w:tc>
        <w:tc>
          <w:tcPr>
            <w:tcW w:w="1684" w:type="dxa"/>
            <w:noWrap/>
            <w:vAlign w:val="center"/>
            <w:hideMark/>
          </w:tcPr>
          <w:p w14:paraId="54E9AC10" w14:textId="77777777" w:rsidR="001747DE" w:rsidRPr="001747DE" w:rsidRDefault="001747DE" w:rsidP="00D30D42">
            <w:pPr>
              <w:jc w:val="center"/>
            </w:pPr>
            <w:r w:rsidRPr="001747DE">
              <w:t>3.2%</w:t>
            </w:r>
          </w:p>
        </w:tc>
        <w:tc>
          <w:tcPr>
            <w:tcW w:w="1984" w:type="dxa"/>
            <w:noWrap/>
            <w:vAlign w:val="center"/>
            <w:hideMark/>
          </w:tcPr>
          <w:p w14:paraId="237ABEBA" w14:textId="77777777" w:rsidR="001747DE" w:rsidRPr="001747DE" w:rsidRDefault="001747DE" w:rsidP="00D30D42">
            <w:pPr>
              <w:jc w:val="center"/>
            </w:pPr>
            <w:r w:rsidRPr="001747DE">
              <w:t>5.4%</w:t>
            </w:r>
          </w:p>
        </w:tc>
      </w:tr>
      <w:tr w:rsidR="001747DE" w:rsidRPr="001747DE" w14:paraId="3AEFACD3" w14:textId="77777777" w:rsidTr="00D30D42">
        <w:trPr>
          <w:trHeight w:val="300"/>
        </w:trPr>
        <w:tc>
          <w:tcPr>
            <w:tcW w:w="2706" w:type="dxa"/>
            <w:noWrap/>
            <w:vAlign w:val="center"/>
            <w:hideMark/>
          </w:tcPr>
          <w:p w14:paraId="700B362C" w14:textId="050F7486" w:rsidR="001747DE" w:rsidRPr="001747DE" w:rsidRDefault="00CB248D" w:rsidP="00D30D42">
            <w:r>
              <w:t>Njemačka</w:t>
            </w:r>
          </w:p>
        </w:tc>
        <w:tc>
          <w:tcPr>
            <w:tcW w:w="1684" w:type="dxa"/>
            <w:noWrap/>
            <w:vAlign w:val="center"/>
            <w:hideMark/>
          </w:tcPr>
          <w:p w14:paraId="792A312A" w14:textId="77777777" w:rsidR="001747DE" w:rsidRPr="001747DE" w:rsidRDefault="001747DE" w:rsidP="00D30D42">
            <w:pPr>
              <w:jc w:val="center"/>
            </w:pPr>
            <w:r w:rsidRPr="001747DE">
              <w:t>4.8%</w:t>
            </w:r>
          </w:p>
        </w:tc>
        <w:tc>
          <w:tcPr>
            <w:tcW w:w="1984" w:type="dxa"/>
            <w:noWrap/>
            <w:vAlign w:val="center"/>
            <w:hideMark/>
          </w:tcPr>
          <w:p w14:paraId="62AD09C6" w14:textId="77777777" w:rsidR="001747DE" w:rsidRPr="001747DE" w:rsidRDefault="001747DE" w:rsidP="00D30D42">
            <w:pPr>
              <w:jc w:val="center"/>
            </w:pPr>
            <w:r w:rsidRPr="001747DE">
              <w:t>8.2%</w:t>
            </w:r>
          </w:p>
        </w:tc>
      </w:tr>
      <w:tr w:rsidR="001747DE" w:rsidRPr="001747DE" w14:paraId="00C3F451" w14:textId="77777777" w:rsidTr="00D30D42">
        <w:trPr>
          <w:trHeight w:val="300"/>
        </w:trPr>
        <w:tc>
          <w:tcPr>
            <w:tcW w:w="2706" w:type="dxa"/>
            <w:noWrap/>
            <w:vAlign w:val="center"/>
            <w:hideMark/>
          </w:tcPr>
          <w:p w14:paraId="17C5E80E" w14:textId="6CA75C7A" w:rsidR="001747DE" w:rsidRPr="001747DE" w:rsidRDefault="001747DE" w:rsidP="00D30D42">
            <w:pPr>
              <w:rPr>
                <w:u w:val="single"/>
              </w:rPr>
            </w:pPr>
            <w:r w:rsidRPr="001747DE">
              <w:t>Gr</w:t>
            </w:r>
            <w:r w:rsidR="00CB248D">
              <w:t>čka</w:t>
            </w:r>
            <w:r w:rsidRPr="001747DE">
              <w:rPr>
                <w:rStyle w:val="FootnoteReference"/>
              </w:rPr>
              <w:footnoteReference w:id="6"/>
            </w:r>
          </w:p>
        </w:tc>
        <w:tc>
          <w:tcPr>
            <w:tcW w:w="1684" w:type="dxa"/>
            <w:noWrap/>
            <w:vAlign w:val="center"/>
            <w:hideMark/>
          </w:tcPr>
          <w:p w14:paraId="1E642CEA" w14:textId="77777777" w:rsidR="001747DE" w:rsidRPr="001747DE" w:rsidRDefault="001747DE" w:rsidP="00D30D42">
            <w:pPr>
              <w:jc w:val="center"/>
            </w:pPr>
            <w:r w:rsidRPr="001747DE">
              <w:t>-10.7%</w:t>
            </w:r>
          </w:p>
        </w:tc>
        <w:tc>
          <w:tcPr>
            <w:tcW w:w="1984" w:type="dxa"/>
            <w:noWrap/>
            <w:vAlign w:val="center"/>
            <w:hideMark/>
          </w:tcPr>
          <w:p w14:paraId="041BDFF5" w14:textId="77777777" w:rsidR="001747DE" w:rsidRPr="001747DE" w:rsidRDefault="001747DE" w:rsidP="00D30D42">
            <w:pPr>
              <w:jc w:val="center"/>
            </w:pPr>
            <w:r w:rsidRPr="001747DE">
              <w:t>-4.8%</w:t>
            </w:r>
          </w:p>
        </w:tc>
      </w:tr>
      <w:tr w:rsidR="001747DE" w:rsidRPr="001747DE" w14:paraId="44F9EC34" w14:textId="77777777" w:rsidTr="00D30D42">
        <w:trPr>
          <w:trHeight w:val="300"/>
        </w:trPr>
        <w:tc>
          <w:tcPr>
            <w:tcW w:w="2706" w:type="dxa"/>
            <w:noWrap/>
            <w:vAlign w:val="center"/>
            <w:hideMark/>
          </w:tcPr>
          <w:p w14:paraId="7880732E" w14:textId="19A16B89" w:rsidR="001747DE" w:rsidRPr="001747DE" w:rsidRDefault="00CB248D" w:rsidP="00D30D42">
            <w:r>
              <w:t>Mađarska</w:t>
            </w:r>
          </w:p>
        </w:tc>
        <w:tc>
          <w:tcPr>
            <w:tcW w:w="1684" w:type="dxa"/>
            <w:noWrap/>
            <w:vAlign w:val="center"/>
            <w:hideMark/>
          </w:tcPr>
          <w:p w14:paraId="72CFAEE9" w14:textId="77777777" w:rsidR="001747DE" w:rsidRPr="001747DE" w:rsidRDefault="001747DE" w:rsidP="00D30D42">
            <w:pPr>
              <w:jc w:val="center"/>
            </w:pPr>
            <w:r w:rsidRPr="001747DE">
              <w:t>4.58%</w:t>
            </w:r>
          </w:p>
        </w:tc>
        <w:tc>
          <w:tcPr>
            <w:tcW w:w="1984" w:type="dxa"/>
            <w:noWrap/>
            <w:vAlign w:val="center"/>
            <w:hideMark/>
          </w:tcPr>
          <w:p w14:paraId="2476081F" w14:textId="77777777" w:rsidR="001747DE" w:rsidRPr="001747DE" w:rsidRDefault="001747DE" w:rsidP="00D30D42">
            <w:pPr>
              <w:jc w:val="center"/>
            </w:pPr>
            <w:r w:rsidRPr="001747DE">
              <w:t>5.62%</w:t>
            </w:r>
          </w:p>
        </w:tc>
      </w:tr>
      <w:tr w:rsidR="001747DE" w:rsidRPr="001747DE" w14:paraId="3223ADBD" w14:textId="77777777" w:rsidTr="00D30D42">
        <w:trPr>
          <w:trHeight w:val="300"/>
        </w:trPr>
        <w:tc>
          <w:tcPr>
            <w:tcW w:w="2706" w:type="dxa"/>
            <w:noWrap/>
            <w:vAlign w:val="center"/>
            <w:hideMark/>
          </w:tcPr>
          <w:p w14:paraId="42E76ED1" w14:textId="09838813" w:rsidR="001747DE" w:rsidRPr="001747DE" w:rsidRDefault="00CB248D" w:rsidP="00D30D42">
            <w:r>
              <w:t>Irska</w:t>
            </w:r>
          </w:p>
        </w:tc>
        <w:tc>
          <w:tcPr>
            <w:tcW w:w="1684" w:type="dxa"/>
            <w:noWrap/>
            <w:vAlign w:val="center"/>
            <w:hideMark/>
          </w:tcPr>
          <w:p w14:paraId="43931F4B" w14:textId="77777777" w:rsidR="001747DE" w:rsidRPr="001747DE" w:rsidRDefault="001747DE" w:rsidP="00D30D42">
            <w:pPr>
              <w:jc w:val="center"/>
            </w:pPr>
            <w:r w:rsidRPr="001747DE">
              <w:t>2.7%</w:t>
            </w:r>
          </w:p>
        </w:tc>
        <w:tc>
          <w:tcPr>
            <w:tcW w:w="1984" w:type="dxa"/>
            <w:noWrap/>
            <w:vAlign w:val="center"/>
            <w:hideMark/>
          </w:tcPr>
          <w:p w14:paraId="7E245224" w14:textId="77777777" w:rsidR="001747DE" w:rsidRPr="001747DE" w:rsidRDefault="001747DE" w:rsidP="00D30D42">
            <w:pPr>
              <w:jc w:val="center"/>
            </w:pPr>
            <w:r w:rsidRPr="001747DE">
              <w:t>4.7%</w:t>
            </w:r>
          </w:p>
        </w:tc>
      </w:tr>
      <w:tr w:rsidR="001747DE" w:rsidRPr="001747DE" w14:paraId="673AC15C" w14:textId="77777777" w:rsidTr="00D30D42">
        <w:trPr>
          <w:trHeight w:val="300"/>
        </w:trPr>
        <w:tc>
          <w:tcPr>
            <w:tcW w:w="2706" w:type="dxa"/>
            <w:noWrap/>
            <w:vAlign w:val="center"/>
            <w:hideMark/>
          </w:tcPr>
          <w:p w14:paraId="1DCCF88A" w14:textId="4A6ABC95" w:rsidR="001747DE" w:rsidRPr="001747DE" w:rsidRDefault="001747DE" w:rsidP="00D30D42">
            <w:r w:rsidRPr="001747DE">
              <w:t>Ital</w:t>
            </w:r>
            <w:r w:rsidR="00CB248D">
              <w:t>ija</w:t>
            </w:r>
          </w:p>
        </w:tc>
        <w:tc>
          <w:tcPr>
            <w:tcW w:w="1684" w:type="dxa"/>
            <w:noWrap/>
            <w:vAlign w:val="center"/>
            <w:hideMark/>
          </w:tcPr>
          <w:p w14:paraId="5B67878B" w14:textId="77777777" w:rsidR="001747DE" w:rsidRPr="001747DE" w:rsidRDefault="001747DE" w:rsidP="00D30D42">
            <w:pPr>
              <w:jc w:val="center"/>
            </w:pPr>
            <w:r w:rsidRPr="001747DE">
              <w:t>3.0%</w:t>
            </w:r>
          </w:p>
        </w:tc>
        <w:tc>
          <w:tcPr>
            <w:tcW w:w="1984" w:type="dxa"/>
            <w:noWrap/>
            <w:vAlign w:val="center"/>
            <w:hideMark/>
          </w:tcPr>
          <w:p w14:paraId="2DC7CF4A" w14:textId="77777777" w:rsidR="001747DE" w:rsidRPr="001747DE" w:rsidRDefault="001747DE" w:rsidP="00D30D42">
            <w:pPr>
              <w:jc w:val="center"/>
            </w:pPr>
            <w:r w:rsidRPr="001747DE">
              <w:t>6.3%</w:t>
            </w:r>
          </w:p>
        </w:tc>
      </w:tr>
      <w:tr w:rsidR="001747DE" w:rsidRPr="001747DE" w14:paraId="1774D5EF" w14:textId="77777777" w:rsidTr="00D30D42">
        <w:trPr>
          <w:trHeight w:val="300"/>
        </w:trPr>
        <w:tc>
          <w:tcPr>
            <w:tcW w:w="2706" w:type="dxa"/>
            <w:noWrap/>
            <w:vAlign w:val="center"/>
            <w:hideMark/>
          </w:tcPr>
          <w:p w14:paraId="5418D5B1" w14:textId="7BD17C10" w:rsidR="001747DE" w:rsidRPr="001747DE" w:rsidRDefault="001747DE" w:rsidP="00D30D42">
            <w:r w:rsidRPr="001747DE">
              <w:t>Latvi</w:t>
            </w:r>
            <w:r w:rsidR="00CB248D">
              <w:t>j</w:t>
            </w:r>
            <w:r w:rsidRPr="001747DE">
              <w:t>a</w:t>
            </w:r>
          </w:p>
        </w:tc>
        <w:tc>
          <w:tcPr>
            <w:tcW w:w="1684" w:type="dxa"/>
            <w:noWrap/>
            <w:vAlign w:val="center"/>
            <w:hideMark/>
          </w:tcPr>
          <w:p w14:paraId="57CAB706" w14:textId="77777777" w:rsidR="001747DE" w:rsidRPr="001747DE" w:rsidRDefault="001747DE" w:rsidP="00D30D42">
            <w:pPr>
              <w:jc w:val="center"/>
            </w:pPr>
            <w:r w:rsidRPr="001747DE">
              <w:t>9.10%</w:t>
            </w:r>
          </w:p>
        </w:tc>
        <w:tc>
          <w:tcPr>
            <w:tcW w:w="1984" w:type="dxa"/>
            <w:noWrap/>
            <w:vAlign w:val="center"/>
            <w:hideMark/>
          </w:tcPr>
          <w:p w14:paraId="16DC4536" w14:textId="77777777" w:rsidR="001747DE" w:rsidRPr="001747DE" w:rsidRDefault="001747DE" w:rsidP="00D30D42">
            <w:pPr>
              <w:jc w:val="center"/>
            </w:pPr>
            <w:r w:rsidRPr="001747DE">
              <w:t>9.87%</w:t>
            </w:r>
          </w:p>
        </w:tc>
      </w:tr>
      <w:tr w:rsidR="001747DE" w:rsidRPr="001747DE" w14:paraId="4E51D740" w14:textId="77777777" w:rsidTr="00D30D42">
        <w:trPr>
          <w:trHeight w:val="300"/>
        </w:trPr>
        <w:tc>
          <w:tcPr>
            <w:tcW w:w="2706" w:type="dxa"/>
            <w:noWrap/>
            <w:vAlign w:val="center"/>
            <w:hideMark/>
          </w:tcPr>
          <w:p w14:paraId="783FE645" w14:textId="0F8C904E" w:rsidR="001747DE" w:rsidRPr="001747DE" w:rsidRDefault="001747DE" w:rsidP="00D30D42">
            <w:proofErr w:type="spellStart"/>
            <w:r w:rsidRPr="001747DE">
              <w:t>Lit</w:t>
            </w:r>
            <w:r w:rsidR="00CB248D">
              <w:t>vanija</w:t>
            </w:r>
            <w:proofErr w:type="spellEnd"/>
          </w:p>
        </w:tc>
        <w:tc>
          <w:tcPr>
            <w:tcW w:w="1684" w:type="dxa"/>
            <w:noWrap/>
            <w:vAlign w:val="center"/>
            <w:hideMark/>
          </w:tcPr>
          <w:p w14:paraId="4671EAF7" w14:textId="77777777" w:rsidR="001747DE" w:rsidRPr="001747DE" w:rsidRDefault="001747DE" w:rsidP="00D30D42">
            <w:pPr>
              <w:jc w:val="center"/>
            </w:pPr>
            <w:r w:rsidRPr="001747DE">
              <w:t>4.74%</w:t>
            </w:r>
          </w:p>
        </w:tc>
        <w:tc>
          <w:tcPr>
            <w:tcW w:w="1984" w:type="dxa"/>
            <w:noWrap/>
            <w:vAlign w:val="center"/>
            <w:hideMark/>
          </w:tcPr>
          <w:p w14:paraId="1B4FCFFD" w14:textId="77777777" w:rsidR="001747DE" w:rsidRPr="001747DE" w:rsidRDefault="001747DE" w:rsidP="00D30D42">
            <w:pPr>
              <w:jc w:val="center"/>
            </w:pPr>
            <w:r w:rsidRPr="001747DE">
              <w:t>5.46%</w:t>
            </w:r>
          </w:p>
        </w:tc>
      </w:tr>
      <w:tr w:rsidR="001747DE" w:rsidRPr="001747DE" w14:paraId="6BBF1260" w14:textId="77777777" w:rsidTr="00D30D42">
        <w:trPr>
          <w:trHeight w:val="300"/>
        </w:trPr>
        <w:tc>
          <w:tcPr>
            <w:tcW w:w="2706" w:type="dxa"/>
            <w:noWrap/>
            <w:vAlign w:val="center"/>
            <w:hideMark/>
          </w:tcPr>
          <w:p w14:paraId="34BB7F47" w14:textId="7127D95C" w:rsidR="001747DE" w:rsidRPr="001747DE" w:rsidRDefault="001747DE" w:rsidP="00D30D42">
            <w:r w:rsidRPr="001747DE">
              <w:t>Lu</w:t>
            </w:r>
            <w:r w:rsidR="00CB248D">
              <w:t>ksemburg</w:t>
            </w:r>
          </w:p>
        </w:tc>
        <w:tc>
          <w:tcPr>
            <w:tcW w:w="1684" w:type="dxa"/>
            <w:noWrap/>
            <w:vAlign w:val="center"/>
            <w:hideMark/>
          </w:tcPr>
          <w:p w14:paraId="180E9625" w14:textId="77777777" w:rsidR="001747DE" w:rsidRPr="001747DE" w:rsidRDefault="001747DE" w:rsidP="00D30D42">
            <w:pPr>
              <w:jc w:val="center"/>
            </w:pPr>
            <w:r w:rsidRPr="001747DE">
              <w:t>4.48%</w:t>
            </w:r>
          </w:p>
        </w:tc>
        <w:tc>
          <w:tcPr>
            <w:tcW w:w="1984" w:type="dxa"/>
            <w:noWrap/>
            <w:vAlign w:val="center"/>
            <w:hideMark/>
          </w:tcPr>
          <w:p w14:paraId="02A2CAA2" w14:textId="77777777" w:rsidR="001747DE" w:rsidRPr="001747DE" w:rsidRDefault="001747DE" w:rsidP="00D30D42">
            <w:pPr>
              <w:jc w:val="center"/>
            </w:pPr>
            <w:r w:rsidRPr="001747DE">
              <w:t>4.78%</w:t>
            </w:r>
          </w:p>
        </w:tc>
      </w:tr>
      <w:tr w:rsidR="001747DE" w:rsidRPr="001747DE" w14:paraId="630BFE9D" w14:textId="77777777" w:rsidTr="00D30D42">
        <w:trPr>
          <w:gridAfter w:val="2"/>
          <w:wAfter w:w="3668" w:type="dxa"/>
          <w:trHeight w:val="300"/>
        </w:trPr>
        <w:tc>
          <w:tcPr>
            <w:tcW w:w="2706" w:type="dxa"/>
            <w:noWrap/>
            <w:vAlign w:val="center"/>
            <w:hideMark/>
          </w:tcPr>
          <w:p w14:paraId="1C30F04D" w14:textId="13E46389" w:rsidR="001747DE" w:rsidRPr="001747DE" w:rsidRDefault="001747DE" w:rsidP="00D30D42">
            <w:r w:rsidRPr="001747DE">
              <w:t>Malta</w:t>
            </w:r>
            <w:r w:rsidR="002830BF">
              <w:rPr>
                <w:rStyle w:val="FootnoteReference"/>
              </w:rPr>
              <w:footnoteReference w:id="7"/>
            </w:r>
            <w:r w:rsidRPr="001747DE">
              <w:t xml:space="preserve"> </w:t>
            </w:r>
          </w:p>
        </w:tc>
      </w:tr>
      <w:tr w:rsidR="001747DE" w:rsidRPr="001747DE" w14:paraId="12E8580D" w14:textId="77777777" w:rsidTr="00D30D42">
        <w:trPr>
          <w:trHeight w:val="300"/>
        </w:trPr>
        <w:tc>
          <w:tcPr>
            <w:tcW w:w="2706" w:type="dxa"/>
            <w:noWrap/>
            <w:vAlign w:val="center"/>
            <w:hideMark/>
          </w:tcPr>
          <w:p w14:paraId="5E33C97D" w14:textId="0E347400" w:rsidR="001747DE" w:rsidRPr="001747DE" w:rsidRDefault="001747DE" w:rsidP="00D30D42">
            <w:r w:rsidRPr="001747DE">
              <w:t>N</w:t>
            </w:r>
            <w:r w:rsidR="00CB248D">
              <w:t>izozemska</w:t>
            </w:r>
          </w:p>
        </w:tc>
        <w:tc>
          <w:tcPr>
            <w:tcW w:w="1684" w:type="dxa"/>
            <w:noWrap/>
            <w:vAlign w:val="center"/>
            <w:hideMark/>
          </w:tcPr>
          <w:p w14:paraId="03C5B54D" w14:textId="77777777" w:rsidR="001747DE" w:rsidRPr="001747DE" w:rsidRDefault="001747DE" w:rsidP="00D30D42">
            <w:pPr>
              <w:jc w:val="center"/>
            </w:pPr>
            <w:r w:rsidRPr="001747DE">
              <w:t>3.4%</w:t>
            </w:r>
          </w:p>
        </w:tc>
        <w:tc>
          <w:tcPr>
            <w:tcW w:w="1984" w:type="dxa"/>
            <w:noWrap/>
            <w:vAlign w:val="center"/>
            <w:hideMark/>
          </w:tcPr>
          <w:p w14:paraId="52C90C3C" w14:textId="77777777" w:rsidR="001747DE" w:rsidRPr="001747DE" w:rsidRDefault="001747DE" w:rsidP="00D30D42">
            <w:pPr>
              <w:jc w:val="center"/>
            </w:pPr>
            <w:r w:rsidRPr="001747DE">
              <w:t>5.7%</w:t>
            </w:r>
          </w:p>
        </w:tc>
      </w:tr>
      <w:tr w:rsidR="001747DE" w:rsidRPr="001747DE" w14:paraId="30FD3D95" w14:textId="77777777" w:rsidTr="00D30D42">
        <w:trPr>
          <w:trHeight w:val="300"/>
        </w:trPr>
        <w:tc>
          <w:tcPr>
            <w:tcW w:w="2706" w:type="dxa"/>
            <w:noWrap/>
            <w:vAlign w:val="center"/>
            <w:hideMark/>
          </w:tcPr>
          <w:p w14:paraId="7686B127" w14:textId="1DBFD0E2" w:rsidR="001747DE" w:rsidRPr="001747DE" w:rsidRDefault="001747DE" w:rsidP="00D30D42">
            <w:r w:rsidRPr="001747DE">
              <w:t>Pol</w:t>
            </w:r>
            <w:r w:rsidR="00CB248D">
              <w:t>jska</w:t>
            </w:r>
          </w:p>
        </w:tc>
        <w:tc>
          <w:tcPr>
            <w:tcW w:w="1684" w:type="dxa"/>
            <w:noWrap/>
            <w:vAlign w:val="center"/>
            <w:hideMark/>
          </w:tcPr>
          <w:p w14:paraId="28471B7B" w14:textId="77777777" w:rsidR="001747DE" w:rsidRPr="001747DE" w:rsidRDefault="001747DE" w:rsidP="00D30D42">
            <w:pPr>
              <w:jc w:val="center"/>
            </w:pPr>
            <w:r w:rsidRPr="001747DE">
              <w:t>2.4%</w:t>
            </w:r>
          </w:p>
        </w:tc>
        <w:tc>
          <w:tcPr>
            <w:tcW w:w="1984" w:type="dxa"/>
            <w:noWrap/>
            <w:vAlign w:val="center"/>
            <w:hideMark/>
          </w:tcPr>
          <w:p w14:paraId="4AF61054" w14:textId="77777777" w:rsidR="001747DE" w:rsidRPr="001747DE" w:rsidRDefault="001747DE" w:rsidP="00D30D42">
            <w:pPr>
              <w:jc w:val="center"/>
            </w:pPr>
            <w:r w:rsidRPr="001747DE">
              <w:t>3.2%</w:t>
            </w:r>
          </w:p>
        </w:tc>
      </w:tr>
      <w:tr w:rsidR="001747DE" w:rsidRPr="001747DE" w14:paraId="72C806AB" w14:textId="77777777" w:rsidTr="00D30D42">
        <w:trPr>
          <w:trHeight w:val="300"/>
        </w:trPr>
        <w:tc>
          <w:tcPr>
            <w:tcW w:w="2706" w:type="dxa"/>
            <w:noWrap/>
            <w:vAlign w:val="center"/>
            <w:hideMark/>
          </w:tcPr>
          <w:p w14:paraId="7E304DC0" w14:textId="77777777" w:rsidR="001747DE" w:rsidRPr="001747DE" w:rsidRDefault="001747DE" w:rsidP="00D30D42">
            <w:r w:rsidRPr="001747DE">
              <w:t>Portugal</w:t>
            </w:r>
          </w:p>
        </w:tc>
        <w:tc>
          <w:tcPr>
            <w:tcW w:w="1684" w:type="dxa"/>
            <w:noWrap/>
            <w:vAlign w:val="center"/>
            <w:hideMark/>
          </w:tcPr>
          <w:p w14:paraId="1E23A9AD" w14:textId="77777777" w:rsidR="001747DE" w:rsidRPr="001747DE" w:rsidRDefault="001747DE" w:rsidP="00D30D42">
            <w:pPr>
              <w:jc w:val="center"/>
            </w:pPr>
            <w:r w:rsidRPr="001747DE">
              <w:t>5.1%</w:t>
            </w:r>
          </w:p>
        </w:tc>
        <w:tc>
          <w:tcPr>
            <w:tcW w:w="1984" w:type="dxa"/>
            <w:noWrap/>
            <w:vAlign w:val="center"/>
            <w:hideMark/>
          </w:tcPr>
          <w:p w14:paraId="59310D1D" w14:textId="77777777" w:rsidR="001747DE" w:rsidRPr="001747DE" w:rsidRDefault="001747DE" w:rsidP="00D30D42">
            <w:pPr>
              <w:jc w:val="center"/>
            </w:pPr>
            <w:r w:rsidRPr="001747DE">
              <w:t>9.2%</w:t>
            </w:r>
          </w:p>
        </w:tc>
      </w:tr>
      <w:tr w:rsidR="001747DE" w:rsidRPr="001747DE" w14:paraId="2CC1C3FB" w14:textId="77777777" w:rsidTr="00D30D42">
        <w:trPr>
          <w:trHeight w:val="300"/>
        </w:trPr>
        <w:tc>
          <w:tcPr>
            <w:tcW w:w="2706" w:type="dxa"/>
            <w:noWrap/>
            <w:vAlign w:val="center"/>
            <w:hideMark/>
          </w:tcPr>
          <w:p w14:paraId="7EB4C34E" w14:textId="4B82D092" w:rsidR="001747DE" w:rsidRPr="001747DE" w:rsidRDefault="001747DE" w:rsidP="00D30D42">
            <w:r w:rsidRPr="001747DE">
              <w:t>R</w:t>
            </w:r>
            <w:r w:rsidR="00CB248D">
              <w:t>umunjska</w:t>
            </w:r>
          </w:p>
        </w:tc>
        <w:tc>
          <w:tcPr>
            <w:tcW w:w="1684" w:type="dxa"/>
            <w:noWrap/>
            <w:vAlign w:val="center"/>
            <w:hideMark/>
          </w:tcPr>
          <w:p w14:paraId="77B58AD5" w14:textId="77777777" w:rsidR="001747DE" w:rsidRPr="001747DE" w:rsidRDefault="001747DE" w:rsidP="00D30D42">
            <w:pPr>
              <w:jc w:val="center"/>
            </w:pPr>
            <w:r w:rsidRPr="001747DE">
              <w:t>11.46%</w:t>
            </w:r>
          </w:p>
        </w:tc>
        <w:tc>
          <w:tcPr>
            <w:tcW w:w="1984" w:type="dxa"/>
            <w:noWrap/>
            <w:vAlign w:val="center"/>
            <w:hideMark/>
          </w:tcPr>
          <w:p w14:paraId="0A9C0531" w14:textId="77777777" w:rsidR="001747DE" w:rsidRPr="001747DE" w:rsidRDefault="001747DE" w:rsidP="00D30D42">
            <w:pPr>
              <w:jc w:val="center"/>
            </w:pPr>
            <w:r w:rsidRPr="001747DE">
              <w:t>14.00%</w:t>
            </w:r>
          </w:p>
        </w:tc>
      </w:tr>
      <w:tr w:rsidR="001747DE" w:rsidRPr="001747DE" w14:paraId="2CA75E66" w14:textId="77777777" w:rsidTr="00D30D42">
        <w:trPr>
          <w:trHeight w:val="300"/>
        </w:trPr>
        <w:tc>
          <w:tcPr>
            <w:tcW w:w="2706" w:type="dxa"/>
            <w:noWrap/>
            <w:vAlign w:val="center"/>
            <w:hideMark/>
          </w:tcPr>
          <w:p w14:paraId="20883AB2" w14:textId="2C2EC598" w:rsidR="001747DE" w:rsidRPr="001747DE" w:rsidRDefault="001747DE" w:rsidP="00D30D42">
            <w:r w:rsidRPr="001747DE">
              <w:t>Slova</w:t>
            </w:r>
            <w:r w:rsidR="00CB248D">
              <w:t>č</w:t>
            </w:r>
            <w:r w:rsidRPr="001747DE">
              <w:t>ka</w:t>
            </w:r>
          </w:p>
        </w:tc>
        <w:tc>
          <w:tcPr>
            <w:tcW w:w="1684" w:type="dxa"/>
            <w:noWrap/>
            <w:vAlign w:val="center"/>
            <w:hideMark/>
          </w:tcPr>
          <w:p w14:paraId="25406F38" w14:textId="77777777" w:rsidR="001747DE" w:rsidRPr="001747DE" w:rsidRDefault="001747DE" w:rsidP="00D30D42">
            <w:pPr>
              <w:jc w:val="center"/>
            </w:pPr>
            <w:r w:rsidRPr="001747DE">
              <w:t>3.33%</w:t>
            </w:r>
          </w:p>
        </w:tc>
        <w:tc>
          <w:tcPr>
            <w:tcW w:w="1984" w:type="dxa"/>
            <w:noWrap/>
            <w:vAlign w:val="center"/>
            <w:hideMark/>
          </w:tcPr>
          <w:p w14:paraId="33F785CB" w14:textId="77777777" w:rsidR="001747DE" w:rsidRPr="001747DE" w:rsidRDefault="001747DE" w:rsidP="00D30D42">
            <w:pPr>
              <w:jc w:val="center"/>
            </w:pPr>
            <w:r w:rsidRPr="001747DE">
              <w:t>3.69%</w:t>
            </w:r>
          </w:p>
        </w:tc>
      </w:tr>
      <w:tr w:rsidR="001747DE" w:rsidRPr="001747DE" w14:paraId="103DEAF4" w14:textId="77777777" w:rsidTr="00D30D42">
        <w:trPr>
          <w:trHeight w:val="300"/>
        </w:trPr>
        <w:tc>
          <w:tcPr>
            <w:tcW w:w="2706" w:type="dxa"/>
            <w:noWrap/>
            <w:vAlign w:val="center"/>
            <w:hideMark/>
          </w:tcPr>
          <w:p w14:paraId="2BDD2AB3" w14:textId="195F11B1" w:rsidR="001747DE" w:rsidRPr="001747DE" w:rsidRDefault="001747DE" w:rsidP="00D30D42">
            <w:r w:rsidRPr="001747DE">
              <w:t>Sloveni</w:t>
            </w:r>
            <w:r w:rsidR="00CB248D">
              <w:t>j</w:t>
            </w:r>
            <w:r w:rsidRPr="001747DE">
              <w:t>a</w:t>
            </w:r>
          </w:p>
        </w:tc>
        <w:tc>
          <w:tcPr>
            <w:tcW w:w="1684" w:type="dxa"/>
            <w:noWrap/>
            <w:vAlign w:val="center"/>
            <w:hideMark/>
          </w:tcPr>
          <w:p w14:paraId="5EBBDEFB" w14:textId="77777777" w:rsidR="001747DE" w:rsidRPr="001747DE" w:rsidRDefault="001747DE" w:rsidP="00D30D42">
            <w:pPr>
              <w:jc w:val="center"/>
            </w:pPr>
            <w:r w:rsidRPr="001747DE">
              <w:t>5.04%</w:t>
            </w:r>
          </w:p>
        </w:tc>
        <w:tc>
          <w:tcPr>
            <w:tcW w:w="1984" w:type="dxa"/>
            <w:noWrap/>
            <w:vAlign w:val="center"/>
            <w:hideMark/>
          </w:tcPr>
          <w:p w14:paraId="686627BC" w14:textId="77777777" w:rsidR="001747DE" w:rsidRPr="001747DE" w:rsidRDefault="001747DE" w:rsidP="00D30D42">
            <w:pPr>
              <w:jc w:val="center"/>
            </w:pPr>
            <w:r w:rsidRPr="001747DE">
              <w:t>5.58%</w:t>
            </w:r>
          </w:p>
        </w:tc>
      </w:tr>
      <w:tr w:rsidR="001747DE" w:rsidRPr="001747DE" w14:paraId="540700E7" w14:textId="77777777" w:rsidTr="00D30D42">
        <w:trPr>
          <w:trHeight w:val="300"/>
        </w:trPr>
        <w:tc>
          <w:tcPr>
            <w:tcW w:w="2706" w:type="dxa"/>
            <w:noWrap/>
            <w:vAlign w:val="center"/>
            <w:hideMark/>
          </w:tcPr>
          <w:p w14:paraId="326B49B7" w14:textId="77777777" w:rsidR="001747DE" w:rsidRPr="001747DE" w:rsidRDefault="001747DE" w:rsidP="00D30D42">
            <w:r w:rsidRPr="001747DE">
              <w:t>Spain</w:t>
            </w:r>
          </w:p>
        </w:tc>
        <w:tc>
          <w:tcPr>
            <w:tcW w:w="1684" w:type="dxa"/>
            <w:noWrap/>
            <w:vAlign w:val="center"/>
            <w:hideMark/>
          </w:tcPr>
          <w:p w14:paraId="58F7B85D" w14:textId="77777777" w:rsidR="001747DE" w:rsidRPr="001747DE" w:rsidRDefault="001747DE" w:rsidP="00D30D42">
            <w:pPr>
              <w:jc w:val="center"/>
            </w:pPr>
            <w:r w:rsidRPr="001747DE">
              <w:t>1.6%</w:t>
            </w:r>
          </w:p>
        </w:tc>
        <w:tc>
          <w:tcPr>
            <w:tcW w:w="1984" w:type="dxa"/>
            <w:noWrap/>
            <w:vAlign w:val="center"/>
            <w:hideMark/>
          </w:tcPr>
          <w:p w14:paraId="32689B2E" w14:textId="77777777" w:rsidR="001747DE" w:rsidRPr="001747DE" w:rsidRDefault="001747DE" w:rsidP="00D30D42">
            <w:pPr>
              <w:jc w:val="center"/>
            </w:pPr>
            <w:r w:rsidRPr="001747DE">
              <w:t>3.5%</w:t>
            </w:r>
          </w:p>
        </w:tc>
      </w:tr>
      <w:tr w:rsidR="001747DE" w:rsidRPr="001747DE" w14:paraId="05C28F84" w14:textId="77777777" w:rsidTr="00D30D42">
        <w:trPr>
          <w:trHeight w:val="300"/>
        </w:trPr>
        <w:tc>
          <w:tcPr>
            <w:tcW w:w="2706" w:type="dxa"/>
            <w:noWrap/>
            <w:vAlign w:val="center"/>
            <w:hideMark/>
          </w:tcPr>
          <w:p w14:paraId="2BBA725D" w14:textId="16E63CE3" w:rsidR="001747DE" w:rsidRPr="001747DE" w:rsidRDefault="00CB248D" w:rsidP="00D30D42">
            <w:r>
              <w:t>Švedska</w:t>
            </w:r>
          </w:p>
        </w:tc>
        <w:tc>
          <w:tcPr>
            <w:tcW w:w="1684" w:type="dxa"/>
            <w:noWrap/>
            <w:vAlign w:val="center"/>
            <w:hideMark/>
          </w:tcPr>
          <w:p w14:paraId="2AC22876" w14:textId="77777777" w:rsidR="001747DE" w:rsidRPr="001747DE" w:rsidRDefault="001747DE" w:rsidP="00D30D42">
            <w:pPr>
              <w:jc w:val="center"/>
            </w:pPr>
            <w:r w:rsidRPr="001747DE">
              <w:t>3.5%</w:t>
            </w:r>
          </w:p>
        </w:tc>
        <w:tc>
          <w:tcPr>
            <w:tcW w:w="1984" w:type="dxa"/>
            <w:noWrap/>
            <w:vAlign w:val="center"/>
            <w:hideMark/>
          </w:tcPr>
          <w:p w14:paraId="75970610" w14:textId="77777777" w:rsidR="001747DE" w:rsidRPr="001747DE" w:rsidRDefault="001747DE" w:rsidP="00D30D42">
            <w:pPr>
              <w:jc w:val="center"/>
            </w:pPr>
            <w:r w:rsidRPr="001747DE">
              <w:t>5.7%</w:t>
            </w:r>
          </w:p>
        </w:tc>
      </w:tr>
      <w:tr w:rsidR="001747DE" w:rsidRPr="001747DE" w14:paraId="524A7C2C" w14:textId="77777777" w:rsidTr="00D30D42">
        <w:trPr>
          <w:trHeight w:val="300"/>
        </w:trPr>
        <w:tc>
          <w:tcPr>
            <w:tcW w:w="2706" w:type="dxa"/>
            <w:noWrap/>
            <w:vAlign w:val="center"/>
            <w:hideMark/>
          </w:tcPr>
          <w:p w14:paraId="14087A58" w14:textId="77777777" w:rsidR="001747DE" w:rsidRPr="001747DE" w:rsidRDefault="001747DE" w:rsidP="00D30D42">
            <w:pPr>
              <w:rPr>
                <w:b/>
                <w:bCs/>
              </w:rPr>
            </w:pPr>
            <w:r w:rsidRPr="001747DE">
              <w:rPr>
                <w:b/>
                <w:bCs/>
              </w:rPr>
              <w:t xml:space="preserve">EU-ERP </w:t>
            </w:r>
          </w:p>
        </w:tc>
        <w:tc>
          <w:tcPr>
            <w:tcW w:w="1684" w:type="dxa"/>
            <w:noWrap/>
            <w:vAlign w:val="center"/>
            <w:hideMark/>
          </w:tcPr>
          <w:p w14:paraId="244A4F12" w14:textId="77777777" w:rsidR="001747DE" w:rsidRPr="001747DE" w:rsidRDefault="001747DE" w:rsidP="00D30D42">
            <w:pPr>
              <w:jc w:val="center"/>
              <w:rPr>
                <w:b/>
                <w:bCs/>
              </w:rPr>
            </w:pPr>
            <w:r w:rsidRPr="001747DE">
              <w:rPr>
                <w:b/>
                <w:bCs/>
              </w:rPr>
              <w:t>4.37%</w:t>
            </w:r>
          </w:p>
        </w:tc>
        <w:tc>
          <w:tcPr>
            <w:tcW w:w="1984" w:type="dxa"/>
            <w:noWrap/>
            <w:vAlign w:val="center"/>
            <w:hideMark/>
          </w:tcPr>
          <w:p w14:paraId="51C83BDB" w14:textId="77777777" w:rsidR="001747DE" w:rsidRPr="001747DE" w:rsidRDefault="001747DE" w:rsidP="00D30D42">
            <w:pPr>
              <w:jc w:val="center"/>
              <w:rPr>
                <w:b/>
                <w:bCs/>
              </w:rPr>
            </w:pPr>
            <w:r w:rsidRPr="001747DE">
              <w:rPr>
                <w:b/>
                <w:bCs/>
              </w:rPr>
              <w:t>5,70%</w:t>
            </w:r>
          </w:p>
        </w:tc>
      </w:tr>
      <w:tr w:rsidR="001747DE" w:rsidRPr="001747DE" w14:paraId="4B6964A3" w14:textId="77777777" w:rsidTr="00D30D42">
        <w:trPr>
          <w:trHeight w:val="300"/>
        </w:trPr>
        <w:tc>
          <w:tcPr>
            <w:tcW w:w="2706" w:type="dxa"/>
            <w:noWrap/>
            <w:vAlign w:val="center"/>
            <w:hideMark/>
          </w:tcPr>
          <w:p w14:paraId="0C719535" w14:textId="44DE2930" w:rsidR="001747DE" w:rsidRPr="001747DE" w:rsidRDefault="001747DE" w:rsidP="00D30D42">
            <w:r w:rsidRPr="001747DE">
              <w:t>Nor</w:t>
            </w:r>
            <w:r w:rsidR="00CB248D">
              <w:t>veška</w:t>
            </w:r>
          </w:p>
        </w:tc>
        <w:tc>
          <w:tcPr>
            <w:tcW w:w="1684" w:type="dxa"/>
            <w:noWrap/>
            <w:vAlign w:val="center"/>
            <w:hideMark/>
          </w:tcPr>
          <w:p w14:paraId="7C75C188" w14:textId="77777777" w:rsidR="001747DE" w:rsidRPr="001747DE" w:rsidRDefault="001747DE" w:rsidP="00D30D42">
            <w:pPr>
              <w:jc w:val="center"/>
            </w:pPr>
            <w:r w:rsidRPr="001747DE">
              <w:t>2.7%</w:t>
            </w:r>
          </w:p>
        </w:tc>
        <w:tc>
          <w:tcPr>
            <w:tcW w:w="1984" w:type="dxa"/>
            <w:noWrap/>
            <w:vAlign w:val="center"/>
            <w:hideMark/>
          </w:tcPr>
          <w:p w14:paraId="4C8E6FD9" w14:textId="77777777" w:rsidR="001747DE" w:rsidRPr="001747DE" w:rsidRDefault="001747DE" w:rsidP="00D30D42">
            <w:pPr>
              <w:jc w:val="center"/>
            </w:pPr>
            <w:r w:rsidRPr="001747DE">
              <w:t>5.5%</w:t>
            </w:r>
          </w:p>
        </w:tc>
      </w:tr>
      <w:tr w:rsidR="001747DE" w:rsidRPr="001747DE" w14:paraId="17CC22AA" w14:textId="77777777" w:rsidTr="00D30D42">
        <w:trPr>
          <w:trHeight w:val="300"/>
        </w:trPr>
        <w:tc>
          <w:tcPr>
            <w:tcW w:w="2706" w:type="dxa"/>
            <w:noWrap/>
            <w:vAlign w:val="center"/>
            <w:hideMark/>
          </w:tcPr>
          <w:p w14:paraId="2546B07C" w14:textId="186360C8" w:rsidR="001747DE" w:rsidRPr="001747DE" w:rsidRDefault="001747DE" w:rsidP="00D30D42">
            <w:r w:rsidRPr="001747DE">
              <w:t>I</w:t>
            </w:r>
            <w:r w:rsidR="00CB248D">
              <w:t>sland</w:t>
            </w:r>
          </w:p>
        </w:tc>
        <w:tc>
          <w:tcPr>
            <w:tcW w:w="1684" w:type="dxa"/>
            <w:noWrap/>
            <w:vAlign w:val="center"/>
            <w:hideMark/>
          </w:tcPr>
          <w:p w14:paraId="23ED54C6" w14:textId="77777777" w:rsidR="001747DE" w:rsidRPr="001747DE" w:rsidRDefault="001747DE" w:rsidP="00D30D42">
            <w:pPr>
              <w:jc w:val="center"/>
            </w:pPr>
            <w:r w:rsidRPr="001747DE">
              <w:t>0.55%</w:t>
            </w:r>
          </w:p>
        </w:tc>
        <w:tc>
          <w:tcPr>
            <w:tcW w:w="1984" w:type="dxa"/>
            <w:noWrap/>
            <w:vAlign w:val="center"/>
            <w:hideMark/>
          </w:tcPr>
          <w:p w14:paraId="62D9ED98" w14:textId="77777777" w:rsidR="001747DE" w:rsidRPr="001747DE" w:rsidRDefault="001747DE" w:rsidP="00D30D42">
            <w:pPr>
              <w:jc w:val="center"/>
            </w:pPr>
            <w:r w:rsidRPr="001747DE">
              <w:t>1.27%</w:t>
            </w:r>
          </w:p>
        </w:tc>
      </w:tr>
      <w:tr w:rsidR="001747DE" w:rsidRPr="001747DE" w14:paraId="6F50CA7A" w14:textId="77777777" w:rsidTr="00D30D42">
        <w:trPr>
          <w:trHeight w:val="300"/>
        </w:trPr>
        <w:tc>
          <w:tcPr>
            <w:tcW w:w="2706" w:type="dxa"/>
            <w:noWrap/>
            <w:vAlign w:val="center"/>
            <w:hideMark/>
          </w:tcPr>
          <w:p w14:paraId="0D5A8836" w14:textId="77777777" w:rsidR="001747DE" w:rsidRPr="001747DE" w:rsidRDefault="001747DE" w:rsidP="00D30D42">
            <w:pPr>
              <w:rPr>
                <w:b/>
                <w:bCs/>
              </w:rPr>
            </w:pPr>
            <w:r w:rsidRPr="001747DE">
              <w:rPr>
                <w:b/>
                <w:bCs/>
              </w:rPr>
              <w:t xml:space="preserve">EU/EEA-ERP </w:t>
            </w:r>
          </w:p>
        </w:tc>
        <w:tc>
          <w:tcPr>
            <w:tcW w:w="1684" w:type="dxa"/>
            <w:noWrap/>
            <w:vAlign w:val="center"/>
            <w:hideMark/>
          </w:tcPr>
          <w:p w14:paraId="652838C9" w14:textId="77777777" w:rsidR="001747DE" w:rsidRPr="001747DE" w:rsidRDefault="001747DE" w:rsidP="00D30D42">
            <w:pPr>
              <w:jc w:val="center"/>
              <w:rPr>
                <w:b/>
                <w:bCs/>
              </w:rPr>
            </w:pPr>
            <w:r w:rsidRPr="001747DE">
              <w:rPr>
                <w:b/>
                <w:bCs/>
              </w:rPr>
              <w:t>4.37%</w:t>
            </w:r>
          </w:p>
        </w:tc>
        <w:tc>
          <w:tcPr>
            <w:tcW w:w="1984" w:type="dxa"/>
            <w:noWrap/>
            <w:vAlign w:val="center"/>
            <w:hideMark/>
          </w:tcPr>
          <w:p w14:paraId="53176790" w14:textId="77777777" w:rsidR="001747DE" w:rsidRPr="001747DE" w:rsidRDefault="001747DE" w:rsidP="00D30D42">
            <w:pPr>
              <w:jc w:val="center"/>
              <w:rPr>
                <w:b/>
                <w:bCs/>
              </w:rPr>
            </w:pPr>
            <w:r w:rsidRPr="001747DE">
              <w:rPr>
                <w:b/>
                <w:bCs/>
              </w:rPr>
              <w:t>5.69%</w:t>
            </w:r>
          </w:p>
        </w:tc>
      </w:tr>
    </w:tbl>
    <w:p w14:paraId="41E27E3A" w14:textId="4AC69740" w:rsidR="001747DE" w:rsidRDefault="001747DE" w:rsidP="001747DE">
      <w:pPr>
        <w:jc w:val="center"/>
        <w:rPr>
          <w:color w:val="000000"/>
          <w:sz w:val="22"/>
          <w:szCs w:val="22"/>
        </w:rPr>
      </w:pPr>
      <w:r w:rsidRPr="0052427D">
        <w:rPr>
          <w:b/>
        </w:rPr>
        <w:t xml:space="preserve">Privitak </w:t>
      </w:r>
      <w:r w:rsidR="00D30D42">
        <w:rPr>
          <w:b/>
        </w:rPr>
        <w:t>4</w:t>
      </w:r>
      <w:r w:rsidRPr="0052427D">
        <w:t xml:space="preserve"> - </w:t>
      </w:r>
      <w:r w:rsidRPr="00A031D0">
        <w:rPr>
          <w:color w:val="000000"/>
          <w:sz w:val="22"/>
          <w:szCs w:val="22"/>
        </w:rPr>
        <w:t>Premija rizika</w:t>
      </w:r>
      <w:r>
        <w:rPr>
          <w:color w:val="000000"/>
          <w:sz w:val="22"/>
          <w:szCs w:val="22"/>
        </w:rPr>
        <w:t xml:space="preserve"> po državama</w:t>
      </w:r>
      <w:r w:rsidRPr="00A031D0">
        <w:rPr>
          <w:color w:val="000000"/>
          <w:sz w:val="22"/>
          <w:szCs w:val="22"/>
        </w:rPr>
        <w:t xml:space="preserve"> (ERP</w:t>
      </w:r>
      <w:r>
        <w:rPr>
          <w:color w:val="000000"/>
          <w:sz w:val="22"/>
          <w:szCs w:val="22"/>
        </w:rPr>
        <w:t>)</w:t>
      </w:r>
    </w:p>
    <w:p w14:paraId="0EAF3BF0" w14:textId="77777777" w:rsidR="00D30D42" w:rsidRDefault="00D30D42">
      <w:pPr>
        <w:rPr>
          <w:b/>
        </w:rPr>
      </w:pPr>
      <w:r>
        <w:rPr>
          <w:b/>
        </w:rPr>
        <w:br w:type="page"/>
      </w:r>
    </w:p>
    <w:p w14:paraId="22EDC678" w14:textId="0265991A" w:rsidR="00665D22" w:rsidRDefault="00F4712A" w:rsidP="00DF51A1">
      <w:pPr>
        <w:jc w:val="center"/>
      </w:pPr>
      <w:r w:rsidRPr="00DF51A1">
        <w:rPr>
          <w:b/>
        </w:rPr>
        <w:lastRenderedPageBreak/>
        <w:t xml:space="preserve">Privitak </w:t>
      </w:r>
      <w:r w:rsidR="00D30D42">
        <w:rPr>
          <w:b/>
        </w:rPr>
        <w:t>5</w:t>
      </w:r>
      <w:r w:rsidR="00DF51A1">
        <w:rPr>
          <w:b/>
        </w:rPr>
        <w:t xml:space="preserve"> – </w:t>
      </w:r>
      <w:r w:rsidR="00DF51A1" w:rsidRPr="00DF51A1">
        <w:t>Popis zemalja koje koriste NGN premiju</w:t>
      </w:r>
    </w:p>
    <w:p w14:paraId="4E09ACCE" w14:textId="77777777" w:rsidR="00D30D42" w:rsidRPr="00DF51A1" w:rsidRDefault="00D30D42" w:rsidP="00DF51A1">
      <w:pPr>
        <w:jc w:val="center"/>
        <w:rPr>
          <w:b/>
        </w:rPr>
      </w:pPr>
    </w:p>
    <w:p w14:paraId="16E3A05F" w14:textId="77777777" w:rsidR="00F4712A" w:rsidRDefault="00F4712A" w:rsidP="001747DE">
      <w:pPr>
        <w:rPr>
          <w:sz w:val="20"/>
          <w:szCs w:val="20"/>
        </w:rPr>
      </w:pPr>
    </w:p>
    <w:tbl>
      <w:tblPr>
        <w:tblW w:w="4100" w:type="dxa"/>
        <w:jc w:val="center"/>
        <w:tblLook w:val="04A0" w:firstRow="1" w:lastRow="0" w:firstColumn="1" w:lastColumn="0" w:noHBand="0" w:noVBand="1"/>
      </w:tblPr>
      <w:tblGrid>
        <w:gridCol w:w="1780"/>
        <w:gridCol w:w="2320"/>
      </w:tblGrid>
      <w:tr w:rsidR="00D30D42" w14:paraId="173BF22B" w14:textId="77777777" w:rsidTr="00D30D42">
        <w:trPr>
          <w:trHeight w:val="399"/>
          <w:jc w:val="center"/>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17B6D2" w14:textId="77777777" w:rsidR="00D30D42" w:rsidRDefault="00D30D42">
            <w:pPr>
              <w:jc w:val="both"/>
              <w:rPr>
                <w:color w:val="000000"/>
              </w:rPr>
            </w:pPr>
            <w:r>
              <w:rPr>
                <w:color w:val="000000"/>
              </w:rPr>
              <w:t>Država</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70CD8388" w14:textId="77777777" w:rsidR="00D30D42" w:rsidRDefault="00D30D42">
            <w:pPr>
              <w:jc w:val="center"/>
              <w:rPr>
                <w:color w:val="000000"/>
              </w:rPr>
            </w:pPr>
            <w:r>
              <w:rPr>
                <w:color w:val="000000"/>
              </w:rPr>
              <w:t>Premija za NGN mrežu</w:t>
            </w:r>
          </w:p>
        </w:tc>
      </w:tr>
      <w:tr w:rsidR="00D30D42" w14:paraId="2FCA6F1A"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1C6158A" w14:textId="77777777" w:rsidR="00D30D42" w:rsidRDefault="00D30D42">
            <w:pPr>
              <w:jc w:val="both"/>
              <w:rPr>
                <w:color w:val="000000"/>
              </w:rPr>
            </w:pPr>
            <w:r>
              <w:rPr>
                <w:color w:val="000000"/>
              </w:rPr>
              <w:t>Belgija</w:t>
            </w:r>
          </w:p>
        </w:tc>
        <w:tc>
          <w:tcPr>
            <w:tcW w:w="2320" w:type="dxa"/>
            <w:tcBorders>
              <w:top w:val="nil"/>
              <w:left w:val="nil"/>
              <w:bottom w:val="single" w:sz="8" w:space="0" w:color="auto"/>
              <w:right w:val="single" w:sz="8" w:space="0" w:color="auto"/>
            </w:tcBorders>
            <w:shd w:val="clear" w:color="auto" w:fill="auto"/>
            <w:vAlign w:val="center"/>
            <w:hideMark/>
          </w:tcPr>
          <w:p w14:paraId="573538A1" w14:textId="77777777" w:rsidR="00D30D42" w:rsidRDefault="00D30D42">
            <w:pPr>
              <w:jc w:val="center"/>
              <w:rPr>
                <w:color w:val="000000"/>
              </w:rPr>
            </w:pPr>
            <w:r>
              <w:rPr>
                <w:color w:val="000000"/>
              </w:rPr>
              <w:t>1,59%</w:t>
            </w:r>
          </w:p>
        </w:tc>
      </w:tr>
      <w:tr w:rsidR="00D30D42" w14:paraId="1326C51B"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4150088" w14:textId="77777777" w:rsidR="00D30D42" w:rsidRDefault="00D30D42">
            <w:pPr>
              <w:jc w:val="both"/>
              <w:rPr>
                <w:color w:val="000000"/>
              </w:rPr>
            </w:pPr>
            <w:r>
              <w:rPr>
                <w:color w:val="000000"/>
              </w:rPr>
              <w:t>Češka</w:t>
            </w:r>
          </w:p>
        </w:tc>
        <w:tc>
          <w:tcPr>
            <w:tcW w:w="2320" w:type="dxa"/>
            <w:tcBorders>
              <w:top w:val="nil"/>
              <w:left w:val="nil"/>
              <w:bottom w:val="single" w:sz="8" w:space="0" w:color="auto"/>
              <w:right w:val="single" w:sz="8" w:space="0" w:color="auto"/>
            </w:tcBorders>
            <w:shd w:val="clear" w:color="auto" w:fill="auto"/>
            <w:vAlign w:val="center"/>
            <w:hideMark/>
          </w:tcPr>
          <w:p w14:paraId="34C20AD8" w14:textId="77777777" w:rsidR="00D30D42" w:rsidRDefault="00D30D42">
            <w:pPr>
              <w:jc w:val="center"/>
              <w:rPr>
                <w:color w:val="000000"/>
              </w:rPr>
            </w:pPr>
            <w:r>
              <w:rPr>
                <w:color w:val="000000"/>
              </w:rPr>
              <w:t>0,93%</w:t>
            </w:r>
          </w:p>
        </w:tc>
      </w:tr>
      <w:tr w:rsidR="00D30D42" w14:paraId="0E3D8DC3"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1645EF8" w14:textId="77777777" w:rsidR="00D30D42" w:rsidRDefault="00D30D42">
            <w:pPr>
              <w:jc w:val="both"/>
              <w:rPr>
                <w:color w:val="000000"/>
              </w:rPr>
            </w:pPr>
            <w:r>
              <w:rPr>
                <w:color w:val="000000"/>
              </w:rPr>
              <w:t>Italija</w:t>
            </w:r>
          </w:p>
        </w:tc>
        <w:tc>
          <w:tcPr>
            <w:tcW w:w="2320" w:type="dxa"/>
            <w:tcBorders>
              <w:top w:val="nil"/>
              <w:left w:val="nil"/>
              <w:bottom w:val="single" w:sz="8" w:space="0" w:color="auto"/>
              <w:right w:val="single" w:sz="8" w:space="0" w:color="auto"/>
            </w:tcBorders>
            <w:shd w:val="clear" w:color="auto" w:fill="auto"/>
            <w:vAlign w:val="center"/>
            <w:hideMark/>
          </w:tcPr>
          <w:p w14:paraId="129C38D9" w14:textId="77777777" w:rsidR="00D30D42" w:rsidRDefault="00D30D42">
            <w:pPr>
              <w:jc w:val="center"/>
              <w:rPr>
                <w:color w:val="000000"/>
              </w:rPr>
            </w:pPr>
            <w:r>
              <w:rPr>
                <w:color w:val="000000"/>
              </w:rPr>
              <w:t>3,20%</w:t>
            </w:r>
          </w:p>
        </w:tc>
      </w:tr>
      <w:tr w:rsidR="00D30D42" w14:paraId="6B191E3F"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A743CC4" w14:textId="77777777" w:rsidR="00D30D42" w:rsidRDefault="00D30D42">
            <w:pPr>
              <w:jc w:val="both"/>
              <w:rPr>
                <w:color w:val="000000"/>
              </w:rPr>
            </w:pPr>
            <w:r>
              <w:rPr>
                <w:color w:val="000000"/>
              </w:rPr>
              <w:t>Danska</w:t>
            </w:r>
          </w:p>
        </w:tc>
        <w:tc>
          <w:tcPr>
            <w:tcW w:w="2320" w:type="dxa"/>
            <w:tcBorders>
              <w:top w:val="nil"/>
              <w:left w:val="nil"/>
              <w:bottom w:val="single" w:sz="8" w:space="0" w:color="auto"/>
              <w:right w:val="single" w:sz="8" w:space="0" w:color="auto"/>
            </w:tcBorders>
            <w:shd w:val="clear" w:color="auto" w:fill="auto"/>
            <w:vAlign w:val="center"/>
            <w:hideMark/>
          </w:tcPr>
          <w:p w14:paraId="084C1D9F" w14:textId="77777777" w:rsidR="00D30D42" w:rsidRDefault="00D30D42">
            <w:pPr>
              <w:jc w:val="center"/>
              <w:rPr>
                <w:color w:val="000000"/>
              </w:rPr>
            </w:pPr>
            <w:r>
              <w:rPr>
                <w:color w:val="000000"/>
              </w:rPr>
              <w:t>2,00%</w:t>
            </w:r>
          </w:p>
        </w:tc>
      </w:tr>
      <w:tr w:rsidR="00D30D42" w14:paraId="2962AA95"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DAA4DA6" w14:textId="77777777" w:rsidR="00D30D42" w:rsidRDefault="00D30D42">
            <w:pPr>
              <w:jc w:val="both"/>
              <w:rPr>
                <w:color w:val="000000"/>
              </w:rPr>
            </w:pPr>
            <w:r>
              <w:rPr>
                <w:color w:val="000000"/>
              </w:rPr>
              <w:t>Nizozemska</w:t>
            </w:r>
          </w:p>
        </w:tc>
        <w:tc>
          <w:tcPr>
            <w:tcW w:w="2320" w:type="dxa"/>
            <w:tcBorders>
              <w:top w:val="nil"/>
              <w:left w:val="nil"/>
              <w:bottom w:val="single" w:sz="8" w:space="0" w:color="auto"/>
              <w:right w:val="single" w:sz="8" w:space="0" w:color="auto"/>
            </w:tcBorders>
            <w:shd w:val="clear" w:color="auto" w:fill="auto"/>
            <w:vAlign w:val="center"/>
            <w:hideMark/>
          </w:tcPr>
          <w:p w14:paraId="4971AF66" w14:textId="77777777" w:rsidR="00D30D42" w:rsidRDefault="00D30D42">
            <w:pPr>
              <w:jc w:val="center"/>
              <w:rPr>
                <w:color w:val="000000"/>
              </w:rPr>
            </w:pPr>
            <w:r>
              <w:rPr>
                <w:color w:val="000000"/>
              </w:rPr>
              <w:t>0,82%</w:t>
            </w:r>
          </w:p>
        </w:tc>
      </w:tr>
      <w:tr w:rsidR="00D30D42" w14:paraId="78F16274"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936D764" w14:textId="77777777" w:rsidR="00D30D42" w:rsidRDefault="00D30D42">
            <w:pPr>
              <w:jc w:val="both"/>
              <w:rPr>
                <w:color w:val="000000"/>
              </w:rPr>
            </w:pPr>
            <w:r>
              <w:rPr>
                <w:color w:val="000000"/>
              </w:rPr>
              <w:t>Finska</w:t>
            </w:r>
          </w:p>
        </w:tc>
        <w:tc>
          <w:tcPr>
            <w:tcW w:w="2320" w:type="dxa"/>
            <w:tcBorders>
              <w:top w:val="nil"/>
              <w:left w:val="nil"/>
              <w:bottom w:val="single" w:sz="8" w:space="0" w:color="auto"/>
              <w:right w:val="single" w:sz="8" w:space="0" w:color="auto"/>
            </w:tcBorders>
            <w:shd w:val="clear" w:color="auto" w:fill="auto"/>
            <w:vAlign w:val="center"/>
            <w:hideMark/>
          </w:tcPr>
          <w:p w14:paraId="57F1F92F" w14:textId="77777777" w:rsidR="00D30D42" w:rsidRDefault="00D30D42">
            <w:pPr>
              <w:jc w:val="center"/>
              <w:rPr>
                <w:color w:val="000000"/>
              </w:rPr>
            </w:pPr>
            <w:r>
              <w:rPr>
                <w:color w:val="000000"/>
              </w:rPr>
              <w:t>1,10%</w:t>
            </w:r>
          </w:p>
        </w:tc>
      </w:tr>
      <w:tr w:rsidR="00D30D42" w14:paraId="4CFC8449"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F5AE8EF" w14:textId="77777777" w:rsidR="00D30D42" w:rsidRDefault="00D30D42">
            <w:pPr>
              <w:jc w:val="both"/>
              <w:rPr>
                <w:color w:val="000000"/>
              </w:rPr>
            </w:pPr>
            <w:r>
              <w:rPr>
                <w:color w:val="000000"/>
              </w:rPr>
              <w:t>Poljska</w:t>
            </w:r>
          </w:p>
        </w:tc>
        <w:tc>
          <w:tcPr>
            <w:tcW w:w="2320" w:type="dxa"/>
            <w:tcBorders>
              <w:top w:val="nil"/>
              <w:left w:val="nil"/>
              <w:bottom w:val="single" w:sz="8" w:space="0" w:color="auto"/>
              <w:right w:val="single" w:sz="8" w:space="0" w:color="auto"/>
            </w:tcBorders>
            <w:shd w:val="clear" w:color="auto" w:fill="auto"/>
            <w:vAlign w:val="center"/>
            <w:hideMark/>
          </w:tcPr>
          <w:p w14:paraId="3DA70F23" w14:textId="77777777" w:rsidR="00D30D42" w:rsidRDefault="00D30D42">
            <w:pPr>
              <w:jc w:val="center"/>
              <w:rPr>
                <w:color w:val="000000"/>
              </w:rPr>
            </w:pPr>
            <w:r>
              <w:rPr>
                <w:color w:val="000000"/>
              </w:rPr>
              <w:t>2,05%</w:t>
            </w:r>
          </w:p>
        </w:tc>
      </w:tr>
      <w:tr w:rsidR="00D30D42" w14:paraId="124281B5"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E6BC4CE" w14:textId="77777777" w:rsidR="00D30D42" w:rsidRDefault="00D30D42">
            <w:pPr>
              <w:jc w:val="both"/>
              <w:rPr>
                <w:color w:val="000000"/>
              </w:rPr>
            </w:pPr>
            <w:r>
              <w:rPr>
                <w:color w:val="000000"/>
              </w:rPr>
              <w:t>Slovenija</w:t>
            </w:r>
          </w:p>
        </w:tc>
        <w:tc>
          <w:tcPr>
            <w:tcW w:w="2320" w:type="dxa"/>
            <w:tcBorders>
              <w:top w:val="nil"/>
              <w:left w:val="nil"/>
              <w:bottom w:val="single" w:sz="8" w:space="0" w:color="auto"/>
              <w:right w:val="single" w:sz="8" w:space="0" w:color="auto"/>
            </w:tcBorders>
            <w:shd w:val="clear" w:color="auto" w:fill="auto"/>
            <w:vAlign w:val="center"/>
            <w:hideMark/>
          </w:tcPr>
          <w:p w14:paraId="5769D5F8" w14:textId="77777777" w:rsidR="00D30D42" w:rsidRDefault="00D30D42">
            <w:pPr>
              <w:jc w:val="center"/>
              <w:rPr>
                <w:color w:val="000000"/>
              </w:rPr>
            </w:pPr>
            <w:r>
              <w:rPr>
                <w:color w:val="000000"/>
              </w:rPr>
              <w:t>1,50%</w:t>
            </w:r>
          </w:p>
        </w:tc>
      </w:tr>
      <w:tr w:rsidR="00D30D42" w14:paraId="67C93A21"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C76C4D6" w14:textId="77777777" w:rsidR="00D30D42" w:rsidRDefault="00D30D42">
            <w:pPr>
              <w:jc w:val="both"/>
              <w:rPr>
                <w:color w:val="000000"/>
              </w:rPr>
            </w:pPr>
            <w:r>
              <w:rPr>
                <w:color w:val="000000"/>
              </w:rPr>
              <w:t>UK</w:t>
            </w:r>
          </w:p>
        </w:tc>
        <w:tc>
          <w:tcPr>
            <w:tcW w:w="2320" w:type="dxa"/>
            <w:tcBorders>
              <w:top w:val="nil"/>
              <w:left w:val="nil"/>
              <w:bottom w:val="single" w:sz="8" w:space="0" w:color="auto"/>
              <w:right w:val="single" w:sz="8" w:space="0" w:color="auto"/>
            </w:tcBorders>
            <w:shd w:val="clear" w:color="auto" w:fill="auto"/>
            <w:vAlign w:val="center"/>
            <w:hideMark/>
          </w:tcPr>
          <w:p w14:paraId="136A158B" w14:textId="77777777" w:rsidR="00D30D42" w:rsidRDefault="00D30D42">
            <w:pPr>
              <w:jc w:val="center"/>
              <w:rPr>
                <w:color w:val="000000"/>
              </w:rPr>
            </w:pPr>
            <w:r>
              <w:rPr>
                <w:color w:val="000000"/>
              </w:rPr>
              <w:t>0,80%</w:t>
            </w:r>
          </w:p>
        </w:tc>
      </w:tr>
      <w:tr w:rsidR="00D30D42" w14:paraId="699C4EE5" w14:textId="77777777" w:rsidTr="00D30D42">
        <w:trPr>
          <w:trHeight w:val="399"/>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DC7EC84" w14:textId="31313593" w:rsidR="00D30D42" w:rsidRDefault="009240AC">
            <w:pPr>
              <w:jc w:val="both"/>
              <w:rPr>
                <w:b/>
                <w:bCs/>
                <w:color w:val="000000"/>
              </w:rPr>
            </w:pPr>
            <w:proofErr w:type="spellStart"/>
            <w:r>
              <w:rPr>
                <w:b/>
                <w:bCs/>
                <w:color w:val="000000"/>
              </w:rPr>
              <w:t>M</w:t>
            </w:r>
            <w:r w:rsidR="00D30D42">
              <w:rPr>
                <w:b/>
                <w:bCs/>
                <w:color w:val="000000"/>
              </w:rPr>
              <w:t>edian</w:t>
            </w:r>
            <w:proofErr w:type="spellEnd"/>
          </w:p>
        </w:tc>
        <w:tc>
          <w:tcPr>
            <w:tcW w:w="2320" w:type="dxa"/>
            <w:tcBorders>
              <w:top w:val="nil"/>
              <w:left w:val="nil"/>
              <w:bottom w:val="single" w:sz="8" w:space="0" w:color="auto"/>
              <w:right w:val="single" w:sz="8" w:space="0" w:color="auto"/>
            </w:tcBorders>
            <w:shd w:val="clear" w:color="auto" w:fill="auto"/>
            <w:vAlign w:val="center"/>
            <w:hideMark/>
          </w:tcPr>
          <w:p w14:paraId="69C94656" w14:textId="77777777" w:rsidR="00D30D42" w:rsidRDefault="00D30D42">
            <w:pPr>
              <w:jc w:val="center"/>
              <w:rPr>
                <w:b/>
                <w:bCs/>
                <w:color w:val="000000"/>
              </w:rPr>
            </w:pPr>
            <w:r>
              <w:rPr>
                <w:b/>
                <w:bCs/>
                <w:color w:val="000000"/>
              </w:rPr>
              <w:t>1,50%</w:t>
            </w:r>
          </w:p>
        </w:tc>
      </w:tr>
    </w:tbl>
    <w:p w14:paraId="33A9CA3B" w14:textId="77777777" w:rsidR="00556A6B" w:rsidRPr="00BC3A58" w:rsidRDefault="00556A6B" w:rsidP="001747DE">
      <w:pPr>
        <w:rPr>
          <w:sz w:val="20"/>
          <w:szCs w:val="20"/>
        </w:rPr>
      </w:pPr>
    </w:p>
    <w:sectPr w:rsidR="00556A6B" w:rsidRPr="00BC3A58" w:rsidSect="00936EA3">
      <w:headerReference w:type="default" r:id="rId13"/>
      <w:footerReference w:type="even" r:id="rId14"/>
      <w:footerReference w:type="default" r:id="rId15"/>
      <w:headerReference w:type="first" r:id="rId16"/>
      <w:footerReference w:type="first" r:id="rId17"/>
      <w:pgSz w:w="11906" w:h="16838" w:code="9"/>
      <w:pgMar w:top="1440" w:right="1080" w:bottom="1440" w:left="1080"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8BC30" w14:textId="77777777" w:rsidR="00063DA4" w:rsidRDefault="00063DA4">
      <w:r>
        <w:separator/>
      </w:r>
    </w:p>
  </w:endnote>
  <w:endnote w:type="continuationSeparator" w:id="0">
    <w:p w14:paraId="29690610" w14:textId="77777777" w:rsidR="00063DA4" w:rsidRDefault="0006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6AE9" w14:textId="3FCDC084" w:rsidR="00DE5591" w:rsidRPr="006A54DA" w:rsidRDefault="00DE5591" w:rsidP="006A54DA">
    <w:pPr>
      <w:pStyle w:val="Footer"/>
      <w:jc w:val="right"/>
      <w:rPr>
        <w:rFonts w:ascii="Times New Roman" w:hAnsi="Times New Roman"/>
      </w:rPr>
    </w:pPr>
  </w:p>
  <w:p w14:paraId="67ADCDDF" w14:textId="77777777" w:rsidR="00DE5591" w:rsidRDefault="00DE5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438405"/>
      <w:docPartObj>
        <w:docPartGallery w:val="Page Numbers (Bottom of Page)"/>
        <w:docPartUnique/>
      </w:docPartObj>
    </w:sdtPr>
    <w:sdtEndPr>
      <w:rPr>
        <w:rFonts w:ascii="Times New Roman" w:hAnsi="Times New Roman"/>
        <w:sz w:val="20"/>
      </w:rPr>
    </w:sdtEndPr>
    <w:sdtContent>
      <w:p w14:paraId="4A8A78EB" w14:textId="041A4A22" w:rsidR="00DE5591" w:rsidRPr="00251446" w:rsidRDefault="00DE5591">
        <w:pPr>
          <w:pStyle w:val="Footer"/>
          <w:rPr>
            <w:rFonts w:ascii="Times New Roman" w:hAnsi="Times New Roman"/>
            <w:sz w:val="20"/>
          </w:rPr>
        </w:pPr>
        <w:r w:rsidRPr="00251446">
          <w:rPr>
            <w:rFonts w:ascii="Times New Roman" w:hAnsi="Times New Roman"/>
            <w:sz w:val="20"/>
          </w:rPr>
          <w:fldChar w:fldCharType="begin"/>
        </w:r>
        <w:r w:rsidRPr="00251446">
          <w:rPr>
            <w:rFonts w:ascii="Times New Roman" w:hAnsi="Times New Roman"/>
            <w:sz w:val="20"/>
          </w:rPr>
          <w:instrText>PAGE   \* MERGEFORMAT</w:instrText>
        </w:r>
        <w:r w:rsidRPr="00251446">
          <w:rPr>
            <w:rFonts w:ascii="Times New Roman" w:hAnsi="Times New Roman"/>
            <w:sz w:val="20"/>
          </w:rPr>
          <w:fldChar w:fldCharType="separate"/>
        </w:r>
        <w:r w:rsidR="00FC5291">
          <w:rPr>
            <w:rFonts w:ascii="Times New Roman" w:hAnsi="Times New Roman"/>
            <w:noProof/>
            <w:sz w:val="20"/>
          </w:rPr>
          <w:t>11</w:t>
        </w:r>
        <w:r w:rsidRPr="00251446">
          <w:rPr>
            <w:rFonts w:ascii="Times New Roman" w:hAnsi="Times New Roman"/>
            <w:sz w:val="20"/>
          </w:rPr>
          <w:fldChar w:fldCharType="end"/>
        </w:r>
      </w:p>
    </w:sdtContent>
  </w:sdt>
  <w:p w14:paraId="4E55BEED" w14:textId="77777777" w:rsidR="00DE5591" w:rsidRDefault="00DE5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E214" w14:textId="62EFE2A9" w:rsidR="00DE5591" w:rsidRDefault="00DE5591" w:rsidP="006A54DA">
    <w:pPr>
      <w:pStyle w:val="Footer"/>
      <w:jc w:val="right"/>
    </w:pPr>
  </w:p>
  <w:p w14:paraId="70846452" w14:textId="294DD6F9" w:rsidR="00DE5591" w:rsidRPr="00AF569C" w:rsidRDefault="00DE5591" w:rsidP="00AF569C">
    <w:pPr>
      <w:pStyle w:val="Footer"/>
      <w:tabs>
        <w:tab w:val="clear" w:pos="4320"/>
        <w:tab w:val="clear" w:pos="8640"/>
      </w:tabs>
      <w:ind w:left="-142" w:right="-143"/>
      <w:rPr>
        <w:rFonts w:ascii="Corbel" w:hAnsi="Corbe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9BDE9" w14:textId="77777777" w:rsidR="00063DA4" w:rsidRDefault="00063DA4">
      <w:r>
        <w:separator/>
      </w:r>
    </w:p>
  </w:footnote>
  <w:footnote w:type="continuationSeparator" w:id="0">
    <w:p w14:paraId="085D7B46" w14:textId="77777777" w:rsidR="00063DA4" w:rsidRDefault="00063DA4">
      <w:r>
        <w:continuationSeparator/>
      </w:r>
    </w:p>
  </w:footnote>
  <w:footnote w:id="1">
    <w:p w14:paraId="7B82F7BA" w14:textId="77777777" w:rsidR="00DE5591" w:rsidRPr="008E5339" w:rsidRDefault="00DE5591" w:rsidP="00221F1C">
      <w:pPr>
        <w:pStyle w:val="FootnoteText"/>
      </w:pPr>
      <w:r>
        <w:rPr>
          <w:rStyle w:val="FootnoteReference"/>
        </w:rPr>
        <w:footnoteRef/>
      </w:r>
      <w:r>
        <w:t xml:space="preserve"> </w:t>
      </w:r>
      <w:r w:rsidRPr="008E5339">
        <w:t>U skladu s ciljevima iz članka 8. stavka 2. točke (b) i članka 8. stavka (2) točke (c) Okvirne direktive</w:t>
      </w:r>
    </w:p>
  </w:footnote>
  <w:footnote w:id="2">
    <w:p w14:paraId="6A668A96" w14:textId="77777777" w:rsidR="00DE5591" w:rsidRPr="00DE5591" w:rsidRDefault="00DE5591" w:rsidP="00221F1C">
      <w:pPr>
        <w:pStyle w:val="FootnoteText"/>
      </w:pPr>
      <w:r w:rsidRPr="005F6A45">
        <w:rPr>
          <w:rStyle w:val="FootnoteReference"/>
        </w:rPr>
        <w:footnoteRef/>
      </w:r>
      <w:r w:rsidRPr="005F6A45">
        <w:t xml:space="preserve"> </w:t>
      </w:r>
      <w:hyperlink r:id="rId1" w:history="1">
        <w:r w:rsidRPr="00A84D6D">
          <w:rPr>
            <w:rStyle w:val="Hyperlink"/>
            <w:color w:val="auto"/>
            <w:u w:val="none"/>
          </w:rPr>
          <w:t>Obavijest Komisije o izračunu troška kapitala za postojeću infrastrukturu</w:t>
        </w:r>
      </w:hyperlink>
    </w:p>
  </w:footnote>
  <w:footnote w:id="3">
    <w:p w14:paraId="47DEDEA3" w14:textId="77777777" w:rsidR="00DE5591" w:rsidRPr="00DE5591" w:rsidRDefault="00DE5591" w:rsidP="00F417F4">
      <w:pPr>
        <w:jc w:val="both"/>
        <w:rPr>
          <w:sz w:val="20"/>
          <w:szCs w:val="20"/>
        </w:rPr>
      </w:pPr>
      <w:r w:rsidRPr="00DE5591">
        <w:rPr>
          <w:rStyle w:val="FootnoteReference"/>
          <w:sz w:val="20"/>
          <w:szCs w:val="20"/>
        </w:rPr>
        <w:footnoteRef/>
      </w:r>
      <w:r w:rsidRPr="00DE5591">
        <w:rPr>
          <w:sz w:val="20"/>
          <w:szCs w:val="20"/>
        </w:rPr>
        <w:t xml:space="preserve"> </w:t>
      </w:r>
      <w:hyperlink r:id="rId2" w:history="1">
        <w:proofErr w:type="spellStart"/>
        <w:r w:rsidRPr="00FC5291">
          <w:rPr>
            <w:rStyle w:val="Hyperlink"/>
            <w:color w:val="auto"/>
            <w:sz w:val="20"/>
            <w:szCs w:val="20"/>
            <w:u w:val="none"/>
          </w:rPr>
          <w:t>Berec</w:t>
        </w:r>
        <w:proofErr w:type="spellEnd"/>
        <w:r w:rsidRPr="00FC5291">
          <w:rPr>
            <w:rStyle w:val="Hyperlink"/>
            <w:color w:val="auto"/>
            <w:sz w:val="20"/>
            <w:szCs w:val="20"/>
            <w:u w:val="none"/>
          </w:rPr>
          <w:t xml:space="preserve"> </w:t>
        </w:r>
        <w:proofErr w:type="spellStart"/>
        <w:r w:rsidRPr="00FC5291">
          <w:rPr>
            <w:rStyle w:val="Hyperlink"/>
            <w:color w:val="auto"/>
            <w:sz w:val="20"/>
            <w:szCs w:val="20"/>
            <w:u w:val="none"/>
          </w:rPr>
          <w:t>report</w:t>
        </w:r>
        <w:proofErr w:type="spellEnd"/>
        <w:r w:rsidRPr="00FC5291">
          <w:rPr>
            <w:rStyle w:val="Hyperlink"/>
            <w:color w:val="auto"/>
            <w:sz w:val="20"/>
            <w:szCs w:val="20"/>
            <w:u w:val="none"/>
          </w:rPr>
          <w:t xml:space="preserve"> on </w:t>
        </w:r>
        <w:proofErr w:type="spellStart"/>
        <w:r w:rsidRPr="00FC5291">
          <w:rPr>
            <w:rStyle w:val="Hyperlink"/>
            <w:color w:val="auto"/>
            <w:sz w:val="20"/>
            <w:szCs w:val="20"/>
            <w:u w:val="none"/>
          </w:rPr>
          <w:t>wacc</w:t>
        </w:r>
        <w:proofErr w:type="spellEnd"/>
        <w:r w:rsidRPr="00FC5291">
          <w:rPr>
            <w:rStyle w:val="Hyperlink"/>
            <w:color w:val="auto"/>
            <w:sz w:val="20"/>
            <w:szCs w:val="20"/>
            <w:u w:val="none"/>
          </w:rPr>
          <w:t xml:space="preserve"> </w:t>
        </w:r>
        <w:proofErr w:type="spellStart"/>
        <w:r w:rsidRPr="00FC5291">
          <w:rPr>
            <w:rStyle w:val="Hyperlink"/>
            <w:color w:val="auto"/>
            <w:sz w:val="20"/>
            <w:szCs w:val="20"/>
            <w:u w:val="none"/>
          </w:rPr>
          <w:t>parameter</w:t>
        </w:r>
        <w:proofErr w:type="spellEnd"/>
        <w:r w:rsidRPr="00FC5291">
          <w:rPr>
            <w:rStyle w:val="Hyperlink"/>
            <w:color w:val="auto"/>
            <w:sz w:val="20"/>
            <w:szCs w:val="20"/>
            <w:u w:val="none"/>
          </w:rPr>
          <w:t xml:space="preserve"> 2022</w:t>
        </w:r>
      </w:hyperlink>
    </w:p>
    <w:p w14:paraId="4C0FF0A6" w14:textId="77777777" w:rsidR="00DE5591" w:rsidRPr="005F6A45" w:rsidRDefault="00DE5591" w:rsidP="00F417F4">
      <w:pPr>
        <w:jc w:val="both"/>
        <w:rPr>
          <w:sz w:val="20"/>
          <w:szCs w:val="20"/>
        </w:rPr>
      </w:pPr>
    </w:p>
    <w:p w14:paraId="1A8FFD8E" w14:textId="77777777" w:rsidR="00DE5591" w:rsidRPr="005F6A45" w:rsidRDefault="00DE5591" w:rsidP="00F417F4">
      <w:pPr>
        <w:pStyle w:val="FootnoteText"/>
      </w:pPr>
    </w:p>
  </w:footnote>
  <w:footnote w:id="4">
    <w:p w14:paraId="47907832" w14:textId="758E2DEA" w:rsidR="00DE5591" w:rsidRDefault="00DE5591">
      <w:pPr>
        <w:pStyle w:val="FootnoteText"/>
      </w:pPr>
      <w:r>
        <w:rPr>
          <w:rStyle w:val="FootnoteReference"/>
        </w:rPr>
        <w:footnoteRef/>
      </w:r>
      <w:r>
        <w:t xml:space="preserve"> </w:t>
      </w:r>
      <w:hyperlink r:id="rId3" w:history="1">
        <w:r>
          <w:rPr>
            <w:rStyle w:val="Hyperlink"/>
            <w:sz w:val="22"/>
            <w:szCs w:val="22"/>
          </w:rPr>
          <w:t xml:space="preserve">https://berec.europa.eu/Report on WACC </w:t>
        </w:r>
        <w:proofErr w:type="spellStart"/>
        <w:r>
          <w:rPr>
            <w:rStyle w:val="Hyperlink"/>
            <w:sz w:val="22"/>
            <w:szCs w:val="22"/>
          </w:rPr>
          <w:t>parameter</w:t>
        </w:r>
        <w:proofErr w:type="spellEnd"/>
        <w:r>
          <w:rPr>
            <w:rStyle w:val="Hyperlink"/>
            <w:sz w:val="22"/>
            <w:szCs w:val="22"/>
          </w:rPr>
          <w:t xml:space="preserve"> </w:t>
        </w:r>
        <w:proofErr w:type="spellStart"/>
        <w:r>
          <w:rPr>
            <w:rStyle w:val="Hyperlink"/>
            <w:sz w:val="22"/>
            <w:szCs w:val="22"/>
          </w:rPr>
          <w:t>calculations</w:t>
        </w:r>
        <w:proofErr w:type="spellEnd"/>
      </w:hyperlink>
    </w:p>
  </w:footnote>
  <w:footnote w:id="5">
    <w:p w14:paraId="55ED8859" w14:textId="707B331B" w:rsidR="00DE5591" w:rsidRPr="009757B1" w:rsidRDefault="00DE5591">
      <w:pPr>
        <w:pStyle w:val="FootnoteText"/>
      </w:pPr>
      <w:r>
        <w:rPr>
          <w:rStyle w:val="FootnoteReference"/>
        </w:rPr>
        <w:footnoteRef/>
      </w:r>
      <w:r>
        <w:t xml:space="preserve"> </w:t>
      </w:r>
      <w:hyperlink r:id="rId4" w:history="1">
        <w:r w:rsidRPr="00A84D6D">
          <w:rPr>
            <w:rStyle w:val="Hyperlink"/>
            <w:color w:val="auto"/>
            <w:u w:val="none"/>
          </w:rPr>
          <w:t>https://www.cullen-international.com</w:t>
        </w:r>
      </w:hyperlink>
      <w:bookmarkStart w:id="4" w:name="_GoBack"/>
      <w:bookmarkEnd w:id="4"/>
    </w:p>
  </w:footnote>
  <w:footnote w:id="6">
    <w:p w14:paraId="7A51CF66" w14:textId="532B042F" w:rsidR="00DE5591" w:rsidRDefault="00DE5591">
      <w:pPr>
        <w:pStyle w:val="FootnoteText"/>
      </w:pPr>
      <w:r>
        <w:rPr>
          <w:rStyle w:val="FootnoteReference"/>
        </w:rPr>
        <w:footnoteRef/>
      </w:r>
      <w:r>
        <w:t xml:space="preserve"> </w:t>
      </w:r>
      <w:r w:rsidRPr="002830BF">
        <w:t>Prisutnost negativne premije povezana je s činjenicom da je za vremensku seriju (od 1993.) tržište grčkih obveznica pružalo veće prinose od odgovarajućeg tržišta dionica, zbog financijske krize državnih obveznica</w:t>
      </w:r>
      <w:r w:rsidRPr="001747DE">
        <w:t>.</w:t>
      </w:r>
    </w:p>
  </w:footnote>
  <w:footnote w:id="7">
    <w:p w14:paraId="01A93976" w14:textId="22CCA0A5" w:rsidR="00DE5591" w:rsidRDefault="00DE5591">
      <w:pPr>
        <w:pStyle w:val="FootnoteText"/>
      </w:pPr>
      <w:r>
        <w:rPr>
          <w:rStyle w:val="FootnoteReference"/>
        </w:rPr>
        <w:footnoteRef/>
      </w:r>
      <w:r>
        <w:t xml:space="preserve"> </w:t>
      </w:r>
      <w:r w:rsidRPr="002830BF">
        <w:t>Nedostupni podaci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3CE6" w14:textId="77777777" w:rsidR="00DE5591" w:rsidRDefault="00DE5591" w:rsidP="00731423">
    <w:pPr>
      <w:pStyle w:val="Header"/>
      <w:tabs>
        <w:tab w:val="clear" w:pos="4536"/>
        <w:tab w:val="clear" w:pos="9072"/>
      </w:tabs>
      <w:ind w:left="-360" w:right="-44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30E1" w14:textId="77777777" w:rsidR="00DE5591" w:rsidRDefault="00DE5591" w:rsidP="009F6CDB">
    <w:pPr>
      <w:pStyle w:val="Header"/>
      <w:tabs>
        <w:tab w:val="clear" w:pos="4536"/>
        <w:tab w:val="clear" w:pos="9072"/>
      </w:tabs>
      <w:ind w:left="-357" w:right="-357"/>
      <w:jc w:val="center"/>
    </w:pPr>
    <w:r w:rsidRPr="009F6CDB">
      <w:rPr>
        <w:noProof/>
      </w:rPr>
      <w:drawing>
        <wp:inline distT="0" distB="0" distL="0" distR="0" wp14:anchorId="1B7ED860" wp14:editId="6C3FA6C6">
          <wp:extent cx="1057523" cy="1025220"/>
          <wp:effectExtent l="0" t="0" r="0" b="3810"/>
          <wp:docPr id="10" name="Picture 10" descr="\\hzt.local\hakom\Mape_Odjela\KIS\Vizualni identitet HAKOM - javno\HAKOM color logotip 1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zt.local\hakom\Mape_Odjela\KIS\Vizualni identitet HAKOM - javno\HAKOM color logotip 1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152" cy="1030677"/>
                  </a:xfrm>
                  <a:prstGeom prst="rect">
                    <a:avLst/>
                  </a:prstGeom>
                  <a:noFill/>
                  <a:ln>
                    <a:noFill/>
                  </a:ln>
                </pic:spPr>
              </pic:pic>
            </a:graphicData>
          </a:graphic>
        </wp:inline>
      </w:drawing>
    </w:r>
  </w:p>
  <w:p w14:paraId="34B671EF" w14:textId="77777777" w:rsidR="00DE5591" w:rsidRDefault="00DE5591" w:rsidP="00192D15">
    <w:pPr>
      <w:pStyle w:val="Header"/>
      <w:tabs>
        <w:tab w:val="clear" w:pos="4536"/>
        <w:tab w:val="clear" w:pos="9072"/>
      </w:tabs>
      <w:ind w:left="-357" w:right="-357"/>
      <w:jc w:val="center"/>
      <w:rPr>
        <w:rFonts w:ascii="Times New Roman" w:hAnsi="Times New Roman"/>
        <w:b/>
        <w:sz w:val="24"/>
      </w:rPr>
    </w:pPr>
  </w:p>
  <w:p w14:paraId="44C8F151" w14:textId="782EC131" w:rsidR="00DE5591" w:rsidRDefault="00DE5591" w:rsidP="00F84DCF">
    <w:pPr>
      <w:pStyle w:val="Header"/>
      <w:tabs>
        <w:tab w:val="clear" w:pos="4536"/>
        <w:tab w:val="clear" w:pos="9072"/>
      </w:tabs>
      <w:ind w:left="-357" w:right="-357"/>
      <w:jc w:val="right"/>
    </w:pPr>
    <w:r>
      <w:rPr>
        <w:rFonts w:ascii="Times New Roman" w:hAnsi="Times New Roman"/>
        <w:b/>
        <w:sz w:val="24"/>
      </w:rPr>
      <w:t>PRIJEDLOG ZA JAVNU RASPRAVU</w:t>
    </w:r>
  </w:p>
  <w:p w14:paraId="6BDE9880" w14:textId="77777777" w:rsidR="00DE5591" w:rsidRDefault="00DE5591" w:rsidP="00192D15">
    <w:pPr>
      <w:pStyle w:val="Header"/>
      <w:tabs>
        <w:tab w:val="clear" w:pos="4536"/>
        <w:tab w:val="clear" w:pos="9072"/>
      </w:tabs>
      <w:spacing w:after="60"/>
      <w:ind w:right="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776"/>
    <w:multiLevelType w:val="hybridMultilevel"/>
    <w:tmpl w:val="365275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D52373"/>
    <w:multiLevelType w:val="hybridMultilevel"/>
    <w:tmpl w:val="46B29452"/>
    <w:lvl w:ilvl="0" w:tplc="F4F4E8A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9667D1"/>
    <w:multiLevelType w:val="hybridMultilevel"/>
    <w:tmpl w:val="15EC70B4"/>
    <w:lvl w:ilvl="0" w:tplc="28107C28">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7D0276"/>
    <w:multiLevelType w:val="hybridMultilevel"/>
    <w:tmpl w:val="2A2C3C6E"/>
    <w:lvl w:ilvl="0" w:tplc="28107C28">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7A17A6"/>
    <w:multiLevelType w:val="hybridMultilevel"/>
    <w:tmpl w:val="FA3EB3DA"/>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5" w15:restartNumberingAfterBreak="0">
    <w:nsid w:val="37A5669C"/>
    <w:multiLevelType w:val="hybridMultilevel"/>
    <w:tmpl w:val="55587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061572"/>
    <w:multiLevelType w:val="hybridMultilevel"/>
    <w:tmpl w:val="86A4B0DC"/>
    <w:lvl w:ilvl="0" w:tplc="251045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551D42"/>
    <w:multiLevelType w:val="hybridMultilevel"/>
    <w:tmpl w:val="412A7D1E"/>
    <w:lvl w:ilvl="0" w:tplc="3ACE619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A204A7"/>
    <w:multiLevelType w:val="hybridMultilevel"/>
    <w:tmpl w:val="5302D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2B289F"/>
    <w:multiLevelType w:val="hybridMultilevel"/>
    <w:tmpl w:val="3BD0E96E"/>
    <w:lvl w:ilvl="0" w:tplc="43D829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1E45F7"/>
    <w:multiLevelType w:val="hybridMultilevel"/>
    <w:tmpl w:val="15EC70B4"/>
    <w:lvl w:ilvl="0" w:tplc="28107C28">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0F772F"/>
    <w:multiLevelType w:val="hybridMultilevel"/>
    <w:tmpl w:val="2A2C3C6E"/>
    <w:lvl w:ilvl="0" w:tplc="28107C28">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DA4676"/>
    <w:multiLevelType w:val="hybridMultilevel"/>
    <w:tmpl w:val="89400748"/>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D96668"/>
    <w:multiLevelType w:val="hybridMultilevel"/>
    <w:tmpl w:val="BE9CF276"/>
    <w:lvl w:ilvl="0" w:tplc="F60A6AA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9A1ECA"/>
    <w:multiLevelType w:val="hybridMultilevel"/>
    <w:tmpl w:val="A25A0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8FE78A0"/>
    <w:multiLevelType w:val="hybridMultilevel"/>
    <w:tmpl w:val="30B619FE"/>
    <w:lvl w:ilvl="0" w:tplc="E3D4D3F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F924D6"/>
    <w:multiLevelType w:val="hybridMultilevel"/>
    <w:tmpl w:val="184A4316"/>
    <w:lvl w:ilvl="0" w:tplc="21DA2E00">
      <w:start w:val="1"/>
      <w:numFmt w:val="upperRoman"/>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num>
  <w:num w:numId="2">
    <w:abstractNumId w:val="7"/>
  </w:num>
  <w:num w:numId="3">
    <w:abstractNumId w:val="12"/>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
  </w:num>
  <w:num w:numId="10">
    <w:abstractNumId w:val="9"/>
  </w:num>
  <w:num w:numId="11">
    <w:abstractNumId w:val="4"/>
  </w:num>
  <w:num w:numId="12">
    <w:abstractNumId w:val="11"/>
  </w:num>
  <w:num w:numId="13">
    <w:abstractNumId w:val="15"/>
  </w:num>
  <w:num w:numId="14">
    <w:abstractNumId w:val="1"/>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hdrShapeDefaults>
    <o:shapedefaults v:ext="edit" spidmax="2049">
      <o:colormru v:ext="edit" colors="#0241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7"/>
    <w:rsid w:val="0000468C"/>
    <w:rsid w:val="0001032F"/>
    <w:rsid w:val="00017189"/>
    <w:rsid w:val="00021157"/>
    <w:rsid w:val="000211FB"/>
    <w:rsid w:val="00036497"/>
    <w:rsid w:val="000366CE"/>
    <w:rsid w:val="00041855"/>
    <w:rsid w:val="000431A3"/>
    <w:rsid w:val="00063DA4"/>
    <w:rsid w:val="00064A4F"/>
    <w:rsid w:val="00070959"/>
    <w:rsid w:val="0007205E"/>
    <w:rsid w:val="00073BB0"/>
    <w:rsid w:val="00080D8F"/>
    <w:rsid w:val="00087774"/>
    <w:rsid w:val="0009365F"/>
    <w:rsid w:val="000A1439"/>
    <w:rsid w:val="000A410E"/>
    <w:rsid w:val="000B03E2"/>
    <w:rsid w:val="000B65B9"/>
    <w:rsid w:val="000C4706"/>
    <w:rsid w:val="000C6F4B"/>
    <w:rsid w:val="000D1631"/>
    <w:rsid w:val="000E652B"/>
    <w:rsid w:val="000F185A"/>
    <w:rsid w:val="000F4E9A"/>
    <w:rsid w:val="000F52FB"/>
    <w:rsid w:val="000F66EF"/>
    <w:rsid w:val="00106272"/>
    <w:rsid w:val="00107C7A"/>
    <w:rsid w:val="00115DF5"/>
    <w:rsid w:val="00120AA8"/>
    <w:rsid w:val="00121580"/>
    <w:rsid w:val="001223BF"/>
    <w:rsid w:val="00124418"/>
    <w:rsid w:val="001246DF"/>
    <w:rsid w:val="0013454A"/>
    <w:rsid w:val="001431C6"/>
    <w:rsid w:val="001454E4"/>
    <w:rsid w:val="00145C97"/>
    <w:rsid w:val="00165B16"/>
    <w:rsid w:val="001671F0"/>
    <w:rsid w:val="001747DE"/>
    <w:rsid w:val="001753D7"/>
    <w:rsid w:val="00184F8D"/>
    <w:rsid w:val="00192369"/>
    <w:rsid w:val="00192D15"/>
    <w:rsid w:val="00193CB8"/>
    <w:rsid w:val="001A431A"/>
    <w:rsid w:val="001A513F"/>
    <w:rsid w:val="001A592A"/>
    <w:rsid w:val="001B1CE1"/>
    <w:rsid w:val="001B216B"/>
    <w:rsid w:val="001B3F01"/>
    <w:rsid w:val="001B70B8"/>
    <w:rsid w:val="001C4CE4"/>
    <w:rsid w:val="001D0A62"/>
    <w:rsid w:val="001D18F6"/>
    <w:rsid w:val="001D57D0"/>
    <w:rsid w:val="001E0B3A"/>
    <w:rsid w:val="001F0694"/>
    <w:rsid w:val="001F1DEB"/>
    <w:rsid w:val="001F2E6C"/>
    <w:rsid w:val="001F77E5"/>
    <w:rsid w:val="00206F40"/>
    <w:rsid w:val="00210A9E"/>
    <w:rsid w:val="00214E36"/>
    <w:rsid w:val="00215262"/>
    <w:rsid w:val="002172C1"/>
    <w:rsid w:val="00221F1C"/>
    <w:rsid w:val="002226C3"/>
    <w:rsid w:val="002307B2"/>
    <w:rsid w:val="00232E77"/>
    <w:rsid w:val="002366DD"/>
    <w:rsid w:val="00244A64"/>
    <w:rsid w:val="00251446"/>
    <w:rsid w:val="00262A55"/>
    <w:rsid w:val="00263139"/>
    <w:rsid w:val="00264EE5"/>
    <w:rsid w:val="00276083"/>
    <w:rsid w:val="002830BF"/>
    <w:rsid w:val="00285974"/>
    <w:rsid w:val="0028686C"/>
    <w:rsid w:val="0029121F"/>
    <w:rsid w:val="00297292"/>
    <w:rsid w:val="002B0988"/>
    <w:rsid w:val="002B6E48"/>
    <w:rsid w:val="002C05CE"/>
    <w:rsid w:val="002C7F83"/>
    <w:rsid w:val="002D42FA"/>
    <w:rsid w:val="002D5EE9"/>
    <w:rsid w:val="002E7640"/>
    <w:rsid w:val="002F76D6"/>
    <w:rsid w:val="00305F55"/>
    <w:rsid w:val="00306709"/>
    <w:rsid w:val="00310964"/>
    <w:rsid w:val="00313556"/>
    <w:rsid w:val="0031565C"/>
    <w:rsid w:val="003159A7"/>
    <w:rsid w:val="00316E3C"/>
    <w:rsid w:val="00321971"/>
    <w:rsid w:val="0032262F"/>
    <w:rsid w:val="00322A2F"/>
    <w:rsid w:val="00324773"/>
    <w:rsid w:val="003326DD"/>
    <w:rsid w:val="0033467F"/>
    <w:rsid w:val="003462FD"/>
    <w:rsid w:val="00370283"/>
    <w:rsid w:val="00370A02"/>
    <w:rsid w:val="003711E4"/>
    <w:rsid w:val="00372871"/>
    <w:rsid w:val="00374D2F"/>
    <w:rsid w:val="003921B9"/>
    <w:rsid w:val="003A37DE"/>
    <w:rsid w:val="003A6B22"/>
    <w:rsid w:val="003A75B4"/>
    <w:rsid w:val="003B1DEB"/>
    <w:rsid w:val="003B329B"/>
    <w:rsid w:val="003B6F33"/>
    <w:rsid w:val="003B6FAB"/>
    <w:rsid w:val="003D0660"/>
    <w:rsid w:val="003D66CE"/>
    <w:rsid w:val="003D71B9"/>
    <w:rsid w:val="003D77EC"/>
    <w:rsid w:val="003D7AE9"/>
    <w:rsid w:val="003E2A57"/>
    <w:rsid w:val="003E3123"/>
    <w:rsid w:val="003F1F06"/>
    <w:rsid w:val="003F2EEC"/>
    <w:rsid w:val="003F30B7"/>
    <w:rsid w:val="003F3F15"/>
    <w:rsid w:val="003F70E9"/>
    <w:rsid w:val="00407BB1"/>
    <w:rsid w:val="004104D0"/>
    <w:rsid w:val="00414A0C"/>
    <w:rsid w:val="004161EC"/>
    <w:rsid w:val="00417FDC"/>
    <w:rsid w:val="00424679"/>
    <w:rsid w:val="004322D7"/>
    <w:rsid w:val="00432D2E"/>
    <w:rsid w:val="00437545"/>
    <w:rsid w:val="0043786B"/>
    <w:rsid w:val="00441FAE"/>
    <w:rsid w:val="004445B5"/>
    <w:rsid w:val="00450A73"/>
    <w:rsid w:val="00452FFD"/>
    <w:rsid w:val="0045798F"/>
    <w:rsid w:val="00462A82"/>
    <w:rsid w:val="00465889"/>
    <w:rsid w:val="004670A8"/>
    <w:rsid w:val="00467F65"/>
    <w:rsid w:val="004740D9"/>
    <w:rsid w:val="00474C56"/>
    <w:rsid w:val="004842B7"/>
    <w:rsid w:val="004873AC"/>
    <w:rsid w:val="00497538"/>
    <w:rsid w:val="004A12F0"/>
    <w:rsid w:val="004A1800"/>
    <w:rsid w:val="004A508A"/>
    <w:rsid w:val="004A6DDC"/>
    <w:rsid w:val="004B65F4"/>
    <w:rsid w:val="004C25C5"/>
    <w:rsid w:val="004C45F6"/>
    <w:rsid w:val="004C7ED4"/>
    <w:rsid w:val="004D1856"/>
    <w:rsid w:val="004D6E2F"/>
    <w:rsid w:val="004E1F11"/>
    <w:rsid w:val="004F6719"/>
    <w:rsid w:val="004F7F9B"/>
    <w:rsid w:val="00507DEB"/>
    <w:rsid w:val="00521A89"/>
    <w:rsid w:val="00530DFA"/>
    <w:rsid w:val="00531F85"/>
    <w:rsid w:val="00533C9D"/>
    <w:rsid w:val="005510CD"/>
    <w:rsid w:val="00556A6B"/>
    <w:rsid w:val="00570CCF"/>
    <w:rsid w:val="00572A77"/>
    <w:rsid w:val="0058605B"/>
    <w:rsid w:val="0059085F"/>
    <w:rsid w:val="00591E49"/>
    <w:rsid w:val="00597955"/>
    <w:rsid w:val="005A0EF2"/>
    <w:rsid w:val="005B7122"/>
    <w:rsid w:val="005C062E"/>
    <w:rsid w:val="005C21F2"/>
    <w:rsid w:val="005C38D5"/>
    <w:rsid w:val="005D5ACF"/>
    <w:rsid w:val="005D633C"/>
    <w:rsid w:val="005D7E9A"/>
    <w:rsid w:val="005F357B"/>
    <w:rsid w:val="005F3BAF"/>
    <w:rsid w:val="005F6A45"/>
    <w:rsid w:val="005F7C04"/>
    <w:rsid w:val="0060398A"/>
    <w:rsid w:val="00603A0E"/>
    <w:rsid w:val="0060413F"/>
    <w:rsid w:val="00612BE8"/>
    <w:rsid w:val="00627F3D"/>
    <w:rsid w:val="00650B25"/>
    <w:rsid w:val="0065292C"/>
    <w:rsid w:val="00652DFA"/>
    <w:rsid w:val="00655FFD"/>
    <w:rsid w:val="006618E0"/>
    <w:rsid w:val="00662860"/>
    <w:rsid w:val="00665D22"/>
    <w:rsid w:val="00667974"/>
    <w:rsid w:val="0068588C"/>
    <w:rsid w:val="0069221B"/>
    <w:rsid w:val="00693ADD"/>
    <w:rsid w:val="006964E3"/>
    <w:rsid w:val="006A082D"/>
    <w:rsid w:val="006A54DA"/>
    <w:rsid w:val="006A5DE1"/>
    <w:rsid w:val="006B0B24"/>
    <w:rsid w:val="006B6C3A"/>
    <w:rsid w:val="006B78DA"/>
    <w:rsid w:val="006C1620"/>
    <w:rsid w:val="006C4D28"/>
    <w:rsid w:val="006C4F4A"/>
    <w:rsid w:val="006C7246"/>
    <w:rsid w:val="006D461E"/>
    <w:rsid w:val="006D466A"/>
    <w:rsid w:val="006D7088"/>
    <w:rsid w:val="006E5294"/>
    <w:rsid w:val="006E64D7"/>
    <w:rsid w:val="006F009E"/>
    <w:rsid w:val="006F32B7"/>
    <w:rsid w:val="006F5FB0"/>
    <w:rsid w:val="006F650A"/>
    <w:rsid w:val="006F73D5"/>
    <w:rsid w:val="006F79AC"/>
    <w:rsid w:val="00702429"/>
    <w:rsid w:val="00702AF0"/>
    <w:rsid w:val="007043B7"/>
    <w:rsid w:val="00710670"/>
    <w:rsid w:val="007116F9"/>
    <w:rsid w:val="00714A00"/>
    <w:rsid w:val="0072605B"/>
    <w:rsid w:val="00731423"/>
    <w:rsid w:val="00737598"/>
    <w:rsid w:val="007447D5"/>
    <w:rsid w:val="00744E59"/>
    <w:rsid w:val="0074680C"/>
    <w:rsid w:val="0074742A"/>
    <w:rsid w:val="00752145"/>
    <w:rsid w:val="00773604"/>
    <w:rsid w:val="00780E4F"/>
    <w:rsid w:val="00784163"/>
    <w:rsid w:val="00792D28"/>
    <w:rsid w:val="00793180"/>
    <w:rsid w:val="00794559"/>
    <w:rsid w:val="00794EF8"/>
    <w:rsid w:val="007A08B5"/>
    <w:rsid w:val="007B079D"/>
    <w:rsid w:val="007B07EC"/>
    <w:rsid w:val="007B23AC"/>
    <w:rsid w:val="007B24A0"/>
    <w:rsid w:val="007B57B8"/>
    <w:rsid w:val="007B6492"/>
    <w:rsid w:val="007B78B2"/>
    <w:rsid w:val="007C38F0"/>
    <w:rsid w:val="007C5002"/>
    <w:rsid w:val="007C504C"/>
    <w:rsid w:val="007D24E5"/>
    <w:rsid w:val="007D4E24"/>
    <w:rsid w:val="007D538B"/>
    <w:rsid w:val="007D692E"/>
    <w:rsid w:val="007D713E"/>
    <w:rsid w:val="007D7B0C"/>
    <w:rsid w:val="007E6B06"/>
    <w:rsid w:val="0080012B"/>
    <w:rsid w:val="00805473"/>
    <w:rsid w:val="00807245"/>
    <w:rsid w:val="008074EC"/>
    <w:rsid w:val="00807A78"/>
    <w:rsid w:val="00814EA6"/>
    <w:rsid w:val="0081612B"/>
    <w:rsid w:val="00816926"/>
    <w:rsid w:val="00816E8E"/>
    <w:rsid w:val="00840287"/>
    <w:rsid w:val="008639AE"/>
    <w:rsid w:val="008710FF"/>
    <w:rsid w:val="00871283"/>
    <w:rsid w:val="00872F13"/>
    <w:rsid w:val="008757A0"/>
    <w:rsid w:val="008762A4"/>
    <w:rsid w:val="008834BB"/>
    <w:rsid w:val="00895989"/>
    <w:rsid w:val="00895ADD"/>
    <w:rsid w:val="008A65A4"/>
    <w:rsid w:val="008C50C7"/>
    <w:rsid w:val="008D09B8"/>
    <w:rsid w:val="008D36F9"/>
    <w:rsid w:val="008E067B"/>
    <w:rsid w:val="008F1418"/>
    <w:rsid w:val="0091001E"/>
    <w:rsid w:val="00912E7D"/>
    <w:rsid w:val="00914CC5"/>
    <w:rsid w:val="00922C0A"/>
    <w:rsid w:val="009240AC"/>
    <w:rsid w:val="00926C6A"/>
    <w:rsid w:val="00927602"/>
    <w:rsid w:val="00935CFC"/>
    <w:rsid w:val="00936EA3"/>
    <w:rsid w:val="00942840"/>
    <w:rsid w:val="009438D4"/>
    <w:rsid w:val="009442C8"/>
    <w:rsid w:val="00950E03"/>
    <w:rsid w:val="00951DAA"/>
    <w:rsid w:val="00953AE1"/>
    <w:rsid w:val="0095481D"/>
    <w:rsid w:val="00956839"/>
    <w:rsid w:val="009568E1"/>
    <w:rsid w:val="00962B58"/>
    <w:rsid w:val="00963229"/>
    <w:rsid w:val="00964B0D"/>
    <w:rsid w:val="009757B1"/>
    <w:rsid w:val="00980CF5"/>
    <w:rsid w:val="00986F67"/>
    <w:rsid w:val="00994DAA"/>
    <w:rsid w:val="00997455"/>
    <w:rsid w:val="00997EEA"/>
    <w:rsid w:val="009A57FC"/>
    <w:rsid w:val="009A7313"/>
    <w:rsid w:val="009B4262"/>
    <w:rsid w:val="009B4366"/>
    <w:rsid w:val="009B4F9A"/>
    <w:rsid w:val="009B5BD4"/>
    <w:rsid w:val="009B6056"/>
    <w:rsid w:val="009C5903"/>
    <w:rsid w:val="009C592E"/>
    <w:rsid w:val="009C78BC"/>
    <w:rsid w:val="009D1683"/>
    <w:rsid w:val="009E2334"/>
    <w:rsid w:val="009E5D4E"/>
    <w:rsid w:val="009F0868"/>
    <w:rsid w:val="009F289B"/>
    <w:rsid w:val="009F3FBB"/>
    <w:rsid w:val="009F4D75"/>
    <w:rsid w:val="009F6CDB"/>
    <w:rsid w:val="009F7BD5"/>
    <w:rsid w:val="00A00681"/>
    <w:rsid w:val="00A03CA8"/>
    <w:rsid w:val="00A07F86"/>
    <w:rsid w:val="00A11395"/>
    <w:rsid w:val="00A138B6"/>
    <w:rsid w:val="00A141E4"/>
    <w:rsid w:val="00A20A96"/>
    <w:rsid w:val="00A23E22"/>
    <w:rsid w:val="00A25857"/>
    <w:rsid w:val="00A27033"/>
    <w:rsid w:val="00A31AE4"/>
    <w:rsid w:val="00A33977"/>
    <w:rsid w:val="00A362C7"/>
    <w:rsid w:val="00A41300"/>
    <w:rsid w:val="00A42747"/>
    <w:rsid w:val="00A4580A"/>
    <w:rsid w:val="00A506D9"/>
    <w:rsid w:val="00A615C9"/>
    <w:rsid w:val="00A62013"/>
    <w:rsid w:val="00A6582E"/>
    <w:rsid w:val="00A6748C"/>
    <w:rsid w:val="00A81C85"/>
    <w:rsid w:val="00A84923"/>
    <w:rsid w:val="00A84D6D"/>
    <w:rsid w:val="00A97F6F"/>
    <w:rsid w:val="00AA2A2F"/>
    <w:rsid w:val="00AB1B8D"/>
    <w:rsid w:val="00AB27BB"/>
    <w:rsid w:val="00AB6BAD"/>
    <w:rsid w:val="00AC1096"/>
    <w:rsid w:val="00AD0A78"/>
    <w:rsid w:val="00AD3E6A"/>
    <w:rsid w:val="00AD4906"/>
    <w:rsid w:val="00AE2703"/>
    <w:rsid w:val="00AF02D7"/>
    <w:rsid w:val="00AF569C"/>
    <w:rsid w:val="00B01212"/>
    <w:rsid w:val="00B16599"/>
    <w:rsid w:val="00B21D68"/>
    <w:rsid w:val="00B301AF"/>
    <w:rsid w:val="00B3252E"/>
    <w:rsid w:val="00B42A6A"/>
    <w:rsid w:val="00B47BA9"/>
    <w:rsid w:val="00B51A60"/>
    <w:rsid w:val="00B74B00"/>
    <w:rsid w:val="00B83065"/>
    <w:rsid w:val="00B908EC"/>
    <w:rsid w:val="00B90AC2"/>
    <w:rsid w:val="00BB0065"/>
    <w:rsid w:val="00BB0F3D"/>
    <w:rsid w:val="00BB21F0"/>
    <w:rsid w:val="00BB7B26"/>
    <w:rsid w:val="00BC1C56"/>
    <w:rsid w:val="00BC3566"/>
    <w:rsid w:val="00BC3A58"/>
    <w:rsid w:val="00BC4720"/>
    <w:rsid w:val="00BC4DD6"/>
    <w:rsid w:val="00BC7837"/>
    <w:rsid w:val="00BD3224"/>
    <w:rsid w:val="00BD6693"/>
    <w:rsid w:val="00BD7D0E"/>
    <w:rsid w:val="00BE06FE"/>
    <w:rsid w:val="00BE10C2"/>
    <w:rsid w:val="00BF7AEC"/>
    <w:rsid w:val="00C10DE1"/>
    <w:rsid w:val="00C1289B"/>
    <w:rsid w:val="00C15A45"/>
    <w:rsid w:val="00C16963"/>
    <w:rsid w:val="00C16B18"/>
    <w:rsid w:val="00C20936"/>
    <w:rsid w:val="00C23576"/>
    <w:rsid w:val="00C41755"/>
    <w:rsid w:val="00C4478C"/>
    <w:rsid w:val="00C511C1"/>
    <w:rsid w:val="00C5349E"/>
    <w:rsid w:val="00C548F8"/>
    <w:rsid w:val="00C55872"/>
    <w:rsid w:val="00C56F5F"/>
    <w:rsid w:val="00C71216"/>
    <w:rsid w:val="00C71368"/>
    <w:rsid w:val="00C84B10"/>
    <w:rsid w:val="00C87822"/>
    <w:rsid w:val="00CA0470"/>
    <w:rsid w:val="00CA3ED4"/>
    <w:rsid w:val="00CA47AB"/>
    <w:rsid w:val="00CA7769"/>
    <w:rsid w:val="00CB02A0"/>
    <w:rsid w:val="00CB063D"/>
    <w:rsid w:val="00CB248D"/>
    <w:rsid w:val="00CB4BB1"/>
    <w:rsid w:val="00CB4C0F"/>
    <w:rsid w:val="00CB65AD"/>
    <w:rsid w:val="00CD4A80"/>
    <w:rsid w:val="00D07CCF"/>
    <w:rsid w:val="00D11282"/>
    <w:rsid w:val="00D1263B"/>
    <w:rsid w:val="00D12E64"/>
    <w:rsid w:val="00D15F1E"/>
    <w:rsid w:val="00D16EAC"/>
    <w:rsid w:val="00D20CEA"/>
    <w:rsid w:val="00D231FD"/>
    <w:rsid w:val="00D3082F"/>
    <w:rsid w:val="00D30D42"/>
    <w:rsid w:val="00D30DE0"/>
    <w:rsid w:val="00D313C0"/>
    <w:rsid w:val="00D366ED"/>
    <w:rsid w:val="00D40289"/>
    <w:rsid w:val="00D91324"/>
    <w:rsid w:val="00D923F5"/>
    <w:rsid w:val="00D925CA"/>
    <w:rsid w:val="00DA16A6"/>
    <w:rsid w:val="00DA2CC7"/>
    <w:rsid w:val="00DA4028"/>
    <w:rsid w:val="00DA4F56"/>
    <w:rsid w:val="00DA5FE6"/>
    <w:rsid w:val="00DC0C31"/>
    <w:rsid w:val="00DC1D12"/>
    <w:rsid w:val="00DC24D7"/>
    <w:rsid w:val="00DC2C85"/>
    <w:rsid w:val="00DC4BA7"/>
    <w:rsid w:val="00DD243E"/>
    <w:rsid w:val="00DD5EF6"/>
    <w:rsid w:val="00DE5591"/>
    <w:rsid w:val="00DE693E"/>
    <w:rsid w:val="00DE6BA1"/>
    <w:rsid w:val="00DE6EA9"/>
    <w:rsid w:val="00DF03E3"/>
    <w:rsid w:val="00DF51A1"/>
    <w:rsid w:val="00DF565B"/>
    <w:rsid w:val="00DF7EBC"/>
    <w:rsid w:val="00E0222E"/>
    <w:rsid w:val="00E12428"/>
    <w:rsid w:val="00E131D8"/>
    <w:rsid w:val="00E14ED8"/>
    <w:rsid w:val="00E15E74"/>
    <w:rsid w:val="00E172B6"/>
    <w:rsid w:val="00E208FF"/>
    <w:rsid w:val="00E226E2"/>
    <w:rsid w:val="00E2434F"/>
    <w:rsid w:val="00E35E24"/>
    <w:rsid w:val="00E44C6F"/>
    <w:rsid w:val="00E47627"/>
    <w:rsid w:val="00E51307"/>
    <w:rsid w:val="00E535D8"/>
    <w:rsid w:val="00E56556"/>
    <w:rsid w:val="00E57DCB"/>
    <w:rsid w:val="00E6311D"/>
    <w:rsid w:val="00E8066C"/>
    <w:rsid w:val="00E80DAF"/>
    <w:rsid w:val="00E8628D"/>
    <w:rsid w:val="00E86780"/>
    <w:rsid w:val="00E87663"/>
    <w:rsid w:val="00E90972"/>
    <w:rsid w:val="00E9407B"/>
    <w:rsid w:val="00EA497A"/>
    <w:rsid w:val="00EA6263"/>
    <w:rsid w:val="00EB1001"/>
    <w:rsid w:val="00EB2B6F"/>
    <w:rsid w:val="00EB3CAB"/>
    <w:rsid w:val="00EC02D6"/>
    <w:rsid w:val="00EC7E97"/>
    <w:rsid w:val="00ED52FB"/>
    <w:rsid w:val="00EE58F4"/>
    <w:rsid w:val="00EE6009"/>
    <w:rsid w:val="00EE7145"/>
    <w:rsid w:val="00EF1DE6"/>
    <w:rsid w:val="00F11F06"/>
    <w:rsid w:val="00F13CC9"/>
    <w:rsid w:val="00F14262"/>
    <w:rsid w:val="00F1793C"/>
    <w:rsid w:val="00F26446"/>
    <w:rsid w:val="00F3121A"/>
    <w:rsid w:val="00F32A04"/>
    <w:rsid w:val="00F40C13"/>
    <w:rsid w:val="00F417F4"/>
    <w:rsid w:val="00F43A1F"/>
    <w:rsid w:val="00F4712A"/>
    <w:rsid w:val="00F5188B"/>
    <w:rsid w:val="00F701DB"/>
    <w:rsid w:val="00F711F9"/>
    <w:rsid w:val="00F73223"/>
    <w:rsid w:val="00F74E6B"/>
    <w:rsid w:val="00F84DCF"/>
    <w:rsid w:val="00F84FAF"/>
    <w:rsid w:val="00F87080"/>
    <w:rsid w:val="00FA3130"/>
    <w:rsid w:val="00FA6673"/>
    <w:rsid w:val="00FA67E0"/>
    <w:rsid w:val="00FB3239"/>
    <w:rsid w:val="00FB341E"/>
    <w:rsid w:val="00FB419B"/>
    <w:rsid w:val="00FB49CB"/>
    <w:rsid w:val="00FB55E5"/>
    <w:rsid w:val="00FB6F3B"/>
    <w:rsid w:val="00FC0886"/>
    <w:rsid w:val="00FC2B80"/>
    <w:rsid w:val="00FC5291"/>
    <w:rsid w:val="00FC6319"/>
    <w:rsid w:val="00FD2E01"/>
    <w:rsid w:val="00FD5C39"/>
    <w:rsid w:val="00FD6B32"/>
    <w:rsid w:val="00FD7E3B"/>
    <w:rsid w:val="00FE7BAB"/>
    <w:rsid w:val="00FF339A"/>
    <w:rsid w:val="00FF3417"/>
    <w:rsid w:val="00FF5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4182"/>
    </o:shapedefaults>
    <o:shapelayout v:ext="edit">
      <o:idmap v:ext="edit" data="1"/>
    </o:shapelayout>
  </w:shapeDefaults>
  <w:decimalSymbol w:val=","/>
  <w:listSeparator w:val=";"/>
  <w14:docId w14:val="6B8FFE77"/>
  <w15:docId w15:val="{DD07A0CE-AF41-471B-BECA-8FAF64FD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10"/>
    <w:rPr>
      <w:sz w:val="24"/>
      <w:szCs w:val="24"/>
    </w:rPr>
  </w:style>
  <w:style w:type="paragraph" w:styleId="Heading1">
    <w:name w:val="heading 1"/>
    <w:basedOn w:val="Normal"/>
    <w:next w:val="Normal"/>
    <w:qFormat/>
    <w:rsid w:val="009A57FC"/>
    <w:pPr>
      <w:keepNext/>
      <w:spacing w:before="240" w:after="120"/>
      <w:outlineLvl w:val="0"/>
    </w:pPr>
    <w:rPr>
      <w:rFonts w:cs="Arial"/>
      <w:b/>
      <w:bCs/>
      <w:caps/>
      <w:kern w:val="32"/>
      <w:sz w:val="28"/>
      <w:szCs w:val="32"/>
    </w:rPr>
  </w:style>
  <w:style w:type="paragraph" w:styleId="Heading2">
    <w:name w:val="heading 2"/>
    <w:basedOn w:val="Normal"/>
    <w:next w:val="Normal"/>
    <w:qFormat/>
    <w:rsid w:val="009A57FC"/>
    <w:pPr>
      <w:keepNext/>
      <w:spacing w:before="120" w:after="60"/>
      <w:outlineLvl w:val="1"/>
    </w:pPr>
    <w:rPr>
      <w:rFonts w:cs="Arial"/>
      <w:b/>
      <w:bCs/>
      <w:iCs/>
      <w:szCs w:val="28"/>
    </w:rPr>
  </w:style>
  <w:style w:type="paragraph" w:styleId="Heading3">
    <w:name w:val="heading 3"/>
    <w:basedOn w:val="Normal"/>
    <w:next w:val="Normal"/>
    <w:qFormat/>
    <w:rsid w:val="009A57FC"/>
    <w:pPr>
      <w:keepNext/>
      <w:spacing w:before="60" w:after="60"/>
      <w:outlineLvl w:val="2"/>
    </w:pPr>
    <w:rPr>
      <w:rFonts w:cs="Arial"/>
      <w:bCs/>
      <w:caps/>
      <w:szCs w:val="26"/>
    </w:rPr>
  </w:style>
  <w:style w:type="paragraph" w:styleId="Heading4">
    <w:name w:val="heading 4"/>
    <w:basedOn w:val="Normal"/>
    <w:next w:val="Normal"/>
    <w:link w:val="Heading4Char"/>
    <w:semiHidden/>
    <w:unhideWhenUsed/>
    <w:qFormat/>
    <w:rsid w:val="00FF3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64A4F"/>
    <w:pPr>
      <w:overflowPunct w:val="0"/>
      <w:autoSpaceDE w:val="0"/>
      <w:autoSpaceDN w:val="0"/>
      <w:adjustRightInd w:val="0"/>
      <w:spacing w:line="360" w:lineRule="auto"/>
      <w:jc w:val="both"/>
      <w:textAlignment w:val="baseline"/>
    </w:pPr>
    <w:rPr>
      <w:szCs w:val="20"/>
      <w:lang w:val="en-US"/>
    </w:rPr>
  </w:style>
  <w:style w:type="character" w:styleId="PageNumber">
    <w:name w:val="page number"/>
    <w:basedOn w:val="DefaultParagraphFont"/>
    <w:rsid w:val="00FD7E3B"/>
  </w:style>
  <w:style w:type="paragraph" w:styleId="Footer">
    <w:name w:val="footer"/>
    <w:basedOn w:val="Normal"/>
    <w:link w:val="FooterChar"/>
    <w:uiPriority w:val="99"/>
    <w:rsid w:val="009A57FC"/>
    <w:pPr>
      <w:tabs>
        <w:tab w:val="center" w:pos="4320"/>
        <w:tab w:val="right" w:pos="8640"/>
      </w:tabs>
      <w:spacing w:line="360" w:lineRule="auto"/>
      <w:jc w:val="center"/>
    </w:pPr>
    <w:rPr>
      <w:rFonts w:ascii="Calibri" w:hAnsi="Calibri"/>
      <w:color w:val="024182"/>
      <w:sz w:val="16"/>
      <w:szCs w:val="20"/>
    </w:rPr>
  </w:style>
  <w:style w:type="paragraph" w:customStyle="1" w:styleId="Uloga">
    <w:name w:val="Uloga"/>
    <w:basedOn w:val="Normal"/>
    <w:rsid w:val="00A615C9"/>
    <w:pPr>
      <w:tabs>
        <w:tab w:val="center" w:pos="7655"/>
      </w:tabs>
      <w:spacing w:before="240" w:after="600"/>
    </w:pPr>
    <w:rPr>
      <w:b/>
      <w:i/>
      <w:caps/>
      <w:sz w:val="20"/>
    </w:rPr>
  </w:style>
  <w:style w:type="table" w:styleId="TableGrid">
    <w:name w:val="Table Grid"/>
    <w:basedOn w:val="TableNormal"/>
    <w:rsid w:val="00FD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1212"/>
    <w:pPr>
      <w:tabs>
        <w:tab w:val="center" w:pos="4536"/>
        <w:tab w:val="right" w:pos="9072"/>
      </w:tabs>
    </w:pPr>
    <w:rPr>
      <w:rFonts w:ascii="Calibri" w:hAnsi="Calibri"/>
      <w:color w:val="024182"/>
      <w:sz w:val="16"/>
    </w:rPr>
  </w:style>
  <w:style w:type="paragraph" w:customStyle="1" w:styleId="Uloga-ime">
    <w:name w:val="Uloga - ime"/>
    <w:basedOn w:val="Normal"/>
    <w:rsid w:val="00A615C9"/>
    <w:pPr>
      <w:tabs>
        <w:tab w:val="center" w:pos="7655"/>
      </w:tabs>
      <w:spacing w:after="600"/>
    </w:pPr>
    <w:rPr>
      <w:b/>
      <w:i/>
      <w:sz w:val="22"/>
    </w:rPr>
  </w:style>
  <w:style w:type="paragraph" w:styleId="BalloonText">
    <w:name w:val="Balloon Text"/>
    <w:basedOn w:val="Normal"/>
    <w:link w:val="BalloonTextChar"/>
    <w:rsid w:val="00AF02D7"/>
    <w:rPr>
      <w:rFonts w:ascii="Tahoma" w:hAnsi="Tahoma" w:cs="Tahoma"/>
      <w:sz w:val="16"/>
      <w:szCs w:val="16"/>
    </w:rPr>
  </w:style>
  <w:style w:type="character" w:customStyle="1" w:styleId="BalloonTextChar">
    <w:name w:val="Balloon Text Char"/>
    <w:basedOn w:val="DefaultParagraphFont"/>
    <w:link w:val="BalloonText"/>
    <w:rsid w:val="00AF02D7"/>
    <w:rPr>
      <w:rFonts w:ascii="Tahoma" w:hAnsi="Tahoma" w:cs="Tahoma"/>
      <w:sz w:val="16"/>
      <w:szCs w:val="16"/>
    </w:rPr>
  </w:style>
  <w:style w:type="paragraph" w:customStyle="1" w:styleId="NormalTimesNewRoman">
    <w:name w:val="Normal + Times New Roman"/>
    <w:aliases w:val="9 pt,Iza:  0 pt,Prored:  jednostruko,12 pt,Obostrano,Prvi redak:  1,27 cm"/>
    <w:basedOn w:val="Normal"/>
    <w:rsid w:val="00313556"/>
    <w:pPr>
      <w:ind w:firstLine="708"/>
      <w:jc w:val="both"/>
    </w:pPr>
    <w:rPr>
      <w:rFonts w:eastAsia="Malgun Gothic"/>
      <w:lang w:eastAsia="ko-KR"/>
    </w:rPr>
  </w:style>
  <w:style w:type="paragraph" w:styleId="ListParagraph">
    <w:name w:val="List Paragraph"/>
    <w:basedOn w:val="Normal"/>
    <w:uiPriority w:val="34"/>
    <w:qFormat/>
    <w:rsid w:val="00313556"/>
    <w:pPr>
      <w:ind w:left="720"/>
    </w:pPr>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B47BA9"/>
    <w:rPr>
      <w:rFonts w:ascii="Calibri" w:hAnsi="Calibri"/>
      <w:color w:val="024182"/>
      <w:sz w:val="16"/>
    </w:rPr>
  </w:style>
  <w:style w:type="character" w:styleId="Hyperlink">
    <w:name w:val="Hyperlink"/>
    <w:basedOn w:val="DefaultParagraphFont"/>
    <w:uiPriority w:val="99"/>
    <w:unhideWhenUsed/>
    <w:rsid w:val="00950E03"/>
    <w:rPr>
      <w:color w:val="0000FF" w:themeColor="hyperlink"/>
      <w:u w:val="single"/>
    </w:rPr>
  </w:style>
  <w:style w:type="character" w:styleId="CommentReference">
    <w:name w:val="annotation reference"/>
    <w:basedOn w:val="DefaultParagraphFont"/>
    <w:semiHidden/>
    <w:unhideWhenUsed/>
    <w:rsid w:val="004104D0"/>
    <w:rPr>
      <w:sz w:val="16"/>
      <w:szCs w:val="16"/>
    </w:rPr>
  </w:style>
  <w:style w:type="paragraph" w:styleId="CommentText">
    <w:name w:val="annotation text"/>
    <w:basedOn w:val="Normal"/>
    <w:link w:val="CommentTextChar"/>
    <w:semiHidden/>
    <w:unhideWhenUsed/>
    <w:rsid w:val="004104D0"/>
    <w:rPr>
      <w:sz w:val="20"/>
      <w:szCs w:val="20"/>
    </w:rPr>
  </w:style>
  <w:style w:type="character" w:customStyle="1" w:styleId="CommentTextChar">
    <w:name w:val="Comment Text Char"/>
    <w:basedOn w:val="DefaultParagraphFont"/>
    <w:link w:val="CommentText"/>
    <w:semiHidden/>
    <w:rsid w:val="004104D0"/>
  </w:style>
  <w:style w:type="paragraph" w:styleId="CommentSubject">
    <w:name w:val="annotation subject"/>
    <w:basedOn w:val="CommentText"/>
    <w:next w:val="CommentText"/>
    <w:link w:val="CommentSubjectChar"/>
    <w:semiHidden/>
    <w:unhideWhenUsed/>
    <w:rsid w:val="004104D0"/>
    <w:rPr>
      <w:b/>
      <w:bCs/>
    </w:rPr>
  </w:style>
  <w:style w:type="character" w:customStyle="1" w:styleId="CommentSubjectChar">
    <w:name w:val="Comment Subject Char"/>
    <w:basedOn w:val="CommentTextChar"/>
    <w:link w:val="CommentSubject"/>
    <w:semiHidden/>
    <w:rsid w:val="004104D0"/>
    <w:rPr>
      <w:b/>
      <w:bCs/>
    </w:rPr>
  </w:style>
  <w:style w:type="paragraph" w:customStyle="1" w:styleId="t-10-9-kurz-s">
    <w:name w:val="t-10-9-kurz-s"/>
    <w:basedOn w:val="Normal"/>
    <w:rsid w:val="00C41755"/>
    <w:pPr>
      <w:spacing w:before="100" w:beforeAutospacing="1" w:after="100" w:afterAutospacing="1"/>
    </w:pPr>
  </w:style>
  <w:style w:type="paragraph" w:customStyle="1" w:styleId="clanak-">
    <w:name w:val="clanak-"/>
    <w:basedOn w:val="Normal"/>
    <w:rsid w:val="00C41755"/>
    <w:pPr>
      <w:spacing w:before="100" w:beforeAutospacing="1" w:after="100" w:afterAutospacing="1"/>
    </w:pPr>
  </w:style>
  <w:style w:type="paragraph" w:customStyle="1" w:styleId="t-9-8">
    <w:name w:val="t-9-8"/>
    <w:basedOn w:val="Normal"/>
    <w:rsid w:val="00C41755"/>
    <w:pPr>
      <w:spacing w:before="100" w:beforeAutospacing="1" w:after="100" w:afterAutospacing="1"/>
    </w:pPr>
  </w:style>
  <w:style w:type="character" w:customStyle="1" w:styleId="Heading4Char">
    <w:name w:val="Heading 4 Char"/>
    <w:basedOn w:val="DefaultParagraphFont"/>
    <w:link w:val="Heading4"/>
    <w:semiHidden/>
    <w:rsid w:val="00FF341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TE-Voetnoottekst"/>
    <w:basedOn w:val="Normal"/>
    <w:link w:val="FootnoteTextChar1"/>
    <w:uiPriority w:val="99"/>
    <w:qFormat/>
    <w:rsid w:val="00FF3417"/>
    <w:pPr>
      <w:jc w:val="both"/>
    </w:pPr>
    <w:rPr>
      <w:sz w:val="20"/>
      <w:szCs w:val="20"/>
      <w:lang w:eastAsia="en-US"/>
    </w:rPr>
  </w:style>
  <w:style w:type="character" w:customStyle="1" w:styleId="FootnoteTextChar">
    <w:name w:val="Footnote Text Char"/>
    <w:basedOn w:val="DefaultParagraphFont"/>
    <w:uiPriority w:val="99"/>
    <w:semiHidden/>
    <w:rsid w:val="00FF3417"/>
  </w:style>
  <w:style w:type="character" w:styleId="FootnoteReference">
    <w:name w:val="footnote reference"/>
    <w:uiPriority w:val="99"/>
    <w:rsid w:val="00FF3417"/>
    <w:rPr>
      <w:vertAlign w:val="superscript"/>
      <w:lang w:val="hr-HR"/>
    </w:rPr>
  </w:style>
  <w:style w:type="paragraph" w:styleId="BodyText">
    <w:name w:val="Body Text"/>
    <w:basedOn w:val="Normal"/>
    <w:link w:val="BodyTextChar"/>
    <w:qFormat/>
    <w:rsid w:val="00FF3417"/>
    <w:pPr>
      <w:spacing w:before="120" w:after="120"/>
      <w:jc w:val="both"/>
    </w:pPr>
  </w:style>
  <w:style w:type="character" w:customStyle="1" w:styleId="BodyTextChar">
    <w:name w:val="Body Text Char"/>
    <w:basedOn w:val="DefaultParagraphFont"/>
    <w:link w:val="BodyText"/>
    <w:rsid w:val="00FF3417"/>
    <w:rPr>
      <w:sz w:val="24"/>
      <w:szCs w:val="24"/>
    </w:rPr>
  </w:style>
  <w:style w:type="character" w:customStyle="1" w:styleId="FootnoteTextChar1">
    <w:name w:val="Footnote Text Char1"/>
    <w:aliases w:val="ALTS FOOTNOTE Char,DTE-Voetnoottekst Char"/>
    <w:link w:val="FootnoteText"/>
    <w:uiPriority w:val="99"/>
    <w:rsid w:val="00FF3417"/>
    <w:rPr>
      <w:lang w:eastAsia="en-US"/>
    </w:rPr>
  </w:style>
  <w:style w:type="paragraph" w:styleId="Caption">
    <w:name w:val="caption"/>
    <w:basedOn w:val="Normal"/>
    <w:next w:val="Normal"/>
    <w:uiPriority w:val="35"/>
    <w:unhideWhenUsed/>
    <w:qFormat/>
    <w:rsid w:val="00FF3417"/>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E535D8"/>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E535D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535D8"/>
    <w:rPr>
      <w:vertAlign w:val="superscript"/>
    </w:rPr>
  </w:style>
  <w:style w:type="character" w:styleId="FollowedHyperlink">
    <w:name w:val="FollowedHyperlink"/>
    <w:basedOn w:val="DefaultParagraphFont"/>
    <w:semiHidden/>
    <w:unhideWhenUsed/>
    <w:rsid w:val="004E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720">
      <w:bodyDiv w:val="1"/>
      <w:marLeft w:val="0"/>
      <w:marRight w:val="0"/>
      <w:marTop w:val="0"/>
      <w:marBottom w:val="0"/>
      <w:divBdr>
        <w:top w:val="none" w:sz="0" w:space="0" w:color="auto"/>
        <w:left w:val="none" w:sz="0" w:space="0" w:color="auto"/>
        <w:bottom w:val="none" w:sz="0" w:space="0" w:color="auto"/>
        <w:right w:val="none" w:sz="0" w:space="0" w:color="auto"/>
      </w:divBdr>
    </w:div>
    <w:div w:id="287322346">
      <w:bodyDiv w:val="1"/>
      <w:marLeft w:val="0"/>
      <w:marRight w:val="0"/>
      <w:marTop w:val="0"/>
      <w:marBottom w:val="0"/>
      <w:divBdr>
        <w:top w:val="none" w:sz="0" w:space="0" w:color="auto"/>
        <w:left w:val="none" w:sz="0" w:space="0" w:color="auto"/>
        <w:bottom w:val="none" w:sz="0" w:space="0" w:color="auto"/>
        <w:right w:val="none" w:sz="0" w:space="0" w:color="auto"/>
      </w:divBdr>
    </w:div>
    <w:div w:id="392510759">
      <w:bodyDiv w:val="1"/>
      <w:marLeft w:val="0"/>
      <w:marRight w:val="0"/>
      <w:marTop w:val="0"/>
      <w:marBottom w:val="0"/>
      <w:divBdr>
        <w:top w:val="none" w:sz="0" w:space="0" w:color="auto"/>
        <w:left w:val="none" w:sz="0" w:space="0" w:color="auto"/>
        <w:bottom w:val="none" w:sz="0" w:space="0" w:color="auto"/>
        <w:right w:val="none" w:sz="0" w:space="0" w:color="auto"/>
      </w:divBdr>
    </w:div>
    <w:div w:id="424420427">
      <w:bodyDiv w:val="1"/>
      <w:marLeft w:val="0"/>
      <w:marRight w:val="0"/>
      <w:marTop w:val="0"/>
      <w:marBottom w:val="0"/>
      <w:divBdr>
        <w:top w:val="none" w:sz="0" w:space="0" w:color="auto"/>
        <w:left w:val="none" w:sz="0" w:space="0" w:color="auto"/>
        <w:bottom w:val="none" w:sz="0" w:space="0" w:color="auto"/>
        <w:right w:val="none" w:sz="0" w:space="0" w:color="auto"/>
      </w:divBdr>
    </w:div>
    <w:div w:id="533881702">
      <w:bodyDiv w:val="1"/>
      <w:marLeft w:val="0"/>
      <w:marRight w:val="0"/>
      <w:marTop w:val="0"/>
      <w:marBottom w:val="0"/>
      <w:divBdr>
        <w:top w:val="none" w:sz="0" w:space="0" w:color="auto"/>
        <w:left w:val="none" w:sz="0" w:space="0" w:color="auto"/>
        <w:bottom w:val="none" w:sz="0" w:space="0" w:color="auto"/>
        <w:right w:val="none" w:sz="0" w:space="0" w:color="auto"/>
      </w:divBdr>
    </w:div>
    <w:div w:id="696203616">
      <w:bodyDiv w:val="1"/>
      <w:marLeft w:val="0"/>
      <w:marRight w:val="0"/>
      <w:marTop w:val="0"/>
      <w:marBottom w:val="0"/>
      <w:divBdr>
        <w:top w:val="none" w:sz="0" w:space="0" w:color="auto"/>
        <w:left w:val="none" w:sz="0" w:space="0" w:color="auto"/>
        <w:bottom w:val="none" w:sz="0" w:space="0" w:color="auto"/>
        <w:right w:val="none" w:sz="0" w:space="0" w:color="auto"/>
      </w:divBdr>
    </w:div>
    <w:div w:id="792137845">
      <w:bodyDiv w:val="1"/>
      <w:marLeft w:val="0"/>
      <w:marRight w:val="0"/>
      <w:marTop w:val="0"/>
      <w:marBottom w:val="0"/>
      <w:divBdr>
        <w:top w:val="none" w:sz="0" w:space="0" w:color="auto"/>
        <w:left w:val="none" w:sz="0" w:space="0" w:color="auto"/>
        <w:bottom w:val="none" w:sz="0" w:space="0" w:color="auto"/>
        <w:right w:val="none" w:sz="0" w:space="0" w:color="auto"/>
      </w:divBdr>
    </w:div>
    <w:div w:id="869224830">
      <w:bodyDiv w:val="1"/>
      <w:marLeft w:val="0"/>
      <w:marRight w:val="0"/>
      <w:marTop w:val="0"/>
      <w:marBottom w:val="0"/>
      <w:divBdr>
        <w:top w:val="none" w:sz="0" w:space="0" w:color="auto"/>
        <w:left w:val="none" w:sz="0" w:space="0" w:color="auto"/>
        <w:bottom w:val="none" w:sz="0" w:space="0" w:color="auto"/>
        <w:right w:val="none" w:sz="0" w:space="0" w:color="auto"/>
      </w:divBdr>
    </w:div>
    <w:div w:id="1154300930">
      <w:bodyDiv w:val="1"/>
      <w:marLeft w:val="0"/>
      <w:marRight w:val="0"/>
      <w:marTop w:val="0"/>
      <w:marBottom w:val="0"/>
      <w:divBdr>
        <w:top w:val="none" w:sz="0" w:space="0" w:color="auto"/>
        <w:left w:val="none" w:sz="0" w:space="0" w:color="auto"/>
        <w:bottom w:val="none" w:sz="0" w:space="0" w:color="auto"/>
        <w:right w:val="none" w:sz="0" w:space="0" w:color="auto"/>
      </w:divBdr>
    </w:div>
    <w:div w:id="1257666557">
      <w:bodyDiv w:val="1"/>
      <w:marLeft w:val="0"/>
      <w:marRight w:val="0"/>
      <w:marTop w:val="0"/>
      <w:marBottom w:val="0"/>
      <w:divBdr>
        <w:top w:val="none" w:sz="0" w:space="0" w:color="auto"/>
        <w:left w:val="none" w:sz="0" w:space="0" w:color="auto"/>
        <w:bottom w:val="none" w:sz="0" w:space="0" w:color="auto"/>
        <w:right w:val="none" w:sz="0" w:space="0" w:color="auto"/>
      </w:divBdr>
    </w:div>
    <w:div w:id="1344473345">
      <w:bodyDiv w:val="1"/>
      <w:marLeft w:val="0"/>
      <w:marRight w:val="0"/>
      <w:marTop w:val="0"/>
      <w:marBottom w:val="0"/>
      <w:divBdr>
        <w:top w:val="none" w:sz="0" w:space="0" w:color="auto"/>
        <w:left w:val="none" w:sz="0" w:space="0" w:color="auto"/>
        <w:bottom w:val="none" w:sz="0" w:space="0" w:color="auto"/>
        <w:right w:val="none" w:sz="0" w:space="0" w:color="auto"/>
      </w:divBdr>
    </w:div>
    <w:div w:id="1439134372">
      <w:bodyDiv w:val="1"/>
      <w:marLeft w:val="0"/>
      <w:marRight w:val="0"/>
      <w:marTop w:val="0"/>
      <w:marBottom w:val="0"/>
      <w:divBdr>
        <w:top w:val="none" w:sz="0" w:space="0" w:color="auto"/>
        <w:left w:val="none" w:sz="0" w:space="0" w:color="auto"/>
        <w:bottom w:val="none" w:sz="0" w:space="0" w:color="auto"/>
        <w:right w:val="none" w:sz="0" w:space="0" w:color="auto"/>
      </w:divBdr>
    </w:div>
    <w:div w:id="1519345217">
      <w:bodyDiv w:val="1"/>
      <w:marLeft w:val="0"/>
      <w:marRight w:val="0"/>
      <w:marTop w:val="0"/>
      <w:marBottom w:val="0"/>
      <w:divBdr>
        <w:top w:val="none" w:sz="0" w:space="0" w:color="auto"/>
        <w:left w:val="none" w:sz="0" w:space="0" w:color="auto"/>
        <w:bottom w:val="none" w:sz="0" w:space="0" w:color="auto"/>
        <w:right w:val="none" w:sz="0" w:space="0" w:color="auto"/>
      </w:divBdr>
    </w:div>
    <w:div w:id="1591816217">
      <w:bodyDiv w:val="1"/>
      <w:marLeft w:val="0"/>
      <w:marRight w:val="0"/>
      <w:marTop w:val="0"/>
      <w:marBottom w:val="0"/>
      <w:divBdr>
        <w:top w:val="none" w:sz="0" w:space="0" w:color="auto"/>
        <w:left w:val="none" w:sz="0" w:space="0" w:color="auto"/>
        <w:bottom w:val="none" w:sz="0" w:space="0" w:color="auto"/>
        <w:right w:val="none" w:sz="0" w:space="0" w:color="auto"/>
      </w:divBdr>
    </w:div>
    <w:div w:id="1686908385">
      <w:bodyDiv w:val="1"/>
      <w:marLeft w:val="0"/>
      <w:marRight w:val="0"/>
      <w:marTop w:val="0"/>
      <w:marBottom w:val="0"/>
      <w:divBdr>
        <w:top w:val="none" w:sz="0" w:space="0" w:color="auto"/>
        <w:left w:val="none" w:sz="0" w:space="0" w:color="auto"/>
        <w:bottom w:val="none" w:sz="0" w:space="0" w:color="auto"/>
        <w:right w:val="none" w:sz="0" w:space="0" w:color="auto"/>
      </w:divBdr>
    </w:div>
    <w:div w:id="1780761016">
      <w:bodyDiv w:val="1"/>
      <w:marLeft w:val="0"/>
      <w:marRight w:val="0"/>
      <w:marTop w:val="0"/>
      <w:marBottom w:val="0"/>
      <w:divBdr>
        <w:top w:val="none" w:sz="0" w:space="0" w:color="auto"/>
        <w:left w:val="none" w:sz="0" w:space="0" w:color="auto"/>
        <w:bottom w:val="none" w:sz="0" w:space="0" w:color="auto"/>
        <w:right w:val="none" w:sz="0" w:space="0" w:color="auto"/>
      </w:divBdr>
    </w:div>
    <w:div w:id="1783652166">
      <w:bodyDiv w:val="1"/>
      <w:marLeft w:val="0"/>
      <w:marRight w:val="0"/>
      <w:marTop w:val="0"/>
      <w:marBottom w:val="0"/>
      <w:divBdr>
        <w:top w:val="none" w:sz="0" w:space="0" w:color="auto"/>
        <w:left w:val="none" w:sz="0" w:space="0" w:color="auto"/>
        <w:bottom w:val="none" w:sz="0" w:space="0" w:color="auto"/>
        <w:right w:val="none" w:sz="0" w:space="0" w:color="auto"/>
      </w:divBdr>
    </w:div>
    <w:div w:id="1789470125">
      <w:bodyDiv w:val="1"/>
      <w:marLeft w:val="0"/>
      <w:marRight w:val="0"/>
      <w:marTop w:val="0"/>
      <w:marBottom w:val="0"/>
      <w:divBdr>
        <w:top w:val="none" w:sz="0" w:space="0" w:color="auto"/>
        <w:left w:val="none" w:sz="0" w:space="0" w:color="auto"/>
        <w:bottom w:val="none" w:sz="0" w:space="0" w:color="auto"/>
        <w:right w:val="none" w:sz="0" w:space="0" w:color="auto"/>
      </w:divBdr>
    </w:div>
    <w:div w:id="1940985113">
      <w:bodyDiv w:val="1"/>
      <w:marLeft w:val="0"/>
      <w:marRight w:val="0"/>
      <w:marTop w:val="0"/>
      <w:marBottom w:val="0"/>
      <w:divBdr>
        <w:top w:val="none" w:sz="0" w:space="0" w:color="auto"/>
        <w:left w:val="none" w:sz="0" w:space="0" w:color="auto"/>
        <w:bottom w:val="none" w:sz="0" w:space="0" w:color="auto"/>
        <w:right w:val="none" w:sz="0" w:space="0" w:color="auto"/>
      </w:divBdr>
    </w:div>
    <w:div w:id="1970938553">
      <w:bodyDiv w:val="1"/>
      <w:marLeft w:val="0"/>
      <w:marRight w:val="0"/>
      <w:marTop w:val="0"/>
      <w:marBottom w:val="0"/>
      <w:divBdr>
        <w:top w:val="none" w:sz="0" w:space="0" w:color="auto"/>
        <w:left w:val="none" w:sz="0" w:space="0" w:color="auto"/>
        <w:bottom w:val="none" w:sz="0" w:space="0" w:color="auto"/>
        <w:right w:val="none" w:sz="0" w:space="0" w:color="auto"/>
      </w:divBdr>
    </w:div>
    <w:div w:id="2013142396">
      <w:bodyDiv w:val="1"/>
      <w:marLeft w:val="0"/>
      <w:marRight w:val="0"/>
      <w:marTop w:val="0"/>
      <w:marBottom w:val="0"/>
      <w:divBdr>
        <w:top w:val="none" w:sz="0" w:space="0" w:color="auto"/>
        <w:left w:val="none" w:sz="0" w:space="0" w:color="auto"/>
        <w:bottom w:val="none" w:sz="0" w:space="0" w:color="auto"/>
        <w:right w:val="none" w:sz="0" w:space="0" w:color="auto"/>
      </w:divBdr>
    </w:div>
    <w:div w:id="20805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document_register/subject_matter/berec/reports/9364-berec-report-on-wacc-parameter-calculations-according-to-the-european-commission8217s-wacc-notice" TargetMode="External"/><Relationship Id="rId2" Type="http://schemas.openxmlformats.org/officeDocument/2006/relationships/hyperlink" Target="https://berec.europa.eu/eng/document_register/subject_matter/berec/reports/10274-berec-report-on-wacc-parameter-calculations-according-to-the-european-commissions-wacc-notice-wacc-parameters-report-2022" TargetMode="External"/><Relationship Id="rId1" Type="http://schemas.openxmlformats.org/officeDocument/2006/relationships/hyperlink" Target="https://eur-lex.europa.eu/legal-content/HR/TXT/?uri=CELEX:52019XC1106(01)" TargetMode="External"/><Relationship Id="rId4" Type="http://schemas.openxmlformats.org/officeDocument/2006/relationships/hyperlink" Target="https://www.cullen-international.com/client/site/documents/CTTEEU202001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64D133891958459AE81003228E31AE" ma:contentTypeVersion="3" ma:contentTypeDescription="Stvaranje novog dokumenta." ma:contentTypeScope="" ma:versionID="ed2ea0fc914c9fe856b16804f9017ec3">
  <xsd:schema xmlns:xsd="http://www.w3.org/2001/XMLSchema" xmlns:xs="http://www.w3.org/2001/XMLSchema" xmlns:p="http://schemas.microsoft.com/office/2006/metadata/properties" xmlns:ns2="f45d8b5b-b624-41fb-afb8-da03212d0f19" targetNamespace="http://schemas.microsoft.com/office/2006/metadata/properties" ma:root="true" ma:fieldsID="252a417815a7f7c55b63c71a016e8da7" ns2:_="">
    <xsd:import namespace="f45d8b5b-b624-41fb-afb8-da03212d0f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8b5b-b624-41fb-afb8-da03212d0f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F885-87C8-419C-A7E2-6E6EF0AD4BFF}">
  <ds:schemaRefs>
    <ds:schemaRef ds:uri="http://schemas.microsoft.com/sharepoint/v3/contenttype/forms"/>
  </ds:schemaRefs>
</ds:datastoreItem>
</file>

<file path=customXml/itemProps2.xml><?xml version="1.0" encoding="utf-8"?>
<ds:datastoreItem xmlns:ds="http://schemas.openxmlformats.org/officeDocument/2006/customXml" ds:itemID="{643F1B32-05A0-4A83-998A-EACFC2E2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8b5b-b624-41fb-afb8-da03212d0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6945B-9DB6-418A-824E-F9B948076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1C535-0486-4A52-9D0E-139059E2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3127</Words>
  <Characters>17827</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Memorandum - Executive director</vt:lpstr>
      <vt:lpstr>Memorandum - Executive director</vt:lpstr>
    </vt:vector>
  </TitlesOfParts>
  <Manager>Mirjana Todorić</Manager>
  <Company>HAKOM</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Executive director</dc:title>
  <dc:subject>Memorandum</dc:subject>
  <dc:creator>Cornelia Krušlin</dc:creator>
  <cp:keywords>English version</cp:keywords>
  <cp:lastModifiedBy>Nataša Oliva Prgeša</cp:lastModifiedBy>
  <cp:revision>3</cp:revision>
  <cp:lastPrinted>2022-06-14T11:24:00Z</cp:lastPrinted>
  <dcterms:created xsi:type="dcterms:W3CDTF">2022-07-04T07:26:00Z</dcterms:created>
  <dcterms:modified xsi:type="dcterms:W3CDTF">2022-07-04T07:27:00Z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ija">
    <vt:lpwstr>3</vt:lpwstr>
  </property>
  <property fmtid="{D5CDD505-2E9C-101B-9397-08002B2CF9AE}" pid="3" name="revizija">
    <vt:lpwstr>0</vt:lpwstr>
  </property>
  <property fmtid="{D5CDD505-2E9C-101B-9397-08002B2CF9AE}" pid="4" name="Datum dovršetka">
    <vt:filetime>2012-08-31T22:00:00Z</vt:filetime>
  </property>
  <property fmtid="{D5CDD505-2E9C-101B-9397-08002B2CF9AE}" pid="5" name="Odjel">
    <vt:lpwstr>Zajednički poslovi</vt:lpwstr>
  </property>
  <property fmtid="{D5CDD505-2E9C-101B-9397-08002B2CF9AE}" pid="6" name="Office">
    <vt:lpwstr>HAKOM</vt:lpwstr>
  </property>
  <property fmtid="{D5CDD505-2E9C-101B-9397-08002B2CF9AE}" pid="7" name="Provjerio">
    <vt:lpwstr>Mirjana Todorić</vt:lpwstr>
  </property>
  <property fmtid="{D5CDD505-2E9C-101B-9397-08002B2CF9AE}" pid="8" name="Uređivač">
    <vt:lpwstr>Cornelia Krušlin</vt:lpwstr>
  </property>
  <property fmtid="{D5CDD505-2E9C-101B-9397-08002B2CF9AE}" pid="9" name="Vlasnik">
    <vt:lpwstr>HAKOM</vt:lpwstr>
  </property>
  <property fmtid="{D5CDD505-2E9C-101B-9397-08002B2CF9AE}" pid="10" name="Jezik">
    <vt:lpwstr>engleski</vt:lpwstr>
  </property>
  <property fmtid="{D5CDD505-2E9C-101B-9397-08002B2CF9AE}" pid="11" name="ContentTypeId">
    <vt:lpwstr>0x0101005F64D133891958459AE81003228E31AE</vt:lpwstr>
  </property>
  <property fmtid="{D5CDD505-2E9C-101B-9397-08002B2CF9AE}" pid="12" name="Order">
    <vt:r8>249100</vt:r8>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ies>
</file>