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export-amendments-table"/>
        <w:tblW w:w="5369" w:type="pct"/>
        <w:tblInd w:w="-572" w:type="dxa"/>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ayout w:type="fixed"/>
        <w:tblCellMar>
          <w:top w:w="15" w:type="dxa"/>
          <w:left w:w="15" w:type="dxa"/>
          <w:bottom w:w="15" w:type="dxa"/>
          <w:right w:w="15" w:type="dxa"/>
        </w:tblCellMar>
        <w:tblLook w:val="04A0" w:firstRow="1" w:lastRow="0" w:firstColumn="1" w:lastColumn="0" w:noHBand="0" w:noVBand="1"/>
      </w:tblPr>
      <w:tblGrid>
        <w:gridCol w:w="851"/>
        <w:gridCol w:w="1277"/>
        <w:gridCol w:w="12899"/>
      </w:tblGrid>
      <w:tr w:rsidR="00035061" w:rsidRPr="00293ED2" w14:paraId="74CBA784" w14:textId="4F955728" w:rsidTr="00035061">
        <w:tc>
          <w:tcPr>
            <w:tcW w:w="283" w:type="pct"/>
            <w:tcMar>
              <w:top w:w="105" w:type="dxa"/>
              <w:left w:w="112" w:type="dxa"/>
              <w:bottom w:w="105" w:type="dxa"/>
              <w:right w:w="112" w:type="dxa"/>
            </w:tcMar>
          </w:tcPr>
          <w:p w14:paraId="4F4217C3" w14:textId="76DCC181" w:rsidR="00035061" w:rsidRPr="00DD6C73" w:rsidRDefault="00035061" w:rsidP="000A22A4">
            <w:pPr>
              <w:spacing w:before="120" w:after="120"/>
              <w:rPr>
                <w:rFonts w:asciiTheme="minorHAnsi" w:eastAsia="Times" w:hAnsiTheme="minorHAnsi" w:cstheme="minorHAnsi"/>
                <w:b/>
                <w:bCs/>
                <w:color w:val="2E74B5"/>
              </w:rPr>
            </w:pPr>
            <w:r w:rsidRPr="00DD6C73">
              <w:rPr>
                <w:rFonts w:asciiTheme="minorHAnsi" w:eastAsia="Times" w:hAnsiTheme="minorHAnsi" w:cstheme="minorHAnsi"/>
                <w:b/>
                <w:bCs/>
                <w:color w:val="2E74B5"/>
              </w:rPr>
              <w:t>Br.</w:t>
            </w:r>
            <w:r>
              <w:rPr>
                <w:rFonts w:asciiTheme="minorHAnsi" w:eastAsia="Times" w:hAnsiTheme="minorHAnsi" w:cstheme="minorHAnsi"/>
                <w:b/>
                <w:bCs/>
                <w:color w:val="2E74B5"/>
              </w:rPr>
              <w:t xml:space="preserve"> </w:t>
            </w:r>
          </w:p>
        </w:tc>
        <w:tc>
          <w:tcPr>
            <w:tcW w:w="425" w:type="pct"/>
            <w:tcMar>
              <w:top w:w="105" w:type="dxa"/>
              <w:left w:w="112" w:type="dxa"/>
              <w:bottom w:w="105" w:type="dxa"/>
              <w:right w:w="112" w:type="dxa"/>
            </w:tcMar>
          </w:tcPr>
          <w:p w14:paraId="3596765F" w14:textId="77777777" w:rsidR="00035061" w:rsidRPr="00DD6C73" w:rsidRDefault="00035061" w:rsidP="000A22A4">
            <w:pPr>
              <w:spacing w:before="120" w:after="120"/>
              <w:rPr>
                <w:rFonts w:asciiTheme="minorHAnsi" w:eastAsia="Times" w:hAnsiTheme="minorHAnsi" w:cstheme="minorHAnsi"/>
                <w:b/>
                <w:bCs/>
                <w:color w:val="2E74B5"/>
              </w:rPr>
            </w:pPr>
            <w:r w:rsidRPr="00DD6C73">
              <w:rPr>
                <w:rFonts w:asciiTheme="minorHAnsi" w:eastAsia="Times" w:hAnsiTheme="minorHAnsi" w:cstheme="minorHAnsi"/>
                <w:b/>
                <w:bCs/>
                <w:color w:val="2E74B5"/>
              </w:rPr>
              <w:t>Ispitanik</w:t>
            </w:r>
          </w:p>
        </w:tc>
        <w:tc>
          <w:tcPr>
            <w:tcW w:w="4292" w:type="pct"/>
            <w:tcMar>
              <w:top w:w="105" w:type="dxa"/>
              <w:left w:w="112" w:type="dxa"/>
              <w:bottom w:w="105" w:type="dxa"/>
              <w:right w:w="112" w:type="dxa"/>
            </w:tcMar>
          </w:tcPr>
          <w:p w14:paraId="6847EEE1" w14:textId="7F014A97" w:rsidR="00035061" w:rsidRPr="00DD6C73" w:rsidRDefault="00035061" w:rsidP="000A22A4">
            <w:pPr>
              <w:spacing w:before="120" w:after="120"/>
              <w:rPr>
                <w:rFonts w:asciiTheme="minorHAnsi" w:eastAsia="Times" w:hAnsiTheme="minorHAnsi" w:cstheme="minorHAnsi"/>
                <w:b/>
                <w:bCs/>
                <w:color w:val="2E74B5"/>
              </w:rPr>
            </w:pPr>
            <w:r w:rsidRPr="00DD6C73">
              <w:rPr>
                <w:rFonts w:asciiTheme="minorHAnsi" w:eastAsia="Times" w:hAnsiTheme="minorHAnsi" w:cstheme="minorHAnsi"/>
                <w:b/>
                <w:bCs/>
                <w:color w:val="2E74B5"/>
              </w:rPr>
              <w:t>Zaprimljeni komentari</w:t>
            </w:r>
            <w:r w:rsidR="00CC2DB9">
              <w:rPr>
                <w:rFonts w:asciiTheme="minorHAnsi" w:eastAsia="Times" w:hAnsiTheme="minorHAnsi" w:cstheme="minorHAnsi"/>
                <w:b/>
                <w:bCs/>
                <w:color w:val="2E74B5"/>
              </w:rPr>
              <w:t>-</w:t>
            </w:r>
            <w:r w:rsidR="00CC2DB9" w:rsidRPr="00BC3F71">
              <w:rPr>
                <w:rFonts w:asciiTheme="minorHAnsi" w:eastAsia="Times" w:hAnsiTheme="minorHAnsi" w:cstheme="minorHAnsi"/>
                <w:b/>
                <w:bCs/>
                <w:color w:val="2E74B5"/>
              </w:rPr>
              <w:t xml:space="preserve"> Određivanje jednokratnih naknada na tržištu M4 i ex M14 izmjena SP Hrvatskog telekoma d.d. za uslugu veleprodajnog visokokvalitetnog pristupa</w:t>
            </w:r>
          </w:p>
        </w:tc>
      </w:tr>
      <w:tr w:rsidR="00035061" w:rsidRPr="00794AA9" w14:paraId="52645182" w14:textId="66B5F032" w:rsidTr="00DD61F9">
        <w:trPr>
          <w:trHeight w:val="2277"/>
        </w:trPr>
        <w:tc>
          <w:tcPr>
            <w:tcW w:w="283" w:type="pct"/>
            <w:noWrap/>
            <w:tcMar>
              <w:top w:w="105" w:type="dxa"/>
              <w:left w:w="112" w:type="dxa"/>
              <w:bottom w:w="105" w:type="dxa"/>
              <w:right w:w="112" w:type="dxa"/>
            </w:tcMar>
          </w:tcPr>
          <w:p w14:paraId="43E6728E" w14:textId="77777777" w:rsidR="00035061" w:rsidRPr="00DD6C73" w:rsidRDefault="00035061" w:rsidP="00DD61F9">
            <w:pPr>
              <w:pStyle w:val="ListParagraph"/>
              <w:numPr>
                <w:ilvl w:val="0"/>
                <w:numId w:val="29"/>
              </w:numPr>
              <w:spacing w:before="120" w:after="120" w:line="240" w:lineRule="auto"/>
              <w:rPr>
                <w:rFonts w:asciiTheme="minorHAnsi" w:eastAsia="Times" w:hAnsiTheme="minorHAnsi" w:cstheme="minorHAnsi"/>
                <w:b/>
                <w:bCs/>
                <w:color w:val="2E74B5"/>
              </w:rPr>
            </w:pPr>
          </w:p>
        </w:tc>
        <w:tc>
          <w:tcPr>
            <w:tcW w:w="425" w:type="pct"/>
            <w:tcMar>
              <w:top w:w="105" w:type="dxa"/>
              <w:left w:w="112" w:type="dxa"/>
              <w:bottom w:w="105" w:type="dxa"/>
              <w:right w:w="112" w:type="dxa"/>
            </w:tcMar>
          </w:tcPr>
          <w:p w14:paraId="7AC5984F" w14:textId="5CAC8E0D" w:rsidR="00035061" w:rsidRPr="00DD6C73" w:rsidRDefault="00035061"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4292" w:type="pct"/>
            <w:tcMar>
              <w:top w:w="105" w:type="dxa"/>
              <w:left w:w="112" w:type="dxa"/>
              <w:bottom w:w="105" w:type="dxa"/>
              <w:right w:w="112" w:type="dxa"/>
            </w:tcMar>
          </w:tcPr>
          <w:p w14:paraId="3539FF32" w14:textId="53CADD60" w:rsidR="00035061" w:rsidRPr="00D613B4" w:rsidRDefault="00035061" w:rsidP="00BC3F71">
            <w:pPr>
              <w:ind w:left="8" w:right="312"/>
              <w:jc w:val="both"/>
              <w:rPr>
                <w:rFonts w:asciiTheme="minorHAnsi" w:eastAsia="Calibri" w:hAnsiTheme="minorHAnsi" w:cstheme="minorHAnsi"/>
              </w:rPr>
            </w:pPr>
            <w:r>
              <w:rPr>
                <w:rFonts w:asciiTheme="minorHAnsi" w:eastAsia="Calibri" w:hAnsiTheme="minorHAnsi" w:cstheme="minorHAnsi"/>
              </w:rPr>
              <w:t>U</w:t>
            </w:r>
            <w:r w:rsidRPr="00BC3F71">
              <w:rPr>
                <w:rFonts w:asciiTheme="minorHAnsi" w:eastAsia="Calibri" w:hAnsiTheme="minorHAnsi" w:cstheme="minorHAnsi"/>
              </w:rPr>
              <w:t xml:space="preserve"> Privitku 1 navode </w:t>
            </w:r>
            <w:r>
              <w:rPr>
                <w:rFonts w:asciiTheme="minorHAnsi" w:eastAsia="Calibri" w:hAnsiTheme="minorHAnsi" w:cstheme="minorHAnsi"/>
              </w:rPr>
              <w:t xml:space="preserve">se </w:t>
            </w:r>
            <w:r w:rsidRPr="00BC3F71">
              <w:rPr>
                <w:rFonts w:asciiTheme="minorHAnsi" w:eastAsia="Calibri" w:hAnsiTheme="minorHAnsi" w:cstheme="minorHAnsi"/>
              </w:rPr>
              <w:t>različite aktivnosti vezane uz konfiguracije raznih HT sustava, kao i tzv. WS provisioning u iznosu od 604,58 kn. S obzirom da su navedene aktivnosti, prema mišljenju A1, već uključene u mjesečne naknade kroz veleprodajne specifične troškove u troškovnom modelu HAKOM-a, postavlja se pitanje zašto se navedene aktivnosti ponovo navode i u kontekstu aktivnosti koje je potrebno uključiti u iznose jednokratnih naknada. Ako navedene aktivnosti nisu uključene u mjesečnu naknadu usluge kroz veleprodajne specifične troškove, A1 moli HAKOM da objavi koji su onda točno troškovi s pripadajućim aktivnostima uključeni u navedene troškove u BULRIC troškovnom modelu HAKOM-a.</w:t>
            </w:r>
            <w:r>
              <w:rPr>
                <w:rFonts w:asciiTheme="minorHAnsi" w:eastAsia="Calibri" w:hAnsiTheme="minorHAnsi" w:cstheme="minorHAnsi"/>
              </w:rPr>
              <w:t xml:space="preserve"> </w:t>
            </w:r>
            <w:r w:rsidRPr="00BC3F71">
              <w:rPr>
                <w:rFonts w:asciiTheme="minorHAnsi" w:eastAsia="Calibri" w:hAnsiTheme="minorHAnsi" w:cstheme="minorHAnsi"/>
              </w:rPr>
              <w:t>A1 smatra da je potrebno detaljno analizirati sve OPEX troškove koji su već uključeni u mjesečne naknade na temelju troškovnog modela HAKOM</w:t>
            </w:r>
            <w:r>
              <w:rPr>
                <w:rFonts w:asciiTheme="minorHAnsi" w:eastAsia="Calibri" w:hAnsiTheme="minorHAnsi" w:cstheme="minorHAnsi"/>
              </w:rPr>
              <w:t>-</w:t>
            </w:r>
            <w:r w:rsidRPr="00BC3F71">
              <w:rPr>
                <w:rFonts w:asciiTheme="minorHAnsi" w:eastAsia="Calibri" w:hAnsiTheme="minorHAnsi" w:cstheme="minorHAnsi"/>
              </w:rPr>
              <w:t>a te iste isključiti iz iznosa jednokratnih naknada koje se određuju ovom odlukom. U suprotnom će se dogoditi da operatori korisnici kroz nove jednokratne i mjesečne naknade nadoknađuju HT-u iste troškove više puta.</w:t>
            </w:r>
          </w:p>
        </w:tc>
      </w:tr>
      <w:tr w:rsidR="00035061" w:rsidRPr="00794AA9" w14:paraId="73DF7B75" w14:textId="7F114E71" w:rsidTr="00035061">
        <w:tc>
          <w:tcPr>
            <w:tcW w:w="283" w:type="pct"/>
            <w:noWrap/>
            <w:tcMar>
              <w:top w:w="105" w:type="dxa"/>
              <w:left w:w="112" w:type="dxa"/>
              <w:bottom w:w="105" w:type="dxa"/>
              <w:right w:w="112" w:type="dxa"/>
            </w:tcMar>
          </w:tcPr>
          <w:p w14:paraId="6D97DC83" w14:textId="20D3BDB9" w:rsidR="00035061" w:rsidRPr="00DD6C73" w:rsidRDefault="00035061" w:rsidP="00DD61F9">
            <w:pPr>
              <w:pStyle w:val="ListParagraph"/>
              <w:numPr>
                <w:ilvl w:val="0"/>
                <w:numId w:val="29"/>
              </w:numPr>
              <w:spacing w:before="120" w:after="120" w:line="240" w:lineRule="auto"/>
              <w:rPr>
                <w:rFonts w:asciiTheme="minorHAnsi" w:eastAsia="Times" w:hAnsiTheme="minorHAnsi" w:cstheme="minorHAnsi"/>
                <w:b/>
                <w:bCs/>
                <w:color w:val="2E74B5"/>
              </w:rPr>
            </w:pPr>
            <w:r>
              <w:rPr>
                <w:rFonts w:asciiTheme="minorHAnsi" w:eastAsia="Times" w:hAnsiTheme="minorHAnsi" w:cstheme="minorHAnsi"/>
                <w:b/>
                <w:bCs/>
                <w:color w:val="2E74B5"/>
              </w:rPr>
              <w:t>2</w:t>
            </w:r>
          </w:p>
        </w:tc>
        <w:tc>
          <w:tcPr>
            <w:tcW w:w="425" w:type="pct"/>
            <w:tcMar>
              <w:top w:w="105" w:type="dxa"/>
              <w:left w:w="112" w:type="dxa"/>
              <w:bottom w:w="105" w:type="dxa"/>
              <w:right w:w="112" w:type="dxa"/>
            </w:tcMar>
          </w:tcPr>
          <w:p w14:paraId="75F38A31" w14:textId="09A8332E" w:rsidR="00035061" w:rsidRPr="00DD6C73" w:rsidRDefault="00035061"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4292" w:type="pct"/>
            <w:tcMar>
              <w:top w:w="105" w:type="dxa"/>
              <w:left w:w="112" w:type="dxa"/>
              <w:bottom w:w="105" w:type="dxa"/>
              <w:right w:w="112" w:type="dxa"/>
            </w:tcMar>
          </w:tcPr>
          <w:p w14:paraId="27F5B62F" w14:textId="21FAA229" w:rsidR="00035061" w:rsidRPr="00DD6C73" w:rsidRDefault="00035061" w:rsidP="009E19D9">
            <w:pPr>
              <w:spacing w:after="4"/>
              <w:ind w:right="312"/>
              <w:jc w:val="both"/>
              <w:rPr>
                <w:rFonts w:asciiTheme="minorHAnsi" w:hAnsiTheme="minorHAnsi" w:cstheme="minorHAnsi"/>
              </w:rPr>
            </w:pPr>
            <w:r>
              <w:rPr>
                <w:rFonts w:asciiTheme="minorHAnsi" w:hAnsiTheme="minorHAnsi" w:cstheme="minorHAnsi"/>
              </w:rPr>
              <w:t xml:space="preserve">U </w:t>
            </w:r>
            <w:r w:rsidRPr="00BC3F71">
              <w:rPr>
                <w:rFonts w:asciiTheme="minorHAnsi" w:hAnsiTheme="minorHAnsi" w:cstheme="minorHAnsi"/>
              </w:rPr>
              <w:t xml:space="preserve">Privitku 1 HAKOM navodi interni trošak sata rada HT-ovih zaposlenika (ili vanjskih izvođača) u iznosu od 222,62 kn, koji je prema mišljenju A1 izrazito precijenjen te isti nikako ne može odražavati stvarni trošak HT-ovih zaposlenika (ili vanjskih izvođača) jer bi navedeno značilo da zaposlenici koji obavljaju navedene aktivnosti imaju prosječnu neto plaću koja je gotovo 3 puta veća od prosječne plaće u Republici Hrvatskoj. </w:t>
            </w:r>
            <w:r>
              <w:rPr>
                <w:rFonts w:asciiTheme="minorHAnsi" w:hAnsiTheme="minorHAnsi" w:cstheme="minorHAnsi"/>
              </w:rPr>
              <w:t>Ukoliko se pretpostavi</w:t>
            </w:r>
            <w:r w:rsidRPr="00BC3F71">
              <w:rPr>
                <w:rFonts w:asciiTheme="minorHAnsi" w:hAnsiTheme="minorHAnsi" w:cstheme="minorHAnsi"/>
              </w:rPr>
              <w:t xml:space="preserve"> da zaposlenik čiji se sat naplaćuje u iznosu od 222,62 kn u jednom danu odradi 8 sati i da prosječni mjesec ima 22 radna dana, dolazimo do ukupnog</w:t>
            </w:r>
            <w:r>
              <w:rPr>
                <w:rFonts w:asciiTheme="minorHAnsi" w:hAnsiTheme="minorHAnsi" w:cstheme="minorHAnsi"/>
              </w:rPr>
              <w:t xml:space="preserve"> bruto</w:t>
            </w:r>
            <w:r w:rsidRPr="00BC3F71">
              <w:rPr>
                <w:rFonts w:asciiTheme="minorHAnsi" w:hAnsiTheme="minorHAnsi" w:cstheme="minorHAnsi"/>
              </w:rPr>
              <w:t xml:space="preserve"> troška od 39.181 kn mjesečno za navedenog zaposlenika. Iako </w:t>
            </w:r>
            <w:r>
              <w:rPr>
                <w:rFonts w:asciiTheme="minorHAnsi" w:hAnsiTheme="minorHAnsi" w:cstheme="minorHAnsi"/>
              </w:rPr>
              <w:t xml:space="preserve">A1 nema </w:t>
            </w:r>
            <w:r w:rsidRPr="00BC3F71">
              <w:rPr>
                <w:rFonts w:asciiTheme="minorHAnsi" w:hAnsiTheme="minorHAnsi" w:cstheme="minorHAnsi"/>
              </w:rPr>
              <w:t>uvid u podatke o plaćama HT-ovih zaposlenika niti zaposlenika HT-ovih vanjskih izvođača, uzimajući u obzir iznos prosječne plaće u Republici Hrvatskoj, kao i iznose plaća u sektoru informacija i komunikacija u kojem se u pravilu ostvaruju najveće prosječne plaće, smatra da su jedinični iznosi cijena po satu zaposlenika koji obavljaju aktivnosti uključene u predmetne jednokratne naknade izrazito precijenjeni. Stoga A1 poziva HAKOM da prije donošenja konačne odluke još jednom provjeri točnost i realnost navedenog iznosa internog troška sata rada s obzirom na prethodno navedene izračune/usporedbe s kojima je A1 ukazao na neopravdano velik iznos troška rada HT-ovih zaposlenika.</w:t>
            </w:r>
          </w:p>
        </w:tc>
      </w:tr>
      <w:tr w:rsidR="00035061" w:rsidRPr="00D07210" w14:paraId="1F7CFD03" w14:textId="25D00704" w:rsidTr="00035061">
        <w:tc>
          <w:tcPr>
            <w:tcW w:w="283" w:type="pct"/>
            <w:noWrap/>
            <w:tcMar>
              <w:top w:w="105" w:type="dxa"/>
              <w:left w:w="112" w:type="dxa"/>
              <w:bottom w:w="105" w:type="dxa"/>
              <w:right w:w="112" w:type="dxa"/>
            </w:tcMar>
          </w:tcPr>
          <w:p w14:paraId="5F90269F" w14:textId="58C1D5C8" w:rsidR="00035061" w:rsidRPr="00D07210" w:rsidRDefault="00035061" w:rsidP="00DD61F9">
            <w:pPr>
              <w:pStyle w:val="ListParagraph"/>
              <w:numPr>
                <w:ilvl w:val="0"/>
                <w:numId w:val="29"/>
              </w:numPr>
              <w:spacing w:before="120" w:after="120" w:line="240" w:lineRule="auto"/>
              <w:rPr>
                <w:rFonts w:asciiTheme="minorHAnsi" w:eastAsia="Times" w:hAnsiTheme="minorHAnsi" w:cstheme="minorHAnsi"/>
                <w:b/>
                <w:bCs/>
                <w:color w:val="2E74B5"/>
              </w:rPr>
            </w:pPr>
          </w:p>
        </w:tc>
        <w:tc>
          <w:tcPr>
            <w:tcW w:w="425" w:type="pct"/>
            <w:tcMar>
              <w:top w:w="105" w:type="dxa"/>
              <w:left w:w="112" w:type="dxa"/>
              <w:bottom w:w="105" w:type="dxa"/>
              <w:right w:w="112" w:type="dxa"/>
            </w:tcMar>
          </w:tcPr>
          <w:p w14:paraId="382689FD" w14:textId="542B6446" w:rsidR="00035061" w:rsidRPr="00D07210" w:rsidRDefault="00035061"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4292" w:type="pct"/>
            <w:tcMar>
              <w:top w:w="105" w:type="dxa"/>
              <w:left w:w="112" w:type="dxa"/>
              <w:bottom w:w="105" w:type="dxa"/>
              <w:right w:w="112" w:type="dxa"/>
            </w:tcMar>
          </w:tcPr>
          <w:p w14:paraId="3699813C" w14:textId="6F0C115D" w:rsidR="00035061" w:rsidRPr="009E19D9" w:rsidRDefault="00035061" w:rsidP="009E19D9">
            <w:pPr>
              <w:spacing w:after="4"/>
              <w:ind w:right="312"/>
              <w:jc w:val="both"/>
              <w:rPr>
                <w:rFonts w:asciiTheme="minorHAnsi" w:eastAsia="Calibri" w:hAnsiTheme="minorHAnsi" w:cstheme="minorHAnsi"/>
              </w:rPr>
            </w:pPr>
            <w:r w:rsidRPr="009E19D9">
              <w:rPr>
                <w:rFonts w:asciiTheme="minorHAnsi" w:eastAsia="Calibri" w:hAnsiTheme="minorHAnsi" w:cstheme="minorHAnsi"/>
              </w:rPr>
              <w:t xml:space="preserve">Vezano uz vremena trajanja pojedinih aktivnosti uključenih u iznose jednokratnih naknada, HAKOM ne navodi na koji način je utvrdio da su HT-ova trajanja opravdana, kao ni koliko se ista razlikuju od EU benchmarka koji je HAKOM pribavio u ovom postupku. </w:t>
            </w:r>
            <w:r>
              <w:rPr>
                <w:rFonts w:asciiTheme="minorHAnsi" w:eastAsia="Calibri" w:hAnsiTheme="minorHAnsi" w:cstheme="minorHAnsi"/>
              </w:rPr>
              <w:t>A1 ovo naglašava</w:t>
            </w:r>
            <w:r w:rsidRPr="009E19D9">
              <w:rPr>
                <w:rFonts w:asciiTheme="minorHAnsi" w:eastAsia="Calibri" w:hAnsiTheme="minorHAnsi" w:cstheme="minorHAnsi"/>
              </w:rPr>
              <w:t xml:space="preserve"> iz razloga što se navedena trajanja značajno razlikuju od trajanja koja je A1</w:t>
            </w:r>
            <w:r>
              <w:rPr>
                <w:rFonts w:asciiTheme="minorHAnsi" w:eastAsia="Calibri" w:hAnsiTheme="minorHAnsi" w:cstheme="minorHAnsi"/>
              </w:rPr>
              <w:t xml:space="preserve"> </w:t>
            </w:r>
            <w:r w:rsidRPr="009E19D9">
              <w:rPr>
                <w:rFonts w:asciiTheme="minorHAnsi" w:eastAsia="Calibri" w:hAnsiTheme="minorHAnsi" w:cstheme="minorHAnsi"/>
              </w:rPr>
              <w:t>dostavio HAKOM-u u sklopu upitnika koji je u studenom 2021. godine poslan operatorima, a imajući u vidu navode HAKOM-a da je kod određivanja predmetnih jednokratnih naknada u maksimalnoj mjeri uzeo u obzir podatke koje su mu dostavili operatori.</w:t>
            </w:r>
            <w:r>
              <w:rPr>
                <w:rFonts w:asciiTheme="minorHAnsi" w:eastAsia="Calibri" w:hAnsiTheme="minorHAnsi" w:cstheme="minorHAnsi"/>
              </w:rPr>
              <w:t xml:space="preserve"> </w:t>
            </w:r>
            <w:r w:rsidRPr="009E19D9">
              <w:rPr>
                <w:rFonts w:asciiTheme="minorHAnsi" w:eastAsia="Calibri" w:hAnsiTheme="minorHAnsi" w:cstheme="minorHAnsi"/>
              </w:rPr>
              <w:t xml:space="preserve">Kako se </w:t>
            </w:r>
            <w:r>
              <w:rPr>
                <w:rFonts w:asciiTheme="minorHAnsi" w:eastAsia="Calibri" w:hAnsiTheme="minorHAnsi" w:cstheme="minorHAnsi"/>
              </w:rPr>
              <w:t>u Privitku 1</w:t>
            </w:r>
            <w:r w:rsidRPr="009E19D9">
              <w:rPr>
                <w:rFonts w:asciiTheme="minorHAnsi" w:eastAsia="Calibri" w:hAnsiTheme="minorHAnsi" w:cstheme="minorHAnsi"/>
              </w:rPr>
              <w:t xml:space="preserve"> navode pojmovi poput „potreban izlazak na zahtjevnije lokacije“ ili „skripte znaju biti složene“ te se očito na račun toga produljuje vrijeme trajanja aktivnosti, postavlja se pitanje na koji način je HAKOM utvrdio u kojem postotku se pojavljuju takvi složeni/zahtjevni radovi, odnosno jesu li od strane HT</w:t>
            </w:r>
            <w:r>
              <w:rPr>
                <w:rFonts w:asciiTheme="minorHAnsi" w:eastAsia="Calibri" w:hAnsiTheme="minorHAnsi" w:cstheme="minorHAnsi"/>
              </w:rPr>
              <w:t>-</w:t>
            </w:r>
            <w:r w:rsidRPr="009E19D9">
              <w:rPr>
                <w:rFonts w:asciiTheme="minorHAnsi" w:eastAsia="Calibri" w:hAnsiTheme="minorHAnsi" w:cstheme="minorHAnsi"/>
              </w:rPr>
              <w:t xml:space="preserve">a zapravo navedena vremena trajanja samo za te složene zahtjeve iako se naknada primjenjuje za sve vrste zahtjeva, pa bi stoga ista trebala predstavljati prosječno vrijeme svih vrsta zahtjeva. </w:t>
            </w:r>
            <w:r>
              <w:rPr>
                <w:rFonts w:asciiTheme="minorHAnsi" w:eastAsia="Calibri" w:hAnsiTheme="minorHAnsi" w:cstheme="minorHAnsi"/>
              </w:rPr>
              <w:t xml:space="preserve">A1 smatra </w:t>
            </w:r>
            <w:r w:rsidRPr="009E19D9">
              <w:rPr>
                <w:rFonts w:asciiTheme="minorHAnsi" w:eastAsia="Calibri" w:hAnsiTheme="minorHAnsi" w:cstheme="minorHAnsi"/>
              </w:rPr>
              <w:t xml:space="preserve">da </w:t>
            </w:r>
            <w:r>
              <w:rPr>
                <w:rFonts w:asciiTheme="minorHAnsi" w:eastAsia="Calibri" w:hAnsiTheme="minorHAnsi" w:cstheme="minorHAnsi"/>
              </w:rPr>
              <w:t xml:space="preserve">nije vjerojatno da </w:t>
            </w:r>
            <w:r w:rsidRPr="009E19D9">
              <w:rPr>
                <w:rFonts w:asciiTheme="minorHAnsi" w:eastAsia="Calibri" w:hAnsiTheme="minorHAnsi" w:cstheme="minorHAnsi"/>
              </w:rPr>
              <w:t xml:space="preserve">je za prosječni zahtjev za realizaciju određenog Ethernet voda potrebno </w:t>
            </w:r>
            <w:r w:rsidRPr="009E19D9">
              <w:rPr>
                <w:rFonts w:asciiTheme="minorHAnsi" w:eastAsia="Calibri" w:hAnsiTheme="minorHAnsi" w:cstheme="minorHAnsi"/>
              </w:rPr>
              <w:lastRenderedPageBreak/>
              <w:t xml:space="preserve">potrošiti 20-30 sati internog rada, pri čemu </w:t>
            </w:r>
            <w:r>
              <w:rPr>
                <w:rFonts w:asciiTheme="minorHAnsi" w:eastAsia="Calibri" w:hAnsiTheme="minorHAnsi" w:cstheme="minorHAnsi"/>
              </w:rPr>
              <w:t xml:space="preserve">se radi </w:t>
            </w:r>
            <w:r w:rsidRPr="009E19D9">
              <w:rPr>
                <w:rFonts w:asciiTheme="minorHAnsi" w:eastAsia="Calibri" w:hAnsiTheme="minorHAnsi" w:cstheme="minorHAnsi"/>
              </w:rPr>
              <w:t xml:space="preserve">o stvarnom obavljanju aktivnosti, a ne vremenu koje je proteklo od podnošenja zahtjeva do početka realizacije kad se nisu obavljale nikakve aktivnosti, pa stoga A1 </w:t>
            </w:r>
            <w:r>
              <w:rPr>
                <w:rFonts w:asciiTheme="minorHAnsi" w:eastAsia="Calibri" w:hAnsiTheme="minorHAnsi" w:cstheme="minorHAnsi"/>
              </w:rPr>
              <w:t>traži da</w:t>
            </w:r>
            <w:r w:rsidRPr="009E19D9">
              <w:rPr>
                <w:rFonts w:asciiTheme="minorHAnsi" w:eastAsia="Calibri" w:hAnsiTheme="minorHAnsi" w:cstheme="minorHAnsi"/>
              </w:rPr>
              <w:t xml:space="preserve"> HAKOM još jednom provjeri opravdanost navedenih trajanja te od HT-a zatraži dodatna pojašnjenja tako dugog trajanja predmetnih aktivnosti.</w:t>
            </w:r>
          </w:p>
        </w:tc>
      </w:tr>
      <w:tr w:rsidR="00035061" w:rsidRPr="00D07210" w14:paraId="276C2D8D" w14:textId="05F0DF37" w:rsidTr="00DD61F9">
        <w:trPr>
          <w:trHeight w:val="533"/>
        </w:trPr>
        <w:tc>
          <w:tcPr>
            <w:tcW w:w="283" w:type="pct"/>
            <w:noWrap/>
            <w:tcMar>
              <w:top w:w="105" w:type="dxa"/>
              <w:left w:w="112" w:type="dxa"/>
              <w:bottom w:w="105" w:type="dxa"/>
              <w:right w:w="112" w:type="dxa"/>
            </w:tcMar>
          </w:tcPr>
          <w:p w14:paraId="525DB278" w14:textId="7F196B90" w:rsidR="00035061" w:rsidRPr="00D07210" w:rsidRDefault="00035061" w:rsidP="00DD61F9">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 xml:space="preserve">        4</w:t>
            </w:r>
            <w:r w:rsidRPr="00D07210">
              <w:rPr>
                <w:rFonts w:asciiTheme="minorHAnsi" w:eastAsia="Times" w:hAnsiTheme="minorHAnsi" w:cstheme="minorHAnsi"/>
                <w:b/>
                <w:bCs/>
                <w:color w:val="2E74B5"/>
              </w:rPr>
              <w:t>.</w:t>
            </w:r>
          </w:p>
        </w:tc>
        <w:tc>
          <w:tcPr>
            <w:tcW w:w="425" w:type="pct"/>
            <w:tcMar>
              <w:top w:w="105" w:type="dxa"/>
              <w:left w:w="112" w:type="dxa"/>
              <w:bottom w:w="105" w:type="dxa"/>
              <w:right w:w="112" w:type="dxa"/>
            </w:tcMar>
          </w:tcPr>
          <w:p w14:paraId="06342510" w14:textId="77777777" w:rsidR="00035061" w:rsidRPr="003F4920" w:rsidRDefault="00035061" w:rsidP="006F7B4B">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 xml:space="preserve">HT </w:t>
            </w:r>
            <w:r w:rsidRPr="003F4920">
              <w:rPr>
                <w:rFonts w:asciiTheme="minorHAnsi" w:eastAsia="Times" w:hAnsiTheme="minorHAnsi" w:cstheme="minorHAnsi"/>
                <w:b/>
                <w:bCs/>
                <w:color w:val="2E74B5"/>
              </w:rPr>
              <w:t xml:space="preserve"> </w:t>
            </w:r>
          </w:p>
          <w:p w14:paraId="6F9495FC" w14:textId="7CD77A4A" w:rsidR="00035061" w:rsidRPr="00D07210" w:rsidRDefault="00035061" w:rsidP="006F7B4B">
            <w:pPr>
              <w:spacing w:before="120" w:after="120"/>
              <w:rPr>
                <w:rFonts w:asciiTheme="minorHAnsi" w:eastAsia="Times" w:hAnsiTheme="minorHAnsi" w:cstheme="minorHAnsi"/>
                <w:b/>
                <w:bCs/>
                <w:color w:val="2E74B5"/>
              </w:rPr>
            </w:pPr>
          </w:p>
        </w:tc>
        <w:tc>
          <w:tcPr>
            <w:tcW w:w="4292" w:type="pct"/>
            <w:tcMar>
              <w:top w:w="105" w:type="dxa"/>
              <w:left w:w="112" w:type="dxa"/>
              <w:bottom w:w="105" w:type="dxa"/>
              <w:right w:w="112" w:type="dxa"/>
            </w:tcMar>
          </w:tcPr>
          <w:p w14:paraId="24DC9DAC" w14:textId="558DE8AE" w:rsidR="00035061" w:rsidRPr="00D07210" w:rsidRDefault="00035061" w:rsidP="008C2531">
            <w:pPr>
              <w:ind w:left="8" w:right="312"/>
              <w:jc w:val="both"/>
              <w:rPr>
                <w:rFonts w:asciiTheme="minorHAnsi" w:hAnsiTheme="minorHAnsi" w:cstheme="minorHAnsi"/>
              </w:rPr>
            </w:pPr>
            <w:r w:rsidRPr="00BD61ED">
              <w:rPr>
                <w:rFonts w:asciiTheme="minorHAnsi" w:eastAsia="Calibri" w:hAnsiTheme="minorHAnsi" w:cstheme="minorHAnsi"/>
              </w:rPr>
              <w:t xml:space="preserve">Usluga preseljenja iz točke 1.5. sa iznosom 7.625,67 HRK/jednokratno treba se dodati u točku 1.6 da vrijedi za sve veleprodajne usluge </w:t>
            </w:r>
            <w:r>
              <w:rPr>
                <w:rFonts w:asciiTheme="minorHAnsi" w:eastAsia="Calibri" w:hAnsiTheme="minorHAnsi" w:cstheme="minorHAnsi"/>
              </w:rPr>
              <w:t>E</w:t>
            </w:r>
            <w:r w:rsidRPr="00BD61ED">
              <w:rPr>
                <w:rFonts w:asciiTheme="minorHAnsi" w:eastAsia="Calibri" w:hAnsiTheme="minorHAnsi" w:cstheme="minorHAnsi"/>
              </w:rPr>
              <w:t xml:space="preserve">thernet tehnologije. Ova usluga preseljenja kao i usluga promjene konfiguracije vrijedi za sve </w:t>
            </w:r>
            <w:r>
              <w:rPr>
                <w:rFonts w:asciiTheme="minorHAnsi" w:eastAsia="Calibri" w:hAnsiTheme="minorHAnsi" w:cstheme="minorHAnsi"/>
              </w:rPr>
              <w:t>E</w:t>
            </w:r>
            <w:r w:rsidRPr="00BD61ED">
              <w:rPr>
                <w:rFonts w:asciiTheme="minorHAnsi" w:eastAsia="Calibri" w:hAnsiTheme="minorHAnsi" w:cstheme="minorHAnsi"/>
              </w:rPr>
              <w:t>thernet veleprodajne usluge.</w:t>
            </w:r>
          </w:p>
        </w:tc>
      </w:tr>
      <w:tr w:rsidR="00035061" w:rsidRPr="00D07210" w14:paraId="79E49AE7" w14:textId="6E810FD1" w:rsidTr="00035061">
        <w:tc>
          <w:tcPr>
            <w:tcW w:w="283" w:type="pct"/>
            <w:noWrap/>
            <w:tcMar>
              <w:top w:w="105" w:type="dxa"/>
              <w:left w:w="112" w:type="dxa"/>
              <w:bottom w:w="105" w:type="dxa"/>
              <w:right w:w="112" w:type="dxa"/>
            </w:tcMar>
          </w:tcPr>
          <w:p w14:paraId="7C1C43B9" w14:textId="3F09ECC9" w:rsidR="00035061" w:rsidRPr="00F85B9A" w:rsidRDefault="00035061" w:rsidP="00DD61F9">
            <w:pPr>
              <w:spacing w:before="120" w:after="120" w:line="240" w:lineRule="auto"/>
              <w:ind w:left="360"/>
              <w:jc w:val="right"/>
              <w:rPr>
                <w:rFonts w:asciiTheme="minorHAnsi" w:eastAsia="Times" w:hAnsiTheme="minorHAnsi" w:cstheme="minorHAnsi"/>
                <w:b/>
                <w:bCs/>
                <w:color w:val="2E74B5"/>
              </w:rPr>
            </w:pPr>
            <w:r w:rsidRPr="00F85B9A">
              <w:rPr>
                <w:rFonts w:asciiTheme="minorHAnsi" w:eastAsia="Times" w:hAnsiTheme="minorHAnsi" w:cstheme="minorHAnsi"/>
                <w:b/>
                <w:bCs/>
                <w:color w:val="2E74B5"/>
              </w:rPr>
              <w:t>5.</w:t>
            </w:r>
          </w:p>
        </w:tc>
        <w:tc>
          <w:tcPr>
            <w:tcW w:w="425" w:type="pct"/>
            <w:tcMar>
              <w:top w:w="105" w:type="dxa"/>
              <w:left w:w="112" w:type="dxa"/>
              <w:bottom w:w="105" w:type="dxa"/>
              <w:right w:w="112" w:type="dxa"/>
            </w:tcMar>
          </w:tcPr>
          <w:p w14:paraId="635F17AD" w14:textId="535660B0" w:rsidR="00035061" w:rsidRPr="00F85B9A" w:rsidRDefault="00035061" w:rsidP="008C2531">
            <w:pPr>
              <w:spacing w:before="120" w:after="120"/>
              <w:rPr>
                <w:rFonts w:asciiTheme="minorHAnsi" w:eastAsia="Times" w:hAnsiTheme="minorHAnsi" w:cstheme="minorHAnsi"/>
                <w:b/>
                <w:bCs/>
                <w:color w:val="2E74B5"/>
              </w:rPr>
            </w:pPr>
            <w:r w:rsidRPr="00F85B9A">
              <w:rPr>
                <w:rFonts w:asciiTheme="minorHAnsi" w:eastAsia="Times" w:hAnsiTheme="minorHAnsi" w:cstheme="minorHAnsi"/>
                <w:b/>
                <w:bCs/>
                <w:color w:val="2E74B5"/>
              </w:rPr>
              <w:t>TERRAKOM</w:t>
            </w:r>
          </w:p>
        </w:tc>
        <w:tc>
          <w:tcPr>
            <w:tcW w:w="4292" w:type="pct"/>
            <w:tcMar>
              <w:top w:w="105" w:type="dxa"/>
              <w:left w:w="112" w:type="dxa"/>
              <w:bottom w:w="105" w:type="dxa"/>
              <w:right w:w="112" w:type="dxa"/>
            </w:tcMar>
          </w:tcPr>
          <w:p w14:paraId="218896D3" w14:textId="393649FF" w:rsidR="00035061" w:rsidRPr="00F85B9A" w:rsidRDefault="00035061" w:rsidP="008C2531">
            <w:pPr>
              <w:spacing w:after="4"/>
              <w:ind w:right="312"/>
              <w:jc w:val="both"/>
              <w:rPr>
                <w:rFonts w:asciiTheme="minorHAnsi" w:hAnsiTheme="minorHAnsi" w:cstheme="minorHAnsi"/>
              </w:rPr>
            </w:pPr>
            <w:r w:rsidRPr="00F85B9A">
              <w:rPr>
                <w:rFonts w:asciiTheme="minorHAnsi" w:hAnsiTheme="minorHAnsi" w:cstheme="minorHAnsi"/>
              </w:rPr>
              <w:t>Vezano uz točku 1.7 Odluke, predlaže da se točka nadopuni na način da se jasno i nedvosmisleno istakne kako se jednokratne naknade odnose i naplaćuju isključivo za vodove ugovorene bez ugovorne, odnosno da se ne naplaćuju u slučajevima ugovaranja sa ugovornom obvezom u trajanju od minimalno 1, 2 ili 5 godina.</w:t>
            </w:r>
          </w:p>
          <w:p w14:paraId="72C17F25" w14:textId="6067E604" w:rsidR="00035061" w:rsidRPr="00F85B9A" w:rsidRDefault="00035061" w:rsidP="008C2531">
            <w:pPr>
              <w:spacing w:after="4"/>
              <w:ind w:right="312"/>
              <w:jc w:val="both"/>
              <w:rPr>
                <w:rFonts w:asciiTheme="minorHAnsi" w:hAnsiTheme="minorHAnsi" w:cstheme="minorHAnsi"/>
              </w:rPr>
            </w:pPr>
            <w:r w:rsidRPr="00F85B9A">
              <w:rPr>
                <w:rFonts w:asciiTheme="minorHAnsi" w:hAnsiTheme="minorHAnsi" w:cstheme="minorHAnsi"/>
              </w:rPr>
              <w:t>Također, jednokratnu naknadu za povećanje postojećih kapaciteta gdje je potrebna promjena sučelja je potrebno detaljnije obrazložiti, radi li se o naknadi na pojedinačne Ethernet vodove ili na pristupni Ethernet vod operatora korisnika unutar Data centra. Nadalje, potrebno je i definirati koja se sučelja isporučuju kod pojedinog kapaciteta Ethernet voda kako bi Operator korisnik i prije nego sklopi ugovor znao potencijalne dodatne troškove u slučaju naknadnog povećanja kapaciteta te da se navedena naknada naplaćuje samo za vodove ugovorene bez obveznog trajanja od minimalno 1, 2 ili 5 godina.</w:t>
            </w:r>
          </w:p>
          <w:p w14:paraId="1940D20E" w14:textId="2E3B3FFF" w:rsidR="00035061" w:rsidRPr="00F85B9A" w:rsidRDefault="00035061" w:rsidP="00DD61F9">
            <w:pPr>
              <w:spacing w:after="4"/>
              <w:ind w:right="312"/>
              <w:jc w:val="both"/>
              <w:rPr>
                <w:rFonts w:asciiTheme="minorHAnsi" w:hAnsiTheme="minorHAnsi" w:cstheme="minorHAnsi"/>
              </w:rPr>
            </w:pPr>
            <w:r w:rsidRPr="00F85B9A">
              <w:rPr>
                <w:rFonts w:asciiTheme="minorHAnsi" w:hAnsiTheme="minorHAnsi" w:cstheme="minorHAnsi"/>
              </w:rPr>
              <w:t>S obzirom da je prilikom objave Standardne ponude i njenog Dodatka 16., HT pokušao naplatiti jednokratnu naknadu za priključenje svakog novog Ethernet voda ugovorenog uz obvezno minimalno trajanje ugovora, a što nije naplaćivao prije izdavanja Standardne ponude i temeljem mišljenja HAKOM-a nije imao pravo naplaćivati niti nakon donošenja Standardne ponude, smatra</w:t>
            </w:r>
            <w:bookmarkStart w:id="0" w:name="_GoBack"/>
            <w:bookmarkEnd w:id="0"/>
            <w:r w:rsidRPr="00F85B9A">
              <w:rPr>
                <w:rFonts w:asciiTheme="minorHAnsi" w:hAnsiTheme="minorHAnsi" w:cstheme="minorHAnsi"/>
              </w:rPr>
              <w:t xml:space="preserve"> da bi ove izmjene bilo potrebno uvrstiti u odluku kako bi se u budućnosti izbjegle eventualne dvojbe oko tumačenja uvjeta iz Dodatka 16. Standardne ponude</w:t>
            </w:r>
            <w:r>
              <w:rPr>
                <w:rFonts w:asciiTheme="minorHAnsi" w:hAnsiTheme="minorHAnsi" w:cstheme="minorHAnsi"/>
              </w:rPr>
              <w:t>.</w:t>
            </w:r>
          </w:p>
        </w:tc>
      </w:tr>
      <w:tr w:rsidR="00035061" w:rsidRPr="00D07210" w14:paraId="542C187C" w14:textId="4B1E3064" w:rsidTr="00035061">
        <w:tc>
          <w:tcPr>
            <w:tcW w:w="283" w:type="pct"/>
            <w:noWrap/>
            <w:tcMar>
              <w:top w:w="105" w:type="dxa"/>
              <w:left w:w="112" w:type="dxa"/>
              <w:bottom w:w="105" w:type="dxa"/>
              <w:right w:w="112" w:type="dxa"/>
            </w:tcMar>
          </w:tcPr>
          <w:p w14:paraId="521795D0" w14:textId="0930148E" w:rsidR="00035061" w:rsidRPr="00C35CAB" w:rsidRDefault="00035061" w:rsidP="00DD61F9">
            <w:pPr>
              <w:spacing w:before="120" w:after="120" w:line="240" w:lineRule="auto"/>
              <w:ind w:left="360"/>
              <w:jc w:val="right"/>
              <w:rPr>
                <w:rFonts w:eastAsia="Times" w:cstheme="minorHAnsi"/>
                <w:b/>
                <w:bCs/>
                <w:color w:val="2E74B5"/>
              </w:rPr>
            </w:pPr>
            <w:r>
              <w:rPr>
                <w:rFonts w:eastAsia="Times" w:cstheme="minorHAnsi"/>
                <w:b/>
                <w:bCs/>
                <w:color w:val="2E74B5"/>
              </w:rPr>
              <w:t>6.</w:t>
            </w:r>
          </w:p>
        </w:tc>
        <w:tc>
          <w:tcPr>
            <w:tcW w:w="425" w:type="pct"/>
            <w:tcMar>
              <w:top w:w="105" w:type="dxa"/>
              <w:left w:w="112" w:type="dxa"/>
              <w:bottom w:w="105" w:type="dxa"/>
              <w:right w:w="112" w:type="dxa"/>
            </w:tcMar>
          </w:tcPr>
          <w:p w14:paraId="6DDB3D2D" w14:textId="396B3BDE" w:rsidR="00035061" w:rsidRPr="00D07210" w:rsidRDefault="00035061" w:rsidP="006F7B4B">
            <w:pPr>
              <w:spacing w:before="120" w:after="120"/>
              <w:rPr>
                <w:rFonts w:asciiTheme="minorHAnsi" w:eastAsia="Times" w:hAnsiTheme="minorHAnsi" w:cstheme="minorHAnsi"/>
                <w:b/>
                <w:bCs/>
                <w:color w:val="2E74B5"/>
              </w:rPr>
            </w:pPr>
            <w:r w:rsidRPr="00F85B9A">
              <w:rPr>
                <w:rFonts w:asciiTheme="minorHAnsi" w:eastAsia="Times" w:hAnsiTheme="minorHAnsi" w:cstheme="minorHAnsi"/>
                <w:b/>
                <w:bCs/>
                <w:color w:val="2E74B5"/>
              </w:rPr>
              <w:t>TERRAKOM</w:t>
            </w:r>
          </w:p>
        </w:tc>
        <w:tc>
          <w:tcPr>
            <w:tcW w:w="4292" w:type="pct"/>
            <w:tcMar>
              <w:top w:w="105" w:type="dxa"/>
              <w:left w:w="112" w:type="dxa"/>
              <w:bottom w:w="105" w:type="dxa"/>
              <w:right w:w="112" w:type="dxa"/>
            </w:tcMar>
          </w:tcPr>
          <w:p w14:paraId="0F88ED28" w14:textId="179B6C34" w:rsidR="00035061" w:rsidRPr="00D07210" w:rsidRDefault="00035061" w:rsidP="000258F6">
            <w:pPr>
              <w:spacing w:after="4"/>
              <w:ind w:right="312"/>
              <w:jc w:val="both"/>
              <w:rPr>
                <w:rFonts w:asciiTheme="minorHAnsi" w:hAnsiTheme="minorHAnsi" w:cstheme="minorHAnsi"/>
              </w:rPr>
            </w:pPr>
            <w:r w:rsidRPr="00F85B9A">
              <w:rPr>
                <w:rFonts w:asciiTheme="minorHAnsi" w:hAnsiTheme="minorHAnsi" w:cstheme="minorHAnsi"/>
              </w:rPr>
              <w:t>Ističe kako je identična visina jednokratne naknade za svaku radnju iz točke 1.7. odluke nelogična jer cijena povezivanja lokacije korisnika optičkim vodom i sama zamjena sučelja nisu jednako vrijedne usluge, kao što niti jednokratne naknade u identičnom iznosu za promjene sučelja bez obzira radi li se o promjeni na 100 Mbit/s, 1 Gbit/s ili 10 Gbit/s itd.</w:t>
            </w:r>
            <w:r>
              <w:rPr>
                <w:rFonts w:asciiTheme="minorHAnsi" w:hAnsiTheme="minorHAnsi" w:cstheme="minorHAnsi"/>
              </w:rPr>
              <w:t>,</w:t>
            </w:r>
            <w:r w:rsidRPr="00F85B9A">
              <w:rPr>
                <w:rFonts w:asciiTheme="minorHAnsi" w:hAnsiTheme="minorHAnsi" w:cstheme="minorHAnsi"/>
              </w:rPr>
              <w:t xml:space="preserve"> sučelje nisu logične budući da oprema koja se koristi za različ</w:t>
            </w:r>
            <w:r>
              <w:rPr>
                <w:rFonts w:asciiTheme="minorHAnsi" w:hAnsiTheme="minorHAnsi" w:cstheme="minorHAnsi"/>
              </w:rPr>
              <w:t>ita</w:t>
            </w:r>
            <w:r w:rsidRPr="00F85B9A">
              <w:rPr>
                <w:rFonts w:asciiTheme="minorHAnsi" w:hAnsiTheme="minorHAnsi" w:cstheme="minorHAnsi"/>
              </w:rPr>
              <w:t xml:space="preserve"> sučelja nema jednaku cijenu.</w:t>
            </w:r>
          </w:p>
        </w:tc>
      </w:tr>
      <w:tr w:rsidR="00035061" w:rsidRPr="00D07210" w14:paraId="7C46FEB7" w14:textId="2CA433F0" w:rsidTr="00035061">
        <w:trPr>
          <w:trHeight w:val="20"/>
        </w:trPr>
        <w:tc>
          <w:tcPr>
            <w:tcW w:w="283" w:type="pct"/>
            <w:noWrap/>
            <w:tcMar>
              <w:top w:w="105" w:type="dxa"/>
              <w:left w:w="112" w:type="dxa"/>
              <w:bottom w:w="105" w:type="dxa"/>
              <w:right w:w="112" w:type="dxa"/>
            </w:tcMar>
          </w:tcPr>
          <w:p w14:paraId="3AB4234A" w14:textId="040B0000" w:rsidR="00035061" w:rsidRPr="00D07210" w:rsidRDefault="00035061" w:rsidP="00DD61F9">
            <w:pPr>
              <w:spacing w:before="120" w:after="12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t>7.</w:t>
            </w:r>
          </w:p>
        </w:tc>
        <w:tc>
          <w:tcPr>
            <w:tcW w:w="425" w:type="pct"/>
            <w:tcMar>
              <w:top w:w="105" w:type="dxa"/>
              <w:left w:w="112" w:type="dxa"/>
              <w:bottom w:w="105" w:type="dxa"/>
              <w:right w:w="112" w:type="dxa"/>
            </w:tcMar>
          </w:tcPr>
          <w:p w14:paraId="2BBAAA59" w14:textId="1C833B3E" w:rsidR="00035061" w:rsidRPr="00D07210" w:rsidRDefault="00035061" w:rsidP="006F7B4B">
            <w:pPr>
              <w:spacing w:before="120" w:after="120"/>
              <w:rPr>
                <w:rFonts w:asciiTheme="minorHAnsi" w:eastAsia="Times" w:hAnsiTheme="minorHAnsi" w:cstheme="minorHAnsi"/>
                <w:b/>
                <w:bCs/>
                <w:color w:val="2E74B5"/>
              </w:rPr>
            </w:pPr>
            <w:r w:rsidRPr="00F85B9A">
              <w:rPr>
                <w:rFonts w:asciiTheme="minorHAnsi" w:eastAsia="Times" w:hAnsiTheme="minorHAnsi" w:cstheme="minorHAnsi"/>
                <w:b/>
                <w:bCs/>
                <w:color w:val="2E74B5"/>
              </w:rPr>
              <w:t>TERRAKOM</w:t>
            </w:r>
          </w:p>
        </w:tc>
        <w:tc>
          <w:tcPr>
            <w:tcW w:w="4292" w:type="pct"/>
            <w:tcMar>
              <w:top w:w="105" w:type="dxa"/>
              <w:left w:w="112" w:type="dxa"/>
              <w:bottom w:w="105" w:type="dxa"/>
              <w:right w:w="112" w:type="dxa"/>
            </w:tcMar>
          </w:tcPr>
          <w:p w14:paraId="653F239D" w14:textId="77777777" w:rsidR="00035061" w:rsidRDefault="00035061" w:rsidP="00F773D4">
            <w:pPr>
              <w:spacing w:after="0"/>
              <w:ind w:left="-5" w:right="47"/>
              <w:jc w:val="both"/>
              <w:rPr>
                <w:rFonts w:asciiTheme="minorHAnsi" w:hAnsiTheme="minorHAnsi" w:cstheme="minorHAnsi"/>
              </w:rPr>
            </w:pPr>
            <w:r w:rsidRPr="000258F6">
              <w:rPr>
                <w:rFonts w:asciiTheme="minorHAnsi" w:hAnsiTheme="minorHAnsi" w:cstheme="minorHAnsi"/>
              </w:rPr>
              <w:t>Smatra kako bi u Odluku trebalo uvrstiti da se jednokratna naknada za promjenu sučelja može naplatiti isključivo kada se radi o promjeni sučelja s nižeg na viši kapacitet bez ugovora uz obvezno minimalno trajanje te da se naknada za promjenu sučelja do određenog kapaciteta može naplatiti samo jedanput bez obzira da li će operator korisnik u tijeku korištenja usluge više puta smanjivati/povećavati kapacitet voda do kapaciteta za koje je promjena sučelja prethodno plaćena.</w:t>
            </w:r>
          </w:p>
          <w:p w14:paraId="43328E1B" w14:textId="6844643F" w:rsidR="00035061" w:rsidRPr="00F85B9A" w:rsidRDefault="00035061" w:rsidP="00F773D4">
            <w:pPr>
              <w:spacing w:after="0"/>
              <w:ind w:left="-5" w:right="47"/>
              <w:jc w:val="both"/>
              <w:rPr>
                <w:rFonts w:asciiTheme="minorHAnsi" w:hAnsiTheme="minorHAnsi" w:cstheme="minorHAnsi"/>
              </w:rPr>
            </w:pPr>
            <w:r>
              <w:rPr>
                <w:rFonts w:asciiTheme="minorHAnsi" w:hAnsiTheme="minorHAnsi" w:cstheme="minorHAnsi"/>
              </w:rPr>
              <w:t xml:space="preserve">Smatra da je u Odluci izostavljen donji </w:t>
            </w:r>
            <w:r w:rsidRPr="00F85B9A">
              <w:rPr>
                <w:rFonts w:asciiTheme="minorHAnsi" w:hAnsiTheme="minorHAnsi" w:cstheme="minorHAnsi"/>
              </w:rPr>
              <w:t xml:space="preserve">stavak </w:t>
            </w:r>
            <w:r>
              <w:rPr>
                <w:rFonts w:asciiTheme="minorHAnsi" w:hAnsiTheme="minorHAnsi" w:cstheme="minorHAnsi"/>
              </w:rPr>
              <w:t xml:space="preserve">te da bi trebao biti naveden, </w:t>
            </w:r>
            <w:r w:rsidRPr="00F85B9A">
              <w:rPr>
                <w:rFonts w:asciiTheme="minorHAnsi" w:hAnsiTheme="minorHAnsi" w:cstheme="minorHAnsi"/>
              </w:rPr>
              <w:t>kako HT ne bi mogao naknadno tumačiti Uvjete korištenja iz Dodatka 16. na način da je ovo oslobođenje od plaćanja naknade Odlukom ukinuto.</w:t>
            </w:r>
          </w:p>
          <w:p w14:paraId="00D01DA7" w14:textId="65D3317B" w:rsidR="00035061" w:rsidRPr="00D07210" w:rsidRDefault="00035061" w:rsidP="00F773D4">
            <w:pPr>
              <w:spacing w:after="0"/>
              <w:ind w:left="-5" w:right="47"/>
              <w:jc w:val="both"/>
              <w:rPr>
                <w:rFonts w:asciiTheme="minorHAnsi" w:hAnsiTheme="minorHAnsi" w:cstheme="minorHAnsi"/>
              </w:rPr>
            </w:pPr>
            <w:r>
              <w:rPr>
                <w:rFonts w:asciiTheme="minorHAnsi" w:hAnsiTheme="minorHAnsi" w:cstheme="minorHAnsi"/>
                <w:i/>
              </w:rPr>
              <w:t>„</w:t>
            </w:r>
            <w:r w:rsidRPr="00F773D4">
              <w:rPr>
                <w:rFonts w:asciiTheme="minorHAnsi" w:hAnsiTheme="minorHAnsi" w:cstheme="minorHAnsi"/>
                <w:i/>
              </w:rPr>
              <w:t>Povećanje postojećih kapaciteta bez promjene sučelja na elementima elektroničke komunikacijske mreže se ne naplaćuje.</w:t>
            </w:r>
            <w:r>
              <w:rPr>
                <w:rFonts w:asciiTheme="minorHAnsi" w:hAnsiTheme="minorHAnsi" w:cstheme="minorHAnsi"/>
                <w:i/>
              </w:rPr>
              <w:t>“</w:t>
            </w:r>
          </w:p>
        </w:tc>
      </w:tr>
    </w:tbl>
    <w:p w14:paraId="04C56C34" w14:textId="6B2CE5B5" w:rsidR="000A22A4" w:rsidRPr="00D07210" w:rsidRDefault="000A22A4">
      <w:pPr>
        <w:rPr>
          <w:rFonts w:cstheme="minorHAnsi"/>
          <w:sz w:val="20"/>
          <w:szCs w:val="20"/>
        </w:rPr>
      </w:pPr>
    </w:p>
    <w:sectPr w:rsidR="000A22A4" w:rsidRPr="00D07210" w:rsidSect="00B23CB8">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660E47" w14:textId="77777777" w:rsidR="009F50B8" w:rsidRDefault="009F50B8" w:rsidP="00683632">
      <w:pPr>
        <w:spacing w:after="0" w:line="240" w:lineRule="auto"/>
      </w:pPr>
      <w:r>
        <w:separator/>
      </w:r>
    </w:p>
  </w:endnote>
  <w:endnote w:type="continuationSeparator" w:id="0">
    <w:p w14:paraId="6E15202D" w14:textId="77777777" w:rsidR="009F50B8" w:rsidRDefault="009F50B8" w:rsidP="006836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EE"/>
    <w:family w:val="swiss"/>
    <w:pitch w:val="variable"/>
    <w:sig w:usb0="E4002EFF" w:usb1="C000E47F" w:usb2="00000009" w:usb3="00000000" w:csb0="000001FF" w:csb1="00000000"/>
  </w:font>
  <w:font w:name="Times">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4D087D" w14:textId="77777777" w:rsidR="009F50B8" w:rsidRDefault="009F50B8" w:rsidP="00683632">
      <w:pPr>
        <w:spacing w:after="0" w:line="240" w:lineRule="auto"/>
      </w:pPr>
      <w:r>
        <w:separator/>
      </w:r>
    </w:p>
  </w:footnote>
  <w:footnote w:type="continuationSeparator" w:id="0">
    <w:p w14:paraId="2CF9A773" w14:textId="77777777" w:rsidR="009F50B8" w:rsidRDefault="009F50B8" w:rsidP="006836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9399E"/>
    <w:multiLevelType w:val="hybridMultilevel"/>
    <w:tmpl w:val="3AEE050C"/>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 w15:restartNumberingAfterBreak="0">
    <w:nsid w:val="01E42519"/>
    <w:multiLevelType w:val="hybridMultilevel"/>
    <w:tmpl w:val="C882AF08"/>
    <w:lvl w:ilvl="0" w:tplc="572EE5EA">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CDC100B"/>
    <w:multiLevelType w:val="hybridMultilevel"/>
    <w:tmpl w:val="6B74D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D4497C"/>
    <w:multiLevelType w:val="hybridMultilevel"/>
    <w:tmpl w:val="DFD44F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F64941"/>
    <w:multiLevelType w:val="multilevel"/>
    <w:tmpl w:val="9B50F902"/>
    <w:lvl w:ilvl="0">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2BB9125B"/>
    <w:multiLevelType w:val="hybridMultilevel"/>
    <w:tmpl w:val="C5A4B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C975D10"/>
    <w:multiLevelType w:val="hybridMultilevel"/>
    <w:tmpl w:val="E7A42296"/>
    <w:lvl w:ilvl="0" w:tplc="4230BC7E">
      <w:start w:val="2"/>
      <w:numFmt w:val="upperRoman"/>
      <w:lvlText w:val="%1)"/>
      <w:lvlJc w:val="left"/>
      <w:pPr>
        <w:ind w:left="2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E0E6376">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596420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268988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63CEAA2">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D709CF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664123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0BEC68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C6E9A6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2E291B0B"/>
    <w:multiLevelType w:val="hybridMultilevel"/>
    <w:tmpl w:val="5C1E6C90"/>
    <w:lvl w:ilvl="0" w:tplc="EFBC9790">
      <w:start w:val="1"/>
      <w:numFmt w:val="bullet"/>
      <w:lvlText w:val=""/>
      <w:lvlJc w:val="left"/>
      <w:pPr>
        <w:ind w:left="1128" w:hanging="360"/>
      </w:pPr>
      <w:rPr>
        <w:rFonts w:ascii="Symbol" w:hAnsi="Symbol" w:hint="default"/>
      </w:rPr>
    </w:lvl>
    <w:lvl w:ilvl="1" w:tplc="04090003" w:tentative="1">
      <w:start w:val="1"/>
      <w:numFmt w:val="bullet"/>
      <w:lvlText w:val="o"/>
      <w:lvlJc w:val="left"/>
      <w:pPr>
        <w:ind w:left="1848" w:hanging="360"/>
      </w:pPr>
      <w:rPr>
        <w:rFonts w:ascii="Courier New" w:hAnsi="Courier New" w:cs="Courier New" w:hint="default"/>
      </w:rPr>
    </w:lvl>
    <w:lvl w:ilvl="2" w:tplc="04090005" w:tentative="1">
      <w:start w:val="1"/>
      <w:numFmt w:val="bullet"/>
      <w:lvlText w:val=""/>
      <w:lvlJc w:val="left"/>
      <w:pPr>
        <w:ind w:left="2568" w:hanging="360"/>
      </w:pPr>
      <w:rPr>
        <w:rFonts w:ascii="Wingdings" w:hAnsi="Wingdings" w:hint="default"/>
      </w:rPr>
    </w:lvl>
    <w:lvl w:ilvl="3" w:tplc="04090001" w:tentative="1">
      <w:start w:val="1"/>
      <w:numFmt w:val="bullet"/>
      <w:lvlText w:val=""/>
      <w:lvlJc w:val="left"/>
      <w:pPr>
        <w:ind w:left="3288" w:hanging="360"/>
      </w:pPr>
      <w:rPr>
        <w:rFonts w:ascii="Symbol" w:hAnsi="Symbol" w:hint="default"/>
      </w:rPr>
    </w:lvl>
    <w:lvl w:ilvl="4" w:tplc="04090003" w:tentative="1">
      <w:start w:val="1"/>
      <w:numFmt w:val="bullet"/>
      <w:lvlText w:val="o"/>
      <w:lvlJc w:val="left"/>
      <w:pPr>
        <w:ind w:left="4008" w:hanging="360"/>
      </w:pPr>
      <w:rPr>
        <w:rFonts w:ascii="Courier New" w:hAnsi="Courier New" w:cs="Courier New" w:hint="default"/>
      </w:rPr>
    </w:lvl>
    <w:lvl w:ilvl="5" w:tplc="04090005" w:tentative="1">
      <w:start w:val="1"/>
      <w:numFmt w:val="bullet"/>
      <w:lvlText w:val=""/>
      <w:lvlJc w:val="left"/>
      <w:pPr>
        <w:ind w:left="4728" w:hanging="360"/>
      </w:pPr>
      <w:rPr>
        <w:rFonts w:ascii="Wingdings" w:hAnsi="Wingdings" w:hint="default"/>
      </w:rPr>
    </w:lvl>
    <w:lvl w:ilvl="6" w:tplc="04090001" w:tentative="1">
      <w:start w:val="1"/>
      <w:numFmt w:val="bullet"/>
      <w:lvlText w:val=""/>
      <w:lvlJc w:val="left"/>
      <w:pPr>
        <w:ind w:left="5448" w:hanging="360"/>
      </w:pPr>
      <w:rPr>
        <w:rFonts w:ascii="Symbol" w:hAnsi="Symbol" w:hint="default"/>
      </w:rPr>
    </w:lvl>
    <w:lvl w:ilvl="7" w:tplc="04090003" w:tentative="1">
      <w:start w:val="1"/>
      <w:numFmt w:val="bullet"/>
      <w:lvlText w:val="o"/>
      <w:lvlJc w:val="left"/>
      <w:pPr>
        <w:ind w:left="6168" w:hanging="360"/>
      </w:pPr>
      <w:rPr>
        <w:rFonts w:ascii="Courier New" w:hAnsi="Courier New" w:cs="Courier New" w:hint="default"/>
      </w:rPr>
    </w:lvl>
    <w:lvl w:ilvl="8" w:tplc="04090005" w:tentative="1">
      <w:start w:val="1"/>
      <w:numFmt w:val="bullet"/>
      <w:lvlText w:val=""/>
      <w:lvlJc w:val="left"/>
      <w:pPr>
        <w:ind w:left="6888" w:hanging="360"/>
      </w:pPr>
      <w:rPr>
        <w:rFonts w:ascii="Wingdings" w:hAnsi="Wingdings" w:hint="default"/>
      </w:rPr>
    </w:lvl>
  </w:abstractNum>
  <w:abstractNum w:abstractNumId="8" w15:restartNumberingAfterBreak="0">
    <w:nsid w:val="2F0D3B1B"/>
    <w:multiLevelType w:val="hybridMultilevel"/>
    <w:tmpl w:val="3DA078A2"/>
    <w:lvl w:ilvl="0" w:tplc="3D905292">
      <w:start w:val="1"/>
      <w:numFmt w:val="decimal"/>
      <w:lvlText w:val="%1."/>
      <w:lvlJc w:val="left"/>
      <w:pPr>
        <w:ind w:left="720" w:hanging="360"/>
      </w:pPr>
      <w:rPr>
        <w:rFonts w:ascii="Times New Roman" w:eastAsia="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35E8495E"/>
    <w:multiLevelType w:val="hybridMultilevel"/>
    <w:tmpl w:val="9D4E23BE"/>
    <w:lvl w:ilvl="0" w:tplc="B9023AFC">
      <w:start w:val="1"/>
      <w:numFmt w:val="bullet"/>
      <w:lvlText w:val="-"/>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1967EB2">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E083A2E">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A665438">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2D4C97A">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0A29C18">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B503F5A">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810CAD8">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85AB79C">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369C2CB7"/>
    <w:multiLevelType w:val="hybridMultilevel"/>
    <w:tmpl w:val="6AE448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951262A"/>
    <w:multiLevelType w:val="multilevel"/>
    <w:tmpl w:val="041A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A924271"/>
    <w:multiLevelType w:val="hybridMultilevel"/>
    <w:tmpl w:val="420A07C4"/>
    <w:lvl w:ilvl="0" w:tplc="0809000F">
      <w:start w:val="1"/>
      <w:numFmt w:val="decimal"/>
      <w:lvlText w:val="%1."/>
      <w:lvlJc w:val="left"/>
      <w:pPr>
        <w:ind w:left="501" w:hanging="360"/>
      </w:pPr>
    </w:lvl>
    <w:lvl w:ilvl="1" w:tplc="08090019" w:tentative="1">
      <w:start w:val="1"/>
      <w:numFmt w:val="lowerLetter"/>
      <w:lvlText w:val="%2."/>
      <w:lvlJc w:val="left"/>
      <w:pPr>
        <w:ind w:left="1363" w:hanging="360"/>
      </w:pPr>
    </w:lvl>
    <w:lvl w:ilvl="2" w:tplc="0809001B" w:tentative="1">
      <w:start w:val="1"/>
      <w:numFmt w:val="lowerRoman"/>
      <w:lvlText w:val="%3."/>
      <w:lvlJc w:val="right"/>
      <w:pPr>
        <w:ind w:left="2083" w:hanging="180"/>
      </w:pPr>
    </w:lvl>
    <w:lvl w:ilvl="3" w:tplc="0809000F" w:tentative="1">
      <w:start w:val="1"/>
      <w:numFmt w:val="decimal"/>
      <w:lvlText w:val="%4."/>
      <w:lvlJc w:val="left"/>
      <w:pPr>
        <w:ind w:left="2803" w:hanging="360"/>
      </w:pPr>
    </w:lvl>
    <w:lvl w:ilvl="4" w:tplc="08090019" w:tentative="1">
      <w:start w:val="1"/>
      <w:numFmt w:val="lowerLetter"/>
      <w:lvlText w:val="%5."/>
      <w:lvlJc w:val="left"/>
      <w:pPr>
        <w:ind w:left="3523" w:hanging="360"/>
      </w:pPr>
    </w:lvl>
    <w:lvl w:ilvl="5" w:tplc="0809001B" w:tentative="1">
      <w:start w:val="1"/>
      <w:numFmt w:val="lowerRoman"/>
      <w:lvlText w:val="%6."/>
      <w:lvlJc w:val="right"/>
      <w:pPr>
        <w:ind w:left="4243" w:hanging="180"/>
      </w:pPr>
    </w:lvl>
    <w:lvl w:ilvl="6" w:tplc="0809000F" w:tentative="1">
      <w:start w:val="1"/>
      <w:numFmt w:val="decimal"/>
      <w:lvlText w:val="%7."/>
      <w:lvlJc w:val="left"/>
      <w:pPr>
        <w:ind w:left="4963" w:hanging="360"/>
      </w:pPr>
    </w:lvl>
    <w:lvl w:ilvl="7" w:tplc="08090019" w:tentative="1">
      <w:start w:val="1"/>
      <w:numFmt w:val="lowerLetter"/>
      <w:lvlText w:val="%8."/>
      <w:lvlJc w:val="left"/>
      <w:pPr>
        <w:ind w:left="5683" w:hanging="360"/>
      </w:pPr>
    </w:lvl>
    <w:lvl w:ilvl="8" w:tplc="0809001B" w:tentative="1">
      <w:start w:val="1"/>
      <w:numFmt w:val="lowerRoman"/>
      <w:lvlText w:val="%9."/>
      <w:lvlJc w:val="right"/>
      <w:pPr>
        <w:ind w:left="6403" w:hanging="180"/>
      </w:pPr>
    </w:lvl>
  </w:abstractNum>
  <w:abstractNum w:abstractNumId="13" w15:restartNumberingAfterBreak="0">
    <w:nsid w:val="3C0715FF"/>
    <w:multiLevelType w:val="hybridMultilevel"/>
    <w:tmpl w:val="2FB6C6D2"/>
    <w:lvl w:ilvl="0" w:tplc="FD8CAB38">
      <w:start w:val="1"/>
      <w:numFmt w:val="bullet"/>
      <w:lvlText w:val="•"/>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25808C8">
      <w:start w:val="1"/>
      <w:numFmt w:val="bullet"/>
      <w:lvlText w:val="-"/>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9AE77E8">
      <w:start w:val="1"/>
      <w:numFmt w:val="bullet"/>
      <w:lvlText w:val="▪"/>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668B8B2">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CA05EC6">
      <w:start w:val="1"/>
      <w:numFmt w:val="bullet"/>
      <w:lvlText w:val="o"/>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A1E89A4">
      <w:start w:val="1"/>
      <w:numFmt w:val="bullet"/>
      <w:lvlText w:val="▪"/>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C1AC114">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4F6934A">
      <w:start w:val="1"/>
      <w:numFmt w:val="bullet"/>
      <w:lvlText w:val="o"/>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7AAF5C8">
      <w:start w:val="1"/>
      <w:numFmt w:val="bullet"/>
      <w:lvlText w:val="▪"/>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44A76CBA"/>
    <w:multiLevelType w:val="hybridMultilevel"/>
    <w:tmpl w:val="AF3AC81C"/>
    <w:lvl w:ilvl="0" w:tplc="94E452FA">
      <w:start w:val="1"/>
      <w:numFmt w:val="bullet"/>
      <w:lvlText w:val="-"/>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E60FE06">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D68CAAA">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BD04CEE">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DD44076">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5968D6C">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4D4815C">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24CE8CA">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5E89652">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47A1280F"/>
    <w:multiLevelType w:val="hybridMultilevel"/>
    <w:tmpl w:val="C62E75EA"/>
    <w:lvl w:ilvl="0" w:tplc="041A000F">
      <w:start w:val="1"/>
      <w:numFmt w:val="decimal"/>
      <w:lvlText w:val="%1."/>
      <w:lvlJc w:val="left"/>
      <w:pPr>
        <w:ind w:left="720" w:hanging="360"/>
      </w:pPr>
      <w:rPr>
        <w:rFonts w:ascii="Times New Roman" w:eastAsia="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49713A58"/>
    <w:multiLevelType w:val="hybridMultilevel"/>
    <w:tmpl w:val="F2FAF21E"/>
    <w:lvl w:ilvl="0" w:tplc="FF76E9BE">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4A25B6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8A4C79A">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BBEAC68">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2B49BB0">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BB21AB0">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6B49060">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B44EF44">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A0C3214">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4D50447E"/>
    <w:multiLevelType w:val="hybridMultilevel"/>
    <w:tmpl w:val="9B50F902"/>
    <w:lvl w:ilvl="0" w:tplc="572EE5EA">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23CD5D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94A8FCE">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7C8CC10">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252F0E0">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A44400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D7EB584">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01C3520">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AC4E1BC">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4F496D2E"/>
    <w:multiLevelType w:val="hybridMultilevel"/>
    <w:tmpl w:val="7E200622"/>
    <w:lvl w:ilvl="0" w:tplc="C55C14A4">
      <w:start w:val="1"/>
      <w:numFmt w:val="bullet"/>
      <w:lvlText w:val="-"/>
      <w:lvlJc w:val="left"/>
      <w:pPr>
        <w:ind w:left="1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2F8ED5C">
      <w:start w:val="1"/>
      <w:numFmt w:val="bullet"/>
      <w:lvlText w:val="o"/>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ECCF806">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5C0EAD4">
      <w:start w:val="1"/>
      <w:numFmt w:val="bullet"/>
      <w:lvlText w:val="•"/>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3FC5476">
      <w:start w:val="1"/>
      <w:numFmt w:val="bullet"/>
      <w:lvlText w:val="o"/>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750491E">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E368324">
      <w:start w:val="1"/>
      <w:numFmt w:val="bullet"/>
      <w:lvlText w:val="•"/>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7261EAE">
      <w:start w:val="1"/>
      <w:numFmt w:val="bullet"/>
      <w:lvlText w:val="o"/>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EC2BC60">
      <w:start w:val="1"/>
      <w:numFmt w:val="bullet"/>
      <w:lvlText w:val="▪"/>
      <w:lvlJc w:val="left"/>
      <w:pPr>
        <w:ind w:left="68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5005200F"/>
    <w:multiLevelType w:val="hybridMultilevel"/>
    <w:tmpl w:val="0EBA4ACE"/>
    <w:lvl w:ilvl="0" w:tplc="4A2A952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5ECF5B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518224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AB62EFA">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4B628C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960E59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162619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E52222C">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5DA4A60">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55933B87"/>
    <w:multiLevelType w:val="hybridMultilevel"/>
    <w:tmpl w:val="A63CE194"/>
    <w:lvl w:ilvl="0" w:tplc="D4E88AA6">
      <w:start w:val="1"/>
      <w:numFmt w:val="decimal"/>
      <w:lvlText w:val="%1."/>
      <w:lvlJc w:val="left"/>
      <w:pPr>
        <w:ind w:left="720" w:hanging="360"/>
      </w:pPr>
      <w:rPr>
        <w:rFonts w:ascii="Times New Roman" w:eastAsia="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566A5887"/>
    <w:multiLevelType w:val="hybridMultilevel"/>
    <w:tmpl w:val="6BEE01BE"/>
    <w:lvl w:ilvl="0" w:tplc="E07A558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58E334A0"/>
    <w:multiLevelType w:val="hybridMultilevel"/>
    <w:tmpl w:val="42AC2B6E"/>
    <w:lvl w:ilvl="0" w:tplc="A4C6B708">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5FC3BE8">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66CE078">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97A74EA">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770C96C">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19AE788">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0FCD7CA">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B62C56E">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C6216AA">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5F7C63F1"/>
    <w:multiLevelType w:val="hybridMultilevel"/>
    <w:tmpl w:val="DEC0E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4C2297B"/>
    <w:multiLevelType w:val="hybridMultilevel"/>
    <w:tmpl w:val="10A04B8E"/>
    <w:lvl w:ilvl="0" w:tplc="F4608E8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AC43E4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CB23DC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DDC923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4306AD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B8E140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3002B1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78E871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AA2D9A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65280F0D"/>
    <w:multiLevelType w:val="hybridMultilevel"/>
    <w:tmpl w:val="1B584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9220461"/>
    <w:multiLevelType w:val="hybridMultilevel"/>
    <w:tmpl w:val="9B50F902"/>
    <w:lvl w:ilvl="0" w:tplc="572EE5EA">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23CD5D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94A8FCE">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7C8CC10">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252F0E0">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A44400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D7EB584">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01C3520">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AC4E1BC">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69EE2FA0"/>
    <w:multiLevelType w:val="hybridMultilevel"/>
    <w:tmpl w:val="3898834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6DF22CF7"/>
    <w:multiLevelType w:val="hybridMultilevel"/>
    <w:tmpl w:val="12E640C4"/>
    <w:lvl w:ilvl="0" w:tplc="EFBC979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FA13A9E"/>
    <w:multiLevelType w:val="hybridMultilevel"/>
    <w:tmpl w:val="4CFE05E6"/>
    <w:lvl w:ilvl="0" w:tplc="C0204168">
      <w:start w:val="1"/>
      <w:numFmt w:val="decimal"/>
      <w:lvlText w:val="%1."/>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AECB794">
      <w:start w:val="1"/>
      <w:numFmt w:val="bullet"/>
      <w:lvlText w:val="•"/>
      <w:lvlJc w:val="left"/>
      <w:pPr>
        <w:ind w:left="5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4B6593C">
      <w:start w:val="1"/>
      <w:numFmt w:val="bullet"/>
      <w:lvlText w:val="▪"/>
      <w:lvlJc w:val="left"/>
      <w:pPr>
        <w:ind w:left="123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4EA1ECA">
      <w:start w:val="1"/>
      <w:numFmt w:val="bullet"/>
      <w:lvlText w:val="•"/>
      <w:lvlJc w:val="left"/>
      <w:pPr>
        <w:ind w:left="19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E9CE49E">
      <w:start w:val="1"/>
      <w:numFmt w:val="bullet"/>
      <w:lvlText w:val="o"/>
      <w:lvlJc w:val="left"/>
      <w:pPr>
        <w:ind w:left="267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4AEA45A">
      <w:start w:val="1"/>
      <w:numFmt w:val="bullet"/>
      <w:lvlText w:val="▪"/>
      <w:lvlJc w:val="left"/>
      <w:pPr>
        <w:ind w:left="339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EEA06E6">
      <w:start w:val="1"/>
      <w:numFmt w:val="bullet"/>
      <w:lvlText w:val="•"/>
      <w:lvlJc w:val="left"/>
      <w:pPr>
        <w:ind w:left="41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C4838E4">
      <w:start w:val="1"/>
      <w:numFmt w:val="bullet"/>
      <w:lvlText w:val="o"/>
      <w:lvlJc w:val="left"/>
      <w:pPr>
        <w:ind w:left="483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3B29BE6">
      <w:start w:val="1"/>
      <w:numFmt w:val="bullet"/>
      <w:lvlText w:val="▪"/>
      <w:lvlJc w:val="left"/>
      <w:pPr>
        <w:ind w:left="555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708F64DB"/>
    <w:multiLevelType w:val="hybridMultilevel"/>
    <w:tmpl w:val="8D78B086"/>
    <w:lvl w:ilvl="0" w:tplc="FCA053C2">
      <w:start w:val="5"/>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15:restartNumberingAfterBreak="0">
    <w:nsid w:val="718E26CD"/>
    <w:multiLevelType w:val="hybridMultilevel"/>
    <w:tmpl w:val="38BC121A"/>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79243F63"/>
    <w:multiLevelType w:val="hybridMultilevel"/>
    <w:tmpl w:val="DDBE439A"/>
    <w:lvl w:ilvl="0" w:tplc="EFBC979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C7149E3"/>
    <w:multiLevelType w:val="hybridMultilevel"/>
    <w:tmpl w:val="4F1A2C72"/>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2"/>
  </w:num>
  <w:num w:numId="2">
    <w:abstractNumId w:val="0"/>
  </w:num>
  <w:num w:numId="3">
    <w:abstractNumId w:val="28"/>
  </w:num>
  <w:num w:numId="4">
    <w:abstractNumId w:val="3"/>
  </w:num>
  <w:num w:numId="5">
    <w:abstractNumId w:val="32"/>
  </w:num>
  <w:num w:numId="6">
    <w:abstractNumId w:val="7"/>
  </w:num>
  <w:num w:numId="7">
    <w:abstractNumId w:val="5"/>
  </w:num>
  <w:num w:numId="8">
    <w:abstractNumId w:val="23"/>
  </w:num>
  <w:num w:numId="9">
    <w:abstractNumId w:val="25"/>
  </w:num>
  <w:num w:numId="10">
    <w:abstractNumId w:val="10"/>
  </w:num>
  <w:num w:numId="11">
    <w:abstractNumId w:val="31"/>
  </w:num>
  <w:num w:numId="12">
    <w:abstractNumId w:val="33"/>
  </w:num>
  <w:num w:numId="13">
    <w:abstractNumId w:val="27"/>
  </w:num>
  <w:num w:numId="14">
    <w:abstractNumId w:val="11"/>
  </w:num>
  <w:num w:numId="15">
    <w:abstractNumId w:val="15"/>
  </w:num>
  <w:num w:numId="16">
    <w:abstractNumId w:val="16"/>
  </w:num>
  <w:num w:numId="17">
    <w:abstractNumId w:val="17"/>
  </w:num>
  <w:num w:numId="18">
    <w:abstractNumId w:val="26"/>
  </w:num>
  <w:num w:numId="19">
    <w:abstractNumId w:val="14"/>
  </w:num>
  <w:num w:numId="20">
    <w:abstractNumId w:val="20"/>
  </w:num>
  <w:num w:numId="21">
    <w:abstractNumId w:val="8"/>
  </w:num>
  <w:num w:numId="22">
    <w:abstractNumId w:val="4"/>
  </w:num>
  <w:num w:numId="23">
    <w:abstractNumId w:val="1"/>
  </w:num>
  <w:num w:numId="24">
    <w:abstractNumId w:val="9"/>
  </w:num>
  <w:num w:numId="25">
    <w:abstractNumId w:val="6"/>
  </w:num>
  <w:num w:numId="26">
    <w:abstractNumId w:val="29"/>
  </w:num>
  <w:num w:numId="27">
    <w:abstractNumId w:val="13"/>
  </w:num>
  <w:num w:numId="28">
    <w:abstractNumId w:val="18"/>
  </w:num>
  <w:num w:numId="29">
    <w:abstractNumId w:val="21"/>
  </w:num>
  <w:num w:numId="30">
    <w:abstractNumId w:val="30"/>
  </w:num>
  <w:num w:numId="31">
    <w:abstractNumId w:val="19"/>
  </w:num>
  <w:num w:numId="32">
    <w:abstractNumId w:val="22"/>
  </w:num>
  <w:num w:numId="33">
    <w:abstractNumId w:val="24"/>
  </w:num>
  <w:num w:numId="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CB8"/>
    <w:rsid w:val="000009FE"/>
    <w:rsid w:val="000258F6"/>
    <w:rsid w:val="00032705"/>
    <w:rsid w:val="00034814"/>
    <w:rsid w:val="00035061"/>
    <w:rsid w:val="00037159"/>
    <w:rsid w:val="00037A8C"/>
    <w:rsid w:val="00063FB4"/>
    <w:rsid w:val="000872FC"/>
    <w:rsid w:val="000958D1"/>
    <w:rsid w:val="000A22A4"/>
    <w:rsid w:val="000B4195"/>
    <w:rsid w:val="000B5808"/>
    <w:rsid w:val="001068BE"/>
    <w:rsid w:val="00151023"/>
    <w:rsid w:val="001B3DF9"/>
    <w:rsid w:val="001D07EB"/>
    <w:rsid w:val="001F51A8"/>
    <w:rsid w:val="00220966"/>
    <w:rsid w:val="00236F53"/>
    <w:rsid w:val="00242C12"/>
    <w:rsid w:val="00270DED"/>
    <w:rsid w:val="00276470"/>
    <w:rsid w:val="002B32A9"/>
    <w:rsid w:val="002D200E"/>
    <w:rsid w:val="002E64DC"/>
    <w:rsid w:val="00307123"/>
    <w:rsid w:val="00307B9F"/>
    <w:rsid w:val="0032085D"/>
    <w:rsid w:val="003231AF"/>
    <w:rsid w:val="003554B9"/>
    <w:rsid w:val="00365745"/>
    <w:rsid w:val="0036613E"/>
    <w:rsid w:val="00367565"/>
    <w:rsid w:val="003A2478"/>
    <w:rsid w:val="003D6378"/>
    <w:rsid w:val="003F31D9"/>
    <w:rsid w:val="003F4920"/>
    <w:rsid w:val="00410B4C"/>
    <w:rsid w:val="00411C5F"/>
    <w:rsid w:val="00430B46"/>
    <w:rsid w:val="0043662C"/>
    <w:rsid w:val="00475485"/>
    <w:rsid w:val="0047733D"/>
    <w:rsid w:val="004947D9"/>
    <w:rsid w:val="004C5073"/>
    <w:rsid w:val="004E5725"/>
    <w:rsid w:val="004E6F04"/>
    <w:rsid w:val="004F3276"/>
    <w:rsid w:val="00532497"/>
    <w:rsid w:val="005375E1"/>
    <w:rsid w:val="005521D4"/>
    <w:rsid w:val="0058576B"/>
    <w:rsid w:val="00596F26"/>
    <w:rsid w:val="005B5326"/>
    <w:rsid w:val="005B639D"/>
    <w:rsid w:val="005F491F"/>
    <w:rsid w:val="00625851"/>
    <w:rsid w:val="00627C62"/>
    <w:rsid w:val="006504AB"/>
    <w:rsid w:val="00664688"/>
    <w:rsid w:val="00666D4C"/>
    <w:rsid w:val="00683632"/>
    <w:rsid w:val="006877F1"/>
    <w:rsid w:val="006E41D1"/>
    <w:rsid w:val="006F7B4B"/>
    <w:rsid w:val="00713609"/>
    <w:rsid w:val="00752658"/>
    <w:rsid w:val="00754BFC"/>
    <w:rsid w:val="0078713C"/>
    <w:rsid w:val="00794AA9"/>
    <w:rsid w:val="007C7CB7"/>
    <w:rsid w:val="00813569"/>
    <w:rsid w:val="008354E1"/>
    <w:rsid w:val="00840A8A"/>
    <w:rsid w:val="008827C5"/>
    <w:rsid w:val="008B436C"/>
    <w:rsid w:val="008C2531"/>
    <w:rsid w:val="008D3287"/>
    <w:rsid w:val="008D6637"/>
    <w:rsid w:val="00935407"/>
    <w:rsid w:val="00945401"/>
    <w:rsid w:val="0097604B"/>
    <w:rsid w:val="009A7E6B"/>
    <w:rsid w:val="009C567F"/>
    <w:rsid w:val="009E19D9"/>
    <w:rsid w:val="009F50B8"/>
    <w:rsid w:val="009F636A"/>
    <w:rsid w:val="00A01304"/>
    <w:rsid w:val="00A17329"/>
    <w:rsid w:val="00A37D91"/>
    <w:rsid w:val="00A54F5C"/>
    <w:rsid w:val="00A810AC"/>
    <w:rsid w:val="00A86CFB"/>
    <w:rsid w:val="00AA1F90"/>
    <w:rsid w:val="00AA2A82"/>
    <w:rsid w:val="00AA6CE3"/>
    <w:rsid w:val="00AB3E6E"/>
    <w:rsid w:val="00AB7530"/>
    <w:rsid w:val="00AC53AC"/>
    <w:rsid w:val="00AD4852"/>
    <w:rsid w:val="00AE1E36"/>
    <w:rsid w:val="00AF6D29"/>
    <w:rsid w:val="00B14159"/>
    <w:rsid w:val="00B23C0A"/>
    <w:rsid w:val="00B23CB8"/>
    <w:rsid w:val="00B4252E"/>
    <w:rsid w:val="00B53539"/>
    <w:rsid w:val="00B910CC"/>
    <w:rsid w:val="00BB1C29"/>
    <w:rsid w:val="00BB6D66"/>
    <w:rsid w:val="00BC3F71"/>
    <w:rsid w:val="00BD3858"/>
    <w:rsid w:val="00BE67EC"/>
    <w:rsid w:val="00BF3A37"/>
    <w:rsid w:val="00C3029A"/>
    <w:rsid w:val="00C35CAB"/>
    <w:rsid w:val="00C546DC"/>
    <w:rsid w:val="00C56B3C"/>
    <w:rsid w:val="00C9778C"/>
    <w:rsid w:val="00CA011F"/>
    <w:rsid w:val="00CA3AEE"/>
    <w:rsid w:val="00CA75F2"/>
    <w:rsid w:val="00CA7D69"/>
    <w:rsid w:val="00CC0D85"/>
    <w:rsid w:val="00CC2DB9"/>
    <w:rsid w:val="00CD2298"/>
    <w:rsid w:val="00CF514B"/>
    <w:rsid w:val="00D07210"/>
    <w:rsid w:val="00D31252"/>
    <w:rsid w:val="00D56B46"/>
    <w:rsid w:val="00D613B4"/>
    <w:rsid w:val="00D81AAB"/>
    <w:rsid w:val="00D933F8"/>
    <w:rsid w:val="00DA38D6"/>
    <w:rsid w:val="00DA5FAF"/>
    <w:rsid w:val="00DD61F9"/>
    <w:rsid w:val="00DD6C73"/>
    <w:rsid w:val="00E03896"/>
    <w:rsid w:val="00E07960"/>
    <w:rsid w:val="00E4344C"/>
    <w:rsid w:val="00E444C6"/>
    <w:rsid w:val="00E63759"/>
    <w:rsid w:val="00E63969"/>
    <w:rsid w:val="00E664A5"/>
    <w:rsid w:val="00E726E1"/>
    <w:rsid w:val="00EC0EF9"/>
    <w:rsid w:val="00EF6AFD"/>
    <w:rsid w:val="00F10DDE"/>
    <w:rsid w:val="00F11FCF"/>
    <w:rsid w:val="00F300EA"/>
    <w:rsid w:val="00F3375C"/>
    <w:rsid w:val="00F722E6"/>
    <w:rsid w:val="00F773D4"/>
    <w:rsid w:val="00F85B9A"/>
    <w:rsid w:val="00F87385"/>
    <w:rsid w:val="00F9402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E42A3F"/>
  <w15:chartTrackingRefBased/>
  <w15:docId w15:val="{411DEBCA-0D1D-4D70-BB57-F08C14186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6B4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export-amendments-table">
    <w:name w:val="export-amendments-table"/>
    <w:rsid w:val="00B23CB8"/>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paragraph" w:styleId="ListParagraph">
    <w:name w:val="List Paragraph"/>
    <w:basedOn w:val="Normal"/>
    <w:uiPriority w:val="34"/>
    <w:qFormat/>
    <w:rsid w:val="00D31252"/>
    <w:pPr>
      <w:ind w:left="720"/>
      <w:contextualSpacing/>
    </w:pPr>
  </w:style>
  <w:style w:type="character" w:styleId="CommentReference">
    <w:name w:val="annotation reference"/>
    <w:basedOn w:val="DefaultParagraphFont"/>
    <w:uiPriority w:val="99"/>
    <w:semiHidden/>
    <w:unhideWhenUsed/>
    <w:rsid w:val="00CD2298"/>
    <w:rPr>
      <w:sz w:val="16"/>
      <w:szCs w:val="16"/>
    </w:rPr>
  </w:style>
  <w:style w:type="paragraph" w:styleId="CommentText">
    <w:name w:val="annotation text"/>
    <w:basedOn w:val="Normal"/>
    <w:link w:val="CommentTextChar"/>
    <w:uiPriority w:val="99"/>
    <w:semiHidden/>
    <w:unhideWhenUsed/>
    <w:rsid w:val="00CD2298"/>
    <w:pPr>
      <w:spacing w:line="240" w:lineRule="auto"/>
    </w:pPr>
    <w:rPr>
      <w:sz w:val="20"/>
      <w:szCs w:val="20"/>
    </w:rPr>
  </w:style>
  <w:style w:type="character" w:customStyle="1" w:styleId="CommentTextChar">
    <w:name w:val="Comment Text Char"/>
    <w:basedOn w:val="DefaultParagraphFont"/>
    <w:link w:val="CommentText"/>
    <w:uiPriority w:val="99"/>
    <w:semiHidden/>
    <w:rsid w:val="00CD2298"/>
    <w:rPr>
      <w:sz w:val="20"/>
      <w:szCs w:val="20"/>
    </w:rPr>
  </w:style>
  <w:style w:type="paragraph" w:styleId="CommentSubject">
    <w:name w:val="annotation subject"/>
    <w:basedOn w:val="CommentText"/>
    <w:next w:val="CommentText"/>
    <w:link w:val="CommentSubjectChar"/>
    <w:uiPriority w:val="99"/>
    <w:semiHidden/>
    <w:unhideWhenUsed/>
    <w:rsid w:val="00CD2298"/>
    <w:rPr>
      <w:b/>
      <w:bCs/>
    </w:rPr>
  </w:style>
  <w:style w:type="character" w:customStyle="1" w:styleId="CommentSubjectChar">
    <w:name w:val="Comment Subject Char"/>
    <w:basedOn w:val="CommentTextChar"/>
    <w:link w:val="CommentSubject"/>
    <w:uiPriority w:val="99"/>
    <w:semiHidden/>
    <w:rsid w:val="00CD2298"/>
    <w:rPr>
      <w:b/>
      <w:bCs/>
      <w:sz w:val="20"/>
      <w:szCs w:val="20"/>
    </w:rPr>
  </w:style>
  <w:style w:type="paragraph" w:styleId="BalloonText">
    <w:name w:val="Balloon Text"/>
    <w:basedOn w:val="Normal"/>
    <w:link w:val="BalloonTextChar"/>
    <w:uiPriority w:val="99"/>
    <w:semiHidden/>
    <w:unhideWhenUsed/>
    <w:rsid w:val="00CD22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2298"/>
    <w:rPr>
      <w:rFonts w:ascii="Segoe UI" w:hAnsi="Segoe UI" w:cs="Segoe UI"/>
      <w:sz w:val="18"/>
      <w:szCs w:val="18"/>
    </w:rPr>
  </w:style>
  <w:style w:type="paragraph" w:styleId="FootnoteText">
    <w:name w:val="footnote text"/>
    <w:basedOn w:val="Normal"/>
    <w:link w:val="FootnoteTextChar"/>
    <w:uiPriority w:val="99"/>
    <w:semiHidden/>
    <w:unhideWhenUsed/>
    <w:rsid w:val="006836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83632"/>
    <w:rPr>
      <w:sz w:val="20"/>
      <w:szCs w:val="20"/>
    </w:rPr>
  </w:style>
  <w:style w:type="character" w:styleId="FootnoteReference">
    <w:name w:val="footnote reference"/>
    <w:basedOn w:val="DefaultParagraphFont"/>
    <w:uiPriority w:val="99"/>
    <w:semiHidden/>
    <w:unhideWhenUsed/>
    <w:rsid w:val="00683632"/>
    <w:rPr>
      <w:vertAlign w:val="superscript"/>
    </w:rPr>
  </w:style>
  <w:style w:type="paragraph" w:customStyle="1" w:styleId="footnotedescription">
    <w:name w:val="footnote description"/>
    <w:next w:val="Normal"/>
    <w:link w:val="footnotedescriptionChar"/>
    <w:hidden/>
    <w:rsid w:val="00E726E1"/>
    <w:pPr>
      <w:spacing w:after="0" w:line="235" w:lineRule="auto"/>
      <w:ind w:right="175" w:firstLine="13"/>
    </w:pPr>
    <w:rPr>
      <w:rFonts w:ascii="Calibri" w:eastAsia="Calibri" w:hAnsi="Calibri" w:cs="Calibri"/>
      <w:color w:val="000000"/>
      <w:sz w:val="20"/>
      <w:lang w:eastAsia="hr-HR"/>
    </w:rPr>
  </w:style>
  <w:style w:type="character" w:customStyle="1" w:styleId="footnotedescriptionChar">
    <w:name w:val="footnote description Char"/>
    <w:link w:val="footnotedescription"/>
    <w:rsid w:val="00E726E1"/>
    <w:rPr>
      <w:rFonts w:ascii="Calibri" w:eastAsia="Calibri" w:hAnsi="Calibri" w:cs="Calibri"/>
      <w:color w:val="000000"/>
      <w:sz w:val="20"/>
      <w:lang w:eastAsia="hr-HR"/>
    </w:rPr>
  </w:style>
  <w:style w:type="character" w:customStyle="1" w:styleId="footnotemark">
    <w:name w:val="footnote mark"/>
    <w:hidden/>
    <w:rsid w:val="00E726E1"/>
    <w:rPr>
      <w:rFonts w:ascii="Calibri" w:eastAsia="Calibri" w:hAnsi="Calibri" w:cs="Calibri"/>
      <w:color w:val="000000"/>
      <w:sz w:val="20"/>
      <w:vertAlign w:val="superscript"/>
    </w:rPr>
  </w:style>
  <w:style w:type="paragraph" w:customStyle="1" w:styleId="tdp">
    <w:name w:val="td_p"/>
    <w:basedOn w:val="Normal"/>
    <w:rsid w:val="005B5326"/>
    <w:pPr>
      <w:spacing w:after="0" w:line="240" w:lineRule="auto"/>
    </w:pPr>
    <w:rPr>
      <w:rFonts w:ascii="Arial" w:eastAsia="Arial" w:hAnsi="Arial" w:cs="Arial"/>
      <w:sz w:val="24"/>
      <w:szCs w:val="24"/>
      <w:lang w:val="en-US"/>
    </w:rPr>
  </w:style>
  <w:style w:type="paragraph" w:styleId="Revision">
    <w:name w:val="Revision"/>
    <w:hidden/>
    <w:uiPriority w:val="99"/>
    <w:semiHidden/>
    <w:rsid w:val="000348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4698585">
      <w:bodyDiv w:val="1"/>
      <w:marLeft w:val="0"/>
      <w:marRight w:val="0"/>
      <w:marTop w:val="0"/>
      <w:marBottom w:val="0"/>
      <w:divBdr>
        <w:top w:val="none" w:sz="0" w:space="0" w:color="auto"/>
        <w:left w:val="none" w:sz="0" w:space="0" w:color="auto"/>
        <w:bottom w:val="none" w:sz="0" w:space="0" w:color="auto"/>
        <w:right w:val="none" w:sz="0" w:space="0" w:color="auto"/>
      </w:divBdr>
    </w:div>
    <w:div w:id="1708019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Nenad Belošević</DisplayName>
        <AccountId>244</AccountId>
        <AccountType/>
      </UserInfo>
      <UserInfo>
        <DisplayName>Igor Prokurica</DisplayName>
        <AccountId>173</AccountId>
        <AccountType/>
      </UserInfo>
      <UserInfo>
        <DisplayName>Domagoj Maričić</DisplayName>
        <AccountId>62</AccountId>
        <AccountType/>
      </UserInfo>
      <UserInfo>
        <DisplayName>Kristina Ćosić</DisplayName>
        <AccountId>201</AccountId>
        <AccountType/>
      </UserInfo>
      <UserInfo>
        <DisplayName>Vesna Gabrić Kešina</DisplayName>
        <AccountId>192</AccountId>
        <AccountType/>
      </UserInfo>
      <UserInfo>
        <DisplayName>Josip Šajnović</DisplayName>
        <AccountId>206</AccountId>
        <AccountType/>
      </UserInfo>
      <UserInfo>
        <DisplayName>Mladen Sikirica</DisplayName>
        <AccountId>139</AccountId>
        <AccountType/>
      </UserInfo>
      <UserInfo>
        <DisplayName>Mia Bartulica</DisplayName>
        <AccountId>303</AccountId>
        <AccountType/>
      </UserInfo>
      <UserInfo>
        <DisplayName>Lidija Antonić</DisplayName>
        <AccountId>178</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474E93-1A90-4336-B7D7-9B3076198A1A}">
  <ds:schemaRefs>
    <ds:schemaRef ds:uri="http://schemas.microsoft.com/office/2006/metadata/properties"/>
    <ds:schemaRef ds:uri="http://schemas.microsoft.com/office/infopath/2007/PartnerControls"/>
    <ds:schemaRef ds:uri="f45d8b5b-b624-41fb-afb8-da03212d0f19"/>
  </ds:schemaRefs>
</ds:datastoreItem>
</file>

<file path=customXml/itemProps2.xml><?xml version="1.0" encoding="utf-8"?>
<ds:datastoreItem xmlns:ds="http://schemas.openxmlformats.org/officeDocument/2006/customXml" ds:itemID="{1FFF49A5-52D6-4AA6-AF24-B609665810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A6FC9ED-BA47-43E0-9A16-9628CC796541}">
  <ds:schemaRefs>
    <ds:schemaRef ds:uri="http://schemas.microsoft.com/sharepoint/v3/contenttype/forms"/>
  </ds:schemaRefs>
</ds:datastoreItem>
</file>

<file path=customXml/itemProps4.xml><?xml version="1.0" encoding="utf-8"?>
<ds:datastoreItem xmlns:ds="http://schemas.openxmlformats.org/officeDocument/2006/customXml" ds:itemID="{B63E50EE-8E45-4364-B6DD-52EDA37F01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1075</Words>
  <Characters>6128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 Filipović</dc:creator>
  <cp:keywords/>
  <dc:description/>
  <cp:lastModifiedBy>Snježana Hrgović</cp:lastModifiedBy>
  <cp:revision>7</cp:revision>
  <dcterms:created xsi:type="dcterms:W3CDTF">2022-09-22T12:39:00Z</dcterms:created>
  <dcterms:modified xsi:type="dcterms:W3CDTF">2022-09-26T13:45:00Z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