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4D5C" w:rsidRPr="00984D5C" w:rsidRDefault="00984D5C" w:rsidP="00984D5C">
      <w:pPr>
        <w:rPr>
          <w:rFonts w:ascii="Times New Roman" w:eastAsia="Times New Roman" w:hAnsi="Times New Roman"/>
          <w:color w:val="auto"/>
          <w:lang w:eastAsia="hr-HR"/>
        </w:rPr>
      </w:pPr>
      <w:r w:rsidRPr="00984D5C">
        <w:rPr>
          <w:rFonts w:ascii="Times New Roman" w:eastAsia="Times New Roman" w:hAnsi="Times New Roman"/>
          <w:color w:val="auto"/>
          <w:lang w:eastAsia="hr-HR"/>
        </w:rPr>
        <w:t>KLASA: UP/I-344-01/22-03/03</w:t>
      </w:r>
    </w:p>
    <w:p w:rsidR="00984D5C" w:rsidRPr="00984D5C" w:rsidRDefault="00984D5C" w:rsidP="00984D5C">
      <w:pPr>
        <w:rPr>
          <w:rFonts w:ascii="Times New Roman" w:eastAsia="Times New Roman" w:hAnsi="Times New Roman"/>
          <w:color w:val="auto"/>
          <w:lang w:eastAsia="hr-HR"/>
        </w:rPr>
      </w:pPr>
      <w:r w:rsidRPr="00984D5C">
        <w:rPr>
          <w:rFonts w:ascii="Times New Roman" w:eastAsia="Times New Roman" w:hAnsi="Times New Roman"/>
          <w:color w:val="auto"/>
          <w:lang w:eastAsia="hr-HR"/>
        </w:rPr>
        <w:t>URBROJ: 376-05-1-23-17</w:t>
      </w:r>
    </w:p>
    <w:p w:rsidR="00984D5C" w:rsidRPr="00984D5C" w:rsidRDefault="00984D5C" w:rsidP="00984D5C">
      <w:pPr>
        <w:tabs>
          <w:tab w:val="left" w:pos="3075"/>
        </w:tabs>
        <w:spacing w:after="240"/>
        <w:rPr>
          <w:rFonts w:ascii="Times New Roman" w:eastAsia="Times New Roman" w:hAnsi="Times New Roman"/>
          <w:color w:val="auto"/>
          <w:lang w:eastAsia="hr-HR"/>
        </w:rPr>
      </w:pPr>
      <w:r w:rsidRPr="00984D5C">
        <w:rPr>
          <w:rFonts w:ascii="Times New Roman" w:eastAsia="Times New Roman" w:hAnsi="Times New Roman"/>
          <w:color w:val="auto"/>
          <w:lang w:eastAsia="hr-HR"/>
        </w:rPr>
        <w:t>Zagreb, 26. siječnja 2023.</w:t>
      </w:r>
      <w:r w:rsidRPr="00984D5C">
        <w:rPr>
          <w:rFonts w:ascii="Times New Roman" w:eastAsia="Times New Roman" w:hAnsi="Times New Roman"/>
          <w:color w:val="auto"/>
          <w:lang w:eastAsia="hr-HR"/>
        </w:rPr>
        <w:tab/>
      </w:r>
    </w:p>
    <w:p w:rsidR="00984D5C" w:rsidRPr="00984D5C" w:rsidRDefault="00984D5C" w:rsidP="00984D5C">
      <w:pPr>
        <w:autoSpaceDE w:val="0"/>
        <w:autoSpaceDN w:val="0"/>
        <w:adjustRightInd w:val="0"/>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Na temelju članka 16. stavka 1. točke 4. i članaka 100. i 101. Zakona o elektroničkim komunikacijama (NN br. 76/2022), u postupku analize tržišta veleprodajnog lokalnog pristupa koji se pruža na fiksnoj lokaciji, Vijeće Hrvatske regulatorne agencije za mrežne dje</w:t>
      </w:r>
      <w:r w:rsidR="008B2491">
        <w:rPr>
          <w:rFonts w:ascii="Times New Roman" w:eastAsia="Times New Roman" w:hAnsi="Times New Roman"/>
          <w:color w:val="auto"/>
          <w:lang w:eastAsia="hr-HR"/>
        </w:rPr>
        <w:t xml:space="preserve">latnosti na sjednici održanoj 26. siječnja </w:t>
      </w:r>
      <w:r w:rsidRPr="00984D5C">
        <w:rPr>
          <w:rFonts w:ascii="Times New Roman" w:eastAsia="Times New Roman" w:hAnsi="Times New Roman"/>
          <w:color w:val="auto"/>
          <w:lang w:eastAsia="hr-HR"/>
        </w:rPr>
        <w:t xml:space="preserve">2023. donosi </w:t>
      </w:r>
    </w:p>
    <w:p w:rsidR="00984D5C" w:rsidRPr="00984D5C" w:rsidRDefault="00984D5C" w:rsidP="00984D5C">
      <w:pPr>
        <w:spacing w:before="360" w:after="360"/>
        <w:jc w:val="center"/>
        <w:rPr>
          <w:rFonts w:ascii="Times New Roman" w:eastAsia="Times New Roman" w:hAnsi="Times New Roman"/>
          <w:b/>
          <w:color w:val="000000"/>
          <w:lang w:eastAsia="hr-HR"/>
        </w:rPr>
      </w:pPr>
      <w:r w:rsidRPr="00984D5C">
        <w:rPr>
          <w:rFonts w:ascii="Times New Roman" w:eastAsia="Times New Roman" w:hAnsi="Times New Roman"/>
          <w:b/>
          <w:color w:val="000000"/>
          <w:lang w:eastAsia="hr-HR"/>
        </w:rPr>
        <w:t>ODLUKU</w:t>
      </w: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Utvrđuje se da su mjerodavna tržišta: </w:t>
      </w:r>
    </w:p>
    <w:p w:rsidR="00984D5C" w:rsidRPr="00984D5C" w:rsidRDefault="00984D5C" w:rsidP="00984D5C">
      <w:pPr>
        <w:numPr>
          <w:ilvl w:val="1"/>
          <w:numId w:val="65"/>
        </w:numPr>
        <w:ind w:left="1418" w:hanging="284"/>
        <w:contextualSpacing/>
        <w:jc w:val="both"/>
        <w:rPr>
          <w:rFonts w:ascii="Times New Roman" w:eastAsia="Times New Roman" w:hAnsi="Times New Roman"/>
          <w:vanish/>
          <w:color w:val="auto"/>
          <w:lang w:eastAsia="hr-HR"/>
        </w:rPr>
      </w:pPr>
      <w:r w:rsidRPr="00984D5C">
        <w:rPr>
          <w:rFonts w:ascii="Times New Roman" w:eastAsia="Times New Roman" w:hAnsi="Times New Roman"/>
          <w:color w:val="auto"/>
          <w:lang w:eastAsia="hr-HR"/>
        </w:rPr>
        <w:t xml:space="preserve">veleprodajnog lokalnog pristupa malog kapaciteta koji se pruža na fiksnoj lokaciji i </w:t>
      </w:r>
    </w:p>
    <w:p w:rsidR="00984D5C" w:rsidRPr="00984D5C" w:rsidRDefault="00984D5C" w:rsidP="00984D5C">
      <w:pPr>
        <w:numPr>
          <w:ilvl w:val="1"/>
          <w:numId w:val="65"/>
        </w:numPr>
        <w:ind w:left="1418" w:hanging="284"/>
        <w:contextualSpacing/>
        <w:jc w:val="both"/>
        <w:rPr>
          <w:rFonts w:ascii="Times New Roman" w:eastAsia="Times New Roman" w:hAnsi="Times New Roman"/>
          <w:color w:val="auto"/>
          <w:lang w:eastAsia="hr-HR"/>
        </w:rPr>
      </w:pPr>
    </w:p>
    <w:p w:rsidR="00984D5C" w:rsidRPr="00984D5C" w:rsidRDefault="00984D5C" w:rsidP="00984D5C">
      <w:pPr>
        <w:numPr>
          <w:ilvl w:val="0"/>
          <w:numId w:val="69"/>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veleprodajnog lokalnog pristupa velikog kapaciteta koji se pruža na fiksnoj lokaciji – nekonkurentna područja,</w:t>
      </w:r>
    </w:p>
    <w:p w:rsidR="00984D5C" w:rsidRPr="00984D5C" w:rsidRDefault="00984D5C" w:rsidP="00984D5C">
      <w:pPr>
        <w:ind w:firstLine="708"/>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podložna prethodnoj regulaciji.</w:t>
      </w:r>
    </w:p>
    <w:p w:rsidR="00984D5C" w:rsidRPr="00984D5C" w:rsidRDefault="00984D5C" w:rsidP="00984D5C">
      <w:pPr>
        <w:ind w:firstLine="708"/>
        <w:jc w:val="both"/>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Trgovačko društvo Hrvatski Telekom d.d., Zagreb, Radnička cesta 21, OIB: 81793146560, određuje se operatorom sa značajnom tržišnom snagom na tržištu iz točke 1.a izreke te mu se na tom tržištu određuju sljedeće regulatorne obveze: </w:t>
      </w:r>
    </w:p>
    <w:p w:rsidR="00984D5C" w:rsidRPr="00984D5C" w:rsidRDefault="00984D5C" w:rsidP="00984D5C">
      <w:pPr>
        <w:numPr>
          <w:ilvl w:val="3"/>
          <w:numId w:val="70"/>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pristupa i korištenja posebnih mrežnih sastavnica i povezane opreme; </w:t>
      </w:r>
    </w:p>
    <w:p w:rsidR="00984D5C" w:rsidRPr="00984D5C" w:rsidRDefault="00984D5C" w:rsidP="00984D5C">
      <w:pPr>
        <w:numPr>
          <w:ilvl w:val="3"/>
          <w:numId w:val="70"/>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nediskriminacije; </w:t>
      </w:r>
    </w:p>
    <w:p w:rsidR="00984D5C" w:rsidRPr="00984D5C" w:rsidRDefault="00984D5C" w:rsidP="00984D5C">
      <w:pPr>
        <w:numPr>
          <w:ilvl w:val="3"/>
          <w:numId w:val="70"/>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transparentnosti uz obvezu objave standardne ponude; </w:t>
      </w:r>
    </w:p>
    <w:p w:rsidR="00984D5C" w:rsidRPr="00984D5C" w:rsidRDefault="00984D5C" w:rsidP="00984D5C">
      <w:pPr>
        <w:numPr>
          <w:ilvl w:val="3"/>
          <w:numId w:val="70"/>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nadzora cijena i vođenja troškovnog računovodstva i </w:t>
      </w:r>
    </w:p>
    <w:p w:rsidR="00984D5C" w:rsidRPr="00984D5C" w:rsidRDefault="00984D5C" w:rsidP="00984D5C">
      <w:pPr>
        <w:numPr>
          <w:ilvl w:val="3"/>
          <w:numId w:val="70"/>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računovodstvenog razdvajanja. </w:t>
      </w:r>
    </w:p>
    <w:p w:rsidR="00984D5C" w:rsidRPr="00984D5C" w:rsidRDefault="00984D5C" w:rsidP="00984D5C">
      <w:pPr>
        <w:ind w:left="708"/>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Regulatorna obveza nadzora cijena i vođenja troškovnog računovodstva se na odgovarajući način primjenjuje i na društvo ISKON INTERNET d.d., Radnička cesta 21, Zagreb, OIB: 36779353407, koje je pod nadzorom Hrvatskog Telekoma d.d.</w:t>
      </w:r>
    </w:p>
    <w:p w:rsidR="00984D5C" w:rsidRPr="00984D5C" w:rsidRDefault="00984D5C" w:rsidP="00984D5C">
      <w:pPr>
        <w:ind w:left="720"/>
        <w:contextualSpacing/>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Trgovačko društvo Hrvatski Telekom d.d. određuje se operatorom sa značajnom tržišnom snagom na tržištu iz točke 1.b izreke te mu se na tom tržištu određuju regulatorne obveze kako slijedi:</w:t>
      </w:r>
    </w:p>
    <w:p w:rsidR="00984D5C" w:rsidRPr="00984D5C" w:rsidRDefault="00984D5C" w:rsidP="00984D5C">
      <w:pPr>
        <w:ind w:left="720"/>
        <w:contextualSpacing/>
        <w:jc w:val="both"/>
        <w:rPr>
          <w:rFonts w:ascii="Times New Roman" w:eastAsia="Times New Roman" w:hAnsi="Times New Roman"/>
          <w:color w:val="auto"/>
          <w:lang w:eastAsia="hr-HR"/>
        </w:rPr>
      </w:pPr>
    </w:p>
    <w:p w:rsidR="00984D5C" w:rsidRPr="00984D5C" w:rsidRDefault="00984D5C" w:rsidP="00984D5C">
      <w:pPr>
        <w:numPr>
          <w:ilvl w:val="0"/>
          <w:numId w:val="68"/>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na nekonkurentnim područjima klastera A, popisanim u Privitku</w:t>
      </w:r>
      <w:r w:rsidRPr="00984D5C">
        <w:rPr>
          <w:rFonts w:ascii="Times New Roman" w:eastAsia="Times New Roman" w:hAnsi="Times New Roman"/>
          <w:color w:val="FF0000"/>
          <w:lang w:eastAsia="hr-HR"/>
        </w:rPr>
        <w:t xml:space="preserve"> </w:t>
      </w:r>
      <w:r w:rsidRPr="00984D5C">
        <w:rPr>
          <w:rFonts w:ascii="Times New Roman" w:eastAsia="Times New Roman" w:hAnsi="Times New Roman"/>
          <w:color w:val="auto"/>
          <w:lang w:eastAsia="hr-HR"/>
        </w:rPr>
        <w:t>1</w:t>
      </w:r>
      <w:r w:rsidRPr="00984D5C">
        <w:rPr>
          <w:rFonts w:ascii="Times New Roman" w:eastAsia="Times New Roman" w:hAnsi="Times New Roman"/>
          <w:color w:val="FF0000"/>
          <w:lang w:eastAsia="hr-HR"/>
        </w:rPr>
        <w:t xml:space="preserve"> </w:t>
      </w:r>
      <w:r w:rsidRPr="00984D5C">
        <w:rPr>
          <w:rFonts w:ascii="Times New Roman" w:eastAsia="Times New Roman" w:hAnsi="Times New Roman"/>
          <w:color w:val="auto"/>
          <w:lang w:eastAsia="hr-HR"/>
        </w:rPr>
        <w:t>dokumenta „</w:t>
      </w:r>
      <w:r w:rsidRPr="00984D5C">
        <w:rPr>
          <w:rFonts w:ascii="Times New Roman" w:eastAsia="Times New Roman" w:hAnsi="Times New Roman"/>
          <w:i/>
          <w:color w:val="auto"/>
          <w:lang w:eastAsia="hr-HR"/>
        </w:rPr>
        <w:t>Analiza tržišta veleprodajnog lokalnog pristupa koji se pruža na fiksnoj lokaciji“,</w:t>
      </w:r>
      <w:r w:rsidRPr="00984D5C">
        <w:rPr>
          <w:rFonts w:ascii="Times New Roman" w:eastAsia="Times New Roman" w:hAnsi="Times New Roman"/>
          <w:color w:val="auto"/>
          <w:lang w:eastAsia="hr-HR"/>
        </w:rPr>
        <w:t xml:space="preserve"> primjenjuju se sljedeće regulatorne obveze: </w:t>
      </w:r>
    </w:p>
    <w:p w:rsidR="00984D5C" w:rsidRPr="00984D5C" w:rsidRDefault="00984D5C" w:rsidP="00984D5C">
      <w:pPr>
        <w:numPr>
          <w:ilvl w:val="3"/>
          <w:numId w:val="71"/>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pristupa i korištenja posebnih mrežnih sastavnica i povezane opreme; </w:t>
      </w:r>
    </w:p>
    <w:p w:rsidR="00984D5C" w:rsidRPr="00984D5C" w:rsidRDefault="00984D5C" w:rsidP="00984D5C">
      <w:pPr>
        <w:numPr>
          <w:ilvl w:val="3"/>
          <w:numId w:val="71"/>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nediskriminacije; </w:t>
      </w:r>
    </w:p>
    <w:p w:rsidR="00984D5C" w:rsidRPr="00984D5C" w:rsidRDefault="00984D5C" w:rsidP="00984D5C">
      <w:pPr>
        <w:numPr>
          <w:ilvl w:val="3"/>
          <w:numId w:val="71"/>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transparentnosti uz obvezu objave standardne ponude; </w:t>
      </w:r>
    </w:p>
    <w:p w:rsidR="00984D5C" w:rsidRPr="00984D5C" w:rsidRDefault="00984D5C" w:rsidP="00984D5C">
      <w:pPr>
        <w:numPr>
          <w:ilvl w:val="3"/>
          <w:numId w:val="71"/>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nadzora cijena i vođenja troškovnog računovodstva i </w:t>
      </w:r>
    </w:p>
    <w:p w:rsidR="00C833F6" w:rsidRDefault="00984D5C" w:rsidP="00984D5C">
      <w:pPr>
        <w:numPr>
          <w:ilvl w:val="3"/>
          <w:numId w:val="71"/>
        </w:numPr>
        <w:ind w:left="1418" w:hanging="284"/>
        <w:contextualSpacing/>
        <w:jc w:val="both"/>
        <w:rPr>
          <w:rFonts w:ascii="Times New Roman" w:eastAsia="Times New Roman" w:hAnsi="Times New Roman"/>
          <w:color w:val="auto"/>
          <w:lang w:eastAsia="hr-HR"/>
        </w:rPr>
        <w:sectPr w:rsidR="00C833F6" w:rsidSect="00984D5C">
          <w:headerReference w:type="even" r:id="rId11"/>
          <w:headerReference w:type="default" r:id="rId12"/>
          <w:footerReference w:type="default" r:id="rId13"/>
          <w:headerReference w:type="first" r:id="rId14"/>
          <w:footerReference w:type="first" r:id="rId15"/>
          <w:pgSz w:w="11906" w:h="16838"/>
          <w:pgMar w:top="1440" w:right="1440" w:bottom="1440" w:left="1440" w:header="397" w:footer="397" w:gutter="0"/>
          <w:cols w:space="708"/>
          <w:titlePg/>
          <w:docGrid w:linePitch="360"/>
        </w:sectPr>
      </w:pPr>
      <w:r w:rsidRPr="00984D5C">
        <w:rPr>
          <w:rFonts w:ascii="Times New Roman" w:eastAsia="Times New Roman" w:hAnsi="Times New Roman"/>
          <w:color w:val="auto"/>
          <w:lang w:eastAsia="hr-HR"/>
        </w:rPr>
        <w:t xml:space="preserve">obveza računovodstvenog razdvajanja. </w:t>
      </w:r>
    </w:p>
    <w:p w:rsidR="00984D5C" w:rsidRPr="00984D5C" w:rsidRDefault="00984D5C" w:rsidP="00984D5C">
      <w:pPr>
        <w:ind w:left="1418"/>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Regulatorna obveza nadzora cijena i vođenja troškovnog računovodstva se na odgovarajući način primjenjuje i na društvo ISKON INTERNET d.d. koje je pod nadzorom Hrvatskog Telekoma d.d. </w:t>
      </w:r>
    </w:p>
    <w:p w:rsidR="00984D5C" w:rsidRPr="00984D5C" w:rsidRDefault="00984D5C" w:rsidP="00984D5C">
      <w:pPr>
        <w:ind w:left="1418"/>
        <w:jc w:val="both"/>
        <w:rPr>
          <w:rFonts w:ascii="Times New Roman" w:eastAsia="Times New Roman" w:hAnsi="Times New Roman"/>
          <w:color w:val="auto"/>
          <w:lang w:eastAsia="hr-HR"/>
        </w:rPr>
      </w:pPr>
    </w:p>
    <w:p w:rsidR="00984D5C" w:rsidRPr="00984D5C" w:rsidRDefault="00984D5C" w:rsidP="00984D5C">
      <w:pPr>
        <w:numPr>
          <w:ilvl w:val="0"/>
          <w:numId w:val="68"/>
        </w:numPr>
        <w:ind w:left="1418"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na nekonkurentnim područjima klastera B, popisanim u Privitku 2</w:t>
      </w:r>
      <w:r w:rsidRPr="00984D5C">
        <w:rPr>
          <w:rFonts w:ascii="Times New Roman" w:eastAsia="Times New Roman" w:hAnsi="Times New Roman"/>
          <w:color w:val="FF0000"/>
          <w:lang w:eastAsia="hr-HR"/>
        </w:rPr>
        <w:t xml:space="preserve"> </w:t>
      </w:r>
      <w:r w:rsidRPr="00984D5C">
        <w:rPr>
          <w:rFonts w:ascii="Times New Roman" w:eastAsia="Times New Roman" w:hAnsi="Times New Roman"/>
          <w:color w:val="auto"/>
          <w:lang w:eastAsia="hr-HR"/>
        </w:rPr>
        <w:t>dokumenta „</w:t>
      </w:r>
      <w:r w:rsidRPr="00984D5C">
        <w:rPr>
          <w:rFonts w:ascii="Times New Roman" w:eastAsia="Times New Roman" w:hAnsi="Times New Roman"/>
          <w:i/>
          <w:color w:val="auto"/>
          <w:lang w:eastAsia="hr-HR"/>
        </w:rPr>
        <w:t>Analiza tržišta veleprodajnog lokalnog pristupa koji se pruža na fiksnoj lokaciji“,</w:t>
      </w:r>
      <w:r w:rsidRPr="00984D5C">
        <w:rPr>
          <w:rFonts w:ascii="Times New Roman" w:eastAsia="Times New Roman" w:hAnsi="Times New Roman"/>
          <w:color w:val="auto"/>
          <w:lang w:eastAsia="hr-HR"/>
        </w:rPr>
        <w:t xml:space="preserve"> primjenjuju se sljedeće regulatorne obveze: </w:t>
      </w:r>
    </w:p>
    <w:p w:rsidR="00984D5C" w:rsidRPr="00984D5C" w:rsidRDefault="00984D5C" w:rsidP="00984D5C">
      <w:pPr>
        <w:numPr>
          <w:ilvl w:val="3"/>
          <w:numId w:val="72"/>
        </w:numPr>
        <w:ind w:left="1560"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pristupa i korištenja posebnih mrežnih sastavnica i povezane opreme; </w:t>
      </w:r>
    </w:p>
    <w:p w:rsidR="00984D5C" w:rsidRPr="00984D5C" w:rsidRDefault="00984D5C" w:rsidP="00984D5C">
      <w:pPr>
        <w:numPr>
          <w:ilvl w:val="3"/>
          <w:numId w:val="72"/>
        </w:numPr>
        <w:ind w:left="1560"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nediskriminacije; </w:t>
      </w:r>
    </w:p>
    <w:p w:rsidR="00984D5C" w:rsidRPr="00984D5C" w:rsidRDefault="00984D5C" w:rsidP="00984D5C">
      <w:pPr>
        <w:numPr>
          <w:ilvl w:val="3"/>
          <w:numId w:val="72"/>
        </w:numPr>
        <w:ind w:left="1560"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transparentnosti uz obvezu objave standardne ponude; </w:t>
      </w:r>
    </w:p>
    <w:p w:rsidR="00984D5C" w:rsidRPr="00984D5C" w:rsidRDefault="00984D5C" w:rsidP="00984D5C">
      <w:pPr>
        <w:numPr>
          <w:ilvl w:val="3"/>
          <w:numId w:val="72"/>
        </w:numPr>
        <w:ind w:left="1560"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nadzora cijena i vođenja troškovnog računovodstva  i </w:t>
      </w:r>
    </w:p>
    <w:p w:rsidR="00984D5C" w:rsidRPr="00984D5C" w:rsidRDefault="00984D5C" w:rsidP="00984D5C">
      <w:pPr>
        <w:numPr>
          <w:ilvl w:val="3"/>
          <w:numId w:val="72"/>
        </w:numPr>
        <w:ind w:left="1560" w:hanging="284"/>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obveza računovodstvenog razdvajanja. </w:t>
      </w:r>
    </w:p>
    <w:p w:rsidR="00984D5C" w:rsidRPr="00984D5C" w:rsidRDefault="00984D5C" w:rsidP="00984D5C">
      <w:pPr>
        <w:ind w:left="1418"/>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Regulatorna obveza nadzora cijena i vođenja troškovnog računovodstva se na odgovarajući način primjenjuje i na društvo ISKON INTERNET d.d., koje je pod nadzorom Hrvatskog Telekoma d.d.</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Način, uvjeti i rokovi provođenja regulatornih obveza iz točka 2. i 3. izreke propisani su dokumentom </w:t>
      </w:r>
      <w:r w:rsidRPr="00984D5C">
        <w:rPr>
          <w:rFonts w:ascii="Times New Roman" w:eastAsia="Times New Roman" w:hAnsi="Times New Roman"/>
          <w:i/>
          <w:color w:val="auto"/>
          <w:lang w:eastAsia="hr-HR"/>
        </w:rPr>
        <w:t>„Analiza tržišta veleprodajnog lokalnog pristupa koji se pruža na fiksnoj lokaciji“</w:t>
      </w:r>
      <w:r w:rsidRPr="00984D5C">
        <w:rPr>
          <w:rFonts w:ascii="Times New Roman" w:eastAsia="Times New Roman" w:hAnsi="Times New Roman"/>
          <w:color w:val="auto"/>
          <w:lang w:eastAsia="hr-HR"/>
        </w:rPr>
        <w:t xml:space="preserve"> koji je u cijelosti sastavni dio ove odluke, a trgovačka društva Hrvatski Telekom d.d. i ISKON INTERNET d.d. obvezna su u potpunosti izvršavati određene im regulatorne obveze.</w:t>
      </w:r>
    </w:p>
    <w:p w:rsidR="00984D5C" w:rsidRPr="00984D5C" w:rsidRDefault="00984D5C" w:rsidP="00984D5C">
      <w:pPr>
        <w:ind w:left="720"/>
        <w:contextualSpacing/>
        <w:jc w:val="both"/>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Utvrđuje se da mjerodavno tržište veleprodajnog lokalnog pristupa velikog kapaciteta koji se pruža na fiksnoj lokaciji – konkurentna područja (Privitak 3</w:t>
      </w:r>
      <w:r w:rsidRPr="00984D5C">
        <w:rPr>
          <w:rFonts w:ascii="Times New Roman" w:eastAsia="Times New Roman" w:hAnsi="Times New Roman"/>
          <w:color w:val="FF0000"/>
          <w:lang w:eastAsia="hr-HR"/>
        </w:rPr>
        <w:t xml:space="preserve"> </w:t>
      </w:r>
      <w:r w:rsidRPr="00984D5C">
        <w:rPr>
          <w:rFonts w:ascii="Times New Roman" w:eastAsia="Times New Roman" w:hAnsi="Times New Roman"/>
          <w:color w:val="auto"/>
          <w:lang w:eastAsia="hr-HR"/>
        </w:rPr>
        <w:t>dokumenta „</w:t>
      </w:r>
      <w:r w:rsidRPr="00984D5C">
        <w:rPr>
          <w:rFonts w:ascii="Times New Roman" w:eastAsia="Times New Roman" w:hAnsi="Times New Roman"/>
          <w:i/>
          <w:color w:val="auto"/>
          <w:lang w:eastAsia="hr-HR"/>
        </w:rPr>
        <w:t>Analiza tržišta veleprodajnog lokalnog pristupa koji se pruža na fiksnoj lokaciji“)</w:t>
      </w:r>
      <w:r w:rsidRPr="00984D5C">
        <w:rPr>
          <w:rFonts w:ascii="Times New Roman" w:eastAsia="Times New Roman" w:hAnsi="Times New Roman"/>
          <w:color w:val="auto"/>
          <w:lang w:eastAsia="hr-HR"/>
        </w:rPr>
        <w:t>, nije podložno prethodnoj regulaciji.</w:t>
      </w:r>
    </w:p>
    <w:p w:rsidR="00984D5C" w:rsidRPr="00984D5C" w:rsidRDefault="00984D5C" w:rsidP="00984D5C">
      <w:pPr>
        <w:ind w:left="720"/>
        <w:contextualSpacing/>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Određuje se trgovačkom društvu Hrvatski Telekom d.d. obveza pristupa fizičkoj infrastrukturi na cijelom teritoriju Republike Hrvatske. Način, uvjeti i rokovi provođenja ove obveze propisani su dokumentom iz točke 4. izreke.</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Ukidaju se sve regulatorne obveze koje su trgovačkim društvima Hrvatski Telekom d.d. i ISKON INTERNET d.d. bile određene odlukom o analizi tržišta veleprodajnog lokalnog pristupa koji se pruža na fiksnoj lokaciji, KLASA: UP/I-344-01/18-03/05, URBROJ: 376-05-1-19-11 od 19. lipnja 2019. Obvezuje se Hrvatski Telekom d.d. o ukidanju regulatornih obveza obavijestiti sve stranke na koje ukidanje utječe, u roku od 8 dana od primitka iste. </w:t>
      </w:r>
    </w:p>
    <w:p w:rsidR="00984D5C" w:rsidRPr="00984D5C" w:rsidRDefault="00984D5C" w:rsidP="00984D5C">
      <w:pPr>
        <w:ind w:left="720"/>
        <w:contextualSpacing/>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Iznimno od prethodne točke izreke, ukidanje regulatornih obveza odgađa se za 90 dana:</w:t>
      </w:r>
    </w:p>
    <w:p w:rsidR="00984D5C" w:rsidRPr="00984D5C" w:rsidRDefault="00984D5C" w:rsidP="00984D5C">
      <w:pPr>
        <w:numPr>
          <w:ilvl w:val="1"/>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na konkurentnim područjima (točka 5. izreke), </w:t>
      </w:r>
    </w:p>
    <w:p w:rsidR="00984D5C" w:rsidRPr="00984D5C" w:rsidRDefault="00984D5C" w:rsidP="00984D5C">
      <w:pPr>
        <w:numPr>
          <w:ilvl w:val="1"/>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na nekonkurentnim područjima klastera B (točka 3.b izreke) u odnosu na troškovnu usmjerenost cijena koja je dio regulatorne obveze nadzora cijena i vođenja troškovnog računovodstva. </w:t>
      </w:r>
    </w:p>
    <w:p w:rsidR="00984D5C" w:rsidRPr="00984D5C" w:rsidRDefault="00984D5C" w:rsidP="00984D5C">
      <w:pPr>
        <w:ind w:left="720"/>
        <w:contextualSpacing/>
        <w:rPr>
          <w:rFonts w:ascii="Times New Roman" w:eastAsia="Times New Roman" w:hAnsi="Times New Roman"/>
          <w:color w:val="auto"/>
          <w:lang w:eastAsia="hr-HR"/>
        </w:rPr>
      </w:pPr>
    </w:p>
    <w:p w:rsidR="00C833F6" w:rsidRDefault="00984D5C" w:rsidP="00984D5C">
      <w:pPr>
        <w:numPr>
          <w:ilvl w:val="0"/>
          <w:numId w:val="66"/>
        </w:numPr>
        <w:contextualSpacing/>
        <w:jc w:val="both"/>
        <w:rPr>
          <w:rFonts w:ascii="Times New Roman" w:eastAsia="Times New Roman" w:hAnsi="Times New Roman"/>
          <w:color w:val="auto"/>
          <w:lang w:eastAsia="hr-HR"/>
        </w:rPr>
        <w:sectPr w:rsidR="00C833F6" w:rsidSect="00C833F6">
          <w:headerReference w:type="default" r:id="rId16"/>
          <w:headerReference w:type="first" r:id="rId17"/>
          <w:type w:val="continuous"/>
          <w:pgSz w:w="11906" w:h="16838"/>
          <w:pgMar w:top="1440" w:right="1440" w:bottom="1440" w:left="1440" w:header="397" w:footer="397" w:gutter="0"/>
          <w:cols w:space="708"/>
          <w:titlePg/>
          <w:docGrid w:linePitch="360"/>
        </w:sectPr>
      </w:pPr>
      <w:r w:rsidRPr="00984D5C">
        <w:rPr>
          <w:rFonts w:ascii="Times New Roman" w:eastAsia="Times New Roman" w:hAnsi="Times New Roman"/>
          <w:color w:val="auto"/>
          <w:lang w:eastAsia="hr-HR"/>
        </w:rPr>
        <w:t xml:space="preserve">Nakon isteka razdoblja od dvije godine od stupanja na snagu ove Odluke, Hrvatska regulatorna agencija za mrežne djelatnosti će, na temelju kriterija određenih u poglavlju 4 dokumenta </w:t>
      </w:r>
      <w:r w:rsidRPr="00984D5C">
        <w:rPr>
          <w:rFonts w:ascii="Times New Roman" w:eastAsia="Times New Roman" w:hAnsi="Times New Roman"/>
          <w:i/>
          <w:color w:val="auto"/>
          <w:lang w:eastAsia="hr-HR"/>
        </w:rPr>
        <w:t xml:space="preserve">„Analiza tržišta veleprodajnog lokalnog pristupa koji se pruža na fiksnoj lokaciji“, </w:t>
      </w:r>
      <w:r w:rsidRPr="00984D5C">
        <w:rPr>
          <w:rFonts w:ascii="Times New Roman" w:eastAsia="Times New Roman" w:hAnsi="Times New Roman"/>
          <w:color w:val="auto"/>
          <w:lang w:eastAsia="hr-HR"/>
        </w:rPr>
        <w:t>provesti provjeru statusa</w:t>
      </w:r>
      <w:r w:rsidRPr="00984D5C">
        <w:rPr>
          <w:rFonts w:ascii="Times New Roman" w:eastAsia="Times New Roman" w:hAnsi="Times New Roman"/>
          <w:i/>
          <w:color w:val="auto"/>
          <w:lang w:eastAsia="hr-HR"/>
        </w:rPr>
        <w:t xml:space="preserve"> </w:t>
      </w:r>
      <w:r w:rsidRPr="00984D5C">
        <w:rPr>
          <w:rFonts w:ascii="Times New Roman" w:eastAsia="Times New Roman" w:hAnsi="Times New Roman"/>
          <w:color w:val="auto"/>
          <w:lang w:eastAsia="hr-HR"/>
        </w:rPr>
        <w:t xml:space="preserve">geografskih jedinica u cilju utvrđivanja mijenjaju li pojedine geografske jedinice status pripadanja konkurentnim, odnosno nekonkurentnim područjima kao i </w:t>
      </w:r>
      <w:proofErr w:type="spellStart"/>
      <w:r w:rsidRPr="00984D5C">
        <w:rPr>
          <w:rFonts w:ascii="Times New Roman" w:eastAsia="Times New Roman" w:hAnsi="Times New Roman"/>
          <w:color w:val="auto"/>
          <w:lang w:eastAsia="hr-HR"/>
        </w:rPr>
        <w:t>klasterima</w:t>
      </w:r>
      <w:proofErr w:type="spellEnd"/>
      <w:r w:rsidRPr="00984D5C">
        <w:rPr>
          <w:rFonts w:ascii="Times New Roman" w:eastAsia="Times New Roman" w:hAnsi="Times New Roman"/>
          <w:color w:val="auto"/>
          <w:lang w:eastAsia="hr-HR"/>
        </w:rPr>
        <w:t>, u odnosu na razdoblje stupanja na snagu</w:t>
      </w:r>
    </w:p>
    <w:p w:rsidR="00C833F6" w:rsidRDefault="00984D5C" w:rsidP="00C833F6">
      <w:pPr>
        <w:ind w:left="720"/>
        <w:contextualSpacing/>
        <w:jc w:val="both"/>
        <w:rPr>
          <w:rFonts w:ascii="Times New Roman" w:eastAsia="Times New Roman" w:hAnsi="Times New Roman"/>
          <w:color w:val="auto"/>
          <w:lang w:eastAsia="hr-HR"/>
        </w:rPr>
        <w:sectPr w:rsidR="00C833F6" w:rsidSect="00C833F6">
          <w:headerReference w:type="first" r:id="rId18"/>
          <w:type w:val="continuous"/>
          <w:pgSz w:w="11906" w:h="16838"/>
          <w:pgMar w:top="1440" w:right="1440" w:bottom="1440" w:left="1440" w:header="397" w:footer="397" w:gutter="0"/>
          <w:cols w:space="708"/>
          <w:titlePg/>
          <w:docGrid w:linePitch="360"/>
        </w:sectPr>
      </w:pPr>
      <w:r w:rsidRPr="00984D5C">
        <w:rPr>
          <w:rFonts w:ascii="Times New Roman" w:eastAsia="Times New Roman" w:hAnsi="Times New Roman"/>
          <w:color w:val="auto"/>
          <w:lang w:eastAsia="hr-HR"/>
        </w:rPr>
        <w:t xml:space="preserve"> </w:t>
      </w:r>
    </w:p>
    <w:p w:rsidR="00984D5C" w:rsidRPr="00984D5C" w:rsidRDefault="00984D5C" w:rsidP="00C833F6">
      <w:pPr>
        <w:ind w:left="720"/>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ove Odluke. U skladu s utvrđenim, ukoliko je došlo do određenih promjena, ažurirat će se popis nekonkurentnih područja klastera A, popis nekonkurentnih područja klastera B i popis konkurentnih područja iz Privitaka 1, 2 i 3 dokumenta </w:t>
      </w:r>
      <w:r w:rsidRPr="00984D5C">
        <w:rPr>
          <w:rFonts w:ascii="Times New Roman" w:eastAsia="Times New Roman" w:hAnsi="Times New Roman"/>
          <w:i/>
          <w:color w:val="auto"/>
          <w:lang w:eastAsia="hr-HR"/>
        </w:rPr>
        <w:t>„Analiza tržišta veleprodajnog lokalnog pristupa koji se pruža na fiksnoj lokaciji“</w:t>
      </w:r>
      <w:r w:rsidRPr="00984D5C">
        <w:rPr>
          <w:rFonts w:ascii="Times New Roman" w:eastAsia="Times New Roman" w:hAnsi="Times New Roman"/>
          <w:color w:val="auto"/>
          <w:lang w:eastAsia="hr-HR"/>
        </w:rPr>
        <w:t xml:space="preserve">. </w:t>
      </w:r>
    </w:p>
    <w:p w:rsidR="00984D5C" w:rsidRPr="00984D5C" w:rsidRDefault="00984D5C" w:rsidP="00984D5C">
      <w:pPr>
        <w:ind w:left="720"/>
        <w:contextualSpacing/>
        <w:rPr>
          <w:rFonts w:ascii="Times New Roman" w:eastAsia="Times New Roman" w:hAnsi="Times New Roman"/>
          <w:color w:val="auto"/>
          <w:lang w:eastAsia="hr-HR"/>
        </w:rPr>
      </w:pPr>
    </w:p>
    <w:p w:rsidR="00984D5C" w:rsidRPr="00984D5C" w:rsidRDefault="00984D5C" w:rsidP="00984D5C">
      <w:pPr>
        <w:numPr>
          <w:ilvl w:val="0"/>
          <w:numId w:val="66"/>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 roku od 30 dana od ažuriranja popisa iz prethodne točke izreke, Hrvatska regulatorna agencija za mrežne djelatnosti će bez provođenja novog postupka analize tržišta donijeti odluku kojom će konstatirati utvrđene promjene te sukladno njima društvu Hrvatski Telekom d.d., revidirati status operatora sa značajnom tržišnom snagom na geografskim jedinicama koje su promijenile status pripadanja te mu na njima ukinuti i/ili odrediti regulatorne obveze iz točke 2. i/ili 3. izreke ove odluke, ovisno o nastaloj promjeni. Navedene izmjene na odgovarajući način će se primijeniti i na društvo/a pod nadzorom Hrvatskog Telekoma d.d., sukladno ovoj Odluci.</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ind w:left="720"/>
        <w:contextualSpacing/>
        <w:rPr>
          <w:rFonts w:ascii="Times New Roman" w:eastAsia="Times New Roman" w:hAnsi="Times New Roman"/>
          <w:color w:val="auto"/>
          <w:lang w:eastAsia="hr-HR"/>
        </w:rPr>
      </w:pPr>
    </w:p>
    <w:p w:rsidR="00984D5C" w:rsidRPr="00984D5C" w:rsidRDefault="00984D5C" w:rsidP="00984D5C">
      <w:pPr>
        <w:jc w:val="center"/>
        <w:rPr>
          <w:rFonts w:ascii="Times New Roman" w:eastAsia="Times New Roman" w:hAnsi="Times New Roman"/>
          <w:b/>
          <w:i/>
          <w:color w:val="auto"/>
          <w:lang w:eastAsia="hr-HR"/>
        </w:rPr>
      </w:pPr>
      <w:r w:rsidRPr="00984D5C">
        <w:rPr>
          <w:rFonts w:ascii="Times New Roman" w:eastAsia="Times New Roman" w:hAnsi="Times New Roman"/>
          <w:b/>
          <w:i/>
          <w:color w:val="auto"/>
          <w:lang w:eastAsia="hr-HR"/>
        </w:rPr>
        <w:t>Obrazloženje</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Hrvatska regulatorna agencija za mrežne djelatnosti (dalje: HAKOM) objavila je 4. veljače 2022. javni poziv za dostavu komentara i prijedloga u svrhu provođenja novog kruga analize tržišta veleprodajnog lokalnog pristupa koji se pruža na fiksnoj lokaciji.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U tijeku postupka zaprimljeni su komentari operatora A1 Hrvatska d.o.o. (dalje: A1), OT-OPTIMA TELEKOM d.d. (dalje: Optima), Hrvatski Telekom d.d. (dalje: HT), </w:t>
      </w:r>
      <w:proofErr w:type="spellStart"/>
      <w:r w:rsidRPr="00984D5C">
        <w:rPr>
          <w:rFonts w:ascii="Times New Roman" w:eastAsia="Times New Roman" w:hAnsi="Times New Roman"/>
          <w:color w:val="auto"/>
          <w:lang w:eastAsia="hr-HR"/>
        </w:rPr>
        <w:t>Telemach</w:t>
      </w:r>
      <w:proofErr w:type="spellEnd"/>
      <w:r w:rsidRPr="00984D5C">
        <w:rPr>
          <w:rFonts w:ascii="Times New Roman" w:eastAsia="Times New Roman" w:hAnsi="Times New Roman"/>
          <w:color w:val="auto"/>
          <w:lang w:eastAsia="hr-HR"/>
        </w:rPr>
        <w:t xml:space="preserve"> Hrvatska d.o.o. (dalje: </w:t>
      </w:r>
      <w:proofErr w:type="spellStart"/>
      <w:r w:rsidRPr="00984D5C">
        <w:rPr>
          <w:rFonts w:ascii="Times New Roman" w:eastAsia="Times New Roman" w:hAnsi="Times New Roman"/>
          <w:color w:val="auto"/>
          <w:lang w:eastAsia="hr-HR"/>
        </w:rPr>
        <w:t>Telemach</w:t>
      </w:r>
      <w:proofErr w:type="spellEnd"/>
      <w:r w:rsidRPr="00984D5C">
        <w:rPr>
          <w:rFonts w:ascii="Times New Roman" w:eastAsia="Times New Roman" w:hAnsi="Times New Roman"/>
          <w:color w:val="auto"/>
          <w:lang w:eastAsia="hr-HR"/>
        </w:rPr>
        <w:t xml:space="preserve">) i ISKON INTERNET d.d. (dalje: Iskon). Također, od HT-a je zatražena dostava podataka o broju potencijalnih korisnika na pojedinoj adresi.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Predmetni postupak započet je po odredbama tada važećeg Zakona o elektroničkim komunikacijama (NN br. 73/2008, 90/2011, 133/2012, 80/2013, 71/2014 i 72/2017; dalje: stari ZEK) te je isti obustavljen rješenjem HAKOM-a, KLASA: UP/I-344-01/22-03/02, URBROJ: 376-05-1-22-15 od 28. srpnja 2022. Razlog tome je činjenica da je 12. srpnja 2022. na snagu stupio novi Zakon o elektroničkim komunikacijama (NN. br. 76/22; dalje: ZEK) po kojem se način provođenja postupka analize tržišta te sadržaj regulatornih obveza razlikuje od onog definiranog starim ZEK-om.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 listopadu 2022., pozivom operatorima na popunjavanje upitnika u svrhu prikupljanja podataka potrebnih za provođenje postupaka analize tržišta, postupak je ponovno pokrenut temeljem odredaba novog ZEK-a te su u okviru istog u obzir uzeti i prethodno prikupljeni podaci kao i očitovanja dana tijekom javnog poziva.</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U međuvremenu, Optima je 2. studenog 2022. pripojena </w:t>
      </w:r>
      <w:proofErr w:type="spellStart"/>
      <w:r w:rsidRPr="00984D5C">
        <w:rPr>
          <w:rFonts w:ascii="Times New Roman" w:eastAsia="Times New Roman" w:hAnsi="Times New Roman"/>
          <w:color w:val="auto"/>
          <w:lang w:eastAsia="hr-HR"/>
        </w:rPr>
        <w:t>Telemach</w:t>
      </w:r>
      <w:proofErr w:type="spellEnd"/>
      <w:r w:rsidRPr="00984D5C">
        <w:rPr>
          <w:rFonts w:ascii="Times New Roman" w:eastAsia="Times New Roman" w:hAnsi="Times New Roman"/>
          <w:color w:val="auto"/>
          <w:lang w:eastAsia="hr-HR"/>
        </w:rPr>
        <w:t xml:space="preserve">-u koji je time postao njen pravni </w:t>
      </w:r>
      <w:proofErr w:type="spellStart"/>
      <w:r w:rsidRPr="00984D5C">
        <w:rPr>
          <w:rFonts w:ascii="Times New Roman" w:eastAsia="Times New Roman" w:hAnsi="Times New Roman"/>
          <w:color w:val="auto"/>
          <w:lang w:eastAsia="hr-HR"/>
        </w:rPr>
        <w:t>sljednik</w:t>
      </w:r>
      <w:proofErr w:type="spellEnd"/>
      <w:r w:rsidRPr="00984D5C">
        <w:rPr>
          <w:rFonts w:ascii="Times New Roman" w:eastAsia="Times New Roman" w:hAnsi="Times New Roman"/>
          <w:color w:val="auto"/>
          <w:lang w:eastAsia="hr-HR"/>
        </w:rPr>
        <w:t xml:space="preserve">.  </w:t>
      </w:r>
    </w:p>
    <w:p w:rsidR="00984D5C" w:rsidRPr="00984D5C" w:rsidRDefault="00984D5C" w:rsidP="00984D5C">
      <w:pPr>
        <w:jc w:val="both"/>
        <w:rPr>
          <w:rFonts w:ascii="Times New Roman" w:eastAsia="Times New Roman" w:hAnsi="Times New Roman"/>
          <w:i/>
          <w:color w:val="auto"/>
          <w:u w:val="single"/>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U provedbi postupka analize tržišta, sukladno članku 97., a u svezi s člankom 100. stavkom 2. ZEK-a, HAKOM je osobito vodio računa o primjeni mjerodavne Preporuke Europske Komisije o mjerodavnim tržištima proizvoda i usluga u sektoru elektroničkih komunikacija podložnima prethodnoj (ex ante) regulaciji (EU 2020/2245, dalje: Preporuka) i mjerodavnim Smjernicama Europske komisije o analizi tržišta i utvrđivanju značajne tržišne snage na temelju mjerodavnog okvira EU-a za elektroničke komunikacijske mreže i usluge (2018/C 159/01). </w:t>
      </w:r>
    </w:p>
    <w:p w:rsidR="00C833F6" w:rsidRDefault="00C833F6" w:rsidP="00984D5C">
      <w:pPr>
        <w:jc w:val="both"/>
        <w:rPr>
          <w:rFonts w:ascii="Times New Roman" w:eastAsia="Times New Roman" w:hAnsi="Times New Roman"/>
          <w:color w:val="auto"/>
          <w:lang w:eastAsia="hr-HR"/>
        </w:rPr>
        <w:sectPr w:rsidR="00C833F6" w:rsidSect="00C833F6">
          <w:type w:val="continuous"/>
          <w:pgSz w:w="11906" w:h="16838"/>
          <w:pgMar w:top="1440" w:right="1440" w:bottom="1440" w:left="1440" w:header="397" w:footer="397" w:gutter="0"/>
          <w:cols w:space="708"/>
          <w:titlePg/>
          <w:docGrid w:linePitch="360"/>
        </w:sectPr>
      </w:pPr>
    </w:p>
    <w:p w:rsidR="00984D5C" w:rsidRPr="00984D5C" w:rsidRDefault="00984D5C" w:rsidP="00984D5C">
      <w:pPr>
        <w:jc w:val="both"/>
        <w:rPr>
          <w:rFonts w:ascii="Times New Roman" w:eastAsia="Times New Roman" w:hAnsi="Times New Roman"/>
          <w:color w:val="auto"/>
          <w:lang w:eastAsia="hr-HR"/>
        </w:rPr>
      </w:pPr>
    </w:p>
    <w:p w:rsidR="00C833F6" w:rsidRDefault="00C833F6" w:rsidP="00984D5C">
      <w:pPr>
        <w:jc w:val="both"/>
        <w:rPr>
          <w:rFonts w:ascii="Times New Roman" w:eastAsia="Times New Roman" w:hAnsi="Times New Roman"/>
          <w:color w:val="auto"/>
          <w:lang w:eastAsia="hr-HR"/>
        </w:rPr>
        <w:sectPr w:rsidR="00C833F6" w:rsidSect="00C833F6">
          <w:headerReference w:type="default" r:id="rId19"/>
          <w:type w:val="continuous"/>
          <w:pgSz w:w="11906" w:h="16838"/>
          <w:pgMar w:top="1440" w:right="1440" w:bottom="1440" w:left="1440" w:header="397" w:footer="397" w:gutter="0"/>
          <w:cols w:space="708"/>
          <w:titlePg/>
          <w:docGrid w:linePitch="360"/>
        </w:sect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S obzirom da se tržište veleprodajnog lokalnog pristupa koji se pruža na fiksnoj lokaciji nalazi na popisu tržišta podložnih prethodnoj regulaciji sukladno Preporuci, smatra se da su mjerila iz stavka 2. članka 100. ZEK-a ispunjena, osim ako HAKOM utvrdi da zbog posebnih okolnosti na tržištu jedno ili više mjerila nije ispunjeno (stavak 3. istog članka). HAKOM je u ovom postupku proveo postupak Testa tri mjerila, u opsegu i na način kako je pojašnjeno niže u obrazloženju odluke.  </w:t>
      </w:r>
    </w:p>
    <w:p w:rsidR="00984D5C" w:rsidRPr="00984D5C" w:rsidRDefault="00984D5C" w:rsidP="00984D5C">
      <w:pPr>
        <w:jc w:val="both"/>
        <w:rPr>
          <w:rFonts w:ascii="Times New Roman" w:eastAsia="Times New Roman" w:hAnsi="Times New Roman"/>
          <w:i/>
          <w:color w:val="auto"/>
          <w:u w:val="single"/>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 procesu određivanja granica samog tržišta za potrebe provođenja Testa tri mjerila, HAKOM je odredio dimenziju usluga za tržište veleprodajnog lokalnog pristupa malog kapaciteta koji se pruža na fiksnoj lokaciji (dalje: tržište malog kapaciteta) i dimenziju usluga za tržište veleprodajnog lokalnog pristupa velikog kapaciteta koji se pruža na fiksnoj lokaciji (dalje: tržište velikog kapaciteta).</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Calibri" w:hAnsi="Times New Roman"/>
          <w:color w:val="auto"/>
        </w:rPr>
      </w:pPr>
      <w:r w:rsidRPr="00984D5C">
        <w:rPr>
          <w:rFonts w:ascii="Times New Roman" w:eastAsia="Calibri" w:hAnsi="Times New Roman"/>
          <w:color w:val="auto"/>
        </w:rPr>
        <w:t>Razlozi za ovakvo definiranje tržišta detaljno su opisani u Poglavlju 3 dokumenta „</w:t>
      </w:r>
      <w:r w:rsidRPr="00984D5C">
        <w:rPr>
          <w:rFonts w:ascii="Times New Roman" w:eastAsia="Times New Roman" w:hAnsi="Times New Roman"/>
          <w:i/>
          <w:color w:val="auto"/>
          <w:lang w:eastAsia="hr-HR"/>
        </w:rPr>
        <w:t xml:space="preserve">Analize tržišta veleprodajnog lokalnog pristupa koji se pruža na fiksnoj lokaciji“ </w:t>
      </w:r>
      <w:r w:rsidRPr="00984D5C">
        <w:rPr>
          <w:rFonts w:ascii="Times New Roman" w:eastAsia="Times New Roman" w:hAnsi="Times New Roman"/>
          <w:color w:val="auto"/>
          <w:lang w:eastAsia="hr-HR"/>
        </w:rPr>
        <w:t>(dalje: dokument Analize tržišta),</w:t>
      </w:r>
      <w:r w:rsidRPr="00984D5C">
        <w:rPr>
          <w:rFonts w:ascii="Times New Roman" w:eastAsia="Times New Roman" w:hAnsi="Times New Roman"/>
          <w:i/>
          <w:color w:val="auto"/>
          <w:lang w:eastAsia="hr-HR"/>
        </w:rPr>
        <w:t xml:space="preserve"> </w:t>
      </w:r>
      <w:r w:rsidRPr="00984D5C">
        <w:rPr>
          <w:rFonts w:ascii="Times New Roman" w:eastAsia="Times New Roman" w:hAnsi="Times New Roman"/>
          <w:color w:val="auto"/>
          <w:lang w:eastAsia="hr-HR"/>
        </w:rPr>
        <w:t>iz kojeg u bitnome proizlazi kako je bakrena pristupna infrastruktura dio tržišta</w:t>
      </w:r>
      <w:r w:rsidRPr="00984D5C">
        <w:rPr>
          <w:rFonts w:ascii="Times New Roman" w:eastAsia="Calibri" w:hAnsi="Times New Roman"/>
          <w:color w:val="auto"/>
        </w:rPr>
        <w:t xml:space="preserve"> malog kapaciteta. Navedenu infrastrukturu ima isključivo HT kao povijesni operator i ista je ravnomjerno rasprostranjena na čitavom nacionalnom teritoriju Republike Hrvatske (dalje: RH). Alternativni operatori ne grade bakrenu pristupnu infrastrukturu niti će je graditi u budućem razdoblju uzevši u obzir kako ista može pokriti potrebe krajnjih korisnika za malim kapacitetima. Iz navedenog proizlazi kako se na tržištu malog kapaciteta uvjeti djelotvornog tržišnog natjecanja neće ostvariti na temelju infrastrukturne konkurencije, već isključivo putem veleprodajnih usluga HT-a.</w:t>
      </w:r>
    </w:p>
    <w:p w:rsidR="00984D5C" w:rsidRPr="00984D5C" w:rsidRDefault="00984D5C" w:rsidP="00984D5C">
      <w:pPr>
        <w:jc w:val="both"/>
        <w:rPr>
          <w:rFonts w:ascii="Times New Roman" w:eastAsia="Calibri" w:hAnsi="Times New Roman"/>
          <w:color w:val="auto"/>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Calibri" w:hAnsi="Times New Roman"/>
          <w:color w:val="auto"/>
        </w:rPr>
        <w:t>S druge strane, u tržište velikog kapaciteta ulaze VHCN infrastrukture (svjetlovodna i kabelska). VHCN infrastrukturu nema samo HT kao povijesni operator, već svjetlovodnu infrastrukturu grade svi alternativni operatori. Iz navedenog proizlazi kako se na tržištu velikog kapaciteta, za razliku od tržišta malog kapaciteta, uvjeti djelotvornog tržišnog natjecanja ne ostvaruju isključivo putem veleprodajnih ponuda HT-a, već i putem infrastrukturne konkurencije.</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Sukladno prethodno navedenom, tržište malog kapaciteta uključuje sljedeće usluge:</w:t>
      </w:r>
    </w:p>
    <w:p w:rsidR="00984D5C" w:rsidRPr="00984D5C" w:rsidRDefault="00984D5C" w:rsidP="00984D5C">
      <w:pPr>
        <w:numPr>
          <w:ilvl w:val="0"/>
          <w:numId w:val="1"/>
        </w:numPr>
        <w:ind w:left="644"/>
        <w:contextualSpacing/>
        <w:rPr>
          <w:rFonts w:ascii="Times New Roman" w:eastAsia="Times New Roman" w:hAnsi="Times New Roman"/>
          <w:color w:val="auto"/>
          <w:lang w:val="en-US" w:eastAsia="hr-HR"/>
        </w:rPr>
      </w:pPr>
      <w:r w:rsidRPr="00984D5C">
        <w:rPr>
          <w:rFonts w:ascii="Times New Roman" w:eastAsia="Times New Roman" w:hAnsi="Times New Roman"/>
          <w:color w:val="auto"/>
          <w:lang w:eastAsia="hr-HR"/>
        </w:rPr>
        <w:t xml:space="preserve">uslugu izdvojenog pristupa lokalnoj petlji (LLU) HT-a putem bakrene parice </w:t>
      </w:r>
    </w:p>
    <w:p w:rsidR="00984D5C" w:rsidRPr="00984D5C" w:rsidRDefault="00984D5C" w:rsidP="00984D5C">
      <w:pPr>
        <w:numPr>
          <w:ilvl w:val="0"/>
          <w:numId w:val="1"/>
        </w:numPr>
        <w:ind w:left="644"/>
        <w:contextualSpacing/>
        <w:rPr>
          <w:rFonts w:ascii="Times New Roman" w:eastAsia="Times New Roman" w:hAnsi="Times New Roman"/>
          <w:color w:val="auto"/>
          <w:lang w:val="en-US" w:eastAsia="hr-HR"/>
        </w:rPr>
      </w:pPr>
      <w:r w:rsidRPr="00984D5C">
        <w:rPr>
          <w:rFonts w:ascii="Times New Roman" w:eastAsia="Times New Roman" w:hAnsi="Times New Roman"/>
          <w:color w:val="auto"/>
          <w:lang w:eastAsia="hr-HR"/>
        </w:rPr>
        <w:t>uslugu virtualnog izdvojenog pristupa lokalnoj petlji (VULA) HT-a putem bakrene parice (bitstream na DSLAM razini)</w:t>
      </w:r>
    </w:p>
    <w:p w:rsidR="00984D5C" w:rsidRPr="00984D5C" w:rsidRDefault="00984D5C" w:rsidP="00984D5C">
      <w:pPr>
        <w:numPr>
          <w:ilvl w:val="0"/>
          <w:numId w:val="1"/>
        </w:numPr>
        <w:ind w:left="644"/>
        <w:contextualSpacing/>
        <w:rPr>
          <w:rFonts w:ascii="Times New Roman" w:eastAsia="Times New Roman" w:hAnsi="Times New Roman"/>
          <w:color w:val="auto"/>
          <w:lang w:val="en-US" w:eastAsia="hr-HR"/>
        </w:rPr>
      </w:pPr>
      <w:r w:rsidRPr="00984D5C">
        <w:rPr>
          <w:rFonts w:ascii="Times New Roman" w:eastAsia="Times New Roman" w:hAnsi="Times New Roman"/>
          <w:color w:val="auto"/>
          <w:lang w:eastAsia="hr-HR"/>
        </w:rPr>
        <w:t xml:space="preserve">uslugu lokalnog pristupa putem bakrene parice koju HT pruža za vlastite potrebe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Tržište velikog kapaciteta uključuje sljedeće usluge:</w:t>
      </w:r>
    </w:p>
    <w:p w:rsidR="00984D5C" w:rsidRPr="00984D5C" w:rsidRDefault="00984D5C" w:rsidP="00984D5C">
      <w:pPr>
        <w:numPr>
          <w:ilvl w:val="0"/>
          <w:numId w:val="1"/>
        </w:numPr>
        <w:ind w:left="567"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uslugu izdvojenog pristupa putem svjetlovodne niti </w:t>
      </w:r>
    </w:p>
    <w:p w:rsidR="00984D5C" w:rsidRPr="00984D5C" w:rsidRDefault="00984D5C" w:rsidP="00984D5C">
      <w:pPr>
        <w:numPr>
          <w:ilvl w:val="0"/>
          <w:numId w:val="1"/>
        </w:numPr>
        <w:ind w:left="567" w:hanging="283"/>
        <w:contextualSpacing/>
        <w:jc w:val="both"/>
        <w:rPr>
          <w:rFonts w:ascii="Times New Roman" w:eastAsia="Times New Roman" w:hAnsi="Times New Roman"/>
          <w:color w:val="auto"/>
          <w:lang w:val="en-US" w:eastAsia="hr-HR"/>
        </w:rPr>
      </w:pPr>
      <w:r w:rsidRPr="00984D5C">
        <w:rPr>
          <w:rFonts w:ascii="Times New Roman" w:eastAsia="Times New Roman" w:hAnsi="Times New Roman"/>
          <w:color w:val="auto"/>
          <w:lang w:eastAsia="hr-HR"/>
        </w:rPr>
        <w:t>uslugu virtualnog izdvojenog pristupa lokalnoj petlji (VULA) putem svjetlovodne niti (bitstream na OLT razini)</w:t>
      </w:r>
    </w:p>
    <w:p w:rsidR="00984D5C" w:rsidRPr="00984D5C" w:rsidRDefault="00984D5C" w:rsidP="00984D5C">
      <w:pPr>
        <w:numPr>
          <w:ilvl w:val="0"/>
          <w:numId w:val="1"/>
        </w:numPr>
        <w:ind w:left="567"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uslugu lokalnog pristupa putem svjetlovodne niti koju HT pruža za vlastite potrebe</w:t>
      </w:r>
    </w:p>
    <w:p w:rsidR="00984D5C" w:rsidRPr="00984D5C" w:rsidRDefault="00984D5C" w:rsidP="00984D5C">
      <w:pPr>
        <w:numPr>
          <w:ilvl w:val="0"/>
          <w:numId w:val="1"/>
        </w:numPr>
        <w:ind w:left="567"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uslugu lokalnog pristupa putem svjetlovodne niti koju alternativni operatori pružaju za vlastite potrebe</w:t>
      </w:r>
    </w:p>
    <w:p w:rsidR="00984D5C" w:rsidRPr="00984D5C" w:rsidRDefault="00984D5C" w:rsidP="00984D5C">
      <w:pPr>
        <w:numPr>
          <w:ilvl w:val="0"/>
          <w:numId w:val="1"/>
        </w:numPr>
        <w:ind w:left="567"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uslugu lokalnog pristupa putem kabelskih mreža koju alternativni operatori pružaju za vlastite potrebe</w:t>
      </w:r>
    </w:p>
    <w:p w:rsidR="00984D5C" w:rsidRPr="00984D5C" w:rsidRDefault="00984D5C" w:rsidP="00984D5C">
      <w:pPr>
        <w:ind w:left="567"/>
        <w:contextualSpacing/>
        <w:jc w:val="both"/>
        <w:rPr>
          <w:rFonts w:ascii="Times New Roman" w:eastAsia="Times New Roman" w:hAnsi="Times New Roman"/>
          <w:color w:val="auto"/>
          <w:lang w:eastAsia="hr-HR"/>
        </w:rPr>
      </w:pPr>
    </w:p>
    <w:p w:rsidR="00C833F6" w:rsidRDefault="00984D5C" w:rsidP="00984D5C">
      <w:pPr>
        <w:jc w:val="both"/>
        <w:rPr>
          <w:rFonts w:ascii="Times New Roman" w:eastAsia="Times New Roman" w:hAnsi="Times New Roman"/>
          <w:color w:val="auto"/>
          <w:lang w:eastAsia="hr-HR"/>
        </w:rPr>
        <w:sectPr w:rsidR="00C833F6" w:rsidSect="00C833F6">
          <w:type w:val="continuous"/>
          <w:pgSz w:w="11906" w:h="16838"/>
          <w:pgMar w:top="1440" w:right="1440" w:bottom="1440" w:left="1440" w:header="397" w:footer="397" w:gutter="0"/>
          <w:cols w:space="708"/>
          <w:titlePg/>
          <w:docGrid w:linePitch="360"/>
        </w:sectPr>
      </w:pPr>
      <w:r w:rsidRPr="00984D5C">
        <w:rPr>
          <w:rFonts w:ascii="Times New Roman" w:eastAsia="Times New Roman" w:hAnsi="Times New Roman"/>
          <w:color w:val="auto"/>
          <w:lang w:eastAsia="hr-HR"/>
        </w:rPr>
        <w:t xml:space="preserve">Nadalje, vezano uz zemljopisnu dimenziju tržišta, HAKOM je odredio da je tržište malog kapaciteta u zemljopisnoj dimenziji nacionalni teritorij RH. Naime, uzimajući u obzir Preporuku te činjenicu da na tom tržištu nema alternativnih mreža, odnosno da se uvjeti </w:t>
      </w: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tržišnog natjecanja ne razlikuju među različitim područjima RH, nije bilo potrebe definirati zasebna geografska tržišta.</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S druge strane, HAKOM je uzeo u obzir i podatke prikupljene u postupku zemljopisnog pregleda iz članka 58. ZEK-a te je tržište velikog kapaciteta u zemljopisnoj dimenziji podijelio na općine, gradove i grad Zagreb pri čemu je grad Zagreb dodatno podijelio na 17 gradskih četvrti. Ova podjela izvršena je u skladu s Preporukom, kojom je, između ostalog, definirano kako bi geografska jedinica trebala biti odgovarajuće veličine, tj. dovoljno malena da se u svakoj jedinici izbjegnu znatne varijacije uvjeta tržišnog natjecanja, no dovoljno velika da se izbjegne zahtjevna mikroanaliza koja bi iziskivala mnogo resursa i koja bi mogla dovesti do rascjepkanosti tržišta.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Nakon provedene geografske podjele tržišta, HAKOM je proveo analizu utvrđivanja učinkovito konkurentnih uvjeta za svaku geografsku cjelinu, konkretno 572 geografske jedinice te je na tržištu velikog kapaciteta utvrdio postojanje konkurentnih i nekonkurentnih područja.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Konkurentnim područjima pripadaju geografske jedinice u kojima su kumulativno ispunjeni sljedeći uvjeti (kriteriji): </w:t>
      </w:r>
    </w:p>
    <w:p w:rsidR="00984D5C" w:rsidRPr="00984D5C" w:rsidRDefault="00984D5C" w:rsidP="00984D5C">
      <w:pPr>
        <w:numPr>
          <w:ilvl w:val="0"/>
          <w:numId w:val="67"/>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postoji VHCN (</w:t>
      </w:r>
      <w:proofErr w:type="spellStart"/>
      <w:r w:rsidRPr="00984D5C">
        <w:rPr>
          <w:rFonts w:ascii="Times New Roman" w:eastAsia="Times New Roman" w:hAnsi="Times New Roman"/>
          <w:i/>
          <w:color w:val="auto"/>
          <w:lang w:eastAsia="hr-HR"/>
        </w:rPr>
        <w:t>eng</w:t>
      </w:r>
      <w:proofErr w:type="spellEnd"/>
      <w:r w:rsidRPr="00984D5C">
        <w:rPr>
          <w:rFonts w:ascii="Times New Roman" w:eastAsia="Times New Roman" w:hAnsi="Times New Roman"/>
          <w:i/>
          <w:color w:val="auto"/>
          <w:lang w:eastAsia="hr-HR"/>
        </w:rPr>
        <w:t xml:space="preserve">. </w:t>
      </w:r>
      <w:proofErr w:type="spellStart"/>
      <w:r w:rsidRPr="00984D5C">
        <w:rPr>
          <w:rFonts w:ascii="Times New Roman" w:eastAsia="Times New Roman" w:hAnsi="Times New Roman"/>
          <w:i/>
          <w:color w:val="auto"/>
          <w:lang w:eastAsia="hr-HR"/>
        </w:rPr>
        <w:t>Very</w:t>
      </w:r>
      <w:proofErr w:type="spellEnd"/>
      <w:r w:rsidRPr="00984D5C">
        <w:rPr>
          <w:rFonts w:ascii="Times New Roman" w:eastAsia="Times New Roman" w:hAnsi="Times New Roman"/>
          <w:i/>
          <w:color w:val="auto"/>
          <w:lang w:eastAsia="hr-HR"/>
        </w:rPr>
        <w:t xml:space="preserve"> </w:t>
      </w:r>
      <w:proofErr w:type="spellStart"/>
      <w:r w:rsidRPr="00984D5C">
        <w:rPr>
          <w:rFonts w:ascii="Times New Roman" w:eastAsia="Times New Roman" w:hAnsi="Times New Roman"/>
          <w:i/>
          <w:color w:val="auto"/>
          <w:lang w:eastAsia="hr-HR"/>
        </w:rPr>
        <w:t>High</w:t>
      </w:r>
      <w:proofErr w:type="spellEnd"/>
      <w:r w:rsidRPr="00984D5C">
        <w:rPr>
          <w:rFonts w:ascii="Times New Roman" w:eastAsia="Times New Roman" w:hAnsi="Times New Roman"/>
          <w:i/>
          <w:color w:val="auto"/>
          <w:lang w:eastAsia="hr-HR"/>
        </w:rPr>
        <w:t xml:space="preserve"> </w:t>
      </w:r>
      <w:proofErr w:type="spellStart"/>
      <w:r w:rsidRPr="00984D5C">
        <w:rPr>
          <w:rFonts w:ascii="Times New Roman" w:eastAsia="Times New Roman" w:hAnsi="Times New Roman"/>
          <w:i/>
          <w:color w:val="auto"/>
          <w:lang w:eastAsia="hr-HR"/>
        </w:rPr>
        <w:t>Capacity</w:t>
      </w:r>
      <w:proofErr w:type="spellEnd"/>
      <w:r w:rsidRPr="00984D5C">
        <w:rPr>
          <w:rFonts w:ascii="Times New Roman" w:eastAsia="Times New Roman" w:hAnsi="Times New Roman"/>
          <w:i/>
          <w:color w:val="auto"/>
          <w:lang w:eastAsia="hr-HR"/>
        </w:rPr>
        <w:t xml:space="preserve"> Network</w:t>
      </w:r>
      <w:r w:rsidRPr="00984D5C">
        <w:rPr>
          <w:rFonts w:ascii="Times New Roman" w:eastAsia="Times New Roman" w:hAnsi="Times New Roman"/>
          <w:color w:val="auto"/>
          <w:lang w:eastAsia="hr-HR"/>
        </w:rPr>
        <w:t xml:space="preserve">) infrastruktura alternativnog operatora, </w:t>
      </w:r>
    </w:p>
    <w:p w:rsidR="00984D5C" w:rsidRPr="00984D5C" w:rsidRDefault="00984D5C" w:rsidP="00984D5C">
      <w:pPr>
        <w:numPr>
          <w:ilvl w:val="0"/>
          <w:numId w:val="67"/>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VHCN infrastrukturom alternativnog operatora pokriveno je minimalno 25% korisničkih jedinica u geografskoj jedinici i</w:t>
      </w:r>
    </w:p>
    <w:p w:rsidR="00984D5C" w:rsidRPr="00984D5C" w:rsidRDefault="00984D5C" w:rsidP="00984D5C">
      <w:pPr>
        <w:numPr>
          <w:ilvl w:val="0"/>
          <w:numId w:val="67"/>
        </w:numPr>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maloprodajni tržišni udio HT Grupe (što u kontekstu ove odluke uključuje HT i Iskon)</w:t>
      </w:r>
      <w:r w:rsidRPr="00984D5C">
        <w:rPr>
          <w:rFonts w:ascii="Times New Roman" w:eastAsia="Times New Roman" w:hAnsi="Times New Roman"/>
          <w:color w:val="FF0000"/>
          <w:lang w:eastAsia="hr-HR"/>
        </w:rPr>
        <w:t xml:space="preserve"> </w:t>
      </w:r>
      <w:r w:rsidRPr="00984D5C">
        <w:rPr>
          <w:rFonts w:ascii="Times New Roman" w:eastAsia="Times New Roman" w:hAnsi="Times New Roman"/>
          <w:color w:val="auto"/>
          <w:lang w:eastAsia="hr-HR"/>
        </w:rPr>
        <w:t>u toj geografskoj jedinici je manji od 50%.</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Prilikom odabira prethodnih kriterija, HAKOM je razmatrao nekoliko opcija, a detaljno obrazloženje odabranih kriterija sadržano je u Poglavlju 4.</w:t>
      </w:r>
      <w:r w:rsidRPr="00984D5C">
        <w:rPr>
          <w:rFonts w:ascii="Times New Roman" w:eastAsia="Times New Roman" w:hAnsi="Times New Roman"/>
          <w:i/>
          <w:color w:val="auto"/>
          <w:lang w:eastAsia="hr-HR"/>
        </w:rPr>
        <w:t xml:space="preserve"> </w:t>
      </w:r>
      <w:r w:rsidRPr="00984D5C">
        <w:rPr>
          <w:rFonts w:ascii="Times New Roman" w:eastAsia="Times New Roman" w:hAnsi="Times New Roman"/>
          <w:color w:val="auto"/>
          <w:lang w:eastAsia="hr-HR"/>
        </w:rPr>
        <w:t>dokumenta Analize tržišta.</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Nekonkurentnim područjima pripadaju:</w:t>
      </w:r>
    </w:p>
    <w:p w:rsidR="00984D5C" w:rsidRPr="00984D5C" w:rsidRDefault="00984D5C" w:rsidP="00984D5C">
      <w:pPr>
        <w:numPr>
          <w:ilvl w:val="0"/>
          <w:numId w:val="1"/>
        </w:numPr>
        <w:ind w:left="709"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ne postoji VHCN infrastruktura alternativnog operatora,</w:t>
      </w:r>
    </w:p>
    <w:p w:rsidR="00984D5C" w:rsidRPr="00984D5C" w:rsidRDefault="00984D5C" w:rsidP="00984D5C">
      <w:pPr>
        <w:numPr>
          <w:ilvl w:val="0"/>
          <w:numId w:val="1"/>
        </w:numPr>
        <w:ind w:left="709"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postoji minimalno jedna VHCN infrastruktura alternativnog operatora, ali tom VHCN infrastrukturom nije pokriveno minimalno 25% korisničkih jedinica,</w:t>
      </w:r>
    </w:p>
    <w:p w:rsidR="00984D5C" w:rsidRPr="00984D5C" w:rsidRDefault="00984D5C" w:rsidP="00984D5C">
      <w:pPr>
        <w:numPr>
          <w:ilvl w:val="0"/>
          <w:numId w:val="1"/>
        </w:numPr>
        <w:ind w:left="709" w:hanging="283"/>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postoji minimalno jedna VHCN infrastruktura alternativnog operatora uz pokrivenost od minimalno 25% korisničkih jedinica u toj geografskoj jedinici, ali je maloprodajni tržišni udio HT Grupe veći od 50%.</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Uzimajući u obzir činjenicu da nekonkurentnim VHCN područjima pripadaju geografske jedinice bez VHCN infrastrukture alternativnog operatora kao i geografske jedinice s VHCN infrastrukturom alternativnog operatora čija pokrivenost može biti ispod i iznad praga od 25% korisničkih jedinica, razvidno je da u svim tim geografskim jedinicama ne prevladavaju dovoljno homogeni uvjeti tržišnog natjecanja. Upravo zbog tog razloga, HAKOM je geografske jedinice unutar nekonkurentnog područja dodatno podijelio na nekonkurentna područja klastera A i nekonkurentna područja klastera B.</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Nekonkurentnim područjima klastera A pripadaju:</w:t>
      </w:r>
    </w:p>
    <w:p w:rsidR="00984D5C" w:rsidRPr="00984D5C" w:rsidRDefault="00984D5C" w:rsidP="00984D5C">
      <w:pPr>
        <w:numPr>
          <w:ilvl w:val="0"/>
          <w:numId w:val="1"/>
        </w:numPr>
        <w:ind w:left="709" w:hanging="425"/>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ne postoji niti jedna VHCN infrastruktura alternativnog operatora,</w:t>
      </w:r>
    </w:p>
    <w:p w:rsidR="00C833F6" w:rsidRDefault="00C833F6" w:rsidP="00984D5C">
      <w:pPr>
        <w:numPr>
          <w:ilvl w:val="0"/>
          <w:numId w:val="1"/>
        </w:numPr>
        <w:ind w:left="709" w:hanging="425"/>
        <w:contextualSpacing/>
        <w:jc w:val="both"/>
        <w:rPr>
          <w:rFonts w:ascii="Times New Roman" w:eastAsia="Times New Roman" w:hAnsi="Times New Roman"/>
          <w:color w:val="auto"/>
          <w:lang w:eastAsia="hr-HR"/>
        </w:rPr>
        <w:sectPr w:rsidR="00C833F6" w:rsidSect="00C833F6">
          <w:type w:val="continuous"/>
          <w:pgSz w:w="11906" w:h="16838"/>
          <w:pgMar w:top="1440" w:right="1440" w:bottom="1440" w:left="1440" w:header="397" w:footer="397" w:gutter="0"/>
          <w:cols w:space="708"/>
          <w:titlePg/>
          <w:docGrid w:linePitch="360"/>
        </w:sectPr>
      </w:pPr>
    </w:p>
    <w:p w:rsidR="00984D5C" w:rsidRPr="00984D5C" w:rsidRDefault="00984D5C" w:rsidP="00984D5C">
      <w:pPr>
        <w:numPr>
          <w:ilvl w:val="0"/>
          <w:numId w:val="1"/>
        </w:numPr>
        <w:ind w:left="709" w:hanging="425"/>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postoji minimalno jedna VHCN infrastruktura alternativnog operatora na način da je pokrivenost te VHCN infrastrukture alternativnog operatora niža od 25% korisničkih jedinica u toj geografskoj jedinici. Iznimno, nekonkurentnim područjima klastera A ne pripadaju one geografske jedinice u kojima je pokrivenost VHCN infrastrukturom alternativnog operatora niža od 25%, uz uvjet da tom VHCN infrastrukturom alternativnog operatora upravlja operator koji djeluje isključivo na veleprodajnoj razini.</w:t>
      </w:r>
    </w:p>
    <w:p w:rsidR="00984D5C" w:rsidRPr="00984D5C" w:rsidRDefault="00984D5C" w:rsidP="00984D5C">
      <w:pPr>
        <w:ind w:left="709"/>
        <w:contextualSpacing/>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Nekonkurentnim područjima klastera B pripadaju:</w:t>
      </w:r>
    </w:p>
    <w:p w:rsidR="00984D5C" w:rsidRPr="00984D5C" w:rsidRDefault="00984D5C" w:rsidP="00984D5C">
      <w:pPr>
        <w:numPr>
          <w:ilvl w:val="0"/>
          <w:numId w:val="1"/>
        </w:numPr>
        <w:ind w:left="709" w:hanging="425"/>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postoji minimalno jedna VHCN infrastruktura alternativnog operatora na način da je pokrivenost te VHCN infrastrukture alternativnog operatora minimalno 25% korisničkih jedinica u toj geografskoj jedinici,</w:t>
      </w:r>
    </w:p>
    <w:p w:rsidR="00984D5C" w:rsidRPr="00984D5C" w:rsidRDefault="00984D5C" w:rsidP="00984D5C">
      <w:pPr>
        <w:numPr>
          <w:ilvl w:val="0"/>
          <w:numId w:val="1"/>
        </w:numPr>
        <w:ind w:left="709" w:hanging="425"/>
        <w:contextualSpacing/>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geografske jedinice u kojima je pokrivenost VHCN infrastrukturom alternativnog operatora niža od 25%, uz uvjet da tom VHCN infrastrukturom alternativnog operatora upravlja operator koji djeluje isključivo na veleprodajnoj razini.</w:t>
      </w:r>
    </w:p>
    <w:p w:rsidR="00984D5C" w:rsidRPr="00984D5C" w:rsidRDefault="00984D5C" w:rsidP="00984D5C">
      <w:pPr>
        <w:ind w:left="709"/>
        <w:contextualSpacing/>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Nakon određivanja mjerodavnog tržišta, HAKOM je pristupio provođenju Testa tri mjerila samo za tržište velikog kapaciteta – konkurentna područja, uzimajući u obzir utvrđenja i zaključke Testa tri mjerila za tržište malog kapaciteta i tržište velikog kapaciteta – nekonkurentna područja, sadržana u dokumentu </w:t>
      </w:r>
      <w:r w:rsidRPr="00984D5C">
        <w:rPr>
          <w:rFonts w:ascii="Times New Roman" w:eastAsia="Times New Roman" w:hAnsi="Times New Roman"/>
          <w:i/>
          <w:color w:val="auto"/>
          <w:lang w:eastAsia="hr-HR"/>
        </w:rPr>
        <w:t>„Analiza tržišta veleprodajnog središnjeg pristupa koji se pruža na fiksnoj lokaciji za proizvode za masovno tržište</w:t>
      </w:r>
      <w:r w:rsidRPr="00984D5C">
        <w:rPr>
          <w:rFonts w:ascii="Times New Roman" w:eastAsia="Times New Roman" w:hAnsi="Times New Roman"/>
          <w:color w:val="auto"/>
          <w:lang w:eastAsia="hr-HR"/>
        </w:rPr>
        <w:t xml:space="preserve">“, a koja se mogu analogno primijeniti i na tržišta koja su predmet ove analize.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Prema tome, budući da su tržišta iz točke 1. izreke i dalje podložna prethodnoj regulaciji, HAKOM je na tim tržištima, na temelju članka 96. stavka 1., a u skladu s člankom 100. stavak 7. ZEK-a odredio HT operatorom sa značajnom tržišnom snagom. Nastavno na navedeno, na temelju prepreka razvoju tržišnog natjecanja koje se mogu pojaviti na mjerodavnom tržištu, HAKOM je na tržištu malog kapaciteta HT-u odredio regulatorne obveze iz točke 2. izreke, pri čemu se obveza nadzora cijena i vođenja troškovnog računovodstva na odgovarajući način primjenjuje i na Iskon kao društvo pod nadzorom HT-a u smislu članka 96. stavka 4. ZEK-a.</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000000"/>
          <w:lang w:eastAsia="hr-HR"/>
        </w:rPr>
      </w:pPr>
      <w:r w:rsidRPr="00984D5C">
        <w:rPr>
          <w:rFonts w:ascii="Times New Roman" w:eastAsia="Times New Roman" w:hAnsi="Times New Roman"/>
          <w:color w:val="auto"/>
          <w:lang w:eastAsia="hr-HR"/>
        </w:rPr>
        <w:t xml:space="preserve">Na tržištu velikog kapaciteta – nekonkurentna područja, HT-u su određene regulatorne obveze zasebno za nekonkurentna područja klastera A (točka 3.a izreke), zasebno za nekonkurentna područja klastera B (točka 3.b izreke) pri čemu se na Iskon, kao društvo pod nadzorom HT-a, na oba tržišta na odgovarajući način primjenjuje regulatorna obveza nadzora cijena i vođenja troškovnog računovodstva. </w:t>
      </w:r>
      <w:r w:rsidRPr="00984D5C">
        <w:rPr>
          <w:rFonts w:ascii="Times New Roman" w:eastAsia="Times New Roman" w:hAnsi="Times New Roman"/>
          <w:color w:val="000000"/>
          <w:lang w:eastAsia="hr-HR"/>
        </w:rPr>
        <w:t>Popis geografskih jedinica koje pripadaju nekonkurentnim područjima klastera A sadržan je u Privitku 1 dokumenta Analiza tržišta, a popis geografskih jedinica koje pripadaju nekonkurentnim područjima klastera B sadržan je u Privitku 2 istog dokumenta.</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Vezano uz </w:t>
      </w:r>
      <w:proofErr w:type="spellStart"/>
      <w:r w:rsidRPr="00984D5C">
        <w:rPr>
          <w:rFonts w:ascii="Times New Roman" w:eastAsia="Times New Roman" w:hAnsi="Times New Roman"/>
          <w:color w:val="auto"/>
          <w:lang w:eastAsia="hr-HR"/>
        </w:rPr>
        <w:t>klastere</w:t>
      </w:r>
      <w:proofErr w:type="spellEnd"/>
      <w:r w:rsidRPr="00984D5C">
        <w:rPr>
          <w:rFonts w:ascii="Times New Roman" w:eastAsia="Times New Roman" w:hAnsi="Times New Roman"/>
          <w:color w:val="auto"/>
          <w:lang w:eastAsia="hr-HR"/>
        </w:rPr>
        <w:t xml:space="preserve"> A i B, promatrajući u kontekstu regulatornih obveza određenih HT-u (i Iskonu), jedina razlika jest u tome što na nekonkurentnim područjima klastera B, u okviru obveze nadzora cijena i vođenja troškovnog računovodstva, HT-u nije određena obveza troškovne usmjerenosti cijena pa je na tom području regulacija nešto blaža. Razlog tome, kao i način, uvjeti i rokovi u kojima su HT i Iskon dužni izvršavati određene im regulatorne obveze, detaljno su propisani u dokumentu Analize tržišta.</w:t>
      </w:r>
    </w:p>
    <w:p w:rsidR="00984D5C" w:rsidRPr="00984D5C" w:rsidRDefault="00984D5C" w:rsidP="00984D5C">
      <w:pPr>
        <w:jc w:val="both"/>
        <w:rPr>
          <w:rFonts w:ascii="Times New Roman" w:eastAsia="Times New Roman" w:hAnsi="Times New Roman"/>
          <w:color w:val="FF0000"/>
          <w:lang w:eastAsia="hr-HR"/>
        </w:rPr>
      </w:pPr>
    </w:p>
    <w:p w:rsidR="00C833F6" w:rsidRDefault="00984D5C" w:rsidP="00984D5C">
      <w:pPr>
        <w:jc w:val="both"/>
        <w:rPr>
          <w:rFonts w:ascii="Times New Roman" w:eastAsia="Times New Roman" w:hAnsi="Times New Roman"/>
          <w:color w:val="000000"/>
          <w:lang w:eastAsia="hr-HR"/>
        </w:rPr>
        <w:sectPr w:rsidR="00C833F6" w:rsidSect="00C833F6">
          <w:type w:val="continuous"/>
          <w:pgSz w:w="11906" w:h="16838"/>
          <w:pgMar w:top="1440" w:right="1440" w:bottom="1440" w:left="1440" w:header="397" w:footer="397" w:gutter="0"/>
          <w:cols w:space="708"/>
          <w:titlePg/>
          <w:docGrid w:linePitch="360"/>
        </w:sectPr>
      </w:pPr>
      <w:r w:rsidRPr="00984D5C">
        <w:rPr>
          <w:rFonts w:ascii="Times New Roman" w:eastAsia="Times New Roman" w:hAnsi="Times New Roman"/>
          <w:color w:val="000000"/>
          <w:lang w:eastAsia="hr-HR"/>
        </w:rPr>
        <w:t xml:space="preserve">Nadalje, prethodno spomenutim Testom tri mjerila utvrđeno je kako tržište velikog kapaciteta – konkurentna područja, nije podložno prethodnoj regulaciji jer nisu istodobno zadovoljena sva </w:t>
      </w: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000000"/>
          <w:lang w:eastAsia="hr-HR"/>
        </w:rPr>
        <w:t xml:space="preserve">tri mjerila iz članka 100. stavka 2. ZEK-a. </w:t>
      </w:r>
      <w:r w:rsidRPr="00984D5C">
        <w:rPr>
          <w:rFonts w:ascii="Times New Roman" w:eastAsia="Times New Roman" w:hAnsi="Times New Roman"/>
          <w:color w:val="auto"/>
          <w:lang w:eastAsia="hr-HR"/>
        </w:rPr>
        <w:t xml:space="preserve">Stoga je odlučeno kao u točki 5. izreke. Detaljno obrazloženje provedenog Testa tri mjerila sadržano je u dokumentu Analize tržišta.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000000"/>
          <w:lang w:eastAsia="hr-HR"/>
        </w:rPr>
        <w:t xml:space="preserve">S obzirom da je na tom tržištu HAKOM utvrdio postojanje djelotvornog tržišnog natjecanja valjalo je sukladno članku 100. stavku 5. ZEK-a ukinuti HT-u (i Iskonu) prethodno određene regulatorne obveze. Stoga je HAKOM točkom 7. izreke ukinuo sve obveze koje su tim društvima bile određene </w:t>
      </w:r>
      <w:r w:rsidRPr="00984D5C">
        <w:rPr>
          <w:rFonts w:ascii="Times New Roman" w:eastAsia="Times New Roman" w:hAnsi="Times New Roman"/>
          <w:color w:val="auto"/>
          <w:lang w:eastAsia="hr-HR"/>
        </w:rPr>
        <w:t xml:space="preserve">odlukom o analizi tržišta veleprodajnog lokalnog pristupa koji se pruža na fiksnoj lokaciji, KLASA: UP/I-344-01/18-03/05, URBROJ: 376-05-1-19-11 od 19. lipnja 2019. Međutim, s obzirom na činjenicu da su time HT-u i Iskonu ukinute sve dotadašnje regulatorne obveze te činjenicu da jedino na tržištu velikog kapaciteta - konkurentna područja (Privitak 3 dokumenta Analize tržišta), dolazi do potpune deregulacije, HAKOM je ukidanje obveza na tim područjima odgodio za 90 dana.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Također, prethodno spomenuti rok od 90 dana primjenjuje se i na konkurentna područja klastera B imajući u vidu da je ovom odlukom, regulatorna obveza nadzora cijena i vođenja troškovnog računovodstva određena tim društvima u nešto manjem opsegu (u odnosu na dotadašnju regulaciju koja se ovom odlukom ukida), a koji se odnosi na obvezu troškovne usmjerenosti cijena. </w:t>
      </w:r>
      <w:r w:rsidRPr="00984D5C">
        <w:rPr>
          <w:rFonts w:ascii="Times New Roman" w:eastAsia="Times New Roman" w:hAnsi="Times New Roman"/>
          <w:color w:val="000000"/>
          <w:lang w:eastAsia="hr-HR"/>
        </w:rPr>
        <w:t xml:space="preserve">Rok od 90 dana HAKOM je odredio vodeći računa o članku 100. stavku 6. ZEK-a te ga smatra </w:t>
      </w:r>
      <w:r w:rsidRPr="00984D5C">
        <w:rPr>
          <w:rFonts w:ascii="Times New Roman" w:eastAsia="Times New Roman" w:hAnsi="Times New Roman"/>
          <w:color w:val="auto"/>
          <w:lang w:eastAsia="hr-HR"/>
        </w:rPr>
        <w:t>dovoljnim za osiguranje prijelaznog razdoblja za operatore korisnike (veleprodajnih usluga koje se ukidaju) i za krajnje korisnike. Pri tom je HT-u određen rok od 8 dana za obavijestiti stranke na koje ova Odluka utječe. Za napomenuti je</w:t>
      </w:r>
      <w:r w:rsidRPr="00984D5C">
        <w:rPr>
          <w:rFonts w:ascii="Times New Roman" w:eastAsia="Times New Roman" w:hAnsi="Times New Roman"/>
          <w:color w:val="000000"/>
          <w:lang w:eastAsia="hr-HR"/>
        </w:rPr>
        <w:t xml:space="preserve"> kako na </w:t>
      </w:r>
      <w:r w:rsidRPr="00984D5C">
        <w:rPr>
          <w:rFonts w:ascii="Times New Roman" w:eastAsia="Times New Roman" w:hAnsi="Times New Roman"/>
          <w:color w:val="auto"/>
          <w:lang w:eastAsia="hr-HR"/>
        </w:rPr>
        <w:t>ostalim područjima na kojima su HT i Iskon imali regulatorne obveze, a koje im se točkom 7. izreke ukidaju, nije određen poseban rok za prijelazno razdoblje jer su im temeljem ove Odluke istodobno određene nove obveze.</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Točkom 6. izreke HAKOM je odredio HT-u obvezu pristupa fizičkoj infrastrukturi na teritoriju cijele RH, sukladno članku 105. stavku 1. ZEK-a, budući da se prema stavku 3. istog članka ista primjenjuje neovisno o tome na kojem tržištu se nalazi imovina koja je predmet te obveze. Razlozi zbog kojih je ova obveza određena HT-u temeljem predmetne analize pobliže su opisani u Poglavlju 8. (Pristup fizičkoj infrastrukturi) dokumenta Analize tržišta.</w:t>
      </w:r>
    </w:p>
    <w:p w:rsidR="00984D5C" w:rsidRPr="00984D5C" w:rsidRDefault="00984D5C" w:rsidP="00984D5C">
      <w:pPr>
        <w:jc w:val="both"/>
        <w:rPr>
          <w:rFonts w:ascii="Times New Roman" w:eastAsia="Times New Roman" w:hAnsi="Times New Roman"/>
          <w:color w:val="auto"/>
          <w:lang w:eastAsia="hr-HR"/>
        </w:rPr>
      </w:pPr>
    </w:p>
    <w:p w:rsidR="00C833F6" w:rsidRDefault="00984D5C" w:rsidP="00984D5C">
      <w:pPr>
        <w:jc w:val="both"/>
        <w:rPr>
          <w:rFonts w:ascii="Times New Roman" w:eastAsia="Times New Roman" w:hAnsi="Times New Roman"/>
          <w:color w:val="auto"/>
          <w:lang w:eastAsia="hr-HR"/>
        </w:rPr>
        <w:sectPr w:rsidR="00C833F6" w:rsidSect="00C833F6">
          <w:type w:val="continuous"/>
          <w:pgSz w:w="11906" w:h="16838"/>
          <w:pgMar w:top="1440" w:right="1440" w:bottom="1440" w:left="1440" w:header="397" w:footer="397" w:gutter="0"/>
          <w:cols w:space="708"/>
          <w:titlePg/>
          <w:docGrid w:linePitch="360"/>
        </w:sectPr>
      </w:pPr>
      <w:r w:rsidRPr="00984D5C">
        <w:rPr>
          <w:rFonts w:ascii="Times New Roman" w:eastAsia="Times New Roman" w:hAnsi="Times New Roman"/>
          <w:color w:val="auto"/>
          <w:lang w:eastAsia="hr-HR"/>
        </w:rPr>
        <w:t>Točkom 8. izreke HAKOM se obvezao nakon dvije godine provesti provjeru statusa</w:t>
      </w:r>
      <w:r w:rsidRPr="00984D5C">
        <w:rPr>
          <w:rFonts w:ascii="Times New Roman" w:eastAsia="Times New Roman" w:hAnsi="Times New Roman"/>
          <w:i/>
          <w:color w:val="auto"/>
          <w:lang w:eastAsia="hr-HR"/>
        </w:rPr>
        <w:t xml:space="preserve"> </w:t>
      </w:r>
      <w:r w:rsidRPr="00984D5C">
        <w:rPr>
          <w:rFonts w:ascii="Times New Roman" w:eastAsia="Times New Roman" w:hAnsi="Times New Roman"/>
          <w:color w:val="auto"/>
          <w:lang w:eastAsia="hr-HR"/>
        </w:rPr>
        <w:t xml:space="preserve">geografskih jedinica u cilju utvrđivanja mijenjaju li pojedine geografske jedinice status pripadanja konkurentnim, odnosno nekonkurentnim područjima kao i </w:t>
      </w:r>
      <w:proofErr w:type="spellStart"/>
      <w:r w:rsidRPr="00984D5C">
        <w:rPr>
          <w:rFonts w:ascii="Times New Roman" w:eastAsia="Times New Roman" w:hAnsi="Times New Roman"/>
          <w:color w:val="auto"/>
          <w:lang w:eastAsia="hr-HR"/>
        </w:rPr>
        <w:t>klasterima</w:t>
      </w:r>
      <w:proofErr w:type="spellEnd"/>
      <w:r w:rsidRPr="00984D5C">
        <w:rPr>
          <w:rFonts w:ascii="Times New Roman" w:eastAsia="Times New Roman" w:hAnsi="Times New Roman"/>
          <w:color w:val="auto"/>
          <w:lang w:eastAsia="hr-HR"/>
        </w:rPr>
        <w:t xml:space="preserve">, u odnosu na razdoblje stupanja na snagu ove Odluke. U skladu s utvrđenim, ukoliko je došlo do određenih promjena, ažurirat će se popis nekonkurentnih područja klastera A, popis nekonkurentnih područja klastera B i popis konkurentnih područja. HAKOM smatra da u prethodno opisanom slučaju revizije statusa geografskih jedinica nije potrebno provoditi posebnu analizu tržišta sukladno članku 100. ZEK-a, uključujući i obvezu provođenja javnog savjetovanja sukladno članku 30. ZEK-a, budući da će se u tom slučaju raditi isključivo o primjeni unaprijed određenih kriterija za utvrđivanje statusa geografskih jedinica sadržanih u Poglavlju 4. dokumenta Analize tržišta te primjeni unaprijed određenih regulatornih obveza primjenjivih na konkretnom području kako je to prethodno navedeno u ovoj Odluci, bez ikakve izmjene njihova opsega. Također, time se ne narušava ni transparentnost postupka kao ni pravo stranaka na učinkoviti pravni lijek, jer će HAKOM nakon izvršene revizije na prethodno opisani način, donijeti odluku u formi upravnog akta kojom će konstatirati utvrđene promjene te sukladno njima HT-u (i na odgovarajući način društvu/ima pod njegovim nadzorom), revidirati status operatora sa značajnom tržišnom snagom na geografskim jedinicama koje su promijenile status pripadanja, odnosno ukinuti im i/ili odrediti regulatorne obveze iz točke 2. i/ili 3. izreke ove Odluke, ovisno o nastaloj promjeni. Protiv takve odluke stranke će imati pravo podnijeti pravni </w:t>
      </w: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lijek. Štoviše, s ciljem maksimalne transparentnosti, HAKOM je izradio nacrt izreke takve odluke te ista čini Privitak 4 dokumenta Analize tržišta, čime je sudionicima postupka javnog savjetovanja već sada omogućeno upoznati se s njenim sadržajem. </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FF0000"/>
          <w:lang w:eastAsia="hr-HR"/>
        </w:rPr>
      </w:pPr>
      <w:r w:rsidRPr="00984D5C">
        <w:rPr>
          <w:rFonts w:ascii="Times New Roman" w:eastAsia="Times New Roman" w:hAnsi="Times New Roman"/>
          <w:color w:val="auto"/>
          <w:lang w:eastAsia="hr-HR"/>
        </w:rPr>
        <w:t>Razlog zbog kojeg je razdoblje od dvije godine uzeto kao relevantno za provođenje opisanog postupka ažuriranja statusa geografskih jedinica, sadržan je u Poglavlju 4.</w:t>
      </w:r>
      <w:r w:rsidRPr="00984D5C">
        <w:rPr>
          <w:rFonts w:ascii="Times New Roman" w:eastAsia="Times New Roman" w:hAnsi="Times New Roman"/>
          <w:i/>
          <w:color w:val="auto"/>
          <w:lang w:eastAsia="hr-HR"/>
        </w:rPr>
        <w:t xml:space="preserve"> </w:t>
      </w:r>
      <w:r w:rsidRPr="00984D5C">
        <w:rPr>
          <w:rFonts w:ascii="Times New Roman" w:eastAsia="Times New Roman" w:hAnsi="Times New Roman"/>
          <w:color w:val="auto"/>
          <w:lang w:eastAsia="hr-HR"/>
        </w:rPr>
        <w:t>dokumenta Analize tržišta, u kojem su navedene i ostale razmatrane opcije te analiza koristi i rizika svake od njih.</w:t>
      </w: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 xml:space="preserve"> </w:t>
      </w: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Slijedom svega navedenog, odlučeno je kao u izreci.</w:t>
      </w:r>
    </w:p>
    <w:p w:rsidR="00984D5C" w:rsidRPr="00984D5C" w:rsidRDefault="00984D5C" w:rsidP="00984D5C">
      <w:pPr>
        <w:jc w:val="both"/>
        <w:rPr>
          <w:rFonts w:ascii="Times New Roman" w:eastAsia="Times New Roman" w:hAnsi="Times New Roman"/>
          <w:color w:val="auto"/>
          <w:lang w:eastAsia="hr-HR"/>
        </w:rPr>
      </w:pPr>
    </w:p>
    <w:p w:rsidR="00984D5C" w:rsidRPr="00984D5C" w:rsidRDefault="00984D5C" w:rsidP="00984D5C">
      <w:pPr>
        <w:jc w:val="both"/>
        <w:rPr>
          <w:rFonts w:ascii="Times New Roman" w:eastAsia="Times New Roman" w:hAnsi="Times New Roman"/>
          <w:color w:val="auto"/>
          <w:lang w:eastAsia="hr-HR"/>
        </w:rPr>
      </w:pPr>
      <w:r w:rsidRPr="00984D5C">
        <w:rPr>
          <w:rFonts w:ascii="Times New Roman" w:eastAsia="Times New Roman" w:hAnsi="Times New Roman"/>
          <w:color w:val="auto"/>
          <w:lang w:eastAsia="hr-HR"/>
        </w:rPr>
        <w:t>Sukladno članku 30. ZEK-a, HAKOM će prijedlog ove Odluke objaviti na svojim internetskim stranicama u svrhu provedbe javnog savjetovanja te provesti postupak usklađivanja u donošenju odluka iz članka 37. ZEK-a.</w:t>
      </w:r>
    </w:p>
    <w:p w:rsidR="00984D5C" w:rsidRPr="00984D5C" w:rsidRDefault="00984D5C" w:rsidP="00984D5C">
      <w:pPr>
        <w:autoSpaceDE w:val="0"/>
        <w:autoSpaceDN w:val="0"/>
        <w:adjustRightInd w:val="0"/>
        <w:jc w:val="both"/>
        <w:rPr>
          <w:rFonts w:ascii="Times New Roman" w:eastAsia="Times New Roman" w:hAnsi="Times New Roman"/>
          <w:color w:val="auto"/>
          <w:lang w:eastAsia="hr-HR"/>
        </w:rPr>
      </w:pPr>
    </w:p>
    <w:p w:rsidR="00984D5C" w:rsidRPr="00984D5C" w:rsidRDefault="00984D5C" w:rsidP="00984D5C">
      <w:pPr>
        <w:autoSpaceDE w:val="0"/>
        <w:autoSpaceDN w:val="0"/>
        <w:adjustRightInd w:val="0"/>
        <w:jc w:val="both"/>
        <w:rPr>
          <w:rFonts w:ascii="Times New Roman" w:eastAsia="Times New Roman" w:hAnsi="Times New Roman"/>
          <w:color w:val="auto"/>
          <w:lang w:eastAsia="hr-HR"/>
        </w:rPr>
      </w:pPr>
    </w:p>
    <w:p w:rsidR="00984D5C" w:rsidRPr="00984D5C" w:rsidRDefault="00984D5C" w:rsidP="00984D5C">
      <w:pPr>
        <w:autoSpaceDE w:val="0"/>
        <w:autoSpaceDN w:val="0"/>
        <w:adjustRightInd w:val="0"/>
        <w:jc w:val="both"/>
        <w:rPr>
          <w:rFonts w:ascii="Times New Roman" w:eastAsia="Times New Roman" w:hAnsi="Times New Roman"/>
          <w:color w:val="auto"/>
          <w:lang w:eastAsia="hr-HR"/>
        </w:rPr>
      </w:pPr>
    </w:p>
    <w:p w:rsidR="00984D5C" w:rsidRPr="00984D5C" w:rsidRDefault="00984D5C" w:rsidP="00984D5C">
      <w:pPr>
        <w:autoSpaceDE w:val="0"/>
        <w:autoSpaceDN w:val="0"/>
        <w:adjustRightInd w:val="0"/>
        <w:spacing w:after="120"/>
        <w:jc w:val="both"/>
        <w:rPr>
          <w:rFonts w:ascii="Times New Roman" w:eastAsia="Times New Roman" w:hAnsi="Times New Roman"/>
          <w:color w:val="auto"/>
          <w:lang w:eastAsia="hr-HR"/>
        </w:rPr>
      </w:pPr>
    </w:p>
    <w:tbl>
      <w:tblPr>
        <w:tblW w:w="0" w:type="auto"/>
        <w:tblLook w:val="01E0" w:firstRow="1" w:lastRow="1" w:firstColumn="1" w:lastColumn="1" w:noHBand="0" w:noVBand="0"/>
      </w:tblPr>
      <w:tblGrid>
        <w:gridCol w:w="4442"/>
        <w:gridCol w:w="4584"/>
      </w:tblGrid>
      <w:tr w:rsidR="00984D5C" w:rsidRPr="00984D5C" w:rsidTr="00984D5C">
        <w:tc>
          <w:tcPr>
            <w:tcW w:w="4927" w:type="dxa"/>
            <w:shd w:val="clear" w:color="auto" w:fill="auto"/>
          </w:tcPr>
          <w:p w:rsidR="00984D5C" w:rsidRPr="00984D5C" w:rsidRDefault="00984D5C" w:rsidP="00984D5C">
            <w:pPr>
              <w:rPr>
                <w:rFonts w:ascii="Times New Roman" w:eastAsia="Times New Roman" w:hAnsi="Times New Roman"/>
                <w:color w:val="auto"/>
                <w:lang w:eastAsia="hr-HR"/>
              </w:rPr>
            </w:pPr>
          </w:p>
        </w:tc>
        <w:tc>
          <w:tcPr>
            <w:tcW w:w="4927" w:type="dxa"/>
            <w:shd w:val="clear" w:color="auto" w:fill="auto"/>
          </w:tcPr>
          <w:p w:rsidR="00984D5C" w:rsidRPr="00984D5C" w:rsidRDefault="00984D5C" w:rsidP="00984D5C">
            <w:pPr>
              <w:tabs>
                <w:tab w:val="center" w:pos="7655"/>
              </w:tabs>
              <w:spacing w:before="240" w:after="600"/>
              <w:jc w:val="center"/>
              <w:rPr>
                <w:rFonts w:ascii="Times New Roman" w:eastAsia="Times New Roman" w:hAnsi="Times New Roman"/>
                <w:b/>
                <w:i/>
                <w:caps/>
                <w:color w:val="auto"/>
                <w:sz w:val="20"/>
                <w:lang w:eastAsia="hr-HR"/>
              </w:rPr>
            </w:pPr>
            <w:r w:rsidRPr="00984D5C">
              <w:rPr>
                <w:rFonts w:ascii="Times New Roman" w:eastAsia="Times New Roman" w:hAnsi="Times New Roman"/>
                <w:b/>
                <w:i/>
                <w:caps/>
                <w:color w:val="auto"/>
                <w:sz w:val="20"/>
                <w:lang w:eastAsia="hr-HR"/>
              </w:rPr>
              <w:t>Predsjednik Vijeća</w:t>
            </w:r>
          </w:p>
        </w:tc>
      </w:tr>
      <w:tr w:rsidR="00984D5C" w:rsidRPr="00984D5C" w:rsidTr="00984D5C">
        <w:tc>
          <w:tcPr>
            <w:tcW w:w="4927" w:type="dxa"/>
            <w:shd w:val="clear" w:color="auto" w:fill="auto"/>
          </w:tcPr>
          <w:p w:rsidR="00984D5C" w:rsidRPr="00984D5C" w:rsidRDefault="00984D5C" w:rsidP="00984D5C">
            <w:pPr>
              <w:rPr>
                <w:rFonts w:ascii="Times New Roman" w:eastAsia="Times New Roman" w:hAnsi="Times New Roman"/>
                <w:color w:val="auto"/>
                <w:lang w:eastAsia="hr-HR"/>
              </w:rPr>
            </w:pPr>
          </w:p>
        </w:tc>
        <w:tc>
          <w:tcPr>
            <w:tcW w:w="4927" w:type="dxa"/>
            <w:shd w:val="clear" w:color="auto" w:fill="auto"/>
          </w:tcPr>
          <w:p w:rsidR="00984D5C" w:rsidRPr="00984D5C" w:rsidRDefault="00984D5C" w:rsidP="00984D5C">
            <w:pPr>
              <w:tabs>
                <w:tab w:val="center" w:pos="7655"/>
              </w:tabs>
              <w:spacing w:after="600"/>
              <w:jc w:val="center"/>
              <w:rPr>
                <w:rFonts w:ascii="Times New Roman" w:eastAsia="Times New Roman" w:hAnsi="Times New Roman"/>
                <w:b/>
                <w:i/>
                <w:color w:val="auto"/>
                <w:sz w:val="22"/>
                <w:lang w:eastAsia="hr-HR"/>
              </w:rPr>
            </w:pPr>
            <w:proofErr w:type="spellStart"/>
            <w:r w:rsidRPr="00984D5C">
              <w:rPr>
                <w:rFonts w:ascii="Times New Roman" w:eastAsia="Times New Roman" w:hAnsi="Times New Roman"/>
                <w:b/>
                <w:i/>
                <w:color w:val="auto"/>
                <w:sz w:val="22"/>
                <w:lang w:eastAsia="hr-HR"/>
              </w:rPr>
              <w:t>Tonko</w:t>
            </w:r>
            <w:proofErr w:type="spellEnd"/>
            <w:r w:rsidRPr="00984D5C">
              <w:rPr>
                <w:rFonts w:ascii="Times New Roman" w:eastAsia="Times New Roman" w:hAnsi="Times New Roman"/>
                <w:b/>
                <w:i/>
                <w:color w:val="auto"/>
                <w:sz w:val="22"/>
                <w:lang w:eastAsia="hr-HR"/>
              </w:rPr>
              <w:t xml:space="preserve"> </w:t>
            </w:r>
            <w:proofErr w:type="spellStart"/>
            <w:r w:rsidRPr="00984D5C">
              <w:rPr>
                <w:rFonts w:ascii="Times New Roman" w:eastAsia="Times New Roman" w:hAnsi="Times New Roman"/>
                <w:b/>
                <w:i/>
                <w:color w:val="auto"/>
                <w:sz w:val="22"/>
                <w:lang w:eastAsia="hr-HR"/>
              </w:rPr>
              <w:t>Obuljen</w:t>
            </w:r>
            <w:proofErr w:type="spellEnd"/>
          </w:p>
        </w:tc>
      </w:tr>
    </w:tbl>
    <w:p w:rsidR="00DD6E3A" w:rsidRDefault="002D1709">
      <w:r>
        <w:rPr>
          <w:noProof/>
          <w:lang w:val="en-US"/>
        </w:rPr>
        <mc:AlternateContent>
          <mc:Choice Requires="wps">
            <w:drawing>
              <wp:anchor distT="45720" distB="45720" distL="114300" distR="114300" simplePos="0" relativeHeight="251658241" behindDoc="0" locked="0" layoutInCell="1" allowOverlap="1" wp14:anchorId="180BAAC3" wp14:editId="12A2C16D">
                <wp:simplePos x="0" y="0"/>
                <wp:positionH relativeFrom="margin">
                  <wp:posOffset>1221638</wp:posOffset>
                </wp:positionH>
                <wp:positionV relativeFrom="page">
                  <wp:posOffset>2048256</wp:posOffset>
                </wp:positionV>
                <wp:extent cx="3244850" cy="3335731"/>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0" cy="3335731"/>
                        </a:xfrm>
                        <a:prstGeom prst="rect">
                          <a:avLst/>
                        </a:prstGeom>
                        <a:noFill/>
                        <a:ln w="9525">
                          <a:noFill/>
                          <a:miter lim="800000"/>
                          <a:headEnd/>
                          <a:tailEnd/>
                        </a:ln>
                      </wps:spPr>
                      <wps:txbx>
                        <w:txbxContent>
                          <w:p w:rsidR="00973D5D" w:rsidRDefault="00973D5D" w:rsidP="002D1709">
                            <w:pPr>
                              <w:jc w:val="center"/>
                              <w:rPr>
                                <w:rFonts w:ascii="Segoe UI Black" w:hAnsi="Segoe UI Black" w:cs="Segoe UI Light"/>
                                <w:color w:val="FFFFFF" w:themeColor="background1"/>
                                <w:sz w:val="36"/>
                                <w:szCs w:val="36"/>
                              </w:rPr>
                            </w:pPr>
                            <w:r w:rsidRPr="0002586D">
                              <w:rPr>
                                <w:rFonts w:ascii="Segoe UI Black" w:hAnsi="Segoe UI Black" w:cs="Segoe UI Light"/>
                                <w:color w:val="FFFFFF" w:themeColor="background1"/>
                                <w:sz w:val="36"/>
                                <w:szCs w:val="36"/>
                              </w:rPr>
                              <w:t>TRŽIŠTE VELEPRODAJNOG LOKALNOG PRISTUPA KOJI SE PRUŽA NA FIKSNOJ LOKACIJI</w:t>
                            </w:r>
                          </w:p>
                          <w:p w:rsidR="00973D5D" w:rsidRPr="002D1709" w:rsidRDefault="00973D5D" w:rsidP="002D1709">
                            <w:pPr>
                              <w:jc w:val="center"/>
                              <w:rPr>
                                <w:rFonts w:ascii="Segoe UI Black" w:hAnsi="Segoe UI Black" w:cs="Segoe UI Light"/>
                                <w:color w:val="FFFFFF" w:themeColor="background1"/>
                                <w:sz w:val="36"/>
                                <w:szCs w:val="36"/>
                              </w:rPr>
                            </w:pPr>
                          </w:p>
                          <w:p w:rsidR="00973D5D" w:rsidRPr="002D1709" w:rsidRDefault="00973D5D" w:rsidP="002D1709">
                            <w:pPr>
                              <w:jc w:val="center"/>
                              <w:rPr>
                                <w:rFonts w:ascii="Segoe UI Black" w:hAnsi="Segoe UI Black" w:cs="Segoe UI Light"/>
                                <w:color w:val="FFFFFF" w:themeColor="background1"/>
                                <w:sz w:val="34"/>
                                <w:szCs w:val="34"/>
                              </w:rPr>
                            </w:pPr>
                            <w:r w:rsidRPr="002D1709">
                              <w:rPr>
                                <w:rFonts w:ascii="Segoe UI Black" w:hAnsi="Segoe UI Black" w:cs="Segoe UI Light"/>
                                <w:color w:val="FFFFFF" w:themeColor="background1"/>
                                <w:sz w:val="34"/>
                                <w:szCs w:val="34"/>
                              </w:rPr>
                              <w:t>PRIJEDLOG ZA JAVN</w:t>
                            </w:r>
                            <w:r>
                              <w:rPr>
                                <w:rFonts w:ascii="Segoe UI Black" w:hAnsi="Segoe UI Black" w:cs="Segoe UI Light"/>
                                <w:color w:val="FFFFFF" w:themeColor="background1"/>
                                <w:sz w:val="34"/>
                                <w:szCs w:val="34"/>
                              </w:rPr>
                              <w:t>O</w:t>
                            </w:r>
                            <w:r w:rsidRPr="002D1709">
                              <w:rPr>
                                <w:rFonts w:ascii="Segoe UI Black" w:hAnsi="Segoe UI Black" w:cs="Segoe UI Light"/>
                                <w:color w:val="FFFFFF" w:themeColor="background1"/>
                                <w:sz w:val="34"/>
                                <w:szCs w:val="34"/>
                              </w:rPr>
                              <w:t xml:space="preserve"> </w:t>
                            </w:r>
                            <w:r>
                              <w:rPr>
                                <w:rFonts w:ascii="Segoe UI Black" w:hAnsi="Segoe UI Black" w:cs="Segoe UI Light"/>
                                <w:color w:val="FFFFFF" w:themeColor="background1"/>
                                <w:sz w:val="34"/>
                                <w:szCs w:val="34"/>
                              </w:rPr>
                              <w:t>SAVJETOVANJE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0BAAC3" id="_x0000_t202" coordsize="21600,21600" o:spt="202" path="m,l,21600r21600,l21600,xe">
                <v:stroke joinstyle="miter"/>
                <v:path gradientshapeok="t" o:connecttype="rect"/>
              </v:shapetype>
              <v:shape id="Text Box 2" o:spid="_x0000_s1026" type="#_x0000_t202" style="position:absolute;margin-left:96.2pt;margin-top:161.3pt;width:255.5pt;height:262.6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" filled="f" stroked="f">
                <v:textbox>
                  <w:txbxContent>
                    <w:p w:rsidR="00973D5D" w:rsidRDefault="00973D5D" w:rsidP="002D1709">
                      <w:pPr>
                        <w:jc w:val="center"/>
                        <w:rPr>
                          <w:rFonts w:ascii="Segoe UI Black" w:hAnsi="Segoe UI Black" w:cs="Segoe UI Light"/>
                          <w:color w:val="FFFFFF" w:themeColor="background1"/>
                          <w:sz w:val="36"/>
                          <w:szCs w:val="36"/>
                        </w:rPr>
                      </w:pPr>
                      <w:r w:rsidRPr="0002586D">
                        <w:rPr>
                          <w:rFonts w:ascii="Segoe UI Black" w:hAnsi="Segoe UI Black" w:cs="Segoe UI Light"/>
                          <w:color w:val="FFFFFF" w:themeColor="background1"/>
                          <w:sz w:val="36"/>
                          <w:szCs w:val="36"/>
                        </w:rPr>
                        <w:t>TRŽIŠTE VELEPRODAJNOG LOKALNOG PRISTUPA KOJI SE PRUŽA NA FIKSNOJ LOKACIJI</w:t>
                      </w:r>
                    </w:p>
                    <w:p w:rsidR="00973D5D" w:rsidRPr="002D1709" w:rsidRDefault="00973D5D" w:rsidP="002D1709">
                      <w:pPr>
                        <w:jc w:val="center"/>
                        <w:rPr>
                          <w:rFonts w:ascii="Segoe UI Black" w:hAnsi="Segoe UI Black" w:cs="Segoe UI Light"/>
                          <w:color w:val="FFFFFF" w:themeColor="background1"/>
                          <w:sz w:val="36"/>
                          <w:szCs w:val="36"/>
                        </w:rPr>
                      </w:pPr>
                    </w:p>
                    <w:p w:rsidR="00973D5D" w:rsidRPr="002D1709" w:rsidRDefault="00973D5D" w:rsidP="002D1709">
                      <w:pPr>
                        <w:jc w:val="center"/>
                        <w:rPr>
                          <w:rFonts w:ascii="Segoe UI Black" w:hAnsi="Segoe UI Black" w:cs="Segoe UI Light"/>
                          <w:color w:val="FFFFFF" w:themeColor="background1"/>
                          <w:sz w:val="34"/>
                          <w:szCs w:val="34"/>
                        </w:rPr>
                      </w:pPr>
                      <w:r w:rsidRPr="002D1709">
                        <w:rPr>
                          <w:rFonts w:ascii="Segoe UI Black" w:hAnsi="Segoe UI Black" w:cs="Segoe UI Light"/>
                          <w:color w:val="FFFFFF" w:themeColor="background1"/>
                          <w:sz w:val="34"/>
                          <w:szCs w:val="34"/>
                        </w:rPr>
                        <w:t>PRIJEDLOG ZA JAVN</w:t>
                      </w:r>
                      <w:r>
                        <w:rPr>
                          <w:rFonts w:ascii="Segoe UI Black" w:hAnsi="Segoe UI Black" w:cs="Segoe UI Light"/>
                          <w:color w:val="FFFFFF" w:themeColor="background1"/>
                          <w:sz w:val="34"/>
                          <w:szCs w:val="34"/>
                        </w:rPr>
                        <w:t>O</w:t>
                      </w:r>
                      <w:r w:rsidRPr="002D1709">
                        <w:rPr>
                          <w:rFonts w:ascii="Segoe UI Black" w:hAnsi="Segoe UI Black" w:cs="Segoe UI Light"/>
                          <w:color w:val="FFFFFF" w:themeColor="background1"/>
                          <w:sz w:val="34"/>
                          <w:szCs w:val="34"/>
                        </w:rPr>
                        <w:t xml:space="preserve"> </w:t>
                      </w:r>
                      <w:r>
                        <w:rPr>
                          <w:rFonts w:ascii="Segoe UI Black" w:hAnsi="Segoe UI Black" w:cs="Segoe UI Light"/>
                          <w:color w:val="FFFFFF" w:themeColor="background1"/>
                          <w:sz w:val="34"/>
                          <w:szCs w:val="34"/>
                        </w:rPr>
                        <w:t>SAVJETOVANJE</w:t>
                      </w:r>
                    </w:p>
                  </w:txbxContent>
                </v:textbox>
                <w10:wrap anchorx="margin" anchory="page"/>
              </v:shape>
            </w:pict>
          </mc:Fallback>
        </mc:AlternateContent>
      </w:r>
      <w:r w:rsidR="006C08AF">
        <w:rPr>
          <w:noProof/>
          <w:lang w:val="en-US"/>
        </w:rPr>
        <mc:AlternateContent>
          <mc:Choice Requires="wps">
            <w:drawing>
              <wp:anchor distT="0" distB="0" distL="114300" distR="114300" simplePos="0" relativeHeight="251658242" behindDoc="0" locked="0" layoutInCell="1" allowOverlap="1" wp14:anchorId="61FE072E" wp14:editId="696663B3">
                <wp:simplePos x="0" y="0"/>
                <wp:positionH relativeFrom="margin">
                  <wp:align>center</wp:align>
                </wp:positionH>
                <wp:positionV relativeFrom="page">
                  <wp:posOffset>9610726</wp:posOffset>
                </wp:positionV>
                <wp:extent cx="2752725" cy="381000"/>
                <wp:effectExtent l="0" t="0" r="0" b="0"/>
                <wp:wrapNone/>
                <wp:docPr id="3" name="Text Box 3"/>
                <wp:cNvGraphicFramePr/>
                <a:graphic xmlns:a="http://schemas.openxmlformats.org/drawingml/2006/main">
                  <a:graphicData uri="http://schemas.microsoft.com/office/word/2010/wordprocessingShape">
                    <wps:wsp>
                      <wps:cNvSpPr txBox="1"/>
                      <wps:spPr>
                        <a:xfrm>
                          <a:off x="0" y="0"/>
                          <a:ext cx="2752725" cy="381000"/>
                        </a:xfrm>
                        <a:prstGeom prst="rect">
                          <a:avLst/>
                        </a:prstGeom>
                        <a:noFill/>
                        <a:ln w="6350">
                          <a:noFill/>
                        </a:ln>
                      </wps:spPr>
                      <wps:txbx>
                        <w:txbxContent>
                          <w:p w:rsidR="00973D5D" w:rsidRPr="007A0267" w:rsidRDefault="00973D5D" w:rsidP="007A0267">
                            <w:pPr>
                              <w:jc w:val="center"/>
                              <w:rPr>
                                <w:rFonts w:ascii="Segoe UI Semibold" w:hAnsi="Segoe UI Semibold" w:cs="Segoe UI Semibold"/>
                                <w:color w:val="2F5496" w:themeColor="accent1" w:themeShade="BF"/>
                                <w:sz w:val="28"/>
                                <w:szCs w:val="28"/>
                                <w:lang w:val="en-US"/>
                              </w:rPr>
                            </w:pPr>
                            <w:r w:rsidRPr="007A0267">
                              <w:rPr>
                                <w:rFonts w:ascii="Segoe UI Semibold" w:hAnsi="Segoe UI Semibold" w:cs="Segoe UI Semibold"/>
                                <w:color w:val="2F5496" w:themeColor="accent1" w:themeShade="BF"/>
                                <w:sz w:val="28"/>
                                <w:szCs w:val="28"/>
                                <w:lang w:val="en-US"/>
                              </w:rPr>
                              <w:t xml:space="preserve">ZAGREB, </w:t>
                            </w:r>
                            <w:r>
                              <w:rPr>
                                <w:rFonts w:ascii="Segoe UI Semibold" w:hAnsi="Segoe UI Semibold" w:cs="Segoe UI Semibold"/>
                                <w:color w:val="2F5496" w:themeColor="accent1" w:themeShade="BF"/>
                                <w:sz w:val="28"/>
                                <w:szCs w:val="28"/>
                                <w:lang w:val="en-US"/>
                              </w:rPr>
                              <w:t>SIJEČANJ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1FE072E" id="Text Box 3" o:spid="_x0000_s1027" type="#_x0000_t202" style="position:absolute;margin-left:0;margin-top:756.75pt;width:216.75pt;height:30pt;z-index:251658242;visibility:visible;mso-wrap-style:square;mso-height-percent:0;mso-wrap-distance-left:9pt;mso-wrap-distance-top:0;mso-wrap-distance-right:9pt;mso-wrap-distance-bottom:0;mso-position-horizontal:center;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" filled="f" stroked="f" strokeweight=".5pt">
                <v:textbox>
                  <w:txbxContent>
                    <w:p w:rsidR="00973D5D" w:rsidRPr="007A0267" w:rsidRDefault="00973D5D" w:rsidP="007A0267">
                      <w:pPr>
                        <w:jc w:val="center"/>
                        <w:rPr>
                          <w:rFonts w:ascii="Segoe UI Semibold" w:hAnsi="Segoe UI Semibold" w:cs="Segoe UI Semibold"/>
                          <w:color w:val="2F5496" w:themeColor="accent1" w:themeShade="BF"/>
                          <w:sz w:val="28"/>
                          <w:szCs w:val="28"/>
                          <w:lang w:val="en-US"/>
                        </w:rPr>
                      </w:pPr>
                      <w:r w:rsidRPr="007A0267">
                        <w:rPr>
                          <w:rFonts w:ascii="Segoe UI Semibold" w:hAnsi="Segoe UI Semibold" w:cs="Segoe UI Semibold"/>
                          <w:color w:val="2F5496" w:themeColor="accent1" w:themeShade="BF"/>
                          <w:sz w:val="28"/>
                          <w:szCs w:val="28"/>
                          <w:lang w:val="en-US"/>
                        </w:rPr>
                        <w:t xml:space="preserve">ZAGREB, </w:t>
                      </w:r>
                      <w:r>
                        <w:rPr>
                          <w:rFonts w:ascii="Segoe UI Semibold" w:hAnsi="Segoe UI Semibold" w:cs="Segoe UI Semibold"/>
                          <w:color w:val="2F5496" w:themeColor="accent1" w:themeShade="BF"/>
                          <w:sz w:val="28"/>
                          <w:szCs w:val="28"/>
                          <w:lang w:val="en-US"/>
                        </w:rPr>
                        <w:t>SIJEČANJ 2023.</w:t>
                      </w:r>
                    </w:p>
                  </w:txbxContent>
                </v:textbox>
                <w10:wrap anchorx="margin" anchory="page"/>
              </v:shape>
            </w:pict>
          </mc:Fallback>
        </mc:AlternateContent>
      </w:r>
      <w:r w:rsidR="003B7533">
        <w:rPr>
          <w:noProof/>
          <w:lang w:val="en-US"/>
        </w:rPr>
        <w:drawing>
          <wp:anchor distT="0" distB="0" distL="114300" distR="114300" simplePos="0" relativeHeight="251658240" behindDoc="0" locked="0" layoutInCell="1" allowOverlap="1" wp14:anchorId="3137AC2D" wp14:editId="52DAF901">
            <wp:simplePos x="0" y="0"/>
            <wp:positionH relativeFrom="page">
              <wp:align>right</wp:align>
            </wp:positionH>
            <wp:positionV relativeFrom="page">
              <wp:align>top</wp:align>
            </wp:positionV>
            <wp:extent cx="7556500" cy="10680700"/>
            <wp:effectExtent l="0" t="0" r="6350" b="635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556500" cy="10680700"/>
                    </a:xfrm>
                    <a:prstGeom prst="rect">
                      <a:avLst/>
                    </a:prstGeom>
                  </pic:spPr>
                </pic:pic>
              </a:graphicData>
            </a:graphic>
            <wp14:sizeRelH relativeFrom="margin">
              <wp14:pctWidth>0</wp14:pctWidth>
            </wp14:sizeRelH>
            <wp14:sizeRelV relativeFrom="margin">
              <wp14:pctHeight>0</wp14:pctHeight>
            </wp14:sizeRelV>
          </wp:anchor>
        </w:drawing>
      </w:r>
    </w:p>
    <w:p w:rsidR="00106DAA" w:rsidRDefault="00B26B4E">
      <w:pPr>
        <w:pStyle w:val="TOC1"/>
        <w:rPr>
          <w:rFonts w:asciiTheme="minorHAnsi" w:eastAsiaTheme="minorEastAsia" w:hAnsiTheme="minorHAnsi" w:cstheme="minorBidi"/>
          <w:noProof/>
          <w:color w:val="auto"/>
          <w:sz w:val="22"/>
          <w:szCs w:val="22"/>
          <w:lang w:val="en-US"/>
        </w:rPr>
      </w:pPr>
      <w:r>
        <w:fldChar w:fldCharType="begin"/>
      </w:r>
      <w:r>
        <w:instrText xml:space="preserve"> TOC \o "1-4" \h \z \u </w:instrText>
      </w:r>
      <w:r>
        <w:fldChar w:fldCharType="separate"/>
      </w:r>
      <w:hyperlink w:anchor="_Toc125644875" w:history="1">
        <w:r w:rsidR="00106DAA" w:rsidRPr="00A76C63">
          <w:rPr>
            <w:rStyle w:val="Hyperlink"/>
            <w:noProof/>
          </w:rPr>
          <w:t>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Sažeti pregled analize</w:t>
        </w:r>
        <w:r w:rsidR="00106DAA">
          <w:rPr>
            <w:noProof/>
            <w:webHidden/>
          </w:rPr>
          <w:tab/>
        </w:r>
        <w:r w:rsidR="00106DAA">
          <w:rPr>
            <w:noProof/>
            <w:webHidden/>
          </w:rPr>
          <w:fldChar w:fldCharType="begin"/>
        </w:r>
        <w:r w:rsidR="00106DAA">
          <w:rPr>
            <w:noProof/>
            <w:webHidden/>
          </w:rPr>
          <w:instrText xml:space="preserve"> PAGEREF _Toc125644875 \h </w:instrText>
        </w:r>
        <w:r w:rsidR="00106DAA">
          <w:rPr>
            <w:noProof/>
            <w:webHidden/>
          </w:rPr>
        </w:r>
        <w:r w:rsidR="00106DAA">
          <w:rPr>
            <w:noProof/>
            <w:webHidden/>
          </w:rPr>
          <w:fldChar w:fldCharType="separate"/>
        </w:r>
        <w:r w:rsidR="00106DAA">
          <w:rPr>
            <w:noProof/>
            <w:webHidden/>
          </w:rPr>
          <w:t>5</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876" w:history="1">
        <w:r w:rsidR="00106DAA" w:rsidRPr="00A76C63">
          <w:rPr>
            <w:rStyle w:val="Hyperlink"/>
            <w:noProof/>
          </w:rPr>
          <w:t>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Regulatorni okvir</w:t>
        </w:r>
        <w:r w:rsidR="00106DAA">
          <w:rPr>
            <w:noProof/>
            <w:webHidden/>
          </w:rPr>
          <w:tab/>
        </w:r>
        <w:r w:rsidR="00106DAA">
          <w:rPr>
            <w:noProof/>
            <w:webHidden/>
          </w:rPr>
          <w:fldChar w:fldCharType="begin"/>
        </w:r>
        <w:r w:rsidR="00106DAA">
          <w:rPr>
            <w:noProof/>
            <w:webHidden/>
          </w:rPr>
          <w:instrText xml:space="preserve"> PAGEREF _Toc125644876 \h </w:instrText>
        </w:r>
        <w:r w:rsidR="00106DAA">
          <w:rPr>
            <w:noProof/>
            <w:webHidden/>
          </w:rPr>
        </w:r>
        <w:r w:rsidR="00106DAA">
          <w:rPr>
            <w:noProof/>
            <w:webHidden/>
          </w:rPr>
          <w:fldChar w:fldCharType="separate"/>
        </w:r>
        <w:r w:rsidR="00106DAA">
          <w:rPr>
            <w:noProof/>
            <w:webHidden/>
          </w:rPr>
          <w:t>9</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77" w:history="1">
        <w:r w:rsidR="00106DAA" w:rsidRPr="00A76C63">
          <w:rPr>
            <w:rStyle w:val="Hyperlink"/>
            <w:noProof/>
          </w:rPr>
          <w:t>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Zakon o elektroničkim komunikacijama</w:t>
        </w:r>
        <w:r w:rsidR="00106DAA">
          <w:rPr>
            <w:noProof/>
            <w:webHidden/>
          </w:rPr>
          <w:tab/>
        </w:r>
        <w:r w:rsidR="00106DAA">
          <w:rPr>
            <w:noProof/>
            <w:webHidden/>
          </w:rPr>
          <w:fldChar w:fldCharType="begin"/>
        </w:r>
        <w:r w:rsidR="00106DAA">
          <w:rPr>
            <w:noProof/>
            <w:webHidden/>
          </w:rPr>
          <w:instrText xml:space="preserve"> PAGEREF _Toc125644877 \h </w:instrText>
        </w:r>
        <w:r w:rsidR="00106DAA">
          <w:rPr>
            <w:noProof/>
            <w:webHidden/>
          </w:rPr>
        </w:r>
        <w:r w:rsidR="00106DAA">
          <w:rPr>
            <w:noProof/>
            <w:webHidden/>
          </w:rPr>
          <w:fldChar w:fldCharType="separate"/>
        </w:r>
        <w:r w:rsidR="00106DAA">
          <w:rPr>
            <w:noProof/>
            <w:webHidden/>
          </w:rPr>
          <w:t>9</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878" w:history="1">
        <w:r w:rsidR="00106DAA" w:rsidRPr="00A76C63">
          <w:rPr>
            <w:rStyle w:val="Hyperlink"/>
            <w:noProof/>
          </w:rPr>
          <w:t>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Određivanje granica mjerodavnog tržišta</w:t>
        </w:r>
        <w:r w:rsidR="00106DAA">
          <w:rPr>
            <w:noProof/>
            <w:webHidden/>
          </w:rPr>
          <w:tab/>
        </w:r>
        <w:r w:rsidR="00106DAA">
          <w:rPr>
            <w:noProof/>
            <w:webHidden/>
          </w:rPr>
          <w:fldChar w:fldCharType="begin"/>
        </w:r>
        <w:r w:rsidR="00106DAA">
          <w:rPr>
            <w:noProof/>
            <w:webHidden/>
          </w:rPr>
          <w:instrText xml:space="preserve"> PAGEREF _Toc125644878 \h </w:instrText>
        </w:r>
        <w:r w:rsidR="00106DAA">
          <w:rPr>
            <w:noProof/>
            <w:webHidden/>
          </w:rPr>
        </w:r>
        <w:r w:rsidR="00106DAA">
          <w:rPr>
            <w:noProof/>
            <w:webHidden/>
          </w:rPr>
          <w:fldChar w:fldCharType="separate"/>
        </w:r>
        <w:r w:rsidR="00106DAA">
          <w:rPr>
            <w:noProof/>
            <w:webHidden/>
          </w:rPr>
          <w:t>12</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79" w:history="1">
        <w:r w:rsidR="00106DAA" w:rsidRPr="00A76C63">
          <w:rPr>
            <w:rStyle w:val="Hyperlink"/>
            <w:noProof/>
          </w:rPr>
          <w:t>3.1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Stanje na tržištu širokopojasnog pristupa u RH</w:t>
        </w:r>
        <w:r w:rsidR="00106DAA">
          <w:rPr>
            <w:noProof/>
            <w:webHidden/>
          </w:rPr>
          <w:tab/>
        </w:r>
        <w:r w:rsidR="00106DAA">
          <w:rPr>
            <w:noProof/>
            <w:webHidden/>
          </w:rPr>
          <w:fldChar w:fldCharType="begin"/>
        </w:r>
        <w:r w:rsidR="00106DAA">
          <w:rPr>
            <w:noProof/>
            <w:webHidden/>
          </w:rPr>
          <w:instrText xml:space="preserve"> PAGEREF _Toc125644879 \h </w:instrText>
        </w:r>
        <w:r w:rsidR="00106DAA">
          <w:rPr>
            <w:noProof/>
            <w:webHidden/>
          </w:rPr>
        </w:r>
        <w:r w:rsidR="00106DAA">
          <w:rPr>
            <w:noProof/>
            <w:webHidden/>
          </w:rPr>
          <w:fldChar w:fldCharType="separate"/>
        </w:r>
        <w:r w:rsidR="00106DAA">
          <w:rPr>
            <w:noProof/>
            <w:webHidden/>
          </w:rPr>
          <w:t>12</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80" w:history="1">
        <w:r w:rsidR="00106DAA" w:rsidRPr="00A76C63">
          <w:rPr>
            <w:rStyle w:val="Hyperlink"/>
            <w:noProof/>
          </w:rPr>
          <w:t>3.2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malog kapaciteta (maloprodajna razina)</w:t>
        </w:r>
        <w:r w:rsidR="00106DAA">
          <w:rPr>
            <w:noProof/>
            <w:webHidden/>
          </w:rPr>
          <w:tab/>
        </w:r>
        <w:r w:rsidR="00106DAA">
          <w:rPr>
            <w:noProof/>
            <w:webHidden/>
          </w:rPr>
          <w:fldChar w:fldCharType="begin"/>
        </w:r>
        <w:r w:rsidR="00106DAA">
          <w:rPr>
            <w:noProof/>
            <w:webHidden/>
          </w:rPr>
          <w:instrText xml:space="preserve"> PAGEREF _Toc125644880 \h </w:instrText>
        </w:r>
        <w:r w:rsidR="00106DAA">
          <w:rPr>
            <w:noProof/>
            <w:webHidden/>
          </w:rPr>
        </w:r>
        <w:r w:rsidR="00106DAA">
          <w:rPr>
            <w:noProof/>
            <w:webHidden/>
          </w:rPr>
          <w:fldChar w:fldCharType="separate"/>
        </w:r>
        <w:r w:rsidR="00106DAA">
          <w:rPr>
            <w:noProof/>
            <w:webHidden/>
          </w:rPr>
          <w:t>18</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81" w:history="1">
        <w:r w:rsidR="00106DAA" w:rsidRPr="00A76C63">
          <w:rPr>
            <w:rStyle w:val="Hyperlink"/>
            <w:noProof/>
          </w:rPr>
          <w:t>3.3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velikog kapaciteta (maloprodajna razina)</w:t>
        </w:r>
        <w:r w:rsidR="00106DAA">
          <w:rPr>
            <w:noProof/>
            <w:webHidden/>
          </w:rPr>
          <w:tab/>
        </w:r>
        <w:r w:rsidR="00106DAA">
          <w:rPr>
            <w:noProof/>
            <w:webHidden/>
          </w:rPr>
          <w:fldChar w:fldCharType="begin"/>
        </w:r>
        <w:r w:rsidR="00106DAA">
          <w:rPr>
            <w:noProof/>
            <w:webHidden/>
          </w:rPr>
          <w:instrText xml:space="preserve"> PAGEREF _Toc125644881 \h </w:instrText>
        </w:r>
        <w:r w:rsidR="00106DAA">
          <w:rPr>
            <w:noProof/>
            <w:webHidden/>
          </w:rPr>
        </w:r>
        <w:r w:rsidR="00106DAA">
          <w:rPr>
            <w:noProof/>
            <w:webHidden/>
          </w:rPr>
          <w:fldChar w:fldCharType="separate"/>
        </w:r>
        <w:r w:rsidR="00106DAA">
          <w:rPr>
            <w:noProof/>
            <w:webHidden/>
          </w:rPr>
          <w:t>26</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82" w:history="1">
        <w:r w:rsidR="00106DAA" w:rsidRPr="00A76C63">
          <w:rPr>
            <w:rStyle w:val="Hyperlink"/>
            <w:noProof/>
          </w:rPr>
          <w:t>3.4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širokopojasnog pristupa (veleprodajna razina)</w:t>
        </w:r>
        <w:r w:rsidR="00106DAA">
          <w:rPr>
            <w:noProof/>
            <w:webHidden/>
          </w:rPr>
          <w:tab/>
        </w:r>
        <w:r w:rsidR="00106DAA">
          <w:rPr>
            <w:noProof/>
            <w:webHidden/>
          </w:rPr>
          <w:fldChar w:fldCharType="begin"/>
        </w:r>
        <w:r w:rsidR="00106DAA">
          <w:rPr>
            <w:noProof/>
            <w:webHidden/>
          </w:rPr>
          <w:instrText xml:space="preserve"> PAGEREF _Toc125644882 \h </w:instrText>
        </w:r>
        <w:r w:rsidR="00106DAA">
          <w:rPr>
            <w:noProof/>
            <w:webHidden/>
          </w:rPr>
        </w:r>
        <w:r w:rsidR="00106DAA">
          <w:rPr>
            <w:noProof/>
            <w:webHidden/>
          </w:rPr>
          <w:fldChar w:fldCharType="separate"/>
        </w:r>
        <w:r w:rsidR="00106DAA">
          <w:rPr>
            <w:noProof/>
            <w:webHidden/>
          </w:rPr>
          <w:t>31</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883" w:history="1">
        <w:r w:rsidR="00106DAA" w:rsidRPr="00A76C63">
          <w:rPr>
            <w:rStyle w:val="Hyperlink"/>
            <w:noProof/>
          </w:rPr>
          <w:t>3.4.1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malog kapaciteta (veleprodajna razina)</w:t>
        </w:r>
        <w:r w:rsidR="00106DAA">
          <w:rPr>
            <w:noProof/>
            <w:webHidden/>
          </w:rPr>
          <w:tab/>
        </w:r>
        <w:r w:rsidR="00106DAA">
          <w:rPr>
            <w:noProof/>
            <w:webHidden/>
          </w:rPr>
          <w:fldChar w:fldCharType="begin"/>
        </w:r>
        <w:r w:rsidR="00106DAA">
          <w:rPr>
            <w:noProof/>
            <w:webHidden/>
          </w:rPr>
          <w:instrText xml:space="preserve"> PAGEREF _Toc125644883 \h </w:instrText>
        </w:r>
        <w:r w:rsidR="00106DAA">
          <w:rPr>
            <w:noProof/>
            <w:webHidden/>
          </w:rPr>
        </w:r>
        <w:r w:rsidR="00106DAA">
          <w:rPr>
            <w:noProof/>
            <w:webHidden/>
          </w:rPr>
          <w:fldChar w:fldCharType="separate"/>
        </w:r>
        <w:r w:rsidR="00106DAA">
          <w:rPr>
            <w:noProof/>
            <w:webHidden/>
          </w:rPr>
          <w:t>32</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884" w:history="1">
        <w:r w:rsidR="00106DAA" w:rsidRPr="00A76C63">
          <w:rPr>
            <w:rStyle w:val="Hyperlink"/>
            <w:noProof/>
          </w:rPr>
          <w:t>3.4.1.1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Karakteristike tržišta malog kapaciteta u RH</w:t>
        </w:r>
        <w:r w:rsidR="00106DAA">
          <w:rPr>
            <w:noProof/>
            <w:webHidden/>
          </w:rPr>
          <w:tab/>
        </w:r>
        <w:r w:rsidR="00106DAA">
          <w:rPr>
            <w:noProof/>
            <w:webHidden/>
          </w:rPr>
          <w:fldChar w:fldCharType="begin"/>
        </w:r>
        <w:r w:rsidR="00106DAA">
          <w:rPr>
            <w:noProof/>
            <w:webHidden/>
          </w:rPr>
          <w:instrText xml:space="preserve"> PAGEREF _Toc125644884 \h </w:instrText>
        </w:r>
        <w:r w:rsidR="00106DAA">
          <w:rPr>
            <w:noProof/>
            <w:webHidden/>
          </w:rPr>
        </w:r>
        <w:r w:rsidR="00106DAA">
          <w:rPr>
            <w:noProof/>
            <w:webHidden/>
          </w:rPr>
          <w:fldChar w:fldCharType="separate"/>
        </w:r>
        <w:r w:rsidR="00106DAA">
          <w:rPr>
            <w:noProof/>
            <w:webHidden/>
          </w:rPr>
          <w:t>32</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885" w:history="1">
        <w:r w:rsidR="00106DAA" w:rsidRPr="00A76C63">
          <w:rPr>
            <w:rStyle w:val="Hyperlink"/>
            <w:noProof/>
          </w:rPr>
          <w:t>3.4.1.2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Određivanje tržišta malog kapaciteta u dimenziji usluga</w:t>
        </w:r>
        <w:r w:rsidR="00106DAA">
          <w:rPr>
            <w:noProof/>
            <w:webHidden/>
          </w:rPr>
          <w:tab/>
        </w:r>
        <w:r w:rsidR="00106DAA">
          <w:rPr>
            <w:noProof/>
            <w:webHidden/>
          </w:rPr>
          <w:fldChar w:fldCharType="begin"/>
        </w:r>
        <w:r w:rsidR="00106DAA">
          <w:rPr>
            <w:noProof/>
            <w:webHidden/>
          </w:rPr>
          <w:instrText xml:space="preserve"> PAGEREF _Toc125644885 \h </w:instrText>
        </w:r>
        <w:r w:rsidR="00106DAA">
          <w:rPr>
            <w:noProof/>
            <w:webHidden/>
          </w:rPr>
        </w:r>
        <w:r w:rsidR="00106DAA">
          <w:rPr>
            <w:noProof/>
            <w:webHidden/>
          </w:rPr>
          <w:fldChar w:fldCharType="separate"/>
        </w:r>
        <w:r w:rsidR="00106DAA">
          <w:rPr>
            <w:noProof/>
            <w:webHidden/>
          </w:rPr>
          <w:t>33</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886" w:history="1">
        <w:r w:rsidR="00106DAA" w:rsidRPr="00A76C63">
          <w:rPr>
            <w:rStyle w:val="Hyperlink"/>
            <w:noProof/>
          </w:rPr>
          <w:t>3.4.2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velikog kapaciteta (veleprodajna razina)</w:t>
        </w:r>
        <w:r w:rsidR="00106DAA">
          <w:rPr>
            <w:noProof/>
            <w:webHidden/>
          </w:rPr>
          <w:tab/>
        </w:r>
        <w:r w:rsidR="00106DAA">
          <w:rPr>
            <w:noProof/>
            <w:webHidden/>
          </w:rPr>
          <w:fldChar w:fldCharType="begin"/>
        </w:r>
        <w:r w:rsidR="00106DAA">
          <w:rPr>
            <w:noProof/>
            <w:webHidden/>
          </w:rPr>
          <w:instrText xml:space="preserve"> PAGEREF _Toc125644886 \h </w:instrText>
        </w:r>
        <w:r w:rsidR="00106DAA">
          <w:rPr>
            <w:noProof/>
            <w:webHidden/>
          </w:rPr>
        </w:r>
        <w:r w:rsidR="00106DAA">
          <w:rPr>
            <w:noProof/>
            <w:webHidden/>
          </w:rPr>
          <w:fldChar w:fldCharType="separate"/>
        </w:r>
        <w:r w:rsidR="00106DAA">
          <w:rPr>
            <w:noProof/>
            <w:webHidden/>
          </w:rPr>
          <w:t>41</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887" w:history="1">
        <w:r w:rsidR="00106DAA" w:rsidRPr="00A76C63">
          <w:rPr>
            <w:rStyle w:val="Hyperlink"/>
            <w:noProof/>
          </w:rPr>
          <w:t>3.4.2.1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Karakteristike tržišta velikog kapaciteta u RH</w:t>
        </w:r>
        <w:r w:rsidR="00106DAA">
          <w:rPr>
            <w:noProof/>
            <w:webHidden/>
          </w:rPr>
          <w:tab/>
        </w:r>
        <w:r w:rsidR="00106DAA">
          <w:rPr>
            <w:noProof/>
            <w:webHidden/>
          </w:rPr>
          <w:fldChar w:fldCharType="begin"/>
        </w:r>
        <w:r w:rsidR="00106DAA">
          <w:rPr>
            <w:noProof/>
            <w:webHidden/>
          </w:rPr>
          <w:instrText xml:space="preserve"> PAGEREF _Toc125644887 \h </w:instrText>
        </w:r>
        <w:r w:rsidR="00106DAA">
          <w:rPr>
            <w:noProof/>
            <w:webHidden/>
          </w:rPr>
        </w:r>
        <w:r w:rsidR="00106DAA">
          <w:rPr>
            <w:noProof/>
            <w:webHidden/>
          </w:rPr>
          <w:fldChar w:fldCharType="separate"/>
        </w:r>
        <w:r w:rsidR="00106DAA">
          <w:rPr>
            <w:noProof/>
            <w:webHidden/>
          </w:rPr>
          <w:t>41</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888" w:history="1">
        <w:r w:rsidR="00106DAA" w:rsidRPr="00A76C63">
          <w:rPr>
            <w:rStyle w:val="Hyperlink"/>
            <w:noProof/>
          </w:rPr>
          <w:t>3.4.2.2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Određivanje tržišta velikog kapaciteta u dimenziji usluga</w:t>
        </w:r>
        <w:r w:rsidR="00106DAA">
          <w:rPr>
            <w:noProof/>
            <w:webHidden/>
          </w:rPr>
          <w:tab/>
        </w:r>
        <w:r w:rsidR="00106DAA">
          <w:rPr>
            <w:noProof/>
            <w:webHidden/>
          </w:rPr>
          <w:fldChar w:fldCharType="begin"/>
        </w:r>
        <w:r w:rsidR="00106DAA">
          <w:rPr>
            <w:noProof/>
            <w:webHidden/>
          </w:rPr>
          <w:instrText xml:space="preserve"> PAGEREF _Toc125644888 \h </w:instrText>
        </w:r>
        <w:r w:rsidR="00106DAA">
          <w:rPr>
            <w:noProof/>
            <w:webHidden/>
          </w:rPr>
        </w:r>
        <w:r w:rsidR="00106DAA">
          <w:rPr>
            <w:noProof/>
            <w:webHidden/>
          </w:rPr>
          <w:fldChar w:fldCharType="separate"/>
        </w:r>
        <w:r w:rsidR="00106DAA">
          <w:rPr>
            <w:noProof/>
            <w:webHidden/>
          </w:rPr>
          <w:t>45</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889" w:history="1">
        <w:r w:rsidR="00106DAA" w:rsidRPr="00A76C63">
          <w:rPr>
            <w:rStyle w:val="Hyperlink"/>
            <w:noProof/>
          </w:rPr>
          <w:t>3.4.3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Određivanje mjerodavnog tržišta u zemljopisnoj dimenziji</w:t>
        </w:r>
        <w:r w:rsidR="00106DAA">
          <w:rPr>
            <w:noProof/>
            <w:webHidden/>
          </w:rPr>
          <w:tab/>
        </w:r>
        <w:r w:rsidR="00106DAA">
          <w:rPr>
            <w:noProof/>
            <w:webHidden/>
          </w:rPr>
          <w:fldChar w:fldCharType="begin"/>
        </w:r>
        <w:r w:rsidR="00106DAA">
          <w:rPr>
            <w:noProof/>
            <w:webHidden/>
          </w:rPr>
          <w:instrText xml:space="preserve"> PAGEREF _Toc125644889 \h </w:instrText>
        </w:r>
        <w:r w:rsidR="00106DAA">
          <w:rPr>
            <w:noProof/>
            <w:webHidden/>
          </w:rPr>
        </w:r>
        <w:r w:rsidR="00106DAA">
          <w:rPr>
            <w:noProof/>
            <w:webHidden/>
          </w:rPr>
          <w:fldChar w:fldCharType="separate"/>
        </w:r>
        <w:r w:rsidR="00106DAA">
          <w:rPr>
            <w:noProof/>
            <w:webHidden/>
          </w:rPr>
          <w:t>54</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890" w:history="1">
        <w:r w:rsidR="00106DAA" w:rsidRPr="00A76C63">
          <w:rPr>
            <w:rStyle w:val="Hyperlink"/>
            <w:noProof/>
          </w:rPr>
          <w:t>3.4.3.1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usluga širokopojasnog pristupa malog kapaciteta</w:t>
        </w:r>
        <w:r w:rsidR="00106DAA">
          <w:rPr>
            <w:noProof/>
            <w:webHidden/>
          </w:rPr>
          <w:tab/>
        </w:r>
        <w:r w:rsidR="00106DAA">
          <w:rPr>
            <w:noProof/>
            <w:webHidden/>
          </w:rPr>
          <w:fldChar w:fldCharType="begin"/>
        </w:r>
        <w:r w:rsidR="00106DAA">
          <w:rPr>
            <w:noProof/>
            <w:webHidden/>
          </w:rPr>
          <w:instrText xml:space="preserve"> PAGEREF _Toc125644890 \h </w:instrText>
        </w:r>
        <w:r w:rsidR="00106DAA">
          <w:rPr>
            <w:noProof/>
            <w:webHidden/>
          </w:rPr>
        </w:r>
        <w:r w:rsidR="00106DAA">
          <w:rPr>
            <w:noProof/>
            <w:webHidden/>
          </w:rPr>
          <w:fldChar w:fldCharType="separate"/>
        </w:r>
        <w:r w:rsidR="00106DAA">
          <w:rPr>
            <w:noProof/>
            <w:webHidden/>
          </w:rPr>
          <w:t>55</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891" w:history="1">
        <w:r w:rsidR="00106DAA" w:rsidRPr="00A76C63">
          <w:rPr>
            <w:rStyle w:val="Hyperlink"/>
            <w:noProof/>
          </w:rPr>
          <w:t>3.4.3.2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usluga širokopojasnog pristupa velikog kapaciteta</w:t>
        </w:r>
        <w:r w:rsidR="00106DAA">
          <w:rPr>
            <w:noProof/>
            <w:webHidden/>
          </w:rPr>
          <w:tab/>
        </w:r>
        <w:r w:rsidR="00106DAA">
          <w:rPr>
            <w:noProof/>
            <w:webHidden/>
          </w:rPr>
          <w:fldChar w:fldCharType="begin"/>
        </w:r>
        <w:r w:rsidR="00106DAA">
          <w:rPr>
            <w:noProof/>
            <w:webHidden/>
          </w:rPr>
          <w:instrText xml:space="preserve"> PAGEREF _Toc125644891 \h </w:instrText>
        </w:r>
        <w:r w:rsidR="00106DAA">
          <w:rPr>
            <w:noProof/>
            <w:webHidden/>
          </w:rPr>
        </w:r>
        <w:r w:rsidR="00106DAA">
          <w:rPr>
            <w:noProof/>
            <w:webHidden/>
          </w:rPr>
          <w:fldChar w:fldCharType="separate"/>
        </w:r>
        <w:r w:rsidR="00106DAA">
          <w:rPr>
            <w:noProof/>
            <w:webHidden/>
          </w:rPr>
          <w:t>55</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892" w:history="1">
        <w:r w:rsidR="00106DAA" w:rsidRPr="00A76C63">
          <w:rPr>
            <w:rStyle w:val="Hyperlink"/>
            <w:noProof/>
          </w:rPr>
          <w:t>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Geografska analiza uvjeta tržišne konkurentnosti</w:t>
        </w:r>
        <w:r w:rsidR="00106DAA">
          <w:rPr>
            <w:noProof/>
            <w:webHidden/>
          </w:rPr>
          <w:tab/>
        </w:r>
        <w:r w:rsidR="00106DAA">
          <w:rPr>
            <w:noProof/>
            <w:webHidden/>
          </w:rPr>
          <w:fldChar w:fldCharType="begin"/>
        </w:r>
        <w:r w:rsidR="00106DAA">
          <w:rPr>
            <w:noProof/>
            <w:webHidden/>
          </w:rPr>
          <w:instrText xml:space="preserve"> PAGEREF _Toc125644892 \h </w:instrText>
        </w:r>
        <w:r w:rsidR="00106DAA">
          <w:rPr>
            <w:noProof/>
            <w:webHidden/>
          </w:rPr>
        </w:r>
        <w:r w:rsidR="00106DAA">
          <w:rPr>
            <w:noProof/>
            <w:webHidden/>
          </w:rPr>
          <w:fldChar w:fldCharType="separate"/>
        </w:r>
        <w:r w:rsidR="00106DAA">
          <w:rPr>
            <w:noProof/>
            <w:webHidden/>
          </w:rPr>
          <w:t>58</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93" w:history="1">
        <w:r w:rsidR="00106DAA" w:rsidRPr="00A76C63">
          <w:rPr>
            <w:rStyle w:val="Hyperlink"/>
            <w:noProof/>
          </w:rPr>
          <w:t>4.1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velikog kapaciteta - konkurentna područja</w:t>
        </w:r>
        <w:r w:rsidR="00106DAA">
          <w:rPr>
            <w:noProof/>
            <w:webHidden/>
          </w:rPr>
          <w:tab/>
        </w:r>
        <w:r w:rsidR="00106DAA">
          <w:rPr>
            <w:noProof/>
            <w:webHidden/>
          </w:rPr>
          <w:fldChar w:fldCharType="begin"/>
        </w:r>
        <w:r w:rsidR="00106DAA">
          <w:rPr>
            <w:noProof/>
            <w:webHidden/>
          </w:rPr>
          <w:instrText xml:space="preserve"> PAGEREF _Toc125644893 \h </w:instrText>
        </w:r>
        <w:r w:rsidR="00106DAA">
          <w:rPr>
            <w:noProof/>
            <w:webHidden/>
          </w:rPr>
        </w:r>
        <w:r w:rsidR="00106DAA">
          <w:rPr>
            <w:noProof/>
            <w:webHidden/>
          </w:rPr>
          <w:fldChar w:fldCharType="separate"/>
        </w:r>
        <w:r w:rsidR="00106DAA">
          <w:rPr>
            <w:noProof/>
            <w:webHidden/>
          </w:rPr>
          <w:t>64</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94" w:history="1">
        <w:r w:rsidR="00106DAA" w:rsidRPr="00A76C63">
          <w:rPr>
            <w:rStyle w:val="Hyperlink"/>
            <w:noProof/>
          </w:rPr>
          <w:t>4.2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velikog kapaciteta - nekonkurentna područja</w:t>
        </w:r>
        <w:r w:rsidR="00106DAA">
          <w:rPr>
            <w:noProof/>
            <w:webHidden/>
          </w:rPr>
          <w:tab/>
        </w:r>
        <w:r w:rsidR="00106DAA">
          <w:rPr>
            <w:noProof/>
            <w:webHidden/>
          </w:rPr>
          <w:fldChar w:fldCharType="begin"/>
        </w:r>
        <w:r w:rsidR="00106DAA">
          <w:rPr>
            <w:noProof/>
            <w:webHidden/>
          </w:rPr>
          <w:instrText xml:space="preserve"> PAGEREF _Toc125644894 \h </w:instrText>
        </w:r>
        <w:r w:rsidR="00106DAA">
          <w:rPr>
            <w:noProof/>
            <w:webHidden/>
          </w:rPr>
        </w:r>
        <w:r w:rsidR="00106DAA">
          <w:rPr>
            <w:noProof/>
            <w:webHidden/>
          </w:rPr>
          <w:fldChar w:fldCharType="separate"/>
        </w:r>
        <w:r w:rsidR="00106DAA">
          <w:rPr>
            <w:noProof/>
            <w:webHidden/>
          </w:rPr>
          <w:t>64</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895" w:history="1">
        <w:r w:rsidR="00106DAA" w:rsidRPr="00A76C63">
          <w:rPr>
            <w:rStyle w:val="Hyperlink"/>
            <w:noProof/>
          </w:rPr>
          <w:t>4.2.1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Klaster A</w:t>
        </w:r>
        <w:r w:rsidR="00106DAA">
          <w:rPr>
            <w:noProof/>
            <w:webHidden/>
          </w:rPr>
          <w:tab/>
        </w:r>
        <w:r w:rsidR="00106DAA">
          <w:rPr>
            <w:noProof/>
            <w:webHidden/>
          </w:rPr>
          <w:fldChar w:fldCharType="begin"/>
        </w:r>
        <w:r w:rsidR="00106DAA">
          <w:rPr>
            <w:noProof/>
            <w:webHidden/>
          </w:rPr>
          <w:instrText xml:space="preserve"> PAGEREF _Toc125644895 \h </w:instrText>
        </w:r>
        <w:r w:rsidR="00106DAA">
          <w:rPr>
            <w:noProof/>
            <w:webHidden/>
          </w:rPr>
        </w:r>
        <w:r w:rsidR="00106DAA">
          <w:rPr>
            <w:noProof/>
            <w:webHidden/>
          </w:rPr>
          <w:fldChar w:fldCharType="separate"/>
        </w:r>
        <w:r w:rsidR="00106DAA">
          <w:rPr>
            <w:noProof/>
            <w:webHidden/>
          </w:rPr>
          <w:t>65</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896" w:history="1">
        <w:r w:rsidR="00106DAA" w:rsidRPr="00A76C63">
          <w:rPr>
            <w:rStyle w:val="Hyperlink"/>
            <w:noProof/>
          </w:rPr>
          <w:t>4.2.2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Klaster B</w:t>
        </w:r>
        <w:r w:rsidR="00106DAA">
          <w:rPr>
            <w:noProof/>
            <w:webHidden/>
          </w:rPr>
          <w:tab/>
        </w:r>
        <w:r w:rsidR="00106DAA">
          <w:rPr>
            <w:noProof/>
            <w:webHidden/>
          </w:rPr>
          <w:fldChar w:fldCharType="begin"/>
        </w:r>
        <w:r w:rsidR="00106DAA">
          <w:rPr>
            <w:noProof/>
            <w:webHidden/>
          </w:rPr>
          <w:instrText xml:space="preserve"> PAGEREF _Toc125644896 \h </w:instrText>
        </w:r>
        <w:r w:rsidR="00106DAA">
          <w:rPr>
            <w:noProof/>
            <w:webHidden/>
          </w:rPr>
        </w:r>
        <w:r w:rsidR="00106DAA">
          <w:rPr>
            <w:noProof/>
            <w:webHidden/>
          </w:rPr>
          <w:fldChar w:fldCharType="separate"/>
        </w:r>
        <w:r w:rsidR="00106DAA">
          <w:rPr>
            <w:noProof/>
            <w:webHidden/>
          </w:rPr>
          <w:t>66</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97" w:history="1">
        <w:r w:rsidR="00106DAA" w:rsidRPr="00A76C63">
          <w:rPr>
            <w:rStyle w:val="Hyperlink"/>
            <w:noProof/>
          </w:rPr>
          <w:t>4.3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Ažuriranje popisa geografskih jedinica koje pripadaju Tržištu velikog kapaciteta – konkurentna područja i Tržištu velikog kapaciteta - nekonkurentna područja</w:t>
        </w:r>
        <w:r w:rsidR="00106DAA">
          <w:rPr>
            <w:noProof/>
            <w:webHidden/>
          </w:rPr>
          <w:tab/>
        </w:r>
        <w:r w:rsidR="00106DAA">
          <w:rPr>
            <w:noProof/>
            <w:webHidden/>
          </w:rPr>
          <w:fldChar w:fldCharType="begin"/>
        </w:r>
        <w:r w:rsidR="00106DAA">
          <w:rPr>
            <w:noProof/>
            <w:webHidden/>
          </w:rPr>
          <w:instrText xml:space="preserve"> PAGEREF _Toc125644897 \h </w:instrText>
        </w:r>
        <w:r w:rsidR="00106DAA">
          <w:rPr>
            <w:noProof/>
            <w:webHidden/>
          </w:rPr>
        </w:r>
        <w:r w:rsidR="00106DAA">
          <w:rPr>
            <w:noProof/>
            <w:webHidden/>
          </w:rPr>
          <w:fldChar w:fldCharType="separate"/>
        </w:r>
        <w:r w:rsidR="00106DAA">
          <w:rPr>
            <w:noProof/>
            <w:webHidden/>
          </w:rPr>
          <w:t>67</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898" w:history="1">
        <w:r w:rsidR="00106DAA" w:rsidRPr="00A76C63">
          <w:rPr>
            <w:rStyle w:val="Hyperlink"/>
            <w:noProof/>
          </w:rPr>
          <w:t>5</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Test tri mjerila na tržištu velikog kapaciteta – konkurentna područja</w:t>
        </w:r>
        <w:r w:rsidR="00106DAA">
          <w:rPr>
            <w:noProof/>
            <w:webHidden/>
          </w:rPr>
          <w:tab/>
        </w:r>
        <w:r w:rsidR="00106DAA">
          <w:rPr>
            <w:noProof/>
            <w:webHidden/>
          </w:rPr>
          <w:fldChar w:fldCharType="begin"/>
        </w:r>
        <w:r w:rsidR="00106DAA">
          <w:rPr>
            <w:noProof/>
            <w:webHidden/>
          </w:rPr>
          <w:instrText xml:space="preserve"> PAGEREF _Toc125644898 \h </w:instrText>
        </w:r>
        <w:r w:rsidR="00106DAA">
          <w:rPr>
            <w:noProof/>
            <w:webHidden/>
          </w:rPr>
        </w:r>
        <w:r w:rsidR="00106DAA">
          <w:rPr>
            <w:noProof/>
            <w:webHidden/>
          </w:rPr>
          <w:fldChar w:fldCharType="separate"/>
        </w:r>
        <w:r w:rsidR="00106DAA">
          <w:rPr>
            <w:noProof/>
            <w:webHidden/>
          </w:rPr>
          <w:t>69</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899" w:history="1">
        <w:r w:rsidR="00106DAA" w:rsidRPr="00A76C63">
          <w:rPr>
            <w:rStyle w:val="Hyperlink"/>
            <w:noProof/>
          </w:rPr>
          <w:t>5.1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Uvodni dio Testa tri mjerila</w:t>
        </w:r>
        <w:r w:rsidR="00106DAA">
          <w:rPr>
            <w:noProof/>
            <w:webHidden/>
          </w:rPr>
          <w:tab/>
        </w:r>
        <w:r w:rsidR="00106DAA">
          <w:rPr>
            <w:noProof/>
            <w:webHidden/>
          </w:rPr>
          <w:fldChar w:fldCharType="begin"/>
        </w:r>
        <w:r w:rsidR="00106DAA">
          <w:rPr>
            <w:noProof/>
            <w:webHidden/>
          </w:rPr>
          <w:instrText xml:space="preserve"> PAGEREF _Toc125644899 \h </w:instrText>
        </w:r>
        <w:r w:rsidR="00106DAA">
          <w:rPr>
            <w:noProof/>
            <w:webHidden/>
          </w:rPr>
        </w:r>
        <w:r w:rsidR="00106DAA">
          <w:rPr>
            <w:noProof/>
            <w:webHidden/>
          </w:rPr>
          <w:fldChar w:fldCharType="separate"/>
        </w:r>
        <w:r w:rsidR="00106DAA">
          <w:rPr>
            <w:noProof/>
            <w:webHidden/>
          </w:rPr>
          <w:t>70</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00" w:history="1">
        <w:r w:rsidR="00106DAA" w:rsidRPr="00A76C63">
          <w:rPr>
            <w:rStyle w:val="Hyperlink"/>
            <w:noProof/>
          </w:rPr>
          <w:t>5.2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Opis mjerila sadržanih u Testu</w:t>
        </w:r>
        <w:r w:rsidR="00106DAA">
          <w:rPr>
            <w:noProof/>
            <w:webHidden/>
          </w:rPr>
          <w:tab/>
        </w:r>
        <w:r w:rsidR="00106DAA">
          <w:rPr>
            <w:noProof/>
            <w:webHidden/>
          </w:rPr>
          <w:fldChar w:fldCharType="begin"/>
        </w:r>
        <w:r w:rsidR="00106DAA">
          <w:rPr>
            <w:noProof/>
            <w:webHidden/>
          </w:rPr>
          <w:instrText xml:space="preserve"> PAGEREF _Toc125644900 \h </w:instrText>
        </w:r>
        <w:r w:rsidR="00106DAA">
          <w:rPr>
            <w:noProof/>
            <w:webHidden/>
          </w:rPr>
        </w:r>
        <w:r w:rsidR="00106DAA">
          <w:rPr>
            <w:noProof/>
            <w:webHidden/>
          </w:rPr>
          <w:fldChar w:fldCharType="separate"/>
        </w:r>
        <w:r w:rsidR="00106DAA">
          <w:rPr>
            <w:noProof/>
            <w:webHidden/>
          </w:rPr>
          <w:t>73</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01" w:history="1">
        <w:r w:rsidR="00106DAA" w:rsidRPr="00A76C63">
          <w:rPr>
            <w:rStyle w:val="Hyperlink"/>
            <w:noProof/>
          </w:rPr>
          <w:t>5.2.1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Prvo mjerilo: prisutnost velikih i trajnih prepreka za ulazak na tržište, strukturne, pravne ili regulatorne prirode</w:t>
        </w:r>
        <w:r w:rsidR="00106DAA">
          <w:rPr>
            <w:noProof/>
            <w:webHidden/>
          </w:rPr>
          <w:tab/>
        </w:r>
        <w:r w:rsidR="00106DAA">
          <w:rPr>
            <w:noProof/>
            <w:webHidden/>
          </w:rPr>
          <w:fldChar w:fldCharType="begin"/>
        </w:r>
        <w:r w:rsidR="00106DAA">
          <w:rPr>
            <w:noProof/>
            <w:webHidden/>
          </w:rPr>
          <w:instrText xml:space="preserve"> PAGEREF _Toc125644901 \h </w:instrText>
        </w:r>
        <w:r w:rsidR="00106DAA">
          <w:rPr>
            <w:noProof/>
            <w:webHidden/>
          </w:rPr>
        </w:r>
        <w:r w:rsidR="00106DAA">
          <w:rPr>
            <w:noProof/>
            <w:webHidden/>
          </w:rPr>
          <w:fldChar w:fldCharType="separate"/>
        </w:r>
        <w:r w:rsidR="00106DAA">
          <w:rPr>
            <w:noProof/>
            <w:webHidden/>
          </w:rPr>
          <w:t>73</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02" w:history="1">
        <w:r w:rsidR="00106DAA" w:rsidRPr="00A76C63">
          <w:rPr>
            <w:rStyle w:val="Hyperlink"/>
            <w:noProof/>
          </w:rPr>
          <w:t>5.2.2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r w:rsidR="00106DAA">
          <w:rPr>
            <w:noProof/>
            <w:webHidden/>
          </w:rPr>
          <w:tab/>
        </w:r>
        <w:r w:rsidR="00106DAA">
          <w:rPr>
            <w:noProof/>
            <w:webHidden/>
          </w:rPr>
          <w:fldChar w:fldCharType="begin"/>
        </w:r>
        <w:r w:rsidR="00106DAA">
          <w:rPr>
            <w:noProof/>
            <w:webHidden/>
          </w:rPr>
          <w:instrText xml:space="preserve"> PAGEREF _Toc125644902 \h </w:instrText>
        </w:r>
        <w:r w:rsidR="00106DAA">
          <w:rPr>
            <w:noProof/>
            <w:webHidden/>
          </w:rPr>
        </w:r>
        <w:r w:rsidR="00106DAA">
          <w:rPr>
            <w:noProof/>
            <w:webHidden/>
          </w:rPr>
          <w:fldChar w:fldCharType="separate"/>
        </w:r>
        <w:r w:rsidR="00106DAA">
          <w:rPr>
            <w:noProof/>
            <w:webHidden/>
          </w:rPr>
          <w:t>74</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03" w:history="1">
        <w:r w:rsidR="00106DAA" w:rsidRPr="00A76C63">
          <w:rPr>
            <w:rStyle w:val="Hyperlink"/>
            <w:noProof/>
          </w:rPr>
          <w:t>5.2.3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Treće mjerilo: primjena mjerodavnih propisa o zaštiti tržišnog natjecanja koja sama po sebi ne omogućuje na odgovarajući način uklanjanje utvrđenih nedostataka na tržištu</w:t>
        </w:r>
        <w:r w:rsidR="00106DAA">
          <w:rPr>
            <w:noProof/>
            <w:webHidden/>
          </w:rPr>
          <w:tab/>
        </w:r>
        <w:r w:rsidR="00106DAA">
          <w:rPr>
            <w:noProof/>
            <w:webHidden/>
          </w:rPr>
          <w:fldChar w:fldCharType="begin"/>
        </w:r>
        <w:r w:rsidR="00106DAA">
          <w:rPr>
            <w:noProof/>
            <w:webHidden/>
          </w:rPr>
          <w:instrText xml:space="preserve"> PAGEREF _Toc125644903 \h </w:instrText>
        </w:r>
        <w:r w:rsidR="00106DAA">
          <w:rPr>
            <w:noProof/>
            <w:webHidden/>
          </w:rPr>
        </w:r>
        <w:r w:rsidR="00106DAA">
          <w:rPr>
            <w:noProof/>
            <w:webHidden/>
          </w:rPr>
          <w:fldChar w:fldCharType="separate"/>
        </w:r>
        <w:r w:rsidR="00106DAA">
          <w:rPr>
            <w:noProof/>
            <w:webHidden/>
          </w:rPr>
          <w:t>75</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04" w:history="1">
        <w:r w:rsidR="00106DAA" w:rsidRPr="00A76C63">
          <w:rPr>
            <w:rStyle w:val="Hyperlink"/>
            <w:noProof/>
          </w:rPr>
          <w:t>5.3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Test tri mjerila na tržištu velikog kapaciteta – konkurentna područja</w:t>
        </w:r>
        <w:r w:rsidR="00106DAA">
          <w:rPr>
            <w:noProof/>
            <w:webHidden/>
          </w:rPr>
          <w:tab/>
        </w:r>
        <w:r w:rsidR="00106DAA">
          <w:rPr>
            <w:noProof/>
            <w:webHidden/>
          </w:rPr>
          <w:fldChar w:fldCharType="begin"/>
        </w:r>
        <w:r w:rsidR="00106DAA">
          <w:rPr>
            <w:noProof/>
            <w:webHidden/>
          </w:rPr>
          <w:instrText xml:space="preserve"> PAGEREF _Toc125644904 \h </w:instrText>
        </w:r>
        <w:r w:rsidR="00106DAA">
          <w:rPr>
            <w:noProof/>
            <w:webHidden/>
          </w:rPr>
        </w:r>
        <w:r w:rsidR="00106DAA">
          <w:rPr>
            <w:noProof/>
            <w:webHidden/>
          </w:rPr>
          <w:fldChar w:fldCharType="separate"/>
        </w:r>
        <w:r w:rsidR="00106DAA">
          <w:rPr>
            <w:noProof/>
            <w:webHidden/>
          </w:rPr>
          <w:t>76</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05" w:history="1">
        <w:r w:rsidR="00106DAA" w:rsidRPr="00A76C63">
          <w:rPr>
            <w:rStyle w:val="Hyperlink"/>
            <w:noProof/>
          </w:rPr>
          <w:t>5.3.1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Prvo mjerilo: prisutnost velikih i trajnih prepreka za ulazak na tržište, strukturne, pravne ili regulatorne prirode</w:t>
        </w:r>
        <w:r w:rsidR="00106DAA">
          <w:rPr>
            <w:noProof/>
            <w:webHidden/>
          </w:rPr>
          <w:tab/>
        </w:r>
        <w:r w:rsidR="00106DAA">
          <w:rPr>
            <w:noProof/>
            <w:webHidden/>
          </w:rPr>
          <w:fldChar w:fldCharType="begin"/>
        </w:r>
        <w:r w:rsidR="00106DAA">
          <w:rPr>
            <w:noProof/>
            <w:webHidden/>
          </w:rPr>
          <w:instrText xml:space="preserve"> PAGEREF _Toc125644905 \h </w:instrText>
        </w:r>
        <w:r w:rsidR="00106DAA">
          <w:rPr>
            <w:noProof/>
            <w:webHidden/>
          </w:rPr>
        </w:r>
        <w:r w:rsidR="00106DAA">
          <w:rPr>
            <w:noProof/>
            <w:webHidden/>
          </w:rPr>
          <w:fldChar w:fldCharType="separate"/>
        </w:r>
        <w:r w:rsidR="00106DAA">
          <w:rPr>
            <w:noProof/>
            <w:webHidden/>
          </w:rPr>
          <w:t>76</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906" w:history="1">
        <w:r w:rsidR="00106DAA" w:rsidRPr="00A76C63">
          <w:rPr>
            <w:rStyle w:val="Hyperlink"/>
            <w:noProof/>
          </w:rPr>
          <w:t>5.3.1.1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Zaključak o prvom mjerilu</w:t>
        </w:r>
        <w:r w:rsidR="00106DAA">
          <w:rPr>
            <w:noProof/>
            <w:webHidden/>
          </w:rPr>
          <w:tab/>
        </w:r>
        <w:r w:rsidR="00106DAA">
          <w:rPr>
            <w:noProof/>
            <w:webHidden/>
          </w:rPr>
          <w:fldChar w:fldCharType="begin"/>
        </w:r>
        <w:r w:rsidR="00106DAA">
          <w:rPr>
            <w:noProof/>
            <w:webHidden/>
          </w:rPr>
          <w:instrText xml:space="preserve"> PAGEREF _Toc125644906 \h </w:instrText>
        </w:r>
        <w:r w:rsidR="00106DAA">
          <w:rPr>
            <w:noProof/>
            <w:webHidden/>
          </w:rPr>
        </w:r>
        <w:r w:rsidR="00106DAA">
          <w:rPr>
            <w:noProof/>
            <w:webHidden/>
          </w:rPr>
          <w:fldChar w:fldCharType="separate"/>
        </w:r>
        <w:r w:rsidR="00106DAA">
          <w:rPr>
            <w:noProof/>
            <w:webHidden/>
          </w:rPr>
          <w:t>80</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07" w:history="1">
        <w:r w:rsidR="00106DAA" w:rsidRPr="00A76C63">
          <w:rPr>
            <w:rStyle w:val="Hyperlink"/>
            <w:noProof/>
          </w:rPr>
          <w:t>5.3.2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r w:rsidR="00106DAA">
          <w:rPr>
            <w:noProof/>
            <w:webHidden/>
          </w:rPr>
          <w:tab/>
        </w:r>
        <w:r w:rsidR="00106DAA">
          <w:rPr>
            <w:noProof/>
            <w:webHidden/>
          </w:rPr>
          <w:fldChar w:fldCharType="begin"/>
        </w:r>
        <w:r w:rsidR="00106DAA">
          <w:rPr>
            <w:noProof/>
            <w:webHidden/>
          </w:rPr>
          <w:instrText xml:space="preserve"> PAGEREF _Toc125644907 \h </w:instrText>
        </w:r>
        <w:r w:rsidR="00106DAA">
          <w:rPr>
            <w:noProof/>
            <w:webHidden/>
          </w:rPr>
        </w:r>
        <w:r w:rsidR="00106DAA">
          <w:rPr>
            <w:noProof/>
            <w:webHidden/>
          </w:rPr>
          <w:fldChar w:fldCharType="separate"/>
        </w:r>
        <w:r w:rsidR="00106DAA">
          <w:rPr>
            <w:noProof/>
            <w:webHidden/>
          </w:rPr>
          <w:t>80</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908" w:history="1">
        <w:r w:rsidR="00106DAA" w:rsidRPr="00A76C63">
          <w:rPr>
            <w:rStyle w:val="Hyperlink"/>
            <w:noProof/>
          </w:rPr>
          <w:t>5.3.2.1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Zaključak o drugom mjerilu</w:t>
        </w:r>
        <w:r w:rsidR="00106DAA">
          <w:rPr>
            <w:noProof/>
            <w:webHidden/>
          </w:rPr>
          <w:tab/>
        </w:r>
        <w:r w:rsidR="00106DAA">
          <w:rPr>
            <w:noProof/>
            <w:webHidden/>
          </w:rPr>
          <w:fldChar w:fldCharType="begin"/>
        </w:r>
        <w:r w:rsidR="00106DAA">
          <w:rPr>
            <w:noProof/>
            <w:webHidden/>
          </w:rPr>
          <w:instrText xml:space="preserve"> PAGEREF _Toc125644908 \h </w:instrText>
        </w:r>
        <w:r w:rsidR="00106DAA">
          <w:rPr>
            <w:noProof/>
            <w:webHidden/>
          </w:rPr>
        </w:r>
        <w:r w:rsidR="00106DAA">
          <w:rPr>
            <w:noProof/>
            <w:webHidden/>
          </w:rPr>
          <w:fldChar w:fldCharType="separate"/>
        </w:r>
        <w:r w:rsidR="00106DAA">
          <w:rPr>
            <w:noProof/>
            <w:webHidden/>
          </w:rPr>
          <w:t>82</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09" w:history="1">
        <w:r w:rsidR="00106DAA" w:rsidRPr="00A76C63">
          <w:rPr>
            <w:rStyle w:val="Hyperlink"/>
            <w:noProof/>
          </w:rPr>
          <w:t>5.3.3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Treće mjerilo: primjena mjerodavnih propisa o zaštiti tržišnog natjecanja sama po sebi ne omogućuje na odgovarajući način uklanjanje nedostataka na tržištu</w:t>
        </w:r>
        <w:r w:rsidR="00106DAA">
          <w:rPr>
            <w:noProof/>
            <w:webHidden/>
          </w:rPr>
          <w:tab/>
        </w:r>
        <w:r w:rsidR="00106DAA">
          <w:rPr>
            <w:noProof/>
            <w:webHidden/>
          </w:rPr>
          <w:fldChar w:fldCharType="begin"/>
        </w:r>
        <w:r w:rsidR="00106DAA">
          <w:rPr>
            <w:noProof/>
            <w:webHidden/>
          </w:rPr>
          <w:instrText xml:space="preserve"> PAGEREF _Toc125644909 \h </w:instrText>
        </w:r>
        <w:r w:rsidR="00106DAA">
          <w:rPr>
            <w:noProof/>
            <w:webHidden/>
          </w:rPr>
        </w:r>
        <w:r w:rsidR="00106DAA">
          <w:rPr>
            <w:noProof/>
            <w:webHidden/>
          </w:rPr>
          <w:fldChar w:fldCharType="separate"/>
        </w:r>
        <w:r w:rsidR="00106DAA">
          <w:rPr>
            <w:noProof/>
            <w:webHidden/>
          </w:rPr>
          <w:t>82</w:t>
        </w:r>
        <w:r w:rsidR="00106DAA">
          <w:rPr>
            <w:noProof/>
            <w:webHidden/>
          </w:rPr>
          <w:fldChar w:fldCharType="end"/>
        </w:r>
      </w:hyperlink>
    </w:p>
    <w:p w:rsidR="00106DAA" w:rsidRDefault="00C60C6F">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644910" w:history="1">
        <w:r w:rsidR="00106DAA" w:rsidRPr="00A76C63">
          <w:rPr>
            <w:rStyle w:val="Hyperlink"/>
            <w:noProof/>
          </w:rPr>
          <w:t>5.3.3.1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Zaključak o trećem mjerilu</w:t>
        </w:r>
        <w:r w:rsidR="00106DAA">
          <w:rPr>
            <w:noProof/>
            <w:webHidden/>
          </w:rPr>
          <w:tab/>
        </w:r>
        <w:r w:rsidR="00106DAA">
          <w:rPr>
            <w:noProof/>
            <w:webHidden/>
          </w:rPr>
          <w:fldChar w:fldCharType="begin"/>
        </w:r>
        <w:r w:rsidR="00106DAA">
          <w:rPr>
            <w:noProof/>
            <w:webHidden/>
          </w:rPr>
          <w:instrText xml:space="preserve"> PAGEREF _Toc125644910 \h </w:instrText>
        </w:r>
        <w:r w:rsidR="00106DAA">
          <w:rPr>
            <w:noProof/>
            <w:webHidden/>
          </w:rPr>
        </w:r>
        <w:r w:rsidR="00106DAA">
          <w:rPr>
            <w:noProof/>
            <w:webHidden/>
          </w:rPr>
          <w:fldChar w:fldCharType="separate"/>
        </w:r>
        <w:r w:rsidR="00106DAA">
          <w:rPr>
            <w:noProof/>
            <w:webHidden/>
          </w:rPr>
          <w:t>83</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11" w:history="1">
        <w:r w:rsidR="00106DAA" w:rsidRPr="00A76C63">
          <w:rPr>
            <w:rStyle w:val="Hyperlink"/>
            <w:noProof/>
          </w:rPr>
          <w:t>5.3.4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Stajalište nadležnog regulatornog tijela o utvrđivanju je li mjerodavno tržište veleprodajnog lokalnog pristupa velikog kapaciteta na konkurentnim VHCN područjima podložno prethodnoj regulaciji</w:t>
        </w:r>
        <w:r w:rsidR="00106DAA">
          <w:rPr>
            <w:noProof/>
            <w:webHidden/>
          </w:rPr>
          <w:tab/>
        </w:r>
        <w:r w:rsidR="00106DAA">
          <w:rPr>
            <w:noProof/>
            <w:webHidden/>
          </w:rPr>
          <w:fldChar w:fldCharType="begin"/>
        </w:r>
        <w:r w:rsidR="00106DAA">
          <w:rPr>
            <w:noProof/>
            <w:webHidden/>
          </w:rPr>
          <w:instrText xml:space="preserve"> PAGEREF _Toc125644911 \h </w:instrText>
        </w:r>
        <w:r w:rsidR="00106DAA">
          <w:rPr>
            <w:noProof/>
            <w:webHidden/>
          </w:rPr>
        </w:r>
        <w:r w:rsidR="00106DAA">
          <w:rPr>
            <w:noProof/>
            <w:webHidden/>
          </w:rPr>
          <w:fldChar w:fldCharType="separate"/>
        </w:r>
        <w:r w:rsidR="00106DAA">
          <w:rPr>
            <w:noProof/>
            <w:webHidden/>
          </w:rPr>
          <w:t>83</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12" w:history="1">
        <w:r w:rsidR="00106DAA" w:rsidRPr="00A76C63">
          <w:rPr>
            <w:rStyle w:val="Hyperlink"/>
            <w:noProof/>
          </w:rPr>
          <w:t>6</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Procjena postojanja operatora sa značajnom  tržišnom snagom</w:t>
        </w:r>
        <w:r w:rsidR="00106DAA">
          <w:rPr>
            <w:noProof/>
            <w:webHidden/>
          </w:rPr>
          <w:tab/>
        </w:r>
        <w:r w:rsidR="00106DAA">
          <w:rPr>
            <w:noProof/>
            <w:webHidden/>
          </w:rPr>
          <w:fldChar w:fldCharType="begin"/>
        </w:r>
        <w:r w:rsidR="00106DAA">
          <w:rPr>
            <w:noProof/>
            <w:webHidden/>
          </w:rPr>
          <w:instrText xml:space="preserve"> PAGEREF _Toc125644912 \h </w:instrText>
        </w:r>
        <w:r w:rsidR="00106DAA">
          <w:rPr>
            <w:noProof/>
            <w:webHidden/>
          </w:rPr>
        </w:r>
        <w:r w:rsidR="00106DAA">
          <w:rPr>
            <w:noProof/>
            <w:webHidden/>
          </w:rPr>
          <w:fldChar w:fldCharType="separate"/>
        </w:r>
        <w:r w:rsidR="00106DAA">
          <w:rPr>
            <w:noProof/>
            <w:webHidden/>
          </w:rPr>
          <w:t>84</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13" w:history="1">
        <w:r w:rsidR="00106DAA" w:rsidRPr="00A76C63">
          <w:rPr>
            <w:rStyle w:val="Hyperlink"/>
            <w:noProof/>
          </w:rPr>
          <w:t>6.1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Cilj i predmet analize tržišta</w:t>
        </w:r>
        <w:r w:rsidR="00106DAA">
          <w:rPr>
            <w:noProof/>
            <w:webHidden/>
          </w:rPr>
          <w:tab/>
        </w:r>
        <w:r w:rsidR="00106DAA">
          <w:rPr>
            <w:noProof/>
            <w:webHidden/>
          </w:rPr>
          <w:fldChar w:fldCharType="begin"/>
        </w:r>
        <w:r w:rsidR="00106DAA">
          <w:rPr>
            <w:noProof/>
            <w:webHidden/>
          </w:rPr>
          <w:instrText xml:space="preserve"> PAGEREF _Toc125644913 \h </w:instrText>
        </w:r>
        <w:r w:rsidR="00106DAA">
          <w:rPr>
            <w:noProof/>
            <w:webHidden/>
          </w:rPr>
        </w:r>
        <w:r w:rsidR="00106DAA">
          <w:rPr>
            <w:noProof/>
            <w:webHidden/>
          </w:rPr>
          <w:fldChar w:fldCharType="separate"/>
        </w:r>
        <w:r w:rsidR="00106DAA">
          <w:rPr>
            <w:noProof/>
            <w:webHidden/>
          </w:rPr>
          <w:t>84</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14" w:history="1">
        <w:r w:rsidR="00106DAA" w:rsidRPr="00A76C63">
          <w:rPr>
            <w:rStyle w:val="Hyperlink"/>
            <w:noProof/>
          </w:rPr>
          <w:t>6.2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malog kapaciteta</w:t>
        </w:r>
        <w:r w:rsidR="00106DAA">
          <w:rPr>
            <w:noProof/>
            <w:webHidden/>
          </w:rPr>
          <w:tab/>
        </w:r>
        <w:r w:rsidR="00106DAA">
          <w:rPr>
            <w:noProof/>
            <w:webHidden/>
          </w:rPr>
          <w:fldChar w:fldCharType="begin"/>
        </w:r>
        <w:r w:rsidR="00106DAA">
          <w:rPr>
            <w:noProof/>
            <w:webHidden/>
          </w:rPr>
          <w:instrText xml:space="preserve"> PAGEREF _Toc125644914 \h </w:instrText>
        </w:r>
        <w:r w:rsidR="00106DAA">
          <w:rPr>
            <w:noProof/>
            <w:webHidden/>
          </w:rPr>
        </w:r>
        <w:r w:rsidR="00106DAA">
          <w:rPr>
            <w:noProof/>
            <w:webHidden/>
          </w:rPr>
          <w:fldChar w:fldCharType="separate"/>
        </w:r>
        <w:r w:rsidR="00106DAA">
          <w:rPr>
            <w:noProof/>
            <w:webHidden/>
          </w:rPr>
          <w:t>86</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15" w:history="1">
        <w:r w:rsidR="00106DAA" w:rsidRPr="00A76C63">
          <w:rPr>
            <w:rStyle w:val="Hyperlink"/>
            <w:noProof/>
          </w:rPr>
          <w:t>6.2.1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Tržišni udjel operatora na mjerodavnom tržištu</w:t>
        </w:r>
        <w:r w:rsidR="00106DAA">
          <w:rPr>
            <w:noProof/>
            <w:webHidden/>
          </w:rPr>
          <w:tab/>
        </w:r>
        <w:r w:rsidR="00106DAA">
          <w:rPr>
            <w:noProof/>
            <w:webHidden/>
          </w:rPr>
          <w:fldChar w:fldCharType="begin"/>
        </w:r>
        <w:r w:rsidR="00106DAA">
          <w:rPr>
            <w:noProof/>
            <w:webHidden/>
          </w:rPr>
          <w:instrText xml:space="preserve"> PAGEREF _Toc125644915 \h </w:instrText>
        </w:r>
        <w:r w:rsidR="00106DAA">
          <w:rPr>
            <w:noProof/>
            <w:webHidden/>
          </w:rPr>
        </w:r>
        <w:r w:rsidR="00106DAA">
          <w:rPr>
            <w:noProof/>
            <w:webHidden/>
          </w:rPr>
          <w:fldChar w:fldCharType="separate"/>
        </w:r>
        <w:r w:rsidR="00106DAA">
          <w:rPr>
            <w:noProof/>
            <w:webHidden/>
          </w:rPr>
          <w:t>86</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16" w:history="1">
        <w:r w:rsidR="00106DAA" w:rsidRPr="00A76C63">
          <w:rPr>
            <w:rStyle w:val="Hyperlink"/>
            <w:noProof/>
          </w:rPr>
          <w:t>6.2.2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Nadzor infrastrukture kod koje postoje velike zapreke razvoju infrastrukturne  konkurencije</w:t>
        </w:r>
        <w:r w:rsidR="00106DAA">
          <w:rPr>
            <w:noProof/>
            <w:webHidden/>
          </w:rPr>
          <w:tab/>
        </w:r>
        <w:r w:rsidR="00106DAA">
          <w:rPr>
            <w:noProof/>
            <w:webHidden/>
          </w:rPr>
          <w:fldChar w:fldCharType="begin"/>
        </w:r>
        <w:r w:rsidR="00106DAA">
          <w:rPr>
            <w:noProof/>
            <w:webHidden/>
          </w:rPr>
          <w:instrText xml:space="preserve"> PAGEREF _Toc125644916 \h </w:instrText>
        </w:r>
        <w:r w:rsidR="00106DAA">
          <w:rPr>
            <w:noProof/>
            <w:webHidden/>
          </w:rPr>
        </w:r>
        <w:r w:rsidR="00106DAA">
          <w:rPr>
            <w:noProof/>
            <w:webHidden/>
          </w:rPr>
          <w:fldChar w:fldCharType="separate"/>
        </w:r>
        <w:r w:rsidR="00106DAA">
          <w:rPr>
            <w:noProof/>
            <w:webHidden/>
          </w:rPr>
          <w:t>86</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17" w:history="1">
        <w:r w:rsidR="00106DAA" w:rsidRPr="00A76C63">
          <w:rPr>
            <w:rStyle w:val="Hyperlink"/>
            <w:noProof/>
          </w:rPr>
          <w:t>6.2.3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Ekonomije razmjera</w:t>
        </w:r>
        <w:r w:rsidR="00106DAA">
          <w:rPr>
            <w:noProof/>
            <w:webHidden/>
          </w:rPr>
          <w:tab/>
        </w:r>
        <w:r w:rsidR="00106DAA">
          <w:rPr>
            <w:noProof/>
            <w:webHidden/>
          </w:rPr>
          <w:fldChar w:fldCharType="begin"/>
        </w:r>
        <w:r w:rsidR="00106DAA">
          <w:rPr>
            <w:noProof/>
            <w:webHidden/>
          </w:rPr>
          <w:instrText xml:space="preserve"> PAGEREF _Toc125644917 \h </w:instrText>
        </w:r>
        <w:r w:rsidR="00106DAA">
          <w:rPr>
            <w:noProof/>
            <w:webHidden/>
          </w:rPr>
        </w:r>
        <w:r w:rsidR="00106DAA">
          <w:rPr>
            <w:noProof/>
            <w:webHidden/>
          </w:rPr>
          <w:fldChar w:fldCharType="separate"/>
        </w:r>
        <w:r w:rsidR="00106DAA">
          <w:rPr>
            <w:noProof/>
            <w:webHidden/>
          </w:rPr>
          <w:t>87</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18" w:history="1">
        <w:r w:rsidR="00106DAA" w:rsidRPr="00A76C63">
          <w:rPr>
            <w:rStyle w:val="Hyperlink"/>
            <w:noProof/>
          </w:rPr>
          <w:t>6.2.4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Ekonomije opsega</w:t>
        </w:r>
        <w:r w:rsidR="00106DAA">
          <w:rPr>
            <w:noProof/>
            <w:webHidden/>
          </w:rPr>
          <w:tab/>
        </w:r>
        <w:r w:rsidR="00106DAA">
          <w:rPr>
            <w:noProof/>
            <w:webHidden/>
          </w:rPr>
          <w:fldChar w:fldCharType="begin"/>
        </w:r>
        <w:r w:rsidR="00106DAA">
          <w:rPr>
            <w:noProof/>
            <w:webHidden/>
          </w:rPr>
          <w:instrText xml:space="preserve"> PAGEREF _Toc125644918 \h </w:instrText>
        </w:r>
        <w:r w:rsidR="00106DAA">
          <w:rPr>
            <w:noProof/>
            <w:webHidden/>
          </w:rPr>
        </w:r>
        <w:r w:rsidR="00106DAA">
          <w:rPr>
            <w:noProof/>
            <w:webHidden/>
          </w:rPr>
          <w:fldChar w:fldCharType="separate"/>
        </w:r>
        <w:r w:rsidR="00106DAA">
          <w:rPr>
            <w:noProof/>
            <w:webHidden/>
          </w:rPr>
          <w:t>88</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19" w:history="1">
        <w:r w:rsidR="00106DAA" w:rsidRPr="00A76C63">
          <w:rPr>
            <w:rStyle w:val="Hyperlink"/>
            <w:noProof/>
          </w:rPr>
          <w:t>6.2.5</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Stupanj vertikalne integracije</w:t>
        </w:r>
        <w:r w:rsidR="00106DAA">
          <w:rPr>
            <w:noProof/>
            <w:webHidden/>
          </w:rPr>
          <w:tab/>
        </w:r>
        <w:r w:rsidR="00106DAA">
          <w:rPr>
            <w:noProof/>
            <w:webHidden/>
          </w:rPr>
          <w:fldChar w:fldCharType="begin"/>
        </w:r>
        <w:r w:rsidR="00106DAA">
          <w:rPr>
            <w:noProof/>
            <w:webHidden/>
          </w:rPr>
          <w:instrText xml:space="preserve"> PAGEREF _Toc125644919 \h </w:instrText>
        </w:r>
        <w:r w:rsidR="00106DAA">
          <w:rPr>
            <w:noProof/>
            <w:webHidden/>
          </w:rPr>
        </w:r>
        <w:r w:rsidR="00106DAA">
          <w:rPr>
            <w:noProof/>
            <w:webHidden/>
          </w:rPr>
          <w:fldChar w:fldCharType="separate"/>
        </w:r>
        <w:r w:rsidR="00106DAA">
          <w:rPr>
            <w:noProof/>
            <w:webHidden/>
          </w:rPr>
          <w:t>88</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0" w:history="1">
        <w:r w:rsidR="00106DAA" w:rsidRPr="00A76C63">
          <w:rPr>
            <w:rStyle w:val="Hyperlink"/>
            <w:noProof/>
          </w:rPr>
          <w:t>6.2.6</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Zaključak o procjeni postojanja operatora sa značajnom tržišnom snagom i ocjena djelotvornosti tržišnog natjecanja na tržištu malog kapaciteta</w:t>
        </w:r>
        <w:r w:rsidR="00106DAA">
          <w:rPr>
            <w:noProof/>
            <w:webHidden/>
          </w:rPr>
          <w:tab/>
        </w:r>
        <w:r w:rsidR="00106DAA">
          <w:rPr>
            <w:noProof/>
            <w:webHidden/>
          </w:rPr>
          <w:fldChar w:fldCharType="begin"/>
        </w:r>
        <w:r w:rsidR="00106DAA">
          <w:rPr>
            <w:noProof/>
            <w:webHidden/>
          </w:rPr>
          <w:instrText xml:space="preserve"> PAGEREF _Toc125644920 \h </w:instrText>
        </w:r>
        <w:r w:rsidR="00106DAA">
          <w:rPr>
            <w:noProof/>
            <w:webHidden/>
          </w:rPr>
        </w:r>
        <w:r w:rsidR="00106DAA">
          <w:rPr>
            <w:noProof/>
            <w:webHidden/>
          </w:rPr>
          <w:fldChar w:fldCharType="separate"/>
        </w:r>
        <w:r w:rsidR="00106DAA">
          <w:rPr>
            <w:noProof/>
            <w:webHidden/>
          </w:rPr>
          <w:t>89</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21" w:history="1">
        <w:r w:rsidR="00106DAA" w:rsidRPr="00A76C63">
          <w:rPr>
            <w:rStyle w:val="Hyperlink"/>
            <w:noProof/>
          </w:rPr>
          <w:t>6.3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Tržište velikog kapaciteta</w:t>
        </w:r>
        <w:r w:rsidR="00106DAA">
          <w:rPr>
            <w:noProof/>
            <w:webHidden/>
          </w:rPr>
          <w:tab/>
        </w:r>
        <w:r w:rsidR="00106DAA">
          <w:rPr>
            <w:noProof/>
            <w:webHidden/>
          </w:rPr>
          <w:fldChar w:fldCharType="begin"/>
        </w:r>
        <w:r w:rsidR="00106DAA">
          <w:rPr>
            <w:noProof/>
            <w:webHidden/>
          </w:rPr>
          <w:instrText xml:space="preserve"> PAGEREF _Toc125644921 \h </w:instrText>
        </w:r>
        <w:r w:rsidR="00106DAA">
          <w:rPr>
            <w:noProof/>
            <w:webHidden/>
          </w:rPr>
        </w:r>
        <w:r w:rsidR="00106DAA">
          <w:rPr>
            <w:noProof/>
            <w:webHidden/>
          </w:rPr>
          <w:fldChar w:fldCharType="separate"/>
        </w:r>
        <w:r w:rsidR="00106DAA">
          <w:rPr>
            <w:noProof/>
            <w:webHidden/>
          </w:rPr>
          <w:t>90</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2" w:history="1">
        <w:r w:rsidR="00106DAA" w:rsidRPr="00A76C63">
          <w:rPr>
            <w:rStyle w:val="Hyperlink"/>
            <w:noProof/>
          </w:rPr>
          <w:t>6.3.1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Uvodni dio</w:t>
        </w:r>
        <w:r w:rsidR="00106DAA">
          <w:rPr>
            <w:noProof/>
            <w:webHidden/>
          </w:rPr>
          <w:tab/>
        </w:r>
        <w:r w:rsidR="00106DAA">
          <w:rPr>
            <w:noProof/>
            <w:webHidden/>
          </w:rPr>
          <w:fldChar w:fldCharType="begin"/>
        </w:r>
        <w:r w:rsidR="00106DAA">
          <w:rPr>
            <w:noProof/>
            <w:webHidden/>
          </w:rPr>
          <w:instrText xml:space="preserve"> PAGEREF _Toc125644922 \h </w:instrText>
        </w:r>
        <w:r w:rsidR="00106DAA">
          <w:rPr>
            <w:noProof/>
            <w:webHidden/>
          </w:rPr>
        </w:r>
        <w:r w:rsidR="00106DAA">
          <w:rPr>
            <w:noProof/>
            <w:webHidden/>
          </w:rPr>
          <w:fldChar w:fldCharType="separate"/>
        </w:r>
        <w:r w:rsidR="00106DAA">
          <w:rPr>
            <w:noProof/>
            <w:webHidden/>
          </w:rPr>
          <w:t>90</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3" w:history="1">
        <w:r w:rsidR="00106DAA" w:rsidRPr="00A76C63">
          <w:rPr>
            <w:rStyle w:val="Hyperlink"/>
            <w:noProof/>
          </w:rPr>
          <w:t>6.3.2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Mjerila za određivanje postojanja operatora sa značajnom tržišnom snagom na nekonkurentnim područjima</w:t>
        </w:r>
        <w:r w:rsidR="00106DAA">
          <w:rPr>
            <w:noProof/>
            <w:webHidden/>
          </w:rPr>
          <w:tab/>
        </w:r>
        <w:r w:rsidR="00106DAA">
          <w:rPr>
            <w:noProof/>
            <w:webHidden/>
          </w:rPr>
          <w:fldChar w:fldCharType="begin"/>
        </w:r>
        <w:r w:rsidR="00106DAA">
          <w:rPr>
            <w:noProof/>
            <w:webHidden/>
          </w:rPr>
          <w:instrText xml:space="preserve"> PAGEREF _Toc125644923 \h </w:instrText>
        </w:r>
        <w:r w:rsidR="00106DAA">
          <w:rPr>
            <w:noProof/>
            <w:webHidden/>
          </w:rPr>
        </w:r>
        <w:r w:rsidR="00106DAA">
          <w:rPr>
            <w:noProof/>
            <w:webHidden/>
          </w:rPr>
          <w:fldChar w:fldCharType="separate"/>
        </w:r>
        <w:r w:rsidR="00106DAA">
          <w:rPr>
            <w:noProof/>
            <w:webHidden/>
          </w:rPr>
          <w:t>91</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4" w:history="1">
        <w:r w:rsidR="00106DAA" w:rsidRPr="00A76C63">
          <w:rPr>
            <w:rStyle w:val="Hyperlink"/>
            <w:noProof/>
          </w:rPr>
          <w:t>6.3.3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Tržišni udjel operatora na mjerodavnom tržištu</w:t>
        </w:r>
        <w:r w:rsidR="00106DAA">
          <w:rPr>
            <w:noProof/>
            <w:webHidden/>
          </w:rPr>
          <w:tab/>
        </w:r>
        <w:r w:rsidR="00106DAA">
          <w:rPr>
            <w:noProof/>
            <w:webHidden/>
          </w:rPr>
          <w:fldChar w:fldCharType="begin"/>
        </w:r>
        <w:r w:rsidR="00106DAA">
          <w:rPr>
            <w:noProof/>
            <w:webHidden/>
          </w:rPr>
          <w:instrText xml:space="preserve"> PAGEREF _Toc125644924 \h </w:instrText>
        </w:r>
        <w:r w:rsidR="00106DAA">
          <w:rPr>
            <w:noProof/>
            <w:webHidden/>
          </w:rPr>
        </w:r>
        <w:r w:rsidR="00106DAA">
          <w:rPr>
            <w:noProof/>
            <w:webHidden/>
          </w:rPr>
          <w:fldChar w:fldCharType="separate"/>
        </w:r>
        <w:r w:rsidR="00106DAA">
          <w:rPr>
            <w:noProof/>
            <w:webHidden/>
          </w:rPr>
          <w:t>92</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5" w:history="1">
        <w:r w:rsidR="00106DAA" w:rsidRPr="00A76C63">
          <w:rPr>
            <w:rStyle w:val="Hyperlink"/>
            <w:noProof/>
          </w:rPr>
          <w:t>6.3.4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Nadzor infrastrukture kod koje postoje velike zapreke razvoju infrastrukturne konkurencije</w:t>
        </w:r>
        <w:r w:rsidR="00106DAA">
          <w:rPr>
            <w:noProof/>
            <w:webHidden/>
          </w:rPr>
          <w:tab/>
        </w:r>
        <w:r w:rsidR="00106DAA">
          <w:rPr>
            <w:noProof/>
            <w:webHidden/>
          </w:rPr>
          <w:fldChar w:fldCharType="begin"/>
        </w:r>
        <w:r w:rsidR="00106DAA">
          <w:rPr>
            <w:noProof/>
            <w:webHidden/>
          </w:rPr>
          <w:instrText xml:space="preserve"> PAGEREF _Toc125644925 \h </w:instrText>
        </w:r>
        <w:r w:rsidR="00106DAA">
          <w:rPr>
            <w:noProof/>
            <w:webHidden/>
          </w:rPr>
        </w:r>
        <w:r w:rsidR="00106DAA">
          <w:rPr>
            <w:noProof/>
            <w:webHidden/>
          </w:rPr>
          <w:fldChar w:fldCharType="separate"/>
        </w:r>
        <w:r w:rsidR="00106DAA">
          <w:rPr>
            <w:noProof/>
            <w:webHidden/>
          </w:rPr>
          <w:t>95</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6" w:history="1">
        <w:r w:rsidR="00106DAA" w:rsidRPr="00A76C63">
          <w:rPr>
            <w:rStyle w:val="Hyperlink"/>
            <w:noProof/>
          </w:rPr>
          <w:t>6.3.5</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Ekonomije razmjera</w:t>
        </w:r>
        <w:r w:rsidR="00106DAA">
          <w:rPr>
            <w:noProof/>
            <w:webHidden/>
          </w:rPr>
          <w:tab/>
        </w:r>
        <w:r w:rsidR="00106DAA">
          <w:rPr>
            <w:noProof/>
            <w:webHidden/>
          </w:rPr>
          <w:fldChar w:fldCharType="begin"/>
        </w:r>
        <w:r w:rsidR="00106DAA">
          <w:rPr>
            <w:noProof/>
            <w:webHidden/>
          </w:rPr>
          <w:instrText xml:space="preserve"> PAGEREF _Toc125644926 \h </w:instrText>
        </w:r>
        <w:r w:rsidR="00106DAA">
          <w:rPr>
            <w:noProof/>
            <w:webHidden/>
          </w:rPr>
        </w:r>
        <w:r w:rsidR="00106DAA">
          <w:rPr>
            <w:noProof/>
            <w:webHidden/>
          </w:rPr>
          <w:fldChar w:fldCharType="separate"/>
        </w:r>
        <w:r w:rsidR="00106DAA">
          <w:rPr>
            <w:noProof/>
            <w:webHidden/>
          </w:rPr>
          <w:t>96</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7" w:history="1">
        <w:r w:rsidR="00106DAA" w:rsidRPr="00A76C63">
          <w:rPr>
            <w:rStyle w:val="Hyperlink"/>
            <w:noProof/>
          </w:rPr>
          <w:t>6.3.6</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Ekonomije opsega</w:t>
        </w:r>
        <w:r w:rsidR="00106DAA">
          <w:rPr>
            <w:noProof/>
            <w:webHidden/>
          </w:rPr>
          <w:tab/>
        </w:r>
        <w:r w:rsidR="00106DAA">
          <w:rPr>
            <w:noProof/>
            <w:webHidden/>
          </w:rPr>
          <w:fldChar w:fldCharType="begin"/>
        </w:r>
        <w:r w:rsidR="00106DAA">
          <w:rPr>
            <w:noProof/>
            <w:webHidden/>
          </w:rPr>
          <w:instrText xml:space="preserve"> PAGEREF _Toc125644927 \h </w:instrText>
        </w:r>
        <w:r w:rsidR="00106DAA">
          <w:rPr>
            <w:noProof/>
            <w:webHidden/>
          </w:rPr>
        </w:r>
        <w:r w:rsidR="00106DAA">
          <w:rPr>
            <w:noProof/>
            <w:webHidden/>
          </w:rPr>
          <w:fldChar w:fldCharType="separate"/>
        </w:r>
        <w:r w:rsidR="00106DAA">
          <w:rPr>
            <w:noProof/>
            <w:webHidden/>
          </w:rPr>
          <w:t>96</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8" w:history="1">
        <w:r w:rsidR="00106DAA" w:rsidRPr="00A76C63">
          <w:rPr>
            <w:rStyle w:val="Hyperlink"/>
            <w:noProof/>
          </w:rPr>
          <w:t>6.3.7</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Stupanj vertikalne integracije</w:t>
        </w:r>
        <w:r w:rsidR="00106DAA">
          <w:rPr>
            <w:noProof/>
            <w:webHidden/>
          </w:rPr>
          <w:tab/>
        </w:r>
        <w:r w:rsidR="00106DAA">
          <w:rPr>
            <w:noProof/>
            <w:webHidden/>
          </w:rPr>
          <w:fldChar w:fldCharType="begin"/>
        </w:r>
        <w:r w:rsidR="00106DAA">
          <w:rPr>
            <w:noProof/>
            <w:webHidden/>
          </w:rPr>
          <w:instrText xml:space="preserve"> PAGEREF _Toc125644928 \h </w:instrText>
        </w:r>
        <w:r w:rsidR="00106DAA">
          <w:rPr>
            <w:noProof/>
            <w:webHidden/>
          </w:rPr>
        </w:r>
        <w:r w:rsidR="00106DAA">
          <w:rPr>
            <w:noProof/>
            <w:webHidden/>
          </w:rPr>
          <w:fldChar w:fldCharType="separate"/>
        </w:r>
        <w:r w:rsidR="00106DAA">
          <w:rPr>
            <w:noProof/>
            <w:webHidden/>
          </w:rPr>
          <w:t>97</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29" w:history="1">
        <w:r w:rsidR="00106DAA" w:rsidRPr="00A76C63">
          <w:rPr>
            <w:rStyle w:val="Hyperlink"/>
            <w:noProof/>
          </w:rPr>
          <w:t>6.3.8</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Zaključak o procjeni postojanja operatora sa značajnom tržišnom snagom i ocjena djelotvornosti tržišnog natjecanja na tržištu velikog kapaciteta za nekonkurentna područja</w:t>
        </w:r>
        <w:r w:rsidR="00106DAA">
          <w:rPr>
            <w:noProof/>
            <w:webHidden/>
          </w:rPr>
          <w:tab/>
        </w:r>
        <w:r w:rsidR="00106DAA">
          <w:rPr>
            <w:noProof/>
            <w:webHidden/>
          </w:rPr>
          <w:fldChar w:fldCharType="begin"/>
        </w:r>
        <w:r w:rsidR="00106DAA">
          <w:rPr>
            <w:noProof/>
            <w:webHidden/>
          </w:rPr>
          <w:instrText xml:space="preserve"> PAGEREF _Toc125644929 \h </w:instrText>
        </w:r>
        <w:r w:rsidR="00106DAA">
          <w:rPr>
            <w:noProof/>
            <w:webHidden/>
          </w:rPr>
        </w:r>
        <w:r w:rsidR="00106DAA">
          <w:rPr>
            <w:noProof/>
            <w:webHidden/>
          </w:rPr>
          <w:fldChar w:fldCharType="separate"/>
        </w:r>
        <w:r w:rsidR="00106DAA">
          <w:rPr>
            <w:noProof/>
            <w:webHidden/>
          </w:rPr>
          <w:t>98</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30" w:history="1">
        <w:r w:rsidR="00106DAA" w:rsidRPr="00A76C63">
          <w:rPr>
            <w:rStyle w:val="Hyperlink"/>
            <w:noProof/>
          </w:rPr>
          <w:t>7</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Prepreke razvoju tržišnog natjecanja na tržištima veleprodajnog lokalnog pristupa koji se pruža na fiksnoj lokaciji</w:t>
        </w:r>
        <w:r w:rsidR="00106DAA">
          <w:rPr>
            <w:noProof/>
            <w:webHidden/>
          </w:rPr>
          <w:tab/>
        </w:r>
        <w:r w:rsidR="00106DAA">
          <w:rPr>
            <w:noProof/>
            <w:webHidden/>
          </w:rPr>
          <w:fldChar w:fldCharType="begin"/>
        </w:r>
        <w:r w:rsidR="00106DAA">
          <w:rPr>
            <w:noProof/>
            <w:webHidden/>
          </w:rPr>
          <w:instrText xml:space="preserve"> PAGEREF _Toc125644930 \h </w:instrText>
        </w:r>
        <w:r w:rsidR="00106DAA">
          <w:rPr>
            <w:noProof/>
            <w:webHidden/>
          </w:rPr>
        </w:r>
        <w:r w:rsidR="00106DAA">
          <w:rPr>
            <w:noProof/>
            <w:webHidden/>
          </w:rPr>
          <w:fldChar w:fldCharType="separate"/>
        </w:r>
        <w:r w:rsidR="00106DAA">
          <w:rPr>
            <w:noProof/>
            <w:webHidden/>
          </w:rPr>
          <w:t>99</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31" w:history="1">
        <w:r w:rsidR="00106DAA" w:rsidRPr="00A76C63">
          <w:rPr>
            <w:rStyle w:val="Hyperlink"/>
            <w:noProof/>
          </w:rPr>
          <w:t>7.1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Odbijanje dogovora/uskraćivanje pristupa</w:t>
        </w:r>
        <w:r w:rsidR="00106DAA">
          <w:rPr>
            <w:noProof/>
            <w:webHidden/>
          </w:rPr>
          <w:tab/>
        </w:r>
        <w:r w:rsidR="00106DAA">
          <w:rPr>
            <w:noProof/>
            <w:webHidden/>
          </w:rPr>
          <w:fldChar w:fldCharType="begin"/>
        </w:r>
        <w:r w:rsidR="00106DAA">
          <w:rPr>
            <w:noProof/>
            <w:webHidden/>
          </w:rPr>
          <w:instrText xml:space="preserve"> PAGEREF _Toc125644931 \h </w:instrText>
        </w:r>
        <w:r w:rsidR="00106DAA">
          <w:rPr>
            <w:noProof/>
            <w:webHidden/>
          </w:rPr>
        </w:r>
        <w:r w:rsidR="00106DAA">
          <w:rPr>
            <w:noProof/>
            <w:webHidden/>
          </w:rPr>
          <w:fldChar w:fldCharType="separate"/>
        </w:r>
        <w:r w:rsidR="00106DAA">
          <w:rPr>
            <w:noProof/>
            <w:webHidden/>
          </w:rPr>
          <w:t>99</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32" w:history="1">
        <w:r w:rsidR="00106DAA" w:rsidRPr="00A76C63">
          <w:rPr>
            <w:rStyle w:val="Hyperlink"/>
            <w:noProof/>
          </w:rPr>
          <w:t>7.2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Prenošenje značajne tržišne snage na osnovama koje nisu povezane s cijenama</w:t>
        </w:r>
        <w:r w:rsidR="00106DAA">
          <w:rPr>
            <w:noProof/>
            <w:webHidden/>
          </w:rPr>
          <w:tab/>
        </w:r>
        <w:r w:rsidR="00106DAA">
          <w:rPr>
            <w:noProof/>
            <w:webHidden/>
          </w:rPr>
          <w:fldChar w:fldCharType="begin"/>
        </w:r>
        <w:r w:rsidR="00106DAA">
          <w:rPr>
            <w:noProof/>
            <w:webHidden/>
          </w:rPr>
          <w:instrText xml:space="preserve"> PAGEREF _Toc125644932 \h </w:instrText>
        </w:r>
        <w:r w:rsidR="00106DAA">
          <w:rPr>
            <w:noProof/>
            <w:webHidden/>
          </w:rPr>
        </w:r>
        <w:r w:rsidR="00106DAA">
          <w:rPr>
            <w:noProof/>
            <w:webHidden/>
          </w:rPr>
          <w:fldChar w:fldCharType="separate"/>
        </w:r>
        <w:r w:rsidR="00106DAA">
          <w:rPr>
            <w:noProof/>
            <w:webHidden/>
          </w:rPr>
          <w:t>101</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33" w:history="1">
        <w:r w:rsidR="00106DAA" w:rsidRPr="00A76C63">
          <w:rPr>
            <w:rStyle w:val="Hyperlink"/>
            <w:noProof/>
          </w:rPr>
          <w:t>7.2.1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Diskriminirajuće korištenje informacija ili uskraćivanje informacija</w:t>
        </w:r>
        <w:r w:rsidR="00106DAA">
          <w:rPr>
            <w:noProof/>
            <w:webHidden/>
          </w:rPr>
          <w:tab/>
        </w:r>
        <w:r w:rsidR="00106DAA">
          <w:rPr>
            <w:noProof/>
            <w:webHidden/>
          </w:rPr>
          <w:fldChar w:fldCharType="begin"/>
        </w:r>
        <w:r w:rsidR="00106DAA">
          <w:rPr>
            <w:noProof/>
            <w:webHidden/>
          </w:rPr>
          <w:instrText xml:space="preserve"> PAGEREF _Toc125644933 \h </w:instrText>
        </w:r>
        <w:r w:rsidR="00106DAA">
          <w:rPr>
            <w:noProof/>
            <w:webHidden/>
          </w:rPr>
        </w:r>
        <w:r w:rsidR="00106DAA">
          <w:rPr>
            <w:noProof/>
            <w:webHidden/>
          </w:rPr>
          <w:fldChar w:fldCharType="separate"/>
        </w:r>
        <w:r w:rsidR="00106DAA">
          <w:rPr>
            <w:noProof/>
            <w:webHidden/>
          </w:rPr>
          <w:t>101</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34" w:history="1">
        <w:r w:rsidR="00106DAA" w:rsidRPr="00A76C63">
          <w:rPr>
            <w:rStyle w:val="Hyperlink"/>
            <w:noProof/>
          </w:rPr>
          <w:t>7.2.2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Taktike odgađanja</w:t>
        </w:r>
        <w:r w:rsidR="00106DAA">
          <w:rPr>
            <w:noProof/>
            <w:webHidden/>
          </w:rPr>
          <w:tab/>
        </w:r>
        <w:r w:rsidR="00106DAA">
          <w:rPr>
            <w:noProof/>
            <w:webHidden/>
          </w:rPr>
          <w:fldChar w:fldCharType="begin"/>
        </w:r>
        <w:r w:rsidR="00106DAA">
          <w:rPr>
            <w:noProof/>
            <w:webHidden/>
          </w:rPr>
          <w:instrText xml:space="preserve"> PAGEREF _Toc125644934 \h </w:instrText>
        </w:r>
        <w:r w:rsidR="00106DAA">
          <w:rPr>
            <w:noProof/>
            <w:webHidden/>
          </w:rPr>
        </w:r>
        <w:r w:rsidR="00106DAA">
          <w:rPr>
            <w:noProof/>
            <w:webHidden/>
          </w:rPr>
          <w:fldChar w:fldCharType="separate"/>
        </w:r>
        <w:r w:rsidR="00106DAA">
          <w:rPr>
            <w:noProof/>
            <w:webHidden/>
          </w:rPr>
          <w:t>101</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35" w:history="1">
        <w:r w:rsidR="00106DAA" w:rsidRPr="00A76C63">
          <w:rPr>
            <w:rStyle w:val="Hyperlink"/>
            <w:noProof/>
          </w:rPr>
          <w:t>7.2.3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Neopravdani zahtjevi</w:t>
        </w:r>
        <w:r w:rsidR="00106DAA">
          <w:rPr>
            <w:noProof/>
            <w:webHidden/>
          </w:rPr>
          <w:tab/>
        </w:r>
        <w:r w:rsidR="00106DAA">
          <w:rPr>
            <w:noProof/>
            <w:webHidden/>
          </w:rPr>
          <w:fldChar w:fldCharType="begin"/>
        </w:r>
        <w:r w:rsidR="00106DAA">
          <w:rPr>
            <w:noProof/>
            <w:webHidden/>
          </w:rPr>
          <w:instrText xml:space="preserve"> PAGEREF _Toc125644935 \h </w:instrText>
        </w:r>
        <w:r w:rsidR="00106DAA">
          <w:rPr>
            <w:noProof/>
            <w:webHidden/>
          </w:rPr>
        </w:r>
        <w:r w:rsidR="00106DAA">
          <w:rPr>
            <w:noProof/>
            <w:webHidden/>
          </w:rPr>
          <w:fldChar w:fldCharType="separate"/>
        </w:r>
        <w:r w:rsidR="00106DAA">
          <w:rPr>
            <w:noProof/>
            <w:webHidden/>
          </w:rPr>
          <w:t>102</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36" w:history="1">
        <w:r w:rsidR="00106DAA" w:rsidRPr="00A76C63">
          <w:rPr>
            <w:rStyle w:val="Hyperlink"/>
            <w:noProof/>
          </w:rPr>
          <w:t>7.2.4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Neopravdano korištenje informacija o konkurentima</w:t>
        </w:r>
        <w:r w:rsidR="00106DAA">
          <w:rPr>
            <w:noProof/>
            <w:webHidden/>
          </w:rPr>
          <w:tab/>
        </w:r>
        <w:r w:rsidR="00106DAA">
          <w:rPr>
            <w:noProof/>
            <w:webHidden/>
          </w:rPr>
          <w:fldChar w:fldCharType="begin"/>
        </w:r>
        <w:r w:rsidR="00106DAA">
          <w:rPr>
            <w:noProof/>
            <w:webHidden/>
          </w:rPr>
          <w:instrText xml:space="preserve"> PAGEREF _Toc125644936 \h </w:instrText>
        </w:r>
        <w:r w:rsidR="00106DAA">
          <w:rPr>
            <w:noProof/>
            <w:webHidden/>
          </w:rPr>
        </w:r>
        <w:r w:rsidR="00106DAA">
          <w:rPr>
            <w:noProof/>
            <w:webHidden/>
          </w:rPr>
          <w:fldChar w:fldCharType="separate"/>
        </w:r>
        <w:r w:rsidR="00106DAA">
          <w:rPr>
            <w:noProof/>
            <w:webHidden/>
          </w:rPr>
          <w:t>103</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37" w:history="1">
        <w:r w:rsidR="00106DAA" w:rsidRPr="00A76C63">
          <w:rPr>
            <w:rStyle w:val="Hyperlink"/>
            <w:noProof/>
          </w:rPr>
          <w:t>7.2.5</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Diskriminacija kakvoćom usluge</w:t>
        </w:r>
        <w:r w:rsidR="00106DAA">
          <w:rPr>
            <w:noProof/>
            <w:webHidden/>
          </w:rPr>
          <w:tab/>
        </w:r>
        <w:r w:rsidR="00106DAA">
          <w:rPr>
            <w:noProof/>
            <w:webHidden/>
          </w:rPr>
          <w:fldChar w:fldCharType="begin"/>
        </w:r>
        <w:r w:rsidR="00106DAA">
          <w:rPr>
            <w:noProof/>
            <w:webHidden/>
          </w:rPr>
          <w:instrText xml:space="preserve"> PAGEREF _Toc125644937 \h </w:instrText>
        </w:r>
        <w:r w:rsidR="00106DAA">
          <w:rPr>
            <w:noProof/>
            <w:webHidden/>
          </w:rPr>
        </w:r>
        <w:r w:rsidR="00106DAA">
          <w:rPr>
            <w:noProof/>
            <w:webHidden/>
          </w:rPr>
          <w:fldChar w:fldCharType="separate"/>
        </w:r>
        <w:r w:rsidR="00106DAA">
          <w:rPr>
            <w:noProof/>
            <w:webHidden/>
          </w:rPr>
          <w:t>103</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38" w:history="1">
        <w:r w:rsidR="00106DAA" w:rsidRPr="00A76C63">
          <w:rPr>
            <w:rStyle w:val="Hyperlink"/>
            <w:noProof/>
          </w:rPr>
          <w:t>7.3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Prenošenje značajne tržišne snage na osnovama vezanim uz cijene</w:t>
        </w:r>
        <w:r w:rsidR="00106DAA">
          <w:rPr>
            <w:noProof/>
            <w:webHidden/>
          </w:rPr>
          <w:tab/>
        </w:r>
        <w:r w:rsidR="00106DAA">
          <w:rPr>
            <w:noProof/>
            <w:webHidden/>
          </w:rPr>
          <w:fldChar w:fldCharType="begin"/>
        </w:r>
        <w:r w:rsidR="00106DAA">
          <w:rPr>
            <w:noProof/>
            <w:webHidden/>
          </w:rPr>
          <w:instrText xml:space="preserve"> PAGEREF _Toc125644938 \h </w:instrText>
        </w:r>
        <w:r w:rsidR="00106DAA">
          <w:rPr>
            <w:noProof/>
            <w:webHidden/>
          </w:rPr>
        </w:r>
        <w:r w:rsidR="00106DAA">
          <w:rPr>
            <w:noProof/>
            <w:webHidden/>
          </w:rPr>
          <w:fldChar w:fldCharType="separate"/>
        </w:r>
        <w:r w:rsidR="00106DAA">
          <w:rPr>
            <w:noProof/>
            <w:webHidden/>
          </w:rPr>
          <w:t>104</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39" w:history="1">
        <w:r w:rsidR="00106DAA" w:rsidRPr="00A76C63">
          <w:rPr>
            <w:rStyle w:val="Hyperlink"/>
            <w:noProof/>
          </w:rPr>
          <w:t>7.3.1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Diskriminacija na osnovi cijena</w:t>
        </w:r>
        <w:r w:rsidR="00106DAA">
          <w:rPr>
            <w:noProof/>
            <w:webHidden/>
          </w:rPr>
          <w:tab/>
        </w:r>
        <w:r w:rsidR="00106DAA">
          <w:rPr>
            <w:noProof/>
            <w:webHidden/>
          </w:rPr>
          <w:fldChar w:fldCharType="begin"/>
        </w:r>
        <w:r w:rsidR="00106DAA">
          <w:rPr>
            <w:noProof/>
            <w:webHidden/>
          </w:rPr>
          <w:instrText xml:space="preserve"> PAGEREF _Toc125644939 \h </w:instrText>
        </w:r>
        <w:r w:rsidR="00106DAA">
          <w:rPr>
            <w:noProof/>
            <w:webHidden/>
          </w:rPr>
        </w:r>
        <w:r w:rsidR="00106DAA">
          <w:rPr>
            <w:noProof/>
            <w:webHidden/>
          </w:rPr>
          <w:fldChar w:fldCharType="separate"/>
        </w:r>
        <w:r w:rsidR="00106DAA">
          <w:rPr>
            <w:noProof/>
            <w:webHidden/>
          </w:rPr>
          <w:t>104</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40" w:history="1">
        <w:r w:rsidR="00106DAA" w:rsidRPr="00A76C63">
          <w:rPr>
            <w:rStyle w:val="Hyperlink"/>
            <w:noProof/>
          </w:rPr>
          <w:t>7.3.2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Unakrižno subvencioniranje</w:t>
        </w:r>
        <w:r w:rsidR="00106DAA">
          <w:rPr>
            <w:noProof/>
            <w:webHidden/>
          </w:rPr>
          <w:tab/>
        </w:r>
        <w:r w:rsidR="00106DAA">
          <w:rPr>
            <w:noProof/>
            <w:webHidden/>
          </w:rPr>
          <w:fldChar w:fldCharType="begin"/>
        </w:r>
        <w:r w:rsidR="00106DAA">
          <w:rPr>
            <w:noProof/>
            <w:webHidden/>
          </w:rPr>
          <w:instrText xml:space="preserve"> PAGEREF _Toc125644940 \h </w:instrText>
        </w:r>
        <w:r w:rsidR="00106DAA">
          <w:rPr>
            <w:noProof/>
            <w:webHidden/>
          </w:rPr>
        </w:r>
        <w:r w:rsidR="00106DAA">
          <w:rPr>
            <w:noProof/>
            <w:webHidden/>
          </w:rPr>
          <w:fldChar w:fldCharType="separate"/>
        </w:r>
        <w:r w:rsidR="00106DAA">
          <w:rPr>
            <w:noProof/>
            <w:webHidden/>
          </w:rPr>
          <w:t>105</w:t>
        </w:r>
        <w:r w:rsidR="00106DAA">
          <w:rPr>
            <w:noProof/>
            <w:webHidden/>
          </w:rPr>
          <w:fldChar w:fldCharType="end"/>
        </w:r>
      </w:hyperlink>
    </w:p>
    <w:p w:rsidR="00106DAA" w:rsidRDefault="00C60C6F">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644941" w:history="1">
        <w:r w:rsidR="00106DAA" w:rsidRPr="00A76C63">
          <w:rPr>
            <w:rStyle w:val="Hyperlink"/>
            <w:noProof/>
          </w:rPr>
          <w:t>7.3.3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Predatorske cijene</w:t>
        </w:r>
        <w:r w:rsidR="00106DAA">
          <w:rPr>
            <w:noProof/>
            <w:webHidden/>
          </w:rPr>
          <w:tab/>
        </w:r>
        <w:r w:rsidR="00106DAA">
          <w:rPr>
            <w:noProof/>
            <w:webHidden/>
          </w:rPr>
          <w:fldChar w:fldCharType="begin"/>
        </w:r>
        <w:r w:rsidR="00106DAA">
          <w:rPr>
            <w:noProof/>
            <w:webHidden/>
          </w:rPr>
          <w:instrText xml:space="preserve"> PAGEREF _Toc125644941 \h </w:instrText>
        </w:r>
        <w:r w:rsidR="00106DAA">
          <w:rPr>
            <w:noProof/>
            <w:webHidden/>
          </w:rPr>
        </w:r>
        <w:r w:rsidR="00106DAA">
          <w:rPr>
            <w:noProof/>
            <w:webHidden/>
          </w:rPr>
          <w:fldChar w:fldCharType="separate"/>
        </w:r>
        <w:r w:rsidR="00106DAA">
          <w:rPr>
            <w:noProof/>
            <w:webHidden/>
          </w:rPr>
          <w:t>105</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42" w:history="1">
        <w:r w:rsidR="00106DAA" w:rsidRPr="00A76C63">
          <w:rPr>
            <w:rStyle w:val="Hyperlink"/>
            <w:noProof/>
          </w:rPr>
          <w:t>8</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Regulatorne obveze operatora sa značajnom tržišnom snagom</w:t>
        </w:r>
        <w:r w:rsidR="00106DAA">
          <w:rPr>
            <w:noProof/>
            <w:webHidden/>
          </w:rPr>
          <w:tab/>
        </w:r>
        <w:r w:rsidR="00106DAA">
          <w:rPr>
            <w:noProof/>
            <w:webHidden/>
          </w:rPr>
          <w:fldChar w:fldCharType="begin"/>
        </w:r>
        <w:r w:rsidR="00106DAA">
          <w:rPr>
            <w:noProof/>
            <w:webHidden/>
          </w:rPr>
          <w:instrText xml:space="preserve"> PAGEREF _Toc125644942 \h </w:instrText>
        </w:r>
        <w:r w:rsidR="00106DAA">
          <w:rPr>
            <w:noProof/>
            <w:webHidden/>
          </w:rPr>
        </w:r>
        <w:r w:rsidR="00106DAA">
          <w:rPr>
            <w:noProof/>
            <w:webHidden/>
          </w:rPr>
          <w:fldChar w:fldCharType="separate"/>
        </w:r>
        <w:r w:rsidR="00106DAA">
          <w:rPr>
            <w:noProof/>
            <w:webHidden/>
          </w:rPr>
          <w:t>107</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43" w:history="1">
        <w:r w:rsidR="00106DAA" w:rsidRPr="00A76C63">
          <w:rPr>
            <w:rStyle w:val="Hyperlink"/>
            <w:noProof/>
          </w:rPr>
          <w:t>8.1</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Pristup fizičkoj infrastrukturi</w:t>
        </w:r>
        <w:r w:rsidR="00106DAA">
          <w:rPr>
            <w:noProof/>
            <w:webHidden/>
          </w:rPr>
          <w:tab/>
        </w:r>
        <w:r w:rsidR="00106DAA">
          <w:rPr>
            <w:noProof/>
            <w:webHidden/>
          </w:rPr>
          <w:fldChar w:fldCharType="begin"/>
        </w:r>
        <w:r w:rsidR="00106DAA">
          <w:rPr>
            <w:noProof/>
            <w:webHidden/>
          </w:rPr>
          <w:instrText xml:space="preserve"> PAGEREF _Toc125644943 \h </w:instrText>
        </w:r>
        <w:r w:rsidR="00106DAA">
          <w:rPr>
            <w:noProof/>
            <w:webHidden/>
          </w:rPr>
        </w:r>
        <w:r w:rsidR="00106DAA">
          <w:rPr>
            <w:noProof/>
            <w:webHidden/>
          </w:rPr>
          <w:fldChar w:fldCharType="separate"/>
        </w:r>
        <w:r w:rsidR="00106DAA">
          <w:rPr>
            <w:noProof/>
            <w:webHidden/>
          </w:rPr>
          <w:t>110</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44" w:history="1">
        <w:r w:rsidR="00106DAA" w:rsidRPr="00A76C63">
          <w:rPr>
            <w:rStyle w:val="Hyperlink"/>
            <w:noProof/>
          </w:rPr>
          <w:t>8.2</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Obveza pristupa i korištenje posebnih mrežnih sastavnica i povezane opreme</w:t>
        </w:r>
        <w:r w:rsidR="00106DAA">
          <w:rPr>
            <w:noProof/>
            <w:webHidden/>
          </w:rPr>
          <w:tab/>
        </w:r>
        <w:r w:rsidR="00106DAA">
          <w:rPr>
            <w:noProof/>
            <w:webHidden/>
          </w:rPr>
          <w:fldChar w:fldCharType="begin"/>
        </w:r>
        <w:r w:rsidR="00106DAA">
          <w:rPr>
            <w:noProof/>
            <w:webHidden/>
          </w:rPr>
          <w:instrText xml:space="preserve"> PAGEREF _Toc125644944 \h </w:instrText>
        </w:r>
        <w:r w:rsidR="00106DAA">
          <w:rPr>
            <w:noProof/>
            <w:webHidden/>
          </w:rPr>
        </w:r>
        <w:r w:rsidR="00106DAA">
          <w:rPr>
            <w:noProof/>
            <w:webHidden/>
          </w:rPr>
          <w:fldChar w:fldCharType="separate"/>
        </w:r>
        <w:r w:rsidR="00106DAA">
          <w:rPr>
            <w:noProof/>
            <w:webHidden/>
          </w:rPr>
          <w:t>112</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45" w:history="1">
        <w:r w:rsidR="00106DAA" w:rsidRPr="00A76C63">
          <w:rPr>
            <w:rStyle w:val="Hyperlink"/>
            <w:noProof/>
          </w:rPr>
          <w:t>8.3</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Obveza nediskriminacije</w:t>
        </w:r>
        <w:r w:rsidR="00106DAA">
          <w:rPr>
            <w:noProof/>
            <w:webHidden/>
          </w:rPr>
          <w:tab/>
        </w:r>
        <w:r w:rsidR="00106DAA">
          <w:rPr>
            <w:noProof/>
            <w:webHidden/>
          </w:rPr>
          <w:fldChar w:fldCharType="begin"/>
        </w:r>
        <w:r w:rsidR="00106DAA">
          <w:rPr>
            <w:noProof/>
            <w:webHidden/>
          </w:rPr>
          <w:instrText xml:space="preserve"> PAGEREF _Toc125644945 \h </w:instrText>
        </w:r>
        <w:r w:rsidR="00106DAA">
          <w:rPr>
            <w:noProof/>
            <w:webHidden/>
          </w:rPr>
        </w:r>
        <w:r w:rsidR="00106DAA">
          <w:rPr>
            <w:noProof/>
            <w:webHidden/>
          </w:rPr>
          <w:fldChar w:fldCharType="separate"/>
        </w:r>
        <w:r w:rsidR="00106DAA">
          <w:rPr>
            <w:noProof/>
            <w:webHidden/>
          </w:rPr>
          <w:t>118</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46" w:history="1">
        <w:r w:rsidR="00106DAA" w:rsidRPr="00A76C63">
          <w:rPr>
            <w:rStyle w:val="Hyperlink"/>
            <w:noProof/>
          </w:rPr>
          <w:t>8.4</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Obveza transparentnosti</w:t>
        </w:r>
        <w:r w:rsidR="00106DAA">
          <w:rPr>
            <w:noProof/>
            <w:webHidden/>
          </w:rPr>
          <w:tab/>
        </w:r>
        <w:r w:rsidR="00106DAA">
          <w:rPr>
            <w:noProof/>
            <w:webHidden/>
          </w:rPr>
          <w:fldChar w:fldCharType="begin"/>
        </w:r>
        <w:r w:rsidR="00106DAA">
          <w:rPr>
            <w:noProof/>
            <w:webHidden/>
          </w:rPr>
          <w:instrText xml:space="preserve"> PAGEREF _Toc125644946 \h </w:instrText>
        </w:r>
        <w:r w:rsidR="00106DAA">
          <w:rPr>
            <w:noProof/>
            <w:webHidden/>
          </w:rPr>
        </w:r>
        <w:r w:rsidR="00106DAA">
          <w:rPr>
            <w:noProof/>
            <w:webHidden/>
          </w:rPr>
          <w:fldChar w:fldCharType="separate"/>
        </w:r>
        <w:r w:rsidR="00106DAA">
          <w:rPr>
            <w:noProof/>
            <w:webHidden/>
          </w:rPr>
          <w:t>125</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47" w:history="1">
        <w:r w:rsidR="00106DAA" w:rsidRPr="00A76C63">
          <w:rPr>
            <w:rStyle w:val="Hyperlink"/>
            <w:noProof/>
          </w:rPr>
          <w:t>8.5</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Obveza nadzora cijena i vođenja troškovnog računovodstva</w:t>
        </w:r>
        <w:r w:rsidR="00106DAA">
          <w:rPr>
            <w:noProof/>
            <w:webHidden/>
          </w:rPr>
          <w:tab/>
        </w:r>
        <w:r w:rsidR="00106DAA">
          <w:rPr>
            <w:noProof/>
            <w:webHidden/>
          </w:rPr>
          <w:fldChar w:fldCharType="begin"/>
        </w:r>
        <w:r w:rsidR="00106DAA">
          <w:rPr>
            <w:noProof/>
            <w:webHidden/>
          </w:rPr>
          <w:instrText xml:space="preserve"> PAGEREF _Toc125644947 \h </w:instrText>
        </w:r>
        <w:r w:rsidR="00106DAA">
          <w:rPr>
            <w:noProof/>
            <w:webHidden/>
          </w:rPr>
        </w:r>
        <w:r w:rsidR="00106DAA">
          <w:rPr>
            <w:noProof/>
            <w:webHidden/>
          </w:rPr>
          <w:fldChar w:fldCharType="separate"/>
        </w:r>
        <w:r w:rsidR="00106DAA">
          <w:rPr>
            <w:noProof/>
            <w:webHidden/>
          </w:rPr>
          <w:t>134</w:t>
        </w:r>
        <w:r w:rsidR="00106DAA">
          <w:rPr>
            <w:noProof/>
            <w:webHidden/>
          </w:rPr>
          <w:fldChar w:fldCharType="end"/>
        </w:r>
      </w:hyperlink>
    </w:p>
    <w:p w:rsidR="00106DAA" w:rsidRDefault="00C60C6F">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644948" w:history="1">
        <w:r w:rsidR="00106DAA" w:rsidRPr="00A76C63">
          <w:rPr>
            <w:rStyle w:val="Hyperlink"/>
            <w:noProof/>
          </w:rPr>
          <w:t>8.6</w:t>
        </w:r>
        <w:r w:rsidR="00106DAA">
          <w:rPr>
            <w:rFonts w:asciiTheme="minorHAnsi" w:eastAsiaTheme="minorEastAsia" w:hAnsiTheme="minorHAnsi" w:cstheme="minorBidi"/>
            <w:noProof/>
            <w:color w:val="auto"/>
            <w:sz w:val="22"/>
            <w:szCs w:val="22"/>
            <w:lang w:val="en-US"/>
          </w:rPr>
          <w:tab/>
        </w:r>
        <w:r w:rsidR="00106DAA" w:rsidRPr="00A76C63">
          <w:rPr>
            <w:rStyle w:val="Hyperlink"/>
            <w:noProof/>
          </w:rPr>
          <w:t>Obveza računovodstvenog razdvajanja</w:t>
        </w:r>
        <w:r w:rsidR="00106DAA">
          <w:rPr>
            <w:noProof/>
            <w:webHidden/>
          </w:rPr>
          <w:tab/>
        </w:r>
        <w:r w:rsidR="00106DAA">
          <w:rPr>
            <w:noProof/>
            <w:webHidden/>
          </w:rPr>
          <w:fldChar w:fldCharType="begin"/>
        </w:r>
        <w:r w:rsidR="00106DAA">
          <w:rPr>
            <w:noProof/>
            <w:webHidden/>
          </w:rPr>
          <w:instrText xml:space="preserve"> PAGEREF _Toc125644948 \h </w:instrText>
        </w:r>
        <w:r w:rsidR="00106DAA">
          <w:rPr>
            <w:noProof/>
            <w:webHidden/>
          </w:rPr>
        </w:r>
        <w:r w:rsidR="00106DAA">
          <w:rPr>
            <w:noProof/>
            <w:webHidden/>
          </w:rPr>
          <w:fldChar w:fldCharType="separate"/>
        </w:r>
        <w:r w:rsidR="00106DAA">
          <w:rPr>
            <w:noProof/>
            <w:webHidden/>
          </w:rPr>
          <w:t>138</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49" w:history="1">
        <w:r w:rsidR="00106DAA" w:rsidRPr="00A76C63">
          <w:rPr>
            <w:rStyle w:val="Hyperlink"/>
            <w:noProof/>
          </w:rPr>
          <w:t>Privitak 1 – Popis geografskih jedinica koje pripadaju Tržištu velikog kapaciteta - nekonkurentna područja-Klaster A</w:t>
        </w:r>
        <w:r w:rsidR="00106DAA">
          <w:rPr>
            <w:noProof/>
            <w:webHidden/>
          </w:rPr>
          <w:tab/>
        </w:r>
        <w:r w:rsidR="00106DAA">
          <w:rPr>
            <w:noProof/>
            <w:webHidden/>
          </w:rPr>
          <w:fldChar w:fldCharType="begin"/>
        </w:r>
        <w:r w:rsidR="00106DAA">
          <w:rPr>
            <w:noProof/>
            <w:webHidden/>
          </w:rPr>
          <w:instrText xml:space="preserve"> PAGEREF _Toc125644949 \h </w:instrText>
        </w:r>
        <w:r w:rsidR="00106DAA">
          <w:rPr>
            <w:noProof/>
            <w:webHidden/>
          </w:rPr>
        </w:r>
        <w:r w:rsidR="00106DAA">
          <w:rPr>
            <w:noProof/>
            <w:webHidden/>
          </w:rPr>
          <w:fldChar w:fldCharType="separate"/>
        </w:r>
        <w:r w:rsidR="00106DAA">
          <w:rPr>
            <w:noProof/>
            <w:webHidden/>
          </w:rPr>
          <w:t>140</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50" w:history="1">
        <w:r w:rsidR="00106DAA" w:rsidRPr="00A76C63">
          <w:rPr>
            <w:rStyle w:val="Hyperlink"/>
            <w:noProof/>
          </w:rPr>
          <w:t>Privitak 2 – Popis geografskih jedinica koje pripadaju Tržištu velikog kapaciteta - nekonkurentna područja - Klaster B</w:t>
        </w:r>
        <w:r w:rsidR="00106DAA">
          <w:rPr>
            <w:noProof/>
            <w:webHidden/>
          </w:rPr>
          <w:tab/>
        </w:r>
        <w:r w:rsidR="00106DAA">
          <w:rPr>
            <w:noProof/>
            <w:webHidden/>
          </w:rPr>
          <w:fldChar w:fldCharType="begin"/>
        </w:r>
        <w:r w:rsidR="00106DAA">
          <w:rPr>
            <w:noProof/>
            <w:webHidden/>
          </w:rPr>
          <w:instrText xml:space="preserve"> PAGEREF _Toc125644950 \h </w:instrText>
        </w:r>
        <w:r w:rsidR="00106DAA">
          <w:rPr>
            <w:noProof/>
            <w:webHidden/>
          </w:rPr>
        </w:r>
        <w:r w:rsidR="00106DAA">
          <w:rPr>
            <w:noProof/>
            <w:webHidden/>
          </w:rPr>
          <w:fldChar w:fldCharType="separate"/>
        </w:r>
        <w:r w:rsidR="00106DAA">
          <w:rPr>
            <w:noProof/>
            <w:webHidden/>
          </w:rPr>
          <w:t>158</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51" w:history="1">
        <w:r w:rsidR="00106DAA" w:rsidRPr="00A76C63">
          <w:rPr>
            <w:rStyle w:val="Hyperlink"/>
            <w:noProof/>
          </w:rPr>
          <w:t>Privitak 3 – Popis geografskih jedinica koje pripadaju Tržištu velikog kapaciteta - konkurentna područja</w:t>
        </w:r>
        <w:r w:rsidR="00106DAA">
          <w:rPr>
            <w:noProof/>
            <w:webHidden/>
          </w:rPr>
          <w:tab/>
        </w:r>
        <w:r w:rsidR="00106DAA">
          <w:rPr>
            <w:noProof/>
            <w:webHidden/>
          </w:rPr>
          <w:fldChar w:fldCharType="begin"/>
        </w:r>
        <w:r w:rsidR="00106DAA">
          <w:rPr>
            <w:noProof/>
            <w:webHidden/>
          </w:rPr>
          <w:instrText xml:space="preserve"> PAGEREF _Toc125644951 \h </w:instrText>
        </w:r>
        <w:r w:rsidR="00106DAA">
          <w:rPr>
            <w:noProof/>
            <w:webHidden/>
          </w:rPr>
        </w:r>
        <w:r w:rsidR="00106DAA">
          <w:rPr>
            <w:noProof/>
            <w:webHidden/>
          </w:rPr>
          <w:fldChar w:fldCharType="separate"/>
        </w:r>
        <w:r w:rsidR="00106DAA">
          <w:rPr>
            <w:noProof/>
            <w:webHidden/>
          </w:rPr>
          <w:t>159</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52" w:history="1">
        <w:r w:rsidR="00106DAA" w:rsidRPr="00A76C63">
          <w:rPr>
            <w:rStyle w:val="Hyperlink"/>
            <w:noProof/>
          </w:rPr>
          <w:t>Privitak 4 – Ažuriranje statusa geografskih jedinica</w:t>
        </w:r>
        <w:r w:rsidR="00106DAA">
          <w:rPr>
            <w:noProof/>
            <w:webHidden/>
          </w:rPr>
          <w:tab/>
        </w:r>
        <w:r w:rsidR="00106DAA">
          <w:rPr>
            <w:noProof/>
            <w:webHidden/>
          </w:rPr>
          <w:fldChar w:fldCharType="begin"/>
        </w:r>
        <w:r w:rsidR="00106DAA">
          <w:rPr>
            <w:noProof/>
            <w:webHidden/>
          </w:rPr>
          <w:instrText xml:space="preserve"> PAGEREF _Toc125644952 \h </w:instrText>
        </w:r>
        <w:r w:rsidR="00106DAA">
          <w:rPr>
            <w:noProof/>
            <w:webHidden/>
          </w:rPr>
        </w:r>
        <w:r w:rsidR="00106DAA">
          <w:rPr>
            <w:noProof/>
            <w:webHidden/>
          </w:rPr>
          <w:fldChar w:fldCharType="separate"/>
        </w:r>
        <w:r w:rsidR="00106DAA">
          <w:rPr>
            <w:noProof/>
            <w:webHidden/>
          </w:rPr>
          <w:t>162</w:t>
        </w:r>
        <w:r w:rsidR="00106DAA">
          <w:rPr>
            <w:noProof/>
            <w:webHidden/>
          </w:rPr>
          <w:fldChar w:fldCharType="end"/>
        </w:r>
      </w:hyperlink>
    </w:p>
    <w:p w:rsidR="00106DAA" w:rsidRDefault="00C60C6F">
      <w:pPr>
        <w:pStyle w:val="TOC1"/>
        <w:rPr>
          <w:rFonts w:asciiTheme="minorHAnsi" w:eastAsiaTheme="minorEastAsia" w:hAnsiTheme="minorHAnsi" w:cstheme="minorBidi"/>
          <w:noProof/>
          <w:color w:val="auto"/>
          <w:sz w:val="22"/>
          <w:szCs w:val="22"/>
          <w:lang w:val="en-US"/>
        </w:rPr>
      </w:pPr>
      <w:hyperlink w:anchor="_Toc125644953" w:history="1">
        <w:r w:rsidR="00106DAA" w:rsidRPr="00A76C63">
          <w:rPr>
            <w:rStyle w:val="Hyperlink"/>
            <w:noProof/>
          </w:rPr>
          <w:t>Privitak 5 – usporedni tablični prikaz ključnih dijelova analize tržišta</w:t>
        </w:r>
        <w:r w:rsidR="00106DAA">
          <w:rPr>
            <w:noProof/>
            <w:webHidden/>
          </w:rPr>
          <w:tab/>
        </w:r>
        <w:r w:rsidR="00106DAA">
          <w:rPr>
            <w:noProof/>
            <w:webHidden/>
          </w:rPr>
          <w:fldChar w:fldCharType="begin"/>
        </w:r>
        <w:r w:rsidR="00106DAA">
          <w:rPr>
            <w:noProof/>
            <w:webHidden/>
          </w:rPr>
          <w:instrText xml:space="preserve"> PAGEREF _Toc125644953 \h </w:instrText>
        </w:r>
        <w:r w:rsidR="00106DAA">
          <w:rPr>
            <w:noProof/>
            <w:webHidden/>
          </w:rPr>
        </w:r>
        <w:r w:rsidR="00106DAA">
          <w:rPr>
            <w:noProof/>
            <w:webHidden/>
          </w:rPr>
          <w:fldChar w:fldCharType="separate"/>
        </w:r>
        <w:r w:rsidR="00106DAA">
          <w:rPr>
            <w:noProof/>
            <w:webHidden/>
          </w:rPr>
          <w:t>165</w:t>
        </w:r>
        <w:r w:rsidR="00106DAA">
          <w:rPr>
            <w:noProof/>
            <w:webHidden/>
          </w:rPr>
          <w:fldChar w:fldCharType="end"/>
        </w:r>
      </w:hyperlink>
    </w:p>
    <w:p w:rsidR="00106DAA" w:rsidRDefault="00C60C6F">
      <w:pPr>
        <w:pStyle w:val="TOC1"/>
        <w:rPr>
          <w:rStyle w:val="Hyperlink"/>
          <w:noProof/>
        </w:rPr>
      </w:pPr>
      <w:hyperlink w:anchor="_Toc125644954" w:history="1">
        <w:r w:rsidR="00106DAA" w:rsidRPr="00A76C63">
          <w:rPr>
            <w:rStyle w:val="Hyperlink"/>
            <w:noProof/>
          </w:rPr>
          <w:t>Privitak 6 – pregled konkurentnih i nekonkurentnih područja</w:t>
        </w:r>
        <w:r w:rsidR="00106DAA">
          <w:rPr>
            <w:noProof/>
            <w:webHidden/>
          </w:rPr>
          <w:tab/>
        </w:r>
        <w:r w:rsidR="00106DAA">
          <w:rPr>
            <w:noProof/>
            <w:webHidden/>
          </w:rPr>
          <w:fldChar w:fldCharType="begin"/>
        </w:r>
        <w:r w:rsidR="00106DAA">
          <w:rPr>
            <w:noProof/>
            <w:webHidden/>
          </w:rPr>
          <w:instrText xml:space="preserve"> PAGEREF _Toc125644954 \h </w:instrText>
        </w:r>
        <w:r w:rsidR="00106DAA">
          <w:rPr>
            <w:noProof/>
            <w:webHidden/>
          </w:rPr>
        </w:r>
        <w:r w:rsidR="00106DAA">
          <w:rPr>
            <w:noProof/>
            <w:webHidden/>
          </w:rPr>
          <w:fldChar w:fldCharType="separate"/>
        </w:r>
        <w:r w:rsidR="00106DAA">
          <w:rPr>
            <w:noProof/>
            <w:webHidden/>
          </w:rPr>
          <w:t>168</w:t>
        </w:r>
        <w:r w:rsidR="00106DAA">
          <w:rPr>
            <w:noProof/>
            <w:webHidden/>
          </w:rPr>
          <w:fldChar w:fldCharType="end"/>
        </w:r>
      </w:hyperlink>
    </w:p>
    <w:p w:rsidR="00106DAA" w:rsidRDefault="00106DAA">
      <w:pPr>
        <w:rPr>
          <w:rStyle w:val="Hyperlink"/>
          <w:noProof/>
        </w:rPr>
      </w:pPr>
      <w:r>
        <w:rPr>
          <w:rStyle w:val="Hyperlink"/>
          <w:noProof/>
        </w:rPr>
        <w:br w:type="page"/>
      </w:r>
    </w:p>
    <w:p w:rsidR="00FA7700" w:rsidRPr="007F7FCF" w:rsidRDefault="00B26B4E" w:rsidP="007F7FCF">
      <w:pPr>
        <w:pStyle w:val="Heading1"/>
      </w:pPr>
      <w:r>
        <w:fldChar w:fldCharType="end"/>
      </w:r>
      <w:bookmarkStart w:id="0" w:name="_Toc124462518"/>
      <w:bookmarkStart w:id="1" w:name="_Toc124851945"/>
      <w:bookmarkStart w:id="2" w:name="_Toc124852506"/>
      <w:bookmarkStart w:id="3" w:name="_Toc124859575"/>
      <w:bookmarkStart w:id="4" w:name="_Toc124946920"/>
      <w:bookmarkStart w:id="5" w:name="_Toc124948830"/>
      <w:bookmarkStart w:id="6" w:name="_Toc124951725"/>
      <w:bookmarkStart w:id="7" w:name="_Toc125644875"/>
      <w:r w:rsidR="001454D6" w:rsidRPr="007F7FCF">
        <w:t>Sažeti pregled analize</w:t>
      </w:r>
      <w:bookmarkEnd w:id="0"/>
      <w:bookmarkEnd w:id="1"/>
      <w:bookmarkEnd w:id="2"/>
      <w:bookmarkEnd w:id="3"/>
      <w:bookmarkEnd w:id="4"/>
      <w:bookmarkEnd w:id="5"/>
      <w:bookmarkEnd w:id="6"/>
      <w:bookmarkEnd w:id="7"/>
    </w:p>
    <w:p w:rsidR="00BC2165" w:rsidRPr="00BC2165" w:rsidRDefault="00BC2165" w:rsidP="00BC2165"/>
    <w:p w:rsidR="00BC2165" w:rsidRDefault="00BC2165" w:rsidP="00BC2165">
      <w:pPr>
        <w:jc w:val="both"/>
      </w:pPr>
      <w:r w:rsidRPr="008A4E9A">
        <w:t xml:space="preserve">Hrvatska regulatorna agencija za mrežne djelatnosti (dalje: HAKOM) je nacionalna regulatorna agencija za obavljanje regulatornih i drugih poslova u okviru djelokruga i nadležnosti određenih Zakonom o elektroničkim komunikacijama (NN 76/22, dalje: ZEK). </w:t>
      </w:r>
      <w:r w:rsidRPr="00D148FA">
        <w:t>U okviru svojih nadležnosti, HAKOM je zadužen za područje tržišnog natjecanja u elektroničkim komu</w:t>
      </w:r>
      <w:r>
        <w:t xml:space="preserve">nikacijama te sukladno </w:t>
      </w:r>
      <w:r w:rsidRPr="007C4916">
        <w:t>članku 100. ZEK-a</w:t>
      </w:r>
      <w:r w:rsidRPr="00D148FA">
        <w:t xml:space="preserve"> HAKOM provodi postupak analize tržišta.</w:t>
      </w:r>
    </w:p>
    <w:p w:rsidR="00BC2165" w:rsidRDefault="00BC2165" w:rsidP="00BC2165">
      <w:pPr>
        <w:jc w:val="both"/>
      </w:pPr>
    </w:p>
    <w:p w:rsidR="00BC2165" w:rsidRDefault="00BC2165" w:rsidP="00BC2165">
      <w:pPr>
        <w:jc w:val="both"/>
      </w:pPr>
      <w:r w:rsidRPr="00887D3F">
        <w:t>U provedbi postupka analize tržišta, HAKOM najprije utvrđuje mjerodavna tržišta podložna prethodnoj (</w:t>
      </w:r>
      <w:r w:rsidRPr="00607E41">
        <w:rPr>
          <w:i/>
        </w:rPr>
        <w:t>ex-ante</w:t>
      </w:r>
      <w:r w:rsidRPr="00887D3F">
        <w:t>) regulaciji u skladu s člankom 97. i člankom 100. stavkom 2. ZEK-a. Potom određuje mjerodavna tržišta i procjenjuje postojanje jednog ili više operatora sa značajnom tržišnom snagom na tom tržištu, u svrhu ocjene djelotvornosti tržišnog natjecanja na mjerodavnom tržištu.</w:t>
      </w:r>
      <w:r>
        <w:t xml:space="preserve"> Ako utvrdi postojanje djelotvornog tržišnog natjecanja na mjerodavnom tržištu, HAKOM ne smije odrediti operatoru ni jednu regulatornu obvezu iz članka 101. ZEK-a, a prethodno određene obveze na tom tržištu moraju mu se ukinuti. Suprotno tome, ako se utvrdi nedostatna djelotvornost tržišnog natjecanja na mjerodavnom tržištu, odredit će se operatori koji samostalno ili zajednički imaju značajnu tržišnu snagu na tom tržištu te će se odrediti, zadržati ili izmijeniti određene regulatorne obveze u skladu s člankom 101. ZEK-a. </w:t>
      </w:r>
    </w:p>
    <w:p w:rsidR="00BC2165" w:rsidRDefault="00BC2165" w:rsidP="00BC2165">
      <w:pPr>
        <w:jc w:val="both"/>
      </w:pPr>
    </w:p>
    <w:p w:rsidR="00BC2165" w:rsidRPr="00887D3F" w:rsidRDefault="00BC2165" w:rsidP="00BC2165">
      <w:pPr>
        <w:jc w:val="both"/>
      </w:pPr>
      <w:r w:rsidRPr="00887D3F">
        <w:t xml:space="preserve">HAKOM je </w:t>
      </w:r>
      <w:r>
        <w:t xml:space="preserve">u ovom postupku </w:t>
      </w:r>
      <w:r w:rsidRPr="00887D3F">
        <w:t>osobito vodio računa o primjeni mjerodavne Preporuke Europske Komisije o mjerodavnim tržištima proizvoda i usluga u sektoru elektroničkih komunikacija podložnima prethodnoj (</w:t>
      </w:r>
      <w:r w:rsidRPr="00722582">
        <w:rPr>
          <w:i/>
        </w:rPr>
        <w:t>ex ante</w:t>
      </w:r>
      <w:r w:rsidRPr="00887D3F">
        <w:t>) regulaciji (EU 2020/2245, dalje: Preporuka)</w:t>
      </w:r>
      <w:r>
        <w:rPr>
          <w:rStyle w:val="FootnoteReference"/>
        </w:rPr>
        <w:footnoteReference w:id="2"/>
      </w:r>
      <w:r w:rsidRPr="00887D3F">
        <w:t xml:space="preserve"> i mjerodavnim Smjernicama Europske komisije o analizi tržišta i utvrđivanju značajne tržišne snage na temelju mjerodavnog okvira EU-a za elektroničke komunikacijske mreže i usluge (2018/C 159/01)</w:t>
      </w:r>
      <w:r>
        <w:rPr>
          <w:rStyle w:val="FootnoteReference"/>
        </w:rPr>
        <w:footnoteReference w:id="3"/>
      </w:r>
      <w:r w:rsidRPr="00887D3F">
        <w:t xml:space="preserve">. </w:t>
      </w:r>
    </w:p>
    <w:p w:rsidR="00BC2165" w:rsidRDefault="00BC2165" w:rsidP="00BC2165">
      <w:pPr>
        <w:jc w:val="both"/>
      </w:pPr>
    </w:p>
    <w:p w:rsidR="00BC2165" w:rsidRDefault="00BC2165" w:rsidP="00BC2165">
      <w:pPr>
        <w:jc w:val="both"/>
      </w:pPr>
      <w:r w:rsidRPr="008A4E9A">
        <w:t>S obzirom da se tržište veleprodajnog lokalnog pristupa koji se pruža na fiksnoj lokaciji nalazi na popisu tržišta podložnih prethodnoj regulaciji sukladno Preporuci, smatra se da su mjerila iz stavka 2. članka 100. ZEK-a ispunjena, osim ako HAKOM utvrdi da zbog posebnih okolnosti na tržištu jedno ili više mjerila nije ispunjeno (stavak 3. istog članka).</w:t>
      </w:r>
    </w:p>
    <w:p w:rsidR="00BC2165" w:rsidRDefault="00BC2165" w:rsidP="00BC2165">
      <w:pPr>
        <w:jc w:val="both"/>
      </w:pPr>
    </w:p>
    <w:p w:rsidR="00BC2165" w:rsidRDefault="00BC2165" w:rsidP="00BC2165">
      <w:pPr>
        <w:jc w:val="both"/>
      </w:pPr>
      <w:r w:rsidRPr="00887D3F">
        <w:t xml:space="preserve">U procesu određivanja granica samog tržišta, HAKOM je odredio dimenziju usluga za </w:t>
      </w:r>
      <w:r w:rsidRPr="00487800">
        <w:t>tržište veleprodajnog lokalnog pristupa koji se pruža na fiksnoj lokaciji</w:t>
      </w:r>
      <w:r w:rsidRPr="00887D3F">
        <w:t xml:space="preserve"> – tržište malog kapaciteta (dalje: tržište malog kapaciteta) i dimenziju usluga za </w:t>
      </w:r>
      <w:r w:rsidRPr="00487800">
        <w:t xml:space="preserve">tržište veleprodajnog lokalnog pristupa koji se pruža na fiksnoj lokaciji </w:t>
      </w:r>
      <w:r w:rsidRPr="00887D3F">
        <w:t>– tržište velikog kapaciteta (dalje: tržište velikog kapaciteta).</w:t>
      </w:r>
    </w:p>
    <w:p w:rsidR="00BC2165" w:rsidRDefault="00BC2165" w:rsidP="00BC2165">
      <w:pPr>
        <w:jc w:val="both"/>
      </w:pPr>
    </w:p>
    <w:p w:rsidR="00BC2165" w:rsidRPr="00F00019" w:rsidRDefault="00BC2165" w:rsidP="00BC2165">
      <w:pPr>
        <w:jc w:val="both"/>
      </w:pPr>
      <w:r w:rsidRPr="00F00019">
        <w:t xml:space="preserve">Tržište malog kapaciteta uključuje: </w:t>
      </w:r>
    </w:p>
    <w:p w:rsidR="00AE6AF5" w:rsidRPr="00AE6AF5" w:rsidRDefault="00AE6AF5" w:rsidP="00AE6AF5">
      <w:pPr>
        <w:numPr>
          <w:ilvl w:val="0"/>
          <w:numId w:val="1"/>
        </w:numPr>
        <w:contextualSpacing/>
        <w:jc w:val="both"/>
        <w:rPr>
          <w:rFonts w:eastAsia="Times New Roman"/>
        </w:rPr>
      </w:pPr>
      <w:r w:rsidRPr="00AE6AF5">
        <w:rPr>
          <w:rFonts w:eastAsia="Times New Roman"/>
        </w:rPr>
        <w:t>Uslugu pristupa izdvojenoj lokalnoj petlji na temelju bakrene parice</w:t>
      </w:r>
    </w:p>
    <w:p w:rsidR="00AE6AF5" w:rsidRPr="00AE6AF5" w:rsidRDefault="00AE6AF5" w:rsidP="00AE6AF5">
      <w:pPr>
        <w:numPr>
          <w:ilvl w:val="0"/>
          <w:numId w:val="1"/>
        </w:numPr>
        <w:contextualSpacing/>
        <w:jc w:val="both"/>
        <w:rPr>
          <w:rFonts w:eastAsia="Times New Roman"/>
        </w:rPr>
      </w:pPr>
      <w:r w:rsidRPr="00AE6AF5">
        <w:rPr>
          <w:rFonts w:eastAsia="Times New Roman"/>
        </w:rPr>
        <w:t>Uslugu VULA (usluga bitstream na DSLAM razini)</w:t>
      </w:r>
    </w:p>
    <w:p w:rsidR="00AE6AF5" w:rsidRPr="00AE6AF5" w:rsidRDefault="00AE6AF5" w:rsidP="00AE6AF5">
      <w:pPr>
        <w:numPr>
          <w:ilvl w:val="0"/>
          <w:numId w:val="1"/>
        </w:numPr>
        <w:contextualSpacing/>
        <w:jc w:val="both"/>
        <w:rPr>
          <w:rFonts w:eastAsia="Times New Roman"/>
        </w:rPr>
      </w:pPr>
      <w:r w:rsidRPr="00AE6AF5">
        <w:rPr>
          <w:rFonts w:eastAsia="Times New Roman"/>
        </w:rPr>
        <w:t>Uslugu veleprodajnog lokalnog pristupa temeljem bakrene parice koju HT pruža za vlastite potrebe</w:t>
      </w:r>
    </w:p>
    <w:p w:rsidR="00BC2165" w:rsidRPr="00F00019" w:rsidRDefault="00BC2165" w:rsidP="00BC2165">
      <w:pPr>
        <w:ind w:left="1068"/>
        <w:contextualSpacing/>
        <w:jc w:val="both"/>
        <w:rPr>
          <w:rFonts w:eastAsia="Times New Roman"/>
        </w:rPr>
      </w:pPr>
    </w:p>
    <w:p w:rsidR="00BC2165" w:rsidRPr="00F00019" w:rsidRDefault="00BC2165" w:rsidP="00BC2165">
      <w:pPr>
        <w:jc w:val="both"/>
      </w:pPr>
      <w:r w:rsidRPr="00F00019">
        <w:t xml:space="preserve">Tržište velikog kapaciteta uključuje: </w:t>
      </w:r>
    </w:p>
    <w:p w:rsidR="00BC2165" w:rsidRPr="00F00019" w:rsidRDefault="00BC2165" w:rsidP="00D0352D">
      <w:pPr>
        <w:numPr>
          <w:ilvl w:val="0"/>
          <w:numId w:val="1"/>
        </w:numPr>
        <w:contextualSpacing/>
        <w:jc w:val="both"/>
      </w:pPr>
      <w:r>
        <w:t xml:space="preserve">HT-ovu </w:t>
      </w:r>
      <w:r w:rsidR="00C8122E">
        <w:t>uslugu</w:t>
      </w:r>
      <w:r w:rsidR="00C8122E" w:rsidRPr="005968B1">
        <w:t xml:space="preserve"> </w:t>
      </w:r>
      <w:r w:rsidRPr="005968B1">
        <w:t>pristupa pasivnoj pristupnoj svjetlovodnoj mreži na lokaciji distribucijskog čvora za svjetlovodne distribucijske mreže (FA-PON</w:t>
      </w:r>
      <w:r>
        <w:t>)</w:t>
      </w:r>
      <w:r w:rsidR="005748B5">
        <w:t>,</w:t>
      </w:r>
    </w:p>
    <w:p w:rsidR="00BC2165" w:rsidRPr="00F00019" w:rsidRDefault="00BC2165" w:rsidP="00D0352D">
      <w:pPr>
        <w:numPr>
          <w:ilvl w:val="0"/>
          <w:numId w:val="1"/>
        </w:numPr>
        <w:contextualSpacing/>
        <w:jc w:val="both"/>
      </w:pPr>
      <w:r w:rsidRPr="00F00019">
        <w:t>uslugu širokopojasnog pristupa putem svjetlovodne niti koju HT pruža za vlastite potrebe,</w:t>
      </w:r>
    </w:p>
    <w:p w:rsidR="00BC2165" w:rsidRPr="00584F76" w:rsidRDefault="00BC2165" w:rsidP="00D0352D">
      <w:pPr>
        <w:numPr>
          <w:ilvl w:val="0"/>
          <w:numId w:val="1"/>
        </w:numPr>
        <w:contextualSpacing/>
        <w:jc w:val="both"/>
      </w:pPr>
      <w:r>
        <w:t>uslugu p</w:t>
      </w:r>
      <w:r w:rsidRPr="00584F76">
        <w:rPr>
          <w:iCs/>
        </w:rPr>
        <w:t>ristup</w:t>
      </w:r>
      <w:r>
        <w:rPr>
          <w:iCs/>
        </w:rPr>
        <w:t>a</w:t>
      </w:r>
      <w:r w:rsidRPr="00584F76">
        <w:rPr>
          <w:iCs/>
        </w:rPr>
        <w:t xml:space="preserve"> pasivnoj pristupnoj svjetlovodnoj mreži (PON FTTH) primjenom tehnološkog rješenja virtualnog izdvojenog pristupa lokalnoj petlji (VULA – </w:t>
      </w:r>
      <w:r>
        <w:rPr>
          <w:iCs/>
        </w:rPr>
        <w:t>b</w:t>
      </w:r>
      <w:r w:rsidRPr="00584F76">
        <w:rPr>
          <w:iCs/>
        </w:rPr>
        <w:t xml:space="preserve">itstream na </w:t>
      </w:r>
      <w:r>
        <w:rPr>
          <w:iCs/>
        </w:rPr>
        <w:t>OLT</w:t>
      </w:r>
      <w:r w:rsidRPr="00584F76">
        <w:rPr>
          <w:iCs/>
        </w:rPr>
        <w:t xml:space="preserve"> razini)</w:t>
      </w:r>
      <w:r w:rsidR="005748B5">
        <w:rPr>
          <w:iCs/>
        </w:rPr>
        <w:t>,</w:t>
      </w:r>
    </w:p>
    <w:p w:rsidR="00BC2165" w:rsidRPr="00584F76" w:rsidRDefault="00BC2165" w:rsidP="00D0352D">
      <w:pPr>
        <w:numPr>
          <w:ilvl w:val="0"/>
          <w:numId w:val="1"/>
        </w:numPr>
        <w:contextualSpacing/>
        <w:jc w:val="both"/>
      </w:pPr>
      <w:r w:rsidRPr="00584F76">
        <w:t>uslug</w:t>
      </w:r>
      <w:r>
        <w:t>u</w:t>
      </w:r>
      <w:r w:rsidRPr="00584F76">
        <w:t xml:space="preserve"> pristupa pasivnoj pristupnoj svjetlovodnoj mreži na lokaciji distribucijskog čvora za svjetlovodne distribucijske mreže (FA-PON)</w:t>
      </w:r>
      <w:r>
        <w:t xml:space="preserve"> alternativnih operatora</w:t>
      </w:r>
    </w:p>
    <w:p w:rsidR="00BC2165" w:rsidRPr="00584F76" w:rsidRDefault="00BC2165" w:rsidP="00D0352D">
      <w:pPr>
        <w:numPr>
          <w:ilvl w:val="0"/>
          <w:numId w:val="1"/>
        </w:numPr>
        <w:contextualSpacing/>
        <w:jc w:val="both"/>
      </w:pPr>
      <w:r w:rsidRPr="00584F76">
        <w:t>uslugu širokopojasnog pristupa putem svjetlovodne niti koju alternativni operatori pružaju za vlastite potrebe,</w:t>
      </w:r>
    </w:p>
    <w:p w:rsidR="00BC2165" w:rsidRPr="00F00019" w:rsidRDefault="00BC2165" w:rsidP="00D0352D">
      <w:pPr>
        <w:numPr>
          <w:ilvl w:val="0"/>
          <w:numId w:val="1"/>
        </w:numPr>
        <w:contextualSpacing/>
        <w:jc w:val="both"/>
      </w:pPr>
      <w:r w:rsidRPr="00F00019">
        <w:t>uslugu širokopojasnog pristupa putem kabelskih mreža koju operatori kabelskih mreža  pružaju za vlastite potrebe</w:t>
      </w:r>
      <w:r>
        <w:t xml:space="preserve"> (na temelju neizravnih pritisaka s maloprodajne razine)</w:t>
      </w:r>
      <w:r w:rsidRPr="00F00019">
        <w:t>.</w:t>
      </w:r>
    </w:p>
    <w:p w:rsidR="00BC2165" w:rsidRDefault="00BC2165" w:rsidP="00BC2165">
      <w:pPr>
        <w:jc w:val="both"/>
      </w:pPr>
    </w:p>
    <w:p w:rsidR="00BC2165" w:rsidRPr="007C4916" w:rsidRDefault="00BC2165" w:rsidP="00BC2165">
      <w:pPr>
        <w:jc w:val="both"/>
      </w:pPr>
      <w:r w:rsidRPr="007C4916">
        <w:t xml:space="preserve">Nadalje, vezano uz zemljopisnu dimenziju tržišta, HAKOM je odredio da je tržište malog kapaciteta u zemljopisnoj dimenziji nacionalni teritorij Republike Hrvatske (dalje: RH). </w:t>
      </w:r>
    </w:p>
    <w:p w:rsidR="00BC2165" w:rsidRPr="007C4916" w:rsidRDefault="00BC2165" w:rsidP="00BC2165">
      <w:pPr>
        <w:jc w:val="both"/>
      </w:pPr>
    </w:p>
    <w:p w:rsidR="00BC2165" w:rsidRDefault="00BC2165" w:rsidP="00BC2165">
      <w:pPr>
        <w:jc w:val="both"/>
      </w:pPr>
      <w:r w:rsidRPr="007C4916">
        <w:t xml:space="preserve">S druge strane, sukladno Preporuci, HAKOM je odredio da je tržište velikog kapaciteta u zemljopisnoj dimenziji potrebno geografski segmentirati </w:t>
      </w:r>
      <w:r>
        <w:t xml:space="preserve">te </w:t>
      </w:r>
      <w:r w:rsidRPr="007C4916">
        <w:t>ga je podijelio na općine, gradove i grad Zagreb pri čemu je grad Zagreb dodatno podijelio na 17 gradskih četvrti. Navedeno podrazumijeva da je tržište velikog kapaciteta podijeljeno na 572 geografske jedinice.</w:t>
      </w:r>
      <w:r>
        <w:t xml:space="preserve"> </w:t>
      </w:r>
    </w:p>
    <w:p w:rsidR="00BC2165" w:rsidRDefault="00BC2165" w:rsidP="00BC2165">
      <w:pPr>
        <w:jc w:val="both"/>
      </w:pPr>
    </w:p>
    <w:p w:rsidR="009261B9" w:rsidRDefault="00BC2165" w:rsidP="009261B9">
      <w:pPr>
        <w:jc w:val="both"/>
      </w:pPr>
      <w:r w:rsidRPr="007C4916">
        <w:t xml:space="preserve">Nakon što je definirana podjela mjerodavnog tržišta </w:t>
      </w:r>
      <w:r>
        <w:t xml:space="preserve">velikog </w:t>
      </w:r>
      <w:r w:rsidRPr="007C4916">
        <w:t>kapaciteta na geografske jedinice, HAKOM je proveo geografsku analizu uvjeta tržišne konkurentnosti</w:t>
      </w:r>
      <w:r w:rsidR="009261B9">
        <w:t xml:space="preserve">, </w:t>
      </w:r>
      <w:r w:rsidR="009261B9" w:rsidRPr="005716D5">
        <w:t>kako je pojašnjeno u Poglavlju 4</w:t>
      </w:r>
      <w:r w:rsidR="009261B9" w:rsidRPr="007C4916">
        <w:t xml:space="preserve">. </w:t>
      </w:r>
    </w:p>
    <w:p w:rsidR="00BC2165" w:rsidRDefault="00BC2165" w:rsidP="00BC2165">
      <w:pPr>
        <w:jc w:val="both"/>
      </w:pPr>
    </w:p>
    <w:p w:rsidR="00BC2165" w:rsidRPr="007C4916" w:rsidRDefault="00BC2165" w:rsidP="00BC2165">
      <w:pPr>
        <w:jc w:val="both"/>
      </w:pPr>
      <w:r w:rsidRPr="007C4916">
        <w:t xml:space="preserve">HAKOM je definirao </w:t>
      </w:r>
      <w:r w:rsidR="00F531A3">
        <w:t>sljedeće</w:t>
      </w:r>
      <w:r w:rsidRPr="007C4916">
        <w:t xml:space="preserve"> kriterije za utvrđivanje infrastrukturne konkurencije: </w:t>
      </w:r>
    </w:p>
    <w:p w:rsidR="00BC2165" w:rsidRPr="004F13A2" w:rsidRDefault="00BC2165" w:rsidP="00D0352D">
      <w:pPr>
        <w:pStyle w:val="ListParagraph"/>
        <w:numPr>
          <w:ilvl w:val="0"/>
          <w:numId w:val="2"/>
        </w:numPr>
        <w:jc w:val="both"/>
      </w:pPr>
      <w:r w:rsidRPr="004F13A2">
        <w:t>postojanje minimalno jedne (1) VHCN infrastrukture</w:t>
      </w:r>
      <w:r>
        <w:rPr>
          <w:rStyle w:val="FootnoteReference"/>
        </w:rPr>
        <w:footnoteReference w:id="4"/>
      </w:r>
      <w:r>
        <w:t xml:space="preserve"> alternativnog operatora</w:t>
      </w:r>
      <w:r w:rsidRPr="004F13A2">
        <w:t xml:space="preserve"> u geografskoj jedinici, </w:t>
      </w:r>
    </w:p>
    <w:p w:rsidR="00BC2165" w:rsidRPr="004F13A2" w:rsidRDefault="00BC2165" w:rsidP="00D0352D">
      <w:pPr>
        <w:pStyle w:val="ListParagraph"/>
        <w:numPr>
          <w:ilvl w:val="0"/>
          <w:numId w:val="2"/>
        </w:numPr>
        <w:jc w:val="both"/>
      </w:pPr>
      <w:r w:rsidRPr="004F13A2">
        <w:t>pokrivenost VHCN infrastrukture</w:t>
      </w:r>
      <w:r>
        <w:t xml:space="preserve"> alternativnog operatora</w:t>
      </w:r>
      <w:r w:rsidRPr="004F13A2">
        <w:t xml:space="preserve"> s minimalno 25</w:t>
      </w:r>
      <w:r>
        <w:t xml:space="preserve"> posto</w:t>
      </w:r>
      <w:r w:rsidRPr="004F13A2">
        <w:t xml:space="preserve"> korisničkih jedinica u geografskoj jedinici</w:t>
      </w:r>
      <w:r>
        <w:rPr>
          <w:rStyle w:val="FootnoteReference"/>
        </w:rPr>
        <w:footnoteReference w:id="5"/>
      </w:r>
      <w:r w:rsidRPr="004F13A2">
        <w:t>,</w:t>
      </w:r>
    </w:p>
    <w:p w:rsidR="00BC2165" w:rsidRPr="004F13A2" w:rsidRDefault="00BC2165" w:rsidP="00D0352D">
      <w:pPr>
        <w:pStyle w:val="ListParagraph"/>
        <w:numPr>
          <w:ilvl w:val="0"/>
          <w:numId w:val="2"/>
        </w:numPr>
        <w:jc w:val="both"/>
      </w:pPr>
      <w:r w:rsidRPr="004F13A2">
        <w:t>tržišni udio HT Grupe na maloprodajnoj razini u geografskoj jedinici je niži od 50 posto.</w:t>
      </w:r>
    </w:p>
    <w:p w:rsidR="00BC2165" w:rsidRDefault="00BC2165" w:rsidP="00BC2165">
      <w:pPr>
        <w:jc w:val="both"/>
      </w:pPr>
    </w:p>
    <w:p w:rsidR="00854586" w:rsidRDefault="00854586" w:rsidP="00BC2165">
      <w:pPr>
        <w:jc w:val="both"/>
      </w:pPr>
      <w:r w:rsidRPr="00854586">
        <w:t>Za potrebe ovog dokumenta pojmovi „alternativna VHCN infrastruktura“ i „VHCN infrastruktura alternativnog operatora“ uvijek označavaju infrastrukturu alternativnog operatora (koji nije dio HT Grupe).</w:t>
      </w:r>
    </w:p>
    <w:p w:rsidR="00854586" w:rsidRDefault="00854586" w:rsidP="00BC2165">
      <w:pPr>
        <w:jc w:val="both"/>
      </w:pPr>
    </w:p>
    <w:p w:rsidR="00BC2165" w:rsidRDefault="00BC2165" w:rsidP="00BC2165">
      <w:pPr>
        <w:jc w:val="both"/>
      </w:pPr>
      <w:r w:rsidRPr="007C4916">
        <w:t xml:space="preserve">Na temelju navedenih kriterija HAKOM je proveo analizu utvrđivanja geografskih jedinica sa sličnim ili dovoljno homogenim uvjetima tržišnog natjecanja te geografske jedinice </w:t>
      </w:r>
      <w:r w:rsidR="00201201">
        <w:t xml:space="preserve">grupirao u zasebna geografska tržišta: </w:t>
      </w:r>
      <w:r w:rsidR="00E43F46">
        <w:t>t</w:t>
      </w:r>
      <w:r w:rsidR="00201201">
        <w:t>ržište velikog kapaciteta -</w:t>
      </w:r>
      <w:r w:rsidRPr="007C4916">
        <w:t xml:space="preserve"> nekonkurentna </w:t>
      </w:r>
      <w:r w:rsidR="00201201">
        <w:t xml:space="preserve">područja </w:t>
      </w:r>
      <w:r w:rsidRPr="007C4916">
        <w:t>(</w:t>
      </w:r>
      <w:r w:rsidR="002D636E">
        <w:t>Klaster</w:t>
      </w:r>
      <w:r w:rsidRPr="007C4916">
        <w:t xml:space="preserve"> A i </w:t>
      </w:r>
      <w:r w:rsidR="002D636E">
        <w:t>Klaster</w:t>
      </w:r>
      <w:r w:rsidRPr="007C4916">
        <w:t xml:space="preserve"> B) i </w:t>
      </w:r>
      <w:r w:rsidR="00E43F46">
        <w:t>t</w:t>
      </w:r>
      <w:r w:rsidR="00201201">
        <w:t xml:space="preserve">ržište velikog kapaciteta - </w:t>
      </w:r>
      <w:r w:rsidRPr="007C4916">
        <w:t xml:space="preserve">konkurentna područja.  </w:t>
      </w:r>
    </w:p>
    <w:p w:rsidR="00BC2165" w:rsidRDefault="00BC2165" w:rsidP="00BC2165">
      <w:pPr>
        <w:jc w:val="both"/>
      </w:pPr>
    </w:p>
    <w:p w:rsidR="00BC2165" w:rsidRPr="007C4916" w:rsidRDefault="00BC2165" w:rsidP="00BC2165">
      <w:pPr>
        <w:jc w:val="both"/>
      </w:pPr>
      <w:r>
        <w:t xml:space="preserve">Dodatno, HAKOM je razmatrao i </w:t>
      </w:r>
      <w:r w:rsidR="00F531A3" w:rsidRPr="005716D5">
        <w:t>opcije</w:t>
      </w:r>
      <w:r w:rsidR="00F531A3">
        <w:t xml:space="preserve"> </w:t>
      </w:r>
      <w:r>
        <w:t xml:space="preserve">za definiranje relevantnog razdoblja za provođenje postupka ažuriranja statusa geografskih jedinica te je utvrdio da je optimalno </w:t>
      </w:r>
      <w:r w:rsidRPr="007C4916">
        <w:t xml:space="preserve">ažurirati popis </w:t>
      </w:r>
      <w:r>
        <w:t xml:space="preserve">nakon </w:t>
      </w:r>
      <w:r w:rsidRPr="007C4916">
        <w:t xml:space="preserve">dvije godine </w:t>
      </w:r>
      <w:r>
        <w:t xml:space="preserve">od </w:t>
      </w:r>
      <w:r w:rsidRPr="007C4916">
        <w:t>ove analize.</w:t>
      </w:r>
    </w:p>
    <w:p w:rsidR="00BC2165" w:rsidRDefault="00BC2165" w:rsidP="00BC2165">
      <w:pPr>
        <w:jc w:val="both"/>
      </w:pPr>
    </w:p>
    <w:p w:rsidR="00523B70" w:rsidRDefault="00523B70" w:rsidP="00523B70">
      <w:pPr>
        <w:jc w:val="both"/>
      </w:pPr>
      <w:r w:rsidRPr="00D5709E">
        <w:t xml:space="preserve">Nakon određivanja mjerodavnog tržišta, HAKOM je </w:t>
      </w:r>
      <w:r>
        <w:t>proveo</w:t>
      </w:r>
      <w:r w:rsidRPr="00D5709E">
        <w:t xml:space="preserve"> Test tri mjerila </w:t>
      </w:r>
      <w:r>
        <w:t xml:space="preserve">samo </w:t>
      </w:r>
      <w:r w:rsidRPr="00D5709E">
        <w:t xml:space="preserve">za </w:t>
      </w:r>
      <w:r w:rsidR="00EE7BE1">
        <w:t>t</w:t>
      </w:r>
      <w:r w:rsidRPr="00D5709E">
        <w:t>ržište velikog kapaciteta – konkurentna područja</w:t>
      </w:r>
      <w:r>
        <w:t>,</w:t>
      </w:r>
      <w:r w:rsidRPr="00D5709E">
        <w:t xml:space="preserve"> </w:t>
      </w:r>
      <w:r w:rsidRPr="00DF3A69">
        <w:t>uzimajući u obzir utvrđenja i zaključke Testa tri mjerila za tržište malog kapaciteta i tržište velikog kapaciteta – nekonkurentna područja</w:t>
      </w:r>
      <w:r>
        <w:t>,</w:t>
      </w:r>
      <w:r w:rsidRPr="00DF3A69">
        <w:t xml:space="preserve"> sadržana u dokumentu </w:t>
      </w:r>
      <w:r w:rsidRPr="000B4F61">
        <w:rPr>
          <w:i/>
        </w:rPr>
        <w:t>„Analiza tržišta veleprodajnog središnjeg pristupa koji se pruža na fiksnoj lokaciji za proizvode za masovno tržište</w:t>
      </w:r>
      <w:r>
        <w:t>“</w:t>
      </w:r>
      <w:r w:rsidRPr="000B4F61">
        <w:t xml:space="preserve">, a koja se mogu analogno primijeniti i na tržišta koja su </w:t>
      </w:r>
      <w:r>
        <w:t>p</w:t>
      </w:r>
      <w:r w:rsidRPr="000B4F61">
        <w:t>redmet ove analize</w:t>
      </w:r>
      <w:r w:rsidRPr="00D5709E">
        <w:t xml:space="preserve">. </w:t>
      </w:r>
    </w:p>
    <w:p w:rsidR="00523B70" w:rsidRDefault="00523B70" w:rsidP="00523B70">
      <w:pPr>
        <w:jc w:val="both"/>
      </w:pPr>
    </w:p>
    <w:p w:rsidR="00523B70" w:rsidRDefault="00523B70" w:rsidP="00523B70">
      <w:pPr>
        <w:jc w:val="both"/>
      </w:pPr>
      <w:r w:rsidRPr="00E238C9">
        <w:t xml:space="preserve">Testom tri mjerila utvrđeno </w:t>
      </w:r>
      <w:r>
        <w:t xml:space="preserve">je </w:t>
      </w:r>
      <w:r w:rsidRPr="00E238C9">
        <w:t xml:space="preserve">kako </w:t>
      </w:r>
      <w:r w:rsidR="00E43F46">
        <w:t>t</w:t>
      </w:r>
      <w:r w:rsidRPr="00E238C9">
        <w:t xml:space="preserve">ržište velikog kapaciteta – konkurentna područja, nije podložno prethodnoj regulaciji jer nisu istodobno zadovoljena sva tri mjerila iz članka 100. stavka 2. ZEK-a. </w:t>
      </w:r>
      <w:r>
        <w:t>Stoga je HAKOM</w:t>
      </w:r>
      <w:r w:rsidRPr="007C11EA">
        <w:t xml:space="preserve"> </w:t>
      </w:r>
      <w:r>
        <w:t xml:space="preserve">ukinuo </w:t>
      </w:r>
      <w:r w:rsidRPr="007C11EA">
        <w:t>HT-u (i Iskonu) prethodno određene regulatorne obveze</w:t>
      </w:r>
      <w:r>
        <w:t xml:space="preserve"> na tom mjerodavnom tržištu</w:t>
      </w:r>
      <w:r w:rsidRPr="007C11EA">
        <w:t>.</w:t>
      </w:r>
    </w:p>
    <w:p w:rsidR="00BC2165" w:rsidRDefault="00BC2165" w:rsidP="00BC2165">
      <w:pPr>
        <w:jc w:val="both"/>
      </w:pPr>
    </w:p>
    <w:p w:rsidR="00BC2165" w:rsidRDefault="00BC2165" w:rsidP="00BC2165">
      <w:pPr>
        <w:jc w:val="both"/>
      </w:pPr>
      <w:r>
        <w:t xml:space="preserve">Za </w:t>
      </w:r>
      <w:r w:rsidR="00E43F46">
        <w:t>t</w:t>
      </w:r>
      <w:r>
        <w:t>ržišt</w:t>
      </w:r>
      <w:r w:rsidR="00523B70">
        <w:t>e</w:t>
      </w:r>
      <w:r>
        <w:t xml:space="preserve"> </w:t>
      </w:r>
      <w:r w:rsidR="00523B70">
        <w:t xml:space="preserve">malog kapaciteta i </w:t>
      </w:r>
      <w:r w:rsidR="00E43F46">
        <w:t>t</w:t>
      </w:r>
      <w:r w:rsidR="00523B70">
        <w:t>ržište velikog kapaciteta</w:t>
      </w:r>
      <w:r w:rsidR="00201201">
        <w:t xml:space="preserve"> </w:t>
      </w:r>
      <w:r w:rsidR="00523B70">
        <w:t>-</w:t>
      </w:r>
      <w:r w:rsidR="00201201">
        <w:t xml:space="preserve"> </w:t>
      </w:r>
      <w:r w:rsidR="00523B70">
        <w:t>nekonkurentna područja</w:t>
      </w:r>
      <w:r>
        <w:t xml:space="preserve">, HAKOM je proveo procjenu postojanja operatora sa značajnom tržišnom snagom. Za utvrđivanje vladajućeg položaja HAKOM je koristio sljedeće kriterije: </w:t>
      </w:r>
    </w:p>
    <w:p w:rsidR="00BC2165" w:rsidRDefault="00BC2165" w:rsidP="00D0352D">
      <w:pPr>
        <w:pStyle w:val="ListParagraph"/>
        <w:numPr>
          <w:ilvl w:val="0"/>
          <w:numId w:val="1"/>
        </w:numPr>
        <w:jc w:val="both"/>
      </w:pPr>
      <w:r>
        <w:t>t</w:t>
      </w:r>
      <w:r w:rsidRPr="00C35060">
        <w:t>ržišni udjel operatora na mjerodavnom tržištu</w:t>
      </w:r>
      <w:r>
        <w:t>,</w:t>
      </w:r>
    </w:p>
    <w:p w:rsidR="00BC2165" w:rsidRDefault="00BC2165" w:rsidP="00D0352D">
      <w:pPr>
        <w:pStyle w:val="ListParagraph"/>
        <w:numPr>
          <w:ilvl w:val="0"/>
          <w:numId w:val="1"/>
        </w:numPr>
        <w:jc w:val="both"/>
      </w:pPr>
      <w:r>
        <w:t>n</w:t>
      </w:r>
      <w:r w:rsidRPr="00C35060">
        <w:t>adzor infrastrukture kod koje postoje velike zapreke razvoju infrastrukturne konkurencije</w:t>
      </w:r>
      <w:r>
        <w:t>,</w:t>
      </w:r>
    </w:p>
    <w:p w:rsidR="00BC2165" w:rsidRDefault="00BC2165" w:rsidP="00D0352D">
      <w:pPr>
        <w:pStyle w:val="ListParagraph"/>
        <w:numPr>
          <w:ilvl w:val="0"/>
          <w:numId w:val="1"/>
        </w:numPr>
        <w:jc w:val="both"/>
      </w:pPr>
      <w:r>
        <w:t>e</w:t>
      </w:r>
      <w:r w:rsidRPr="00C35060">
        <w:t>konomije razmjera</w:t>
      </w:r>
      <w:r>
        <w:t>,</w:t>
      </w:r>
    </w:p>
    <w:p w:rsidR="00BC2165" w:rsidRDefault="00BC2165" w:rsidP="00D0352D">
      <w:pPr>
        <w:pStyle w:val="ListParagraph"/>
        <w:numPr>
          <w:ilvl w:val="0"/>
          <w:numId w:val="1"/>
        </w:numPr>
        <w:jc w:val="both"/>
      </w:pPr>
      <w:r>
        <w:t>e</w:t>
      </w:r>
      <w:r w:rsidRPr="00C35060">
        <w:t>konomije opsega</w:t>
      </w:r>
      <w:r>
        <w:t>,</w:t>
      </w:r>
    </w:p>
    <w:p w:rsidR="00BC2165" w:rsidRPr="00C35060" w:rsidRDefault="00BC2165" w:rsidP="00D0352D">
      <w:pPr>
        <w:pStyle w:val="ListParagraph"/>
        <w:numPr>
          <w:ilvl w:val="0"/>
          <w:numId w:val="1"/>
        </w:numPr>
        <w:jc w:val="both"/>
      </w:pPr>
      <w:r>
        <w:t>s</w:t>
      </w:r>
      <w:r w:rsidRPr="00C35060">
        <w:t>tupanj vertikalne integracije</w:t>
      </w:r>
      <w:r>
        <w:t>.</w:t>
      </w:r>
    </w:p>
    <w:p w:rsidR="00BC2165" w:rsidRDefault="00BC2165" w:rsidP="00BC2165">
      <w:pPr>
        <w:jc w:val="both"/>
      </w:pPr>
    </w:p>
    <w:p w:rsidR="00BC2165" w:rsidRDefault="00BC2165" w:rsidP="00BC2165">
      <w:pPr>
        <w:jc w:val="both"/>
      </w:pPr>
      <w:r>
        <w:t xml:space="preserve">Nakon provedene analize HAKOM je utvrdio kako HT ima vladajući položaj i na </w:t>
      </w:r>
      <w:r w:rsidR="00B01D62">
        <w:t>Tržištu</w:t>
      </w:r>
      <w:r>
        <w:t xml:space="preserve"> malog kapaciteta i na </w:t>
      </w:r>
      <w:r w:rsidR="00E43F46">
        <w:t>t</w:t>
      </w:r>
      <w:r>
        <w:t>ržištu velikog kapaciteta – nekonkurentna područja (</w:t>
      </w:r>
      <w:r w:rsidR="002D636E">
        <w:t>Klaster</w:t>
      </w:r>
      <w:r>
        <w:t xml:space="preserve"> A i </w:t>
      </w:r>
      <w:r w:rsidR="002D636E">
        <w:t>Klaster</w:t>
      </w:r>
      <w:r>
        <w:t xml:space="preserve"> B), te je HT stoga na tim tržištima određen operatorom sa značajnom tržišnom snagom. </w:t>
      </w:r>
    </w:p>
    <w:p w:rsidR="00BC2165" w:rsidRDefault="00BC2165" w:rsidP="00BC2165">
      <w:pPr>
        <w:jc w:val="both"/>
      </w:pPr>
    </w:p>
    <w:p w:rsidR="00BC2165" w:rsidRDefault="00BC2165" w:rsidP="00BC2165">
      <w:pPr>
        <w:jc w:val="both"/>
      </w:pPr>
      <w:r>
        <w:t xml:space="preserve">Na temelju prepoznatih </w:t>
      </w:r>
      <w:r w:rsidRPr="00264503">
        <w:t xml:space="preserve">prepreka, HAKOM je HT-u na </w:t>
      </w:r>
      <w:r w:rsidR="00264503" w:rsidRPr="00264503">
        <w:t>oba</w:t>
      </w:r>
      <w:r w:rsidRPr="00264503">
        <w:t xml:space="preserve"> tržišta odredio</w:t>
      </w:r>
      <w:r>
        <w:t xml:space="preserve"> sljedeće regulatorne obveze:</w:t>
      </w:r>
    </w:p>
    <w:p w:rsidR="00BC2165" w:rsidRPr="009A16B7" w:rsidRDefault="00BC2165" w:rsidP="00D0352D">
      <w:pPr>
        <w:pStyle w:val="ListParagraph"/>
        <w:numPr>
          <w:ilvl w:val="0"/>
          <w:numId w:val="1"/>
        </w:numPr>
        <w:jc w:val="both"/>
      </w:pPr>
      <w:r>
        <w:t>obveza</w:t>
      </w:r>
      <w:r w:rsidRPr="009A16B7">
        <w:t xml:space="preserve"> pristupa i korištenja posebnih mrežnih sastavnica i povezane opreme; </w:t>
      </w:r>
    </w:p>
    <w:p w:rsidR="00BC2165" w:rsidRPr="009A16B7" w:rsidRDefault="00BC2165" w:rsidP="00D0352D">
      <w:pPr>
        <w:pStyle w:val="ListParagraph"/>
        <w:numPr>
          <w:ilvl w:val="0"/>
          <w:numId w:val="1"/>
        </w:numPr>
        <w:jc w:val="both"/>
      </w:pPr>
      <w:r w:rsidRPr="009A16B7">
        <w:t xml:space="preserve">obveza nediskriminacije; </w:t>
      </w:r>
    </w:p>
    <w:p w:rsidR="00BC2165" w:rsidRPr="009A16B7" w:rsidRDefault="00BC2165" w:rsidP="00D0352D">
      <w:pPr>
        <w:pStyle w:val="ListParagraph"/>
        <w:numPr>
          <w:ilvl w:val="0"/>
          <w:numId w:val="1"/>
        </w:numPr>
        <w:jc w:val="both"/>
      </w:pPr>
      <w:r w:rsidRPr="009A16B7">
        <w:t xml:space="preserve">obveza transparentnosti uz obvezu objave standardne ponude; </w:t>
      </w:r>
    </w:p>
    <w:p w:rsidR="00BC2165" w:rsidRPr="009A16B7" w:rsidRDefault="00BC2165" w:rsidP="00D0352D">
      <w:pPr>
        <w:pStyle w:val="ListParagraph"/>
        <w:numPr>
          <w:ilvl w:val="0"/>
          <w:numId w:val="1"/>
        </w:numPr>
        <w:jc w:val="both"/>
      </w:pPr>
      <w:r w:rsidRPr="009A16B7">
        <w:t xml:space="preserve">obveza nadzora cijena i vođenja troškovnog računovodstva i </w:t>
      </w:r>
    </w:p>
    <w:p w:rsidR="00BC2165" w:rsidRDefault="00BC2165" w:rsidP="00D0352D">
      <w:pPr>
        <w:pStyle w:val="ListParagraph"/>
        <w:numPr>
          <w:ilvl w:val="0"/>
          <w:numId w:val="1"/>
        </w:numPr>
        <w:jc w:val="both"/>
      </w:pPr>
      <w:r w:rsidRPr="009A16B7">
        <w:t>obvez</w:t>
      </w:r>
      <w:r>
        <w:t>a računovodstvenog razdvajanja,</w:t>
      </w:r>
    </w:p>
    <w:p w:rsidR="00BC2165" w:rsidRPr="008A2C12" w:rsidRDefault="00BC2165" w:rsidP="00BC2165">
      <w:pPr>
        <w:pStyle w:val="ListParagraph"/>
        <w:ind w:left="1068"/>
        <w:jc w:val="both"/>
      </w:pPr>
    </w:p>
    <w:p w:rsidR="00BC2165" w:rsidRDefault="00BC2165" w:rsidP="00BC2165">
      <w:pPr>
        <w:jc w:val="both"/>
      </w:pPr>
      <w:r>
        <w:t>pri čemu se r</w:t>
      </w:r>
      <w:r w:rsidRPr="009A16B7">
        <w:t>egulatorna obveza nadzora cijena i vođenja troškovnog računovodstva</w:t>
      </w:r>
      <w:r>
        <w:t xml:space="preserve"> u dijelu provođenja testa istiskivanja marže</w:t>
      </w:r>
      <w:r w:rsidRPr="009A16B7">
        <w:t xml:space="preserve"> na odgovarajući način primjenjuje i na </w:t>
      </w:r>
      <w:r>
        <w:t>Iskon</w:t>
      </w:r>
      <w:r w:rsidRPr="009A16B7">
        <w:t>, koj</w:t>
      </w:r>
      <w:r>
        <w:t>i</w:t>
      </w:r>
      <w:r w:rsidRPr="009A16B7">
        <w:t xml:space="preserve"> je pod </w:t>
      </w:r>
      <w:r>
        <w:t>nadzorom HT-a.</w:t>
      </w:r>
    </w:p>
    <w:p w:rsidR="00264503" w:rsidRDefault="00264503" w:rsidP="00BC2165">
      <w:pPr>
        <w:jc w:val="both"/>
      </w:pPr>
    </w:p>
    <w:p w:rsidR="00264503" w:rsidRDefault="00264503" w:rsidP="00BC2165">
      <w:pPr>
        <w:jc w:val="both"/>
      </w:pPr>
      <w:r>
        <w:t xml:space="preserve">Nadalje, ovom analizom </w:t>
      </w:r>
      <w:r w:rsidRPr="00F271D7">
        <w:t>HAKOM je odredio HT-u obvezu pristupa fizičkoj infrastrukturi na teritoriju cijele RH</w:t>
      </w:r>
      <w:r>
        <w:t>.</w:t>
      </w:r>
    </w:p>
    <w:p w:rsidR="00BC2165" w:rsidRDefault="00BC2165" w:rsidP="00BC2165">
      <w:pPr>
        <w:jc w:val="both"/>
      </w:pPr>
    </w:p>
    <w:p w:rsidR="00BC2165" w:rsidRDefault="00BC2165" w:rsidP="00BC2165">
      <w:pPr>
        <w:jc w:val="both"/>
      </w:pPr>
      <w:r>
        <w:t xml:space="preserve">Uzevši u obzir kako snažan položaj HT-a nije isti radi li se o tržištu malog kapaciteta, </w:t>
      </w:r>
      <w:r w:rsidR="005748B5">
        <w:t>t</w:t>
      </w:r>
      <w:r>
        <w:t xml:space="preserve">ržištu velikog kapaciteta </w:t>
      </w:r>
      <w:r w:rsidR="00201201">
        <w:t>- nekonkurentna</w:t>
      </w:r>
      <w:r>
        <w:t xml:space="preserve"> područja </w:t>
      </w:r>
      <w:r w:rsidR="009236BC">
        <w:t>u</w:t>
      </w:r>
      <w:r>
        <w:t xml:space="preserve"> </w:t>
      </w:r>
      <w:proofErr w:type="spellStart"/>
      <w:r w:rsidR="00201201">
        <w:t>Klaster</w:t>
      </w:r>
      <w:r w:rsidR="009236BC">
        <w:t>u</w:t>
      </w:r>
      <w:proofErr w:type="spellEnd"/>
      <w:r>
        <w:t xml:space="preserve"> A ili </w:t>
      </w:r>
      <w:r w:rsidR="005748B5">
        <w:t>t</w:t>
      </w:r>
      <w:r>
        <w:t xml:space="preserve">ržištu velikog kapaciteta </w:t>
      </w:r>
      <w:r w:rsidR="008909CA">
        <w:t>-nekonkurentna</w:t>
      </w:r>
      <w:r>
        <w:t xml:space="preserve"> područja</w:t>
      </w:r>
      <w:r w:rsidR="009236BC">
        <w:t xml:space="preserve"> u</w:t>
      </w:r>
      <w:r>
        <w:t xml:space="preserve"> </w:t>
      </w:r>
      <w:proofErr w:type="spellStart"/>
      <w:r w:rsidR="008909CA">
        <w:t>Klaster</w:t>
      </w:r>
      <w:r w:rsidR="009236BC">
        <w:t>u</w:t>
      </w:r>
      <w:proofErr w:type="spellEnd"/>
      <w:r>
        <w:t xml:space="preserve"> B, HAKOM je nakon prepoznatih prepreka za različita tržišta odredio regulatorne obveze u različitom opsegu. </w:t>
      </w:r>
    </w:p>
    <w:p w:rsidR="00BC2165" w:rsidRDefault="00BC2165" w:rsidP="00BC2165">
      <w:pPr>
        <w:jc w:val="both"/>
      </w:pPr>
    </w:p>
    <w:p w:rsidR="00BC2165" w:rsidRPr="00A815AF" w:rsidRDefault="00BC2165" w:rsidP="00BC2165">
      <w:pPr>
        <w:jc w:val="both"/>
      </w:pPr>
      <w:r>
        <w:t xml:space="preserve">Tako je HAKOM u okviru obveze nediskriminacije samo na </w:t>
      </w:r>
      <w:r w:rsidR="00473144">
        <w:t xml:space="preserve">tržištu </w:t>
      </w:r>
      <w:r>
        <w:t xml:space="preserve">velikog kapaciteta </w:t>
      </w:r>
      <w:r w:rsidR="00473144">
        <w:t>– nekonkurentna područja</w:t>
      </w:r>
      <w:r>
        <w:t xml:space="preserve"> odredio HT-u obvezu uvođenja modela</w:t>
      </w:r>
      <w:r w:rsidRPr="00706ADD">
        <w:t xml:space="preserve"> istovjetnih ulaznih proizvoda </w:t>
      </w:r>
      <w:r>
        <w:t>(EOI)</w:t>
      </w:r>
      <w:r w:rsidRPr="00A815AF">
        <w:t>.</w:t>
      </w:r>
      <w:r>
        <w:t xml:space="preserve"> </w:t>
      </w:r>
      <w:r w:rsidRPr="0082414A">
        <w:t xml:space="preserve">HT je u roku od 45 dana od usvajanja ove analize obvezan dostaviti HAKOM-u detaljan plan kojim se utvrđuju ključne točke potrebne za potpunu provedbu modela </w:t>
      </w:r>
      <w:proofErr w:type="spellStart"/>
      <w:r w:rsidRPr="0082414A">
        <w:t>EoI</w:t>
      </w:r>
      <w:proofErr w:type="spellEnd"/>
      <w:r w:rsidRPr="0082414A">
        <w:t xml:space="preserve"> zajedno s rokovima za njihovu provedbu. Detaljan plan za provedbu modela EOI će HAKOM usvojiti u zasebnom postupku nakon provedenog javnog savjetovanja</w:t>
      </w:r>
      <w:r>
        <w:t>.</w:t>
      </w:r>
    </w:p>
    <w:p w:rsidR="00BC2165" w:rsidRDefault="00BC2165" w:rsidP="00BC2165">
      <w:pPr>
        <w:jc w:val="both"/>
      </w:pPr>
    </w:p>
    <w:p w:rsidR="00BC2165" w:rsidRDefault="00BC2165" w:rsidP="00BC2165">
      <w:pPr>
        <w:jc w:val="both"/>
      </w:pPr>
      <w:r>
        <w:t xml:space="preserve">U okviru obveze nadzora cijena i vođenja troškovnog računovodstva na </w:t>
      </w:r>
      <w:r w:rsidR="005748B5">
        <w:t>t</w:t>
      </w:r>
      <w:r>
        <w:t>ržištu velikog kapaciteta - nekonkurentna područja</w:t>
      </w:r>
      <w:r w:rsidR="009236BC">
        <w:t xml:space="preserve"> u</w:t>
      </w:r>
      <w:r w:rsidR="008909CA">
        <w:t xml:space="preserve"> </w:t>
      </w:r>
      <w:proofErr w:type="spellStart"/>
      <w:r w:rsidR="008909CA">
        <w:t>Klaster</w:t>
      </w:r>
      <w:r w:rsidR="009236BC">
        <w:t>u</w:t>
      </w:r>
      <w:proofErr w:type="spellEnd"/>
      <w:r>
        <w:t xml:space="preserve"> B, HAKOM nije odredio obvezu troškovne usmjerenosti veleprodajnih cijena. </w:t>
      </w:r>
    </w:p>
    <w:p w:rsidR="00BC2165" w:rsidRDefault="00BC2165" w:rsidP="00BC2165">
      <w:pPr>
        <w:jc w:val="both"/>
      </w:pPr>
    </w:p>
    <w:p w:rsidR="00BC2165" w:rsidRDefault="00BC2165" w:rsidP="00BC2165">
      <w:pPr>
        <w:jc w:val="both"/>
      </w:pPr>
      <w:r>
        <w:t>U okviru obveze pristupa na tržištu malog kapaciteta HAKOM je definirao da će se postupak gašenja bakrene infrastrukture definirati u zasebnom postupku po zaprimanju obavijesti HT-a</w:t>
      </w:r>
      <w:r w:rsidR="00B01D62">
        <w:t>,</w:t>
      </w:r>
      <w:r>
        <w:t xml:space="preserve"> u skladu s člankom 114. ZEK-a.</w:t>
      </w:r>
      <w:r w:rsidRPr="00A558AA">
        <w:t xml:space="preserve"> </w:t>
      </w:r>
    </w:p>
    <w:p w:rsidR="00BC2165" w:rsidRDefault="00BC2165" w:rsidP="00BC2165">
      <w:pPr>
        <w:jc w:val="both"/>
      </w:pPr>
    </w:p>
    <w:p w:rsidR="00BC2165" w:rsidRDefault="00BC2165" w:rsidP="00BC2165">
      <w:pPr>
        <w:jc w:val="both"/>
      </w:pPr>
      <w:r>
        <w:t xml:space="preserve">Za napomenuti je kako su prethodno ukinute sve </w:t>
      </w:r>
      <w:r w:rsidRPr="00387523">
        <w:t>regulatorne obveze koje</w:t>
      </w:r>
      <w:r>
        <w:t xml:space="preserve"> su</w:t>
      </w:r>
      <w:r w:rsidRPr="00387523">
        <w:t xml:space="preserve"> </w:t>
      </w:r>
      <w:r>
        <w:t>HT-u i Iskonu</w:t>
      </w:r>
      <w:r w:rsidRPr="00387523">
        <w:t xml:space="preserve"> bile određene </w:t>
      </w:r>
      <w:r w:rsidR="005748B5">
        <w:t>prethodnom</w:t>
      </w:r>
      <w:r w:rsidR="005748B5" w:rsidRPr="00387523">
        <w:t xml:space="preserve"> </w:t>
      </w:r>
      <w:r w:rsidRPr="00387523">
        <w:t xml:space="preserve">analizom tržišta </w:t>
      </w:r>
      <w:r w:rsidR="005748B5">
        <w:t>iz 2019.</w:t>
      </w:r>
      <w:r w:rsidR="00EE7BE1">
        <w:t>,</w:t>
      </w:r>
      <w:r w:rsidR="005748B5">
        <w:t xml:space="preserve"> </w:t>
      </w:r>
      <w:r w:rsidRPr="00387523">
        <w:t xml:space="preserve">temeljem odredbi tada važećeg Zakona o elektroničkim komunikacijama te </w:t>
      </w:r>
      <w:r>
        <w:t xml:space="preserve">su im </w:t>
      </w:r>
      <w:r w:rsidRPr="00387523">
        <w:t>na temelju rezultata</w:t>
      </w:r>
      <w:r>
        <w:t xml:space="preserve"> ove analize</w:t>
      </w:r>
      <w:r w:rsidRPr="00387523">
        <w:t>, na područjima na kojima je utvrđena nedostatna djelotvornost tržišnog natjecanja</w:t>
      </w:r>
      <w:r>
        <w:t>,</w:t>
      </w:r>
      <w:r w:rsidRPr="00387523">
        <w:t xml:space="preserve"> odre</w:t>
      </w:r>
      <w:r>
        <w:t>đene</w:t>
      </w:r>
      <w:r w:rsidRPr="00387523">
        <w:t xml:space="preserve"> </w:t>
      </w:r>
      <w:r>
        <w:t xml:space="preserve">prethodno spomenute </w:t>
      </w:r>
      <w:r w:rsidRPr="00387523">
        <w:t>regulatorne obveze</w:t>
      </w:r>
      <w:r>
        <w:t xml:space="preserve"> u skladu s odredbama novog ZEK-a</w:t>
      </w:r>
      <w:r w:rsidRPr="00387523">
        <w:t>.</w:t>
      </w:r>
      <w:r>
        <w:t xml:space="preserve"> </w:t>
      </w:r>
    </w:p>
    <w:p w:rsidR="00BC2165" w:rsidRPr="00C35060" w:rsidRDefault="00BC2165" w:rsidP="00BC2165">
      <w:pPr>
        <w:jc w:val="both"/>
      </w:pPr>
    </w:p>
    <w:p w:rsidR="00BC2165" w:rsidRPr="00584DAC" w:rsidRDefault="00BC2165" w:rsidP="00BC2165">
      <w:pPr>
        <w:jc w:val="both"/>
      </w:pPr>
      <w:r>
        <w:t>T</w:t>
      </w:r>
      <w:r w:rsidRPr="00584DAC">
        <w:t xml:space="preserve">ablični prikaz </w:t>
      </w:r>
      <w:r>
        <w:t>koji sadrži usporedbu ključnih dijelova predmetne analize tržišta u odnosu na analizu tržišta iz 2019. sadržan</w:t>
      </w:r>
      <w:r w:rsidRPr="00584DAC">
        <w:t xml:space="preserve"> je u </w:t>
      </w:r>
      <w:r w:rsidRPr="007F7FCF">
        <w:t xml:space="preserve">Privitku </w:t>
      </w:r>
      <w:r w:rsidR="00F531A3" w:rsidRPr="005716D5">
        <w:t xml:space="preserve">5 </w:t>
      </w:r>
      <w:r w:rsidRPr="00584DAC">
        <w:t>ovog dokumenta.</w:t>
      </w:r>
    </w:p>
    <w:p w:rsidR="00FA7700" w:rsidRDefault="00FA7700">
      <w:pPr>
        <w:rPr>
          <w:rFonts w:ascii="Segoe UI Semibold" w:eastAsiaTheme="majorEastAsia" w:hAnsi="Segoe UI Semibold" w:cstheme="majorBidi"/>
          <w:color w:val="1F3864" w:themeColor="accent1" w:themeShade="80"/>
          <w:sz w:val="32"/>
          <w:szCs w:val="32"/>
        </w:rPr>
      </w:pPr>
      <w:r>
        <w:br w:type="page"/>
      </w:r>
    </w:p>
    <w:p w:rsidR="001454D6" w:rsidRPr="007F7FCF" w:rsidRDefault="001454D6" w:rsidP="007F7FCF">
      <w:pPr>
        <w:pStyle w:val="Heading1"/>
      </w:pPr>
      <w:bookmarkStart w:id="8" w:name="_Toc124462519"/>
      <w:bookmarkStart w:id="9" w:name="_Toc124851946"/>
      <w:bookmarkStart w:id="10" w:name="_Toc124852507"/>
      <w:bookmarkStart w:id="11" w:name="_Toc124859576"/>
      <w:bookmarkStart w:id="12" w:name="_Toc124946921"/>
      <w:bookmarkStart w:id="13" w:name="_Toc124948831"/>
      <w:bookmarkStart w:id="14" w:name="_Toc124951726"/>
      <w:bookmarkStart w:id="15" w:name="_Toc125644876"/>
      <w:bookmarkStart w:id="16" w:name="_Toc393991072"/>
      <w:bookmarkStart w:id="17" w:name="_Toc77146220"/>
      <w:bookmarkStart w:id="18" w:name="_Toc105595995"/>
      <w:bookmarkStart w:id="19" w:name="_Toc393987047"/>
      <w:bookmarkStart w:id="20" w:name="_Toc393991073"/>
      <w:bookmarkStart w:id="21" w:name="_Toc77146221"/>
      <w:bookmarkStart w:id="22" w:name="_Toc107487382"/>
      <w:r w:rsidRPr="007F7FCF">
        <w:t>Regulatorni okvir</w:t>
      </w:r>
      <w:bookmarkEnd w:id="8"/>
      <w:bookmarkEnd w:id="9"/>
      <w:bookmarkEnd w:id="10"/>
      <w:bookmarkEnd w:id="11"/>
      <w:bookmarkEnd w:id="12"/>
      <w:bookmarkEnd w:id="13"/>
      <w:bookmarkEnd w:id="14"/>
      <w:bookmarkEnd w:id="15"/>
    </w:p>
    <w:p w:rsidR="001454D6" w:rsidRPr="001454D6" w:rsidRDefault="001454D6" w:rsidP="001454D6"/>
    <w:p w:rsidR="001454D6" w:rsidRDefault="001454D6" w:rsidP="00353342">
      <w:pPr>
        <w:suppressAutoHyphens/>
        <w:jc w:val="both"/>
      </w:pPr>
      <w:r w:rsidRPr="001454D6">
        <w:t>Dana 11. prosinca 2018. usvojena je Direktiva (EU) 2018/1972 Europskog parlamenta i Vijeća o Europskom zakoniku elektroničkih komunikacija</w:t>
      </w:r>
      <w:r w:rsidRPr="00D9123A">
        <w:rPr>
          <w:rStyle w:val="FootnoteReference"/>
        </w:rPr>
        <w:footnoteReference w:id="6"/>
      </w:r>
      <w:r w:rsidRPr="001454D6">
        <w:t xml:space="preserve"> (dalje: Zakonik), koja predstavlja kodifikaciju i sveobuhvatnu reformu regulatornog okvira Europske unije u području elektroničkih komunikacija. Zakonikom je stvoren pravni okvir za osiguravanje slobode pružanja elektroničkih mreža i usluga. Zakonikom se nastoji, uz tri glavna cilja promicanja tržišnog natjecanja, unutarnjeg tržišta i interesa krajnjih korisnika, promicati </w:t>
      </w:r>
      <w:proofErr w:type="spellStart"/>
      <w:r w:rsidRPr="001454D6">
        <w:t>povezivost</w:t>
      </w:r>
      <w:proofErr w:type="spellEnd"/>
      <w:r w:rsidRPr="001454D6">
        <w:t xml:space="preserve"> i pristup mrežama vrlo velikog kapaciteta, uključujući nepokretne, pokretne i bežične mreže, te njihova upotreba u korist svih građana i poslovnih subjekata u Uniji.</w:t>
      </w:r>
    </w:p>
    <w:p w:rsidR="001454D6" w:rsidRPr="001454D6" w:rsidRDefault="001454D6" w:rsidP="001454D6">
      <w:pPr>
        <w:jc w:val="both"/>
      </w:pPr>
    </w:p>
    <w:p w:rsidR="001454D6" w:rsidRDefault="001454D6" w:rsidP="001454D6">
      <w:pPr>
        <w:jc w:val="both"/>
      </w:pPr>
      <w:r w:rsidRPr="001454D6">
        <w:t>Nadalje, dana 11. prosinca 2018. donesena je Uredba (EU) 2018/1971 Europskog parlamenta i Vijeća o osnivanju Tijela europskih regulatora za elektroničke komunikacije (BEREC) i Agencije za potporu BEREC-u (Ured BEREC-a)</w:t>
      </w:r>
      <w:r w:rsidR="00705E68">
        <w:rPr>
          <w:rStyle w:val="FootnoteReference"/>
        </w:rPr>
        <w:footnoteReference w:id="7"/>
      </w:r>
      <w:r w:rsidRPr="001454D6">
        <w:t>, čiji je cilj, između ostalog, osiguravanje dosljedne provedbe regulatornog okvira za elektroničke komunikacije, a osobito u pogledu prekograničnih pitanja i na temelju učinkovitih postupaka unutarnjeg tržišta za izradu nacrta nacionalnih mjera.</w:t>
      </w:r>
    </w:p>
    <w:p w:rsidR="001454D6" w:rsidRPr="001454D6" w:rsidRDefault="001454D6" w:rsidP="001454D6">
      <w:pPr>
        <w:jc w:val="both"/>
      </w:pPr>
    </w:p>
    <w:p w:rsidR="001454D6" w:rsidRDefault="001454D6" w:rsidP="001454D6">
      <w:pPr>
        <w:jc w:val="both"/>
      </w:pPr>
      <w:r w:rsidRPr="001454D6">
        <w:t>U provedbi postupka analize tržišta, HAKOM vodi računa i o primjeni Preporuke Komisije o mjerodavnim tržištima proizvoda i usluga u sektoru elektroničkih komunikacija podložnima prethodnoj (ex ante) regulaciji u skladu sa Zakonikom (dalje: Preporuka)</w:t>
      </w:r>
      <w:r w:rsidRPr="00BE576D">
        <w:rPr>
          <w:rStyle w:val="FootnoteReference"/>
        </w:rPr>
        <w:footnoteReference w:id="8"/>
      </w:r>
      <w:r w:rsidRPr="001454D6">
        <w:t>, kojom je zamijenjena Preporuka iz 2014</w:t>
      </w:r>
      <w:r w:rsidRPr="00BE576D">
        <w:rPr>
          <w:rStyle w:val="FootnoteReference"/>
        </w:rPr>
        <w:footnoteReference w:id="9"/>
      </w:r>
      <w:r w:rsidRPr="001454D6">
        <w:t xml:space="preserve"> (2014/710/EU). Jedan je od ciljeva novog regulatornog okvira postupno smanjivati ex ante pravila specifična za taj sektor u skladu s razvojem natjecanja na tržištu i, naposljetku, osigurati da se tržišta elektroničkih komunikacija reguliraju samo pravom tržišnog natjecanja. U skladu s tim ciljem svrha je Preporuke utvrditi tržišta proizvoda i usluga na kojima ex ante regulacija može biti opravdana.</w:t>
      </w:r>
    </w:p>
    <w:p w:rsidR="001454D6" w:rsidRPr="001454D6" w:rsidRDefault="001454D6" w:rsidP="001454D6">
      <w:pPr>
        <w:jc w:val="both"/>
      </w:pPr>
    </w:p>
    <w:p w:rsidR="001454D6" w:rsidRPr="001454D6" w:rsidRDefault="001454D6" w:rsidP="001454D6">
      <w:pPr>
        <w:jc w:val="both"/>
      </w:pPr>
      <w:r w:rsidRPr="001454D6">
        <w:t>Sukladno Preporuci, nacionalna regulatorna tijela trebala bi analizirati sljedeća tržišta: Veleprodajni lokalni pristup koji se pruža na fiksnoj lokaciji (Tržište 1</w:t>
      </w:r>
      <w:r w:rsidR="006A62DC">
        <w:rPr>
          <w:rStyle w:val="FootnoteReference"/>
        </w:rPr>
        <w:footnoteReference w:id="10"/>
      </w:r>
      <w:r w:rsidRPr="001454D6">
        <w:t>) te Veleprodajni zajamčeni kapacitet (Tržište 2</w:t>
      </w:r>
      <w:r w:rsidRPr="00BE576D">
        <w:rPr>
          <w:rStyle w:val="FootnoteReference"/>
        </w:rPr>
        <w:footnoteReference w:id="11"/>
      </w:r>
      <w:r w:rsidRPr="001454D6">
        <w:t>). Međutim, nacionalna regulatorna tijela mogu definirati i druga tržišta proizvoda i usluga koja nisu navedena u Preporuci, ako mogu dokazati da u njihovom nacionalnom kontekstu ta tržišta zadovoljavaju tzv. Test tri mjerila.</w:t>
      </w:r>
    </w:p>
    <w:p w:rsidR="001454D6" w:rsidRPr="001454D6" w:rsidRDefault="001454D6" w:rsidP="001454D6">
      <w:pPr>
        <w:jc w:val="both"/>
      </w:pPr>
    </w:p>
    <w:p w:rsidR="001454D6" w:rsidRPr="007F7FCF" w:rsidRDefault="001454D6" w:rsidP="007F7FCF">
      <w:pPr>
        <w:pStyle w:val="Heading2"/>
      </w:pPr>
      <w:bookmarkStart w:id="23" w:name="_Toc124462520"/>
      <w:bookmarkStart w:id="24" w:name="_Toc124851947"/>
      <w:bookmarkStart w:id="25" w:name="_Toc124852508"/>
      <w:bookmarkStart w:id="26" w:name="_Toc124859577"/>
      <w:bookmarkStart w:id="27" w:name="_Toc124946922"/>
      <w:bookmarkStart w:id="28" w:name="_Toc124948832"/>
      <w:bookmarkStart w:id="29" w:name="_Toc124951727"/>
      <w:bookmarkStart w:id="30" w:name="_Toc125644877"/>
      <w:r w:rsidRPr="007F7FCF">
        <w:t>Zakon o elektroničkim komunikacijama</w:t>
      </w:r>
      <w:bookmarkEnd w:id="23"/>
      <w:bookmarkEnd w:id="24"/>
      <w:bookmarkEnd w:id="25"/>
      <w:bookmarkEnd w:id="26"/>
      <w:bookmarkEnd w:id="27"/>
      <w:bookmarkEnd w:id="28"/>
      <w:bookmarkEnd w:id="29"/>
      <w:bookmarkEnd w:id="30"/>
    </w:p>
    <w:p w:rsidR="001454D6" w:rsidRPr="001454D6" w:rsidRDefault="001454D6" w:rsidP="001454D6">
      <w:pPr>
        <w:jc w:val="both"/>
      </w:pPr>
    </w:p>
    <w:p w:rsidR="001454D6" w:rsidRDefault="001454D6" w:rsidP="001454D6">
      <w:pPr>
        <w:jc w:val="both"/>
      </w:pPr>
      <w:r w:rsidRPr="001454D6">
        <w:t xml:space="preserve">Zakonik je prenesen u hrvatsko zakonodavstvo putem Zakona o elektroničkim komunikacijama (NN br. 76/22; dalje: ZEK), koji je stupio na snagu dana 12. srpnja 2022. </w:t>
      </w:r>
    </w:p>
    <w:p w:rsidR="00173663" w:rsidRPr="001454D6" w:rsidRDefault="00173663" w:rsidP="001454D6">
      <w:pPr>
        <w:jc w:val="both"/>
      </w:pPr>
    </w:p>
    <w:p w:rsidR="001454D6" w:rsidRDefault="001454D6" w:rsidP="001454D6">
      <w:pPr>
        <w:jc w:val="both"/>
      </w:pPr>
      <w:r w:rsidRPr="001454D6">
        <w:t xml:space="preserve">U skladu s člankom 97. ZEK-a, HAKOM odlukom utvrđuje mjerodavna tržišta prema nacionalnim okolnostima, i to osobito mjerodavna zemljopisna tržišta unutar državnog područja, uzimajući u obzir, uz ostalo, i stupanj infrastrukturne konkurentnosti na tom području, vodeći računa o primjeni Preporuke i mjerodavnim smjernicama za analizu tržišta i ocjenu značajne tržišne snage, u skladu s načelima prava tržišnog natjecanja. </w:t>
      </w:r>
    </w:p>
    <w:p w:rsidR="00173663" w:rsidRPr="001454D6" w:rsidRDefault="00173663" w:rsidP="001454D6">
      <w:pPr>
        <w:jc w:val="both"/>
      </w:pPr>
    </w:p>
    <w:p w:rsidR="001454D6" w:rsidRDefault="001454D6" w:rsidP="001454D6">
      <w:pPr>
        <w:jc w:val="both"/>
      </w:pPr>
      <w:r w:rsidRPr="001454D6">
        <w:t>U opisanom postupku HAKOM uzima u obzir ishode zemljopisnog pregleda iz članka 58. ZEK-a, ako ocijeni da su ti ishodi od važnosti za utvrđivanje mjerodavnog tržišta. HAKOM može odlukom utvrditi i druga mjerodavna tržišta, različita od tržišta utvrđenih u Preporuci, a prije donošenja odluke mora provesti postupke u skladu s člancima 30. i 37. ZEK-a.</w:t>
      </w:r>
    </w:p>
    <w:p w:rsidR="00173663" w:rsidRPr="001454D6" w:rsidRDefault="00173663" w:rsidP="001454D6">
      <w:pPr>
        <w:jc w:val="both"/>
      </w:pPr>
    </w:p>
    <w:p w:rsidR="001454D6" w:rsidRDefault="001454D6" w:rsidP="001454D6">
      <w:pPr>
        <w:jc w:val="both"/>
      </w:pPr>
      <w:r w:rsidRPr="001454D6">
        <w:t xml:space="preserve">HAKOM odlukom utvrđuje je li mjerodavno tržište, određeno u skladu s člankom 97. stavkom 1. ZEK-a, takvo da je opravdano određivanje regulatornih obveza operatorima sa značajnom tržišnom snagom, odnosno jesu li na tom tržištu istodobno zadovoljena sljedeća mjerila (tzv. Test tri mjerila): </w:t>
      </w:r>
    </w:p>
    <w:p w:rsidR="00173663" w:rsidRPr="001454D6" w:rsidRDefault="00173663" w:rsidP="001454D6">
      <w:pPr>
        <w:jc w:val="both"/>
      </w:pPr>
    </w:p>
    <w:p w:rsidR="001454D6" w:rsidRPr="001454D6" w:rsidRDefault="001454D6" w:rsidP="00766501">
      <w:pPr>
        <w:pStyle w:val="ListParagraph"/>
        <w:numPr>
          <w:ilvl w:val="0"/>
          <w:numId w:val="3"/>
        </w:numPr>
        <w:jc w:val="both"/>
      </w:pPr>
      <w:r w:rsidRPr="001454D6">
        <w:t xml:space="preserve">prisutnost velikih i trajnih prepreka za ulazak na tržište, strukturne, pravne ili regulatorne prirode </w:t>
      </w:r>
    </w:p>
    <w:p w:rsidR="001454D6" w:rsidRPr="001454D6" w:rsidRDefault="001454D6" w:rsidP="00766501">
      <w:pPr>
        <w:pStyle w:val="ListParagraph"/>
        <w:numPr>
          <w:ilvl w:val="0"/>
          <w:numId w:val="3"/>
        </w:numPr>
        <w:jc w:val="both"/>
      </w:pPr>
      <w:r w:rsidRPr="001454D6">
        <w:t xml:space="preserve">struktura tržišta koja ne teži razvoju djelotvornoga tržišnog natjecanja unutar odgovarajućeg razdoblja, uzimajući u obzir stanje tržišnog natjecanja koje se temelji na infrastrukturi i druge čimbenike tržišnog natjecanja, osim prepreka ulasku na tržište </w:t>
      </w:r>
    </w:p>
    <w:p w:rsidR="001454D6" w:rsidRDefault="001454D6" w:rsidP="00766501">
      <w:pPr>
        <w:pStyle w:val="ListParagraph"/>
        <w:numPr>
          <w:ilvl w:val="0"/>
          <w:numId w:val="3"/>
        </w:numPr>
        <w:jc w:val="both"/>
      </w:pPr>
      <w:r w:rsidRPr="001454D6">
        <w:t xml:space="preserve">primjena mjerodavnih propisa o zaštiti tržišnog natjecanja koja sama po sebi ne omogućuje na odgovarajući način uklanjanje utvrđenih nedostataka na tržištu. </w:t>
      </w:r>
    </w:p>
    <w:p w:rsidR="00173663" w:rsidRPr="001454D6" w:rsidRDefault="00173663" w:rsidP="001454D6">
      <w:pPr>
        <w:jc w:val="both"/>
      </w:pPr>
    </w:p>
    <w:p w:rsidR="001454D6" w:rsidRDefault="001454D6" w:rsidP="001454D6">
      <w:pPr>
        <w:jc w:val="both"/>
      </w:pPr>
      <w:r w:rsidRPr="001454D6">
        <w:t xml:space="preserve">U postupku analize tržišta obuhvaćenog Preporukom smatra se da su spomenuta mjerila ispunjena, osim ako HAKOM utvrdi da zbog posebnih okolnosti na tržištu jedno ili više mjerila nije ispunjeno. </w:t>
      </w:r>
    </w:p>
    <w:p w:rsidR="00173663" w:rsidRPr="001454D6" w:rsidRDefault="00173663" w:rsidP="001454D6">
      <w:pPr>
        <w:jc w:val="both"/>
      </w:pPr>
    </w:p>
    <w:p w:rsidR="001454D6" w:rsidRDefault="001454D6" w:rsidP="001454D6">
      <w:pPr>
        <w:jc w:val="both"/>
      </w:pPr>
      <w:r w:rsidRPr="001454D6">
        <w:t xml:space="preserve">U postupku analize tržišta HAKOM procjenjuje razvoj tog mjerodavnog tržišta u određenom razdoblju u odsustvu regulacije, uzimajući u obzir sve sljedeće okolnosti: </w:t>
      </w:r>
    </w:p>
    <w:p w:rsidR="00173663" w:rsidRPr="001454D6" w:rsidRDefault="00173663" w:rsidP="001454D6">
      <w:pPr>
        <w:jc w:val="both"/>
      </w:pPr>
    </w:p>
    <w:p w:rsidR="001454D6" w:rsidRDefault="001454D6" w:rsidP="00766501">
      <w:pPr>
        <w:pStyle w:val="ListParagraph"/>
        <w:numPr>
          <w:ilvl w:val="0"/>
          <w:numId w:val="4"/>
        </w:numPr>
        <w:jc w:val="both"/>
      </w:pPr>
      <w:r w:rsidRPr="001454D6">
        <w:t xml:space="preserve">razvoj događaja na tržištu koji utječu na mogućnost razvoja učinkovitog tržišnog natjecanja na mjerodavnom tržištu </w:t>
      </w:r>
    </w:p>
    <w:p w:rsidR="00173663" w:rsidRPr="001454D6" w:rsidRDefault="00173663" w:rsidP="00173663">
      <w:pPr>
        <w:pStyle w:val="ListParagraph"/>
        <w:jc w:val="both"/>
      </w:pPr>
    </w:p>
    <w:p w:rsidR="001454D6" w:rsidRDefault="001454D6" w:rsidP="00766501">
      <w:pPr>
        <w:pStyle w:val="ListParagraph"/>
        <w:numPr>
          <w:ilvl w:val="0"/>
          <w:numId w:val="4"/>
        </w:numPr>
        <w:jc w:val="both"/>
      </w:pPr>
      <w:r w:rsidRPr="001454D6">
        <w:t xml:space="preserve">sve bitne konkurentske pritiske na veleprodajnoj i maloprodajnoj razini, neovisno o tome jesu li takvi pritisci proizašli iz elektroničkih komunikacijskih mreža, elektroničkih komunikacijskih usluga ili druge vrste usluga ili aplikacija koje su usporedive iz gledišta krajnjeg korisnika, te neovisno o tome jesu li takvi pritisci dio mjerodavnog tržišta </w:t>
      </w:r>
    </w:p>
    <w:p w:rsidR="00173663" w:rsidRDefault="00173663" w:rsidP="00173663">
      <w:pPr>
        <w:pStyle w:val="ListParagraph"/>
      </w:pPr>
    </w:p>
    <w:p w:rsidR="001454D6" w:rsidRDefault="001454D6" w:rsidP="00766501">
      <w:pPr>
        <w:pStyle w:val="ListParagraph"/>
        <w:numPr>
          <w:ilvl w:val="0"/>
          <w:numId w:val="4"/>
        </w:numPr>
        <w:jc w:val="both"/>
      </w:pPr>
      <w:r w:rsidRPr="001454D6">
        <w:t>druge važeće propise ili obveze koje utječu na mjerodavno tržište, ili povezano maloprodajno tržište, ili tržišta u određenom razdoblju, uključujući bez ograničenja obveze određene u skladu s člancima 65., 92. i 93. ZEK-a</w:t>
      </w:r>
    </w:p>
    <w:p w:rsidR="00173663" w:rsidRDefault="00173663" w:rsidP="00173663">
      <w:pPr>
        <w:pStyle w:val="ListParagraph"/>
      </w:pPr>
    </w:p>
    <w:p w:rsidR="001454D6" w:rsidRDefault="001454D6" w:rsidP="00766501">
      <w:pPr>
        <w:pStyle w:val="ListParagraph"/>
        <w:numPr>
          <w:ilvl w:val="0"/>
          <w:numId w:val="4"/>
        </w:numPr>
        <w:jc w:val="both"/>
      </w:pPr>
      <w:r w:rsidRPr="001454D6">
        <w:t>važeće regulatorne obveze određene na drugim mjerodavnim tržištima u skladu s odredbama članka 100. ZEK-a.</w:t>
      </w:r>
    </w:p>
    <w:p w:rsidR="00173663" w:rsidRDefault="00173663" w:rsidP="00173663">
      <w:pPr>
        <w:pStyle w:val="ListParagraph"/>
      </w:pPr>
    </w:p>
    <w:p w:rsidR="00173663" w:rsidRPr="001454D6" w:rsidRDefault="00173663" w:rsidP="00173663">
      <w:pPr>
        <w:pStyle w:val="ListParagraph"/>
        <w:jc w:val="both"/>
      </w:pPr>
    </w:p>
    <w:p w:rsidR="00173663" w:rsidRDefault="001454D6" w:rsidP="00173663">
      <w:pPr>
        <w:jc w:val="both"/>
      </w:pPr>
      <w:r w:rsidRPr="001454D6">
        <w:t xml:space="preserve">Agencija provodi analizu mjerodavnog tržišta, prema potrebi, u suradnji s tijelom nadležnim za zaštitu tržišnog natjecanja, pri čemu u najvećoj mjeri uzima u obzir mjerodavne smjernice za analizu tržišta i ocjenu značajne tržišne snage, te mora provoditi postupke u skladu s člancima 30. i 37. ZEK-a. </w:t>
      </w:r>
    </w:p>
    <w:p w:rsidR="00173663" w:rsidRDefault="00173663">
      <w:r>
        <w:br w:type="page"/>
      </w:r>
    </w:p>
    <w:p w:rsidR="00D7024A" w:rsidRPr="007F7FCF" w:rsidRDefault="00D7024A" w:rsidP="007F7FCF">
      <w:pPr>
        <w:pStyle w:val="Heading1"/>
      </w:pPr>
      <w:bookmarkStart w:id="31" w:name="_Toc124514416"/>
      <w:bookmarkStart w:id="32" w:name="_Toc124946923"/>
      <w:bookmarkStart w:id="33" w:name="_Toc124948833"/>
      <w:bookmarkStart w:id="34" w:name="_Toc124951728"/>
      <w:bookmarkStart w:id="35" w:name="_Toc125644878"/>
      <w:bookmarkEnd w:id="16"/>
      <w:bookmarkEnd w:id="17"/>
      <w:bookmarkEnd w:id="18"/>
      <w:r w:rsidRPr="007F7FCF">
        <w:t>Određivanje granica mjerodavnog tržišta</w:t>
      </w:r>
      <w:bookmarkEnd w:id="31"/>
      <w:bookmarkEnd w:id="32"/>
      <w:bookmarkEnd w:id="33"/>
      <w:bookmarkEnd w:id="34"/>
      <w:bookmarkEnd w:id="35"/>
    </w:p>
    <w:p w:rsidR="00D7024A" w:rsidRPr="007F7FCF" w:rsidRDefault="00D7024A" w:rsidP="007F7FCF">
      <w:pPr>
        <w:pStyle w:val="Heading2"/>
      </w:pPr>
      <w:bookmarkStart w:id="36" w:name="_Toc11833517"/>
      <w:bookmarkStart w:id="37" w:name="_Toc105595996"/>
      <w:bookmarkStart w:id="38" w:name="_Toc124462523"/>
      <w:bookmarkStart w:id="39" w:name="_Toc124514417"/>
      <w:bookmarkStart w:id="40" w:name="_Ref124775352"/>
      <w:bookmarkStart w:id="41" w:name="_Ref124782146"/>
      <w:bookmarkStart w:id="42" w:name="_Ref124920764"/>
      <w:bookmarkStart w:id="43" w:name="_Ref124920925"/>
      <w:bookmarkStart w:id="44" w:name="_Toc124946924"/>
      <w:bookmarkStart w:id="45" w:name="_Toc124948834"/>
      <w:bookmarkStart w:id="46" w:name="_Toc124951729"/>
      <w:bookmarkStart w:id="47" w:name="_Ref125565383"/>
      <w:bookmarkStart w:id="48" w:name="_Ref125565402"/>
      <w:bookmarkStart w:id="49" w:name="_Ref125565713"/>
      <w:bookmarkStart w:id="50" w:name="_Ref125565881"/>
      <w:bookmarkStart w:id="51" w:name="_Toc125644879"/>
      <w:r w:rsidRPr="007F7FCF">
        <w:t>Stanje na tržištu širokopojasnog pristupa u RH</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rsidR="00D7024A" w:rsidRPr="00812C3F" w:rsidRDefault="00D7024A" w:rsidP="00D7024A">
      <w:pPr>
        <w:jc w:val="both"/>
        <w:rPr>
          <w:rFonts w:eastAsia="Times New Roman"/>
          <w:color w:val="000000"/>
        </w:rPr>
      </w:pPr>
      <w:r w:rsidRPr="00812C3F">
        <w:rPr>
          <w:rFonts w:eastAsia="Times New Roman"/>
          <w:color w:val="000000"/>
        </w:rPr>
        <w:t xml:space="preserve">U razdoblju od posljednje analize tržišta </w:t>
      </w:r>
      <w:r w:rsidR="003673F0">
        <w:rPr>
          <w:rFonts w:eastAsia="Times New Roman"/>
          <w:color w:val="000000"/>
        </w:rPr>
        <w:t>iz</w:t>
      </w:r>
      <w:r w:rsidRPr="00812C3F">
        <w:rPr>
          <w:rFonts w:eastAsia="Times New Roman"/>
          <w:color w:val="000000"/>
        </w:rPr>
        <w:t xml:space="preserve"> 201</w:t>
      </w:r>
      <w:r w:rsidR="003673F0">
        <w:rPr>
          <w:rFonts w:eastAsia="Times New Roman"/>
          <w:color w:val="000000"/>
        </w:rPr>
        <w:t>9</w:t>
      </w:r>
      <w:r w:rsidRPr="00812C3F">
        <w:rPr>
          <w:rFonts w:eastAsia="Times New Roman"/>
          <w:color w:val="000000"/>
        </w:rPr>
        <w:t>., došlo je do značajnih promjena na tržištu. Naime, kao što je vidljivo iz dijagrama na donjoj slici (</w:t>
      </w:r>
      <w:r w:rsidR="00910639">
        <w:rPr>
          <w:rFonts w:eastAsia="Times New Roman"/>
          <w:color w:val="000000"/>
        </w:rPr>
        <w:fldChar w:fldCharType="begin"/>
      </w:r>
      <w:r w:rsidR="00910639">
        <w:rPr>
          <w:rFonts w:eastAsia="Times New Roman"/>
          <w:color w:val="000000"/>
        </w:rPr>
        <w:instrText xml:space="preserve"> REF _Ref125571741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1</w:t>
      </w:r>
      <w:r w:rsidR="00910639">
        <w:rPr>
          <w:rFonts w:eastAsia="Times New Roman"/>
          <w:color w:val="000000"/>
        </w:rPr>
        <w:fldChar w:fldCharType="end"/>
      </w:r>
      <w:r w:rsidRPr="00812C3F">
        <w:rPr>
          <w:rFonts w:eastAsia="Times New Roman"/>
          <w:color w:val="000000"/>
        </w:rPr>
        <w:t>)</w:t>
      </w:r>
      <w:r w:rsidR="003673F0">
        <w:rPr>
          <w:rFonts w:eastAsia="Times New Roman"/>
          <w:color w:val="000000"/>
        </w:rPr>
        <w:t>,</w:t>
      </w:r>
      <w:r w:rsidRPr="00812C3F">
        <w:rPr>
          <w:rFonts w:eastAsia="Times New Roman"/>
          <w:color w:val="000000"/>
        </w:rPr>
        <w:t xml:space="preserve"> od 2018. nastavljen je ranije započeti trend značajnih ulaganja u mreže vrlo velikog kapaciteta (dalje: VHCN</w:t>
      </w:r>
      <w:r w:rsidRPr="00812C3F">
        <w:rPr>
          <w:rFonts w:eastAsia="Times New Roman"/>
          <w:color w:val="000000"/>
          <w:vertAlign w:val="superscript"/>
        </w:rPr>
        <w:footnoteReference w:id="12"/>
      </w:r>
      <w:r w:rsidRPr="00812C3F">
        <w:rPr>
          <w:rFonts w:eastAsia="Times New Roman"/>
          <w:color w:val="000000"/>
        </w:rPr>
        <w:t xml:space="preserve"> mreže, </w:t>
      </w:r>
      <w:proofErr w:type="spellStart"/>
      <w:r w:rsidRPr="00812C3F">
        <w:rPr>
          <w:rFonts w:eastAsia="Times New Roman"/>
          <w:color w:val="000000"/>
        </w:rPr>
        <w:t>eng</w:t>
      </w:r>
      <w:proofErr w:type="spellEnd"/>
      <w:r w:rsidRPr="00812C3F">
        <w:rPr>
          <w:rFonts w:eastAsia="Times New Roman"/>
          <w:color w:val="000000"/>
        </w:rPr>
        <w:t xml:space="preserve">. </w:t>
      </w:r>
      <w:proofErr w:type="spellStart"/>
      <w:r w:rsidRPr="00812C3F">
        <w:rPr>
          <w:rFonts w:eastAsia="Times New Roman"/>
          <w:color w:val="000000"/>
        </w:rPr>
        <w:t>Very</w:t>
      </w:r>
      <w:proofErr w:type="spellEnd"/>
      <w:r w:rsidRPr="00812C3F">
        <w:rPr>
          <w:rFonts w:eastAsia="Times New Roman"/>
          <w:color w:val="000000"/>
        </w:rPr>
        <w:t xml:space="preserve"> </w:t>
      </w:r>
      <w:proofErr w:type="spellStart"/>
      <w:r w:rsidRPr="00812C3F">
        <w:rPr>
          <w:rFonts w:eastAsia="Times New Roman"/>
          <w:color w:val="000000"/>
        </w:rPr>
        <w:t>High</w:t>
      </w:r>
      <w:proofErr w:type="spellEnd"/>
      <w:r w:rsidRPr="00812C3F">
        <w:rPr>
          <w:rFonts w:eastAsia="Times New Roman"/>
          <w:color w:val="000000"/>
        </w:rPr>
        <w:t xml:space="preserve"> </w:t>
      </w:r>
      <w:proofErr w:type="spellStart"/>
      <w:r w:rsidRPr="00812C3F">
        <w:rPr>
          <w:rFonts w:eastAsia="Times New Roman"/>
          <w:color w:val="000000"/>
        </w:rPr>
        <w:t>Capacity</w:t>
      </w:r>
      <w:proofErr w:type="spellEnd"/>
      <w:r w:rsidRPr="00812C3F">
        <w:rPr>
          <w:rFonts w:eastAsia="Times New Roman"/>
          <w:color w:val="000000"/>
        </w:rPr>
        <w:t xml:space="preserve"> Network), što prvenstveno podrazumijeva postavljanje novih svjetlovodnih pristupnih mreža te nadogradnju postojećih mreža kabelske televizije (HFC, </w:t>
      </w:r>
      <w:proofErr w:type="spellStart"/>
      <w:r w:rsidRPr="00812C3F">
        <w:rPr>
          <w:rFonts w:eastAsia="Times New Roman"/>
          <w:color w:val="000000"/>
        </w:rPr>
        <w:t>eng</w:t>
      </w:r>
      <w:proofErr w:type="spellEnd"/>
      <w:r w:rsidRPr="00812C3F">
        <w:rPr>
          <w:rFonts w:eastAsia="Times New Roman"/>
          <w:color w:val="000000"/>
        </w:rPr>
        <w:t xml:space="preserve">. </w:t>
      </w:r>
      <w:proofErr w:type="spellStart"/>
      <w:r w:rsidRPr="00812C3F">
        <w:rPr>
          <w:rFonts w:eastAsia="Times New Roman"/>
          <w:color w:val="000000"/>
        </w:rPr>
        <w:t>Hybrid</w:t>
      </w:r>
      <w:proofErr w:type="spellEnd"/>
      <w:r w:rsidRPr="00812C3F">
        <w:rPr>
          <w:rFonts w:eastAsia="Times New Roman"/>
          <w:color w:val="000000"/>
        </w:rPr>
        <w:t xml:space="preserve"> </w:t>
      </w:r>
      <w:proofErr w:type="spellStart"/>
      <w:r w:rsidRPr="00812C3F">
        <w:rPr>
          <w:rFonts w:eastAsia="Times New Roman"/>
          <w:color w:val="000000"/>
        </w:rPr>
        <w:t>Fiber</w:t>
      </w:r>
      <w:proofErr w:type="spellEnd"/>
      <w:r w:rsidRPr="00812C3F">
        <w:rPr>
          <w:rFonts w:eastAsia="Times New Roman"/>
          <w:color w:val="000000"/>
        </w:rPr>
        <w:t>/</w:t>
      </w:r>
      <w:proofErr w:type="spellStart"/>
      <w:r w:rsidRPr="00812C3F">
        <w:rPr>
          <w:rFonts w:eastAsia="Times New Roman"/>
          <w:color w:val="000000"/>
        </w:rPr>
        <w:t>Coax</w:t>
      </w:r>
      <w:proofErr w:type="spellEnd"/>
      <w:r w:rsidRPr="00812C3F">
        <w:rPr>
          <w:rFonts w:eastAsia="Times New Roman"/>
          <w:color w:val="000000"/>
        </w:rPr>
        <w:t>) na Docsis 3.1. standard. Prema podacima iz srpnja 2021.</w:t>
      </w:r>
      <w:r w:rsidRPr="00812C3F">
        <w:rPr>
          <w:rFonts w:eastAsia="Times New Roman"/>
          <w:color w:val="000000"/>
          <w:vertAlign w:val="superscript"/>
        </w:rPr>
        <w:footnoteReference w:id="13"/>
      </w:r>
      <w:r w:rsidRPr="00812C3F">
        <w:rPr>
          <w:rFonts w:eastAsia="Times New Roman"/>
          <w:color w:val="000000"/>
        </w:rPr>
        <w:t>, više od 51</w:t>
      </w:r>
      <w:r>
        <w:rPr>
          <w:rFonts w:eastAsia="Times New Roman"/>
          <w:color w:val="000000"/>
        </w:rPr>
        <w:t xml:space="preserve"> posto</w:t>
      </w:r>
      <w:r w:rsidRPr="00812C3F">
        <w:rPr>
          <w:rFonts w:eastAsia="Times New Roman"/>
          <w:color w:val="000000"/>
        </w:rPr>
        <w:t xml:space="preserve"> kućanstava u RH je bilo pokriveno VHCN mrežom, pri čemu je pokrivenost </w:t>
      </w:r>
      <w:proofErr w:type="spellStart"/>
      <w:r w:rsidRPr="00812C3F">
        <w:rPr>
          <w:rFonts w:eastAsia="Times New Roman"/>
          <w:color w:val="000000"/>
        </w:rPr>
        <w:t>FTTx</w:t>
      </w:r>
      <w:proofErr w:type="spellEnd"/>
      <w:r w:rsidRPr="00812C3F">
        <w:rPr>
          <w:rFonts w:eastAsia="Times New Roman"/>
          <w:color w:val="000000"/>
        </w:rPr>
        <w:t xml:space="preserve"> (što uključuje FTTH, FTTB i FTTDP) bila gotovo 39</w:t>
      </w:r>
      <w:r>
        <w:rPr>
          <w:rFonts w:eastAsia="Times New Roman"/>
          <w:color w:val="000000"/>
        </w:rPr>
        <w:t xml:space="preserve"> posto</w:t>
      </w:r>
      <w:r w:rsidRPr="00812C3F">
        <w:rPr>
          <w:rFonts w:eastAsia="Times New Roman"/>
          <w:color w:val="000000"/>
        </w:rPr>
        <w:t>. Značajan je udio i pokrivanja kabelskom HFC mrežom koja je nadograđena na Docsis 3.1. standard. U srpnju 2021. ono je iznosilo 34,5</w:t>
      </w:r>
      <w:r>
        <w:rPr>
          <w:rFonts w:eastAsia="Times New Roman"/>
          <w:color w:val="000000"/>
        </w:rPr>
        <w:t xml:space="preserve"> posto</w:t>
      </w:r>
      <w:r w:rsidRPr="00812C3F">
        <w:rPr>
          <w:rFonts w:eastAsia="Times New Roman"/>
          <w:color w:val="000000"/>
        </w:rPr>
        <w:t xml:space="preserve">.  </w:t>
      </w:r>
    </w:p>
    <w:p w:rsidR="00D7024A" w:rsidRPr="00812C3F" w:rsidRDefault="00D7024A" w:rsidP="00D7024A">
      <w:pPr>
        <w:jc w:val="both"/>
        <w:rPr>
          <w:rFonts w:eastAsia="Times New Roman"/>
          <w:color w:val="000000"/>
        </w:rPr>
      </w:pPr>
    </w:p>
    <w:p w:rsidR="00D7024A" w:rsidRPr="00812C3F" w:rsidRDefault="00356E5C" w:rsidP="000C3571">
      <w:pPr>
        <w:pStyle w:val="Caption"/>
        <w:spacing w:after="0"/>
        <w:rPr>
          <w:rFonts w:eastAsia="Times New Roman"/>
          <w:b/>
          <w:bCs/>
          <w:color w:val="4F81BD"/>
        </w:rPr>
      </w:pPr>
      <w:bookmarkStart w:id="52" w:name="_Ref125571741"/>
      <w:bookmarkStart w:id="53" w:name="_Ref123063337"/>
      <w:r>
        <w:t xml:space="preserve">Slika </w:t>
      </w:r>
      <w:r w:rsidR="00C60C6F">
        <w:fldChar w:fldCharType="begin"/>
      </w:r>
      <w:r w:rsidR="00C60C6F">
        <w:instrText xml:space="preserve"> SEQ Slika \* ARABIC </w:instrText>
      </w:r>
      <w:r w:rsidR="00C60C6F">
        <w:fldChar w:fldCharType="separate"/>
      </w:r>
      <w:r w:rsidR="006A29BC">
        <w:rPr>
          <w:noProof/>
        </w:rPr>
        <w:t>1</w:t>
      </w:r>
      <w:r w:rsidR="00C60C6F">
        <w:rPr>
          <w:noProof/>
        </w:rPr>
        <w:fldChar w:fldCharType="end"/>
      </w:r>
      <w:bookmarkEnd w:id="52"/>
      <w:r>
        <w:t xml:space="preserve"> </w:t>
      </w:r>
      <w:bookmarkEnd w:id="53"/>
      <w:r w:rsidR="00D7024A" w:rsidRPr="00356E5C">
        <w:t>Pokrivanje VHCN i FTTP mrežama kroz godine</w:t>
      </w:r>
    </w:p>
    <w:p w:rsidR="00D7024A" w:rsidRPr="00812C3F" w:rsidRDefault="00D7024A" w:rsidP="00D7024A">
      <w:pPr>
        <w:jc w:val="both"/>
        <w:rPr>
          <w:rFonts w:eastAsia="Times New Roman"/>
          <w:color w:val="000000"/>
        </w:rPr>
      </w:pPr>
      <w:r w:rsidRPr="00812C3F">
        <w:rPr>
          <w:rFonts w:eastAsia="Times New Roman"/>
          <w:noProof/>
          <w:color w:val="000000"/>
          <w:lang w:val="en-US"/>
        </w:rPr>
        <w:drawing>
          <wp:inline distT="0" distB="0" distL="0" distR="0" wp14:anchorId="6367A151" wp14:editId="4153B129">
            <wp:extent cx="4773810" cy="1785257"/>
            <wp:effectExtent l="0" t="0" r="8255" b="5715"/>
            <wp:docPr id="16" name="Picture 16" descr="C:\Users\msikirica\Downloads\compare-the-evolution-of-two-indicato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sikirica\Downloads\compare-the-evolution-of-two-indicators.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66871" cy="1857456"/>
                    </a:xfrm>
                    <a:prstGeom prst="rect">
                      <a:avLst/>
                    </a:prstGeom>
                    <a:noFill/>
                    <a:ln>
                      <a:noFill/>
                    </a:ln>
                  </pic:spPr>
                </pic:pic>
              </a:graphicData>
            </a:graphic>
          </wp:inline>
        </w:drawing>
      </w:r>
    </w:p>
    <w:p w:rsidR="00D7024A" w:rsidRPr="00812C3F" w:rsidRDefault="00D7024A" w:rsidP="00D7024A">
      <w:pPr>
        <w:jc w:val="both"/>
        <w:rPr>
          <w:rFonts w:eastAsia="Times New Roman"/>
          <w:color w:val="000000"/>
        </w:rPr>
      </w:pPr>
    </w:p>
    <w:p w:rsidR="00D7024A" w:rsidRPr="00812C3F" w:rsidRDefault="00356E5C" w:rsidP="000C3571">
      <w:pPr>
        <w:pStyle w:val="Caption"/>
        <w:spacing w:after="0"/>
        <w:rPr>
          <w:rFonts w:eastAsia="Times New Roman"/>
          <w:b/>
          <w:bCs/>
          <w:iCs w:val="0"/>
          <w:color w:val="4F81BD"/>
        </w:rPr>
      </w:pPr>
      <w:r>
        <w:t xml:space="preserve">Slika </w:t>
      </w:r>
      <w:r w:rsidR="00C60C6F">
        <w:fldChar w:fldCharType="begin"/>
      </w:r>
      <w:r w:rsidR="00C60C6F">
        <w:instrText xml:space="preserve"> SEQ Slika \* ARAB</w:instrText>
      </w:r>
      <w:r w:rsidR="00C60C6F">
        <w:instrText xml:space="preserve">IC </w:instrText>
      </w:r>
      <w:r w:rsidR="00C60C6F">
        <w:fldChar w:fldCharType="separate"/>
      </w:r>
      <w:r w:rsidR="006A29BC">
        <w:rPr>
          <w:noProof/>
        </w:rPr>
        <w:t>2</w:t>
      </w:r>
      <w:r w:rsidR="00C60C6F">
        <w:rPr>
          <w:noProof/>
        </w:rPr>
        <w:fldChar w:fldCharType="end"/>
      </w:r>
      <w:r w:rsidR="00D7024A" w:rsidRPr="00812C3F">
        <w:rPr>
          <w:rFonts w:eastAsia="Times New Roman"/>
          <w:b/>
          <w:bCs/>
          <w:iCs w:val="0"/>
          <w:color w:val="4F81BD"/>
        </w:rPr>
        <w:t xml:space="preserve"> </w:t>
      </w:r>
      <w:r w:rsidR="00D7024A" w:rsidRPr="00356E5C">
        <w:t>Pokrivanje FTTP i HFC kabelskom mrežom (Docsis 3.0. i Docsis 3.1.)</w:t>
      </w:r>
    </w:p>
    <w:p w:rsidR="00D7024A" w:rsidRPr="00812C3F" w:rsidRDefault="00D7024A" w:rsidP="00D7024A">
      <w:pPr>
        <w:jc w:val="both"/>
        <w:rPr>
          <w:rFonts w:eastAsia="Times New Roman"/>
          <w:color w:val="000000"/>
        </w:rPr>
      </w:pPr>
      <w:r w:rsidRPr="00812C3F">
        <w:rPr>
          <w:rFonts w:eastAsia="Times New Roman"/>
          <w:noProof/>
          <w:color w:val="000000"/>
          <w:lang w:val="en-US"/>
        </w:rPr>
        <w:drawing>
          <wp:inline distT="0" distB="0" distL="0" distR="0" wp14:anchorId="5A34C35C" wp14:editId="04C2998B">
            <wp:extent cx="4830791" cy="2133600"/>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60905" cy="2191067"/>
                    </a:xfrm>
                    <a:prstGeom prst="rect">
                      <a:avLst/>
                    </a:prstGeom>
                    <a:noFill/>
                  </pic:spPr>
                </pic:pic>
              </a:graphicData>
            </a:graphic>
          </wp:inline>
        </w:drawing>
      </w:r>
    </w:p>
    <w:p w:rsidR="00D7024A" w:rsidRPr="00356E5C" w:rsidRDefault="00D7024A" w:rsidP="00D7024A">
      <w:pPr>
        <w:jc w:val="both"/>
        <w:rPr>
          <w:i/>
          <w:iCs/>
          <w:color w:val="44546A" w:themeColor="text2"/>
          <w:sz w:val="18"/>
          <w:szCs w:val="18"/>
        </w:rPr>
      </w:pPr>
      <w:r w:rsidRPr="00356E5C">
        <w:rPr>
          <w:i/>
          <w:iCs/>
          <w:color w:val="44546A" w:themeColor="text2"/>
          <w:sz w:val="18"/>
          <w:szCs w:val="18"/>
        </w:rPr>
        <w:t>Izvor: Studija Europske komisije „</w:t>
      </w:r>
      <w:proofErr w:type="spellStart"/>
      <w:r w:rsidRPr="00356E5C">
        <w:rPr>
          <w:i/>
          <w:iCs/>
          <w:color w:val="44546A" w:themeColor="text2"/>
          <w:sz w:val="18"/>
          <w:szCs w:val="18"/>
        </w:rPr>
        <w:t>Broadband</w:t>
      </w:r>
      <w:proofErr w:type="spellEnd"/>
      <w:r w:rsidRPr="00356E5C">
        <w:rPr>
          <w:i/>
          <w:iCs/>
          <w:color w:val="44546A" w:themeColor="text2"/>
          <w:sz w:val="18"/>
          <w:szCs w:val="18"/>
        </w:rPr>
        <w:t xml:space="preserve"> </w:t>
      </w:r>
      <w:proofErr w:type="spellStart"/>
      <w:r w:rsidRPr="00356E5C">
        <w:rPr>
          <w:i/>
          <w:iCs/>
          <w:color w:val="44546A" w:themeColor="text2"/>
          <w:sz w:val="18"/>
          <w:szCs w:val="18"/>
        </w:rPr>
        <w:t>coverage</w:t>
      </w:r>
      <w:proofErr w:type="spellEnd"/>
      <w:r w:rsidRPr="00356E5C">
        <w:rPr>
          <w:i/>
          <w:iCs/>
          <w:color w:val="44546A" w:themeColor="text2"/>
          <w:sz w:val="18"/>
          <w:szCs w:val="18"/>
        </w:rPr>
        <w:t xml:space="preserve"> </w:t>
      </w:r>
      <w:proofErr w:type="spellStart"/>
      <w:r w:rsidRPr="00356E5C">
        <w:rPr>
          <w:i/>
          <w:iCs/>
          <w:color w:val="44546A" w:themeColor="text2"/>
          <w:sz w:val="18"/>
          <w:szCs w:val="18"/>
        </w:rPr>
        <w:t>in</w:t>
      </w:r>
      <w:proofErr w:type="spellEnd"/>
      <w:r w:rsidRPr="00356E5C">
        <w:rPr>
          <w:i/>
          <w:iCs/>
          <w:color w:val="44546A" w:themeColor="text2"/>
          <w:sz w:val="18"/>
          <w:szCs w:val="18"/>
        </w:rPr>
        <w:t xml:space="preserve"> Europe“</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Dakle, iz prethodno iznesenih podataka</w:t>
      </w:r>
      <w:r w:rsidR="003673F0">
        <w:rPr>
          <w:rFonts w:eastAsia="Times New Roman"/>
          <w:color w:val="000000"/>
        </w:rPr>
        <w:t>,</w:t>
      </w:r>
      <w:r w:rsidRPr="00812C3F">
        <w:rPr>
          <w:rFonts w:eastAsia="Times New Roman"/>
          <w:color w:val="000000"/>
        </w:rPr>
        <w:t xml:space="preserve"> vidljivo je da je u RH po pokrivenosti od VHCN mreža najzastupljenija svjetlovodna mreža koja je u posljednjih nekoliko godina po pokrivenosti prestigla kabelsku HFC tehnologiju. Kabelska HFC tehnologija se s druge strane nadograđuje na najnovije Docsis 3.x standarde čime ta tehnologija po pristupnim brzinama prati svjetlovodnu tehnologiju.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tim u vezi, važno je istaknuti kako u RH nije ravnomjerno pokrivanje VHCN mrežama, odnosno da postoje značajne razlike u razini pokrivenosti prvenstveno između ruralnih i urbanih područja. Gornji podaci o pokrivenosti se odnose na ukupnu pokrivenost - uzimajući u obzir sva kućanstva u RH. Međutim, promatrajući pokrivenost ruralnih kućanstava VHCN mrežama, vidljivo je kako su ti podaci značajno lošiji u odnosu na podatke o ukupnoj pokrivenosti </w:t>
      </w:r>
      <w:r w:rsidR="002F7C84">
        <w:rPr>
          <w:rFonts w:eastAsia="Times New Roman"/>
          <w:color w:val="000000"/>
        </w:rPr>
        <w:t>(</w:t>
      </w:r>
      <w:r w:rsidR="00910639">
        <w:rPr>
          <w:rFonts w:eastAsia="Times New Roman"/>
          <w:bCs/>
          <w:color w:val="000000"/>
          <w:szCs w:val="18"/>
        </w:rPr>
        <w:fldChar w:fldCharType="begin"/>
      </w:r>
      <w:r w:rsidR="00910639">
        <w:rPr>
          <w:rFonts w:eastAsia="Times New Roman"/>
          <w:color w:val="000000"/>
        </w:rPr>
        <w:instrText xml:space="preserve"> REF _Ref107489987 \h </w:instrText>
      </w:r>
      <w:r w:rsidR="00910639">
        <w:rPr>
          <w:rFonts w:eastAsia="Times New Roman"/>
          <w:bCs/>
          <w:color w:val="000000"/>
          <w:szCs w:val="18"/>
        </w:rPr>
      </w:r>
      <w:r w:rsidR="00910639">
        <w:rPr>
          <w:rFonts w:eastAsia="Times New Roman"/>
          <w:bCs/>
          <w:color w:val="000000"/>
          <w:szCs w:val="18"/>
        </w:rPr>
        <w:fldChar w:fldCharType="separate"/>
      </w:r>
      <w:r w:rsidR="00910639">
        <w:t xml:space="preserve">Slika </w:t>
      </w:r>
      <w:r w:rsidR="00910639">
        <w:rPr>
          <w:noProof/>
        </w:rPr>
        <w:t>3</w:t>
      </w:r>
      <w:r w:rsidR="00910639">
        <w:rPr>
          <w:rFonts w:eastAsia="Times New Roman"/>
          <w:bCs/>
          <w:color w:val="000000"/>
          <w:szCs w:val="18"/>
        </w:rPr>
        <w:fldChar w:fldCharType="end"/>
      </w:r>
      <w:r w:rsidRPr="00812C3F">
        <w:rPr>
          <w:rFonts w:eastAsia="Times New Roman"/>
          <w:color w:val="000000"/>
        </w:rPr>
        <w:t>). Naime, prema podacima iz srpnja 2021. samo 14% ruralnih kućanstava je pokriveno VHCN mrežom, pri čemu je kabelskim HFC mrežama koje su nadograđene na Docsis 3.1. standard pokriveno 9,3% ruralnih kućanstava, a svjetlovodnom mrežom samo 7,1%. Podaci o velikoj razlici u pokrivanju VHCN mrežama u ruralnim područjima u odnosu na ostatak RH su prvi pokazatelj koji ukazuje na potencijalnu nehomogenost tržišnih uvjeta na području RH, odnosno na potrebu za detaljnom geografskom analizom te dimenzioniranjem regulatornih mjera sukladno tržišnim okolnostima na pojedinim geografskim područjima.</w:t>
      </w:r>
    </w:p>
    <w:p w:rsidR="00D7024A" w:rsidRPr="00812C3F" w:rsidRDefault="00D7024A" w:rsidP="00D7024A">
      <w:pPr>
        <w:jc w:val="both"/>
        <w:rPr>
          <w:rFonts w:eastAsia="Times New Roman"/>
          <w:color w:val="000000"/>
        </w:rPr>
      </w:pPr>
    </w:p>
    <w:p w:rsidR="00D7024A" w:rsidRPr="00356E5C" w:rsidRDefault="00356E5C" w:rsidP="000C3571">
      <w:pPr>
        <w:pStyle w:val="Caption"/>
        <w:spacing w:after="0"/>
      </w:pPr>
      <w:bookmarkStart w:id="54" w:name="_Ref107489987"/>
      <w:bookmarkStart w:id="55" w:name="_Ref123063720"/>
      <w:r>
        <w:t xml:space="preserve">Slika </w:t>
      </w:r>
      <w:r w:rsidR="00C60C6F">
        <w:fldChar w:fldCharType="begin"/>
      </w:r>
      <w:r w:rsidR="00C60C6F">
        <w:instrText xml:space="preserve"> SEQ Slika \* ARABIC </w:instrText>
      </w:r>
      <w:r w:rsidR="00C60C6F">
        <w:fldChar w:fldCharType="separate"/>
      </w:r>
      <w:r w:rsidR="006A29BC">
        <w:rPr>
          <w:noProof/>
        </w:rPr>
        <w:t>3</w:t>
      </w:r>
      <w:r w:rsidR="00C60C6F">
        <w:rPr>
          <w:noProof/>
        </w:rPr>
        <w:fldChar w:fldCharType="end"/>
      </w:r>
      <w:bookmarkEnd w:id="54"/>
      <w:bookmarkEnd w:id="55"/>
      <w:r w:rsidR="00D7024A" w:rsidRPr="00812C3F">
        <w:rPr>
          <w:rFonts w:eastAsia="Times New Roman"/>
          <w:b/>
          <w:bCs/>
          <w:color w:val="4F81BD"/>
        </w:rPr>
        <w:t xml:space="preserve"> </w:t>
      </w:r>
      <w:r w:rsidR="00D7024A" w:rsidRPr="00356E5C">
        <w:t>Pokrivanje FTTP i HFC kabelskom mrežom (Docsis 3.0. i Docsis 3.1.) u ruralnim područjima</w:t>
      </w:r>
      <w:r w:rsidR="00D7024A" w:rsidRPr="00356E5C">
        <w:rPr>
          <w:vertAlign w:val="superscript"/>
        </w:rPr>
        <w:footnoteReference w:id="14"/>
      </w:r>
    </w:p>
    <w:p w:rsidR="00D7024A" w:rsidRPr="00812C3F" w:rsidRDefault="00D7024A" w:rsidP="00D7024A">
      <w:pPr>
        <w:jc w:val="both"/>
        <w:rPr>
          <w:rFonts w:eastAsia="Times New Roman"/>
          <w:color w:val="000000"/>
        </w:rPr>
      </w:pPr>
      <w:r w:rsidRPr="00812C3F">
        <w:rPr>
          <w:rFonts w:eastAsia="Times New Roman"/>
          <w:noProof/>
          <w:color w:val="000000"/>
          <w:lang w:val="en-US"/>
        </w:rPr>
        <w:drawing>
          <wp:inline distT="0" distB="0" distL="0" distR="0" wp14:anchorId="2DEF7BC7" wp14:editId="34EFE847">
            <wp:extent cx="4800600" cy="292290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97376" cy="2981828"/>
                    </a:xfrm>
                    <a:prstGeom prst="rect">
                      <a:avLst/>
                    </a:prstGeom>
                    <a:noFill/>
                  </pic:spPr>
                </pic:pic>
              </a:graphicData>
            </a:graphic>
          </wp:inline>
        </w:drawing>
      </w:r>
    </w:p>
    <w:p w:rsidR="00D7024A" w:rsidRPr="00356E5C" w:rsidRDefault="00D7024A" w:rsidP="00D7024A">
      <w:pPr>
        <w:jc w:val="both"/>
        <w:rPr>
          <w:i/>
          <w:iCs/>
          <w:color w:val="44546A" w:themeColor="text2"/>
          <w:sz w:val="18"/>
          <w:szCs w:val="18"/>
        </w:rPr>
      </w:pPr>
      <w:r w:rsidRPr="00356E5C">
        <w:rPr>
          <w:i/>
          <w:iCs/>
          <w:color w:val="44546A" w:themeColor="text2"/>
          <w:sz w:val="18"/>
          <w:szCs w:val="18"/>
        </w:rPr>
        <w:t>Izvor: Studija Europske komisije „</w:t>
      </w:r>
      <w:proofErr w:type="spellStart"/>
      <w:r w:rsidRPr="00356E5C">
        <w:rPr>
          <w:i/>
          <w:iCs/>
          <w:color w:val="44546A" w:themeColor="text2"/>
          <w:sz w:val="18"/>
          <w:szCs w:val="18"/>
        </w:rPr>
        <w:t>Broadband</w:t>
      </w:r>
      <w:proofErr w:type="spellEnd"/>
      <w:r w:rsidRPr="00356E5C">
        <w:rPr>
          <w:i/>
          <w:iCs/>
          <w:color w:val="44546A" w:themeColor="text2"/>
          <w:sz w:val="18"/>
          <w:szCs w:val="18"/>
        </w:rPr>
        <w:t xml:space="preserve"> </w:t>
      </w:r>
      <w:proofErr w:type="spellStart"/>
      <w:r w:rsidRPr="00356E5C">
        <w:rPr>
          <w:i/>
          <w:iCs/>
          <w:color w:val="44546A" w:themeColor="text2"/>
          <w:sz w:val="18"/>
          <w:szCs w:val="18"/>
        </w:rPr>
        <w:t>coverage</w:t>
      </w:r>
      <w:proofErr w:type="spellEnd"/>
      <w:r w:rsidRPr="00356E5C">
        <w:rPr>
          <w:i/>
          <w:iCs/>
          <w:color w:val="44546A" w:themeColor="text2"/>
          <w:sz w:val="18"/>
          <w:szCs w:val="18"/>
        </w:rPr>
        <w:t xml:space="preserve"> </w:t>
      </w:r>
      <w:proofErr w:type="spellStart"/>
      <w:r w:rsidRPr="00356E5C">
        <w:rPr>
          <w:i/>
          <w:iCs/>
          <w:color w:val="44546A" w:themeColor="text2"/>
          <w:sz w:val="18"/>
          <w:szCs w:val="18"/>
        </w:rPr>
        <w:t>in</w:t>
      </w:r>
      <w:proofErr w:type="spellEnd"/>
      <w:r w:rsidRPr="00356E5C">
        <w:rPr>
          <w:i/>
          <w:iCs/>
          <w:color w:val="44546A" w:themeColor="text2"/>
          <w:sz w:val="18"/>
          <w:szCs w:val="18"/>
        </w:rPr>
        <w:t xml:space="preserve"> Europe“</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U razdoblju na koje se odnosi ova analiza očekuje se nastavak trenda ulaganja u svjetlovodne mreže, posebice uzimajući u obzir činjenicu da u ovom trenutku RH u smislu pokrivenosti VHCN mrežama zaostaje za prosjekom EU kao i najave operatora o planiranom nastavku intenzivnih ulaganja u svjetlovodne mreže. Nastavak daljnjih ulaganja se može pratiti i kroz objave namjera postavljanja svjetlovodnih distribucijskih mreža koje su investitori sukladno odredbama važećeg pravilnika kojim je uređeno pitanje tehničkih i uporabnih uvjeta za svjetlovodne distribucijske mreže dužni objavljivati najmanje 60 dana prije početka postavljanja (</w:t>
      </w:r>
      <w:r w:rsidR="00910639">
        <w:rPr>
          <w:rFonts w:eastAsia="Times New Roman"/>
          <w:color w:val="000000"/>
        </w:rPr>
        <w:fldChar w:fldCharType="begin"/>
      </w:r>
      <w:r w:rsidR="00910639">
        <w:rPr>
          <w:rFonts w:eastAsia="Times New Roman"/>
          <w:color w:val="000000"/>
        </w:rPr>
        <w:instrText xml:space="preserve"> REF _Ref125571807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4</w:t>
      </w:r>
      <w:r w:rsidR="00910639">
        <w:rPr>
          <w:rFonts w:eastAsia="Times New Roman"/>
          <w:color w:val="000000"/>
        </w:rPr>
        <w:fldChar w:fldCharType="end"/>
      </w:r>
      <w:r w:rsidRPr="00812C3F">
        <w:rPr>
          <w:rFonts w:eastAsia="Times New Roman"/>
          <w:color w:val="000000"/>
        </w:rPr>
        <w:t>). Također, u narednom razdoblju se očekuje i postavljanje svjetlovodnih mreža koje se dijelom sufinanciraju sredstvima iz EU fondova. Međutim, daljnje širenje pokrivanja kabelskom mrežom ne očekuje se, posebno ne u značajnijem opsegu.</w:t>
      </w:r>
    </w:p>
    <w:p w:rsidR="000C3571" w:rsidRDefault="000C3571" w:rsidP="00356E5C">
      <w:pPr>
        <w:pStyle w:val="Caption"/>
      </w:pPr>
      <w:bookmarkStart w:id="56" w:name="_Ref107487920"/>
      <w:bookmarkStart w:id="57" w:name="_Ref123063831"/>
    </w:p>
    <w:p w:rsidR="00D7024A" w:rsidRPr="00812C3F" w:rsidRDefault="00356E5C" w:rsidP="000C3571">
      <w:pPr>
        <w:pStyle w:val="Caption"/>
        <w:spacing w:after="0"/>
        <w:rPr>
          <w:rFonts w:eastAsia="Times New Roman"/>
          <w:b/>
          <w:bCs/>
          <w:color w:val="4F81BD"/>
        </w:rPr>
      </w:pPr>
      <w:bookmarkStart w:id="58" w:name="_Ref125571807"/>
      <w:r>
        <w:t xml:space="preserve">Slika </w:t>
      </w:r>
      <w:r w:rsidR="00C60C6F">
        <w:fldChar w:fldCharType="begin"/>
      </w:r>
      <w:r w:rsidR="00C60C6F">
        <w:instrText xml:space="preserve"> SEQ Slika \* ARABIC </w:instrText>
      </w:r>
      <w:r w:rsidR="00C60C6F">
        <w:fldChar w:fldCharType="separate"/>
      </w:r>
      <w:r w:rsidR="006A29BC">
        <w:rPr>
          <w:noProof/>
        </w:rPr>
        <w:t>4</w:t>
      </w:r>
      <w:r w:rsidR="00C60C6F">
        <w:rPr>
          <w:noProof/>
        </w:rPr>
        <w:fldChar w:fldCharType="end"/>
      </w:r>
      <w:bookmarkEnd w:id="58"/>
      <w:r>
        <w:t xml:space="preserve"> </w:t>
      </w:r>
      <w:bookmarkEnd w:id="56"/>
      <w:bookmarkEnd w:id="57"/>
      <w:r w:rsidR="00D7024A" w:rsidRPr="00356E5C">
        <w:t>Objave namjera postavljanja SDM-a prema planovima završetka postavljanja</w:t>
      </w:r>
    </w:p>
    <w:p w:rsidR="00D7024A" w:rsidRPr="00812C3F" w:rsidRDefault="00D7024A" w:rsidP="00D7024A">
      <w:pPr>
        <w:jc w:val="both"/>
        <w:rPr>
          <w:rFonts w:eastAsia="Times New Roman"/>
          <w:color w:val="000000"/>
        </w:rPr>
      </w:pPr>
      <w:r>
        <w:rPr>
          <w:rFonts w:eastAsia="Times New Roman"/>
          <w:noProof/>
          <w:color w:val="000000"/>
          <w:lang w:val="en-US"/>
        </w:rPr>
        <w:drawing>
          <wp:inline distT="0" distB="0" distL="0" distR="0" wp14:anchorId="7208237F" wp14:editId="5F424A81">
            <wp:extent cx="4784271" cy="2875864"/>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87161" cy="2877601"/>
                    </a:xfrm>
                    <a:prstGeom prst="rect">
                      <a:avLst/>
                    </a:prstGeom>
                    <a:noFill/>
                  </pic:spPr>
                </pic:pic>
              </a:graphicData>
            </a:graphic>
          </wp:inline>
        </w:drawing>
      </w:r>
    </w:p>
    <w:p w:rsidR="00D7024A" w:rsidRPr="00356E5C" w:rsidRDefault="00D7024A" w:rsidP="00D7024A">
      <w:pPr>
        <w:jc w:val="both"/>
        <w:rPr>
          <w:i/>
          <w:iCs/>
          <w:color w:val="44546A" w:themeColor="text2"/>
          <w:sz w:val="18"/>
          <w:szCs w:val="18"/>
        </w:rPr>
      </w:pPr>
      <w:r w:rsidRPr="00356E5C">
        <w:rPr>
          <w:i/>
          <w:iCs/>
          <w:color w:val="44546A" w:themeColor="text2"/>
          <w:sz w:val="18"/>
          <w:szCs w:val="18"/>
        </w:rPr>
        <w:t>Izvor: HAKOM</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Kao posljedica ulaganja u VHCN mreže, u odnosu na posljednje trogodišnje razdoblje značajno se povećao raspon pristupnih brzina koje operatori imaju u svojoj maloprodajnoj ponudi tako da se danas nude širokopojasni priključci na svjetlovodnoj mreži s brzinom i od 2 Gbit/s/2 Gbit/s (silazna i uzlazna brzina su jednake i iznose 2 Gbit/s). Osnovne brzine pristupa koje se nude na svjetlovodnim mrežama su 200 Mbit/s/100 Mbit/s.</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druge strane i na kabelskoj HFC mreži (Docsis 3.1. standard) danas su dostupne brzine pristupa usporedive s brzinama koje se nude putem svjetlovodne mreže pa se tako na HFC mreži koja je nadograđena na Docsis 3.1. standard nude usluge širokopojasnog pristupa s brzinama pristupa od najnižih 200 Mbit/s/20 Mbit/s do najviše 1 Gbit/s/100 Mbit/s.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Ponuda viših brzina pristupa rezultirala je i povećanom potražnjom za većim brzinama što vrlo dobro ilustrira</w:t>
      </w:r>
      <w:r w:rsidRPr="00812C3F">
        <w:rPr>
          <w:rFonts w:eastAsia="Times New Roman"/>
        </w:rPr>
        <w:t xml:space="preserve"> </w:t>
      </w:r>
      <w:r w:rsidR="00910639">
        <w:rPr>
          <w:rFonts w:eastAsia="Times New Roman"/>
          <w:color w:val="000000"/>
        </w:rPr>
        <w:fldChar w:fldCharType="begin"/>
      </w:r>
      <w:r w:rsidR="00910639">
        <w:rPr>
          <w:rFonts w:eastAsia="Times New Roman"/>
        </w:rPr>
        <w:instrText xml:space="preserve"> REF _Ref123064037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5</w:t>
      </w:r>
      <w:r w:rsidR="00910639">
        <w:rPr>
          <w:rFonts w:eastAsia="Times New Roman"/>
          <w:color w:val="000000"/>
        </w:rPr>
        <w:fldChar w:fldCharType="end"/>
      </w:r>
      <w:r w:rsidRPr="00812C3F">
        <w:rPr>
          <w:rFonts w:eastAsia="Times New Roman"/>
          <w:color w:val="000000"/>
        </w:rPr>
        <w:t xml:space="preserve"> iz koje je vidljivo da broj priključaka nižih brzina (brzine do 30 Mbit/s) iz godine u godinu opada, dok broj priključaka u nepokretnim mrežama s višim brzinama pristupa kontinuirano raste pa je na kraju drugog tromjesečja 2022. potpuno preokrenuta situacija s početka 2018. jer je broj priključaka s brzinama od 30 Mbit/s ili više narastao na 669.841 s 269.015, koliko je iznosio na početku 2018. S druge strane broj priključaka s brzinama do 30 Mbit/s smanjen je na 400.355 s 827.672 koliko je iznosio na početku 2018.</w:t>
      </w:r>
    </w:p>
    <w:p w:rsidR="00D7024A" w:rsidRDefault="00D7024A" w:rsidP="00D7024A">
      <w:pPr>
        <w:jc w:val="both"/>
        <w:rPr>
          <w:rFonts w:eastAsia="Times New Roman"/>
          <w:color w:val="000000"/>
        </w:rPr>
      </w:pPr>
    </w:p>
    <w:p w:rsidR="00356E5C" w:rsidRDefault="00356E5C" w:rsidP="00D7024A">
      <w:pPr>
        <w:jc w:val="both"/>
        <w:rPr>
          <w:rFonts w:eastAsia="Times New Roman"/>
          <w:color w:val="000000"/>
        </w:rPr>
      </w:pPr>
    </w:p>
    <w:p w:rsidR="00356E5C" w:rsidRDefault="00356E5C" w:rsidP="00D7024A">
      <w:pPr>
        <w:jc w:val="both"/>
        <w:rPr>
          <w:rFonts w:eastAsia="Times New Roman"/>
          <w:color w:val="000000"/>
        </w:rPr>
      </w:pPr>
    </w:p>
    <w:p w:rsidR="00356E5C" w:rsidRDefault="00356E5C" w:rsidP="00D7024A">
      <w:pPr>
        <w:jc w:val="both"/>
        <w:rPr>
          <w:rFonts w:eastAsia="Times New Roman"/>
          <w:color w:val="000000"/>
        </w:rPr>
      </w:pPr>
    </w:p>
    <w:p w:rsidR="00356E5C" w:rsidRDefault="00356E5C" w:rsidP="00D7024A">
      <w:pPr>
        <w:jc w:val="both"/>
        <w:rPr>
          <w:rFonts w:eastAsia="Times New Roman"/>
          <w:color w:val="000000"/>
        </w:rPr>
      </w:pPr>
    </w:p>
    <w:p w:rsidR="00356E5C" w:rsidRDefault="00356E5C" w:rsidP="00D7024A">
      <w:pPr>
        <w:jc w:val="both"/>
        <w:rPr>
          <w:rFonts w:eastAsia="Times New Roman"/>
          <w:color w:val="000000"/>
        </w:rPr>
      </w:pPr>
    </w:p>
    <w:p w:rsidR="00356E5C" w:rsidRDefault="00356E5C" w:rsidP="00D7024A">
      <w:pPr>
        <w:jc w:val="both"/>
        <w:rPr>
          <w:rFonts w:eastAsia="Times New Roman"/>
          <w:color w:val="000000"/>
        </w:rPr>
      </w:pPr>
    </w:p>
    <w:p w:rsidR="000C3571" w:rsidRDefault="000C3571" w:rsidP="00D7024A">
      <w:pPr>
        <w:jc w:val="both"/>
        <w:rPr>
          <w:rFonts w:eastAsia="Times New Roman"/>
          <w:color w:val="000000"/>
        </w:rPr>
      </w:pPr>
    </w:p>
    <w:p w:rsidR="00356E5C" w:rsidRDefault="00356E5C" w:rsidP="00D7024A">
      <w:pPr>
        <w:jc w:val="both"/>
        <w:rPr>
          <w:rFonts w:eastAsia="Times New Roman"/>
          <w:color w:val="000000"/>
        </w:rPr>
      </w:pPr>
    </w:p>
    <w:p w:rsidR="00356E5C" w:rsidRPr="00812C3F" w:rsidRDefault="00356E5C" w:rsidP="00D7024A">
      <w:pPr>
        <w:jc w:val="both"/>
        <w:rPr>
          <w:rFonts w:eastAsia="Times New Roman"/>
          <w:color w:val="000000"/>
        </w:rPr>
      </w:pPr>
    </w:p>
    <w:p w:rsidR="00D7024A" w:rsidRPr="00812C3F" w:rsidRDefault="00356E5C" w:rsidP="000C3571">
      <w:pPr>
        <w:pStyle w:val="Caption"/>
        <w:spacing w:after="0"/>
        <w:rPr>
          <w:rFonts w:eastAsia="Times New Roman"/>
          <w:b/>
          <w:bCs/>
          <w:color w:val="4F81BD"/>
        </w:rPr>
      </w:pPr>
      <w:bookmarkStart w:id="59" w:name="_Ref123064037"/>
      <w:r>
        <w:t xml:space="preserve">Slika </w:t>
      </w:r>
      <w:r w:rsidR="00C60C6F">
        <w:fldChar w:fldCharType="begin"/>
      </w:r>
      <w:r w:rsidR="00C60C6F">
        <w:instrText xml:space="preserve"> SEQ Slika \* ARABIC </w:instrText>
      </w:r>
      <w:r w:rsidR="00C60C6F">
        <w:fldChar w:fldCharType="separate"/>
      </w:r>
      <w:r w:rsidR="006A29BC">
        <w:rPr>
          <w:noProof/>
        </w:rPr>
        <w:t>5</w:t>
      </w:r>
      <w:r w:rsidR="00C60C6F">
        <w:rPr>
          <w:noProof/>
        </w:rPr>
        <w:fldChar w:fldCharType="end"/>
      </w:r>
      <w:bookmarkEnd w:id="59"/>
      <w:r w:rsidR="00D7024A" w:rsidRPr="00812C3F">
        <w:rPr>
          <w:rFonts w:eastAsia="Times New Roman"/>
          <w:b/>
          <w:bCs/>
          <w:color w:val="4F81BD"/>
        </w:rPr>
        <w:t xml:space="preserve"> </w:t>
      </w:r>
      <w:r w:rsidR="00D7024A" w:rsidRPr="00356E5C">
        <w:t>Udio priključaka po brzinama</w:t>
      </w:r>
      <w:r w:rsidR="00D7024A" w:rsidRPr="00356E5C">
        <w:rPr>
          <w:vertAlign w:val="superscript"/>
        </w:rPr>
        <w:footnoteReference w:id="15"/>
      </w:r>
      <w:r w:rsidR="00D7024A" w:rsidRPr="00356E5C">
        <w:t xml:space="preserve"> u nepokretnim mrežama</w:t>
      </w:r>
    </w:p>
    <w:p w:rsidR="00D7024A" w:rsidRPr="00812C3F" w:rsidRDefault="00D7024A" w:rsidP="00D7024A">
      <w:pPr>
        <w:rPr>
          <w:rFonts w:eastAsia="Times New Roman"/>
          <w:color w:val="000000"/>
        </w:rPr>
      </w:pPr>
      <w:r w:rsidRPr="00812C3F">
        <w:rPr>
          <w:rFonts w:eastAsia="Times New Roman"/>
          <w:noProof/>
          <w:color w:val="000000"/>
          <w:lang w:val="en-US"/>
        </w:rPr>
        <w:drawing>
          <wp:inline distT="0" distB="0" distL="0" distR="0" wp14:anchorId="5C5E32D7" wp14:editId="1FC814DA">
            <wp:extent cx="4746171" cy="27844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53996" cy="2789066"/>
                    </a:xfrm>
                    <a:prstGeom prst="rect">
                      <a:avLst/>
                    </a:prstGeom>
                    <a:noFill/>
                  </pic:spPr>
                </pic:pic>
              </a:graphicData>
            </a:graphic>
          </wp:inline>
        </w:drawing>
      </w:r>
    </w:p>
    <w:p w:rsidR="00D7024A" w:rsidRPr="00356E5C" w:rsidRDefault="00D7024A" w:rsidP="00D7024A">
      <w:pPr>
        <w:rPr>
          <w:i/>
          <w:iCs/>
          <w:color w:val="44546A" w:themeColor="text2"/>
          <w:sz w:val="18"/>
          <w:szCs w:val="18"/>
        </w:rPr>
      </w:pPr>
      <w:r w:rsidRPr="00356E5C">
        <w:rPr>
          <w:i/>
          <w:iCs/>
          <w:color w:val="44546A" w:themeColor="text2"/>
          <w:sz w:val="18"/>
          <w:szCs w:val="18"/>
        </w:rPr>
        <w:t>Izvor: Tromjesečni upitnici HAKOM-a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Dakle, primjetan je trend sve veće potražnje za višim brzinama pristupa te pad potražnje za nižim brzinama pristupa, pri čemu je najizraženiji trend rasta za brzinama pristupa iznad 100 Mbit/s. Taj trend se može objasniti kako ponudom operatora koji žele utilizirati svoje VHCN mreže (čija utilizacija</w:t>
      </w:r>
      <w:r>
        <w:rPr>
          <w:rStyle w:val="FootnoteReference"/>
          <w:rFonts w:eastAsia="Times New Roman"/>
          <w:color w:val="000000"/>
        </w:rPr>
        <w:footnoteReference w:id="16"/>
      </w:r>
      <w:r w:rsidRPr="00812C3F">
        <w:rPr>
          <w:rFonts w:eastAsia="Times New Roman"/>
          <w:color w:val="000000"/>
        </w:rPr>
        <w:t xml:space="preserve"> nije zadovoljavajuća te se</w:t>
      </w:r>
      <w:r>
        <w:rPr>
          <w:rFonts w:eastAsia="Times New Roman"/>
          <w:color w:val="000000"/>
        </w:rPr>
        <w:t xml:space="preserve"> u prosjeku</w:t>
      </w:r>
      <w:r w:rsidRPr="00812C3F">
        <w:rPr>
          <w:rFonts w:eastAsia="Times New Roman"/>
          <w:color w:val="000000"/>
        </w:rPr>
        <w:t xml:space="preserve"> kreće oko </w:t>
      </w:r>
      <w:r>
        <w:rPr>
          <w:rFonts w:eastAsia="Times New Roman"/>
          <w:color w:val="000000"/>
        </w:rPr>
        <w:t>20</w:t>
      </w:r>
      <w:r w:rsidRPr="00812C3F">
        <w:rPr>
          <w:rFonts w:eastAsia="Times New Roman"/>
          <w:color w:val="000000"/>
        </w:rPr>
        <w:t xml:space="preserve"> </w:t>
      </w:r>
      <w:r>
        <w:rPr>
          <w:rFonts w:eastAsia="Times New Roman"/>
          <w:color w:val="000000"/>
        </w:rPr>
        <w:t>posto</w:t>
      </w:r>
      <w:r w:rsidRPr="00812C3F">
        <w:rPr>
          <w:rFonts w:eastAsia="Times New Roman"/>
          <w:color w:val="000000"/>
        </w:rPr>
        <w:t xml:space="preserve"> (svjetlovodne mreže) te oko 3</w:t>
      </w:r>
      <w:r>
        <w:rPr>
          <w:rFonts w:eastAsia="Times New Roman"/>
          <w:color w:val="000000"/>
        </w:rPr>
        <w:t>8</w:t>
      </w:r>
      <w:r w:rsidRPr="00812C3F">
        <w:rPr>
          <w:rFonts w:eastAsia="Times New Roman"/>
          <w:color w:val="000000"/>
        </w:rPr>
        <w:t xml:space="preserve"> </w:t>
      </w:r>
      <w:r>
        <w:rPr>
          <w:rFonts w:eastAsia="Times New Roman"/>
          <w:color w:val="000000"/>
        </w:rPr>
        <w:t xml:space="preserve"> posto </w:t>
      </w:r>
      <w:r w:rsidRPr="00812C3F">
        <w:rPr>
          <w:rFonts w:eastAsia="Times New Roman"/>
          <w:color w:val="000000"/>
        </w:rPr>
        <w:t>(HFC mreže)), tako i sve većim trendom potražnje za uslugama (OTT, online video igrice itd.) koje za svoje korištenje zahtijevaju sve veću pojasnu širinu, odnosno brzine pristupa kao i bolje druge parametre kvalitete koje omogućuju VHCN mreže (latencija, jitter, gubitak paketa).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druge strane, neovisno o prethodno opisanom trendu potražnje za većim brzinama pristupa, i dalje značajan broj korisnika zadržava niže pristupne brzine (do 30 Mbit/s). Također je primjetan značajan broj korisnika koji pristupaju brzinama pristupa između 30 Mbit/s i 100 Mbit/s. Jednim dijelom su to korisnici na bakrenoj infrastrukturi koja jednostavno ne omogućuje veće brzine, a korisnici iz nekog razloga ne žele prijeći na VHCN mrežu iako im je dostupna ili im jednostavno nije dostupna VHCN mreža. Međutim, jedan mali dio takvih korisnika (na kraju drugog tromjesečja 2022. ih je bilo nešto manje od 28.500 (2,7 </w:t>
      </w:r>
      <w:r>
        <w:rPr>
          <w:rFonts w:eastAsia="Times New Roman"/>
          <w:color w:val="000000"/>
        </w:rPr>
        <w:t>posto</w:t>
      </w:r>
      <w:r w:rsidRPr="00812C3F">
        <w:rPr>
          <w:rFonts w:eastAsia="Times New Roman"/>
          <w:color w:val="000000"/>
        </w:rPr>
        <w:t>)) te brzine pristupa ostvaruje putem VHCN mreža. To znači da postoji segment korisnika kojima veće pristupne brzine iz nekog razloga nisu zanimljive jer po svemu sudeći njihove potrebe su zadovoljene i s nižim brzinama pristupa. Međutim, isto tako, potrebno je naglasiti da ti korisnici koji su već priključeni na VHCN mrežu mogu bez ikakvih problema i troškova vrlo jednostavno prijeći na veće brzine pristupa kada će im trebati, dok korisnici koji nisu priključeni na VHCN mrežu to nisu u mogućnosti jer njihova mreža  (koja nije VHCN) u pravilu ne omogućuje veće brzine od 100 Mbit/s.</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Uz trend sve veće potražnje za višim brzinama pristupa prisutan je trend pada broja priključaka putem bakrene mreže te povećanje broja priključaka putem VHCN mreža. Iako je utilizacija novoizgrađenih svjetlovodnih mreža još uvijek ispod razine EU prosjeka, ipak se broj svjetlovodnih priključaka s vremenom povećava, a broj priključaka putem bakrene mreže opada (</w:t>
      </w:r>
      <w:r w:rsidR="00910639">
        <w:rPr>
          <w:rFonts w:eastAsia="Times New Roman"/>
          <w:color w:val="000000"/>
        </w:rPr>
        <w:fldChar w:fldCharType="begin"/>
      </w:r>
      <w:r w:rsidR="00910639">
        <w:rPr>
          <w:rFonts w:eastAsia="Times New Roman"/>
          <w:color w:val="000000"/>
        </w:rPr>
        <w:instrText xml:space="preserve"> REF _Ref107579257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6</w:t>
      </w:r>
      <w:r w:rsidR="00910639">
        <w:rPr>
          <w:rFonts w:eastAsia="Times New Roman"/>
          <w:color w:val="000000"/>
        </w:rPr>
        <w:fldChar w:fldCharType="end"/>
      </w:r>
      <w:r w:rsidRPr="00812C3F">
        <w:rPr>
          <w:rFonts w:eastAsia="Times New Roman"/>
          <w:color w:val="000000"/>
        </w:rPr>
        <w:t>). Broj priključaka putem kabelskih mreža se najmanje mijenja, a HAKOM isti trend očekuje i u budućem razdoblju, s obzirom da se pokrivenost kabelskih mreža ne povećava. HAKOM smatra da će se trend zamjene bakrenih priključaka VHCN priključcima u narednom periodu ipak ubrzati čemu bi sigurno doprinijelo i postupno gašenje bakrene mreže na područjima koja su u cijelosti pokrivena VHCN mrežama. Međutim, očekuje se da će ukupan broj priključaka putem bakrene pristupne mreže i dalje ostati značajan, dijelom zbog nedostupnosti VHCN mreža određenom broju korisnika, jednim dijelom i zbog toga jer se određeni broj korisnika ne želi spojiti na VHCN mrežu jer su zadovoljni postojećom brzinom pristupa ili iz nekog drugog razloga. Primjerice, prema informacijama koje HAKOM dobiva od operatora, jedan od češćih razloga zbog kojeg korisnici ne žele svoj priključak koji ostvaruju putem bakrene pristupne mreže zamijeniti svjetlovodnim je taj što ne žele da se u njihovom stanu obavljaju bilo kakvi radovi prilikom priključenja.</w:t>
      </w:r>
    </w:p>
    <w:p w:rsidR="00D7024A" w:rsidRPr="00812C3F" w:rsidRDefault="00D7024A" w:rsidP="00D7024A">
      <w:pPr>
        <w:jc w:val="both"/>
        <w:rPr>
          <w:rFonts w:eastAsia="Times New Roman"/>
          <w:color w:val="000000"/>
        </w:rPr>
      </w:pPr>
    </w:p>
    <w:p w:rsidR="00D7024A" w:rsidRPr="00356E5C" w:rsidRDefault="00356E5C" w:rsidP="000C3571">
      <w:pPr>
        <w:pStyle w:val="Caption"/>
        <w:spacing w:after="0"/>
      </w:pPr>
      <w:bookmarkStart w:id="60" w:name="_Ref107579257"/>
      <w:r>
        <w:t xml:space="preserve">Slika </w:t>
      </w:r>
      <w:r w:rsidR="00C60C6F">
        <w:fldChar w:fldCharType="begin"/>
      </w:r>
      <w:r w:rsidR="00C60C6F">
        <w:instrText xml:space="preserve"> SEQ Slika \* ARABIC </w:instrText>
      </w:r>
      <w:r w:rsidR="00C60C6F">
        <w:fldChar w:fldCharType="separate"/>
      </w:r>
      <w:r w:rsidR="006A29BC">
        <w:rPr>
          <w:noProof/>
        </w:rPr>
        <w:t>6</w:t>
      </w:r>
      <w:r w:rsidR="00C60C6F">
        <w:rPr>
          <w:noProof/>
        </w:rPr>
        <w:fldChar w:fldCharType="end"/>
      </w:r>
      <w:bookmarkEnd w:id="60"/>
      <w:r w:rsidR="00D7024A" w:rsidRPr="00812C3F">
        <w:rPr>
          <w:rFonts w:eastAsia="Times New Roman"/>
          <w:b/>
          <w:bCs/>
          <w:color w:val="4F81BD"/>
        </w:rPr>
        <w:t xml:space="preserve"> </w:t>
      </w:r>
      <w:r w:rsidR="00D7024A" w:rsidRPr="00356E5C">
        <w:t>Broj priključaka po različitim pristupnim mrežama</w:t>
      </w:r>
    </w:p>
    <w:p w:rsidR="00D7024A" w:rsidRPr="00812C3F" w:rsidRDefault="00D7024A" w:rsidP="00D7024A">
      <w:pPr>
        <w:jc w:val="both"/>
        <w:rPr>
          <w:rFonts w:eastAsia="Times New Roman"/>
          <w:color w:val="000000"/>
        </w:rPr>
      </w:pPr>
      <w:r w:rsidRPr="00812C3F">
        <w:rPr>
          <w:rFonts w:eastAsia="Times New Roman"/>
          <w:noProof/>
          <w:color w:val="000000"/>
          <w:lang w:val="en-US"/>
        </w:rPr>
        <w:drawing>
          <wp:inline distT="0" distB="0" distL="0" distR="0" wp14:anchorId="0A5A2010" wp14:editId="7F45E512">
            <wp:extent cx="4795157" cy="2594473"/>
            <wp:effectExtent l="0" t="0" r="571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39382" cy="2618402"/>
                    </a:xfrm>
                    <a:prstGeom prst="rect">
                      <a:avLst/>
                    </a:prstGeom>
                    <a:noFill/>
                  </pic:spPr>
                </pic:pic>
              </a:graphicData>
            </a:graphic>
          </wp:inline>
        </w:drawing>
      </w:r>
    </w:p>
    <w:p w:rsidR="00D7024A" w:rsidRPr="00356E5C" w:rsidRDefault="00D7024A" w:rsidP="00D7024A">
      <w:pPr>
        <w:rPr>
          <w:i/>
          <w:iCs/>
          <w:color w:val="44546A" w:themeColor="text2"/>
          <w:sz w:val="18"/>
          <w:szCs w:val="18"/>
        </w:rPr>
      </w:pPr>
      <w:r w:rsidRPr="00356E5C">
        <w:rPr>
          <w:i/>
          <w:iCs/>
          <w:color w:val="44546A" w:themeColor="text2"/>
          <w:sz w:val="18"/>
          <w:szCs w:val="18"/>
        </w:rPr>
        <w:t>Izvor: Tromjesečni upitnici HAKOM-a</w:t>
      </w:r>
    </w:p>
    <w:p w:rsidR="00D7024A" w:rsidRPr="00812C3F" w:rsidRDefault="00D7024A" w:rsidP="00D7024A">
      <w:pPr>
        <w:rPr>
          <w:rFonts w:eastAsia="Calibri" w:cs="Calibri"/>
          <w:color w:val="000000"/>
          <w:sz w:val="18"/>
        </w:rPr>
      </w:pPr>
    </w:p>
    <w:p w:rsidR="00D7024A" w:rsidRPr="00812C3F" w:rsidRDefault="00D7024A" w:rsidP="00D7024A">
      <w:pPr>
        <w:jc w:val="both"/>
        <w:rPr>
          <w:rFonts w:eastAsia="Times New Roman"/>
          <w:color w:val="000000"/>
        </w:rPr>
      </w:pPr>
      <w:r w:rsidRPr="00812C3F">
        <w:rPr>
          <w:rFonts w:eastAsia="Times New Roman"/>
          <w:color w:val="000000"/>
        </w:rPr>
        <w:t>Ova činjenica, da postoji segment korisnika kojima nisu potrebne brzine pristupa koje su ostvarive putem VHCN mreža iz razloga što su njihove potrebe zadovoljene i s nižim brzinama pristupa ukazuje na to da se maloprodajno tržište širokopojasnog pristupa može segmentirati po kapacitetu pristupne mreže, odnosno po ostvarivim brzinama pristupa te drugim parametrima kvalitete koji VHCN mreže razlikuju od mreža koje to nisu. Drugim riječima, HAKOM smatra kako više nije moguće zaključiti kako su sve usluge širokopojasnog pristupa (koje imaju različite brzine pristupa i drugih parametara kvalitete) sastavni dio istog maloprodajnog tržišta te da je maloprodajno tržište širokopojasnog pristupa potrebno segmentirati na dva podtržišta:</w:t>
      </w:r>
    </w:p>
    <w:p w:rsidR="00D7024A" w:rsidRPr="00812C3F" w:rsidRDefault="00D7024A" w:rsidP="00D7024A">
      <w:pPr>
        <w:jc w:val="both"/>
        <w:rPr>
          <w:rFonts w:eastAsia="Times New Roman"/>
          <w:color w:val="000000"/>
        </w:rPr>
      </w:pPr>
    </w:p>
    <w:p w:rsidR="00D7024A" w:rsidRPr="00812C3F" w:rsidRDefault="00D7024A" w:rsidP="00766501">
      <w:pPr>
        <w:numPr>
          <w:ilvl w:val="0"/>
          <w:numId w:val="45"/>
        </w:numPr>
        <w:contextualSpacing/>
        <w:jc w:val="both"/>
        <w:rPr>
          <w:rFonts w:eastAsia="Times New Roman"/>
          <w:color w:val="000000"/>
        </w:rPr>
      </w:pPr>
      <w:r w:rsidRPr="00812C3F">
        <w:rPr>
          <w:rFonts w:eastAsia="Times New Roman"/>
          <w:color w:val="000000"/>
        </w:rPr>
        <w:t xml:space="preserve">Tržište malog kapaciteta </w:t>
      </w:r>
    </w:p>
    <w:p w:rsidR="00D7024A" w:rsidRPr="00812C3F" w:rsidRDefault="00D7024A" w:rsidP="00766501">
      <w:pPr>
        <w:numPr>
          <w:ilvl w:val="0"/>
          <w:numId w:val="45"/>
        </w:numPr>
        <w:contextualSpacing/>
        <w:jc w:val="both"/>
        <w:rPr>
          <w:rFonts w:eastAsia="Times New Roman"/>
          <w:color w:val="000000"/>
        </w:rPr>
      </w:pPr>
      <w:r w:rsidRPr="00812C3F">
        <w:rPr>
          <w:rFonts w:eastAsia="Times New Roman"/>
          <w:color w:val="000000"/>
        </w:rPr>
        <w:t>Tržište velikog kapaciteta</w:t>
      </w:r>
    </w:p>
    <w:p w:rsidR="00356E5C" w:rsidRDefault="00356E5C" w:rsidP="00D7024A">
      <w:pPr>
        <w:ind w:left="720"/>
        <w:contextualSpacing/>
        <w:jc w:val="both"/>
        <w:rPr>
          <w:rFonts w:eastAsia="Times New Roman"/>
          <w:color w:val="000000"/>
        </w:rPr>
      </w:pPr>
    </w:p>
    <w:p w:rsidR="00356E5C" w:rsidRDefault="00356E5C" w:rsidP="00D7024A">
      <w:pPr>
        <w:ind w:left="720"/>
        <w:contextualSpacing/>
        <w:jc w:val="both"/>
        <w:rPr>
          <w:rFonts w:eastAsia="Times New Roman"/>
          <w:color w:val="000000"/>
        </w:rPr>
      </w:pPr>
    </w:p>
    <w:p w:rsidR="000C3571" w:rsidRDefault="000C3571" w:rsidP="00D7024A">
      <w:pPr>
        <w:ind w:left="720"/>
        <w:contextualSpacing/>
        <w:jc w:val="both"/>
        <w:rPr>
          <w:rFonts w:eastAsia="Times New Roman"/>
          <w:color w:val="000000"/>
        </w:rPr>
      </w:pPr>
    </w:p>
    <w:p w:rsidR="000C3571" w:rsidRDefault="000C3571" w:rsidP="00D7024A">
      <w:pPr>
        <w:ind w:left="720"/>
        <w:contextualSpacing/>
        <w:jc w:val="both"/>
        <w:rPr>
          <w:rFonts w:eastAsia="Times New Roman"/>
          <w:color w:val="000000"/>
        </w:rPr>
      </w:pPr>
    </w:p>
    <w:p w:rsidR="00D7024A" w:rsidRPr="00812C3F" w:rsidRDefault="00D7024A" w:rsidP="00D7024A">
      <w:pPr>
        <w:ind w:left="720"/>
        <w:contextualSpacing/>
        <w:jc w:val="both"/>
        <w:rPr>
          <w:rFonts w:eastAsia="Times New Roman"/>
          <w:color w:val="000000"/>
        </w:rPr>
      </w:pPr>
      <w:r w:rsidRPr="00812C3F">
        <w:rPr>
          <w:rFonts w:eastAsia="Times New Roman"/>
          <w:color w:val="000000"/>
        </w:rPr>
        <w:t xml:space="preserve"> </w:t>
      </w:r>
    </w:p>
    <w:p w:rsidR="00D7024A" w:rsidRPr="00812C3F" w:rsidRDefault="00356E5C" w:rsidP="000C3571">
      <w:pPr>
        <w:pStyle w:val="Caption"/>
        <w:spacing w:after="0"/>
        <w:rPr>
          <w:rFonts w:eastAsia="Times New Roman"/>
          <w:b/>
          <w:bCs/>
          <w:color w:val="4F81BD"/>
        </w:rPr>
      </w:pPr>
      <w:r>
        <w:t xml:space="preserve">Slika </w:t>
      </w:r>
      <w:r w:rsidR="00C60C6F">
        <w:fldChar w:fldCharType="begin"/>
      </w:r>
      <w:r w:rsidR="00C60C6F">
        <w:instrText xml:space="preserve"> SEQ Slika \* ARABIC </w:instrText>
      </w:r>
      <w:r w:rsidR="00C60C6F">
        <w:fldChar w:fldCharType="separate"/>
      </w:r>
      <w:r w:rsidR="006A29BC">
        <w:rPr>
          <w:noProof/>
        </w:rPr>
        <w:t>7</w:t>
      </w:r>
      <w:r w:rsidR="00C60C6F">
        <w:rPr>
          <w:noProof/>
        </w:rPr>
        <w:fldChar w:fldCharType="end"/>
      </w:r>
      <w:r>
        <w:t xml:space="preserve"> </w:t>
      </w:r>
      <w:r w:rsidR="00D7024A" w:rsidRPr="00356E5C">
        <w:t>Struktura priključaka po brzinama u različitim pristupnim tehnologijama na kraju drugog tromjesečja 2022.</w:t>
      </w:r>
    </w:p>
    <w:p w:rsidR="00D7024A" w:rsidRPr="00812C3F" w:rsidRDefault="00D7024A" w:rsidP="00D7024A">
      <w:pPr>
        <w:jc w:val="both"/>
        <w:rPr>
          <w:rFonts w:eastAsia="Times New Roman"/>
          <w:color w:val="000000"/>
        </w:rPr>
      </w:pPr>
      <w:r w:rsidRPr="00812C3F">
        <w:rPr>
          <w:rFonts w:eastAsia="Times New Roman"/>
          <w:noProof/>
          <w:color w:val="000000"/>
          <w:lang w:val="en-US"/>
        </w:rPr>
        <w:drawing>
          <wp:inline distT="0" distB="0" distL="0" distR="0" wp14:anchorId="38FD6E6D" wp14:editId="7FD537F8">
            <wp:extent cx="4790095" cy="2901043"/>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30952" cy="2925787"/>
                    </a:xfrm>
                    <a:prstGeom prst="rect">
                      <a:avLst/>
                    </a:prstGeom>
                    <a:noFill/>
                  </pic:spPr>
                </pic:pic>
              </a:graphicData>
            </a:graphic>
          </wp:inline>
        </w:drawing>
      </w:r>
    </w:p>
    <w:p w:rsidR="00D7024A" w:rsidRPr="00356E5C" w:rsidRDefault="00D7024A" w:rsidP="00D7024A">
      <w:pPr>
        <w:rPr>
          <w:i/>
          <w:iCs/>
          <w:color w:val="44546A" w:themeColor="text2"/>
          <w:sz w:val="18"/>
          <w:szCs w:val="18"/>
        </w:rPr>
      </w:pPr>
      <w:r w:rsidRPr="00356E5C">
        <w:rPr>
          <w:i/>
          <w:iCs/>
          <w:color w:val="44546A" w:themeColor="text2"/>
          <w:sz w:val="18"/>
          <w:szCs w:val="18"/>
        </w:rPr>
        <w:t>Izvor: Tromjesečni upitnici HAKOM-a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Nakon što je kao glavni kriterij za segmentaciju tržišta na maloprodajnoj razini prepoznao kapacitet pristupne mreže koji podrazumijeva ostvarivu pristupnu brzinu (uzlazna i silazna brzina), ali i druge parametre kvalitete, HAKOM će u nastavku razmatrati pristupne tehnologije putem kojih krajnji korisnici ostvaruju širokopojasni pristup kako bi odredio koje su pristupne infrastrukture prema svojim karakteristikama iz perspektive krajnjih korisnika međusobno zamjenjive i čine sastavni dio pojedinog maloprodajnog tržišta. Naime, određivanje tržišta na maloprodajnoj razini, predstavlja polazište za određivanje mjerodavnog tržišta na veleprodajnoj razini.</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U RH, maloprodajnu uslugu širokopojasnog pristupa operatori pružaju krajnjim korisnicima putem sljedećih infrastruktura: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bakrene parice,</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mreža pokretnih komunikacija,</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hibridni širokopojasni pristup,</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bežičnih tehnologija u nepokretnoj mreži,</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svjetlovodnih niti,</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kabelskih mreža,</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iznajmljenih vodova.</w:t>
      </w:r>
    </w:p>
    <w:p w:rsidR="00D7024A" w:rsidRPr="00812C3F" w:rsidRDefault="00D7024A" w:rsidP="00D7024A">
      <w:pPr>
        <w:rPr>
          <w:rFonts w:eastAsia="Times New Roman"/>
          <w:color w:val="000000"/>
        </w:rPr>
      </w:pPr>
      <w:r w:rsidRPr="00812C3F">
        <w:rPr>
          <w:rFonts w:eastAsia="Times New Roman"/>
          <w:color w:val="000000"/>
        </w:rPr>
        <w:br w:type="page"/>
      </w:r>
    </w:p>
    <w:p w:rsidR="00D7024A" w:rsidRPr="00B34167" w:rsidRDefault="00D7024A" w:rsidP="00B34167">
      <w:pPr>
        <w:pStyle w:val="Heading2"/>
      </w:pPr>
      <w:bookmarkStart w:id="61" w:name="_Toc124462524"/>
      <w:bookmarkStart w:id="62" w:name="_Toc124514418"/>
      <w:bookmarkStart w:id="63" w:name="_Toc124946925"/>
      <w:bookmarkStart w:id="64" w:name="_Toc124948835"/>
      <w:bookmarkStart w:id="65" w:name="_Toc124951730"/>
      <w:bookmarkStart w:id="66" w:name="_Ref125559741"/>
      <w:bookmarkStart w:id="67" w:name="_Toc125644880"/>
      <w:r w:rsidRPr="00B34167">
        <w:t>Tržište malog kapaciteta (maloprodajna razina)</w:t>
      </w:r>
      <w:bookmarkEnd w:id="61"/>
      <w:bookmarkEnd w:id="62"/>
      <w:bookmarkEnd w:id="63"/>
      <w:bookmarkEnd w:id="64"/>
      <w:bookmarkEnd w:id="65"/>
      <w:bookmarkEnd w:id="66"/>
      <w:bookmarkEnd w:id="67"/>
    </w:p>
    <w:p w:rsidR="00D7024A" w:rsidRPr="00812C3F" w:rsidRDefault="00D7024A" w:rsidP="00D7024A">
      <w:pPr>
        <w:jc w:val="both"/>
        <w:rPr>
          <w:rFonts w:eastAsia="Times New Roman"/>
          <w:color w:val="000000"/>
        </w:rPr>
      </w:pPr>
      <w:r w:rsidRPr="00812C3F">
        <w:rPr>
          <w:rFonts w:eastAsia="Times New Roman"/>
          <w:color w:val="000000"/>
        </w:rPr>
        <w:t>U prethodnom poglavlju HAKOM je pojasnio korelaciju između razvoja maloprodajnih ponuda sve većih pristupnih brzina i niza brzih i kvalitetnih usluga</w:t>
      </w:r>
      <w:r w:rsidRPr="00812C3F">
        <w:rPr>
          <w:rFonts w:eastAsia="Calibri"/>
          <w:color w:val="000000"/>
        </w:rPr>
        <w:t xml:space="preserve"> </w:t>
      </w:r>
      <w:r w:rsidRPr="00812C3F">
        <w:rPr>
          <w:rFonts w:eastAsia="Times New Roman"/>
          <w:color w:val="000000"/>
        </w:rPr>
        <w:t xml:space="preserve">(OTT, online video igrice, računalstvo u oblaku, usluga televizije na zahtjev i sl.) koje su dostupne krajnjim korisnicima, ali nisu svima potrebne. Stoga su parametri poput velike brzine i stabilnosti preuzimanja i prijenosa kao i drugi parametri kvalitete važniji za korisnike čije aktivnosti nameću veće zahtjeve za kvalitetom širokopojasnog pristupa od tradicionalnih internetskih aktivnosti kao što su </w:t>
      </w:r>
      <w:r w:rsidR="00B51E06">
        <w:rPr>
          <w:rFonts w:eastAsia="Times New Roman"/>
          <w:color w:val="000000"/>
        </w:rPr>
        <w:t>pretraživanje Interneta</w:t>
      </w:r>
      <w:r w:rsidRPr="00812C3F">
        <w:rPr>
          <w:rFonts w:eastAsia="Times New Roman"/>
          <w:color w:val="000000"/>
        </w:rPr>
        <w:t xml:space="preserve">, e-pošta i sl.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Potražnja za uslugama širokopojasnog pristupa na tržištu malog kapaciteta proizlazi iz potražnje onih krajnjih korisnika za čije navike i aktivnosti korištenja širokopojasnog pristupa gore navedeni parametri kvalitete, a koji su karakteristični za VHCN mreže, nisu presudni ili čak potrebni.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Kvaliteta širokopojasnog pristupa, odnosno kapacitet pristupne mreže prema kojem je HAKOM podijelio tržište uvjetovani su tehničkim karakteristikama, odnosno mogućnostima i ograničenjima pojedine pristupne tehnologije. U svojim maloprodajnim ponudama operatori uglavnom ističu brzinu i tehnologiju kao najvažnije parametre kvalitete širokopojasnog pristupa. Stoga je HAKOM u daljnjoj analizi koristio navedene parametre za potrebe donošenja zaključaka o međusobnoj zamjenjivosti usluga koje se pružaju putem različitih tehnologija. S obzirom da s porastom kapaciteta rastu i brzina i kvaliteta usluge, HAKOM takav pristup smatra ispravnim.</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Osim toga, pri analizi pristupnih tehnologija, HAKOM nije radio razliku između usluge širokopojasnog pristupa koja se pruža samostalno i one u paketu usluga. Naime, operatori i dalje u maloprodajnim aktivnostima posebnu pažnju i naglasak stavljaju na kreiranje raznovrsnih paketa usluga za krajnje korisnike pa na kraju drugog tromjesečja 2022. 86,30% korisnika usluge širokopojasnog pristupa u nepokretnim mrežama istu koristi u kombinaciji s drugim elektroničkim komunikacijskim uslugama, odnosno kroz pakete usluga. HAKOM svoj stav temelji na činjenici kako je jedina razlika između samostalnog širokopojasnog pristupa i onog u paketu usluga u cijeni, pri čemu je cijena usluge širokopojasnog pristupa u paketu nešto povoljnija za krajnjeg korisnika.</w:t>
      </w:r>
    </w:p>
    <w:p w:rsidR="00D7024A" w:rsidRPr="00812C3F" w:rsidRDefault="00D7024A" w:rsidP="00D7024A">
      <w:pPr>
        <w:jc w:val="both"/>
        <w:rPr>
          <w:rFonts w:eastAsia="Times New Roman"/>
          <w:color w:val="000000"/>
        </w:rPr>
      </w:pPr>
    </w:p>
    <w:p w:rsidR="00D7024A" w:rsidRPr="00B34167" w:rsidRDefault="00D7024A" w:rsidP="005F2FD5">
      <w:pPr>
        <w:jc w:val="both"/>
        <w:rPr>
          <w:rFonts w:ascii="Segoe UI Semibold" w:hAnsi="Segoe UI Semibold" w:cs="Segoe UI Semibold"/>
          <w:color w:val="1F3864" w:themeColor="accent1" w:themeShade="80"/>
        </w:rPr>
      </w:pPr>
      <w:bookmarkStart w:id="68" w:name="_Ref124459450"/>
      <w:bookmarkStart w:id="69" w:name="_Toc124462525"/>
      <w:bookmarkStart w:id="70" w:name="_Toc124514419"/>
      <w:r w:rsidRPr="00B34167">
        <w:rPr>
          <w:rFonts w:ascii="Segoe UI Semibold" w:hAnsi="Segoe UI Semibold" w:cs="Segoe UI Semibold"/>
          <w:color w:val="1F3864" w:themeColor="accent1" w:themeShade="80"/>
        </w:rPr>
        <w:t>Pristup putem bakrene parice</w:t>
      </w:r>
      <w:bookmarkEnd w:id="68"/>
      <w:bookmarkEnd w:id="69"/>
      <w:bookmarkEnd w:id="70"/>
    </w:p>
    <w:p w:rsidR="00D7024A" w:rsidRPr="00812C3F" w:rsidRDefault="00D7024A" w:rsidP="00D7024A">
      <w:pPr>
        <w:rPr>
          <w:rFonts w:eastAsia="Calibri"/>
          <w:color w:val="000000"/>
          <w:lang w:eastAsia="hr-HR"/>
        </w:rPr>
      </w:pPr>
    </w:p>
    <w:p w:rsidR="00D7024A" w:rsidRPr="00812C3F" w:rsidRDefault="00D7024A" w:rsidP="00D7024A">
      <w:pPr>
        <w:jc w:val="both"/>
        <w:rPr>
          <w:rFonts w:eastAsia="Times New Roman"/>
          <w:color w:val="000000"/>
        </w:rPr>
      </w:pPr>
      <w:r w:rsidRPr="00812C3F">
        <w:rPr>
          <w:rFonts w:eastAsia="Times New Roman"/>
          <w:color w:val="000000"/>
        </w:rPr>
        <w:t xml:space="preserve">Usluga širokopojasnog pristupa putem bakrene parice predstavlja tradicionalni način pristupa nepokretnoj mreži u RH koji na kraju drugog tromjesečja 2022. ostvaruje 63,54% svih korisnika usluge širokopojasnog pristupa putem nepokretnih mreža. Riječ je o ravnomjerno, nacionalno rasprostranjenoj tehnologiji uglavnom u vlasništvu povijesnog operatora koja, uz određene nadogradnje u idealnim okolnostima omogućava maksimalnu brzinu pristupa do 200 Mbit/s u silazu i do 50 Mbit/s u uzlazu pri čemu prijenosna brzina ovisi o dužini i tipu parice. U pravilu, ostvarive brzine prijenosa podataka putem bakrene infrastrukture veće su što je udaljenost od krajnjeg korisnika do centrale kraća. Uslijed karakterističnih tehničkih ograničenja, bakrena infrastruktura omogućuje znatno veće brzine preuzimanja (silazna) od brzina učitavanja (uzlazna), odnosno asimetrične brzine pristupa. U odnosu na maksimalnu ostvarivu brzinu putem bakrene parice, važno je napomenuti kako istu u RH na kraju </w:t>
      </w:r>
      <w:r w:rsidR="00B51E06">
        <w:rPr>
          <w:rFonts w:eastAsia="Times New Roman"/>
          <w:color w:val="000000"/>
        </w:rPr>
        <w:t>drugog tromjesečja 2022.</w:t>
      </w:r>
      <w:r w:rsidRPr="00812C3F">
        <w:rPr>
          <w:rFonts w:eastAsia="Times New Roman"/>
          <w:color w:val="000000"/>
        </w:rPr>
        <w:t xml:space="preserve"> koristi svega 47 korisnika. Na temelju opisanih tehničkih mogućnosti i ograničenja, pristup putem bakrene parice predstavlja uslugu širokopojasnog pristupa koja pripada tržištu malog kapaciteta.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Korisnici koji širokopojasni pristup tradicionalno ostvaruju putem bakrene parice čine većinu (50,58 </w:t>
      </w:r>
      <w:r w:rsidR="00B51E06">
        <w:rPr>
          <w:rFonts w:eastAsia="Times New Roman"/>
          <w:color w:val="000000"/>
        </w:rPr>
        <w:t>posto</w:t>
      </w:r>
      <w:r w:rsidRPr="00812C3F">
        <w:rPr>
          <w:rFonts w:eastAsia="Times New Roman"/>
          <w:color w:val="000000"/>
        </w:rPr>
        <w:t>) korisnika usluge širokopojasnog pristupa na tržištu malog kapaciteta. Uglavnom je riječ o korisnicima kojima veće pristupne brzine nisu zanimljive jer su po svemu sudeći njihove percipirane potrebe zadovoljene i s postojećim brzinama pristupa, o korisnicima koji nisu spremni na promjene zbog raznih subjektivnih razloga (segment korisnika starije životne dobi, inertnost, nespremnost na radove u kućanstvu i sl.) ili korisnicima kojima VHCN mreže s većim brzinama pristupa trenutno nisu dostupne.</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 RH bakrena pristupna infrastruktura je u vlasništvu HT-a. Ostali operatori uslugu širokopojasnog pristupa putem bakrene parice krajnjim korisnicima nude većinom putem HT-ovih veleprodajnih usluga na bakrenoj infrastrukturi: usluga izdvojenog pristupa lokalnoj petlji (LLU) i usluga veleprodajnog širokopojasnog pristupa (BSA pristup, uključujući i </w:t>
      </w:r>
      <w:proofErr w:type="spellStart"/>
      <w:r w:rsidRPr="00812C3F">
        <w:rPr>
          <w:rFonts w:eastAsia="Times New Roman"/>
          <w:color w:val="000000"/>
        </w:rPr>
        <w:t>naked</w:t>
      </w:r>
      <w:proofErr w:type="spellEnd"/>
      <w:r w:rsidRPr="00812C3F">
        <w:rPr>
          <w:rFonts w:eastAsia="Times New Roman"/>
          <w:color w:val="000000"/>
        </w:rPr>
        <w:t xml:space="preserve"> bitstream (NBSA)).</w:t>
      </w:r>
      <w:r w:rsidRPr="00E5397B">
        <w:rPr>
          <w:rFonts w:eastAsia="Times New Roman"/>
          <w:color w:val="000000"/>
        </w:rPr>
        <w:t xml:space="preserve"> </w:t>
      </w:r>
      <w:r>
        <w:rPr>
          <w:rFonts w:eastAsia="Times New Roman"/>
          <w:color w:val="000000"/>
        </w:rPr>
        <w:t>Osim putem LLU usluge i (N)BSA usluge bakrenoj mreži HT-a</w:t>
      </w:r>
      <w:r w:rsidRPr="00E5397B">
        <w:rPr>
          <w:rFonts w:eastAsia="Times New Roman"/>
          <w:color w:val="000000"/>
        </w:rPr>
        <w:t xml:space="preserve"> može </w:t>
      </w:r>
      <w:r>
        <w:rPr>
          <w:rFonts w:eastAsia="Times New Roman"/>
          <w:color w:val="000000"/>
        </w:rPr>
        <w:t xml:space="preserve">se </w:t>
      </w:r>
      <w:r w:rsidRPr="00E5397B">
        <w:rPr>
          <w:rFonts w:eastAsia="Times New Roman"/>
          <w:color w:val="000000"/>
        </w:rPr>
        <w:t xml:space="preserve">pristupiti </w:t>
      </w:r>
      <w:r>
        <w:rPr>
          <w:rFonts w:eastAsia="Times New Roman"/>
          <w:color w:val="000000"/>
        </w:rPr>
        <w:t xml:space="preserve">i </w:t>
      </w:r>
      <w:r w:rsidRPr="00E5397B">
        <w:rPr>
          <w:rFonts w:eastAsia="Times New Roman"/>
          <w:color w:val="000000"/>
        </w:rPr>
        <w:t>korištenjem usluge</w:t>
      </w:r>
      <w:r w:rsidR="00B51E06">
        <w:rPr>
          <w:rFonts w:eastAsia="Times New Roman"/>
          <w:color w:val="000000"/>
        </w:rPr>
        <w:t xml:space="preserve"> virtualnog izdvajanja lokalne petlje</w:t>
      </w:r>
      <w:r w:rsidRPr="00E5397B">
        <w:rPr>
          <w:rFonts w:eastAsia="Times New Roman"/>
          <w:color w:val="000000"/>
        </w:rPr>
        <w:t xml:space="preserve"> VULA ( </w:t>
      </w:r>
      <w:proofErr w:type="spellStart"/>
      <w:r w:rsidRPr="00E5397B">
        <w:rPr>
          <w:rFonts w:eastAsia="Times New Roman"/>
          <w:color w:val="000000"/>
        </w:rPr>
        <w:t>eng</w:t>
      </w:r>
      <w:proofErr w:type="spellEnd"/>
      <w:r w:rsidRPr="00E5397B">
        <w:rPr>
          <w:rFonts w:eastAsia="Times New Roman"/>
          <w:color w:val="000000"/>
        </w:rPr>
        <w:t xml:space="preserve">. </w:t>
      </w:r>
      <w:proofErr w:type="spellStart"/>
      <w:r w:rsidRPr="00E5397B">
        <w:rPr>
          <w:rFonts w:eastAsia="Times New Roman"/>
          <w:i/>
          <w:color w:val="000000"/>
        </w:rPr>
        <w:t>Virtual</w:t>
      </w:r>
      <w:proofErr w:type="spellEnd"/>
      <w:r w:rsidRPr="00E5397B">
        <w:rPr>
          <w:rFonts w:eastAsia="Times New Roman"/>
          <w:i/>
          <w:color w:val="000000"/>
        </w:rPr>
        <w:t xml:space="preserve"> </w:t>
      </w:r>
      <w:proofErr w:type="spellStart"/>
      <w:r w:rsidRPr="00E5397B">
        <w:rPr>
          <w:rFonts w:eastAsia="Times New Roman"/>
          <w:i/>
          <w:color w:val="000000"/>
        </w:rPr>
        <w:t>Unbundled</w:t>
      </w:r>
      <w:proofErr w:type="spellEnd"/>
      <w:r w:rsidRPr="00E5397B">
        <w:rPr>
          <w:rFonts w:eastAsia="Times New Roman"/>
          <w:i/>
          <w:color w:val="000000"/>
        </w:rPr>
        <w:t xml:space="preserve"> </w:t>
      </w:r>
      <w:proofErr w:type="spellStart"/>
      <w:r w:rsidRPr="00E5397B">
        <w:rPr>
          <w:rFonts w:eastAsia="Times New Roman"/>
          <w:i/>
          <w:color w:val="000000"/>
        </w:rPr>
        <w:t>Local</w:t>
      </w:r>
      <w:proofErr w:type="spellEnd"/>
      <w:r w:rsidRPr="00E5397B">
        <w:rPr>
          <w:rFonts w:eastAsia="Times New Roman"/>
          <w:i/>
          <w:color w:val="000000"/>
        </w:rPr>
        <w:t xml:space="preserve"> Access</w:t>
      </w:r>
      <w:r w:rsidRPr="00E5397B">
        <w:rPr>
          <w:rFonts w:eastAsia="Times New Roman"/>
          <w:color w:val="000000"/>
        </w:rPr>
        <w:t>) koja bi trebala biti što je moguće više ekviv</w:t>
      </w:r>
      <w:r>
        <w:rPr>
          <w:rFonts w:eastAsia="Times New Roman"/>
          <w:color w:val="000000"/>
        </w:rPr>
        <w:t>alentna LLU usluzi</w:t>
      </w:r>
      <w:r w:rsidRPr="00E5397B">
        <w:rPr>
          <w:rFonts w:eastAsia="Times New Roman"/>
          <w:color w:val="000000"/>
        </w:rPr>
        <w:t xml:space="preserve">. U tehničkom smislu to znači da se toj usluzi pristupa lokalno, da se operatoru korisniku pruža prijenosni puni zajamčeni kapacitet koji ne ovisi o usluzi koja se pruža i koja operatorima korisnicima pruža dovoljnu kontrolu nad prijenosnom mrežom kako bi se omogućila diferencijacija proizvoda i inovacija koja je slična </w:t>
      </w:r>
      <w:r>
        <w:rPr>
          <w:rFonts w:eastAsia="Times New Roman"/>
          <w:color w:val="000000"/>
        </w:rPr>
        <w:t>onoj kod LLU usluge</w:t>
      </w:r>
      <w:r w:rsidRPr="00E5397B">
        <w:rPr>
          <w:rFonts w:eastAsia="Times New Roman"/>
          <w:color w:val="000000"/>
        </w:rPr>
        <w:t>. HAKOM je još u prethodnoj analizi utvr</w:t>
      </w:r>
      <w:r>
        <w:rPr>
          <w:rFonts w:eastAsia="Times New Roman"/>
          <w:color w:val="000000"/>
        </w:rPr>
        <w:t>dio da VULA na bakrenoj</w:t>
      </w:r>
      <w:r w:rsidRPr="00E5397B">
        <w:rPr>
          <w:rFonts w:eastAsia="Times New Roman"/>
          <w:color w:val="000000"/>
        </w:rPr>
        <w:t xml:space="preserve"> mreži HT-a ima potpuno iste specifikac</w:t>
      </w:r>
      <w:r>
        <w:rPr>
          <w:rFonts w:eastAsia="Times New Roman"/>
          <w:color w:val="000000"/>
        </w:rPr>
        <w:t xml:space="preserve">ije kao usluga </w:t>
      </w:r>
      <w:proofErr w:type="spellStart"/>
      <w:r>
        <w:rPr>
          <w:rFonts w:eastAsia="Times New Roman"/>
          <w:color w:val="000000"/>
        </w:rPr>
        <w:t>bitstreama</w:t>
      </w:r>
      <w:proofErr w:type="spellEnd"/>
      <w:r>
        <w:rPr>
          <w:rFonts w:eastAsia="Times New Roman"/>
          <w:color w:val="000000"/>
        </w:rPr>
        <w:t xml:space="preserve"> na DSLAM</w:t>
      </w:r>
      <w:r w:rsidRPr="00E5397B">
        <w:rPr>
          <w:rFonts w:eastAsia="Times New Roman"/>
          <w:color w:val="000000"/>
        </w:rPr>
        <w:t xml:space="preserve"> razini opisana u Standardnoj ponudi HT-a za uslugu veleprodajnog širokopojasnog pristupa</w:t>
      </w:r>
      <w:r>
        <w:rPr>
          <w:rFonts w:eastAsia="Times New Roman"/>
          <w:color w:val="000000"/>
        </w:rPr>
        <w:t xml:space="preserve"> te će je razmatrati u okviru ove analize veleprodajnog lokalnog pristupa koji se pruža na fiksnoj lokaciji</w:t>
      </w:r>
      <w:r w:rsidRPr="00E5397B">
        <w:rPr>
          <w:rFonts w:eastAsia="Times New Roman"/>
          <w:color w:val="000000"/>
        </w:rPr>
        <w:t>.</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Prema dostavljenim podacima, na kraju drugog tromjesečja 2022. najveći broj pristupa putem bakrene parice odnosi se na priključke putem vlastite bakrene mreže HT-a i to 64,97</w:t>
      </w:r>
      <w:r w:rsidR="005D214D">
        <w:rPr>
          <w:rFonts w:eastAsia="Times New Roman"/>
          <w:color w:val="000000"/>
        </w:rPr>
        <w:t xml:space="preserve"> posto</w:t>
      </w:r>
      <w:r w:rsidR="005D214D" w:rsidRPr="00812C3F">
        <w:rPr>
          <w:rFonts w:eastAsia="Times New Roman"/>
          <w:color w:val="000000"/>
        </w:rPr>
        <w:t xml:space="preserve"> </w:t>
      </w:r>
      <w:r w:rsidRPr="00812C3F">
        <w:rPr>
          <w:rFonts w:eastAsia="Times New Roman"/>
          <w:color w:val="000000"/>
        </w:rPr>
        <w:t>(HT vlastiti pristup). Broj priključaka putem izdvojenog pristupa lokalnoj petlji je zastupljen s 10,39</w:t>
      </w:r>
      <w:r w:rsidR="00B51E06">
        <w:rPr>
          <w:rFonts w:eastAsia="Times New Roman"/>
          <w:color w:val="000000"/>
        </w:rPr>
        <w:t xml:space="preserve"> posto</w:t>
      </w:r>
      <w:r w:rsidR="00B51E06" w:rsidRPr="00812C3F">
        <w:rPr>
          <w:rFonts w:eastAsia="Times New Roman"/>
          <w:color w:val="000000"/>
        </w:rPr>
        <w:t xml:space="preserve">, </w:t>
      </w:r>
      <w:r w:rsidRPr="00812C3F">
        <w:rPr>
          <w:rFonts w:eastAsia="Times New Roman"/>
          <w:color w:val="000000"/>
        </w:rPr>
        <w:t>a broj priključaka putem bitstream usluge s 24,62</w:t>
      </w:r>
      <w:r w:rsidR="00B51E06">
        <w:rPr>
          <w:rFonts w:eastAsia="Times New Roman"/>
          <w:color w:val="000000"/>
        </w:rPr>
        <w:t xml:space="preserve"> posto</w:t>
      </w:r>
      <w:r w:rsidR="00B51E06" w:rsidRPr="00812C3F">
        <w:rPr>
          <w:rFonts w:eastAsia="Times New Roman"/>
          <w:color w:val="000000"/>
        </w:rPr>
        <w:t>.</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HT-ova osnovna maloprodajna ponuda usluge širokopojasnog pristupa koja se pruža putem bakrene parice nudi brzinu od 20 Mbit/s u silazu i od 2 Mbit/s u uzlazu. Ukoliko nije moguće iz tehničkih razloga realizirati osnovnu brzinu od 20 Mbit/s u silazu, tada je osnovna brzina pristupa od 4 Mbit/s u silazu i od 512 </w:t>
      </w:r>
      <w:proofErr w:type="spellStart"/>
      <w:r w:rsidRPr="00812C3F">
        <w:rPr>
          <w:rFonts w:eastAsia="Times New Roman"/>
          <w:color w:val="000000"/>
        </w:rPr>
        <w:t>kbit</w:t>
      </w:r>
      <w:proofErr w:type="spellEnd"/>
      <w:r w:rsidRPr="00812C3F">
        <w:rPr>
          <w:rFonts w:eastAsia="Times New Roman"/>
          <w:color w:val="000000"/>
        </w:rPr>
        <w:t xml:space="preserve">/s u uzlazu. Mjesečna naknada za osnovnu pristupnu brzinu iznosi 20,70 EUR (PDV uključen). Uz svaku pristupnu brzinu HT nudi krajnjem korisniku određenu količinu prometa, odnosno prijenosa podataka (u blokovima od 1GB, 15 GB ili Flat). Kako velika većina korisnika koristi pakete s neograničenim podatkovnim prometom, za daljnje usporedbe razmatrat će se samo </w:t>
      </w:r>
      <w:proofErr w:type="spellStart"/>
      <w:r w:rsidRPr="00812C3F">
        <w:rPr>
          <w:rFonts w:eastAsia="Times New Roman"/>
          <w:color w:val="000000"/>
        </w:rPr>
        <w:t>MAXadsl</w:t>
      </w:r>
      <w:proofErr w:type="spellEnd"/>
      <w:r w:rsidRPr="00812C3F">
        <w:rPr>
          <w:rFonts w:eastAsia="Times New Roman"/>
          <w:color w:val="000000"/>
        </w:rPr>
        <w:t xml:space="preserve"> Flat s neograničenim prometom čija cijena bez ugovorne obveze iznosi 13,46 EUR (PDV uključen), a uz ugovornu obvezu od 12 mjeseci 10,66 EUR (PDV uključen).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Uz prethodno opisanu osnovnu ponudu, HT krajnjim korisnicima nudi opcije nadogradnje brzine prijenosa podataka do maksimalnih 200 Mbit/s u silazu i do 50 Mbit/s u uzlazu koje ovise o tehničkim mogućnostima na lokaciji korisnika i ne naplaćuju se dodatno u odnosu na ugovorenu osnovnu pristupnu brzinu.</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Maloprodajne ponude ostalih operatora koje se temelje na bakrenoj infrastrukturi dostupne su krajnjim korisnicima ili po jedinstvenoj cijeni uz maksimalnu dostupnu brzinu ovisno o tehničkim mogućnostima na lokaciji korisnika (npr. Iskon) ili pak kroz različite cijene ovisno o ugovorenoj brzini (npr. Optima).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S obzirom da pristup putem bakrene parice predstavlja najzastupljeniju uslugu širokopojasnog pristupa malog kapaciteta, HAKOM će za potrebe određivanja tržišta malog kapaciteta, usluge koje se nude putem ostalih tehnologija promatrati u odnosu na ovu vrstu pristupa.</w:t>
      </w:r>
    </w:p>
    <w:p w:rsidR="00D7024A" w:rsidRPr="00812C3F" w:rsidRDefault="00D7024A" w:rsidP="00D7024A">
      <w:pPr>
        <w:jc w:val="both"/>
        <w:rPr>
          <w:rFonts w:eastAsia="Times New Roman"/>
          <w:color w:val="000000"/>
        </w:rPr>
      </w:pPr>
    </w:p>
    <w:p w:rsidR="00D7024A" w:rsidRPr="00B34167" w:rsidRDefault="00D7024A" w:rsidP="000F4F34">
      <w:pPr>
        <w:jc w:val="both"/>
        <w:rPr>
          <w:rFonts w:ascii="Segoe UI Semibold" w:hAnsi="Segoe UI Semibold" w:cs="Segoe UI Semibold"/>
          <w:color w:val="1F3864" w:themeColor="accent1" w:themeShade="80"/>
        </w:rPr>
      </w:pPr>
      <w:bookmarkStart w:id="71" w:name="_Toc124462526"/>
      <w:bookmarkStart w:id="72" w:name="_Toc124514420"/>
      <w:r w:rsidRPr="00B34167">
        <w:rPr>
          <w:rFonts w:ascii="Segoe UI Semibold" w:hAnsi="Segoe UI Semibold" w:cs="Segoe UI Semibold"/>
          <w:color w:val="1F3864" w:themeColor="accent1" w:themeShade="80"/>
        </w:rPr>
        <w:t>Pristup putem mreža pokretnih komunikacija</w:t>
      </w:r>
      <w:bookmarkEnd w:id="71"/>
      <w:bookmarkEnd w:id="72"/>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Širokopojasni pristup putem mreža pokretnih komunikacija omogućava prijenos podataka velikim brzinama, pri čemu prijenosna brzina prvenstveno ovisi o karakteristikama pristupne tehnologije. Uz 4G+, HSPA+ i LTE/LTE+ prijenosne tehnologije kojima se putem mreže pokretnih komunikacija omogućava prijenos podataka velikim brzinama, u RH dostupne su i usluge temeljene na 5G mreži.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Krajnji korisnici širokopojasni pristup putem mreža pokretnih komunikacija ostvaruju pomoću pametnih telefona ili pomoću raznih vrsta podatkovnih modema/</w:t>
      </w:r>
      <w:proofErr w:type="spellStart"/>
      <w:r w:rsidRPr="00812C3F">
        <w:rPr>
          <w:rFonts w:eastAsia="Times New Roman"/>
          <w:color w:val="000000"/>
        </w:rPr>
        <w:t>routera</w:t>
      </w:r>
      <w:proofErr w:type="spellEnd"/>
      <w:r w:rsidRPr="00812C3F">
        <w:rPr>
          <w:rFonts w:eastAsia="Times New Roman"/>
          <w:color w:val="000000"/>
        </w:rPr>
        <w:t xml:space="preserv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Što se tiče usluga širokopojasnog pristupa koje su namijenjene širokopojasnom pristupu u pokretu (putem mobilnih telefona, tableta, prijenosnih računala i slično) HAKOM smatra da takve usluge i usluge širokopojasnog pristupa na fiksnoj lokaciji nisu međusobno zamjenjive prvenstveno zbog svoje različite namjene, tehničkih karakteristika i cjenovnih razlika te njihovu međusobnu zamjenjivost neće dalje razmatrati.</w:t>
      </w:r>
      <w:r w:rsidRPr="00812C3F">
        <w:rPr>
          <w:rFonts w:eastAsia="Calibri"/>
          <w:color w:val="000000"/>
        </w:rPr>
        <w:t xml:space="preserv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druge strane na tržištu postoje usluge širokopojasnog pristupa koje se pružaju putem mreža pokretnih komunikacija, ali koje su svojom namjenom, tehničkim značajkama i cjenovnim karakteristikama jako slične uslugama širokopojasnog pristupa na fiksnoj lokaciji te će njihovu međusobnu zamjenjivost HAKOM detaljnije razmotriti u nastavku.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Brzina širokopojasnog pristupa koju korisnik ostvaruje putem mreža pokretnih komunikacija prvenstveno ovisi o karakteristikama pristupne tehnologije</w:t>
      </w:r>
      <w:r w:rsidR="00EE23DA">
        <w:rPr>
          <w:rFonts w:eastAsia="Times New Roman"/>
          <w:color w:val="000000"/>
        </w:rPr>
        <w:t>.</w:t>
      </w:r>
      <w:r w:rsidRPr="00812C3F">
        <w:rPr>
          <w:rFonts w:eastAsia="Times New Roman"/>
          <w:color w:val="000000"/>
        </w:rPr>
        <w:t xml:space="preserve"> </w:t>
      </w:r>
      <w:r w:rsidR="00EE23DA">
        <w:rPr>
          <w:rFonts w:eastAsia="Times New Roman"/>
          <w:color w:val="000000"/>
        </w:rPr>
        <w:t>M</w:t>
      </w:r>
      <w:r w:rsidRPr="00812C3F">
        <w:rPr>
          <w:rFonts w:eastAsia="Times New Roman"/>
          <w:color w:val="000000"/>
        </w:rPr>
        <w:t>eđutim</w:t>
      </w:r>
      <w:r w:rsidR="00EE23DA">
        <w:rPr>
          <w:rFonts w:eastAsia="Times New Roman"/>
          <w:color w:val="000000"/>
        </w:rPr>
        <w:t>,</w:t>
      </w:r>
      <w:r w:rsidRPr="00812C3F">
        <w:rPr>
          <w:rFonts w:eastAsia="Times New Roman"/>
          <w:color w:val="000000"/>
        </w:rPr>
        <w:t xml:space="preserve"> postoje i drugi čimbenici kao što su kvaliteta prijema signala (razina prijemnog signala), blizina bazne stanice operatora mreže pokretnih komunikacija i broj korisnika koji u isto vrijeme ostvaruje pristup mreži, a koji u konačnici mogu dovesti do nižih pristupnih brzina i slabije kvalitete usluge. Iz prethodno navedenih razloga operatori koji usluge širokopojasnog pristupa na fiksnoj lokaciji pružaju putem mreža pokretnih komunikacija, svojim krajnjim korisnicima ne garantiraju minimalnu brzinu pristupa koja će im biti omogućena, a što nije slučaj kada se širokopojasni pristup pruža putem nepokretnih mreža.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Međutim, operatori su u razdoblju od zadnje analize značajno povećali maksimalne brzine koje se nude korisnicima putem mreža pokretnih komunikacija. Nastavno na navedeno, a usprkos činjenici što se putem mreža pokretnih komunikacija ne može garantirati minimalna brzina, HAKOM je mišljenja kako se na temelju tog povećanja maksimalnih brzina koje se nude krajnjim korisnicima može zaključiti kako su neke usluge koje se pružaju putem mreža pokretnih komunikacija po svojoj namjeni, cjenovno i funkcionalno zamjenjive s uslugom širokopojasnog pristupa putem bakrene infrastrukture u odnosu na koju se razmatra zamjenjivost. Nastavno na navedeno, za potrebe analize cijena usluge širokopojasnog pristupa na fiksnoj lokaciji putem mreža pokretnih komunikacija razmatrane su usluge tri nacionalna operatora u mreži pokretnih komunikacija: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 xml:space="preserve">A1 – 5G Internet po cijeni od 30,39 EUR mjesečno s uključenih 1TB prometa na maksimalnoj brzini nakon čega brzina pada na 5Mbit/s i </w:t>
      </w:r>
      <w:proofErr w:type="spellStart"/>
      <w:r w:rsidRPr="00812C3F">
        <w:rPr>
          <w:rFonts w:eastAsia="Times New Roman"/>
          <w:color w:val="000000"/>
        </w:rPr>
        <w:t>Homebox</w:t>
      </w:r>
      <w:proofErr w:type="spellEnd"/>
      <w:r w:rsidRPr="00812C3F">
        <w:rPr>
          <w:rFonts w:eastAsia="Times New Roman"/>
          <w:color w:val="000000"/>
        </w:rPr>
        <w:t xml:space="preserve"> uslugu na 5G tehnologiji</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 xml:space="preserve">A1 - Super </w:t>
      </w:r>
      <w:proofErr w:type="spellStart"/>
      <w:r w:rsidRPr="00812C3F">
        <w:rPr>
          <w:rFonts w:eastAsia="Times New Roman"/>
          <w:color w:val="000000"/>
        </w:rPr>
        <w:t>Homebox</w:t>
      </w:r>
      <w:proofErr w:type="spellEnd"/>
      <w:r w:rsidRPr="00812C3F">
        <w:rPr>
          <w:rFonts w:eastAsia="Times New Roman"/>
          <w:color w:val="000000"/>
        </w:rPr>
        <w:t xml:space="preserve">  - za 23,76 EUR mjesečno 4G+ mobilni Internet, 400 GB po maksimalno dostupnoj brzini + flat noćna opcija (neograničeno surfanje od ponoći do 10h) i neograničeni razgovori.  Nakon potrošnje uključenog podatkovnog prometa brzina se smanjuje na 2 Mbit/s.</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 xml:space="preserve">HT – </w:t>
      </w:r>
      <w:proofErr w:type="spellStart"/>
      <w:r w:rsidRPr="00812C3F">
        <w:rPr>
          <w:rFonts w:eastAsia="Times New Roman"/>
          <w:color w:val="000000"/>
        </w:rPr>
        <w:t>Gigabox</w:t>
      </w:r>
      <w:proofErr w:type="spellEnd"/>
      <w:r w:rsidRPr="00812C3F">
        <w:rPr>
          <w:rFonts w:eastAsia="Times New Roman"/>
          <w:color w:val="000000"/>
        </w:rPr>
        <w:t xml:space="preserve"> – za 26,41 EUR mjesečno, 300 GB prometa po brzini do 600 Mbit/s, nakon toga brzina pada do 4 Mbit/s</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HT – MAX 2 5G Internet +telefon – za 30,39 EUR mjesečno uključeno je 2 TB Internet prometa po brzini od maksimalno 200 Mbit/s. Nakon potrošnje uključenog Internet prometa, brzina se smanjuje na 20/10 Mbit/s. Uz uslugu pristupa uključena je i javna telefonska usluga u nepokretnoj mreži s 1000 minuta prometa prema brojevima u mrežama pokretnih komunikacija i neograničeno prema svim fiksnim brojevima u RH</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r>
      <w:proofErr w:type="spellStart"/>
      <w:r w:rsidRPr="00812C3F">
        <w:rPr>
          <w:rFonts w:eastAsia="Times New Roman"/>
          <w:color w:val="000000"/>
        </w:rPr>
        <w:t>Telemach</w:t>
      </w:r>
      <w:proofErr w:type="spellEnd"/>
      <w:r w:rsidRPr="00812C3F">
        <w:rPr>
          <w:rFonts w:eastAsia="Times New Roman"/>
          <w:color w:val="000000"/>
        </w:rPr>
        <w:t xml:space="preserve"> – 2STAY PLUS za 26,41 EUR, 500 GB po punoj brzini, nakon čega se brzina smanjuje na 2 Mbit/s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Najprije je potrebno naglasiti da se gore spomenute usluge korisnicima nude kao zamjenske usluge za uslugu širokopojasnog pristupa na fiksnoj lokaciji pa se, iako se usluge pružaju putem mreže pokretnih komunikacija, u prodaji i oglašavanju tih usluga koriste termini poput „</w:t>
      </w:r>
      <w:proofErr w:type="spellStart"/>
      <w:r w:rsidRPr="00812C3F">
        <w:rPr>
          <w:rFonts w:eastAsia="Times New Roman"/>
          <w:color w:val="000000"/>
        </w:rPr>
        <w:t>Homebox</w:t>
      </w:r>
      <w:proofErr w:type="spellEnd"/>
      <w:r w:rsidRPr="00812C3F">
        <w:rPr>
          <w:rFonts w:eastAsia="Times New Roman"/>
          <w:color w:val="000000"/>
        </w:rPr>
        <w:t>“, „kućni Internet“ „</w:t>
      </w:r>
      <w:proofErr w:type="spellStart"/>
      <w:r w:rsidRPr="00812C3F">
        <w:rPr>
          <w:rFonts w:eastAsia="Times New Roman"/>
          <w:color w:val="000000"/>
        </w:rPr>
        <w:t>Officebox</w:t>
      </w:r>
      <w:proofErr w:type="spellEnd"/>
      <w:r w:rsidRPr="00812C3F">
        <w:rPr>
          <w:rFonts w:eastAsia="Times New Roman"/>
          <w:color w:val="000000"/>
        </w:rPr>
        <w:t>“, „</w:t>
      </w:r>
      <w:proofErr w:type="spellStart"/>
      <w:r w:rsidRPr="00812C3F">
        <w:rPr>
          <w:rFonts w:eastAsia="Times New Roman"/>
          <w:color w:val="000000"/>
        </w:rPr>
        <w:t>Pokućni</w:t>
      </w:r>
      <w:proofErr w:type="spellEnd"/>
      <w:r w:rsidRPr="00812C3F">
        <w:rPr>
          <w:rFonts w:eastAsia="Times New Roman"/>
          <w:color w:val="000000"/>
        </w:rPr>
        <w:t>“, „Internet za po kući“, „uključi u struju i surfaj kao doma“ i slično te se usluge oglašavaju uz klasične usluge širokopojasnog pristupa u nepokretnoj mreži. Nadalje, uz uslugu se isporučuju modemi/</w:t>
      </w:r>
      <w:proofErr w:type="spellStart"/>
      <w:r w:rsidRPr="00812C3F">
        <w:rPr>
          <w:rFonts w:eastAsia="Times New Roman"/>
          <w:color w:val="000000"/>
        </w:rPr>
        <w:t>routeri</w:t>
      </w:r>
      <w:proofErr w:type="spellEnd"/>
      <w:r w:rsidRPr="00812C3F">
        <w:rPr>
          <w:rFonts w:eastAsia="Times New Roman"/>
          <w:color w:val="000000"/>
        </w:rPr>
        <w:t xml:space="preserve"> koji upućuju na korištenje na fiksnoj lokaciji, odnosno, iako je taj modem/</w:t>
      </w:r>
      <w:proofErr w:type="spellStart"/>
      <w:r w:rsidRPr="00812C3F">
        <w:rPr>
          <w:rFonts w:eastAsia="Times New Roman"/>
          <w:color w:val="000000"/>
        </w:rPr>
        <w:t>router</w:t>
      </w:r>
      <w:proofErr w:type="spellEnd"/>
      <w:r w:rsidRPr="00812C3F">
        <w:rPr>
          <w:rFonts w:eastAsia="Times New Roman"/>
          <w:color w:val="000000"/>
        </w:rPr>
        <w:t xml:space="preserve"> prenosiv i može se koristiti na različitim lokacijama činjenica je da je modem/</w:t>
      </w:r>
      <w:proofErr w:type="spellStart"/>
      <w:r w:rsidRPr="00812C3F">
        <w:rPr>
          <w:rFonts w:eastAsia="Times New Roman"/>
          <w:color w:val="000000"/>
        </w:rPr>
        <w:t>router</w:t>
      </w:r>
      <w:proofErr w:type="spellEnd"/>
      <w:r w:rsidRPr="00812C3F">
        <w:rPr>
          <w:rFonts w:eastAsia="Times New Roman"/>
          <w:color w:val="000000"/>
        </w:rPr>
        <w:t xml:space="preserve"> tijekom uporabe fiksiran jer treba napajanje, a u pojedinim slučajevima uz uređaj se isporučuje i vanjska antena koja se postavlja na krov ili vanjski dio kuće te nije prikladno često mijenjati lokaciju korištenja usluge.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Iako je u gore navedene ponude A1, HT-a i </w:t>
      </w:r>
      <w:proofErr w:type="spellStart"/>
      <w:r w:rsidRPr="00812C3F">
        <w:rPr>
          <w:rFonts w:eastAsia="Times New Roman"/>
          <w:color w:val="000000"/>
        </w:rPr>
        <w:t>Telemacha</w:t>
      </w:r>
      <w:proofErr w:type="spellEnd"/>
      <w:r w:rsidRPr="00812C3F">
        <w:rPr>
          <w:rFonts w:eastAsia="Times New Roman"/>
          <w:color w:val="000000"/>
        </w:rPr>
        <w:t xml:space="preserve"> uključen ograničeni Internet promet, HAKOM smatra kako su te ponude s aspekta korisnika usluge širokopojasnog pristupa na tržištu malog kapaciteta usporedive s uslugom pristupa koja se ostvaruje putem bakrene parice i najčešće se koristi uz neograničen promet. Naposljetku, iako je uključeni promet formalno ograničen i to doista čini određenu razliku u odnosu na ponude klasičnog širokopojasnog pristupa u nepokretnoj mreži, isto tako je činjenica da je promet u stvari neograničen, jer nakon potrošnje uključenog prometa korisnik i dalje može koristiti uslugu samo po značajno nižoj brzini, ali koja je često veća od uobičajene brzine pristupa koja se ostvaruje putem osnovne usluge na temelju bakrene parice.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Isto tako, u ovom poglavlju HAKOM razmatra zamjenjivost usluge širokopojasnog pristupa na fiksnoj lokaciji putem mreže pokretnih komunikacija s uslugama na maloprodajnom tržištu na kojem su korisnici manje zahtjevni što se tiče brzina i kvalitete pristupa i količine potrebnog podatkovnog prometa te smatra da je toj skupini korisnika uključeni podatkovni promet u pravilu dostatan za zadovoljenje njihovih potreba. Uz funkcionalnu sličnost, navedene su ponude cjenovno nešto povoljnije od usluge pristupa putem bakrene parice. Nadalje, iako su u ovom slučaju oglašavane pristupne brzine iznad gornje granice koju omogućava bakrena infrastruktura, HAKOM ih je smatrao primjerenim analizirati na tržištu malog kapaciteta zbog svih prethodno opisanih ograničenja mobilnih mreža uslijed kojih su brzine i drugi parametri kvalitete s ovog segmenta maloprodajnog tržišta realno ostvarivi uz uslugu pristupa putem mreža pokretnih komunikacija.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U konačnici, nastavno na sve navedeno dolazimo do zaključka kako usluge širokopojasnog pristupa na fiksnoj lokaciji putem mreža pokretnih komunikacija koje imaju gore opisane karakteristike, na maloprodajnom tržištu malog kapaciteta predstavljaju zamjenske usluge usluzi širokopojasnog pristupa putem bakrene parice, odnosno da čine sastavni dio istog maloprodajnog tržišta.</w:t>
      </w:r>
    </w:p>
    <w:p w:rsidR="00D7024A" w:rsidRPr="00812C3F" w:rsidRDefault="00D7024A" w:rsidP="00D7024A">
      <w:pPr>
        <w:jc w:val="both"/>
        <w:rPr>
          <w:rFonts w:eastAsia="Times New Roman"/>
          <w:color w:val="000000"/>
        </w:rPr>
      </w:pPr>
    </w:p>
    <w:p w:rsidR="00D7024A" w:rsidRPr="00B34167" w:rsidRDefault="00D7024A" w:rsidP="000F4F34">
      <w:pPr>
        <w:jc w:val="both"/>
        <w:rPr>
          <w:rFonts w:ascii="Segoe UI Semibold" w:hAnsi="Segoe UI Semibold" w:cs="Segoe UI Semibold"/>
          <w:color w:val="1F3864" w:themeColor="accent1" w:themeShade="80"/>
        </w:rPr>
      </w:pPr>
      <w:bookmarkStart w:id="73" w:name="_Toc124462527"/>
      <w:bookmarkStart w:id="74" w:name="_Toc124514421"/>
      <w:r w:rsidRPr="00B34167">
        <w:rPr>
          <w:rFonts w:ascii="Segoe UI Semibold" w:hAnsi="Segoe UI Semibold" w:cs="Segoe UI Semibold"/>
          <w:color w:val="1F3864" w:themeColor="accent1" w:themeShade="80"/>
        </w:rPr>
        <w:t>Hibridni širokopojasni pristup</w:t>
      </w:r>
      <w:bookmarkEnd w:id="73"/>
      <w:bookmarkEnd w:id="74"/>
      <w:r w:rsidRPr="00B34167">
        <w:rPr>
          <w:rFonts w:ascii="Segoe UI Semibold" w:hAnsi="Segoe UI Semibold" w:cs="Segoe UI Semibold"/>
          <w:color w:val="1F3864" w:themeColor="accent1" w:themeShade="80"/>
        </w:rPr>
        <w:t xml:space="preserve"> </w:t>
      </w:r>
    </w:p>
    <w:p w:rsidR="00D7024A" w:rsidRPr="00812C3F" w:rsidRDefault="00D7024A" w:rsidP="00D7024A">
      <w:pPr>
        <w:jc w:val="both"/>
        <w:rPr>
          <w:rFonts w:ascii="Calibri Light" w:eastAsia="Times New Roman" w:hAnsi="Calibri Light"/>
          <w:b/>
          <w:bCs/>
          <w:color w:val="4472C4"/>
          <w:lang w:eastAsia="hr-HR"/>
        </w:rPr>
      </w:pPr>
    </w:p>
    <w:p w:rsidR="00D7024A" w:rsidRPr="00812C3F" w:rsidRDefault="00D7024A" w:rsidP="00D7024A">
      <w:pPr>
        <w:jc w:val="both"/>
        <w:rPr>
          <w:rFonts w:eastAsia="Times New Roman"/>
          <w:color w:val="000000"/>
        </w:rPr>
      </w:pPr>
      <w:r w:rsidRPr="00812C3F">
        <w:rPr>
          <w:rFonts w:eastAsia="Times New Roman"/>
          <w:color w:val="000000"/>
        </w:rPr>
        <w:t xml:space="preserve">Hibridni širokopojasni pristup predstavlja način širokopojasnog pristupa koji kombinira pristup putem bakrene parice i pristup putem mreža pokretnih komunikacija. Udio širokopojasnih priključaka koji se ostvaruju na ovaj način iznosi 15,20% ukupnog broja širokopojasnih priključaka putem bakrene parice (podatak za drugo tromjesečje 2022.). Na ovaj način, korisnicima se omogućava ostvarivanje većih brzina na postojećoj usluzi širokopojasnog pristupa u odnosu na pristup samo putem bakrene parice, a navedeno se postiže korištenjem kapaciteta mreže pokretnih komunikacija. Hibridni pristup se ostvaruje putem posebnog pristupnog uređaja koji kombinira pristup putem bakrene infrastrukture i pristup putem mreže pokretnih komunikacija. Hibridnim pristupom korisnicima se omogućava ostvarivanje veće brzine pristupa od one koja bi bila dostupna primjenom samo bakrene parice, međutim predmetno povećanje brzine ovisi o karakteristikama mreže pokretnih komunikacija na navedenoj lokaciji te za isto nema nikakvog jamstva kao što je slučaj kod širokopojasnog pristupa koji se ostvaruje putem nepokretnih mreža. Hibridni širokopojasni pristup trenutno na tržištu nudi samo HT i to u obliku opcije </w:t>
      </w:r>
      <w:proofErr w:type="spellStart"/>
      <w:r w:rsidRPr="00812C3F">
        <w:rPr>
          <w:rFonts w:eastAsia="Times New Roman"/>
          <w:color w:val="000000"/>
        </w:rPr>
        <w:t>Hibridbox</w:t>
      </w:r>
      <w:proofErr w:type="spellEnd"/>
      <w:r w:rsidRPr="00812C3F">
        <w:rPr>
          <w:rFonts w:eastAsia="Times New Roman"/>
          <w:color w:val="000000"/>
        </w:rPr>
        <w:t xml:space="preserve"> koja je uključena u cijenu usluge ADSL pristupa putem bakrene parice uz neograničen Internet promet. Opcija je dostupna korisnicima gdje je trenutno dostupan širokopojasni pristup brzine do 30 Mbit/s te će ovisiti o dostupnosti raspoloživih kapaciteta mreže pokretnih komunikacija HT-a na toj lokaciji.</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S obzirom da navedena usluga u svojoj osnovi ima pristup putem bakrene parice, a kapacitet mreže pokretnih komunikacija se koristi za povećanje brzine pristupa u odnosu na brzinu pristupa koja je dostupna putem osnovnog pristupa putem bakrene mreže te da konačna brzina ovisi o razini signala mreže pokretnih komunikacija HAKOM je mišljenja da hibridni širokopojasni pristup predstavlja zamjensku uslugu pristupu putem bakrene mreže na maloprodajnoj razini tržišta malog kapaciteta, odnosno da ove dvije usluge pripadaju istom maloprodajnom tržištu. Drugim riječima, hibridni širokopojasni pristup se prvenstveno koristi kod korisnika koji ostvaruju osnovnu brzinu širokopojasnog pristupa od 4 ili 10 Mbit/s koje su karakteristične za tehnologije koje ulaze u ovo tržište malog kapaciteta.</w:t>
      </w:r>
    </w:p>
    <w:p w:rsidR="00D7024A" w:rsidRPr="00812C3F" w:rsidRDefault="00D7024A" w:rsidP="00D7024A">
      <w:pPr>
        <w:jc w:val="both"/>
        <w:rPr>
          <w:rFonts w:ascii="Calibri Light" w:eastAsia="Times New Roman" w:hAnsi="Calibri Light"/>
          <w:b/>
          <w:bCs/>
          <w:color w:val="4472C4"/>
          <w:lang w:eastAsia="hr-HR"/>
        </w:rPr>
      </w:pPr>
    </w:p>
    <w:p w:rsidR="00D7024A" w:rsidRPr="00B34167" w:rsidRDefault="00D7024A" w:rsidP="000F4F34">
      <w:pPr>
        <w:jc w:val="both"/>
        <w:rPr>
          <w:rFonts w:ascii="Segoe UI Semibold" w:hAnsi="Segoe UI Semibold" w:cs="Segoe UI Semibold"/>
          <w:color w:val="1F3864" w:themeColor="accent1" w:themeShade="80"/>
        </w:rPr>
      </w:pPr>
      <w:bookmarkStart w:id="75" w:name="_Toc124462528"/>
      <w:bookmarkStart w:id="76" w:name="_Toc124514422"/>
      <w:r w:rsidRPr="00B34167">
        <w:rPr>
          <w:rFonts w:ascii="Segoe UI Semibold" w:hAnsi="Segoe UI Semibold" w:cs="Segoe UI Semibold"/>
          <w:color w:val="1F3864" w:themeColor="accent1" w:themeShade="80"/>
        </w:rPr>
        <w:t>Pristup putem bežičnih tehnologija u nepokretnoj mreži</w:t>
      </w:r>
      <w:bookmarkEnd w:id="75"/>
      <w:bookmarkEnd w:id="76"/>
    </w:p>
    <w:p w:rsidR="00D7024A" w:rsidRPr="00812C3F" w:rsidRDefault="00D7024A" w:rsidP="00D7024A">
      <w:pPr>
        <w:jc w:val="both"/>
        <w:rPr>
          <w:rFonts w:ascii="Calibri Light" w:eastAsia="Times New Roman" w:hAnsi="Calibri Light"/>
          <w:b/>
          <w:bCs/>
          <w:color w:val="4472C4"/>
          <w:lang w:eastAsia="hr-HR"/>
        </w:rPr>
      </w:pPr>
    </w:p>
    <w:p w:rsidR="00D7024A" w:rsidRPr="00812C3F" w:rsidRDefault="00D7024A" w:rsidP="00D7024A">
      <w:pPr>
        <w:jc w:val="both"/>
        <w:rPr>
          <w:rFonts w:eastAsia="Times New Roman"/>
          <w:color w:val="000000"/>
        </w:rPr>
      </w:pPr>
      <w:r w:rsidRPr="00812C3F">
        <w:rPr>
          <w:rFonts w:eastAsia="Times New Roman"/>
          <w:color w:val="000000"/>
        </w:rPr>
        <w:t xml:space="preserve">Nepokretni bežični pristup se u RH ostvaruje putem Wi Fi i </w:t>
      </w:r>
      <w:proofErr w:type="spellStart"/>
      <w:r w:rsidRPr="00812C3F">
        <w:rPr>
          <w:rFonts w:eastAsia="Times New Roman"/>
          <w:color w:val="000000"/>
        </w:rPr>
        <w:t>WiMAX</w:t>
      </w:r>
      <w:proofErr w:type="spellEnd"/>
      <w:r w:rsidRPr="00812C3F">
        <w:rPr>
          <w:rFonts w:eastAsia="Times New Roman"/>
          <w:color w:val="000000"/>
        </w:rPr>
        <w:t xml:space="preserve"> tehnologije. Riječ je o usluzi širokopojasnog pristupa uz upotrebu radijskog frekvencijskog spektra od 3,5 GHz do 5 GHz. Na kraju drugog tromjesečja 2022. 99,50% korisnika usluge širokopojasnog pristupa putem bežičnih tehnologija u nepokretnoj mreži istu koristi uz pristupne brzine do 100 Mbit/s. Iako je udio ovih korisnika na kraju drugog tromjesečja 2022. gotovo zanemariv (2,51%), ipak je u razdoblju od zadnje analize do drugog tromjesečja 2022. primjetan porast u korištenju ove vrste pristupa te ga je stoga HAKOM uzeo u obzir pri analizi zamjenjivosti.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Usluga širokopojasnog pristupa koja se ostvaruje putem Wi Fi tehnologije uglavnom se nudi krajnjim korisnicima u paketima usluga pa je primjerice dostupan u trio paketu uz pristupnu brzinu do 50 Mbit/s u preuzimanju i 10 Mbit/s u prijenosu podataka po cijeni od 29,07</w:t>
      </w:r>
      <w:r w:rsidRPr="00812C3F">
        <w:rPr>
          <w:rFonts w:eastAsia="Times New Roman"/>
          <w:color w:val="000000"/>
          <w:vertAlign w:val="superscript"/>
        </w:rPr>
        <w:footnoteReference w:id="17"/>
      </w:r>
      <w:r w:rsidRPr="00812C3F">
        <w:rPr>
          <w:rFonts w:eastAsia="Times New Roman"/>
          <w:color w:val="000000"/>
        </w:rPr>
        <w:t xml:space="preserve"> EUR (s PDV-om). Iako ove tehnologije omogućavaju i veće brzine preuzimanja i prijenosa podataka te su iste operatori u mogućnosti garantirati krajnjim korisnicima, zbog ograničenja kao što su npr. asimetrične brzine pristupa, maksimalna ostvariva brzina prijenosa i sl.,  HAKOM smatra kako su bežični pristup u nepokretnoj mreži i pristup putem bakrene parice zamjenske usluge te čine sastavni dio istog maloprodajnog tržišta malog kapaciteta.</w:t>
      </w:r>
    </w:p>
    <w:p w:rsidR="00D7024A" w:rsidRPr="00812C3F" w:rsidRDefault="00D7024A" w:rsidP="00D7024A">
      <w:pPr>
        <w:jc w:val="both"/>
        <w:rPr>
          <w:rFonts w:eastAsia="Times New Roman"/>
          <w:color w:val="000000"/>
        </w:rPr>
      </w:pPr>
    </w:p>
    <w:p w:rsidR="00D7024A" w:rsidRPr="00B34167" w:rsidRDefault="00D7024A" w:rsidP="000F4F34">
      <w:pPr>
        <w:jc w:val="both"/>
        <w:rPr>
          <w:rFonts w:ascii="Segoe UI Semibold" w:hAnsi="Segoe UI Semibold" w:cs="Segoe UI Semibold"/>
          <w:color w:val="1F3864" w:themeColor="accent1" w:themeShade="80"/>
        </w:rPr>
      </w:pPr>
      <w:bookmarkStart w:id="77" w:name="_Toc124462529"/>
      <w:bookmarkStart w:id="78" w:name="_Toc124514423"/>
      <w:r w:rsidRPr="00B34167">
        <w:rPr>
          <w:rFonts w:ascii="Segoe UI Semibold" w:hAnsi="Segoe UI Semibold" w:cs="Segoe UI Semibold"/>
          <w:color w:val="1F3864" w:themeColor="accent1" w:themeShade="80"/>
        </w:rPr>
        <w:t>Pristup putem iznajmljenih vodova</w:t>
      </w:r>
      <w:bookmarkEnd w:id="77"/>
      <w:bookmarkEnd w:id="78"/>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HAKOM nije razmatrao zamjenjivost usluge širokopojasnog pristupa koja se ostvaruje putem iznajmljenih vodova i usluge pristupa putem bakrene parice budući da je Europska komisija u važećoj Preporuci o mjerodavnim tržištima usluge iznajmljenih vodova odnosno usluge visokokvalitetnog pristupa prepoznala kao usluge koje pripadaju zasebnom mjerodavnom tržištu.</w:t>
      </w:r>
    </w:p>
    <w:p w:rsidR="00D7024A" w:rsidRPr="00812C3F" w:rsidRDefault="00D7024A" w:rsidP="00D7024A">
      <w:pPr>
        <w:jc w:val="both"/>
        <w:rPr>
          <w:rFonts w:eastAsia="Times New Roman"/>
          <w:color w:val="000000"/>
        </w:rPr>
      </w:pPr>
    </w:p>
    <w:p w:rsidR="00D7024A" w:rsidRPr="00B34167" w:rsidRDefault="00D7024A" w:rsidP="000F4F34">
      <w:pPr>
        <w:jc w:val="both"/>
        <w:rPr>
          <w:rFonts w:cs="Segoe UI Semibold"/>
          <w:color w:val="1F3864" w:themeColor="accent1" w:themeShade="80"/>
        </w:rPr>
      </w:pPr>
      <w:bookmarkStart w:id="79" w:name="_Toc124462530"/>
      <w:bookmarkStart w:id="80" w:name="_Toc124514424"/>
      <w:r w:rsidRPr="00B34167">
        <w:rPr>
          <w:rFonts w:ascii="Segoe UI Semibold" w:hAnsi="Segoe UI Semibold" w:cs="Segoe UI Semibold"/>
          <w:color w:val="1F3864" w:themeColor="accent1" w:themeShade="80"/>
        </w:rPr>
        <w:t>Pristup putem svjetlovodnih niti</w:t>
      </w:r>
      <w:bookmarkEnd w:id="79"/>
      <w:bookmarkEnd w:id="80"/>
    </w:p>
    <w:p w:rsidR="00D7024A" w:rsidRPr="00812C3F" w:rsidRDefault="00D7024A" w:rsidP="00D7024A">
      <w:pPr>
        <w:jc w:val="both"/>
        <w:rPr>
          <w:rFonts w:ascii="Calibri Light" w:eastAsia="Times New Roman" w:hAnsi="Calibri Light"/>
          <w:b/>
          <w:bCs/>
          <w:color w:val="4472C4"/>
          <w:lang w:eastAsia="hr-HR"/>
        </w:rPr>
      </w:pPr>
    </w:p>
    <w:p w:rsidR="00D7024A" w:rsidRPr="00812C3F" w:rsidRDefault="00D7024A" w:rsidP="00D7024A">
      <w:pPr>
        <w:jc w:val="both"/>
        <w:rPr>
          <w:rFonts w:eastAsia="Calibri"/>
          <w:color w:val="000000"/>
        </w:rPr>
      </w:pPr>
      <w:r w:rsidRPr="00812C3F">
        <w:rPr>
          <w:rFonts w:eastAsia="Times New Roman"/>
          <w:color w:val="000000"/>
        </w:rPr>
        <w:t>Širokopojasni pristup putem svjetlovodnih niti osigurava vrlo velike, simetrične brzine preuzimanja i slanja podataka te zbog iznimne kvalitete niti omogućava širokopojasni pristup najbolje kvalitete u usporedbi s drugim tehnologijama na tržištu.</w:t>
      </w:r>
    </w:p>
    <w:p w:rsidR="00D7024A" w:rsidRPr="00812C3F" w:rsidRDefault="00D7024A" w:rsidP="00D7024A">
      <w:pPr>
        <w:jc w:val="both"/>
        <w:rPr>
          <w:rFonts w:eastAsia="Calibri"/>
          <w:color w:val="000000"/>
        </w:rPr>
      </w:pPr>
    </w:p>
    <w:p w:rsidR="00D7024A" w:rsidRPr="00812C3F" w:rsidRDefault="00D7024A" w:rsidP="00D7024A">
      <w:pPr>
        <w:jc w:val="both"/>
        <w:rPr>
          <w:rFonts w:eastAsia="Times New Roman"/>
          <w:color w:val="000000"/>
        </w:rPr>
      </w:pPr>
      <w:r w:rsidRPr="00812C3F">
        <w:rPr>
          <w:rFonts w:eastAsia="Times New Roman"/>
          <w:color w:val="000000"/>
        </w:rPr>
        <w:t>U svojoj maloprodajnoj ponudi operatori danas nude širokopojasne priključke na svjetlovodnoj mreži s brzinom i od 2 Gbit/s/2 Gbit/s (silazna i uzlazna brzina su jednake i iznose 2 Gbit/s) dok su osnovne brzine pristupa koje se nude na svjetlovodnim mrežama 200 Mbit/s/100 Mbit/s, odnosno jednake maksimalnim brzinama koje omogućava pristup putem bakrene parice.</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Zbog navedenih karakteristika, u usporedbi s tehničkim mogućnostima i ograničenjima pristupa putem bakrene parice jasno je kako je pristup putem svjetlovodnih niti primjeren za ispunjavanje zahtjeva i potreba za većom kvalitetom širokopojasnog pristupa zbog čega predstavlja uslugu širokopojasnog pristupa velikog kapaciteta.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Cjenovno, maloprodajne ponude širokopojasnog pristupa putem svjetlovodnih niti pristupne brzine od 200 Mbit/s u silazu i 100 Mbit/s u uzlazu dostupne su od 23,76</w:t>
      </w:r>
      <w:r w:rsidRPr="00812C3F">
        <w:rPr>
          <w:rFonts w:eastAsia="Times New Roman"/>
          <w:color w:val="000000"/>
          <w:vertAlign w:val="superscript"/>
        </w:rPr>
        <w:footnoteReference w:id="18"/>
      </w:r>
      <w:r w:rsidRPr="00812C3F">
        <w:rPr>
          <w:rFonts w:eastAsia="Times New Roman"/>
          <w:color w:val="000000"/>
        </w:rPr>
        <w:t xml:space="preserve"> EUR (s PDV-om) za samostalni širokopojasni pristup, odnosno od 26,41 EUR (s PDV-om) u kombinaciji s telefonskom uslugom ili u paketu s TV uslugom po cijeni od 35,70 EUR (s PDV-om). Trio paket, odnosno svjetlovodni širokopojasni pristup brzine od 200 Mbit/s u silazu i 100 Mbit/s u uzlazu s javno dostupnom telefonskom uslugom i TV uslugom korisnici mogu ugovoriti po cijeni od 43,79 EUR.</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Međutim, korisnici širokopojasnog pristupa na tržištu malog kapaciteta vrlo često ne žele svoj priključak koji ostvaruju putem bakrene pristupne mreže zamijeniti svjetlovodnim, boljih parametara kvalitete i jednake ili povoljnije cijene iako im je isti dostupan i to iz subjektivnih razloga kao što su nespremnost na radove prilikom priključenja, percepcija da su njihove potrebe zadovoljene i uz postojeće, niže pristupne brzine i druge parametre kvalitete i sl. Uz to, još uvijek oko 68 % korisnika nema niti mogućnost ostvariti širokopojasni pristup putem svjetlovodnih niti. Zbog svega navedenog HAKOM smatra kako širokopojasni pristup putem svjetlovodnih niti, ne bi bio u mogućnosti stvoriti potreban konkurentski pritisak na cijene širokopojasnog pristupa putem bakrene parice. U prilog tome govori i činjenica kako je na kraju drugog tromjesečja 2022., svega 0,43 % krajnjih korisnika koristilo pristup putem svjetlovodnih niti za korištenje usluga širokopojasnog pristupa malog kapaciteta.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Slijedom svega navedenog, HAKOM smatra kako širokopojasni pristup putem svjetlovodnih niti nije primjereno uključiti u tržište malog kapaciteta. </w:t>
      </w:r>
    </w:p>
    <w:p w:rsidR="00D7024A" w:rsidRPr="00812C3F" w:rsidRDefault="00D7024A" w:rsidP="00D7024A">
      <w:pPr>
        <w:jc w:val="both"/>
        <w:rPr>
          <w:rFonts w:ascii="Calibri Light" w:eastAsia="Times New Roman" w:hAnsi="Calibri Light"/>
          <w:b/>
          <w:bCs/>
          <w:color w:val="4472C4"/>
          <w:lang w:eastAsia="hr-HR"/>
        </w:rPr>
      </w:pPr>
    </w:p>
    <w:p w:rsidR="00D7024A" w:rsidRPr="00B34167" w:rsidRDefault="00D7024A" w:rsidP="000F4F34">
      <w:pPr>
        <w:jc w:val="both"/>
        <w:rPr>
          <w:rFonts w:ascii="Segoe UI Semibold" w:hAnsi="Segoe UI Semibold" w:cs="Segoe UI Semibold"/>
          <w:color w:val="1F3864" w:themeColor="accent1" w:themeShade="80"/>
        </w:rPr>
      </w:pPr>
      <w:bookmarkStart w:id="81" w:name="_Ref124459460"/>
      <w:bookmarkStart w:id="82" w:name="_Toc124462531"/>
      <w:bookmarkStart w:id="83" w:name="_Toc124514425"/>
      <w:r w:rsidRPr="00B34167">
        <w:rPr>
          <w:rFonts w:ascii="Segoe UI Semibold" w:hAnsi="Segoe UI Semibold" w:cs="Segoe UI Semibold"/>
          <w:color w:val="1F3864" w:themeColor="accent1" w:themeShade="80"/>
        </w:rPr>
        <w:t>Pristup putem kabelskih mreža</w:t>
      </w:r>
      <w:bookmarkEnd w:id="81"/>
      <w:bookmarkEnd w:id="82"/>
      <w:bookmarkEnd w:id="83"/>
    </w:p>
    <w:p w:rsidR="00D7024A" w:rsidRPr="00812C3F" w:rsidRDefault="00D7024A" w:rsidP="00D7024A">
      <w:pPr>
        <w:jc w:val="both"/>
        <w:rPr>
          <w:rFonts w:ascii="Calibri Light" w:eastAsia="Times New Roman" w:hAnsi="Calibri Light"/>
          <w:b/>
          <w:bCs/>
          <w:color w:val="4472C4"/>
          <w:lang w:eastAsia="hr-HR"/>
        </w:rPr>
      </w:pPr>
    </w:p>
    <w:p w:rsidR="00D7024A" w:rsidRPr="00812C3F" w:rsidRDefault="00D7024A" w:rsidP="00D7024A">
      <w:pPr>
        <w:jc w:val="both"/>
        <w:rPr>
          <w:rFonts w:eastAsia="Times New Roman"/>
          <w:color w:val="000000"/>
        </w:rPr>
      </w:pPr>
      <w:r w:rsidRPr="00812C3F">
        <w:rPr>
          <w:rFonts w:eastAsia="Times New Roman"/>
          <w:color w:val="000000"/>
        </w:rPr>
        <w:t xml:space="preserve">Širokopojasni pristup putem kabelskih mreža pruža se putem koaksijalnog kabela (ili putem hibridne svjetlovodno-koaksijalne mreže) kojim se ujedno </w:t>
      </w:r>
      <w:proofErr w:type="spellStart"/>
      <w:r w:rsidRPr="00812C3F">
        <w:rPr>
          <w:rFonts w:eastAsia="Times New Roman"/>
          <w:color w:val="000000"/>
        </w:rPr>
        <w:t>razašilje</w:t>
      </w:r>
      <w:proofErr w:type="spellEnd"/>
      <w:r w:rsidRPr="00812C3F">
        <w:rPr>
          <w:rFonts w:eastAsia="Times New Roman"/>
          <w:color w:val="000000"/>
        </w:rPr>
        <w:t xml:space="preserve"> i signal kabelske televizije. Trenutne tehničke mogućnosti ove vrste pristupa (verzija standarda Docsis 3.1) su usporedive s karakteristikama pristupa putem svjetlovodnih niti zbog čega najveći pružatelj širokopojasnog pristupa putem kabelske mreže, A1, na kabelskoj infrastrukturi (u ovom slučaju hibridnoj svjetlovodnoj-koaksijalnoj mreži) nudi usluge širokopojasnog pristupa s brzinama pristupa od najnižih 200 Mbit/s/20 Mbit/s do najviše 1 Gbit/s/100 Mbit/s. Iako u usporedbi s pristupom putem svjetlovodne niti, kabelska tehnologija ima određena tehnička ograničenja u pogledu asimetričnih brzina prijenosa, s obzirom na promatrane parametre  kvalitete i ova vrsta pristupa čini sastavni dio tržišta velikog kapaciteta.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Iz razloga navedenih prilikom razmatranja pristupa putem svjetlovodnih niti, a koji su primjenjivi i na uslugu pristupa putem kabelskih mreža, HAKOM smatra kako ni ovu vrstu pristupa nije primjereno uključiti u tržište malog kapaciteta s obzirom na inertnost korisnika širokopojasnog pristupa na tržištu malog kapaciteta. Osim toga, za oko 83 </w:t>
      </w:r>
      <w:r>
        <w:rPr>
          <w:rFonts w:eastAsia="Times New Roman"/>
          <w:color w:val="000000"/>
        </w:rPr>
        <w:t>posto</w:t>
      </w:r>
      <w:r w:rsidRPr="00812C3F">
        <w:rPr>
          <w:rFonts w:eastAsia="Times New Roman"/>
          <w:color w:val="000000"/>
        </w:rPr>
        <w:t xml:space="preserve"> korisnika ova vrsta pristupa nije dostupna, a HAKOM ne očekuje daljnje širenje pokrivenosti kabelskim pristupom.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Uz sve navedeno i činjenicu da svega 2,22 </w:t>
      </w:r>
      <w:r>
        <w:rPr>
          <w:rFonts w:eastAsia="Times New Roman"/>
          <w:color w:val="000000"/>
        </w:rPr>
        <w:t>posto</w:t>
      </w:r>
      <w:r w:rsidRPr="00812C3F">
        <w:rPr>
          <w:rFonts w:eastAsia="Times New Roman"/>
          <w:color w:val="000000"/>
        </w:rPr>
        <w:t xml:space="preserve"> korisnika koristi pristup putem kabelskih mreža za korištenje širokopojasnog pristupa malog kapaciteta, HAKOM smatra kako pristup putem kabelskih mreža nije primjereno uključiti u tržište malog kapaciteta.</w:t>
      </w:r>
    </w:p>
    <w:p w:rsidR="004A7E45" w:rsidRDefault="004A7E45" w:rsidP="004A7E45">
      <w:pPr>
        <w:rPr>
          <w:rFonts w:eastAsia="Times New Roman"/>
          <w:color w:val="000000"/>
        </w:rPr>
      </w:pPr>
      <w:bookmarkStart w:id="84" w:name="_Toc124462532"/>
      <w:bookmarkStart w:id="85" w:name="_Toc124514426"/>
    </w:p>
    <w:p w:rsidR="00D7024A" w:rsidRPr="00B34167" w:rsidRDefault="00D7024A" w:rsidP="000F4F34">
      <w:pPr>
        <w:jc w:val="both"/>
        <w:rPr>
          <w:rFonts w:ascii="Segoe UI Semibold" w:hAnsi="Segoe UI Semibold" w:cs="Segoe UI Semibold"/>
          <w:color w:val="1F3864" w:themeColor="accent1" w:themeShade="80"/>
        </w:rPr>
      </w:pPr>
      <w:r w:rsidRPr="00B34167">
        <w:rPr>
          <w:rFonts w:ascii="Segoe UI Semibold" w:hAnsi="Segoe UI Semibold" w:cs="Segoe UI Semibold"/>
          <w:color w:val="1F3864" w:themeColor="accent1" w:themeShade="80"/>
        </w:rPr>
        <w:t>Zaključak o dimenziji usluga za tržište malog kapaciteta (maloprodajna razina)</w:t>
      </w:r>
      <w:bookmarkEnd w:id="84"/>
      <w:bookmarkEnd w:id="85"/>
    </w:p>
    <w:p w:rsidR="00D7024A" w:rsidRPr="00812C3F" w:rsidRDefault="00D7024A" w:rsidP="00D7024A">
      <w:pPr>
        <w:jc w:val="both"/>
        <w:rPr>
          <w:rFonts w:eastAsia="Times New Roman"/>
          <w:color w:val="000000"/>
        </w:rPr>
      </w:pPr>
    </w:p>
    <w:p w:rsidR="00D7024A" w:rsidRPr="00812C3F" w:rsidRDefault="007975C6" w:rsidP="00D7024A">
      <w:pPr>
        <w:jc w:val="both"/>
        <w:rPr>
          <w:rFonts w:eastAsia="Times New Roman"/>
          <w:color w:val="000000"/>
        </w:rPr>
      </w:pPr>
      <w:r>
        <w:rPr>
          <w:rFonts w:eastAsia="Times New Roman"/>
          <w:color w:val="000000"/>
        </w:rPr>
        <w:t xml:space="preserve">U poglavlju </w:t>
      </w:r>
      <w:r>
        <w:rPr>
          <w:rFonts w:eastAsia="Times New Roman"/>
          <w:color w:val="000000"/>
        </w:rPr>
        <w:fldChar w:fldCharType="begin"/>
      </w:r>
      <w:r>
        <w:rPr>
          <w:rFonts w:eastAsia="Times New Roman"/>
          <w:color w:val="000000"/>
        </w:rPr>
        <w:instrText xml:space="preserve"> REF _Ref125559741 \r \h </w:instrText>
      </w:r>
      <w:r>
        <w:rPr>
          <w:rFonts w:eastAsia="Times New Roman"/>
          <w:color w:val="000000"/>
        </w:rPr>
      </w:r>
      <w:r>
        <w:rPr>
          <w:rFonts w:eastAsia="Times New Roman"/>
          <w:color w:val="000000"/>
        </w:rPr>
        <w:fldChar w:fldCharType="separate"/>
      </w:r>
      <w:r>
        <w:rPr>
          <w:rFonts w:eastAsia="Times New Roman"/>
          <w:color w:val="000000"/>
        </w:rPr>
        <w:t>3.2</w:t>
      </w:r>
      <w:r>
        <w:rPr>
          <w:rFonts w:eastAsia="Times New Roman"/>
          <w:color w:val="000000"/>
        </w:rPr>
        <w:fldChar w:fldCharType="end"/>
      </w:r>
      <w:r>
        <w:rPr>
          <w:rFonts w:eastAsia="Times New Roman"/>
          <w:color w:val="000000"/>
        </w:rPr>
        <w:t xml:space="preserve"> </w:t>
      </w:r>
      <w:r w:rsidR="00D7024A" w:rsidRPr="00812C3F">
        <w:rPr>
          <w:rFonts w:eastAsia="Times New Roman"/>
          <w:color w:val="000000"/>
        </w:rPr>
        <w:t xml:space="preserve">HAKOM je razmatrao mogućnosti i ograničenja različitih pristupnih tehnologija kako bi identificirao pristupne tehnologije, odnosno usluge pristupa s maloprodajne razine tržišta malog kapaciteta. Na temelju tehničkih karakteristika razmatranih tehnologija, njihove dostupnosti, tržišnih pokazatelja, maloprodajnih ponuda operatora i informacija dostupnih HAKOM-u, HAKOM je zaključio kako tržište malog kapaciteta na maloprodajnoj razini čine usluge: </w:t>
      </w:r>
    </w:p>
    <w:p w:rsidR="00D7024A" w:rsidRPr="00812C3F" w:rsidRDefault="00D7024A" w:rsidP="00766501">
      <w:pPr>
        <w:numPr>
          <w:ilvl w:val="0"/>
          <w:numId w:val="47"/>
        </w:numPr>
        <w:contextualSpacing/>
        <w:jc w:val="both"/>
        <w:rPr>
          <w:rFonts w:eastAsia="Times New Roman"/>
          <w:color w:val="000000"/>
        </w:rPr>
      </w:pPr>
      <w:r w:rsidRPr="00812C3F">
        <w:rPr>
          <w:rFonts w:eastAsia="Times New Roman"/>
          <w:color w:val="000000"/>
        </w:rPr>
        <w:t xml:space="preserve">širokopojasni pristup putem bakrene parice, </w:t>
      </w:r>
    </w:p>
    <w:p w:rsidR="00D7024A" w:rsidRPr="00812C3F" w:rsidRDefault="00D7024A" w:rsidP="00766501">
      <w:pPr>
        <w:numPr>
          <w:ilvl w:val="0"/>
          <w:numId w:val="47"/>
        </w:numPr>
        <w:contextualSpacing/>
        <w:jc w:val="both"/>
        <w:rPr>
          <w:rFonts w:eastAsia="Times New Roman"/>
          <w:color w:val="000000"/>
        </w:rPr>
      </w:pPr>
      <w:r w:rsidRPr="00812C3F">
        <w:rPr>
          <w:rFonts w:eastAsia="Times New Roman"/>
          <w:color w:val="000000"/>
        </w:rPr>
        <w:t xml:space="preserve">širokopojasni pristup na fiksnoj lokaciji putem mreža pokretnih komunikacija, </w:t>
      </w:r>
    </w:p>
    <w:p w:rsidR="00D7024A" w:rsidRPr="00812C3F" w:rsidRDefault="00D7024A" w:rsidP="00766501">
      <w:pPr>
        <w:numPr>
          <w:ilvl w:val="0"/>
          <w:numId w:val="47"/>
        </w:numPr>
        <w:contextualSpacing/>
        <w:jc w:val="both"/>
        <w:rPr>
          <w:rFonts w:eastAsia="Times New Roman"/>
          <w:color w:val="000000"/>
        </w:rPr>
      </w:pPr>
      <w:r w:rsidRPr="00812C3F">
        <w:rPr>
          <w:rFonts w:eastAsia="Times New Roman"/>
          <w:color w:val="000000"/>
        </w:rPr>
        <w:t xml:space="preserve">hibridni širokopojasni pristup  i </w:t>
      </w:r>
    </w:p>
    <w:p w:rsidR="00D7024A" w:rsidRPr="00812C3F" w:rsidRDefault="00D7024A" w:rsidP="00766501">
      <w:pPr>
        <w:numPr>
          <w:ilvl w:val="0"/>
          <w:numId w:val="47"/>
        </w:numPr>
        <w:contextualSpacing/>
        <w:jc w:val="both"/>
        <w:rPr>
          <w:rFonts w:eastAsia="Times New Roman"/>
          <w:color w:val="000000"/>
        </w:rPr>
      </w:pPr>
      <w:r w:rsidRPr="00812C3F">
        <w:rPr>
          <w:rFonts w:eastAsia="Times New Roman"/>
          <w:color w:val="000000"/>
        </w:rPr>
        <w:t>širokopojasni pristup putem bežičnih tehnologija u nepokretnoj mreži,</w:t>
      </w:r>
    </w:p>
    <w:p w:rsidR="00D7024A" w:rsidRPr="00812C3F" w:rsidRDefault="00D7024A" w:rsidP="00D7024A">
      <w:pPr>
        <w:jc w:val="both"/>
        <w:rPr>
          <w:rFonts w:eastAsia="Times New Roman"/>
          <w:color w:val="000000"/>
        </w:rPr>
      </w:pPr>
      <w:r w:rsidRPr="00812C3F">
        <w:rPr>
          <w:rFonts w:eastAsia="Times New Roman"/>
          <w:color w:val="000000"/>
        </w:rPr>
        <w:t>neovisno o tome pružaju li se samostalno ili u kombinaciji s drugim elektroničkim komunikacijskim uslugama (u paketima usluga).</w:t>
      </w:r>
    </w:p>
    <w:p w:rsidR="00D7024A" w:rsidRPr="00812C3F" w:rsidRDefault="00D7024A" w:rsidP="00D7024A">
      <w:pPr>
        <w:rPr>
          <w:rFonts w:eastAsia="Times New Roman"/>
          <w:color w:val="000000"/>
        </w:rPr>
      </w:pPr>
      <w:r w:rsidRPr="00812C3F">
        <w:rPr>
          <w:rFonts w:eastAsia="Times New Roman"/>
          <w:color w:val="000000"/>
        </w:rPr>
        <w:br w:type="page"/>
      </w:r>
    </w:p>
    <w:p w:rsidR="00D7024A" w:rsidRPr="00B34167" w:rsidRDefault="00D7024A" w:rsidP="00B34167">
      <w:pPr>
        <w:pStyle w:val="Heading2"/>
      </w:pPr>
      <w:bookmarkStart w:id="86" w:name="_Toc124462533"/>
      <w:bookmarkStart w:id="87" w:name="_Toc124514427"/>
      <w:bookmarkStart w:id="88" w:name="_Toc124946926"/>
      <w:bookmarkStart w:id="89" w:name="_Toc124948836"/>
      <w:bookmarkStart w:id="90" w:name="_Toc124951731"/>
      <w:bookmarkStart w:id="91" w:name="_Ref125559764"/>
      <w:bookmarkStart w:id="92" w:name="_Ref125560193"/>
      <w:bookmarkStart w:id="93" w:name="_Ref125565456"/>
      <w:bookmarkStart w:id="94" w:name="_Ref125565683"/>
      <w:bookmarkStart w:id="95" w:name="_Toc125644881"/>
      <w:r w:rsidRPr="00B34167">
        <w:t>Tržište velikog kapaciteta (maloprodajna razina)</w:t>
      </w:r>
      <w:bookmarkEnd w:id="86"/>
      <w:bookmarkEnd w:id="87"/>
      <w:bookmarkEnd w:id="88"/>
      <w:bookmarkEnd w:id="89"/>
      <w:bookmarkEnd w:id="90"/>
      <w:bookmarkEnd w:id="91"/>
      <w:bookmarkEnd w:id="92"/>
      <w:bookmarkEnd w:id="93"/>
      <w:bookmarkEnd w:id="94"/>
      <w:bookmarkEnd w:id="95"/>
    </w:p>
    <w:p w:rsidR="00D7024A" w:rsidRPr="00812C3F" w:rsidRDefault="00D7024A" w:rsidP="00D7024A">
      <w:pPr>
        <w:jc w:val="both"/>
        <w:rPr>
          <w:rFonts w:eastAsia="Times New Roman"/>
          <w:color w:val="000000"/>
        </w:rPr>
      </w:pPr>
      <w:r w:rsidRPr="00812C3F">
        <w:rPr>
          <w:rFonts w:eastAsia="Times New Roman"/>
          <w:color w:val="000000"/>
        </w:rPr>
        <w:t xml:space="preserve">Tržište velikog kapaciteta usmjereno je na segment korisnika čije navike i potreba za korištenjem širokopojasnog pristupa zahtijevaju velike brzine prijenosa i preuzimanja, kao i visokokvalitetan širokopojasni pristup. Stoga potražnja za uslugom širokopojasnog pristupa na tržištu velikog kapaciteta dolazi od korisnika koji se intenzivno koriste uslugom širokopojasnog pristupa i za aktivnosti i usluge za koje je potreban veliki kapacitet kao što su </w:t>
      </w:r>
      <w:proofErr w:type="spellStart"/>
      <w:r w:rsidRPr="00812C3F">
        <w:rPr>
          <w:rFonts w:eastAsia="Times New Roman"/>
          <w:color w:val="000000"/>
        </w:rPr>
        <w:t>streaming</w:t>
      </w:r>
      <w:proofErr w:type="spellEnd"/>
      <w:r w:rsidRPr="00812C3F">
        <w:rPr>
          <w:rFonts w:eastAsia="Times New Roman"/>
          <w:color w:val="000000"/>
        </w:rPr>
        <w:t xml:space="preserve">, video igre na mreži, računalstvo u oblaku, televizija na zahtjev i sl. Osim toga, usluga širokopojasnog pristupa velikog kapaciteta potrebna je i korisnicima koji često imaju više uređaja na mreži u isto vrijeme.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Stoga, kako bi se zadovoljila potražnja korisnika na tržištu velikog kapaciteta, širokopojasne tehnologije moraju podržavati velike brzine učitavanja i preuzimanja te osigurati stabilan i visokokvalitetan širokopojasni pristup.</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Pri analizi pristupnih tehnologija, HAKOM nije radio razliku između usluge širokopojasnog pristupa koja se pruža samostalno i one u paketu usluga. Naime, operatori i dalje u maloprodajnim aktivnostima posebnu pažnju i naglasak stavljaju na kreiranje raznovrsnih paketa usluga za krajnje korisnike pa na kraju drugog tromjesečja 2022. 86,30 % korisnika usluge širokopojasnog pristupa putem nepokretnih mreža istu koristi u kombinaciji s drugim elektroničkim komunikacijskim uslugama, odnosno kroz pakete usluga. HAKOM svoj stav temelji na činjenici kako je jedina razlika između samostalnog širokopojasnog pristupa i onog u paketu usluga u cijeni, pri čemu je cijena usluge širokopojasnog pristupa u paketu nešto povoljnija za krajnjeg korisnika.</w:t>
      </w:r>
    </w:p>
    <w:p w:rsidR="00D7024A" w:rsidRPr="00812C3F" w:rsidRDefault="00D7024A" w:rsidP="00D7024A">
      <w:pPr>
        <w:jc w:val="both"/>
        <w:rPr>
          <w:rFonts w:eastAsia="Times New Roman"/>
          <w:color w:val="000000"/>
        </w:rPr>
      </w:pPr>
    </w:p>
    <w:p w:rsidR="00D7024A" w:rsidRPr="00B34167" w:rsidRDefault="00D7024A" w:rsidP="000F4F34">
      <w:pPr>
        <w:jc w:val="both"/>
        <w:rPr>
          <w:rFonts w:ascii="Segoe UI Semibold" w:hAnsi="Segoe UI Semibold" w:cs="Segoe UI Semibold"/>
          <w:color w:val="1F3864" w:themeColor="accent1" w:themeShade="80"/>
        </w:rPr>
      </w:pPr>
      <w:bookmarkStart w:id="96" w:name="_Ref124459407"/>
      <w:bookmarkStart w:id="97" w:name="_Toc124462534"/>
      <w:bookmarkStart w:id="98" w:name="_Toc124514428"/>
      <w:r w:rsidRPr="00B34167">
        <w:rPr>
          <w:rFonts w:ascii="Segoe UI Semibold" w:hAnsi="Segoe UI Semibold" w:cs="Segoe UI Semibold"/>
          <w:color w:val="1F3864" w:themeColor="accent1" w:themeShade="80"/>
        </w:rPr>
        <w:t>Pristup putem svjetlovodnih niti</w:t>
      </w:r>
      <w:bookmarkEnd w:id="96"/>
      <w:bookmarkEnd w:id="97"/>
      <w:bookmarkEnd w:id="98"/>
    </w:p>
    <w:p w:rsidR="00D7024A" w:rsidRPr="00812C3F" w:rsidRDefault="00D7024A" w:rsidP="00D7024A">
      <w:pPr>
        <w:jc w:val="both"/>
        <w:rPr>
          <w:rFonts w:ascii="Calibri Light" w:eastAsia="Times New Roman" w:hAnsi="Calibri Light"/>
          <w:b/>
          <w:bCs/>
          <w:color w:val="4472C4"/>
          <w:lang w:eastAsia="hr-HR"/>
        </w:rPr>
      </w:pPr>
    </w:p>
    <w:p w:rsidR="00D7024A" w:rsidRPr="00812C3F" w:rsidRDefault="00D7024A" w:rsidP="00D7024A">
      <w:pPr>
        <w:jc w:val="both"/>
        <w:rPr>
          <w:rFonts w:eastAsia="Times New Roman"/>
          <w:color w:val="000000"/>
        </w:rPr>
      </w:pPr>
      <w:r w:rsidRPr="00812C3F">
        <w:rPr>
          <w:rFonts w:eastAsia="Times New Roman"/>
          <w:color w:val="000000"/>
        </w:rPr>
        <w:t>Širokopojasni pristup putem svjetlovodnih niti osigurava vrlo velike, simetrične brzine preuzimanja i slanja podataka te zbog iznimne kvalitete niti omogućava širokopojasni pristup najbolje kvalitete u usporedbi s drugim tehnologijama na tržištu i kao takav predstavlja ključnu uslugu na tržištu velikog kapaciteta.</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 xml:space="preserve">U razdoblju od zadnje analize operatori su intenzivirali gradnju vlastitih svjetlovodnih mreža tako da maloprodajne usluge krajnjim korisnicima nude uglavnom putem vlastitih svjetlovodnih priključaka. </w:t>
      </w:r>
      <w:r>
        <w:rPr>
          <w:rFonts w:eastAsia="Times New Roman"/>
          <w:color w:val="000000"/>
        </w:rPr>
        <w:t xml:space="preserve">Uvjerljivo najzastupljenije svjetlovodne mreže koje se grade u Republici Hrvatskoj radi pružanja širokopojasnog pristupa na masovnom tržištu su </w:t>
      </w:r>
      <w:proofErr w:type="spellStart"/>
      <w:r>
        <w:rPr>
          <w:rFonts w:eastAsia="Times New Roman"/>
          <w:color w:val="000000"/>
        </w:rPr>
        <w:t>PtMP</w:t>
      </w:r>
      <w:proofErr w:type="spellEnd"/>
      <w:r>
        <w:rPr>
          <w:rFonts w:eastAsia="Times New Roman"/>
          <w:color w:val="000000"/>
        </w:rPr>
        <w:t xml:space="preserve"> PON (engl. </w:t>
      </w:r>
      <w:proofErr w:type="spellStart"/>
      <w:r w:rsidRPr="00497997">
        <w:rPr>
          <w:rFonts w:eastAsia="Times New Roman"/>
          <w:i/>
          <w:color w:val="000000"/>
        </w:rPr>
        <w:t>Point</w:t>
      </w:r>
      <w:proofErr w:type="spellEnd"/>
      <w:r w:rsidRPr="00497997">
        <w:rPr>
          <w:rFonts w:eastAsia="Times New Roman"/>
          <w:i/>
          <w:color w:val="000000"/>
        </w:rPr>
        <w:t xml:space="preserve"> to </w:t>
      </w:r>
      <w:proofErr w:type="spellStart"/>
      <w:r w:rsidRPr="00497997">
        <w:rPr>
          <w:rFonts w:eastAsia="Times New Roman"/>
          <w:i/>
          <w:color w:val="000000"/>
        </w:rPr>
        <w:t>Multipoint</w:t>
      </w:r>
      <w:proofErr w:type="spellEnd"/>
      <w:r>
        <w:rPr>
          <w:rFonts w:eastAsia="Times New Roman"/>
          <w:color w:val="000000"/>
        </w:rPr>
        <w:t xml:space="preserve"> </w:t>
      </w:r>
      <w:proofErr w:type="spellStart"/>
      <w:r w:rsidRPr="00497997">
        <w:rPr>
          <w:rFonts w:eastAsia="Times New Roman"/>
          <w:i/>
          <w:color w:val="000000"/>
        </w:rPr>
        <w:t>Passive</w:t>
      </w:r>
      <w:proofErr w:type="spellEnd"/>
      <w:r w:rsidRPr="00497997">
        <w:rPr>
          <w:rFonts w:eastAsia="Times New Roman"/>
          <w:i/>
          <w:color w:val="000000"/>
        </w:rPr>
        <w:t xml:space="preserve"> </w:t>
      </w:r>
      <w:proofErr w:type="spellStart"/>
      <w:r w:rsidRPr="00497997">
        <w:rPr>
          <w:rFonts w:eastAsia="Times New Roman"/>
          <w:i/>
          <w:color w:val="000000"/>
        </w:rPr>
        <w:t>Optical</w:t>
      </w:r>
      <w:proofErr w:type="spellEnd"/>
      <w:r w:rsidRPr="00497997">
        <w:rPr>
          <w:rFonts w:eastAsia="Times New Roman"/>
          <w:i/>
          <w:color w:val="000000"/>
        </w:rPr>
        <w:t xml:space="preserve"> Network</w:t>
      </w:r>
      <w:r>
        <w:rPr>
          <w:rFonts w:eastAsia="Times New Roman"/>
          <w:color w:val="000000"/>
        </w:rPr>
        <w:t xml:space="preserve">) s jednom ili više razina dijeljenja svjetlosnog signala. Takve mreže, s obzirom da u jednom dijelu pristupne mreže više korisnika dijeli jednu svjetlovodnu nit, u pravilu ne omogućuju izdvajanje svjetlovodne niti na </w:t>
      </w:r>
      <w:r w:rsidRPr="00E5397B">
        <w:rPr>
          <w:rFonts w:eastAsia="Times New Roman"/>
          <w:color w:val="000000"/>
        </w:rPr>
        <w:t xml:space="preserve">OLT razini </w:t>
      </w:r>
      <w:r>
        <w:rPr>
          <w:rFonts w:eastAsia="Times New Roman"/>
          <w:color w:val="000000"/>
        </w:rPr>
        <w:t>ili ODF</w:t>
      </w:r>
      <w:r>
        <w:rPr>
          <w:rStyle w:val="FootnoteReference"/>
          <w:rFonts w:eastAsia="Times New Roman"/>
          <w:color w:val="000000"/>
        </w:rPr>
        <w:footnoteReference w:id="19"/>
      </w:r>
      <w:r>
        <w:rPr>
          <w:rFonts w:eastAsia="Times New Roman"/>
          <w:color w:val="000000"/>
        </w:rPr>
        <w:t xml:space="preserve"> razini (što je slučaj kod tzv. </w:t>
      </w:r>
      <w:proofErr w:type="spellStart"/>
      <w:r>
        <w:rPr>
          <w:rFonts w:eastAsia="Times New Roman"/>
          <w:color w:val="000000"/>
        </w:rPr>
        <w:t>PtP</w:t>
      </w:r>
      <w:proofErr w:type="spellEnd"/>
      <w:r>
        <w:rPr>
          <w:rFonts w:eastAsia="Times New Roman"/>
          <w:color w:val="000000"/>
        </w:rPr>
        <w:t xml:space="preserve"> (</w:t>
      </w:r>
      <w:proofErr w:type="spellStart"/>
      <w:r>
        <w:rPr>
          <w:rFonts w:eastAsia="Times New Roman"/>
          <w:color w:val="000000"/>
        </w:rPr>
        <w:t>eng</w:t>
      </w:r>
      <w:proofErr w:type="spellEnd"/>
      <w:r>
        <w:rPr>
          <w:rFonts w:eastAsia="Times New Roman"/>
          <w:color w:val="000000"/>
        </w:rPr>
        <w:t xml:space="preserve">. </w:t>
      </w:r>
      <w:proofErr w:type="spellStart"/>
      <w:r w:rsidRPr="00497997">
        <w:rPr>
          <w:rFonts w:eastAsia="Times New Roman"/>
          <w:i/>
          <w:color w:val="000000"/>
        </w:rPr>
        <w:t>Point</w:t>
      </w:r>
      <w:proofErr w:type="spellEnd"/>
      <w:r w:rsidRPr="00497997">
        <w:rPr>
          <w:rFonts w:eastAsia="Times New Roman"/>
          <w:i/>
          <w:color w:val="000000"/>
        </w:rPr>
        <w:t xml:space="preserve"> to </w:t>
      </w:r>
      <w:proofErr w:type="spellStart"/>
      <w:r w:rsidRPr="00497997">
        <w:rPr>
          <w:rFonts w:eastAsia="Times New Roman"/>
          <w:i/>
          <w:color w:val="000000"/>
        </w:rPr>
        <w:t>Point</w:t>
      </w:r>
      <w:proofErr w:type="spellEnd"/>
      <w:r>
        <w:rPr>
          <w:rFonts w:eastAsia="Times New Roman"/>
          <w:color w:val="000000"/>
        </w:rPr>
        <w:t xml:space="preserve">) svjetlovodnih mreža kod kojih svaki korisnik sve do ODF-a ima vlastiti dediciranu svjetlovodnu nit) koja je ekvivalentna MDF razini u bakrenoj mreži. Međutim, s obzirom da se sve nove mreže u Republici Hrvatskoj grade sukladno odredbama Pravilnika o svjetlovodnim distribucijskim mrežama, izdvajanje svjetlovodne niti moguće je na razini distribucijskog čvora. Osim usluge izdvajanja svjetlovodnih niti na razini distribucijskog čvora, na PON mrežama će u budućnosti biti moguće izdvajanje valne duljine što bi omogućilo pristup valnoj duljini na razini OLT-a. Međutim, takva usluga još nije moguća na mrežama koje se grade u Republici Hrvatskoj. </w:t>
      </w:r>
    </w:p>
    <w:p w:rsidR="00D7024A" w:rsidRDefault="00D7024A" w:rsidP="00D7024A">
      <w:pPr>
        <w:jc w:val="both"/>
        <w:rPr>
          <w:rFonts w:eastAsia="Times New Roman"/>
          <w:color w:val="000000"/>
        </w:rPr>
      </w:pPr>
      <w:r>
        <w:rPr>
          <w:rFonts w:eastAsia="Times New Roman"/>
          <w:color w:val="000000"/>
        </w:rPr>
        <w:t xml:space="preserve">Također, PON mrežama se može pristupiti korištenjem usluge VULA ( </w:t>
      </w:r>
      <w:proofErr w:type="spellStart"/>
      <w:r>
        <w:rPr>
          <w:rFonts w:eastAsia="Times New Roman"/>
          <w:color w:val="000000"/>
        </w:rPr>
        <w:t>eng</w:t>
      </w:r>
      <w:proofErr w:type="spellEnd"/>
      <w:r>
        <w:rPr>
          <w:rFonts w:eastAsia="Times New Roman"/>
          <w:color w:val="000000"/>
        </w:rPr>
        <w:t xml:space="preserve">. </w:t>
      </w:r>
      <w:proofErr w:type="spellStart"/>
      <w:r w:rsidRPr="00497997">
        <w:rPr>
          <w:rFonts w:eastAsia="Times New Roman"/>
          <w:i/>
          <w:color w:val="000000"/>
        </w:rPr>
        <w:t>Virtual</w:t>
      </w:r>
      <w:proofErr w:type="spellEnd"/>
      <w:r w:rsidRPr="00497997">
        <w:rPr>
          <w:rFonts w:eastAsia="Times New Roman"/>
          <w:i/>
          <w:color w:val="000000"/>
        </w:rPr>
        <w:t xml:space="preserve"> </w:t>
      </w:r>
      <w:proofErr w:type="spellStart"/>
      <w:r w:rsidRPr="00497997">
        <w:rPr>
          <w:rFonts w:eastAsia="Times New Roman"/>
          <w:i/>
          <w:color w:val="000000"/>
        </w:rPr>
        <w:t>Unbundled</w:t>
      </w:r>
      <w:proofErr w:type="spellEnd"/>
      <w:r w:rsidRPr="00497997">
        <w:rPr>
          <w:rFonts w:eastAsia="Times New Roman"/>
          <w:i/>
          <w:color w:val="000000"/>
        </w:rPr>
        <w:t xml:space="preserve"> </w:t>
      </w:r>
      <w:proofErr w:type="spellStart"/>
      <w:r w:rsidRPr="00497997">
        <w:rPr>
          <w:rFonts w:eastAsia="Times New Roman"/>
          <w:i/>
          <w:color w:val="000000"/>
        </w:rPr>
        <w:t>Local</w:t>
      </w:r>
      <w:proofErr w:type="spellEnd"/>
      <w:r w:rsidRPr="00497997">
        <w:rPr>
          <w:rFonts w:eastAsia="Times New Roman"/>
          <w:i/>
          <w:color w:val="000000"/>
        </w:rPr>
        <w:t xml:space="preserve"> Access</w:t>
      </w:r>
      <w:r>
        <w:rPr>
          <w:rFonts w:eastAsia="Times New Roman"/>
          <w:color w:val="000000"/>
        </w:rPr>
        <w:t xml:space="preserve">) koja bi trebala biti što je moguće više ekvivalentna fizičkom izdvajanju niti. U tehničkom smislu to znači da se toj usluzi pristupa lokalno, da se operatoru korisniku pruža prijenosni puni zajamčeni kapacitet koji ne ovisi o usluzi koja se pruža i koja operatorima korisnicima pruža dovoljnu kontrolu nad prijenosnom mrežom kako bi se omogućila diferencijacija proizvoda i inovacija koja je slična kod fizičkog izdvajanja niti. HAKOM je još u prethodnoj analizi utvrdio da VULA na svjetlovodnoj mreži HT-a ima potpuno iste specifikacije kao usluga </w:t>
      </w:r>
      <w:proofErr w:type="spellStart"/>
      <w:r>
        <w:rPr>
          <w:rFonts w:eastAsia="Times New Roman"/>
          <w:color w:val="000000"/>
        </w:rPr>
        <w:t>bitstreama</w:t>
      </w:r>
      <w:proofErr w:type="spellEnd"/>
      <w:r>
        <w:rPr>
          <w:rFonts w:eastAsia="Times New Roman"/>
          <w:color w:val="000000"/>
        </w:rPr>
        <w:t xml:space="preserve"> na OLT razini opisana u Standardnoj ponudi HT-a za uslugu veleprodajnog širokopojasnog pristupa.</w:t>
      </w:r>
    </w:p>
    <w:p w:rsidR="00A62F24" w:rsidRDefault="00A62F24"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color w:val="000000"/>
        </w:rPr>
        <w:t>Osim putem usluge izdvajanja niti na lokaciji distribucijskog čvora, potencijalne usluge izdvajanja valne duljine te VULA usluge</w:t>
      </w:r>
      <w:r w:rsidR="00A67D20">
        <w:rPr>
          <w:rFonts w:eastAsia="Times New Roman"/>
          <w:color w:val="000000"/>
        </w:rPr>
        <w:t>,</w:t>
      </w:r>
      <w:r>
        <w:rPr>
          <w:rFonts w:eastAsia="Times New Roman"/>
          <w:color w:val="000000"/>
        </w:rPr>
        <w:t xml:space="preserve"> krajnjim korisnicima koji su priključeni na PON mreže može se </w:t>
      </w:r>
      <w:r w:rsidR="00A67D20">
        <w:rPr>
          <w:rFonts w:eastAsia="Times New Roman"/>
          <w:color w:val="000000"/>
        </w:rPr>
        <w:t>i</w:t>
      </w:r>
      <w:r>
        <w:rPr>
          <w:rFonts w:eastAsia="Times New Roman"/>
          <w:color w:val="000000"/>
        </w:rPr>
        <w:t xml:space="preserve"> pristupiti putem bitstream usluga na različitim razinama.</w:t>
      </w:r>
    </w:p>
    <w:p w:rsidR="00A62F24" w:rsidRDefault="00A62F24" w:rsidP="00D7024A">
      <w:pPr>
        <w:jc w:val="both"/>
        <w:rPr>
          <w:rFonts w:eastAsia="Times New Roman"/>
          <w:color w:val="000000"/>
        </w:rPr>
      </w:pPr>
    </w:p>
    <w:p w:rsidR="00D7024A" w:rsidRPr="002A38CB" w:rsidRDefault="00D7024A" w:rsidP="00D7024A">
      <w:pPr>
        <w:jc w:val="both"/>
        <w:rPr>
          <w:rFonts w:eastAsia="Times New Roman"/>
          <w:color w:val="000000"/>
        </w:rPr>
      </w:pPr>
      <w:r>
        <w:rPr>
          <w:rFonts w:eastAsia="Times New Roman"/>
          <w:color w:val="000000"/>
        </w:rPr>
        <w:t xml:space="preserve">Od svih gore nabrojanih veleprodajnih usluga, u Republici Hrvatskoj se za pristup svjetlovodnim mrežama najviše koristi usluga </w:t>
      </w:r>
      <w:proofErr w:type="spellStart"/>
      <w:r>
        <w:rPr>
          <w:rFonts w:eastAsia="Times New Roman"/>
          <w:color w:val="000000"/>
        </w:rPr>
        <w:t>bitstreama</w:t>
      </w:r>
      <w:proofErr w:type="spellEnd"/>
      <w:r>
        <w:rPr>
          <w:rFonts w:eastAsia="Times New Roman"/>
          <w:color w:val="000000"/>
        </w:rPr>
        <w:t xml:space="preserve"> na </w:t>
      </w:r>
      <w:proofErr w:type="spellStart"/>
      <w:r>
        <w:rPr>
          <w:rFonts w:eastAsia="Times New Roman"/>
          <w:color w:val="000000"/>
        </w:rPr>
        <w:t>Ethernet</w:t>
      </w:r>
      <w:proofErr w:type="spellEnd"/>
      <w:r>
        <w:rPr>
          <w:rFonts w:eastAsia="Times New Roman"/>
          <w:color w:val="000000"/>
        </w:rPr>
        <w:t xml:space="preserve"> razini te usluga izdvajanja svjetlovodne niti na lokaciji distribucijskog čvora.</w:t>
      </w:r>
    </w:p>
    <w:p w:rsidR="00A62F24" w:rsidRPr="002A38CB" w:rsidRDefault="00A62F24"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color w:val="000000"/>
        </w:rPr>
        <w:t>Dakle, u</w:t>
      </w:r>
      <w:r w:rsidRPr="00812C3F">
        <w:rPr>
          <w:rFonts w:eastAsia="Times New Roman"/>
          <w:color w:val="000000"/>
        </w:rPr>
        <w:t xml:space="preserve"> područjima u kojima još nisu izgradili vlastitu infrastrukturu, operatori usluge velikog kapaciteta pružaju putem veleprodajnih usluga: usluge bitstream pristupa putem svjetlovodne mreže i usluge pristupa pasivnoj pristupnoj svjetlovodnoj mreži na lokaciji distribucijskog čvora za svjetlovodne distribucijske mreže (</w:t>
      </w:r>
      <w:r>
        <w:rPr>
          <w:rFonts w:eastAsia="Times New Roman"/>
          <w:color w:val="000000"/>
        </w:rPr>
        <w:t xml:space="preserve">primjerice HT-ova usluga </w:t>
      </w:r>
      <w:r w:rsidRPr="00812C3F">
        <w:rPr>
          <w:rFonts w:eastAsia="Times New Roman"/>
          <w:color w:val="000000"/>
        </w:rPr>
        <w:t>FA-PON). Uz HT koji spomenute veleprodajne usluge pruža prema reguliranim uvjetima, uslugu bitstream pristupa putem svjetlovodne mreže komercijalno pružaju još operatori RUNE i A1, a uslugu pristupa izdvojenoj svjetlovodnoj niti na lokaciji distribucijskog čvora svjetlovodne distribucijske mreže</w:t>
      </w:r>
      <w:r>
        <w:rPr>
          <w:rFonts w:eastAsia="Times New Roman"/>
          <w:color w:val="000000"/>
        </w:rPr>
        <w:t xml:space="preserve"> </w:t>
      </w:r>
      <w:r w:rsidRPr="00812C3F">
        <w:rPr>
          <w:rFonts w:eastAsia="Times New Roman"/>
          <w:color w:val="000000"/>
        </w:rPr>
        <w:t>pružaju operatori Infrastruktura d.o.o., Zagrebački Holding – Podružnica Zagrebački digitalni grad</w:t>
      </w:r>
      <w:r w:rsidR="00B25995">
        <w:rPr>
          <w:rFonts w:eastAsia="Times New Roman"/>
          <w:color w:val="000000"/>
        </w:rPr>
        <w:t>,</w:t>
      </w:r>
      <w:r w:rsidRPr="00812C3F">
        <w:rPr>
          <w:rFonts w:eastAsia="Times New Roman"/>
          <w:color w:val="000000"/>
        </w:rPr>
        <w:t xml:space="preserve"> </w:t>
      </w:r>
      <w:r>
        <w:rPr>
          <w:rFonts w:eastAsia="Times New Roman"/>
          <w:color w:val="000000"/>
        </w:rPr>
        <w:t>dok su svi ostali operatori koji grade svjetlovodne distribucijske mreže obvezni omogućiti pristup svjetlovodnim nitima na razini distribucijskog čvora sukladno odredbama postojeće simetrične regulacije.</w:t>
      </w:r>
    </w:p>
    <w:p w:rsidR="000C3571" w:rsidRDefault="000C3571" w:rsidP="000C3571">
      <w:pPr>
        <w:pStyle w:val="Caption"/>
        <w:spacing w:after="0"/>
      </w:pPr>
    </w:p>
    <w:p w:rsidR="00D7024A" w:rsidRPr="00DD7A5E" w:rsidRDefault="00356E5C" w:rsidP="000C3571">
      <w:pPr>
        <w:pStyle w:val="Caption"/>
        <w:spacing w:after="0"/>
        <w:rPr>
          <w:rFonts w:eastAsia="Times New Roman"/>
          <w:b/>
          <w:bCs/>
          <w:iCs w:val="0"/>
          <w:noProof/>
          <w:color w:val="4F81BD"/>
        </w:rPr>
      </w:pPr>
      <w:r>
        <w:t xml:space="preserve">Slika </w:t>
      </w:r>
      <w:r w:rsidR="00C60C6F">
        <w:fldChar w:fldCharType="begin"/>
      </w:r>
      <w:r w:rsidR="00C60C6F">
        <w:instrText xml:space="preserve"> SEQ Slika \* ARABIC </w:instrText>
      </w:r>
      <w:r w:rsidR="00C60C6F">
        <w:fldChar w:fldCharType="separate"/>
      </w:r>
      <w:r w:rsidR="006A29BC">
        <w:rPr>
          <w:noProof/>
        </w:rPr>
        <w:t>8</w:t>
      </w:r>
      <w:r w:rsidR="00C60C6F">
        <w:rPr>
          <w:noProof/>
        </w:rPr>
        <w:fldChar w:fldCharType="end"/>
      </w:r>
      <w:r w:rsidR="00D7024A" w:rsidRPr="00297DF1">
        <w:rPr>
          <w:rFonts w:eastAsia="Calibri"/>
          <w:iCs w:val="0"/>
          <w:color w:val="44546A"/>
        </w:rPr>
        <w:t xml:space="preserve"> </w:t>
      </w:r>
      <w:r w:rsidR="00D7024A" w:rsidRPr="00CD38D2">
        <w:t>Broj veleprodajnih (FA-PON/FTTH-BSA) usluga u RH (2021. – 2022/Q2)</w:t>
      </w:r>
    </w:p>
    <w:p w:rsidR="00D7024A" w:rsidRPr="00812C3F" w:rsidRDefault="00C44986" w:rsidP="00D7024A">
      <w:pPr>
        <w:jc w:val="both"/>
        <w:rPr>
          <w:rFonts w:eastAsia="Times New Roman"/>
        </w:rPr>
      </w:pPr>
      <w:r>
        <w:rPr>
          <w:rFonts w:eastAsia="Times New Roman"/>
          <w:noProof/>
          <w:lang w:val="en-US"/>
        </w:rPr>
        <w:drawing>
          <wp:inline distT="0" distB="0" distL="0" distR="0" wp14:anchorId="071A5BD8" wp14:editId="22FDC1A2">
            <wp:extent cx="4751614" cy="2667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5956" cy="2675050"/>
                    </a:xfrm>
                    <a:prstGeom prst="rect">
                      <a:avLst/>
                    </a:prstGeom>
                    <a:noFill/>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Pr="00812C3F" w:rsidRDefault="00D7024A" w:rsidP="00D7024A">
      <w:pPr>
        <w:jc w:val="both"/>
        <w:rPr>
          <w:rFonts w:eastAsia="Times New Roman"/>
          <w:color w:val="000000"/>
        </w:rPr>
      </w:pPr>
      <w:r w:rsidRPr="00812C3F">
        <w:rPr>
          <w:rFonts w:eastAsia="Times New Roman"/>
          <w:color w:val="000000"/>
        </w:rPr>
        <w:t xml:space="preserve">Donedavno je bitstream uslugu putem svjetlovodne mreže HT-a koristio samo Iskon koji je dio HT grupe, a krajem 2021. uslugu su započeli koristiti i alternativni operatori koji nisu dio HT grupe. </w:t>
      </w:r>
    </w:p>
    <w:p w:rsidR="00D7024A" w:rsidRPr="00812C3F" w:rsidRDefault="00D7024A" w:rsidP="00D7024A">
      <w:pPr>
        <w:jc w:val="both"/>
        <w:rPr>
          <w:rFonts w:eastAsia="Calibri"/>
          <w:color w:val="000000"/>
        </w:rPr>
      </w:pPr>
    </w:p>
    <w:p w:rsidR="00D7024A" w:rsidRPr="00812C3F" w:rsidRDefault="00D7024A" w:rsidP="00D7024A">
      <w:pPr>
        <w:jc w:val="both"/>
        <w:rPr>
          <w:rFonts w:eastAsia="Times New Roman"/>
          <w:color w:val="000000"/>
        </w:rPr>
      </w:pPr>
      <w:r w:rsidRPr="00812C3F">
        <w:rPr>
          <w:rFonts w:eastAsia="Times New Roman"/>
          <w:color w:val="000000"/>
        </w:rPr>
        <w:t>U svojoj maloprodajnoj ponudi operatori danas nude širokopojasne priključke na svjetlovodnoj mreži s brzinom i od 2 Gbit/s/2 Gbit/s (silazna i uzlazna brzina su jednake i iznose 2 Gbit/s), dok osnovne brzine pristupa koje se nude na svjetlovodnim mrežama iznose 200 Mbit/s/100 Mbit/s uz neograničen Internet promet.</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Prema prikupljenim podacima, na kraju drugog tromjesečja 2022. pristup putem svjetlovodnih</w:t>
      </w:r>
      <w:r w:rsidRPr="00812C3F">
        <w:rPr>
          <w:rFonts w:eastAsia="Calibri"/>
          <w:color w:val="000000"/>
        </w:rPr>
        <w:t xml:space="preserve"> </w:t>
      </w:r>
      <w:r w:rsidRPr="00812C3F">
        <w:rPr>
          <w:rFonts w:eastAsia="Times New Roman"/>
          <w:color w:val="000000"/>
        </w:rPr>
        <w:t>niti</w:t>
      </w:r>
      <w:r w:rsidRPr="00812C3F">
        <w:rPr>
          <w:rFonts w:eastAsia="Calibri"/>
          <w:color w:val="000000"/>
        </w:rPr>
        <w:t xml:space="preserve"> </w:t>
      </w:r>
      <w:r w:rsidRPr="00812C3F">
        <w:rPr>
          <w:rFonts w:eastAsia="Times New Roman"/>
          <w:color w:val="000000"/>
        </w:rPr>
        <w:t>koristilo je 23,84 % svih korisnika usluge širokopojasnog pristupa, dok je ista</w:t>
      </w:r>
      <w:r w:rsidRPr="00812C3F">
        <w:rPr>
          <w:rFonts w:eastAsia="Calibri"/>
          <w:color w:val="000000"/>
        </w:rPr>
        <w:t xml:space="preserve"> na tržištu </w:t>
      </w:r>
      <w:r w:rsidRPr="00812C3F">
        <w:rPr>
          <w:rFonts w:eastAsia="Times New Roman"/>
          <w:color w:val="000000"/>
        </w:rPr>
        <w:t xml:space="preserve">velikog kapaciteta zastupljena s 49,73 %. Navedeni podatak predstavlja porast od 151,08 % u odnosu na broj ovih korisnika na kraju 2018.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Maloprodajne ponude širokopojasnog pristupa putem svjetlovodnih niti pristupne brzine od 200 Mbit/s u silazu i 100 Mbit/s u uzlazu dostupne su po cijenama od </w:t>
      </w:r>
      <w:r w:rsidRPr="00812C3F">
        <w:rPr>
          <w:rFonts w:eastAsia="Times New Roman"/>
        </w:rPr>
        <w:t>23,76</w:t>
      </w:r>
      <w:r w:rsidRPr="00812C3F">
        <w:rPr>
          <w:rFonts w:eastAsia="Times New Roman"/>
          <w:color w:val="000000"/>
          <w:vertAlign w:val="superscript"/>
        </w:rPr>
        <w:footnoteReference w:id="20"/>
      </w:r>
      <w:r w:rsidRPr="00812C3F">
        <w:rPr>
          <w:rFonts w:eastAsia="Times New Roman"/>
          <w:color w:val="000000"/>
        </w:rPr>
        <w:t xml:space="preserve"> EUR (s PDV-om) za samostalni širokopojasni pristup, odnosno od 26,41</w:t>
      </w:r>
      <w:r w:rsidRPr="00812C3F">
        <w:rPr>
          <w:rFonts w:eastAsia="Times New Roman"/>
          <w:color w:val="000000"/>
          <w:vertAlign w:val="superscript"/>
        </w:rPr>
        <w:footnoteReference w:id="21"/>
      </w:r>
      <w:r w:rsidRPr="00812C3F">
        <w:rPr>
          <w:rFonts w:eastAsia="Times New Roman"/>
          <w:color w:val="000000"/>
        </w:rPr>
        <w:t xml:space="preserve"> EUR (s PDV-om) u kombinaciji s telefonskom uslugom ili u paketu s TV uslugom po cijeni od 35,70</w:t>
      </w:r>
      <w:r w:rsidRPr="00812C3F">
        <w:rPr>
          <w:rFonts w:eastAsia="Times New Roman"/>
          <w:color w:val="000000"/>
          <w:vertAlign w:val="superscript"/>
        </w:rPr>
        <w:footnoteReference w:id="22"/>
      </w:r>
      <w:r w:rsidRPr="00812C3F">
        <w:rPr>
          <w:rFonts w:eastAsia="Times New Roman"/>
          <w:color w:val="000000"/>
        </w:rPr>
        <w:t xml:space="preserve"> EUR (s PDV-om). Trio paket, odnosno svjetlovodni širokopojasni pristup brzine od 200 Mbit/s u silazu i 100 Mbit/s u uzlazu s javno dostupnom telefonskom uslugom i TV uslugom korisnici mogu ugovoriti po cijeni od 43,79</w:t>
      </w:r>
      <w:r w:rsidRPr="00812C3F">
        <w:rPr>
          <w:rFonts w:eastAsia="Times New Roman"/>
          <w:color w:val="000000"/>
          <w:vertAlign w:val="superscript"/>
        </w:rPr>
        <w:footnoteReference w:id="23"/>
      </w:r>
      <w:r w:rsidRPr="00812C3F">
        <w:rPr>
          <w:rFonts w:eastAsia="Times New Roman"/>
          <w:color w:val="000000"/>
        </w:rPr>
        <w:t xml:space="preserve"> EUR.</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Trenutno najviša ponuđena brzina iznosi do 2 Gbit/s u preuzimanju i u prijenosu i dostupna je korisnicima po cijeni od 43,90</w:t>
      </w:r>
      <w:r w:rsidRPr="00812C3F">
        <w:rPr>
          <w:rFonts w:eastAsia="Times New Roman"/>
          <w:color w:val="000000"/>
          <w:vertAlign w:val="superscript"/>
        </w:rPr>
        <w:footnoteReference w:id="24"/>
      </w:r>
      <w:r w:rsidRPr="00812C3F">
        <w:rPr>
          <w:rFonts w:eastAsia="Times New Roman"/>
          <w:color w:val="000000"/>
        </w:rPr>
        <w:t xml:space="preserve"> EUR (s PDV-om).</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Osim prethodno spomenutih, krajnji korisnici kojima je potreban širokopojasni pristup velikog kapaciteta imaju na raspolaganju širok dijapazon samostalnih i paketnih ponuda koje se pružaju putem svjetlovodnih priključaka, a čije su brzine i ostali parametri kvalitete, između prethodno opisanih osnovnih i maksimalnih. </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 xml:space="preserve">Iako je s obzirom na mogućnosti tehnologije, pristup putem svjetlovodnih niti primarno namijenjen za korištenje usluga velikog kapaciteta, postoje operatori koji u svojim ponudama omogućavaju korištenje ove vrste pristupa i uz brzinu preuzimanja do </w:t>
      </w:r>
      <w:r w:rsidRPr="00812C3F">
        <w:rPr>
          <w:rFonts w:eastAsia="Times New Roman"/>
        </w:rPr>
        <w:t xml:space="preserve">100 Mbit/s i prijenosa </w:t>
      </w:r>
      <w:r w:rsidRPr="00812C3F">
        <w:rPr>
          <w:rFonts w:eastAsia="Times New Roman"/>
          <w:color w:val="000000"/>
        </w:rPr>
        <w:t>do 50 Mbit/s</w:t>
      </w:r>
      <w:r w:rsidRPr="00812C3F">
        <w:rPr>
          <w:rFonts w:eastAsia="Times New Roman"/>
          <w:color w:val="000000"/>
          <w:vertAlign w:val="superscript"/>
        </w:rPr>
        <w:footnoteReference w:id="25"/>
      </w:r>
      <w:r w:rsidRPr="00812C3F">
        <w:rPr>
          <w:rFonts w:eastAsia="Times New Roman"/>
          <w:color w:val="000000"/>
        </w:rPr>
        <w:t>. Međutim, na strani krajnjih korisnika očito ne postoji</w:t>
      </w:r>
      <w:r>
        <w:rPr>
          <w:rFonts w:eastAsia="Times New Roman"/>
          <w:color w:val="000000"/>
        </w:rPr>
        <w:t xml:space="preserve"> </w:t>
      </w:r>
      <w:r w:rsidRPr="00812C3F">
        <w:rPr>
          <w:rFonts w:eastAsia="Times New Roman"/>
          <w:color w:val="000000"/>
        </w:rPr>
        <w:t xml:space="preserve">značajan interes za korištenje svjetlovodnih priključaka u svrhu korištenja manje zahtjevnih usluga budući da  na kraju drugog tromjesečja 2022. manje od 3 % korisnika širokopojasnog pristupa putem svjetlovodnih niti isti koristi u svrhu korištenja usluga malog kapaciteta. </w:t>
      </w:r>
    </w:p>
    <w:p w:rsidR="00D7024A" w:rsidRDefault="00D7024A" w:rsidP="00D7024A">
      <w:pPr>
        <w:rPr>
          <w:rFonts w:eastAsia="Times New Roman"/>
          <w:color w:val="000000"/>
        </w:rPr>
      </w:pPr>
      <w:r>
        <w:rPr>
          <w:rFonts w:eastAsia="Times New Roman"/>
          <w:color w:val="000000"/>
        </w:rPr>
        <w:br w:type="page"/>
      </w:r>
    </w:p>
    <w:p w:rsidR="00D7024A" w:rsidRPr="00B34167" w:rsidRDefault="00D7024A" w:rsidP="000F4F34">
      <w:pPr>
        <w:jc w:val="both"/>
        <w:rPr>
          <w:rFonts w:ascii="Segoe UI Semibold" w:hAnsi="Segoe UI Semibold" w:cs="Segoe UI Semibold"/>
          <w:color w:val="1F3864" w:themeColor="accent1" w:themeShade="80"/>
        </w:rPr>
      </w:pPr>
      <w:bookmarkStart w:id="99" w:name="_Ref124459417"/>
      <w:bookmarkStart w:id="100" w:name="_Toc124462535"/>
      <w:bookmarkStart w:id="101" w:name="_Toc124514429"/>
      <w:r w:rsidRPr="00B34167">
        <w:rPr>
          <w:rFonts w:ascii="Segoe UI Semibold" w:hAnsi="Segoe UI Semibold" w:cs="Segoe UI Semibold"/>
          <w:color w:val="1F3864" w:themeColor="accent1" w:themeShade="80"/>
        </w:rPr>
        <w:t>Pristup putem kabelskih mreža</w:t>
      </w:r>
      <w:bookmarkEnd w:id="99"/>
      <w:bookmarkEnd w:id="100"/>
      <w:bookmarkEnd w:id="101"/>
    </w:p>
    <w:p w:rsidR="00D7024A" w:rsidRPr="00812C3F" w:rsidRDefault="00D7024A" w:rsidP="00D7024A">
      <w:pPr>
        <w:rPr>
          <w:rFonts w:eastAsia="Calibri"/>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Širokopojasni pristup putem kabelskih mreža pruža se putem koaksijalnog kabela (ili putem hibridne svjetlovodno-koaksijalne mreže) kojim se ujedno </w:t>
      </w:r>
      <w:proofErr w:type="spellStart"/>
      <w:r w:rsidRPr="00812C3F">
        <w:rPr>
          <w:rFonts w:eastAsia="Times New Roman"/>
          <w:color w:val="000000"/>
        </w:rPr>
        <w:t>razašilje</w:t>
      </w:r>
      <w:proofErr w:type="spellEnd"/>
      <w:r w:rsidRPr="00812C3F">
        <w:rPr>
          <w:rFonts w:eastAsia="Times New Roman"/>
          <w:color w:val="000000"/>
        </w:rPr>
        <w:t xml:space="preserve"> i signal </w:t>
      </w:r>
      <w:proofErr w:type="spellStart"/>
      <w:r w:rsidRPr="00812C3F">
        <w:rPr>
          <w:rFonts w:eastAsia="Times New Roman"/>
          <w:color w:val="000000"/>
        </w:rPr>
        <w:t>kabelsketelevizije</w:t>
      </w:r>
      <w:proofErr w:type="spellEnd"/>
      <w:r w:rsidRPr="00812C3F">
        <w:rPr>
          <w:rFonts w:eastAsia="Times New Roman"/>
          <w:color w:val="000000"/>
        </w:rPr>
        <w:t>. Trenutne tehničke mogućnosti ove vrste pristupa (verzija standarda Docsis 3.1) su usporedive s karakteristikama pristupa putem svjetlovodnih niti zbog čega najveći pružatelj širokopojasnog pristupa putem kabelske mreže, A1, na kabelskoj infrastrukturi (u ovom slučaju hibridnoj svjetlovodnoj-koaksijalnoj mreži) nudi usluge širokopojasnog pristupa s brzinama pristupa od najnižih 200 Mbit/s/20 Mbit/s (po cijeni od 23,76</w:t>
      </w:r>
      <w:r w:rsidRPr="00812C3F">
        <w:rPr>
          <w:rFonts w:eastAsia="Times New Roman"/>
          <w:color w:val="000000"/>
          <w:vertAlign w:val="superscript"/>
        </w:rPr>
        <w:footnoteReference w:id="26"/>
      </w:r>
      <w:r w:rsidRPr="00812C3F">
        <w:rPr>
          <w:rFonts w:eastAsia="Times New Roman"/>
          <w:color w:val="000000"/>
          <w:vertAlign w:val="superscript"/>
        </w:rPr>
        <w:t xml:space="preserve"> </w:t>
      </w:r>
      <w:r w:rsidRPr="00812C3F">
        <w:rPr>
          <w:rFonts w:eastAsia="Times New Roman"/>
          <w:color w:val="000000"/>
        </w:rPr>
        <w:t>EUR (s PDV-om)) do najviše 1 Gbit/s/100 Mbit/s (za 27,74</w:t>
      </w:r>
      <w:r w:rsidRPr="00812C3F">
        <w:rPr>
          <w:rFonts w:eastAsia="Calibri"/>
          <w:color w:val="000000"/>
          <w:vertAlign w:val="superscript"/>
        </w:rPr>
        <w:footnoteReference w:id="27"/>
      </w:r>
      <w:r w:rsidRPr="00812C3F">
        <w:rPr>
          <w:rFonts w:eastAsia="Calibri"/>
          <w:color w:val="000000"/>
          <w:vertAlign w:val="superscript"/>
        </w:rPr>
        <w:t xml:space="preserve"> </w:t>
      </w:r>
      <w:r w:rsidRPr="00812C3F">
        <w:rPr>
          <w:rFonts w:eastAsia="Times New Roman"/>
          <w:color w:val="000000"/>
        </w:rPr>
        <w:t xml:space="preserve">EUR (s PDV-om)).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 kraju drugog tromjesečja 2022. pristup putem kabelskih mreža koristilo je 50,27 % korisnika s većim potrebama korištenja usluge širokopojasnog pristupa.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Iako u usporedbi s pristupom putem svjetlovodne niti kabelska tehnologija ima određena tehnička ograničenja u pogledu asimetričnih brzina prijenosa, s obzirom na promatrane parametre kvalitete, ova vrsta pristupa čini sastavni dio tržišta velikog kapaciteta.</w:t>
      </w:r>
    </w:p>
    <w:p w:rsidR="00D7024A" w:rsidRPr="00812C3F" w:rsidRDefault="00D7024A" w:rsidP="00D7024A">
      <w:pPr>
        <w:jc w:val="both"/>
        <w:rPr>
          <w:rFonts w:eastAsia="Times New Roman"/>
          <w:color w:val="000000"/>
        </w:rPr>
      </w:pPr>
    </w:p>
    <w:p w:rsidR="00D7024A" w:rsidRPr="00B34167" w:rsidRDefault="00D7024A" w:rsidP="00A62F24">
      <w:pPr>
        <w:jc w:val="both"/>
        <w:rPr>
          <w:rFonts w:ascii="Segoe UI Semibold" w:hAnsi="Segoe UI Semibold" w:cs="Segoe UI Semibold"/>
          <w:color w:val="1F3864" w:themeColor="accent1" w:themeShade="80"/>
        </w:rPr>
      </w:pPr>
      <w:bookmarkStart w:id="102" w:name="_Toc124462536"/>
      <w:bookmarkStart w:id="103" w:name="_Toc124514430"/>
      <w:bookmarkStart w:id="104" w:name="_Ref124713745"/>
      <w:r w:rsidRPr="00B34167">
        <w:rPr>
          <w:rFonts w:ascii="Segoe UI Semibold" w:hAnsi="Segoe UI Semibold" w:cs="Segoe UI Semibold"/>
          <w:color w:val="1F3864" w:themeColor="accent1" w:themeShade="80"/>
        </w:rPr>
        <w:t>Pristup putem pristupnih infrastruktura koje su sastavni dio tržišta malog kapaciteta</w:t>
      </w:r>
      <w:bookmarkEnd w:id="102"/>
      <w:bookmarkEnd w:id="103"/>
      <w:bookmarkEnd w:id="104"/>
    </w:p>
    <w:p w:rsidR="00D7024A" w:rsidRPr="00812C3F" w:rsidRDefault="00D7024A" w:rsidP="00D7024A">
      <w:pPr>
        <w:rPr>
          <w:rFonts w:eastAsia="Calibri"/>
          <w:color w:val="000000"/>
          <w:lang w:eastAsia="hr-HR"/>
        </w:rPr>
      </w:pPr>
    </w:p>
    <w:p w:rsidR="00D7024A" w:rsidRPr="00812C3F" w:rsidRDefault="00D7024A" w:rsidP="00D7024A">
      <w:pPr>
        <w:jc w:val="both"/>
        <w:rPr>
          <w:rFonts w:eastAsia="Times New Roman"/>
          <w:color w:val="000000"/>
        </w:rPr>
      </w:pPr>
      <w:r w:rsidRPr="00812C3F">
        <w:rPr>
          <w:rFonts w:eastAsia="Times New Roman"/>
          <w:color w:val="000000"/>
        </w:rPr>
        <w:t>HAKOM je na temelju tehničkih mogućnosti i ograničenja u tržište malog kapaciteta uključio sljedeće usluge:</w:t>
      </w:r>
    </w:p>
    <w:p w:rsidR="00D7024A" w:rsidRPr="00812C3F" w:rsidRDefault="00D7024A" w:rsidP="00766501">
      <w:pPr>
        <w:numPr>
          <w:ilvl w:val="0"/>
          <w:numId w:val="48"/>
        </w:numPr>
        <w:contextualSpacing/>
        <w:jc w:val="both"/>
        <w:rPr>
          <w:rFonts w:eastAsia="Times New Roman"/>
          <w:color w:val="000000"/>
        </w:rPr>
      </w:pPr>
      <w:r w:rsidRPr="00812C3F">
        <w:rPr>
          <w:rFonts w:eastAsia="Times New Roman"/>
          <w:color w:val="000000"/>
        </w:rPr>
        <w:t>pristup putem bakrene parice</w:t>
      </w:r>
    </w:p>
    <w:p w:rsidR="00D7024A" w:rsidRPr="00812C3F" w:rsidRDefault="00D7024A" w:rsidP="00766501">
      <w:pPr>
        <w:numPr>
          <w:ilvl w:val="0"/>
          <w:numId w:val="48"/>
        </w:numPr>
        <w:contextualSpacing/>
        <w:jc w:val="both"/>
        <w:rPr>
          <w:rFonts w:eastAsia="Times New Roman"/>
          <w:color w:val="000000"/>
        </w:rPr>
      </w:pPr>
      <w:r w:rsidRPr="00812C3F">
        <w:rPr>
          <w:rFonts w:eastAsia="Times New Roman"/>
          <w:color w:val="000000"/>
        </w:rPr>
        <w:t>pristup na fiksnoj lokaciji putem mreža pokretnih komunikacija</w:t>
      </w:r>
    </w:p>
    <w:p w:rsidR="00D7024A" w:rsidRPr="00812C3F" w:rsidRDefault="00D7024A" w:rsidP="00766501">
      <w:pPr>
        <w:numPr>
          <w:ilvl w:val="0"/>
          <w:numId w:val="48"/>
        </w:numPr>
        <w:contextualSpacing/>
        <w:jc w:val="both"/>
        <w:rPr>
          <w:rFonts w:eastAsia="Times New Roman"/>
          <w:color w:val="000000"/>
        </w:rPr>
      </w:pPr>
      <w:r w:rsidRPr="00812C3F">
        <w:rPr>
          <w:rFonts w:eastAsia="Times New Roman"/>
          <w:color w:val="000000"/>
        </w:rPr>
        <w:t>hibridni širokopojasni pristup</w:t>
      </w:r>
    </w:p>
    <w:p w:rsidR="00D7024A" w:rsidRPr="00812C3F" w:rsidRDefault="00D7024A" w:rsidP="00766501">
      <w:pPr>
        <w:numPr>
          <w:ilvl w:val="0"/>
          <w:numId w:val="48"/>
        </w:numPr>
        <w:contextualSpacing/>
        <w:jc w:val="both"/>
        <w:rPr>
          <w:rFonts w:eastAsia="Times New Roman"/>
          <w:color w:val="000000"/>
        </w:rPr>
      </w:pPr>
      <w:r w:rsidRPr="00812C3F">
        <w:rPr>
          <w:rFonts w:eastAsia="Times New Roman"/>
          <w:color w:val="000000"/>
        </w:rPr>
        <w:t>pristup putem bežičnih tehnologija u nepokretnoj mreži</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te zaključio kako iste nisu</w:t>
      </w:r>
      <w:r w:rsidRPr="00812C3F">
        <w:rPr>
          <w:rFonts w:eastAsia="Calibri"/>
          <w:color w:val="000000"/>
        </w:rPr>
        <w:t xml:space="preserve"> </w:t>
      </w:r>
      <w:r w:rsidRPr="00812C3F">
        <w:rPr>
          <w:rFonts w:eastAsia="Times New Roman"/>
          <w:color w:val="000000"/>
        </w:rPr>
        <w:t xml:space="preserve">u mogućnosti zadovoljiti potrebe korisnika za velikim brzinama prijenosa i preuzimanja i stabilnim, visokokvalitetnim širokopojasnim pristupom ili ih mogu zadovoljiti samo u ograničenoj mjeri, kao npr. pristup putem bakrene parice s brzinama do 200 Mbit/s koji na kraju 2022. koristi samo 47 korisnika ili pristup putem mreža pokretnih komunikacija na fiksnoj lokaciji. </w:t>
      </w:r>
    </w:p>
    <w:p w:rsidR="00D7024A" w:rsidRPr="00812C3F" w:rsidRDefault="00D7024A" w:rsidP="00D7024A">
      <w:pPr>
        <w:rPr>
          <w:rFonts w:eastAsia="Calibri"/>
          <w:color w:val="000000"/>
          <w:lang w:eastAsia="hr-HR"/>
        </w:rPr>
      </w:pPr>
    </w:p>
    <w:p w:rsidR="00D7024A" w:rsidRPr="00812C3F" w:rsidRDefault="00D7024A" w:rsidP="00D7024A">
      <w:pPr>
        <w:jc w:val="both"/>
        <w:rPr>
          <w:rFonts w:eastAsia="Times New Roman"/>
          <w:color w:val="000000"/>
        </w:rPr>
      </w:pPr>
      <w:r w:rsidRPr="00812C3F">
        <w:rPr>
          <w:rFonts w:eastAsia="Times New Roman"/>
          <w:color w:val="000000"/>
        </w:rPr>
        <w:t xml:space="preserve">Naime, HAKOM smatra kako trenutna ograničenja mreža pokretnih komunikacija kao što su nemogućnost garantiranja minimalne pristupne brzine i drugih parametara kvalitete zbog ovisnosti kvalitete prijema signala o blizini bazne stanice operatora mreže pokretnih komunikacija i broju korisnika koji u isto vrijeme ostvaruje pristup mreži, predstavljaju ograničenje u korištenju usluga na tržištu velikog kapaciteta. HAKOM smatra kako će se navedena ograničenja ublažiti uvođenjem 5G tehnologije te će nastaviti pratiti stanje na tržištu. </w:t>
      </w:r>
    </w:p>
    <w:p w:rsidR="00A62F24" w:rsidRDefault="00A62F24" w:rsidP="00D7024A">
      <w:pPr>
        <w:jc w:val="both"/>
        <w:rPr>
          <w:rFonts w:eastAsia="Times New Roman"/>
          <w:color w:val="000000"/>
        </w:rPr>
      </w:pPr>
    </w:p>
    <w:p w:rsidR="00A62F24" w:rsidRDefault="00A62F24" w:rsidP="00D7024A">
      <w:pPr>
        <w:jc w:val="both"/>
        <w:rPr>
          <w:rFonts w:eastAsia="Times New Roman"/>
          <w:color w:val="000000"/>
        </w:rPr>
      </w:pPr>
    </w:p>
    <w:p w:rsidR="00A62F24" w:rsidRPr="00812C3F" w:rsidRDefault="00A62F24" w:rsidP="00D7024A">
      <w:pPr>
        <w:jc w:val="both"/>
        <w:rPr>
          <w:rFonts w:eastAsia="Times New Roman"/>
          <w:color w:val="000000"/>
        </w:rPr>
      </w:pPr>
    </w:p>
    <w:p w:rsidR="00D7024A" w:rsidRPr="00812C3F" w:rsidRDefault="00D7024A" w:rsidP="00D7024A">
      <w:pPr>
        <w:jc w:val="both"/>
        <w:rPr>
          <w:rFonts w:eastAsia="Times New Roman"/>
          <w:color w:val="000000"/>
        </w:rPr>
      </w:pPr>
    </w:p>
    <w:p w:rsidR="00D7024A" w:rsidRPr="00B34167" w:rsidRDefault="00D7024A" w:rsidP="000F4F34">
      <w:pPr>
        <w:jc w:val="both"/>
        <w:rPr>
          <w:rFonts w:ascii="Segoe UI Semibold" w:hAnsi="Segoe UI Semibold" w:cs="Segoe UI Semibold"/>
          <w:color w:val="1F3864" w:themeColor="accent1" w:themeShade="80"/>
        </w:rPr>
      </w:pPr>
      <w:bookmarkStart w:id="105" w:name="_Toc124462537"/>
      <w:bookmarkStart w:id="106" w:name="_Toc124514431"/>
      <w:bookmarkStart w:id="107" w:name="_Ref124833972"/>
      <w:r w:rsidRPr="00B34167">
        <w:rPr>
          <w:rFonts w:ascii="Segoe UI Semibold" w:hAnsi="Segoe UI Semibold" w:cs="Segoe UI Semibold"/>
          <w:color w:val="1F3864" w:themeColor="accent1" w:themeShade="80"/>
        </w:rPr>
        <w:t>Zaključak o dimenziji usluga za tržište velikog kapaciteta (maloprodajna razina)</w:t>
      </w:r>
      <w:bookmarkEnd w:id="105"/>
      <w:bookmarkEnd w:id="106"/>
      <w:bookmarkEnd w:id="107"/>
    </w:p>
    <w:p w:rsidR="00D7024A" w:rsidRPr="00812C3F" w:rsidRDefault="00D7024A" w:rsidP="00D7024A">
      <w:pPr>
        <w:rPr>
          <w:rFonts w:eastAsia="Calibri"/>
          <w:color w:val="000000"/>
          <w:lang w:eastAsia="hr-HR"/>
        </w:rPr>
      </w:pPr>
    </w:p>
    <w:p w:rsidR="00D7024A" w:rsidRPr="00812C3F" w:rsidRDefault="007975C6" w:rsidP="00D7024A">
      <w:pPr>
        <w:jc w:val="both"/>
        <w:rPr>
          <w:rFonts w:eastAsia="Times New Roman"/>
          <w:color w:val="000000"/>
        </w:rPr>
      </w:pPr>
      <w:r>
        <w:rPr>
          <w:rFonts w:eastAsia="Times New Roman"/>
          <w:color w:val="000000"/>
        </w:rPr>
        <w:t>U poglavlju</w:t>
      </w:r>
      <w:r w:rsidR="00D7024A">
        <w:rPr>
          <w:rFonts w:eastAsia="Times New Roman"/>
          <w:color w:val="000000"/>
        </w:rPr>
        <w:t xml:space="preserve"> </w:t>
      </w:r>
      <w:r>
        <w:rPr>
          <w:rFonts w:eastAsia="Times New Roman"/>
          <w:color w:val="000000"/>
        </w:rPr>
        <w:fldChar w:fldCharType="begin"/>
      </w:r>
      <w:r>
        <w:rPr>
          <w:rFonts w:eastAsia="Times New Roman"/>
          <w:color w:val="000000"/>
        </w:rPr>
        <w:instrText xml:space="preserve"> REF _Ref125559764 \r \h </w:instrText>
      </w:r>
      <w:r>
        <w:rPr>
          <w:rFonts w:eastAsia="Times New Roman"/>
          <w:color w:val="000000"/>
        </w:rPr>
      </w:r>
      <w:r>
        <w:rPr>
          <w:rFonts w:eastAsia="Times New Roman"/>
          <w:color w:val="000000"/>
        </w:rPr>
        <w:fldChar w:fldCharType="separate"/>
      </w:r>
      <w:r>
        <w:rPr>
          <w:rFonts w:eastAsia="Times New Roman"/>
          <w:color w:val="000000"/>
        </w:rPr>
        <w:t>3.3</w:t>
      </w:r>
      <w:r>
        <w:rPr>
          <w:rFonts w:eastAsia="Times New Roman"/>
          <w:color w:val="000000"/>
        </w:rPr>
        <w:fldChar w:fldCharType="end"/>
      </w:r>
      <w:r w:rsidR="00D7024A" w:rsidRPr="00812C3F">
        <w:rPr>
          <w:rFonts w:eastAsia="Times New Roman"/>
          <w:color w:val="000000"/>
        </w:rPr>
        <w:t xml:space="preserve"> HAKOM je razmatrao mogućnosti i ograničenja različitih pristupnih tehnologija kako bi identificirao one pristupne tehnologije koje krajnjim korisnicima omogućavaju stabilan, visokokvalitetan širokopojasni pristup velikih brzina preuzimanja i prijenosa, odnosno širokopojasni pristup velikog kapaciteta. Uzevši u obzir zahtjeve krajnjih korisnika s ovog segmenta tržišta, HAKOM je zaključio kako tržište velikog kapaciteta čine: </w:t>
      </w:r>
    </w:p>
    <w:p w:rsidR="00D7024A" w:rsidRPr="00812C3F" w:rsidRDefault="00D7024A" w:rsidP="00D7024A">
      <w:pPr>
        <w:jc w:val="both"/>
        <w:rPr>
          <w:rFonts w:eastAsia="Times New Roman"/>
          <w:color w:val="000000"/>
        </w:rPr>
      </w:pPr>
    </w:p>
    <w:p w:rsidR="00D7024A" w:rsidRPr="00812C3F" w:rsidRDefault="00D7024A" w:rsidP="00766501">
      <w:pPr>
        <w:numPr>
          <w:ilvl w:val="0"/>
          <w:numId w:val="49"/>
        </w:numPr>
        <w:contextualSpacing/>
        <w:jc w:val="both"/>
        <w:rPr>
          <w:rFonts w:eastAsia="Times New Roman"/>
          <w:color w:val="000000"/>
        </w:rPr>
      </w:pPr>
      <w:r w:rsidRPr="00812C3F">
        <w:rPr>
          <w:rFonts w:eastAsia="Times New Roman"/>
          <w:color w:val="000000"/>
        </w:rPr>
        <w:t>usluga širokopojasnog pristupa putem svjetlovodnih niti i</w:t>
      </w:r>
    </w:p>
    <w:p w:rsidR="00D7024A" w:rsidRPr="00812C3F" w:rsidRDefault="00D7024A" w:rsidP="00766501">
      <w:pPr>
        <w:numPr>
          <w:ilvl w:val="0"/>
          <w:numId w:val="49"/>
        </w:numPr>
        <w:contextualSpacing/>
        <w:jc w:val="both"/>
        <w:rPr>
          <w:rFonts w:eastAsia="Times New Roman"/>
          <w:color w:val="000000"/>
        </w:rPr>
      </w:pPr>
      <w:r w:rsidRPr="00812C3F">
        <w:rPr>
          <w:rFonts w:eastAsia="Times New Roman"/>
          <w:color w:val="000000"/>
        </w:rPr>
        <w:t>usluga širokopojasnog pristupa putem kabelskih mreža</w:t>
      </w:r>
    </w:p>
    <w:p w:rsidR="00D7024A" w:rsidRPr="00812C3F" w:rsidRDefault="00D7024A" w:rsidP="00D7024A">
      <w:pPr>
        <w:ind w:left="720"/>
        <w:contextualSpacing/>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neovisno o tome pružaju li se samostalno ili kao sastavni dio paketa usluga.</w:t>
      </w:r>
    </w:p>
    <w:p w:rsidR="00D7024A" w:rsidRPr="00812C3F" w:rsidRDefault="00D7024A" w:rsidP="00D7024A">
      <w:pPr>
        <w:rPr>
          <w:rFonts w:eastAsia="Times New Roman"/>
          <w:color w:val="000000"/>
        </w:rPr>
      </w:pPr>
      <w:r w:rsidRPr="00812C3F">
        <w:rPr>
          <w:rFonts w:eastAsia="Times New Roman"/>
          <w:color w:val="000000"/>
        </w:rPr>
        <w:br w:type="page"/>
      </w:r>
    </w:p>
    <w:p w:rsidR="00D7024A" w:rsidRPr="00B34167" w:rsidRDefault="00D7024A" w:rsidP="00B34167">
      <w:pPr>
        <w:pStyle w:val="Heading2"/>
      </w:pPr>
      <w:bookmarkStart w:id="108" w:name="_Toc124462538"/>
      <w:bookmarkStart w:id="109" w:name="_Toc124514432"/>
      <w:bookmarkStart w:id="110" w:name="_Toc124946927"/>
      <w:bookmarkStart w:id="111" w:name="_Toc124948837"/>
      <w:bookmarkStart w:id="112" w:name="_Toc124951732"/>
      <w:bookmarkStart w:id="113" w:name="_Ref125559915"/>
      <w:bookmarkStart w:id="114" w:name="_Ref125566253"/>
      <w:bookmarkStart w:id="115" w:name="_Toc125644882"/>
      <w:r w:rsidRPr="00B34167">
        <w:t>Tržište širokopojasnog pristupa (veleprodajna razina)</w:t>
      </w:r>
      <w:bookmarkEnd w:id="108"/>
      <w:bookmarkEnd w:id="109"/>
      <w:bookmarkEnd w:id="110"/>
      <w:bookmarkEnd w:id="111"/>
      <w:bookmarkEnd w:id="112"/>
      <w:bookmarkEnd w:id="113"/>
      <w:bookmarkEnd w:id="114"/>
      <w:bookmarkEnd w:id="115"/>
    </w:p>
    <w:p w:rsidR="00D7024A" w:rsidRPr="00812C3F" w:rsidRDefault="00D7024A" w:rsidP="00D7024A">
      <w:pPr>
        <w:jc w:val="both"/>
        <w:rPr>
          <w:rFonts w:eastAsia="Times New Roman"/>
          <w:color w:val="000000"/>
        </w:rPr>
      </w:pPr>
      <w:r w:rsidRPr="00812C3F">
        <w:rPr>
          <w:rFonts w:eastAsia="Times New Roman"/>
          <w:color w:val="000000"/>
        </w:rPr>
        <w:t>Preporuka EK od 9. listopada 2014. o mjerodavnim tržištima proizvoda i usluga u sektoru elektroničkih komunikacija podložnima prethodnoj (</w:t>
      </w:r>
      <w:r w:rsidRPr="004306B7">
        <w:rPr>
          <w:rFonts w:eastAsia="Times New Roman"/>
          <w:i/>
          <w:color w:val="000000"/>
        </w:rPr>
        <w:t>ex ante</w:t>
      </w:r>
      <w:r w:rsidRPr="00812C3F">
        <w:rPr>
          <w:rFonts w:eastAsia="Times New Roman"/>
          <w:color w:val="000000"/>
        </w:rPr>
        <w:t>) regulaciji prepoznavala je dva veleprodajna tržišta širokopojasnog pristupa:</w:t>
      </w:r>
    </w:p>
    <w:p w:rsidR="00D7024A" w:rsidRPr="00812C3F" w:rsidRDefault="00D7024A" w:rsidP="00D7024A">
      <w:pPr>
        <w:jc w:val="both"/>
        <w:rPr>
          <w:rFonts w:eastAsia="Times New Roman"/>
          <w:color w:val="000000"/>
        </w:rPr>
      </w:pPr>
    </w:p>
    <w:p w:rsidR="00D7024A" w:rsidRPr="00812C3F" w:rsidRDefault="00D7024A" w:rsidP="00766501">
      <w:pPr>
        <w:numPr>
          <w:ilvl w:val="0"/>
          <w:numId w:val="46"/>
        </w:numPr>
        <w:contextualSpacing/>
        <w:jc w:val="both"/>
        <w:rPr>
          <w:rFonts w:eastAsia="Times New Roman"/>
          <w:color w:val="000000"/>
        </w:rPr>
      </w:pPr>
      <w:r w:rsidRPr="00812C3F">
        <w:rPr>
          <w:rFonts w:eastAsia="Times New Roman"/>
          <w:color w:val="000000"/>
        </w:rPr>
        <w:t xml:space="preserve">tržište veleprodajnog središnjeg pristupa koji se pruža na fiksnoj lokaciji za proizvode za masovno tržište i </w:t>
      </w:r>
    </w:p>
    <w:p w:rsidR="00D7024A" w:rsidRPr="00812C3F" w:rsidRDefault="00D7024A" w:rsidP="00766501">
      <w:pPr>
        <w:numPr>
          <w:ilvl w:val="0"/>
          <w:numId w:val="46"/>
        </w:numPr>
        <w:contextualSpacing/>
        <w:jc w:val="both"/>
        <w:rPr>
          <w:rFonts w:eastAsia="Times New Roman"/>
          <w:color w:val="000000"/>
        </w:rPr>
      </w:pPr>
      <w:r w:rsidRPr="00812C3F">
        <w:rPr>
          <w:rFonts w:eastAsia="Times New Roman"/>
          <w:color w:val="000000"/>
        </w:rPr>
        <w:t>tržište  veleprodajnog lokalnog pristupa koji se pruža na fiksnoj lokaciji.</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 lipnju 2019. HAKOM je donio zadnje odluke o analizi i regulaciji na oba navedena tržišta.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Predmet ovog dokumenta je tržište veleprodajnog </w:t>
      </w:r>
      <w:r>
        <w:rPr>
          <w:rFonts w:eastAsia="Times New Roman"/>
          <w:color w:val="000000"/>
        </w:rPr>
        <w:t xml:space="preserve">lokalnog </w:t>
      </w:r>
      <w:r w:rsidRPr="00812C3F">
        <w:rPr>
          <w:rFonts w:eastAsia="Times New Roman"/>
          <w:color w:val="000000"/>
        </w:rPr>
        <w:t>pristupa koji se pruža na fiksnoj lokaciji za proizvode za masovno tržište.</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 svojoj Preporuci od 18. prosinca 2020. o mjerodavnim tržištima proizvoda i usluga u sektoru elektroničkih komunikacija podložnima prethodnoj (ex ante) regulaciji, EK </w:t>
      </w:r>
      <w:r>
        <w:rPr>
          <w:rFonts w:eastAsia="Times New Roman"/>
          <w:color w:val="000000"/>
        </w:rPr>
        <w:t>je</w:t>
      </w:r>
      <w:r w:rsidRPr="00812C3F">
        <w:rPr>
          <w:rFonts w:eastAsia="Times New Roman"/>
          <w:color w:val="000000"/>
        </w:rPr>
        <w:t xml:space="preserve"> tržište veleprodajnog </w:t>
      </w:r>
      <w:r>
        <w:rPr>
          <w:rFonts w:eastAsia="Times New Roman"/>
          <w:color w:val="000000"/>
        </w:rPr>
        <w:t>lokalnog</w:t>
      </w:r>
      <w:r w:rsidRPr="00812C3F">
        <w:rPr>
          <w:rFonts w:eastAsia="Times New Roman"/>
          <w:color w:val="000000"/>
        </w:rPr>
        <w:t xml:space="preserve"> pristupa koji se pruža na fiksnoj lokaciji za proizvode za masovno tržište </w:t>
      </w:r>
      <w:r>
        <w:rPr>
          <w:rFonts w:eastAsia="Times New Roman"/>
          <w:color w:val="000000"/>
        </w:rPr>
        <w:t xml:space="preserve">prepoznala </w:t>
      </w:r>
      <w:r w:rsidRPr="00812C3F">
        <w:rPr>
          <w:rFonts w:eastAsia="Times New Roman"/>
          <w:color w:val="000000"/>
        </w:rPr>
        <w:t xml:space="preserve">kao tržište koje je, na temelju pokazatelja u većini zemalja EU, </w:t>
      </w:r>
      <w:r>
        <w:rPr>
          <w:rFonts w:eastAsia="Times New Roman"/>
          <w:color w:val="000000"/>
        </w:rPr>
        <w:t xml:space="preserve">i dalje </w:t>
      </w:r>
      <w:r w:rsidRPr="00812C3F">
        <w:rPr>
          <w:rFonts w:eastAsia="Times New Roman"/>
          <w:color w:val="000000"/>
        </w:rPr>
        <w:t xml:space="preserve">podložno prethodnoj regulaciji.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HAKOM će za početnu točku kod određivanja veleprodajnog tržišta u dimenziji usluga uzeti usluge koje su u mjerodavno tržište uključene posljednjom analizom tržišta.</w:t>
      </w:r>
      <w:r w:rsidRPr="00812C3F">
        <w:rPr>
          <w:rFonts w:eastAsia="Calibri"/>
          <w:color w:val="000000"/>
        </w:rPr>
        <w:t xml:space="preserve"> Naime, </w:t>
      </w:r>
      <w:r w:rsidRPr="00812C3F">
        <w:rPr>
          <w:rFonts w:eastAsia="Times New Roman"/>
          <w:color w:val="000000"/>
        </w:rPr>
        <w:t xml:space="preserve">analizom tržišta iz lipnja 2019. HAKOM je mjerodavno tržište definirao kao tržište veleprodajnog </w:t>
      </w:r>
      <w:r>
        <w:rPr>
          <w:rFonts w:eastAsia="Times New Roman"/>
          <w:color w:val="000000"/>
        </w:rPr>
        <w:t>lokalnog</w:t>
      </w:r>
      <w:r w:rsidRPr="00812C3F">
        <w:rPr>
          <w:rFonts w:eastAsia="Times New Roman"/>
          <w:color w:val="000000"/>
        </w:rPr>
        <w:t xml:space="preserve"> pristupa koji se pruža na fiksnoj lokaciji za proizvode za masovno tržište, a koje uključuje sljedeće usluge:</w:t>
      </w:r>
    </w:p>
    <w:p w:rsidR="00D7024A" w:rsidRPr="00812C3F" w:rsidRDefault="00D7024A" w:rsidP="00D7024A">
      <w:pPr>
        <w:jc w:val="both"/>
        <w:rPr>
          <w:rFonts w:eastAsia="Times New Roman"/>
          <w:color w:val="000000"/>
        </w:rPr>
      </w:pPr>
    </w:p>
    <w:p w:rsidR="00D7024A" w:rsidRPr="00297DF1" w:rsidRDefault="00D7024A" w:rsidP="00766501">
      <w:pPr>
        <w:numPr>
          <w:ilvl w:val="0"/>
          <w:numId w:val="53"/>
        </w:numPr>
        <w:jc w:val="both"/>
        <w:rPr>
          <w:rFonts w:eastAsia="Times New Roman"/>
          <w:color w:val="000000"/>
        </w:rPr>
      </w:pPr>
      <w:r w:rsidRPr="00297DF1">
        <w:rPr>
          <w:rFonts w:eastAsia="Times New Roman"/>
          <w:color w:val="000000"/>
        </w:rPr>
        <w:t>uslugu izdvojenog pristupa lokalnoj petlji na temelju bakrene parice</w:t>
      </w:r>
    </w:p>
    <w:p w:rsidR="00D7024A" w:rsidRPr="00297DF1" w:rsidRDefault="00D7024A" w:rsidP="00766501">
      <w:pPr>
        <w:numPr>
          <w:ilvl w:val="0"/>
          <w:numId w:val="53"/>
        </w:numPr>
        <w:jc w:val="both"/>
        <w:rPr>
          <w:rFonts w:eastAsia="Times New Roman"/>
          <w:color w:val="000000"/>
        </w:rPr>
      </w:pPr>
      <w:r w:rsidRPr="00297DF1">
        <w:rPr>
          <w:rFonts w:eastAsia="Times New Roman"/>
          <w:color w:val="000000"/>
        </w:rPr>
        <w:t>uslugu izdvojenog pristupa lokalnoj petlji na temelju svjetlovodnih niti</w:t>
      </w:r>
    </w:p>
    <w:p w:rsidR="00D7024A" w:rsidRPr="00297DF1" w:rsidRDefault="00D7024A" w:rsidP="00766501">
      <w:pPr>
        <w:numPr>
          <w:ilvl w:val="0"/>
          <w:numId w:val="53"/>
        </w:numPr>
        <w:jc w:val="both"/>
        <w:rPr>
          <w:rFonts w:eastAsia="Times New Roman"/>
          <w:color w:val="000000"/>
        </w:rPr>
      </w:pPr>
      <w:r w:rsidRPr="00297DF1">
        <w:rPr>
          <w:rFonts w:eastAsia="Times New Roman"/>
          <w:color w:val="000000"/>
        </w:rPr>
        <w:t>uslugu lokalnog pristupa koju HT pruža za vlastite potrebe.</w:t>
      </w:r>
    </w:p>
    <w:p w:rsidR="00D7024A" w:rsidRPr="00812C3F" w:rsidRDefault="00D7024A" w:rsidP="00D7024A">
      <w:pPr>
        <w:ind w:left="708"/>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Nadalje, s obzirom da je na maloprodajnoj razini tržište podijelio na tržište malog kapaciteta i tržište velikog kapaciteta, HAKOM smatra primjerenim istu segmentaciju prenijeti i na veleprodajnu razinu kako bi za svako maloprodajno tržište definirao odgovarajuće veleprodajne usluge. Naime, potražnja na maloprodajnom tržištu izravno se odražava na veleprodajno tržište za korištenu infrastrukturu. U svojim maloprodajnim ponudama operatori najčešće ističu brzinu i infrastrukturu pružanja usluge te na temelju tih obilježja krajnji korisnici percipiraju kvalitetu širokopojasnog pristupa. Upravo zbog toga izbor tehnologije na maloprodaji uvjetuje korištenje iste tehnologije i na veleprodajnom tržištu. Stoga će HAKOM u nastavku odrediti dimenziju usluga za tržište veleprodajnog </w:t>
      </w:r>
      <w:r>
        <w:rPr>
          <w:rFonts w:eastAsia="Times New Roman"/>
          <w:color w:val="000000"/>
        </w:rPr>
        <w:t>lokalnog</w:t>
      </w:r>
      <w:r w:rsidRPr="00812C3F">
        <w:rPr>
          <w:rFonts w:eastAsia="Times New Roman"/>
          <w:color w:val="000000"/>
        </w:rPr>
        <w:t xml:space="preserve"> pristupa malog kapaciteta koji se pruža na fiksnoj lokaciji za proizvode za masovno tržište (dalje: tržište malog kapaciteta) i dimenziju usluga za tržište veleprodajnog </w:t>
      </w:r>
      <w:r>
        <w:rPr>
          <w:rFonts w:eastAsia="Times New Roman"/>
          <w:color w:val="000000"/>
        </w:rPr>
        <w:t>lokalnog</w:t>
      </w:r>
      <w:r w:rsidRPr="00812C3F">
        <w:rPr>
          <w:rFonts w:eastAsia="Times New Roman"/>
          <w:color w:val="000000"/>
        </w:rPr>
        <w:t xml:space="preserve"> pristupa velikog kapaciteta koji se pruža na fiksnoj lokaciji za proizvode za masovno tržište (dalje: tržište velikog kapaciteta).</w:t>
      </w:r>
    </w:p>
    <w:p w:rsidR="00D7024A" w:rsidRPr="00812C3F" w:rsidRDefault="00D7024A" w:rsidP="00D7024A">
      <w:pPr>
        <w:rPr>
          <w:rFonts w:eastAsia="Times New Roman"/>
          <w:color w:val="000000"/>
        </w:rPr>
      </w:pPr>
      <w:r w:rsidRPr="00812C3F">
        <w:rPr>
          <w:rFonts w:eastAsia="Times New Roman"/>
          <w:color w:val="000000"/>
        </w:rPr>
        <w:br w:type="page"/>
      </w:r>
    </w:p>
    <w:p w:rsidR="00D7024A" w:rsidRPr="00B34167" w:rsidRDefault="00D7024A" w:rsidP="00B34167">
      <w:pPr>
        <w:pStyle w:val="Heading3"/>
      </w:pPr>
      <w:bookmarkStart w:id="116" w:name="_Toc124462539"/>
      <w:bookmarkStart w:id="117" w:name="_Toc124514433"/>
      <w:bookmarkStart w:id="118" w:name="_Toc124946928"/>
      <w:bookmarkStart w:id="119" w:name="_Toc124948838"/>
      <w:bookmarkStart w:id="120" w:name="_Toc124951733"/>
      <w:bookmarkStart w:id="121" w:name="_Toc125644883"/>
      <w:r w:rsidRPr="00B34167">
        <w:t>Tržište malog kapaciteta (veleprodajna razina)</w:t>
      </w:r>
      <w:bookmarkEnd w:id="116"/>
      <w:bookmarkEnd w:id="117"/>
      <w:bookmarkEnd w:id="118"/>
      <w:bookmarkEnd w:id="119"/>
      <w:bookmarkEnd w:id="120"/>
      <w:bookmarkEnd w:id="121"/>
    </w:p>
    <w:p w:rsidR="00D7024A" w:rsidRPr="00812C3F" w:rsidRDefault="00D7024A" w:rsidP="00D7024A">
      <w:pPr>
        <w:rPr>
          <w:rFonts w:eastAsia="Calibri"/>
          <w:color w:val="000000"/>
        </w:rPr>
      </w:pPr>
    </w:p>
    <w:p w:rsidR="00D7024A" w:rsidRPr="00B34167" w:rsidRDefault="00D7024A" w:rsidP="00B34167">
      <w:pPr>
        <w:pStyle w:val="Heading4"/>
      </w:pPr>
      <w:bookmarkStart w:id="122" w:name="_Toc124462540"/>
      <w:bookmarkStart w:id="123" w:name="_Toc124514434"/>
      <w:bookmarkStart w:id="124" w:name="_Toc124946929"/>
      <w:bookmarkStart w:id="125" w:name="_Toc124948839"/>
      <w:bookmarkStart w:id="126" w:name="_Toc124951734"/>
      <w:bookmarkStart w:id="127" w:name="_Toc125644884"/>
      <w:r w:rsidRPr="00B34167">
        <w:t>Karakteristike tržišta malog kapaciteta u RH</w:t>
      </w:r>
      <w:bookmarkEnd w:id="122"/>
      <w:bookmarkEnd w:id="123"/>
      <w:bookmarkEnd w:id="124"/>
      <w:bookmarkEnd w:id="125"/>
      <w:bookmarkEnd w:id="126"/>
      <w:bookmarkEnd w:id="127"/>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Operator koji želi krajnjem korisniku pružati uslugu širokopojasnog pristupa</w:t>
      </w:r>
      <w:r>
        <w:rPr>
          <w:rFonts w:eastAsia="Times New Roman"/>
          <w:color w:val="000000"/>
        </w:rPr>
        <w:t xml:space="preserve"> </w:t>
      </w:r>
      <w:r w:rsidRPr="00812C3F">
        <w:rPr>
          <w:rFonts w:eastAsia="Times New Roman"/>
          <w:color w:val="000000"/>
        </w:rPr>
        <w:t>na tržištu</w:t>
      </w:r>
      <w:r>
        <w:rPr>
          <w:rFonts w:eastAsia="Times New Roman"/>
          <w:color w:val="000000"/>
        </w:rPr>
        <w:t xml:space="preserve"> </w:t>
      </w:r>
      <w:r w:rsidRPr="00812C3F">
        <w:rPr>
          <w:rFonts w:eastAsia="Times New Roman"/>
          <w:color w:val="000000"/>
        </w:rPr>
        <w:t>malog kapaciteta, a nema izgrađenu vlastitu pristupnu infrastrukturu na cijelom području RH, trenutno na tržištu malog kapaciteta, može koristiti sljedeće veleprodajne usluge HT-a:</w:t>
      </w:r>
    </w:p>
    <w:p w:rsidR="00D7024A" w:rsidRPr="00812C3F" w:rsidRDefault="00D7024A" w:rsidP="00D7024A">
      <w:pPr>
        <w:jc w:val="both"/>
        <w:rPr>
          <w:rFonts w:eastAsia="Times New Roman"/>
          <w:color w:val="000000"/>
        </w:rPr>
      </w:pPr>
    </w:p>
    <w:p w:rsidR="00D7024A" w:rsidRPr="007C74E9"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 xml:space="preserve">uslugu </w:t>
      </w:r>
      <w:r>
        <w:rPr>
          <w:rFonts w:eastAsia="Times New Roman"/>
          <w:color w:val="000000"/>
        </w:rPr>
        <w:t xml:space="preserve">izdvojenog </w:t>
      </w:r>
      <w:r w:rsidRPr="00297DF1">
        <w:rPr>
          <w:rFonts w:eastAsia="Times New Roman"/>
          <w:color w:val="000000"/>
        </w:rPr>
        <w:t>pristup</w:t>
      </w:r>
      <w:r>
        <w:rPr>
          <w:rFonts w:eastAsia="Times New Roman"/>
          <w:color w:val="000000"/>
        </w:rPr>
        <w:t>a</w:t>
      </w:r>
      <w:r w:rsidRPr="00297DF1">
        <w:rPr>
          <w:rFonts w:eastAsia="Times New Roman"/>
          <w:color w:val="000000"/>
        </w:rPr>
        <w:t xml:space="preserve"> lokalnoj petlji na bakrenoj infrastrukturi</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 xml:space="preserve">uslugu </w:t>
      </w:r>
      <w:r>
        <w:rPr>
          <w:rFonts w:eastAsia="Times New Roman"/>
          <w:color w:val="000000"/>
        </w:rPr>
        <w:t>bitstream pristupa na DSLAM razini (VULA)</w:t>
      </w:r>
      <w:r w:rsidRPr="00812C3F">
        <w:rPr>
          <w:rFonts w:eastAsia="Times New Roman"/>
          <w:color w:val="000000"/>
        </w:rPr>
        <w:t xml:space="preserve">. </w:t>
      </w:r>
    </w:p>
    <w:p w:rsidR="00D7024A" w:rsidRPr="00812C3F" w:rsidRDefault="00D7024A" w:rsidP="00D7024A">
      <w:pPr>
        <w:jc w:val="both"/>
        <w:rPr>
          <w:rFonts w:eastAsia="Times New Roman"/>
          <w:color w:val="000000"/>
        </w:rPr>
      </w:pPr>
    </w:p>
    <w:p w:rsidR="00D7024A" w:rsidRPr="00996867" w:rsidRDefault="00D7024A" w:rsidP="00D7024A">
      <w:pPr>
        <w:jc w:val="both"/>
        <w:rPr>
          <w:rFonts w:eastAsia="Times New Roman"/>
          <w:color w:val="000000"/>
        </w:rPr>
      </w:pPr>
      <w:r>
        <w:rPr>
          <w:rFonts w:eastAsia="Times New Roman"/>
          <w:color w:val="000000"/>
        </w:rPr>
        <w:t>Usluga izdvojenog</w:t>
      </w:r>
      <w:r w:rsidRPr="00812C3F">
        <w:rPr>
          <w:rFonts w:eastAsia="Times New Roman"/>
          <w:color w:val="000000"/>
        </w:rPr>
        <w:t xml:space="preserve"> pristupa</w:t>
      </w:r>
      <w:r>
        <w:rPr>
          <w:rFonts w:eastAsia="Times New Roman"/>
          <w:color w:val="000000"/>
        </w:rPr>
        <w:t xml:space="preserve"> lokalnoj petlji na bakrenoj infrastrukturi</w:t>
      </w:r>
      <w:r w:rsidRPr="00812C3F">
        <w:rPr>
          <w:rFonts w:eastAsia="Times New Roman"/>
          <w:color w:val="000000"/>
        </w:rPr>
        <w:t xml:space="preserve"> je regulirana i pruža se prema uvjetima iz </w:t>
      </w:r>
      <w:r>
        <w:rPr>
          <w:rFonts w:eastAsia="Times New Roman"/>
          <w:color w:val="000000"/>
        </w:rPr>
        <w:t>Standardne ponude</w:t>
      </w:r>
      <w:r w:rsidRPr="000D64D4">
        <w:rPr>
          <w:rFonts w:eastAsia="Times New Roman"/>
          <w:color w:val="000000"/>
        </w:rPr>
        <w:t xml:space="preserve"> Hrvatskog Telekoma d.d. za uslugu izdvojenog pristupa lokalnoj petlji</w:t>
      </w:r>
      <w:r w:rsidRPr="00812C3F">
        <w:rPr>
          <w:rFonts w:eastAsia="Times New Roman"/>
          <w:color w:val="000000"/>
        </w:rPr>
        <w:t>.</w:t>
      </w:r>
      <w:r w:rsidRPr="00996867">
        <w:rPr>
          <w:rFonts w:eastAsia="Times New Roman"/>
        </w:rPr>
        <w:t xml:space="preserve"> </w:t>
      </w:r>
      <w:r w:rsidRPr="00996867">
        <w:rPr>
          <w:rFonts w:eastAsia="Times New Roman"/>
          <w:color w:val="000000"/>
        </w:rPr>
        <w:t>Putem usluge potpunog izdvojenog pristupa lokalnoj petlji operatoru je omogućena uporaba cijeloga frekvencijskog spektra lokalne petlje (bakrene parice).</w:t>
      </w:r>
      <w:r>
        <w:rPr>
          <w:rFonts w:eastAsia="Times New Roman"/>
          <w:color w:val="000000"/>
        </w:rPr>
        <w:t xml:space="preserve"> </w:t>
      </w:r>
      <w:r w:rsidR="00910639">
        <w:rPr>
          <w:rFonts w:eastAsia="Times New Roman"/>
          <w:color w:val="000000"/>
        </w:rPr>
        <w:fldChar w:fldCharType="begin"/>
      </w:r>
      <w:r w:rsidR="00910639">
        <w:rPr>
          <w:rFonts w:eastAsia="Times New Roman"/>
          <w:color w:val="000000"/>
        </w:rPr>
        <w:instrText xml:space="preserve"> REF _Ref124767496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9</w:t>
      </w:r>
      <w:r w:rsidR="00910639">
        <w:rPr>
          <w:rFonts w:eastAsia="Times New Roman"/>
          <w:color w:val="000000"/>
        </w:rPr>
        <w:fldChar w:fldCharType="end"/>
      </w:r>
      <w:r w:rsidR="00910639">
        <w:rPr>
          <w:rFonts w:eastAsia="Times New Roman"/>
          <w:color w:val="000000"/>
        </w:rPr>
        <w:t xml:space="preserve"> </w:t>
      </w:r>
      <w:r w:rsidRPr="00996867">
        <w:rPr>
          <w:rFonts w:eastAsia="Times New Roman"/>
          <w:color w:val="000000"/>
        </w:rPr>
        <w:t>prikazuje dijelove izdvojenog pristupa lokalnoj petlji.</w:t>
      </w:r>
    </w:p>
    <w:p w:rsidR="00D7024A" w:rsidRDefault="00D7024A" w:rsidP="00D7024A">
      <w:pPr>
        <w:jc w:val="both"/>
        <w:rPr>
          <w:rFonts w:eastAsia="Times New Roman"/>
          <w:color w:val="000000"/>
        </w:rPr>
      </w:pPr>
    </w:p>
    <w:p w:rsidR="00D7024A" w:rsidRPr="00297DF1" w:rsidRDefault="00CD38D2" w:rsidP="00CD38D2">
      <w:pPr>
        <w:pStyle w:val="Caption"/>
        <w:rPr>
          <w:rFonts w:eastAsia="Times New Roman"/>
          <w:b/>
          <w:bCs/>
          <w:i w:val="0"/>
          <w:noProof/>
          <w:color w:val="4F81BD"/>
        </w:rPr>
      </w:pPr>
      <w:bookmarkStart w:id="128" w:name="_Ref124767496"/>
      <w:r>
        <w:t xml:space="preserve">Slika </w:t>
      </w:r>
      <w:r w:rsidR="00C60C6F">
        <w:fldChar w:fldCharType="begin"/>
      </w:r>
      <w:r w:rsidR="00C60C6F">
        <w:instrText xml:space="preserve"> SEQ Slika \* ARABIC </w:instrText>
      </w:r>
      <w:r w:rsidR="00C60C6F">
        <w:fldChar w:fldCharType="separate"/>
      </w:r>
      <w:r w:rsidR="006A29BC">
        <w:rPr>
          <w:noProof/>
        </w:rPr>
        <w:t>9</w:t>
      </w:r>
      <w:r w:rsidR="00C60C6F">
        <w:rPr>
          <w:noProof/>
        </w:rPr>
        <w:fldChar w:fldCharType="end"/>
      </w:r>
      <w:bookmarkEnd w:id="128"/>
      <w:r w:rsidR="00D7024A" w:rsidRPr="00297DF1">
        <w:rPr>
          <w:rFonts w:eastAsia="Times New Roman"/>
          <w:b/>
          <w:bCs/>
          <w:i w:val="0"/>
          <w:noProof/>
          <w:color w:val="4F81BD"/>
        </w:rPr>
        <w:t xml:space="preserve"> </w:t>
      </w:r>
      <w:r w:rsidR="00D7024A" w:rsidRPr="00CD38D2">
        <w:t>Izdvojeni pristup lokalnoj petlji</w:t>
      </w:r>
    </w:p>
    <w:p w:rsidR="00D7024A" w:rsidRDefault="00D7024A" w:rsidP="00D7024A">
      <w:pPr>
        <w:jc w:val="both"/>
        <w:rPr>
          <w:rFonts w:eastAsia="Times New Roman"/>
          <w:color w:val="000000"/>
        </w:rPr>
      </w:pPr>
      <w:r w:rsidRPr="00996867">
        <w:rPr>
          <w:rFonts w:eastAsia="Times New Roman"/>
          <w:noProof/>
          <w:color w:val="000000"/>
          <w:lang w:val="en-US"/>
        </w:rPr>
        <w:drawing>
          <wp:inline distT="0" distB="0" distL="0" distR="0" wp14:anchorId="6EC14A6F" wp14:editId="08517C70">
            <wp:extent cx="5972810" cy="25240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72810" cy="2524075"/>
                    </a:xfrm>
                    <a:prstGeom prst="rect">
                      <a:avLst/>
                    </a:prstGeom>
                    <a:noFill/>
                    <a:ln>
                      <a:noFill/>
                    </a:ln>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Standardna ponuda HT-a za uslugu izdvojenog pristupa lokalnoj petlji</w:t>
      </w:r>
    </w:p>
    <w:p w:rsidR="00D7024A" w:rsidRDefault="00D7024A"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color w:val="000000"/>
        </w:rPr>
        <w:t xml:space="preserve">Usluga bitstream pristupa na DSLAM razini (VULA) također je regulirana i pruža se prema uvjetima iz </w:t>
      </w:r>
      <w:r w:rsidRPr="00812C3F">
        <w:rPr>
          <w:rFonts w:eastAsia="Times New Roman"/>
          <w:color w:val="000000"/>
        </w:rPr>
        <w:t>Standardn</w:t>
      </w:r>
      <w:r>
        <w:rPr>
          <w:rFonts w:eastAsia="Times New Roman"/>
          <w:color w:val="000000"/>
        </w:rPr>
        <w:t>e</w:t>
      </w:r>
      <w:r w:rsidRPr="00812C3F">
        <w:rPr>
          <w:rFonts w:eastAsia="Times New Roman"/>
          <w:color w:val="000000"/>
        </w:rPr>
        <w:t xml:space="preserve"> </w:t>
      </w:r>
      <w:r>
        <w:rPr>
          <w:rFonts w:eastAsia="Times New Roman"/>
          <w:color w:val="000000"/>
        </w:rPr>
        <w:t>ponude</w:t>
      </w:r>
      <w:r w:rsidRPr="00FE2045">
        <w:rPr>
          <w:rFonts w:eastAsia="Times New Roman"/>
          <w:color w:val="000000"/>
        </w:rPr>
        <w:t xml:space="preserve"> Hrvatskog telekoma d.d. za uslugu veleprodajnog širokopojasnog pristupa</w:t>
      </w:r>
      <w:r>
        <w:rPr>
          <w:rFonts w:eastAsia="Times New Roman"/>
          <w:color w:val="000000"/>
        </w:rPr>
        <w:t xml:space="preserve">, međutim ta usluga se još uvijek ne koristi. </w:t>
      </w:r>
    </w:p>
    <w:p w:rsidR="00D7024A" w:rsidRPr="00812C3F" w:rsidRDefault="00D7024A" w:rsidP="00D7024A">
      <w:pPr>
        <w:jc w:val="both"/>
        <w:rPr>
          <w:rFonts w:eastAsia="Times New Roman"/>
          <w:color w:val="000000"/>
        </w:rPr>
      </w:pPr>
      <w:r>
        <w:rPr>
          <w:rFonts w:eastAsia="Times New Roman"/>
          <w:color w:val="000000"/>
        </w:rPr>
        <w:t>Drugi operatori, osim HT-a, ne pružaju veleprodajne usluge koje bi se mogle smatrati dijelom tržišta veleprodajnog lokalnog pristupa malog kapaciteta.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Pr>
          <w:rFonts w:eastAsia="Times New Roman"/>
          <w:color w:val="000000"/>
        </w:rPr>
        <w:t>Dakle, iz gore navedenog, možemo zaključiti da HT na veleprodajnom tržištu malog kapaciteta ima udio 100 posto te da se u praksi koristi samo usluga izdvojenog pristupa lokalnoj petlji na bakrenoj infrastrukturi.</w:t>
      </w:r>
    </w:p>
    <w:p w:rsidR="00D7024A" w:rsidRDefault="00D7024A" w:rsidP="00D7024A">
      <w:pPr>
        <w:jc w:val="both"/>
        <w:rPr>
          <w:rFonts w:eastAsia="Times New Roman"/>
          <w:color w:val="000000"/>
        </w:rPr>
      </w:pPr>
    </w:p>
    <w:p w:rsidR="006A29BC" w:rsidRDefault="006A29BC" w:rsidP="00D7024A">
      <w:pPr>
        <w:jc w:val="both"/>
        <w:rPr>
          <w:rFonts w:eastAsia="Times New Roman"/>
          <w:color w:val="000000"/>
        </w:rPr>
      </w:pPr>
    </w:p>
    <w:p w:rsidR="006A29BC" w:rsidRDefault="006A29BC" w:rsidP="00D7024A">
      <w:pPr>
        <w:jc w:val="both"/>
        <w:rPr>
          <w:rFonts w:eastAsia="Times New Roman"/>
          <w:color w:val="000000"/>
        </w:rPr>
      </w:pPr>
    </w:p>
    <w:p w:rsidR="006A29BC" w:rsidRPr="00812C3F" w:rsidRDefault="006A29BC" w:rsidP="00D7024A">
      <w:pPr>
        <w:jc w:val="both"/>
        <w:rPr>
          <w:rFonts w:eastAsia="Times New Roman"/>
          <w:color w:val="000000"/>
        </w:rPr>
      </w:pPr>
    </w:p>
    <w:p w:rsidR="00D7024A" w:rsidRPr="00297DF1" w:rsidRDefault="00CD38D2" w:rsidP="000C3571">
      <w:pPr>
        <w:pStyle w:val="Caption"/>
        <w:spacing w:after="0"/>
        <w:rPr>
          <w:rFonts w:eastAsia="Times New Roman"/>
          <w:b/>
          <w:bCs/>
          <w:i w:val="0"/>
          <w:noProof/>
          <w:color w:val="4F81BD"/>
        </w:rPr>
      </w:pPr>
      <w:bookmarkStart w:id="129" w:name="_Ref124753368"/>
      <w:r>
        <w:t xml:space="preserve">Slika </w:t>
      </w:r>
      <w:r w:rsidR="00C60C6F">
        <w:fldChar w:fldCharType="begin"/>
      </w:r>
      <w:r w:rsidR="00C60C6F">
        <w:instrText xml:space="preserve"> SEQ Slika \* ARABIC </w:instrText>
      </w:r>
      <w:r w:rsidR="00C60C6F">
        <w:fldChar w:fldCharType="separate"/>
      </w:r>
      <w:r w:rsidR="006A29BC">
        <w:rPr>
          <w:noProof/>
        </w:rPr>
        <w:t>10</w:t>
      </w:r>
      <w:r w:rsidR="00C60C6F">
        <w:rPr>
          <w:noProof/>
        </w:rPr>
        <w:fldChar w:fldCharType="end"/>
      </w:r>
      <w:bookmarkEnd w:id="129"/>
      <w:r>
        <w:t xml:space="preserve"> </w:t>
      </w:r>
      <w:r w:rsidR="00D7024A" w:rsidRPr="00CD38D2">
        <w:t xml:space="preserve">Kretanje broja veleprodajnih </w:t>
      </w:r>
      <w:proofErr w:type="spellStart"/>
      <w:r w:rsidR="00D7024A" w:rsidRPr="00CD38D2">
        <w:t>xDSL</w:t>
      </w:r>
      <w:proofErr w:type="spellEnd"/>
      <w:r w:rsidR="00D7024A" w:rsidRPr="00CD38D2">
        <w:t xml:space="preserve"> priključaka (LLU i (N)BSA) (Q22018-Q22022)</w:t>
      </w:r>
    </w:p>
    <w:p w:rsidR="00D7024A" w:rsidRDefault="00B6751A" w:rsidP="00D7024A">
      <w:pPr>
        <w:keepNext/>
        <w:jc w:val="both"/>
      </w:pPr>
      <w:r>
        <w:rPr>
          <w:noProof/>
          <w:lang w:val="en-US"/>
        </w:rPr>
        <w:drawing>
          <wp:inline distT="0" distB="0" distL="0" distR="0" wp14:anchorId="1834E2BB" wp14:editId="5213F70E">
            <wp:extent cx="5261610" cy="2298700"/>
            <wp:effectExtent l="0" t="0" r="0" b="635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61610" cy="2298700"/>
                    </a:xfrm>
                    <a:prstGeom prst="rect">
                      <a:avLst/>
                    </a:prstGeom>
                    <a:noFill/>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Default="00D7024A" w:rsidP="00D7024A">
      <w:pPr>
        <w:jc w:val="both"/>
        <w:rPr>
          <w:rFonts w:eastAsia="Times New Roman"/>
          <w:color w:val="000000"/>
          <w:sz w:val="20"/>
          <w:szCs w:val="20"/>
        </w:rPr>
      </w:pPr>
    </w:p>
    <w:p w:rsidR="00D7024A" w:rsidRDefault="00D7024A" w:rsidP="00D7024A">
      <w:pPr>
        <w:jc w:val="both"/>
        <w:rPr>
          <w:rFonts w:eastAsia="Times New Roman"/>
          <w:color w:val="000000"/>
        </w:rPr>
      </w:pPr>
      <w:r>
        <w:rPr>
          <w:rFonts w:eastAsia="Times New Roman"/>
          <w:color w:val="000000"/>
        </w:rPr>
        <w:t>U</w:t>
      </w:r>
      <w:r w:rsidRPr="00812C3F">
        <w:rPr>
          <w:rFonts w:eastAsia="Times New Roman"/>
          <w:color w:val="000000"/>
        </w:rPr>
        <w:t xml:space="preserve"> razdoblju od zadnje analize općenito </w:t>
      </w:r>
      <w:r>
        <w:rPr>
          <w:rFonts w:eastAsia="Times New Roman"/>
          <w:color w:val="000000"/>
        </w:rPr>
        <w:t xml:space="preserve">je </w:t>
      </w:r>
      <w:r w:rsidRPr="00812C3F">
        <w:rPr>
          <w:rFonts w:eastAsia="Times New Roman"/>
          <w:color w:val="000000"/>
        </w:rPr>
        <w:t>vidljiv pad korištenja veleprodajnih usluga na bakrenoj infrastrukturi</w:t>
      </w:r>
      <w:r>
        <w:rPr>
          <w:rFonts w:eastAsia="Times New Roman"/>
          <w:color w:val="000000"/>
        </w:rPr>
        <w:t xml:space="preserve"> (</w:t>
      </w:r>
      <w:r w:rsidR="00910639">
        <w:rPr>
          <w:rFonts w:eastAsia="Times New Roman"/>
          <w:color w:val="000000"/>
        </w:rPr>
        <w:fldChar w:fldCharType="begin"/>
      </w:r>
      <w:r w:rsidR="00910639">
        <w:rPr>
          <w:rFonts w:eastAsia="Times New Roman"/>
          <w:color w:val="000000"/>
        </w:rPr>
        <w:instrText xml:space="preserve"> REF _Ref124753368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10</w:t>
      </w:r>
      <w:r w:rsidR="00910639">
        <w:rPr>
          <w:rFonts w:eastAsia="Times New Roman"/>
          <w:color w:val="000000"/>
        </w:rPr>
        <w:fldChar w:fldCharType="end"/>
      </w:r>
      <w:r>
        <w:rPr>
          <w:rFonts w:eastAsia="Times New Roman"/>
          <w:color w:val="000000"/>
        </w:rPr>
        <w:t xml:space="preserve">). To je </w:t>
      </w:r>
      <w:r w:rsidRPr="00812C3F">
        <w:rPr>
          <w:rFonts w:eastAsia="Times New Roman"/>
          <w:color w:val="000000"/>
        </w:rPr>
        <w:t>prvenstveno posljedica pada korištenja LLU usluge dok je s druge strane, broj korisnika bitstream pristupa putem bakren</w:t>
      </w:r>
      <w:r>
        <w:rPr>
          <w:rFonts w:eastAsia="Times New Roman"/>
          <w:color w:val="000000"/>
        </w:rPr>
        <w:t xml:space="preserve">e parice (na </w:t>
      </w:r>
      <w:proofErr w:type="spellStart"/>
      <w:r>
        <w:rPr>
          <w:rFonts w:eastAsia="Times New Roman"/>
          <w:color w:val="000000"/>
        </w:rPr>
        <w:t>Ethernet</w:t>
      </w:r>
      <w:proofErr w:type="spellEnd"/>
      <w:r>
        <w:rPr>
          <w:rFonts w:eastAsia="Times New Roman"/>
          <w:color w:val="000000"/>
        </w:rPr>
        <w:t xml:space="preserve"> razini) čak i blago porastao</w:t>
      </w:r>
      <w:r w:rsidRPr="00812C3F">
        <w:rPr>
          <w:rFonts w:eastAsia="Times New Roman"/>
          <w:color w:val="000000"/>
        </w:rPr>
        <w:t xml:space="preserve"> tijekom cijelog promatranog razdoblja. </w:t>
      </w:r>
      <w:r>
        <w:rPr>
          <w:rFonts w:eastAsia="Times New Roman"/>
          <w:color w:val="000000"/>
        </w:rPr>
        <w:t xml:space="preserve">Broj veleprodajnih bitstream priključaka putem bakrene infrastrukture ne opada kao broj LLU priključaka prvenstveno zbog činjenice što LLU priključci imaju konkurentski pritisak VHCN mreža jer se područja gdje je isplativo koristiti LLU uslugu i graditi vlastitu VHCN infrastrukturu u pravilu preklapaju. S druge strane bitstream usluga se prvenstveno koristi tamo gdje korištenje LLU usluge nije isplativo, pa nije isplativo ni graditi vlastitu VHCN infrastrukturu. Dodatno, generalno je operatorima korisnicima manje rizično koristiti uslugu bitstream uslugu nego LLU uslugu jer su uz nju prisutni puno manji nenadoknadivi troškovi, a s druge strane se </w:t>
      </w:r>
      <w:r w:rsidRPr="00812C3F">
        <w:rPr>
          <w:rFonts w:eastAsia="Times New Roman"/>
          <w:color w:val="000000"/>
        </w:rPr>
        <w:t xml:space="preserve">korištenjem usluge bitstream pristupa na višim razinama (bitstream na </w:t>
      </w:r>
      <w:proofErr w:type="spellStart"/>
      <w:r w:rsidRPr="00812C3F">
        <w:rPr>
          <w:rFonts w:eastAsia="Times New Roman"/>
          <w:color w:val="000000"/>
        </w:rPr>
        <w:t>Ethernet</w:t>
      </w:r>
      <w:proofErr w:type="spellEnd"/>
      <w:r w:rsidRPr="00812C3F">
        <w:rPr>
          <w:rFonts w:eastAsia="Times New Roman"/>
          <w:color w:val="000000"/>
        </w:rPr>
        <w:t xml:space="preserve"> i IP razini) zbog mogućnosti dohvaćanja većeg broja korisnika u odnosu na LLU uslugu, povećava isplativost pristupa za operatore, a da se pritom značajno ne umanjuje kvaliteta maloprodajne usluge za krajnje korisnike. </w:t>
      </w:r>
    </w:p>
    <w:p w:rsidR="00D7024A" w:rsidRPr="00297DF1" w:rsidRDefault="00D7024A" w:rsidP="00D7024A">
      <w:pPr>
        <w:jc w:val="both"/>
        <w:rPr>
          <w:rFonts w:eastAsia="Times New Roman"/>
          <w:color w:val="000000"/>
          <w:sz w:val="20"/>
          <w:szCs w:val="20"/>
        </w:rPr>
      </w:pPr>
    </w:p>
    <w:p w:rsidR="00D7024A" w:rsidRPr="00B34167" w:rsidRDefault="00D7024A" w:rsidP="00B34167">
      <w:pPr>
        <w:pStyle w:val="Heading4"/>
      </w:pPr>
      <w:bookmarkStart w:id="130" w:name="_Toc124462541"/>
      <w:bookmarkStart w:id="131" w:name="_Toc124514435"/>
      <w:bookmarkStart w:id="132" w:name="_Toc124946930"/>
      <w:bookmarkStart w:id="133" w:name="_Toc124948840"/>
      <w:bookmarkStart w:id="134" w:name="_Toc124951735"/>
      <w:bookmarkStart w:id="135" w:name="_Ref125565949"/>
      <w:bookmarkStart w:id="136" w:name="_Toc125644885"/>
      <w:r w:rsidRPr="00B34167">
        <w:t>Određivanje tržišta malog kapaciteta u dimenziji usluga</w:t>
      </w:r>
      <w:bookmarkEnd w:id="130"/>
      <w:bookmarkEnd w:id="131"/>
      <w:bookmarkEnd w:id="132"/>
      <w:bookmarkEnd w:id="133"/>
      <w:bookmarkEnd w:id="134"/>
      <w:bookmarkEnd w:id="135"/>
      <w:bookmarkEnd w:id="136"/>
    </w:p>
    <w:p w:rsidR="00D7024A" w:rsidRPr="00812C3F" w:rsidRDefault="00D7024A" w:rsidP="00D7024A">
      <w:pPr>
        <w:jc w:val="both"/>
        <w:rPr>
          <w:rFonts w:eastAsia="Times New Roman"/>
          <w:color w:val="000000"/>
        </w:rPr>
      </w:pPr>
    </w:p>
    <w:p w:rsidR="00D7024A" w:rsidRPr="00812C3F" w:rsidRDefault="00D7024A" w:rsidP="00D7024A">
      <w:pPr>
        <w:contextualSpacing/>
        <w:jc w:val="both"/>
        <w:rPr>
          <w:rFonts w:eastAsia="Times New Roman"/>
          <w:color w:val="000000"/>
        </w:rPr>
      </w:pPr>
      <w:r w:rsidRPr="00812C3F">
        <w:rPr>
          <w:rFonts w:eastAsia="Times New Roman"/>
          <w:color w:val="000000"/>
        </w:rPr>
        <w:t>Određivanje tržišta u dimenziji usluga na veleprodajnoj razini temelji se na analizi zamjenjivosti na strani potražnje i na strani ponude na veleprodajnoj razini na temelju kojih različite usluge pristupa mreži mogu biti sastavni dio istog veleprodajnog tržišta ili mogu činiti različita tržišta veleprodajnog širokopojasnog pristupa.</w:t>
      </w:r>
    </w:p>
    <w:p w:rsidR="00D7024A" w:rsidRPr="00812C3F" w:rsidRDefault="00D7024A" w:rsidP="00D7024A">
      <w:pPr>
        <w:contextualSpacing/>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Kako je već pojašnjeno u uvodu, polazna točka za određivanje zamjenskih usluga je veleprodajno tržište koje je HAKOM prethodnom analizom definirao kao tržište veleprodajnog </w:t>
      </w:r>
      <w:r>
        <w:rPr>
          <w:rFonts w:eastAsia="Times New Roman"/>
          <w:color w:val="000000"/>
        </w:rPr>
        <w:t>lokalnog</w:t>
      </w:r>
      <w:r w:rsidRPr="00812C3F">
        <w:rPr>
          <w:rFonts w:eastAsia="Times New Roman"/>
          <w:color w:val="000000"/>
        </w:rPr>
        <w:t xml:space="preserve"> pristupa koji se pruža na fiksnoj lokaciji za proizvode za masovno tržište i koje, uključuje sljedeće usluge:</w:t>
      </w:r>
    </w:p>
    <w:p w:rsidR="00D7024A" w:rsidRPr="00812C3F" w:rsidRDefault="00D7024A" w:rsidP="00D7024A">
      <w:pPr>
        <w:ind w:left="720"/>
        <w:contextualSpacing/>
        <w:jc w:val="both"/>
        <w:rPr>
          <w:rFonts w:eastAsia="Times New Roman"/>
          <w:color w:val="000000"/>
        </w:rPr>
      </w:pPr>
    </w:p>
    <w:p w:rsidR="00D7024A" w:rsidRDefault="00D7024A" w:rsidP="00766501">
      <w:pPr>
        <w:numPr>
          <w:ilvl w:val="0"/>
          <w:numId w:val="53"/>
        </w:numPr>
        <w:contextualSpacing/>
        <w:jc w:val="both"/>
        <w:rPr>
          <w:rFonts w:eastAsia="Times New Roman"/>
          <w:color w:val="000000"/>
        </w:rPr>
      </w:pPr>
      <w:r w:rsidRPr="007C74E9">
        <w:rPr>
          <w:rFonts w:eastAsia="Times New Roman"/>
          <w:color w:val="000000"/>
        </w:rPr>
        <w:t>uslugu izdvojenog pristupa lokalnoj petlji na temelju bakrene parice</w:t>
      </w:r>
    </w:p>
    <w:p w:rsidR="00D7024A" w:rsidRDefault="00D7024A" w:rsidP="00766501">
      <w:pPr>
        <w:numPr>
          <w:ilvl w:val="0"/>
          <w:numId w:val="53"/>
        </w:numPr>
        <w:contextualSpacing/>
        <w:jc w:val="both"/>
        <w:rPr>
          <w:rFonts w:eastAsia="Times New Roman"/>
          <w:color w:val="000000"/>
        </w:rPr>
      </w:pPr>
      <w:r w:rsidRPr="007C74E9">
        <w:rPr>
          <w:rFonts w:eastAsia="Times New Roman"/>
          <w:color w:val="000000"/>
        </w:rPr>
        <w:t>uslugu izdvojenog pristupa lokalnoj petlji na temelju svjetlovodnih niti</w:t>
      </w:r>
    </w:p>
    <w:p w:rsidR="00D7024A" w:rsidRPr="007C74E9" w:rsidRDefault="00D7024A" w:rsidP="00766501">
      <w:pPr>
        <w:numPr>
          <w:ilvl w:val="0"/>
          <w:numId w:val="53"/>
        </w:numPr>
        <w:contextualSpacing/>
        <w:jc w:val="both"/>
        <w:rPr>
          <w:rFonts w:eastAsia="Times New Roman"/>
          <w:color w:val="000000"/>
        </w:rPr>
      </w:pPr>
      <w:r w:rsidRPr="007C74E9">
        <w:rPr>
          <w:rFonts w:eastAsia="Times New Roman"/>
          <w:color w:val="000000"/>
        </w:rPr>
        <w:t>uslugu lokalnog pristupa koju HT pruža za vlastite potrebe</w:t>
      </w:r>
      <w:r>
        <w:rPr>
          <w:rFonts w:eastAsia="Times New Roman"/>
          <w:color w:val="000000"/>
        </w:rPr>
        <w:t>.</w:t>
      </w:r>
      <w:r w:rsidRPr="007C74E9" w:rsidDel="007C74E9">
        <w:rPr>
          <w:rFonts w:eastAsia="Times New Roman"/>
          <w:color w:val="000000"/>
        </w:rPr>
        <w:t xml:space="preserve"> </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S obzirom da HAKOM u ovom dijelu dokumenta određuje definiciju tržišta za segment tržišta malog kapaciteta, HAKOM će zamjenske usluge analizirati u odnosu na:</w:t>
      </w:r>
    </w:p>
    <w:p w:rsidR="00D7024A" w:rsidRPr="00812C3F" w:rsidRDefault="00D7024A" w:rsidP="00D7024A">
      <w:pPr>
        <w:jc w:val="both"/>
        <w:rPr>
          <w:rFonts w:eastAsia="Times New Roman"/>
          <w:color w:val="000000"/>
        </w:rPr>
      </w:pPr>
    </w:p>
    <w:p w:rsidR="00D7024A" w:rsidRPr="00812C3F" w:rsidRDefault="00D7024A" w:rsidP="00D7024A">
      <w:pPr>
        <w:numPr>
          <w:ilvl w:val="0"/>
          <w:numId w:val="1"/>
        </w:numPr>
        <w:contextualSpacing/>
        <w:jc w:val="both"/>
        <w:rPr>
          <w:rFonts w:eastAsia="Times New Roman"/>
          <w:color w:val="000000"/>
        </w:rPr>
      </w:pPr>
      <w:r w:rsidRPr="00A21C02">
        <w:rPr>
          <w:rFonts w:eastAsia="Times New Roman"/>
          <w:color w:val="000000"/>
        </w:rPr>
        <w:t>uslugu izdvojenog pristupa lokalnoj petlji na temelju bakrene parice</w:t>
      </w:r>
      <w:r>
        <w:rPr>
          <w:rFonts w:eastAsia="Times New Roman"/>
          <w:color w:val="000000"/>
        </w:rPr>
        <w:t xml:space="preserve"> i</w:t>
      </w:r>
    </w:p>
    <w:p w:rsidR="00D7024A" w:rsidRDefault="00D7024A" w:rsidP="00D7024A">
      <w:pPr>
        <w:numPr>
          <w:ilvl w:val="0"/>
          <w:numId w:val="1"/>
        </w:numPr>
        <w:contextualSpacing/>
        <w:jc w:val="both"/>
        <w:rPr>
          <w:rFonts w:eastAsia="Times New Roman"/>
          <w:color w:val="000000"/>
        </w:rPr>
      </w:pPr>
      <w:r w:rsidRPr="00812C3F">
        <w:rPr>
          <w:rFonts w:eastAsia="Times New Roman"/>
          <w:color w:val="000000"/>
        </w:rPr>
        <w:t xml:space="preserve">uslugu </w:t>
      </w:r>
      <w:r>
        <w:rPr>
          <w:rFonts w:eastAsia="Times New Roman"/>
          <w:color w:val="000000"/>
        </w:rPr>
        <w:t>lokalnog</w:t>
      </w:r>
      <w:r w:rsidRPr="00812C3F">
        <w:rPr>
          <w:rFonts w:eastAsia="Times New Roman"/>
          <w:color w:val="000000"/>
        </w:rPr>
        <w:t xml:space="preserve"> pristupa putem bakrene parice koju HT pruža za vlastite potrebe.</w:t>
      </w:r>
    </w:p>
    <w:p w:rsidR="00D7024A" w:rsidRPr="00812C3F" w:rsidRDefault="00D7024A" w:rsidP="00D7024A">
      <w:pPr>
        <w:ind w:left="1068"/>
        <w:contextualSpacing/>
        <w:jc w:val="both"/>
        <w:rPr>
          <w:rFonts w:eastAsia="Times New Roman"/>
          <w:color w:val="000000"/>
        </w:rPr>
      </w:pPr>
    </w:p>
    <w:p w:rsidR="00D7024A" w:rsidRPr="00B34167" w:rsidRDefault="00D7024A" w:rsidP="00766501">
      <w:pPr>
        <w:pStyle w:val="ListParagraph"/>
        <w:numPr>
          <w:ilvl w:val="0"/>
          <w:numId w:val="60"/>
        </w:numPr>
        <w:jc w:val="both"/>
        <w:rPr>
          <w:rFonts w:ascii="Segoe UI Semibold" w:hAnsi="Segoe UI Semibold" w:cs="Segoe UI Semibold"/>
          <w:color w:val="1F3864" w:themeColor="accent1" w:themeShade="80"/>
        </w:rPr>
      </w:pPr>
      <w:bookmarkStart w:id="137" w:name="_Ref124460619"/>
      <w:bookmarkStart w:id="138" w:name="_Toc124462542"/>
      <w:bookmarkStart w:id="139" w:name="_Toc124514436"/>
      <w:r w:rsidRPr="00B34167">
        <w:rPr>
          <w:rFonts w:ascii="Segoe UI Semibold" w:hAnsi="Segoe UI Semibold" w:cs="Segoe UI Semibold"/>
          <w:color w:val="1F3864" w:themeColor="accent1" w:themeShade="80"/>
        </w:rPr>
        <w:t>Zamjenjivost na strani potražnje</w:t>
      </w:r>
      <w:bookmarkEnd w:id="137"/>
      <w:bookmarkEnd w:id="138"/>
      <w:bookmarkEnd w:id="139"/>
    </w:p>
    <w:p w:rsidR="00D7024A"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Potražnja za uslugama na veleprodajnoj razini proizlazi iz potražnje na maloprodajnoj razini.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HAKOM je utvrdio kako potražnja na maloprodajnom tržištu malog kapaciteta proizlazi iz potražnje za sljedećim uslugama širokopojasnog pristupa:</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bakrene parice,</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 xml:space="preserve">pristup na fiksnoj lokaciji putem mreža pokretnih komunikacija, </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hibridni širokopojasni pristup i</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bežičnih tehnologija u nepokretnoj mreži.</w:t>
      </w:r>
    </w:p>
    <w:p w:rsidR="00D7024A" w:rsidRPr="00812C3F" w:rsidRDefault="00D7024A" w:rsidP="00D7024A">
      <w:pPr>
        <w:ind w:left="720"/>
        <w:contextualSpacing/>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Pomoću zamjenjivosti na strani potražnje na veleprodajnoj razini potrebno je utvrditi zamjenske usluge usluzi</w:t>
      </w:r>
      <w:r>
        <w:rPr>
          <w:rFonts w:eastAsia="Times New Roman"/>
          <w:color w:val="000000"/>
        </w:rPr>
        <w:t xml:space="preserve"> izdvojenog pristupa lokalnoj petlji na bakrenoj infrastrukturi (LLU usluga)</w:t>
      </w:r>
      <w:r w:rsidRPr="00812C3F">
        <w:rPr>
          <w:rFonts w:eastAsia="Times New Roman"/>
          <w:color w:val="000000"/>
        </w:rPr>
        <w:t xml:space="preserve">, na način da korisnici te usluge, u slučaju da bivši monopolist povisi cijenu iste, izgrade vlastitu pristupnu infrastrukturu ili počnu koristiti neku drugu veleprodajnu uslugu, a koju će smatrati istovjetnom uslugom. </w:t>
      </w:r>
    </w:p>
    <w:p w:rsidR="00D7024A" w:rsidRPr="00812C3F" w:rsidRDefault="00D7024A" w:rsidP="00D7024A">
      <w:pPr>
        <w:ind w:left="720"/>
        <w:contextualSpacing/>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Pretpostavka korištenja usluge širokopojasnog pristupa i prijenosa podataka od strane krajnjeg korisnika je postojanje određenog prijenosnog kanala do lokacije krajnjeg korisnika, koji omogućava prijenos podataka u oba smjera i to brzinama koje omogućavaju pružanje navedene usluge. Stoga, svaki operator koji želi ponuditi usluge širokopojasnog pristupa krajnjim korisnicima, ima mogućnost ili izgraditi takvu mrežu prijenosnih kanala do lokacije krajnjih korisnika ili koristiti veleprodajnu uslugu pristupa na temelju postojeće infrastrukture.</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AB5129">
        <w:rPr>
          <w:rFonts w:eastAsia="Times New Roman"/>
          <w:color w:val="000000"/>
        </w:rPr>
        <w:t>U svrhu pružanja usluge širokopojasnog pristupa internetu na maloprodajnoj razini, operatori mogu do krajnjeg korisnika izgraditi vlastitu infrastrukturu. U navedenom slučaju radi se o usluzi širokopojasnog pristupa internetu za vlastite potrebe.</w:t>
      </w:r>
    </w:p>
    <w:p w:rsidR="00D7024A" w:rsidRDefault="00D7024A" w:rsidP="00D7024A">
      <w:pPr>
        <w:rPr>
          <w:rFonts w:eastAsia="Times New Roman"/>
          <w:color w:val="000000"/>
        </w:rPr>
      </w:pPr>
      <w:r>
        <w:rPr>
          <w:rFonts w:eastAsia="Times New Roman"/>
          <w:color w:val="000000"/>
        </w:rPr>
        <w:br w:type="page"/>
      </w:r>
    </w:p>
    <w:p w:rsidR="00D7024A" w:rsidRPr="00B34167" w:rsidRDefault="00D7024A" w:rsidP="000D6385">
      <w:pPr>
        <w:jc w:val="both"/>
        <w:rPr>
          <w:rFonts w:ascii="Segoe UI Semibold" w:hAnsi="Segoe UI Semibold" w:cs="Segoe UI Semibold"/>
          <w:color w:val="1F3864" w:themeColor="accent1" w:themeShade="80"/>
        </w:rPr>
      </w:pPr>
      <w:bookmarkStart w:id="140" w:name="_Toc124462543"/>
      <w:bookmarkStart w:id="141" w:name="_Toc124514437"/>
      <w:r w:rsidRPr="00B34167">
        <w:rPr>
          <w:rFonts w:ascii="Segoe UI Semibold" w:hAnsi="Segoe UI Semibold" w:cs="Segoe UI Semibold"/>
          <w:color w:val="1F3864" w:themeColor="accent1" w:themeShade="80"/>
        </w:rPr>
        <w:t xml:space="preserve">Izgradnja vlastite infrastrukture </w:t>
      </w:r>
      <w:bookmarkEnd w:id="140"/>
      <w:bookmarkEnd w:id="141"/>
    </w:p>
    <w:p w:rsidR="000D6385" w:rsidRPr="000D6385" w:rsidRDefault="000D6385" w:rsidP="000D6385">
      <w:pPr>
        <w:jc w:val="both"/>
        <w:rPr>
          <w:rFonts w:ascii="Segoe UI Semibold" w:hAnsi="Segoe UI Semibold" w:cs="Segoe UI Semibold"/>
          <w:b/>
          <w:color w:val="1F3864" w:themeColor="accent1" w:themeShade="80"/>
        </w:rPr>
      </w:pPr>
    </w:p>
    <w:p w:rsidR="00D7024A" w:rsidRPr="00812C3F" w:rsidRDefault="00D7024A" w:rsidP="00D7024A">
      <w:pPr>
        <w:jc w:val="both"/>
        <w:rPr>
          <w:rFonts w:eastAsia="Times New Roman"/>
          <w:color w:val="000000"/>
        </w:rPr>
      </w:pPr>
      <w:r w:rsidRPr="00812C3F">
        <w:rPr>
          <w:rFonts w:eastAsia="Times New Roman"/>
          <w:color w:val="000000"/>
        </w:rPr>
        <w:t xml:space="preserve">U ovom dijelu razmatra se mogućnost da operator radi hipotetskog povećanja cijena usluge </w:t>
      </w:r>
      <w:r>
        <w:rPr>
          <w:rFonts w:eastAsia="Times New Roman"/>
          <w:color w:val="000000"/>
        </w:rPr>
        <w:t>izdvojenog pristupa lokalnoj petlji</w:t>
      </w:r>
      <w:r w:rsidRPr="00812C3F">
        <w:rPr>
          <w:rFonts w:eastAsia="Times New Roman"/>
          <w:color w:val="000000"/>
        </w:rPr>
        <w:t xml:space="preserve"> počne graditi vlastitu pristupnu infrastrukturu.</w:t>
      </w:r>
    </w:p>
    <w:p w:rsidR="00D7024A" w:rsidRPr="007150DD" w:rsidRDefault="00D7024A" w:rsidP="00D7024A">
      <w:pPr>
        <w:jc w:val="both"/>
        <w:rPr>
          <w:rFonts w:eastAsia="Times New Roman"/>
          <w:color w:val="000000"/>
        </w:rPr>
      </w:pPr>
      <w:r w:rsidRPr="007150DD">
        <w:rPr>
          <w:rFonts w:eastAsia="Times New Roman"/>
          <w:color w:val="000000"/>
        </w:rPr>
        <w:t xml:space="preserve">Gradnja vlastite pristupne mreže do krajnjeg korisnika iziskuje dugo razdoblje i velika ulaganja, od kojih je većina nenadoknadiva. Glavni pokretač novih ulaganja u vlastitu pristupnu infrastrukturu je dovoljan broj i gustoća korisnika te nemogućnost pružanja aktualnih usluga odnosno paketa usluga putem bakrene infrastrukture koja je dostupna na tom području. Slijedom navedenog, jedino u situaciji postojanja ekonomije razmjera, dovoljne gustoće korisnika i neadekvatne postojeće infrastrukture, izgradnja vlastite pristupne infrastrukture bi bila odgovarajuća zamjenska usluga usluzi izdvojenog pristupa lokalnoj petlji </w:t>
      </w:r>
      <w:r>
        <w:rPr>
          <w:rFonts w:eastAsia="Times New Roman"/>
          <w:color w:val="000000"/>
        </w:rPr>
        <w:t xml:space="preserve">na temelju bakrene parice </w:t>
      </w:r>
      <w:r w:rsidRPr="007150DD">
        <w:rPr>
          <w:rFonts w:eastAsia="Times New Roman"/>
          <w:color w:val="000000"/>
        </w:rPr>
        <w:t xml:space="preserve">koju nudi bivši monopolist. Ukoliko analiziramo ulaganja u vlastitu pristupnu infrastrukturu na području RH u razdoblju zadnjih </w:t>
      </w:r>
      <w:r>
        <w:rPr>
          <w:rFonts w:eastAsia="Times New Roman"/>
          <w:color w:val="000000"/>
        </w:rPr>
        <w:t>nekoliko</w:t>
      </w:r>
      <w:r w:rsidRPr="007150DD">
        <w:rPr>
          <w:rFonts w:eastAsia="Times New Roman"/>
          <w:color w:val="000000"/>
        </w:rPr>
        <w:t xml:space="preserve"> godina primjećuje se kako se ista ostvaruju na područjima koja zadovoljavaju sva odnosno većinu prethodno navedenih kriterija. Operatori u ovim s</w:t>
      </w:r>
      <w:r>
        <w:rPr>
          <w:rFonts w:eastAsia="Times New Roman"/>
          <w:color w:val="000000"/>
        </w:rPr>
        <w:t>ituacijama uglavnom ulažu u svjetlovodnu</w:t>
      </w:r>
      <w:r w:rsidRPr="007150DD">
        <w:rPr>
          <w:rFonts w:eastAsia="Times New Roman"/>
          <w:color w:val="000000"/>
        </w:rPr>
        <w:t xml:space="preserve"> infrastrukturu koja omogućava pružanje najnaprednijih maloprodajnih usluga.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Pr>
          <w:rFonts w:eastAsia="Times New Roman"/>
          <w:color w:val="000000"/>
        </w:rPr>
        <w:t xml:space="preserve">Stoga, s obzirom na gore opisani trend, </w:t>
      </w:r>
      <w:r w:rsidRPr="00812C3F">
        <w:rPr>
          <w:rFonts w:eastAsia="Times New Roman"/>
          <w:color w:val="000000"/>
        </w:rPr>
        <w:t xml:space="preserve">HAKOM smatra kako u slučaju hipotetskog povećanja cijene veleprodajne usluge </w:t>
      </w:r>
      <w:r>
        <w:rPr>
          <w:rFonts w:eastAsia="Times New Roman"/>
          <w:color w:val="000000"/>
        </w:rPr>
        <w:t>izdvojenog pristupa lokalnoj petlji</w:t>
      </w:r>
      <w:r w:rsidRPr="00812C3F">
        <w:rPr>
          <w:rFonts w:eastAsia="Times New Roman"/>
          <w:color w:val="000000"/>
        </w:rPr>
        <w:t xml:space="preserve"> </w:t>
      </w:r>
      <w:r>
        <w:rPr>
          <w:rFonts w:eastAsia="Times New Roman"/>
          <w:color w:val="000000"/>
        </w:rPr>
        <w:t xml:space="preserve">na temelju bakrene parice </w:t>
      </w:r>
      <w:r w:rsidRPr="00812C3F">
        <w:rPr>
          <w:rFonts w:eastAsia="Times New Roman"/>
          <w:color w:val="000000"/>
        </w:rPr>
        <w:t>operator neće biti potaknut graditi vlastitu pristupnu</w:t>
      </w:r>
      <w:r>
        <w:rPr>
          <w:rFonts w:eastAsia="Times New Roman"/>
          <w:color w:val="000000"/>
        </w:rPr>
        <w:t xml:space="preserve"> bakrenu</w:t>
      </w:r>
      <w:r w:rsidRPr="00812C3F">
        <w:rPr>
          <w:rFonts w:eastAsia="Times New Roman"/>
          <w:color w:val="000000"/>
        </w:rPr>
        <w:t xml:space="preserve"> infrastrukturu samo u svrhu pružanja usluga za korisnike s manjim potrebama korištenja usluge širokopojasnog pristupa.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Naime, zbog sve veće potražnje za uslugama širokopojasnog pristupa kvalitete koja se ne može isporučiti putem bakrene mreže, HAKOM ocjenjuje kako je u ovom trenutku potpuno neisplativo postavljati bakrenu pristupnu mrežu pa ju operatori ne postavljaju niti će je u budućnosti postavljati.</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Vezano uz ulaganja operatora ostvarena tijekom posljednjih godina koja su usmjerena prvenstveno u izgradnju svjetlovodne infrastrukture, a koja omogućuje pružanje najnaprednijih usluga, HAKOM ne očekuje da bi alternativni operatori počeli graditi VHCN mreže samo u svrhu pružanja uslug</w:t>
      </w:r>
      <w:r>
        <w:rPr>
          <w:rFonts w:eastAsia="Times New Roman"/>
          <w:color w:val="000000"/>
        </w:rPr>
        <w:t xml:space="preserve">a veleprodajnog lokalnog pristupa </w:t>
      </w:r>
      <w:r w:rsidRPr="00812C3F">
        <w:rPr>
          <w:rFonts w:eastAsia="Times New Roman"/>
          <w:color w:val="000000"/>
        </w:rPr>
        <w:t xml:space="preserve">malog kapaciteta. Razlog tome je što je VHCN infrastruktura prvenstveno namijenjena zadovoljenju potreba krajnjih korisnika za većim kapacitetima.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Nadalje, s obzirom da su na maloprodajnoj razini usluge širokopojasnog pristupa na fiksnoj lokaciji koje pružaju operatori mreža pokretnih komunikacija zamjenske usluge usluzi širokopojasnog pristupa putem bakrene parice, HAKOM je razmatrao i mogućnost da u slučaju hipotetskog povećanja cijene </w:t>
      </w:r>
      <w:r>
        <w:rPr>
          <w:rFonts w:eastAsia="Times New Roman"/>
          <w:color w:val="000000"/>
        </w:rPr>
        <w:t>usluge</w:t>
      </w:r>
      <w:r w:rsidRPr="00812C3F">
        <w:rPr>
          <w:rFonts w:eastAsia="Times New Roman"/>
          <w:color w:val="000000"/>
        </w:rPr>
        <w:t xml:space="preserve"> pristupa </w:t>
      </w:r>
      <w:r>
        <w:rPr>
          <w:rFonts w:eastAsia="Times New Roman"/>
          <w:color w:val="000000"/>
        </w:rPr>
        <w:t>izdvojenoj lokalnoj petlji na temelju bakrene parice</w:t>
      </w:r>
      <w:r w:rsidRPr="00812C3F">
        <w:rPr>
          <w:rFonts w:eastAsia="Times New Roman"/>
          <w:color w:val="000000"/>
        </w:rPr>
        <w:t xml:space="preserve">, operatori počnu graditi mreže pokretnih komunikacija ili uđu na tržište pokretnih komunikacija kao MVNO. Uzevši u obzir ulaganja operatora koja iziskuje ova opcija i trenutna ograničenja vezana uz eventualnu uslugu </w:t>
      </w:r>
      <w:r>
        <w:rPr>
          <w:rFonts w:eastAsia="Times New Roman"/>
          <w:color w:val="000000"/>
        </w:rPr>
        <w:t xml:space="preserve">veleprodajnog lokalnog pristupa </w:t>
      </w:r>
      <w:r w:rsidRPr="00812C3F">
        <w:rPr>
          <w:rFonts w:eastAsia="Times New Roman"/>
          <w:color w:val="000000"/>
        </w:rPr>
        <w:t xml:space="preserve">putem mreža pokretnih komunikacija, HAKOM ne očekuje da bi operatori na isto bili motivirani samo zbog povećanja cijene </w:t>
      </w:r>
      <w:r>
        <w:rPr>
          <w:rFonts w:eastAsia="Times New Roman"/>
          <w:color w:val="000000"/>
        </w:rPr>
        <w:t>usluge</w:t>
      </w:r>
      <w:r w:rsidRPr="00812C3F">
        <w:rPr>
          <w:rFonts w:eastAsia="Times New Roman"/>
          <w:color w:val="000000"/>
        </w:rPr>
        <w:t xml:space="preserve"> pristupa </w:t>
      </w:r>
      <w:r>
        <w:rPr>
          <w:rFonts w:eastAsia="Times New Roman"/>
          <w:color w:val="000000"/>
        </w:rPr>
        <w:t>lokalnoj petlji</w:t>
      </w:r>
      <w:r w:rsidRPr="00812C3F">
        <w:rPr>
          <w:rFonts w:eastAsia="Times New Roman"/>
          <w:color w:val="000000"/>
        </w:rPr>
        <w:t xml:space="preserve">. Naime, osnovna ograničenja takve </w:t>
      </w:r>
      <w:r>
        <w:rPr>
          <w:rFonts w:eastAsia="Times New Roman"/>
          <w:color w:val="000000"/>
        </w:rPr>
        <w:t xml:space="preserve">potencijalne </w:t>
      </w:r>
      <w:r w:rsidRPr="00812C3F">
        <w:rPr>
          <w:rFonts w:eastAsia="Times New Roman"/>
          <w:color w:val="000000"/>
        </w:rPr>
        <w:t xml:space="preserve">usluge </w:t>
      </w:r>
      <w:r>
        <w:rPr>
          <w:rFonts w:eastAsia="Times New Roman"/>
          <w:color w:val="000000"/>
        </w:rPr>
        <w:t xml:space="preserve">veleprodajnog lokalnog pristupa </w:t>
      </w:r>
      <w:r w:rsidRPr="00812C3F">
        <w:rPr>
          <w:rFonts w:eastAsia="Times New Roman"/>
          <w:color w:val="000000"/>
        </w:rPr>
        <w:t xml:space="preserve">odnose se na nemogućnost garancije brzine pristupa, odnosno nemogućnost dodjeljivanja kapaciteta na veleprodajnoj razini za usluge poput IPTV-a i </w:t>
      </w:r>
      <w:proofErr w:type="spellStart"/>
      <w:r w:rsidRPr="00812C3F">
        <w:rPr>
          <w:rFonts w:eastAsia="Times New Roman"/>
          <w:color w:val="000000"/>
        </w:rPr>
        <w:t>VoIP</w:t>
      </w:r>
      <w:proofErr w:type="spellEnd"/>
      <w:r w:rsidRPr="00812C3F">
        <w:rPr>
          <w:rFonts w:eastAsia="Times New Roman"/>
          <w:color w:val="000000"/>
        </w:rPr>
        <w:t xml:space="preserve">-a. S obzirom da se danas usluge širokopojasnog pristupa uglavnom koriste u paketima usluga koji se sastoje od usluge pristupa i IPTV usluge ili usluge pristupa i telefonske usluge, operatori korisnici ne bi bili u mogućnosti na temelju usluge </w:t>
      </w:r>
      <w:r>
        <w:rPr>
          <w:rFonts w:eastAsia="Times New Roman"/>
          <w:color w:val="000000"/>
        </w:rPr>
        <w:t xml:space="preserve">lokalnog </w:t>
      </w:r>
      <w:r w:rsidRPr="00812C3F">
        <w:rPr>
          <w:rFonts w:eastAsia="Times New Roman"/>
          <w:color w:val="000000"/>
        </w:rPr>
        <w:t>pristupa putem mreža pokretnih komunikacija na maloprodajnoj razini ponuditi odgovarajuće pakete usluga.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Slijedom svega navedenog, HAKOM smatra da gradnja vlastite infrastrukture ne predstavlja zamjensku uslugu usluzi </w:t>
      </w:r>
      <w:r>
        <w:rPr>
          <w:rFonts w:eastAsia="Times New Roman"/>
          <w:color w:val="000000"/>
        </w:rPr>
        <w:t>izdvojenog</w:t>
      </w:r>
      <w:r w:rsidRPr="00812C3F">
        <w:rPr>
          <w:rFonts w:eastAsia="Times New Roman"/>
          <w:color w:val="000000"/>
        </w:rPr>
        <w:t xml:space="preserve"> pristupa </w:t>
      </w:r>
      <w:r>
        <w:rPr>
          <w:rFonts w:eastAsia="Times New Roman"/>
          <w:color w:val="000000"/>
        </w:rPr>
        <w:t>lokalnoj petlji na temelju bakrene parice</w:t>
      </w:r>
      <w:r w:rsidRPr="00812C3F">
        <w:rPr>
          <w:rFonts w:eastAsia="Times New Roman"/>
          <w:color w:val="000000"/>
        </w:rPr>
        <w:t xml:space="preserve">.  </w:t>
      </w:r>
    </w:p>
    <w:p w:rsidR="00D7024A" w:rsidRPr="00812C3F" w:rsidRDefault="00D7024A" w:rsidP="00D7024A">
      <w:pPr>
        <w:jc w:val="both"/>
        <w:rPr>
          <w:rFonts w:eastAsia="Times New Roman"/>
          <w:color w:val="000000"/>
        </w:rPr>
      </w:pPr>
    </w:p>
    <w:p w:rsidR="00D7024A" w:rsidRPr="00B34167" w:rsidRDefault="00D7024A" w:rsidP="000D6385">
      <w:pPr>
        <w:jc w:val="both"/>
        <w:rPr>
          <w:rFonts w:ascii="Segoe UI Semibold" w:hAnsi="Segoe UI Semibold" w:cs="Segoe UI Semibold"/>
          <w:color w:val="1F3864" w:themeColor="accent1" w:themeShade="80"/>
        </w:rPr>
      </w:pPr>
      <w:bookmarkStart w:id="142" w:name="_Toc124462544"/>
      <w:bookmarkStart w:id="143" w:name="_Toc124514438"/>
      <w:r w:rsidRPr="00B34167">
        <w:rPr>
          <w:rFonts w:ascii="Segoe UI Semibold" w:hAnsi="Segoe UI Semibold" w:cs="Segoe UI Semibold"/>
          <w:color w:val="1F3864" w:themeColor="accent1" w:themeShade="80"/>
        </w:rPr>
        <w:t>Mogućnost korištenja drugih veleprodajnih usluga s istog mjerodavnog tržišta ili s povezanih veleprodajnih tržišta</w:t>
      </w:r>
      <w:bookmarkEnd w:id="142"/>
      <w:bookmarkEnd w:id="143"/>
    </w:p>
    <w:p w:rsidR="00D7024A" w:rsidRPr="000D6385" w:rsidRDefault="00D7024A" w:rsidP="00D7024A">
      <w:pPr>
        <w:jc w:val="both"/>
        <w:rPr>
          <w:rFonts w:ascii="Segoe UI Semibold" w:hAnsi="Segoe UI Semibold" w:cs="Segoe UI Semibold"/>
          <w:b/>
          <w:color w:val="1F3864" w:themeColor="accent1" w:themeShade="80"/>
        </w:rPr>
      </w:pPr>
    </w:p>
    <w:p w:rsidR="00D7024A" w:rsidRDefault="00D7024A" w:rsidP="00D7024A">
      <w:pPr>
        <w:jc w:val="both"/>
        <w:rPr>
          <w:rFonts w:eastAsia="Times New Roman"/>
          <w:color w:val="000000"/>
        </w:rPr>
      </w:pPr>
      <w:r w:rsidRPr="00812C3F">
        <w:rPr>
          <w:rFonts w:eastAsia="Times New Roman"/>
          <w:color w:val="000000"/>
        </w:rPr>
        <w:t xml:space="preserve">Uz </w:t>
      </w:r>
      <w:r>
        <w:rPr>
          <w:rFonts w:eastAsia="Times New Roman"/>
          <w:color w:val="000000"/>
        </w:rPr>
        <w:t>uslugu izdvojenog pristupa lokalnoj petlji  na temelju bakrene parice, HT je obvezan i pruža</w:t>
      </w:r>
      <w:r w:rsidRPr="00812C3F">
        <w:rPr>
          <w:rFonts w:eastAsia="Times New Roman"/>
          <w:color w:val="000000"/>
        </w:rPr>
        <w:t xml:space="preserve"> uslugu </w:t>
      </w:r>
      <w:r>
        <w:rPr>
          <w:rFonts w:eastAsia="Times New Roman"/>
          <w:color w:val="000000"/>
        </w:rPr>
        <w:t xml:space="preserve"> VULA za koju je HAKOM u prošloj analizi zaključio da je ta usluga identična usluzi bitstream pristupa na DSLAM razini koja je definirana u </w:t>
      </w:r>
      <w:r w:rsidRPr="00297DF1">
        <w:rPr>
          <w:rFonts w:eastAsia="Times New Roman"/>
          <w:color w:val="000000"/>
        </w:rPr>
        <w:t>Standardnoj ponudi Hrvatskog Telekoma d.d. za uslugu veleprodajnog širokopojasnog pristupa</w:t>
      </w:r>
      <w:r w:rsidRPr="00812C3F">
        <w:rPr>
          <w:rFonts w:eastAsia="Times New Roman"/>
          <w:color w:val="000000"/>
        </w:rPr>
        <w:t xml:space="preserve">. </w:t>
      </w:r>
      <w:r>
        <w:rPr>
          <w:rFonts w:eastAsia="Times New Roman"/>
          <w:color w:val="000000"/>
        </w:rPr>
        <w:t xml:space="preserve">Nadalje, </w:t>
      </w:r>
      <w:r w:rsidRPr="00812C3F">
        <w:rPr>
          <w:rFonts w:eastAsia="Times New Roman"/>
          <w:color w:val="000000"/>
        </w:rPr>
        <w:t xml:space="preserve">HAKOM </w:t>
      </w:r>
      <w:r>
        <w:rPr>
          <w:rFonts w:eastAsia="Times New Roman"/>
          <w:color w:val="000000"/>
        </w:rPr>
        <w:t xml:space="preserve">je i </w:t>
      </w:r>
      <w:r w:rsidRPr="00812C3F">
        <w:rPr>
          <w:rFonts w:eastAsia="Times New Roman"/>
          <w:color w:val="000000"/>
        </w:rPr>
        <w:t>u</w:t>
      </w:r>
      <w:r w:rsidR="007975C6">
        <w:rPr>
          <w:rFonts w:eastAsia="Times New Roman"/>
          <w:color w:val="000000"/>
        </w:rPr>
        <w:t xml:space="preserve"> poglavlju</w:t>
      </w:r>
      <w:r w:rsidRPr="00812C3F">
        <w:rPr>
          <w:rFonts w:eastAsia="Times New Roman"/>
          <w:color w:val="000000"/>
        </w:rPr>
        <w:t xml:space="preserve"> </w:t>
      </w:r>
      <w:r w:rsidR="007975C6">
        <w:rPr>
          <w:rFonts w:eastAsia="Times New Roman"/>
          <w:color w:val="000000"/>
        </w:rPr>
        <w:fldChar w:fldCharType="begin"/>
      </w:r>
      <w:r w:rsidR="007975C6">
        <w:rPr>
          <w:rFonts w:eastAsia="Times New Roman"/>
          <w:color w:val="000000"/>
        </w:rPr>
        <w:instrText xml:space="preserve"> REF _Ref125560193 \r \h </w:instrText>
      </w:r>
      <w:r w:rsidR="007975C6">
        <w:rPr>
          <w:rFonts w:eastAsia="Times New Roman"/>
          <w:color w:val="000000"/>
        </w:rPr>
      </w:r>
      <w:r w:rsidR="007975C6">
        <w:rPr>
          <w:rFonts w:eastAsia="Times New Roman"/>
          <w:color w:val="000000"/>
        </w:rPr>
        <w:fldChar w:fldCharType="separate"/>
      </w:r>
      <w:r w:rsidR="007975C6">
        <w:rPr>
          <w:rFonts w:eastAsia="Times New Roman"/>
          <w:color w:val="000000"/>
        </w:rPr>
        <w:t>3.3</w:t>
      </w:r>
      <w:r w:rsidR="007975C6">
        <w:rPr>
          <w:rFonts w:eastAsia="Times New Roman"/>
          <w:color w:val="000000"/>
        </w:rPr>
        <w:fldChar w:fldCharType="end"/>
      </w:r>
      <w:r w:rsidR="007975C6">
        <w:rPr>
          <w:rFonts w:eastAsia="Times New Roman"/>
          <w:color w:val="000000"/>
        </w:rPr>
        <w:t xml:space="preserve"> </w:t>
      </w:r>
      <w:r>
        <w:rPr>
          <w:rFonts w:eastAsia="Times New Roman"/>
          <w:color w:val="000000"/>
        </w:rPr>
        <w:t>ponovio</w:t>
      </w:r>
      <w:r w:rsidRPr="00812C3F">
        <w:rPr>
          <w:rFonts w:eastAsia="Times New Roman"/>
          <w:color w:val="000000"/>
        </w:rPr>
        <w:t xml:space="preserve"> da usluga VULA </w:t>
      </w:r>
      <w:r>
        <w:rPr>
          <w:rFonts w:eastAsia="Times New Roman"/>
          <w:color w:val="000000"/>
        </w:rPr>
        <w:t xml:space="preserve">odgovara usluzi </w:t>
      </w:r>
      <w:r w:rsidRPr="008E5E43">
        <w:rPr>
          <w:rFonts w:eastAsia="Times New Roman"/>
          <w:color w:val="000000"/>
        </w:rPr>
        <w:t xml:space="preserve">bitstream pristupa na DSLAM razini </w:t>
      </w:r>
      <w:r>
        <w:rPr>
          <w:rFonts w:eastAsia="Times New Roman"/>
          <w:color w:val="000000"/>
        </w:rPr>
        <w:t>te da će se razmatrati unutar ove analize veleprodajnog lokalnog pristupa koji se pruža na fiksnoj lokaciji</w:t>
      </w:r>
      <w:r w:rsidRPr="00812C3F">
        <w:rPr>
          <w:rFonts w:eastAsia="Times New Roman"/>
          <w:color w:val="000000"/>
        </w:rPr>
        <w:t xml:space="preserve">. </w:t>
      </w:r>
    </w:p>
    <w:p w:rsidR="00D7024A" w:rsidRDefault="00D7024A"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iCs/>
          <w:color w:val="000000"/>
        </w:rPr>
        <w:t>Usluga VULA</w:t>
      </w:r>
      <w:r w:rsidRPr="003C1DBA">
        <w:rPr>
          <w:rFonts w:eastAsia="Times New Roman"/>
          <w:iCs/>
          <w:color w:val="000000"/>
        </w:rPr>
        <w:t xml:space="preserve"> dizajnirana je s ciljem da se omogući veleprodajna usluga istih značajki kao što je izdvajanje lokalne petlje na novim mrežnim arhitekturama na kojima nije moguće izdvojiti lokalnu petlju primjenom fizičkog izdvajanja lokalne petlje. Za razliku od fizičkog izdvajanja lokalne petlje, virtualno izdvajanje lokalne petlje alternativnom operatoru ne omogućuje potpunu kontrolu nad lokalnom petljom, s obzirom da operator korisnik nema potpunu kontrolu nad mrežnom opremom koja je u vlasništvu veleprodajnog operatora, a na koju je spojen korisnik.</w:t>
      </w:r>
      <w:r w:rsidRPr="003C1DBA">
        <w:rPr>
          <w:rFonts w:eastAsia="Times New Roman"/>
          <w:color w:val="000000"/>
        </w:rPr>
        <w:t xml:space="preserve"> </w:t>
      </w:r>
    </w:p>
    <w:p w:rsidR="00D7024A" w:rsidRDefault="00D7024A" w:rsidP="00D7024A">
      <w:pPr>
        <w:jc w:val="both"/>
        <w:rPr>
          <w:rFonts w:eastAsia="Times New Roman"/>
          <w:iCs/>
          <w:color w:val="000000"/>
        </w:rPr>
      </w:pPr>
    </w:p>
    <w:p w:rsidR="00D7024A" w:rsidRPr="00812C3F" w:rsidRDefault="00D7024A" w:rsidP="00D7024A">
      <w:pPr>
        <w:jc w:val="both"/>
        <w:rPr>
          <w:rFonts w:eastAsia="Times New Roman"/>
          <w:color w:val="000000"/>
        </w:rPr>
      </w:pPr>
      <w:r w:rsidRPr="003C1DBA">
        <w:rPr>
          <w:rFonts w:eastAsia="Times New Roman"/>
          <w:iCs/>
          <w:color w:val="000000"/>
        </w:rPr>
        <w:t xml:space="preserve">U tehničkom smislu to znači da se toj usluzi pristupa lokalno, da se operatoru korisniku pruža prijenosni puni zajamčeni kapacitet koji ne ovisi o usluzi koja se pruža i koja operatorima korisnicima pruža dovoljnu kontrolu nad prijenosnom mrežom kako bi se omogućila diferencijacija proizvoda i inovacija koja je slična onoj kod LLU usluge. </w:t>
      </w:r>
    </w:p>
    <w:p w:rsidR="00D7024A" w:rsidRDefault="00D7024A"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color w:val="000000"/>
        </w:rPr>
        <w:t xml:space="preserve">U slučaju hipotetskog povećanja cijene usluge izdvojenog pristupa lokalnoj petlji na temelju bakrene parice, operatori korisnici usluge izdvojenog pristupa lokalnoj petlji na temelju bakrene parice mogu uz relativno male troškove brzo prijeći na korištenje usluge VULA, odnosno usluge bitstream na DSLAM razini, kao zamjenske usluge. Naime, usluga bitstream pristupa na DSLAM razini se pruža na istoj lokaciji na kojoj se pruža i usluga izdvojenog pristupa lokalnoj petlji  te operator korisnik koji već koristi uslugu izdvojenog pristupa lokalnoj petlji na temelju bakrene parice nema troškova pristupa toj lokaciji. Isto tako, operator korisnik bi mogao dohvatiti jednaki broj korisnika kao i kod korištenja LLU usluge. </w:t>
      </w:r>
    </w:p>
    <w:p w:rsidR="00D7024A" w:rsidRDefault="00D7024A" w:rsidP="00D7024A">
      <w:pPr>
        <w:jc w:val="both"/>
        <w:rPr>
          <w:rFonts w:eastAsia="Times New Roman"/>
          <w:color w:val="000000"/>
        </w:rPr>
      </w:pPr>
      <w:r>
        <w:rPr>
          <w:rFonts w:eastAsia="Times New Roman"/>
          <w:color w:val="000000"/>
        </w:rPr>
        <w:t>Zaključno, uzimajući u obzir gore navedene činjenice, HAKOM je mišljenja da bi u slučaju hipotetskog povećanja cijene LLU usluge, operator korisnik koristio uslugu VULA, odnosno uslugu bitstream pristupa na DSLAM razini koja se zbog toga može smatrati zamjenskom uslugom LLU usluzi.</w:t>
      </w:r>
    </w:p>
    <w:p w:rsidR="000D6385" w:rsidRDefault="000D6385" w:rsidP="00D7024A">
      <w:pPr>
        <w:jc w:val="both"/>
        <w:rPr>
          <w:rFonts w:eastAsia="Times New Roman"/>
          <w:color w:val="000000"/>
        </w:rPr>
      </w:pPr>
    </w:p>
    <w:p w:rsidR="00B34167" w:rsidRDefault="00B34167" w:rsidP="00D7024A">
      <w:pPr>
        <w:jc w:val="both"/>
        <w:rPr>
          <w:rFonts w:eastAsia="Times New Roman"/>
          <w:color w:val="000000"/>
        </w:rPr>
      </w:pPr>
    </w:p>
    <w:p w:rsidR="00B34167" w:rsidRDefault="00B34167" w:rsidP="00D7024A">
      <w:pPr>
        <w:jc w:val="both"/>
        <w:rPr>
          <w:rFonts w:eastAsia="Times New Roman"/>
          <w:color w:val="000000"/>
        </w:rPr>
      </w:pPr>
    </w:p>
    <w:p w:rsidR="00B34167" w:rsidRPr="00812C3F" w:rsidRDefault="00B34167" w:rsidP="00D7024A">
      <w:pPr>
        <w:jc w:val="both"/>
        <w:rPr>
          <w:rFonts w:eastAsia="Times New Roman"/>
          <w:color w:val="000000"/>
        </w:rPr>
      </w:pPr>
    </w:p>
    <w:p w:rsidR="00D7024A" w:rsidRPr="00B34167" w:rsidRDefault="00D7024A" w:rsidP="000D6385">
      <w:pPr>
        <w:jc w:val="both"/>
        <w:rPr>
          <w:rFonts w:ascii="Segoe UI Semibold" w:hAnsi="Segoe UI Semibold" w:cs="Segoe UI Semibold"/>
          <w:color w:val="1F3864" w:themeColor="accent1" w:themeShade="80"/>
        </w:rPr>
      </w:pPr>
      <w:bookmarkStart w:id="144" w:name="_Toc124462545"/>
      <w:bookmarkStart w:id="145" w:name="_Toc124514439"/>
      <w:r w:rsidRPr="00B34167">
        <w:rPr>
          <w:rFonts w:ascii="Segoe UI Semibold" w:hAnsi="Segoe UI Semibold" w:cs="Segoe UI Semibold"/>
          <w:color w:val="1F3864" w:themeColor="accent1" w:themeShade="80"/>
        </w:rPr>
        <w:t xml:space="preserve">Usluga širokopojasnog pristupa za vlastite potrebe </w:t>
      </w:r>
      <w:bookmarkEnd w:id="144"/>
      <w:bookmarkEnd w:id="145"/>
    </w:p>
    <w:p w:rsidR="00D7024A" w:rsidRPr="000D6385" w:rsidRDefault="00D7024A" w:rsidP="00D7024A">
      <w:pPr>
        <w:jc w:val="both"/>
        <w:rPr>
          <w:rFonts w:ascii="Segoe UI Semibold" w:hAnsi="Segoe UI Semibold" w:cs="Segoe UI Semibold"/>
          <w:b/>
          <w:color w:val="1F3864" w:themeColor="accent1" w:themeShade="80"/>
        </w:rPr>
      </w:pPr>
    </w:p>
    <w:p w:rsidR="00D7024A" w:rsidRPr="00812C3F" w:rsidRDefault="00D7024A" w:rsidP="00D7024A">
      <w:pPr>
        <w:jc w:val="both"/>
        <w:rPr>
          <w:rFonts w:eastAsia="Times New Roman"/>
          <w:color w:val="000000"/>
        </w:rPr>
      </w:pPr>
      <w:r w:rsidRPr="00812C3F">
        <w:rPr>
          <w:rFonts w:eastAsia="Times New Roman"/>
          <w:color w:val="000000"/>
        </w:rPr>
        <w:t>Uzevši u obzir da potražnja na maloprodajnoj razini ovog tržišta proizlazi iz potražnje za uslugom širokopojasnog pristupa koja se ostvaruje putem bakrene parice, putem mreža pokretnih komunikacija na fiksnoj lokaciji, putem hibridnog širokopojasnog pristupa te nepokretnog bežičnog pristupa, HAKOM u ovom poglavlju nastoji utvrditi postoji</w:t>
      </w:r>
      <w:r>
        <w:rPr>
          <w:rFonts w:eastAsia="Times New Roman"/>
          <w:color w:val="000000"/>
        </w:rPr>
        <w:t xml:space="preserve"> </w:t>
      </w:r>
      <w:r w:rsidRPr="00812C3F">
        <w:rPr>
          <w:rFonts w:eastAsia="Times New Roman"/>
          <w:color w:val="000000"/>
        </w:rPr>
        <w:t xml:space="preserve">li na maloprodajnoj razini dovoljan konkurentski pritisak od strane operatora koji navedene usluge pružaju putem vlastite pristupne infrastrukture, odnosno za vlastite potrebe, na način da mogu utjecati na određivanje cijene </w:t>
      </w:r>
      <w:r>
        <w:rPr>
          <w:rFonts w:eastAsia="Times New Roman"/>
          <w:color w:val="000000"/>
        </w:rPr>
        <w:t xml:space="preserve">usluge izdvojenog </w:t>
      </w:r>
      <w:r w:rsidRPr="00812C3F">
        <w:rPr>
          <w:rFonts w:eastAsia="Times New Roman"/>
          <w:color w:val="000000"/>
        </w:rPr>
        <w:t xml:space="preserve">pristupa </w:t>
      </w:r>
      <w:r>
        <w:rPr>
          <w:rFonts w:eastAsia="Times New Roman"/>
          <w:color w:val="000000"/>
        </w:rPr>
        <w:t xml:space="preserve">lokalnoj petlji temeljem </w:t>
      </w:r>
      <w:r w:rsidRPr="00812C3F">
        <w:rPr>
          <w:rFonts w:eastAsia="Times New Roman"/>
          <w:color w:val="000000"/>
        </w:rPr>
        <w:t>bakrene parice. U slučaju značajnog konkurentskog pritiska na maloprodajnoj razini, potrebno je u dimenziju usluga mjerodavnog tržišta, uključiti i uslugu širokopojasnog pristupa koju operatori pružaju za vlastite potrebe.</w:t>
      </w:r>
    </w:p>
    <w:p w:rsidR="00D7024A" w:rsidRPr="00812C3F" w:rsidRDefault="00D7024A" w:rsidP="00D7024A">
      <w:pPr>
        <w:jc w:val="both"/>
        <w:rPr>
          <w:rFonts w:eastAsia="Times New Roman"/>
          <w:color w:val="000000"/>
        </w:rPr>
      </w:pPr>
    </w:p>
    <w:p w:rsidR="00D7024A" w:rsidRPr="00B34167" w:rsidRDefault="00D7024A" w:rsidP="000D6385">
      <w:pPr>
        <w:jc w:val="both"/>
        <w:rPr>
          <w:rFonts w:ascii="Segoe UI Semibold" w:hAnsi="Segoe UI Semibold" w:cs="Segoe UI Semibold"/>
          <w:color w:val="1F3864" w:themeColor="accent1" w:themeShade="80"/>
        </w:rPr>
      </w:pPr>
      <w:bookmarkStart w:id="146" w:name="_Toc124462546"/>
      <w:bookmarkStart w:id="147" w:name="_Toc124514440"/>
      <w:r w:rsidRPr="00B34167">
        <w:rPr>
          <w:rFonts w:ascii="Segoe UI Semibold" w:hAnsi="Segoe UI Semibold" w:cs="Segoe UI Semibold"/>
          <w:color w:val="1F3864" w:themeColor="accent1" w:themeShade="80"/>
        </w:rPr>
        <w:t>Usluga širokopojasnog pristupa u nepokretnim mrežama za vla</w:t>
      </w:r>
      <w:r w:rsidR="004A7E45" w:rsidRPr="00B34167">
        <w:rPr>
          <w:rFonts w:ascii="Segoe UI Semibold" w:hAnsi="Segoe UI Semibold" w:cs="Segoe UI Semibold"/>
          <w:color w:val="1F3864" w:themeColor="accent1" w:themeShade="80"/>
        </w:rPr>
        <w:t xml:space="preserve">stite </w:t>
      </w:r>
      <w:r w:rsidRPr="00B34167">
        <w:rPr>
          <w:rFonts w:ascii="Segoe UI Semibold" w:hAnsi="Segoe UI Semibold" w:cs="Segoe UI Semibold"/>
          <w:color w:val="1F3864" w:themeColor="accent1" w:themeShade="80"/>
        </w:rPr>
        <w:t>potrebe</w:t>
      </w:r>
      <w:bookmarkEnd w:id="146"/>
      <w:bookmarkEnd w:id="147"/>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Usluge na maloprodajnoj razini ovog tržišta, s najvećim udjelom širokopojasnih priključaka u nepokretnoj mreži pružaju operatori HT, A1, Iskon i </w:t>
      </w:r>
      <w:proofErr w:type="spellStart"/>
      <w:r w:rsidRPr="00812C3F">
        <w:rPr>
          <w:rFonts w:eastAsia="Times New Roman"/>
          <w:color w:val="000000"/>
        </w:rPr>
        <w:t>Telemach</w:t>
      </w:r>
      <w:proofErr w:type="spellEnd"/>
      <w:r w:rsidRPr="00812C3F">
        <w:rPr>
          <w:rFonts w:eastAsia="Times New Roman"/>
          <w:color w:val="000000"/>
        </w:rPr>
        <w:t xml:space="preserve"> (ukupno 96,70 % priključaka), dok je udio širokopojasnih priključaka ostalih operatora relativno mali i iznosi 3,30 %.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Pritom, uslugu širokopojasnog pristupa malog kapaciteta HT pruža putem vlastite nepokretne mreže, a Iskon, Optima i A1 na temelju veleprodajnih usluga HT-a (LLU ili bitstream putem bakrene parice). Udio korisnika kojima A1, kao najveći alternativni operator u RH, pruža usluge na maloprodajnom segmentu ovog tržišta putem vlastite infrastrukture je zanemariv i to iz razloga što se infrastruktura A1, ograničenog pokrivanja, temelji na infrastrukturama primarno namijenjenima za pružanje najnaprednijih usluga širokopojasnog pristupa koje čine sastavni dio tržišta velikog kapaciteta. </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 xml:space="preserve">U situaciji u kojoj bi bivši monopolist u odsustvu regulacije podigao cijenu usluge </w:t>
      </w:r>
      <w:r>
        <w:rPr>
          <w:rFonts w:eastAsia="Times New Roman"/>
          <w:color w:val="000000"/>
        </w:rPr>
        <w:t xml:space="preserve">izdvojenog pristupa lokalnoj petlji temeljem </w:t>
      </w:r>
      <w:r w:rsidRPr="00812C3F">
        <w:rPr>
          <w:rFonts w:eastAsia="Times New Roman"/>
          <w:color w:val="000000"/>
        </w:rPr>
        <w:t>bakrene parice, operatori ne bi mogli prijeći na uslugu nekog drugog operatora nepokretne mreže iz razloga što takv</w:t>
      </w:r>
      <w:r>
        <w:rPr>
          <w:rFonts w:eastAsia="Times New Roman"/>
          <w:color w:val="000000"/>
        </w:rPr>
        <w:t>e</w:t>
      </w:r>
      <w:r w:rsidRPr="00812C3F">
        <w:rPr>
          <w:rFonts w:eastAsia="Times New Roman"/>
          <w:color w:val="000000"/>
        </w:rPr>
        <w:t xml:space="preserve"> uslu</w:t>
      </w:r>
      <w:r>
        <w:rPr>
          <w:rFonts w:eastAsia="Times New Roman"/>
          <w:color w:val="000000"/>
        </w:rPr>
        <w:t>ge</w:t>
      </w:r>
      <w:r w:rsidRPr="00812C3F">
        <w:rPr>
          <w:rFonts w:eastAsia="Times New Roman"/>
          <w:color w:val="000000"/>
        </w:rPr>
        <w:t xml:space="preserve"> u nepokretnoj mreži ne postoj</w:t>
      </w:r>
      <w:r>
        <w:rPr>
          <w:rFonts w:eastAsia="Times New Roman"/>
          <w:color w:val="000000"/>
        </w:rPr>
        <w:t>e</w:t>
      </w:r>
      <w:r w:rsidRPr="00812C3F">
        <w:rPr>
          <w:rFonts w:eastAsia="Times New Roman"/>
          <w:color w:val="000000"/>
        </w:rPr>
        <w:t>.</w:t>
      </w:r>
      <w:r>
        <w:rPr>
          <w:rFonts w:eastAsia="Times New Roman"/>
          <w:color w:val="000000"/>
        </w:rPr>
        <w:t xml:space="preserve"> </w:t>
      </w:r>
    </w:p>
    <w:p w:rsidR="00D7024A"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 takvoj situaciji, operatori radi zadržavanja krajnjih korisnika </w:t>
      </w:r>
      <w:r>
        <w:rPr>
          <w:rFonts w:eastAsia="Times New Roman"/>
          <w:color w:val="000000"/>
        </w:rPr>
        <w:t xml:space="preserve">najvjerojatnije </w:t>
      </w:r>
      <w:r w:rsidRPr="00812C3F">
        <w:rPr>
          <w:rFonts w:eastAsia="Times New Roman"/>
          <w:color w:val="000000"/>
        </w:rPr>
        <w:t>ne bi povećanje veleprodajnih cijena prenijeli na maloprodajne cijene usluga</w:t>
      </w:r>
      <w:r>
        <w:rPr>
          <w:rFonts w:eastAsia="Times New Roman"/>
          <w:color w:val="000000"/>
        </w:rPr>
        <w:t>. Stoga</w:t>
      </w:r>
      <w:r w:rsidRPr="00812C3F">
        <w:rPr>
          <w:rFonts w:eastAsia="Times New Roman"/>
          <w:color w:val="000000"/>
        </w:rPr>
        <w:t xml:space="preserve"> HAKOM smatra kako operatori koji pružaju uslugu širokopojasnog pristupa u nepokretnoj mreži za vlastite potrebe, ne mogu konkurentskim pritiskom na maloprodajnoj razini utjecati na određivanje cijene usluge </w:t>
      </w:r>
      <w:r>
        <w:rPr>
          <w:rFonts w:eastAsia="Times New Roman"/>
          <w:color w:val="000000"/>
        </w:rPr>
        <w:t>pristupa izdvojenoj lokalnoj petlji na temelju</w:t>
      </w:r>
      <w:r w:rsidRPr="00812C3F">
        <w:rPr>
          <w:rFonts w:eastAsia="Times New Roman"/>
          <w:color w:val="000000"/>
        </w:rPr>
        <w:t xml:space="preserve"> bakrene parice. Isto tako, HAKOM smatra da u slučaju da operator i prenese navedeni porast cijene na krajnjeg korisnika, krajnji korisnici operatora koji koristi uslugu </w:t>
      </w:r>
      <w:r>
        <w:rPr>
          <w:rFonts w:eastAsia="Times New Roman"/>
          <w:color w:val="000000"/>
        </w:rPr>
        <w:t>izdvojenog</w:t>
      </w:r>
      <w:r w:rsidRPr="00812C3F">
        <w:rPr>
          <w:rFonts w:eastAsia="Times New Roman"/>
          <w:color w:val="000000"/>
        </w:rPr>
        <w:t xml:space="preserve"> pristupa</w:t>
      </w:r>
      <w:r>
        <w:rPr>
          <w:rFonts w:eastAsia="Times New Roman"/>
          <w:color w:val="000000"/>
        </w:rPr>
        <w:t xml:space="preserve"> lokalnoj petlji na temelju bakrene parice</w:t>
      </w:r>
      <w:r w:rsidRPr="00812C3F">
        <w:rPr>
          <w:rFonts w:eastAsia="Times New Roman"/>
          <w:color w:val="000000"/>
        </w:rPr>
        <w:t xml:space="preserve">, većinom će zamijeniti uslugu tog operatora onom koju nudi HT zbog šire rasprostranjenosti navedene usluge od one koje nude ostali operatori putem vlastite pristupne infrastrukture. </w:t>
      </w:r>
      <w:r w:rsidRPr="005E48E5">
        <w:rPr>
          <w:rFonts w:eastAsia="Times New Roman"/>
          <w:color w:val="000000"/>
        </w:rPr>
        <w:t>HAKOM pri tom naglašava da usluge alternativnih operatora koje se putem vlastitih VHCN mreža pružaju na tržištu velikog kapaciteta</w:t>
      </w:r>
      <w:r>
        <w:rPr>
          <w:rFonts w:eastAsia="Times New Roman"/>
          <w:color w:val="000000"/>
        </w:rPr>
        <w:t xml:space="preserve"> rade određeni konkurentski pritisak na uslugu izdvojenog pristupa lokalnoj petlji na temelju bakrene parice, međutim iz razloga koji su opisani u </w:t>
      </w:r>
      <w:r w:rsidRPr="005517E7">
        <w:rPr>
          <w:rFonts w:eastAsia="Times New Roman"/>
          <w:color w:val="1F3864" w:themeColor="accent1" w:themeShade="80"/>
        </w:rPr>
        <w:t xml:space="preserve">poglavlju </w:t>
      </w:r>
      <w:r w:rsidR="00161247" w:rsidRPr="005517E7">
        <w:rPr>
          <w:rFonts w:eastAsia="Times New Roman"/>
          <w:color w:val="1F3864" w:themeColor="accent1" w:themeShade="80"/>
        </w:rPr>
        <w:fldChar w:fldCharType="begin"/>
      </w:r>
      <w:r w:rsidR="00161247" w:rsidRPr="005517E7">
        <w:rPr>
          <w:rFonts w:eastAsia="Times New Roman"/>
          <w:color w:val="1F3864" w:themeColor="accent1" w:themeShade="80"/>
        </w:rPr>
        <w:instrText xml:space="preserve"> REF _Ref125565402 \r \h </w:instrText>
      </w:r>
      <w:r w:rsidR="005517E7">
        <w:rPr>
          <w:rFonts w:eastAsia="Times New Roman"/>
          <w:color w:val="1F3864" w:themeColor="accent1" w:themeShade="80"/>
        </w:rPr>
        <w:instrText xml:space="preserve"> \* MERGEFORMAT </w:instrText>
      </w:r>
      <w:r w:rsidR="00161247" w:rsidRPr="005517E7">
        <w:rPr>
          <w:rFonts w:eastAsia="Times New Roman"/>
          <w:color w:val="1F3864" w:themeColor="accent1" w:themeShade="80"/>
        </w:rPr>
      </w:r>
      <w:r w:rsidR="00161247" w:rsidRPr="005517E7">
        <w:rPr>
          <w:rFonts w:eastAsia="Times New Roman"/>
          <w:color w:val="1F3864" w:themeColor="accent1" w:themeShade="80"/>
        </w:rPr>
        <w:fldChar w:fldCharType="separate"/>
      </w:r>
      <w:r w:rsidR="00161247" w:rsidRPr="005517E7">
        <w:rPr>
          <w:rFonts w:eastAsia="Times New Roman"/>
          <w:color w:val="1F3864" w:themeColor="accent1" w:themeShade="80"/>
        </w:rPr>
        <w:t>3.1</w:t>
      </w:r>
      <w:r w:rsidR="00161247" w:rsidRPr="005517E7">
        <w:rPr>
          <w:rFonts w:eastAsia="Times New Roman"/>
          <w:color w:val="1F3864" w:themeColor="accent1" w:themeShade="80"/>
        </w:rPr>
        <w:fldChar w:fldCharType="end"/>
      </w:r>
      <w:r w:rsidRPr="005517E7">
        <w:rPr>
          <w:rFonts w:eastAsia="Times New Roman"/>
          <w:color w:val="000000"/>
        </w:rPr>
        <w:t xml:space="preserve"> određeni</w:t>
      </w:r>
      <w:r>
        <w:rPr>
          <w:rFonts w:eastAsia="Times New Roman"/>
          <w:color w:val="000000"/>
        </w:rPr>
        <w:t xml:space="preserve"> broj korisnika usluga na bakrenoj mreži iz različitih razloga ne žele se priključiti na nove VHCN mreže te su te usluge svrstane u zasebno tržište velikog kapaciteta.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Slijedom navedenog, HAKOM smatra da, u razdoblju na koje se odnosi ova analiza, usluga širokopojasnog pristupa malog kapaciteta u nepokretnoj mreži koju drugi operatori pružaju za vlastite potrebe ne ulazi u dimenziju usluga mjerodavnog tržišta.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druge strane, a zbog rasprostranjenosti nepokretne mreže HT-a, potrebno je razmotriti utjecaj usluge širokopojasnog pristupa koju HT pruža za vlastite potrebe. </w:t>
      </w:r>
      <w:r w:rsidRPr="005E48E5">
        <w:rPr>
          <w:rFonts w:eastAsia="Times New Roman"/>
          <w:color w:val="000000"/>
        </w:rPr>
        <w:t>S obzirom da svim krajnjim korisnicima operatora koji koristi uslugu</w:t>
      </w:r>
      <w:r w:rsidRPr="005E48E5">
        <w:rPr>
          <w:rFonts w:eastAsia="Times New Roman"/>
          <w:i/>
          <w:color w:val="000000"/>
        </w:rPr>
        <w:t xml:space="preserve"> </w:t>
      </w:r>
      <w:r w:rsidRPr="005E48E5">
        <w:rPr>
          <w:rFonts w:eastAsia="Times New Roman"/>
          <w:color w:val="000000"/>
        </w:rPr>
        <w:t>izdvojenog pristupa lokalnoj petlji, može, bez znatnih dodatnih troškova, uslugu širokopojasnog pristupa internetu pružiti i HT, HAKOM smatra da, u slučaju da operator koji koristi uslugu</w:t>
      </w:r>
      <w:r w:rsidRPr="005E48E5">
        <w:rPr>
          <w:rFonts w:eastAsia="Times New Roman"/>
          <w:i/>
          <w:color w:val="000000"/>
        </w:rPr>
        <w:t xml:space="preserve"> </w:t>
      </w:r>
      <w:r w:rsidRPr="005E48E5">
        <w:rPr>
          <w:rFonts w:eastAsia="Times New Roman"/>
          <w:color w:val="000000"/>
        </w:rPr>
        <w:t>izdvojenog pristupa lokalnoj petlji i prenese hipotetski porast cijene predmetne usluge na krajnjeg korisnika, njegovi krajnji korisnici će većinom zamijeniti uslugu onom koju nudi HT</w:t>
      </w:r>
      <w:r w:rsidRPr="00812C3F">
        <w:rPr>
          <w:rFonts w:eastAsia="Times New Roman"/>
          <w:color w:val="000000"/>
        </w:rPr>
        <w:t xml:space="preserve">. Iz tog je razloga </w:t>
      </w:r>
      <w:r>
        <w:rPr>
          <w:rFonts w:eastAsia="Times New Roman"/>
          <w:color w:val="000000"/>
        </w:rPr>
        <w:t>uslugu veleprodajnog lokalnog pristupa temeljem</w:t>
      </w:r>
      <w:r w:rsidRPr="00812C3F">
        <w:rPr>
          <w:rFonts w:eastAsia="Times New Roman"/>
          <w:color w:val="000000"/>
        </w:rPr>
        <w:t xml:space="preserve"> bakrene parice koji HT pruža za vlastite potrebe potrebno uključiti u dimenziju ovog mjerodavnog tržišta.</w:t>
      </w:r>
    </w:p>
    <w:p w:rsidR="00D7024A" w:rsidRPr="00BD542F" w:rsidRDefault="00D7024A" w:rsidP="00D7024A">
      <w:pPr>
        <w:jc w:val="both"/>
        <w:rPr>
          <w:rFonts w:ascii="Segoe UI Semibold" w:hAnsi="Segoe UI Semibold" w:cs="Segoe UI Semibold"/>
          <w:b/>
          <w:color w:val="1F3864" w:themeColor="accent1" w:themeShade="80"/>
        </w:rPr>
      </w:pPr>
    </w:p>
    <w:p w:rsidR="00D7024A" w:rsidRPr="00B34167" w:rsidRDefault="00D7024A" w:rsidP="000D6385">
      <w:pPr>
        <w:jc w:val="both"/>
        <w:rPr>
          <w:rFonts w:ascii="Segoe UI Semibold" w:hAnsi="Segoe UI Semibold" w:cs="Segoe UI Semibold"/>
          <w:color w:val="1F3864" w:themeColor="accent1" w:themeShade="80"/>
        </w:rPr>
      </w:pPr>
      <w:bookmarkStart w:id="148" w:name="_Toc124462547"/>
      <w:bookmarkStart w:id="149" w:name="_Toc124514441"/>
      <w:r w:rsidRPr="00B34167">
        <w:rPr>
          <w:rFonts w:ascii="Segoe UI Semibold" w:hAnsi="Segoe UI Semibold" w:cs="Segoe UI Semibold"/>
          <w:color w:val="1F3864" w:themeColor="accent1" w:themeShade="80"/>
        </w:rPr>
        <w:t>Usluga širokopojasnog pristupa na fiksnoj lokaciji putem mreža pokretnih komunikacija za vlastite potrebe</w:t>
      </w:r>
      <w:bookmarkEnd w:id="148"/>
      <w:bookmarkEnd w:id="149"/>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Operatori HT, A1 i </w:t>
      </w:r>
      <w:proofErr w:type="spellStart"/>
      <w:r w:rsidRPr="00812C3F">
        <w:rPr>
          <w:rFonts w:eastAsia="Times New Roman"/>
          <w:color w:val="000000"/>
        </w:rPr>
        <w:t>Telemach</w:t>
      </w:r>
      <w:proofErr w:type="spellEnd"/>
      <w:r w:rsidRPr="00812C3F">
        <w:rPr>
          <w:rFonts w:eastAsia="Times New Roman"/>
          <w:color w:val="000000"/>
        </w:rPr>
        <w:t xml:space="preserve"> na temelju vlastite infrastrukture pružaju krajnjim korisnicima uslugu širokopojasnog pristupa malog kapaciteta na fiksnoj lokaciji putem mreže pokretnih komunikacija.</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 xml:space="preserve">HAKOM je analizirao utjecaj usluge širokopojasnog pristupa malog kapaciteta koju HT, A1 i </w:t>
      </w:r>
      <w:proofErr w:type="spellStart"/>
      <w:r w:rsidRPr="00812C3F">
        <w:rPr>
          <w:rFonts w:eastAsia="Times New Roman"/>
          <w:color w:val="000000"/>
        </w:rPr>
        <w:t>Telemach</w:t>
      </w:r>
      <w:proofErr w:type="spellEnd"/>
      <w:r w:rsidRPr="00812C3F">
        <w:rPr>
          <w:rFonts w:eastAsia="Times New Roman"/>
          <w:color w:val="000000"/>
        </w:rPr>
        <w:t xml:space="preserve"> pružaju putem vlastite mreže pokretnih komunikacija na fiksnoj lokaciji na cijenu usluge </w:t>
      </w:r>
      <w:r>
        <w:rPr>
          <w:rFonts w:eastAsia="Times New Roman"/>
          <w:color w:val="000000"/>
        </w:rPr>
        <w:t xml:space="preserve">pristupa izdvojenoj lokalnoj petlji na temelju </w:t>
      </w:r>
      <w:r w:rsidRPr="00812C3F">
        <w:rPr>
          <w:rFonts w:eastAsia="Times New Roman"/>
          <w:color w:val="000000"/>
        </w:rPr>
        <w:t xml:space="preserve">bakrene parice te zaključio sljedeće. </w:t>
      </w:r>
    </w:p>
    <w:p w:rsidR="00D7024A" w:rsidRPr="00812C3F" w:rsidRDefault="00D7024A" w:rsidP="00D7024A">
      <w:pPr>
        <w:jc w:val="both"/>
        <w:rPr>
          <w:rFonts w:eastAsia="Times New Roman"/>
          <w:color w:val="000000"/>
        </w:rPr>
      </w:pPr>
      <w:r>
        <w:rPr>
          <w:rFonts w:eastAsia="Times New Roman"/>
          <w:color w:val="000000"/>
        </w:rPr>
        <w:t>Iako</w:t>
      </w:r>
      <w:r w:rsidRPr="00812C3F">
        <w:rPr>
          <w:rFonts w:eastAsia="Times New Roman"/>
          <w:color w:val="000000"/>
        </w:rPr>
        <w:t xml:space="preserve"> je iz perspektive krajnjih korisnika riječ o zamjenskim uslugama te da sva tri operatora ostvaruju nacionalnu pokrivenost mrežama pokretnih komunikacija, usluga širokopojasnog pristupa na fiksnoj lokaciji putem mreže pokretnih komunikacija koju ti operatori pružaju za vlastite potrebe na maloprodajnoj razini, </w:t>
      </w:r>
      <w:r>
        <w:rPr>
          <w:rFonts w:eastAsia="Times New Roman"/>
          <w:color w:val="000000"/>
        </w:rPr>
        <w:t>ne bi mogla</w:t>
      </w:r>
      <w:r w:rsidRPr="00812C3F">
        <w:rPr>
          <w:rFonts w:eastAsia="Times New Roman"/>
          <w:color w:val="000000"/>
        </w:rPr>
        <w:t xml:space="preserve"> stvoriti značajan konkurentski pritisak i tako utjecati na cijenu usluge </w:t>
      </w:r>
      <w:r>
        <w:rPr>
          <w:rFonts w:eastAsia="Times New Roman"/>
          <w:color w:val="000000"/>
        </w:rPr>
        <w:t>pristupa izdvojenoj lokalnoj petlji na temelju</w:t>
      </w:r>
      <w:r w:rsidRPr="00812C3F">
        <w:rPr>
          <w:rFonts w:eastAsia="Times New Roman"/>
          <w:color w:val="000000"/>
        </w:rPr>
        <w:t xml:space="preserve"> bakrene parice. Naime, ukoliko bi HT podigao cijenu usluge pristupa </w:t>
      </w:r>
      <w:r>
        <w:rPr>
          <w:rFonts w:eastAsia="Times New Roman"/>
          <w:color w:val="000000"/>
        </w:rPr>
        <w:t xml:space="preserve">izdvojenoj lokalnoj petlji na temelju </w:t>
      </w:r>
      <w:r w:rsidRPr="00812C3F">
        <w:rPr>
          <w:rFonts w:eastAsia="Times New Roman"/>
          <w:color w:val="000000"/>
        </w:rPr>
        <w:t xml:space="preserve">bakrene parice, </w:t>
      </w:r>
      <w:r>
        <w:rPr>
          <w:rFonts w:eastAsia="Times New Roman"/>
          <w:color w:val="000000"/>
        </w:rPr>
        <w:t xml:space="preserve">nije izgledno da bi zbog porasta trenda porasta prometa te ograničenja u kapacitetima mreža pokretnih komunikacija u tom smislu </w:t>
      </w:r>
      <w:r w:rsidRPr="00812C3F">
        <w:rPr>
          <w:rFonts w:eastAsia="Times New Roman"/>
          <w:color w:val="000000"/>
        </w:rPr>
        <w:t>operator</w:t>
      </w:r>
      <w:r>
        <w:rPr>
          <w:rFonts w:eastAsia="Times New Roman"/>
          <w:color w:val="000000"/>
        </w:rPr>
        <w:t xml:space="preserve">i mreža pokretnih komunikacija većem broju </w:t>
      </w:r>
      <w:r w:rsidRPr="00812C3F">
        <w:rPr>
          <w:rFonts w:eastAsia="Times New Roman"/>
          <w:color w:val="000000"/>
        </w:rPr>
        <w:t>krajnji</w:t>
      </w:r>
      <w:r>
        <w:rPr>
          <w:rFonts w:eastAsia="Times New Roman"/>
          <w:color w:val="000000"/>
        </w:rPr>
        <w:t>h</w:t>
      </w:r>
      <w:r w:rsidRPr="00812C3F">
        <w:rPr>
          <w:rFonts w:eastAsia="Times New Roman"/>
          <w:color w:val="000000"/>
        </w:rPr>
        <w:t xml:space="preserve"> korisni</w:t>
      </w:r>
      <w:r>
        <w:rPr>
          <w:rFonts w:eastAsia="Times New Roman"/>
          <w:color w:val="000000"/>
        </w:rPr>
        <w:t>ka</w:t>
      </w:r>
      <w:r w:rsidRPr="00812C3F">
        <w:rPr>
          <w:rFonts w:eastAsia="Times New Roman"/>
          <w:color w:val="000000"/>
        </w:rPr>
        <w:t xml:space="preserve"> koji su do tad širokopojasni pristup ostvarivali na temelju veleprodajne usluge HT-a, </w:t>
      </w:r>
      <w:r>
        <w:rPr>
          <w:rFonts w:eastAsia="Times New Roman"/>
          <w:color w:val="000000"/>
        </w:rPr>
        <w:t xml:space="preserve">bili u mogućnosti </w:t>
      </w:r>
      <w:r w:rsidRPr="00812C3F">
        <w:rPr>
          <w:rFonts w:eastAsia="Times New Roman"/>
          <w:color w:val="000000"/>
        </w:rPr>
        <w:t>ponuditi uslugu putem svojih mreža pokretnih komunikacija.</w:t>
      </w:r>
      <w:r>
        <w:rPr>
          <w:rFonts w:eastAsia="Times New Roman"/>
          <w:color w:val="000000"/>
        </w:rPr>
        <w:t xml:space="preserve"> Također, čak i kada ne bi bila prisutna rečena ograničenja u kapacitetima mreža pokretnih komunikacija, a koja su naročito izražena u urbanim područjima u kojima se inače i koristi usluga izdvojenog pristupa lokalnoj petlji na temelju bakrene parice, veliki broj krajnjih korisnika se usprkos povećanju cijene ne bi odlučio na prelazak na rješenja putem mreža pokretnih komunikacija zbog problema s garancijom kvalitete, nemogućnosti pružanja usluga poput IPTV usluge, ali i zbog problema s pokrivanjem signalom mreža pokretnih komunikacija u zatvorenim prostorima u </w:t>
      </w:r>
      <w:proofErr w:type="spellStart"/>
      <w:r>
        <w:rPr>
          <w:rFonts w:eastAsia="Times New Roman"/>
          <w:color w:val="000000"/>
        </w:rPr>
        <w:t>višestambenim</w:t>
      </w:r>
      <w:proofErr w:type="spellEnd"/>
      <w:r>
        <w:rPr>
          <w:rFonts w:eastAsia="Times New Roman"/>
          <w:color w:val="000000"/>
        </w:rPr>
        <w:t xml:space="preserve"> zgradama. Takav konkurentski pritisak je veći u ruralnim područjima gdje su ti problemi manje izraženi, međutim gdje se usluga izdvojenog pristupa lokalnoj petlji na temelju bakrene parice koristi u manjoj mjeri, odnosno gdje se uglavnom koristi usluga bitstream pristupa.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Slijedom navedenog, HAKOM smatra da, u razdoblju na koje se odnosi ova analiza, usluga širokopojasnog pristupa malog kapaciteta koji se pruža na fiksnoj lokaciji putem pokretne mreže koju operatori HT, A1 i </w:t>
      </w:r>
      <w:proofErr w:type="spellStart"/>
      <w:r w:rsidRPr="00812C3F">
        <w:rPr>
          <w:rFonts w:eastAsia="Times New Roman"/>
          <w:color w:val="000000"/>
        </w:rPr>
        <w:t>Telemach</w:t>
      </w:r>
      <w:proofErr w:type="spellEnd"/>
      <w:r w:rsidRPr="00812C3F">
        <w:rPr>
          <w:rFonts w:eastAsia="Times New Roman"/>
          <w:color w:val="000000"/>
        </w:rPr>
        <w:t xml:space="preserve"> pružaju za vlastite potrebe, </w:t>
      </w:r>
      <w:r>
        <w:rPr>
          <w:rFonts w:eastAsia="Times New Roman"/>
          <w:color w:val="000000"/>
        </w:rPr>
        <w:t xml:space="preserve">ne </w:t>
      </w:r>
      <w:r w:rsidRPr="00812C3F">
        <w:rPr>
          <w:rFonts w:eastAsia="Times New Roman"/>
          <w:color w:val="000000"/>
        </w:rPr>
        <w:t>ulazi u dimenziju usluga ovog mjerodavnog tržišta.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p>
    <w:p w:rsidR="00D7024A" w:rsidRPr="00B34167" w:rsidRDefault="00D7024A" w:rsidP="00BD542F">
      <w:pPr>
        <w:jc w:val="both"/>
        <w:rPr>
          <w:rFonts w:ascii="Segoe UI Semibold" w:hAnsi="Segoe UI Semibold" w:cs="Segoe UI Semibold"/>
          <w:color w:val="1F3864" w:themeColor="accent1" w:themeShade="80"/>
        </w:rPr>
      </w:pPr>
      <w:bookmarkStart w:id="150" w:name="_Toc124462548"/>
      <w:bookmarkStart w:id="151" w:name="_Toc124514442"/>
      <w:r w:rsidRPr="00B34167">
        <w:rPr>
          <w:rFonts w:ascii="Segoe UI Semibold" w:hAnsi="Segoe UI Semibold" w:cs="Segoe UI Semibold"/>
          <w:color w:val="1F3864" w:themeColor="accent1" w:themeShade="80"/>
        </w:rPr>
        <w:t>Usluga širokopojasnog pristupa putem bežičnih tehnologija u nepokretnoj mreži za vlastite potrebe</w:t>
      </w:r>
      <w:bookmarkEnd w:id="150"/>
      <w:bookmarkEnd w:id="151"/>
    </w:p>
    <w:p w:rsidR="00D7024A" w:rsidRPr="00812C3F" w:rsidRDefault="00D7024A" w:rsidP="00D7024A">
      <w:pPr>
        <w:jc w:val="both"/>
        <w:rPr>
          <w:rFonts w:eastAsia="Times New Roman"/>
          <w:color w:val="002060"/>
        </w:rPr>
      </w:pPr>
    </w:p>
    <w:p w:rsidR="00D7024A" w:rsidRDefault="00D7024A" w:rsidP="00D7024A">
      <w:pPr>
        <w:jc w:val="both"/>
        <w:rPr>
          <w:rFonts w:eastAsia="Times New Roman"/>
          <w:color w:val="000000"/>
        </w:rPr>
      </w:pPr>
      <w:r w:rsidRPr="00812C3F">
        <w:rPr>
          <w:rFonts w:eastAsia="Times New Roman"/>
          <w:color w:val="000000"/>
        </w:rPr>
        <w:t xml:space="preserve">Veleprodajna usluga širokopojasnog pristupa putem bežičnih tehnologija u nepokretnoj mreži trenutno nije dostupna. U odnosu na uslugu širokopojasnog pristupa putem bežičnih tehnologija koju operatori pružaju za vlastite potrebe, s obzirom da se radi o usluzi dostupnoj na vrlo ograničenom zemljopisnom području, HAKOM smatra kako ista nije u mogućnosti stvoriti dovoljan konkurentski pritisak na cijenu nacionalno dostupne usluge pristupa </w:t>
      </w:r>
      <w:r>
        <w:rPr>
          <w:rFonts w:eastAsia="Times New Roman"/>
          <w:color w:val="000000"/>
        </w:rPr>
        <w:t>izdvojenoj lokalnoj petlji temeljem</w:t>
      </w:r>
      <w:r w:rsidRPr="00812C3F">
        <w:rPr>
          <w:rFonts w:eastAsia="Times New Roman"/>
          <w:color w:val="000000"/>
        </w:rPr>
        <w:t xml:space="preserve"> bakrene parice. Iz tog razloga, usluga širokopojasnog pristupa putem bežičnih tehnologija u nepokretnoj mreži nije sastavni dio mjerodavnog tržišta malog kapaciteta.</w:t>
      </w:r>
    </w:p>
    <w:p w:rsidR="00D7024A" w:rsidRPr="00812C3F" w:rsidRDefault="00D7024A" w:rsidP="00D7024A">
      <w:pPr>
        <w:jc w:val="both"/>
        <w:rPr>
          <w:rFonts w:eastAsia="Times New Roman"/>
          <w:color w:val="000000"/>
        </w:rPr>
      </w:pPr>
    </w:p>
    <w:p w:rsidR="00D7024A" w:rsidRPr="00B34167" w:rsidRDefault="00D7024A" w:rsidP="00766501">
      <w:pPr>
        <w:pStyle w:val="ListParagraph"/>
        <w:numPr>
          <w:ilvl w:val="0"/>
          <w:numId w:val="60"/>
        </w:numPr>
        <w:jc w:val="both"/>
        <w:rPr>
          <w:rFonts w:ascii="Segoe UI Semibold" w:hAnsi="Segoe UI Semibold" w:cs="Segoe UI Semibold"/>
          <w:color w:val="1F3864" w:themeColor="accent1" w:themeShade="80"/>
        </w:rPr>
      </w:pPr>
      <w:bookmarkStart w:id="152" w:name="_Toc124462549"/>
      <w:bookmarkStart w:id="153" w:name="_Toc124514443"/>
      <w:r w:rsidRPr="00B34167">
        <w:rPr>
          <w:rFonts w:ascii="Segoe UI Semibold" w:hAnsi="Segoe UI Semibold" w:cs="Segoe UI Semibold"/>
          <w:color w:val="1F3864" w:themeColor="accent1" w:themeShade="80"/>
        </w:rPr>
        <w:t>Zamjenjivost na strani ponude</w:t>
      </w:r>
      <w:bookmarkEnd w:id="152"/>
      <w:bookmarkEnd w:id="153"/>
    </w:p>
    <w:p w:rsidR="00D7024A"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Zamjenjivost na strani ponude se očituje u mogućnosti da drugi operatori u slučaju hipotetskog povećanja cijena veleprodajne usluge pristupa </w:t>
      </w:r>
      <w:r>
        <w:rPr>
          <w:rFonts w:eastAsia="Times New Roman"/>
          <w:color w:val="000000"/>
        </w:rPr>
        <w:t xml:space="preserve">lokalnoj petlji na temelju </w:t>
      </w:r>
      <w:r w:rsidRPr="00812C3F">
        <w:rPr>
          <w:rFonts w:eastAsia="Times New Roman"/>
          <w:color w:val="000000"/>
        </w:rPr>
        <w:t xml:space="preserve">bakrene parice, ponude istovjetnu uslugu toj veleprodajnoj usluzi, bez da se izlažu znatnijim dodatnim troškovima.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obzirom da je postavljanje bakrene pristupne mreže potpuno neisplativo zbog sve veće potražnje za uslugama širokopojasnog pristupa kvalitete koja se ne može isporučiti putem bakrene mreže, niti jedan operator istu neće replicirati niti u slučaju hipotetskog povećanja cijene usluge pristupa </w:t>
      </w:r>
      <w:r>
        <w:rPr>
          <w:rFonts w:eastAsia="Times New Roman"/>
          <w:color w:val="000000"/>
        </w:rPr>
        <w:t>izdvojenoj lokalnoj petlji temeljem</w:t>
      </w:r>
      <w:r w:rsidRPr="00812C3F">
        <w:rPr>
          <w:rFonts w:eastAsia="Times New Roman"/>
          <w:color w:val="000000"/>
        </w:rPr>
        <w:t xml:space="preserve"> bakrene parice HT-a. VHCN mreže u koje su posljednjih godina usmjerena ulaganja operatora, namijenjene su prvenstveno zadovoljavanju potreba krajnjih korisnika za velikim kapacitetima te nije izgledno da bi alternativni operatori počeli pružati usluge</w:t>
      </w:r>
      <w:r>
        <w:rPr>
          <w:rFonts w:eastAsia="Times New Roman"/>
          <w:color w:val="000000"/>
        </w:rPr>
        <w:t xml:space="preserve"> veleprodajnog lokalnog pristupa</w:t>
      </w:r>
      <w:r w:rsidRPr="00812C3F">
        <w:rPr>
          <w:rFonts w:eastAsia="Times New Roman"/>
          <w:color w:val="000000"/>
        </w:rPr>
        <w:t xml:space="preserve"> malog kapaciteta putem svojih VHCN mreža.</w:t>
      </w:r>
      <w:r>
        <w:rPr>
          <w:rFonts w:eastAsia="Times New Roman"/>
          <w:color w:val="000000"/>
        </w:rPr>
        <w:t xml:space="preserve"> Osim toga, postoje određeni razlozi opisani u poglavlju</w:t>
      </w:r>
      <w:r w:rsidR="00161247">
        <w:rPr>
          <w:rFonts w:eastAsia="Times New Roman"/>
          <w:color w:val="000000"/>
        </w:rPr>
        <w:t xml:space="preserve"> </w:t>
      </w:r>
      <w:r w:rsidR="00161247">
        <w:rPr>
          <w:rFonts w:eastAsia="Times New Roman"/>
          <w:color w:val="000000"/>
        </w:rPr>
        <w:fldChar w:fldCharType="begin"/>
      </w:r>
      <w:r w:rsidR="00161247">
        <w:rPr>
          <w:rFonts w:eastAsia="Times New Roman"/>
          <w:color w:val="000000"/>
        </w:rPr>
        <w:instrText xml:space="preserve"> REF _Ref125565383 \r \h </w:instrText>
      </w:r>
      <w:r w:rsidR="00161247">
        <w:rPr>
          <w:rFonts w:eastAsia="Times New Roman"/>
          <w:color w:val="000000"/>
        </w:rPr>
      </w:r>
      <w:r w:rsidR="00161247">
        <w:rPr>
          <w:rFonts w:eastAsia="Times New Roman"/>
          <w:color w:val="000000"/>
        </w:rPr>
        <w:fldChar w:fldCharType="separate"/>
      </w:r>
      <w:r w:rsidR="00161247">
        <w:rPr>
          <w:rFonts w:eastAsia="Times New Roman"/>
          <w:color w:val="000000"/>
        </w:rPr>
        <w:t>3.1</w:t>
      </w:r>
      <w:r w:rsidR="00161247">
        <w:rPr>
          <w:rFonts w:eastAsia="Times New Roman"/>
          <w:color w:val="000000"/>
        </w:rPr>
        <w:fldChar w:fldCharType="end"/>
      </w:r>
      <w:r>
        <w:rPr>
          <w:rFonts w:eastAsia="Times New Roman"/>
          <w:color w:val="000000"/>
        </w:rPr>
        <w:t xml:space="preserve"> zbog kojih određeni broj korisnika, čak i u slučaju kada su im takve usluge dostupne po istim cijenama, ne želi zamijeniti svoj priključak putem bakrene mreže priključkom na VHCN mreže zbog kojih između ostalog HAKOM smatra opravdanim segmentaciju tržišta na tržište malog i velikog kapaciteta.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Nadalje, HAKOM je razmatrao mogućnost da operatori</w:t>
      </w:r>
      <w:r>
        <w:rPr>
          <w:rFonts w:eastAsia="Times New Roman"/>
          <w:color w:val="000000"/>
        </w:rPr>
        <w:t xml:space="preserve"> mreža pokretnih komunikacija</w:t>
      </w:r>
      <w:r w:rsidRPr="00812C3F">
        <w:rPr>
          <w:rFonts w:eastAsia="Times New Roman"/>
          <w:color w:val="000000"/>
        </w:rPr>
        <w:t xml:space="preserve"> putem </w:t>
      </w:r>
      <w:r>
        <w:rPr>
          <w:rFonts w:eastAsia="Times New Roman"/>
          <w:color w:val="000000"/>
        </w:rPr>
        <w:t xml:space="preserve">svojih </w:t>
      </w:r>
      <w:r w:rsidRPr="00812C3F">
        <w:rPr>
          <w:rFonts w:eastAsia="Times New Roman"/>
          <w:color w:val="000000"/>
        </w:rPr>
        <w:t>mrež</w:t>
      </w:r>
      <w:r>
        <w:rPr>
          <w:rFonts w:eastAsia="Times New Roman"/>
          <w:color w:val="000000"/>
        </w:rPr>
        <w:t>a</w:t>
      </w:r>
      <w:r w:rsidRPr="00812C3F">
        <w:rPr>
          <w:rFonts w:eastAsia="Times New Roman"/>
          <w:color w:val="000000"/>
        </w:rPr>
        <w:t xml:space="preserve"> pokretnih komunikacija počnu nuditi uslugu </w:t>
      </w:r>
      <w:r>
        <w:rPr>
          <w:rFonts w:eastAsia="Times New Roman"/>
          <w:color w:val="000000"/>
        </w:rPr>
        <w:t>veleprodajnog lokalnog</w:t>
      </w:r>
      <w:r w:rsidRPr="00812C3F">
        <w:rPr>
          <w:rFonts w:eastAsia="Times New Roman"/>
          <w:color w:val="000000"/>
        </w:rPr>
        <w:t xml:space="preserve"> pristupa </w:t>
      </w:r>
      <w:r>
        <w:rPr>
          <w:rFonts w:eastAsia="Times New Roman"/>
          <w:color w:val="000000"/>
        </w:rPr>
        <w:t>koji se pruža na fiksnoj lokaciji koja bi mogla biti zamjenska usluzi pristupa izdvojenoj lokalnoj petlji na temelju bakrene parice</w:t>
      </w:r>
      <w:r w:rsidRPr="00812C3F">
        <w:rPr>
          <w:rFonts w:eastAsia="Times New Roman"/>
          <w:color w:val="000000"/>
        </w:rPr>
        <w:t xml:space="preserve">. </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 xml:space="preserve">Operatori koji koriste uslugu </w:t>
      </w:r>
      <w:r>
        <w:rPr>
          <w:rFonts w:eastAsia="Times New Roman"/>
          <w:color w:val="000000"/>
        </w:rPr>
        <w:t>izdvojenog</w:t>
      </w:r>
      <w:r w:rsidRPr="00812C3F">
        <w:rPr>
          <w:rFonts w:eastAsia="Times New Roman"/>
          <w:color w:val="000000"/>
        </w:rPr>
        <w:t xml:space="preserve"> pristupa </w:t>
      </w:r>
      <w:r>
        <w:rPr>
          <w:rFonts w:eastAsia="Times New Roman"/>
          <w:color w:val="000000"/>
        </w:rPr>
        <w:t>lokalnoj petlji na temelju</w:t>
      </w:r>
      <w:r w:rsidRPr="00812C3F">
        <w:rPr>
          <w:rFonts w:eastAsia="Times New Roman"/>
          <w:color w:val="000000"/>
        </w:rPr>
        <w:t xml:space="preserve"> bakrene parice, a nemaju svoju mrežu pokretnih komunikacija, neće biti motivirani početi </w:t>
      </w:r>
      <w:r>
        <w:rPr>
          <w:rFonts w:eastAsia="Times New Roman"/>
          <w:color w:val="000000"/>
        </w:rPr>
        <w:t>koristiti</w:t>
      </w:r>
      <w:r w:rsidRPr="00812C3F">
        <w:rPr>
          <w:rFonts w:eastAsia="Times New Roman"/>
          <w:color w:val="000000"/>
        </w:rPr>
        <w:t xml:space="preserve"> veleprodajnu uslugu </w:t>
      </w:r>
      <w:r>
        <w:rPr>
          <w:rFonts w:eastAsia="Times New Roman"/>
          <w:color w:val="000000"/>
        </w:rPr>
        <w:t>lokalnog</w:t>
      </w:r>
      <w:r w:rsidRPr="00812C3F">
        <w:rPr>
          <w:rFonts w:eastAsia="Times New Roman"/>
          <w:color w:val="000000"/>
        </w:rPr>
        <w:t xml:space="preserve"> pristupa putem pokretnih mreža</w:t>
      </w:r>
      <w:r>
        <w:rPr>
          <w:rFonts w:eastAsia="Times New Roman"/>
          <w:color w:val="000000"/>
        </w:rPr>
        <w:t>, čak i kad bi ista bila dostupna,</w:t>
      </w:r>
      <w:r w:rsidRPr="00812C3F">
        <w:rPr>
          <w:rFonts w:eastAsia="Times New Roman"/>
          <w:color w:val="000000"/>
        </w:rPr>
        <w:t xml:space="preserve"> zbog visokih pratećih troškova koji nisu opravdani pružanjem </w:t>
      </w:r>
      <w:r>
        <w:rPr>
          <w:rFonts w:eastAsia="Times New Roman"/>
          <w:color w:val="000000"/>
        </w:rPr>
        <w:t xml:space="preserve">maloprodajnih usluga </w:t>
      </w:r>
      <w:r w:rsidRPr="00812C3F">
        <w:rPr>
          <w:rFonts w:eastAsia="Times New Roman"/>
          <w:color w:val="000000"/>
        </w:rPr>
        <w:t>širokopojasnog pristupa malog kapaciteta.</w:t>
      </w:r>
      <w:r>
        <w:rPr>
          <w:rFonts w:eastAsia="Times New Roman"/>
          <w:color w:val="000000"/>
        </w:rPr>
        <w:t xml:space="preserve"> Naime, operatori korisnici koji koriste uslugu izdvojenog pristupa lokalnoj petlji na temelju bakrene parice bi imali velike i nenadoknadive troškove migracije.</w:t>
      </w:r>
    </w:p>
    <w:p w:rsidR="00D7024A"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druge strane, uslijed trenutnih tehničkih ograničenja pokretnih mreža, usluga veleprodajnog širokopojasnog pristupa na fiksnoj lokaciji putem mreža pokretnih komunikacija koju bi eventualno ponudili HT, A1 ili </w:t>
      </w:r>
      <w:proofErr w:type="spellStart"/>
      <w:r w:rsidRPr="00812C3F">
        <w:rPr>
          <w:rFonts w:eastAsia="Times New Roman"/>
          <w:color w:val="000000"/>
        </w:rPr>
        <w:t>Telemach</w:t>
      </w:r>
      <w:proofErr w:type="spellEnd"/>
      <w:r w:rsidRPr="00812C3F">
        <w:rPr>
          <w:rFonts w:eastAsia="Times New Roman"/>
          <w:color w:val="000000"/>
        </w:rPr>
        <w:t xml:space="preserve"> za 86% korisnika koji širokopojasni pristup koriste u paketima usluga ne bi bila odgovarajuća zamjenska usluga zbog nemogućnosti osiguravanja kapaciteta za usluge poput IPTV-a i VOIP-a, dok bi istovremeno kvaliteta usluga pokretnih komunikacija čijem su pružanju primarno namijenjene mreže pokretnih komunikacija, bila značajno narušena. HAKOM stoga smatra kako nije izgledno, barem do eventualnog razvoja 5G mreža da bi operatori pokretnih komunikacija ponudili</w:t>
      </w:r>
      <w:r w:rsidRPr="00812C3F">
        <w:rPr>
          <w:rFonts w:eastAsia="Calibri"/>
          <w:color w:val="000000"/>
        </w:rPr>
        <w:t xml:space="preserve"> </w:t>
      </w:r>
      <w:r w:rsidRPr="00812C3F">
        <w:rPr>
          <w:rFonts w:eastAsia="Times New Roman"/>
          <w:color w:val="000000"/>
        </w:rPr>
        <w:t>veleprodajnu uslugu širokopojasnog pristupa putem pokretnih mreža na fiksnoj lokaciji.</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Zbog svega navedenog, HAKOM smatra da u RH na strani ponude ne postoji zamjenska usluga važećoj usluzi pristupa </w:t>
      </w:r>
      <w:r>
        <w:rPr>
          <w:rFonts w:eastAsia="Times New Roman"/>
          <w:color w:val="000000"/>
        </w:rPr>
        <w:t>izdvojenoj lokalnoj petlji na temelju</w:t>
      </w:r>
      <w:r w:rsidRPr="00812C3F">
        <w:rPr>
          <w:rFonts w:eastAsia="Times New Roman"/>
          <w:color w:val="000000"/>
        </w:rPr>
        <w:t xml:space="preserve"> bakrene parice.</w:t>
      </w:r>
    </w:p>
    <w:p w:rsidR="00D7024A" w:rsidRPr="00812C3F" w:rsidRDefault="00D7024A" w:rsidP="00D7024A">
      <w:pPr>
        <w:jc w:val="both"/>
        <w:rPr>
          <w:rFonts w:eastAsia="Times New Roman"/>
          <w:color w:val="000000"/>
        </w:rPr>
      </w:pPr>
    </w:p>
    <w:p w:rsidR="00D7024A" w:rsidRPr="00B34167" w:rsidRDefault="00D7024A" w:rsidP="00BD542F">
      <w:pPr>
        <w:jc w:val="both"/>
        <w:rPr>
          <w:rFonts w:ascii="Segoe UI Semibold" w:hAnsi="Segoe UI Semibold" w:cs="Segoe UI Semibold"/>
          <w:color w:val="1F3864" w:themeColor="accent1" w:themeShade="80"/>
        </w:rPr>
      </w:pPr>
      <w:bookmarkStart w:id="154" w:name="_Toc124462550"/>
      <w:bookmarkStart w:id="155" w:name="_Toc124514444"/>
      <w:r w:rsidRPr="00B34167">
        <w:rPr>
          <w:rFonts w:ascii="Segoe UI Semibold" w:hAnsi="Segoe UI Semibold" w:cs="Segoe UI Semibold"/>
          <w:color w:val="1F3864" w:themeColor="accent1" w:themeShade="80"/>
        </w:rPr>
        <w:t>Zaključak o određivanju tržišta malog kapaciteta u dimenziji usluga</w:t>
      </w:r>
      <w:bookmarkEnd w:id="154"/>
      <w:bookmarkEnd w:id="155"/>
    </w:p>
    <w:p w:rsidR="00D7024A" w:rsidRPr="00812C3F" w:rsidRDefault="00D7024A" w:rsidP="00D7024A">
      <w:pPr>
        <w:jc w:val="both"/>
        <w:rPr>
          <w:rFonts w:eastAsia="Times New Roman"/>
          <w:color w:val="002060"/>
        </w:rPr>
      </w:pPr>
    </w:p>
    <w:p w:rsidR="00D7024A" w:rsidRDefault="00D7024A" w:rsidP="00D7024A">
      <w:pPr>
        <w:jc w:val="both"/>
        <w:rPr>
          <w:rFonts w:eastAsia="Times New Roman"/>
          <w:color w:val="000000"/>
        </w:rPr>
      </w:pPr>
      <w:r w:rsidRPr="00812C3F">
        <w:rPr>
          <w:rFonts w:eastAsia="Times New Roman"/>
          <w:color w:val="000000"/>
        </w:rPr>
        <w:t>HAKOM je u prethodnim poglavljima zaključio da mjerodavno tržište malog kapaciteta na veleprodajnoj razini uključuje:</w:t>
      </w:r>
    </w:p>
    <w:p w:rsidR="00D7024A" w:rsidRDefault="00D7024A" w:rsidP="00D7024A">
      <w:pPr>
        <w:jc w:val="both"/>
        <w:rPr>
          <w:rFonts w:eastAsia="Times New Roman"/>
          <w:color w:val="000000"/>
        </w:rPr>
      </w:pPr>
    </w:p>
    <w:p w:rsidR="00D7024A" w:rsidRDefault="00D7024A" w:rsidP="00766501">
      <w:pPr>
        <w:pStyle w:val="ListParagraph"/>
        <w:numPr>
          <w:ilvl w:val="0"/>
          <w:numId w:val="54"/>
        </w:numPr>
        <w:jc w:val="both"/>
        <w:rPr>
          <w:rFonts w:eastAsia="Times New Roman"/>
        </w:rPr>
      </w:pPr>
      <w:r>
        <w:rPr>
          <w:rFonts w:eastAsia="Times New Roman"/>
        </w:rPr>
        <w:t>Uslugu pristupa izdvojenoj lokalnoj petlji na temelju bakrene parice</w:t>
      </w:r>
    </w:p>
    <w:p w:rsidR="00D7024A" w:rsidRDefault="00D7024A" w:rsidP="00766501">
      <w:pPr>
        <w:pStyle w:val="ListParagraph"/>
        <w:numPr>
          <w:ilvl w:val="0"/>
          <w:numId w:val="54"/>
        </w:numPr>
        <w:jc w:val="both"/>
        <w:rPr>
          <w:rFonts w:eastAsia="Times New Roman"/>
        </w:rPr>
      </w:pPr>
      <w:r>
        <w:rPr>
          <w:rFonts w:eastAsia="Times New Roman"/>
        </w:rPr>
        <w:t>Uslugu VULA (usluga bitstream na DSLAM razini)</w:t>
      </w:r>
    </w:p>
    <w:p w:rsidR="00D7024A" w:rsidRPr="00411E3E" w:rsidRDefault="00D7024A" w:rsidP="00766501">
      <w:pPr>
        <w:pStyle w:val="ListParagraph"/>
        <w:numPr>
          <w:ilvl w:val="0"/>
          <w:numId w:val="54"/>
        </w:numPr>
        <w:jc w:val="both"/>
        <w:rPr>
          <w:rFonts w:eastAsia="Times New Roman"/>
        </w:rPr>
      </w:pPr>
      <w:r>
        <w:rPr>
          <w:rFonts w:eastAsia="Times New Roman"/>
        </w:rPr>
        <w:t>Uslugu veleprodajnog lokalnog pristupa temeljem bakrene parice koju HT pruža za vlastite potrebe</w:t>
      </w:r>
    </w:p>
    <w:p w:rsidR="00D7024A" w:rsidRPr="00812C3F" w:rsidRDefault="00D7024A" w:rsidP="00D7024A">
      <w:pPr>
        <w:rPr>
          <w:rFonts w:eastAsia="Times New Roman"/>
          <w:color w:val="000000"/>
        </w:rPr>
      </w:pPr>
      <w:r w:rsidRPr="00812C3F">
        <w:rPr>
          <w:rFonts w:eastAsia="Times New Roman"/>
          <w:color w:val="000000"/>
        </w:rPr>
        <w:br w:type="page"/>
      </w:r>
    </w:p>
    <w:p w:rsidR="00D7024A" w:rsidRPr="00B34167" w:rsidRDefault="00D7024A" w:rsidP="00B34167">
      <w:pPr>
        <w:pStyle w:val="Heading3"/>
      </w:pPr>
      <w:bookmarkStart w:id="156" w:name="_Toc124462551"/>
      <w:bookmarkStart w:id="157" w:name="_Toc124514445"/>
      <w:bookmarkStart w:id="158" w:name="_Toc124946931"/>
      <w:bookmarkStart w:id="159" w:name="_Toc124948841"/>
      <w:bookmarkStart w:id="160" w:name="_Toc124951736"/>
      <w:bookmarkStart w:id="161" w:name="_Toc125644886"/>
      <w:r w:rsidRPr="00B34167">
        <w:t>Tržište velikog kapaciteta (veleprodajna razina)</w:t>
      </w:r>
      <w:bookmarkEnd w:id="156"/>
      <w:bookmarkEnd w:id="157"/>
      <w:bookmarkEnd w:id="158"/>
      <w:bookmarkEnd w:id="159"/>
      <w:bookmarkEnd w:id="160"/>
      <w:bookmarkEnd w:id="161"/>
    </w:p>
    <w:p w:rsidR="00D7024A" w:rsidRPr="00812C3F" w:rsidRDefault="00D7024A" w:rsidP="00D7024A">
      <w:pPr>
        <w:rPr>
          <w:rFonts w:eastAsia="Calibri"/>
          <w:color w:val="000000"/>
          <w:lang w:eastAsia="hr-HR"/>
        </w:rPr>
      </w:pPr>
    </w:p>
    <w:p w:rsidR="00D7024A" w:rsidRPr="00B34167" w:rsidRDefault="00D7024A" w:rsidP="00B34167">
      <w:pPr>
        <w:pStyle w:val="Heading4"/>
      </w:pPr>
      <w:bookmarkStart w:id="162" w:name="_Toc124462552"/>
      <w:bookmarkStart w:id="163" w:name="_Toc124514446"/>
      <w:bookmarkStart w:id="164" w:name="_Ref124846244"/>
      <w:bookmarkStart w:id="165" w:name="_Toc124928590"/>
      <w:bookmarkStart w:id="166" w:name="_Toc124946932"/>
      <w:bookmarkStart w:id="167" w:name="_Toc124948842"/>
      <w:bookmarkStart w:id="168" w:name="_Toc124951737"/>
      <w:bookmarkStart w:id="169" w:name="_Toc125644887"/>
      <w:r w:rsidRPr="00B34167">
        <w:t>Karakteristike tržišta velikog kapaciteta u RH</w:t>
      </w:r>
      <w:bookmarkEnd w:id="162"/>
      <w:bookmarkEnd w:id="163"/>
      <w:bookmarkEnd w:id="164"/>
      <w:bookmarkEnd w:id="165"/>
      <w:bookmarkEnd w:id="166"/>
      <w:bookmarkEnd w:id="167"/>
      <w:bookmarkEnd w:id="168"/>
      <w:bookmarkEnd w:id="169"/>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U područjima u kojima još nisu izgradili vlastitu infrastrukturu, usluge na tržištu velikog kapaciteta operatori mogu pružati putem</w:t>
      </w:r>
      <w:r>
        <w:rPr>
          <w:rFonts w:eastAsia="Times New Roman"/>
          <w:color w:val="000000"/>
        </w:rPr>
        <w:t xml:space="preserve"> vlastitih VHCN mreža ili putem </w:t>
      </w:r>
      <w:r w:rsidRPr="00812C3F">
        <w:rPr>
          <w:rFonts w:eastAsia="Times New Roman"/>
          <w:color w:val="000000"/>
        </w:rPr>
        <w:t>veleprodajn</w:t>
      </w:r>
      <w:r>
        <w:rPr>
          <w:rFonts w:eastAsia="Times New Roman"/>
          <w:color w:val="000000"/>
        </w:rPr>
        <w:t>ih</w:t>
      </w:r>
      <w:r w:rsidRPr="00812C3F">
        <w:rPr>
          <w:rFonts w:eastAsia="Times New Roman"/>
          <w:color w:val="000000"/>
        </w:rPr>
        <w:t xml:space="preserve"> uslug</w:t>
      </w:r>
      <w:r>
        <w:rPr>
          <w:rFonts w:eastAsia="Times New Roman"/>
          <w:color w:val="000000"/>
        </w:rPr>
        <w:t>a lokalnog</w:t>
      </w:r>
      <w:r w:rsidRPr="00812C3F">
        <w:rPr>
          <w:rFonts w:eastAsia="Times New Roman"/>
          <w:color w:val="000000"/>
        </w:rPr>
        <w:t xml:space="preserve"> pristupa </w:t>
      </w:r>
      <w:r>
        <w:rPr>
          <w:rFonts w:eastAsia="Times New Roman"/>
          <w:color w:val="000000"/>
        </w:rPr>
        <w:t>koje pruža</w:t>
      </w:r>
      <w:r w:rsidRPr="00812C3F">
        <w:rPr>
          <w:rFonts w:eastAsia="Times New Roman"/>
          <w:color w:val="000000"/>
        </w:rPr>
        <w:t xml:space="preserve"> </w:t>
      </w:r>
      <w:r>
        <w:rPr>
          <w:rFonts w:eastAsia="Times New Roman"/>
          <w:color w:val="000000"/>
        </w:rPr>
        <w:t>HT i drugi alternativni operatori koji grade vlastite VHCN mreže.</w:t>
      </w:r>
    </w:p>
    <w:p w:rsidR="00D7024A" w:rsidRDefault="00D7024A"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color w:val="000000"/>
        </w:rPr>
        <w:t xml:space="preserve">U dimenziju tržišta velikog kapaciteta na maloprodajnoj razini HAKOM je sukladno zaključku iz poglavlja </w:t>
      </w:r>
      <w:r w:rsidR="00161247">
        <w:rPr>
          <w:rFonts w:eastAsia="Times New Roman"/>
          <w:color w:val="000000"/>
        </w:rPr>
        <w:fldChar w:fldCharType="begin"/>
      </w:r>
      <w:r w:rsidR="00161247">
        <w:rPr>
          <w:rFonts w:eastAsia="Times New Roman"/>
          <w:color w:val="000000"/>
        </w:rPr>
        <w:instrText xml:space="preserve"> REF _Ref125565456 \r \h </w:instrText>
      </w:r>
      <w:r w:rsidR="00161247">
        <w:rPr>
          <w:rFonts w:eastAsia="Times New Roman"/>
          <w:color w:val="000000"/>
        </w:rPr>
      </w:r>
      <w:r w:rsidR="00161247">
        <w:rPr>
          <w:rFonts w:eastAsia="Times New Roman"/>
          <w:color w:val="000000"/>
        </w:rPr>
        <w:fldChar w:fldCharType="separate"/>
      </w:r>
      <w:r w:rsidR="00161247">
        <w:rPr>
          <w:rFonts w:eastAsia="Times New Roman"/>
          <w:color w:val="000000"/>
        </w:rPr>
        <w:t>3.3</w:t>
      </w:r>
      <w:r w:rsidR="00161247">
        <w:rPr>
          <w:rFonts w:eastAsia="Times New Roman"/>
          <w:color w:val="000000"/>
        </w:rPr>
        <w:fldChar w:fldCharType="end"/>
      </w:r>
      <w:r>
        <w:rPr>
          <w:rFonts w:eastAsia="Times New Roman"/>
          <w:color w:val="000000"/>
        </w:rPr>
        <w:t xml:space="preserve"> uključio:</w:t>
      </w:r>
    </w:p>
    <w:p w:rsidR="00D7024A" w:rsidRDefault="00D7024A" w:rsidP="00D7024A">
      <w:pPr>
        <w:jc w:val="both"/>
        <w:rPr>
          <w:rFonts w:eastAsia="Times New Roman"/>
          <w:color w:val="000000"/>
        </w:rPr>
      </w:pPr>
    </w:p>
    <w:p w:rsidR="00D7024A" w:rsidRPr="00812C3F" w:rsidRDefault="00D7024A" w:rsidP="00766501">
      <w:pPr>
        <w:numPr>
          <w:ilvl w:val="0"/>
          <w:numId w:val="49"/>
        </w:numPr>
        <w:contextualSpacing/>
        <w:jc w:val="both"/>
        <w:rPr>
          <w:rFonts w:eastAsia="Times New Roman"/>
          <w:color w:val="000000"/>
        </w:rPr>
      </w:pPr>
      <w:r w:rsidRPr="00812C3F">
        <w:rPr>
          <w:rFonts w:eastAsia="Times New Roman"/>
          <w:color w:val="000000"/>
        </w:rPr>
        <w:t>usluga širokopojasnog pristupa putem svjetlovodnih niti i</w:t>
      </w:r>
    </w:p>
    <w:p w:rsidR="00D7024A" w:rsidRPr="00812C3F" w:rsidRDefault="00D7024A" w:rsidP="00766501">
      <w:pPr>
        <w:numPr>
          <w:ilvl w:val="0"/>
          <w:numId w:val="49"/>
        </w:numPr>
        <w:contextualSpacing/>
        <w:jc w:val="both"/>
        <w:rPr>
          <w:rFonts w:eastAsia="Times New Roman"/>
          <w:color w:val="000000"/>
        </w:rPr>
      </w:pPr>
      <w:r w:rsidRPr="00812C3F">
        <w:rPr>
          <w:rFonts w:eastAsia="Times New Roman"/>
          <w:color w:val="000000"/>
        </w:rPr>
        <w:t>usluga širokopojasnog pristupa putem kabelskih mreža</w:t>
      </w:r>
    </w:p>
    <w:p w:rsidR="00D7024A" w:rsidRDefault="00D7024A" w:rsidP="00D7024A">
      <w:pPr>
        <w:jc w:val="both"/>
        <w:rPr>
          <w:rFonts w:eastAsia="Times New Roman"/>
          <w:color w:val="000000"/>
        </w:rPr>
      </w:pPr>
    </w:p>
    <w:p w:rsidR="00D7024A" w:rsidRDefault="00D7024A" w:rsidP="00D7024A">
      <w:pPr>
        <w:jc w:val="both"/>
        <w:rPr>
          <w:rFonts w:eastAsia="Times New Roman"/>
          <w:color w:val="000000"/>
        </w:rPr>
      </w:pPr>
      <w:r>
        <w:rPr>
          <w:rFonts w:eastAsia="Times New Roman"/>
          <w:color w:val="000000"/>
        </w:rPr>
        <w:t>Svjetlovodne pristupne mreže u RH u najvećoj mjeri se grade kao FTTH mreže, dok HT u manjem dijelu svoje svjetlovodne mreže završava kao FTTB ili FTTDP rješenja kod kojih svjetlovodne niti dolaze do zgrade (FTTB rješenje) ili svjetlovodnog izvoda (FTTDP rješenje), odakle su priključci dalje realizirani putem postojećih bakrenih parica.</w:t>
      </w:r>
    </w:p>
    <w:p w:rsidR="00D7024A" w:rsidRDefault="00D7024A" w:rsidP="00D7024A">
      <w:pPr>
        <w:jc w:val="both"/>
        <w:rPr>
          <w:rFonts w:eastAsia="Times New Roman"/>
          <w:color w:val="000000"/>
        </w:rPr>
      </w:pPr>
    </w:p>
    <w:p w:rsidR="00D7024A" w:rsidRPr="00411E3E" w:rsidRDefault="00D7024A" w:rsidP="00D7024A">
      <w:pPr>
        <w:autoSpaceDE w:val="0"/>
        <w:autoSpaceDN w:val="0"/>
        <w:adjustRightInd w:val="0"/>
        <w:jc w:val="both"/>
        <w:rPr>
          <w:rFonts w:eastAsia="Times New Roman"/>
          <w:color w:val="000000"/>
        </w:rPr>
      </w:pPr>
      <w:r>
        <w:rPr>
          <w:rFonts w:eastAsia="Times New Roman"/>
          <w:color w:val="000000"/>
        </w:rPr>
        <w:t>Postoje dvije najčešće korištene topologije gradnje FTTH svjetlovodnih pristupnih mreža (</w:t>
      </w:r>
      <w:r w:rsidR="00910639">
        <w:rPr>
          <w:rFonts w:eastAsia="Times New Roman"/>
          <w:color w:val="000000"/>
        </w:rPr>
        <w:fldChar w:fldCharType="begin"/>
      </w:r>
      <w:r w:rsidR="00910639">
        <w:rPr>
          <w:rFonts w:eastAsia="Times New Roman"/>
          <w:color w:val="000000"/>
        </w:rPr>
        <w:instrText xml:space="preserve"> REF _Ref125571950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11</w:t>
      </w:r>
      <w:r w:rsidR="00910639">
        <w:rPr>
          <w:rFonts w:eastAsia="Times New Roman"/>
          <w:color w:val="000000"/>
        </w:rPr>
        <w:fldChar w:fldCharType="end"/>
      </w:r>
      <w:r>
        <w:rPr>
          <w:rFonts w:eastAsia="Times New Roman"/>
          <w:color w:val="000000"/>
        </w:rPr>
        <w:t>):</w:t>
      </w:r>
    </w:p>
    <w:p w:rsidR="00D7024A" w:rsidRDefault="00D7024A" w:rsidP="00766501">
      <w:pPr>
        <w:numPr>
          <w:ilvl w:val="0"/>
          <w:numId w:val="55"/>
        </w:numPr>
        <w:autoSpaceDE w:val="0"/>
        <w:autoSpaceDN w:val="0"/>
        <w:adjustRightInd w:val="0"/>
        <w:jc w:val="both"/>
        <w:rPr>
          <w:rFonts w:eastAsia="Times New Roman"/>
          <w:color w:val="000000"/>
        </w:rPr>
      </w:pPr>
      <w:r w:rsidRPr="0044205F">
        <w:rPr>
          <w:rFonts w:eastAsia="Times New Roman"/>
          <w:color w:val="000000"/>
        </w:rPr>
        <w:t>topologija točka više točaka (</w:t>
      </w:r>
      <w:proofErr w:type="spellStart"/>
      <w:r w:rsidRPr="0044205F">
        <w:rPr>
          <w:rFonts w:eastAsia="Times New Roman"/>
          <w:color w:val="000000"/>
        </w:rPr>
        <w:t>eng</w:t>
      </w:r>
      <w:proofErr w:type="spellEnd"/>
      <w:r w:rsidRPr="0044205F">
        <w:rPr>
          <w:rFonts w:eastAsia="Times New Roman"/>
          <w:color w:val="000000"/>
        </w:rPr>
        <w:t xml:space="preserve">. </w:t>
      </w:r>
      <w:proofErr w:type="spellStart"/>
      <w:r w:rsidRPr="0044205F">
        <w:rPr>
          <w:rFonts w:eastAsia="Times New Roman"/>
          <w:color w:val="000000"/>
        </w:rPr>
        <w:t>Point</w:t>
      </w:r>
      <w:proofErr w:type="spellEnd"/>
      <w:r w:rsidRPr="0044205F">
        <w:rPr>
          <w:rFonts w:eastAsia="Times New Roman"/>
          <w:color w:val="000000"/>
        </w:rPr>
        <w:t>-to-</w:t>
      </w:r>
      <w:proofErr w:type="spellStart"/>
      <w:r w:rsidRPr="0044205F">
        <w:rPr>
          <w:rFonts w:eastAsia="Times New Roman"/>
          <w:color w:val="000000"/>
        </w:rPr>
        <w:t>multipoint</w:t>
      </w:r>
      <w:proofErr w:type="spellEnd"/>
      <w:r w:rsidRPr="0044205F">
        <w:rPr>
          <w:rFonts w:eastAsia="Times New Roman"/>
          <w:color w:val="000000"/>
        </w:rPr>
        <w:t>, P2MP) koja se obično kombinira s tehnologijom pasivne svjetlovodne mreže (</w:t>
      </w:r>
      <w:proofErr w:type="spellStart"/>
      <w:r w:rsidRPr="0044205F">
        <w:rPr>
          <w:rFonts w:eastAsia="Times New Roman"/>
          <w:color w:val="000000"/>
        </w:rPr>
        <w:t>eng</w:t>
      </w:r>
      <w:proofErr w:type="spellEnd"/>
      <w:r w:rsidRPr="0044205F">
        <w:rPr>
          <w:rFonts w:eastAsia="Times New Roman"/>
          <w:color w:val="000000"/>
        </w:rPr>
        <w:t xml:space="preserve">. </w:t>
      </w:r>
      <w:proofErr w:type="spellStart"/>
      <w:r w:rsidRPr="00411E3E">
        <w:rPr>
          <w:rFonts w:eastAsia="Times New Roman"/>
          <w:i/>
          <w:color w:val="000000"/>
        </w:rPr>
        <w:t>Passive</w:t>
      </w:r>
      <w:proofErr w:type="spellEnd"/>
      <w:r w:rsidRPr="00411E3E">
        <w:rPr>
          <w:rFonts w:eastAsia="Times New Roman"/>
          <w:i/>
          <w:color w:val="000000"/>
        </w:rPr>
        <w:t xml:space="preserve"> </w:t>
      </w:r>
      <w:proofErr w:type="spellStart"/>
      <w:r w:rsidRPr="00411E3E">
        <w:rPr>
          <w:rFonts w:eastAsia="Times New Roman"/>
          <w:i/>
          <w:color w:val="000000"/>
        </w:rPr>
        <w:t>Optical</w:t>
      </w:r>
      <w:proofErr w:type="spellEnd"/>
      <w:r w:rsidRPr="00411E3E">
        <w:rPr>
          <w:rFonts w:eastAsia="Times New Roman"/>
          <w:i/>
          <w:color w:val="000000"/>
        </w:rPr>
        <w:t xml:space="preserve"> Network</w:t>
      </w:r>
      <w:r w:rsidRPr="0044205F">
        <w:rPr>
          <w:rFonts w:eastAsia="Times New Roman"/>
          <w:color w:val="000000"/>
        </w:rPr>
        <w:t xml:space="preserve">, PON) tehnologijom </w:t>
      </w:r>
      <w:r w:rsidRPr="00411E3E">
        <w:rPr>
          <w:rFonts w:eastAsia="Times New Roman"/>
          <w:color w:val="000000"/>
        </w:rPr>
        <w:t xml:space="preserve">pasivne svjetlovodne mreže </w:t>
      </w:r>
      <w:r>
        <w:rPr>
          <w:rFonts w:eastAsia="Times New Roman"/>
          <w:color w:val="000000"/>
        </w:rPr>
        <w:t>(PON)</w:t>
      </w:r>
    </w:p>
    <w:p w:rsidR="00D7024A" w:rsidRDefault="00D7024A" w:rsidP="00766501">
      <w:pPr>
        <w:numPr>
          <w:ilvl w:val="0"/>
          <w:numId w:val="55"/>
        </w:numPr>
        <w:autoSpaceDE w:val="0"/>
        <w:autoSpaceDN w:val="0"/>
        <w:adjustRightInd w:val="0"/>
        <w:jc w:val="both"/>
        <w:rPr>
          <w:rFonts w:eastAsia="Times New Roman"/>
          <w:color w:val="000000"/>
        </w:rPr>
      </w:pPr>
      <w:r w:rsidRPr="0044205F">
        <w:rPr>
          <w:rFonts w:eastAsia="Times New Roman"/>
          <w:color w:val="000000"/>
        </w:rPr>
        <w:t>topologija od točke do točke (</w:t>
      </w:r>
      <w:proofErr w:type="spellStart"/>
      <w:r w:rsidRPr="0044205F">
        <w:rPr>
          <w:rFonts w:eastAsia="Times New Roman"/>
          <w:color w:val="000000"/>
        </w:rPr>
        <w:t>eng</w:t>
      </w:r>
      <w:proofErr w:type="spellEnd"/>
      <w:r w:rsidRPr="0044205F">
        <w:rPr>
          <w:rFonts w:eastAsia="Times New Roman"/>
          <w:color w:val="000000"/>
        </w:rPr>
        <w:t xml:space="preserve">. </w:t>
      </w:r>
      <w:proofErr w:type="spellStart"/>
      <w:r w:rsidRPr="0044205F">
        <w:rPr>
          <w:rFonts w:eastAsia="Times New Roman"/>
          <w:color w:val="000000"/>
        </w:rPr>
        <w:t>point</w:t>
      </w:r>
      <w:proofErr w:type="spellEnd"/>
      <w:r w:rsidRPr="0044205F">
        <w:rPr>
          <w:rFonts w:eastAsia="Times New Roman"/>
          <w:color w:val="000000"/>
        </w:rPr>
        <w:t>-to-</w:t>
      </w:r>
      <w:proofErr w:type="spellStart"/>
      <w:r w:rsidRPr="0044205F">
        <w:rPr>
          <w:rFonts w:eastAsia="Times New Roman"/>
          <w:color w:val="000000"/>
        </w:rPr>
        <w:t>point</w:t>
      </w:r>
      <w:proofErr w:type="spellEnd"/>
      <w:r w:rsidRPr="0044205F">
        <w:rPr>
          <w:rFonts w:eastAsia="Times New Roman"/>
          <w:color w:val="000000"/>
        </w:rPr>
        <w:t xml:space="preserve">, P2P) koja tipično koristi </w:t>
      </w:r>
      <w:proofErr w:type="spellStart"/>
      <w:r w:rsidRPr="0044205F">
        <w:rPr>
          <w:rFonts w:eastAsia="Times New Roman"/>
          <w:color w:val="000000"/>
        </w:rPr>
        <w:t>Ethernet</w:t>
      </w:r>
      <w:proofErr w:type="spellEnd"/>
      <w:r w:rsidRPr="0044205F">
        <w:rPr>
          <w:rFonts w:eastAsia="Times New Roman"/>
          <w:color w:val="000000"/>
        </w:rPr>
        <w:t xml:space="preserve"> prijenosnu tehnologiju</w:t>
      </w:r>
    </w:p>
    <w:p w:rsidR="00D7024A" w:rsidRDefault="00D7024A" w:rsidP="00D7024A">
      <w:pPr>
        <w:autoSpaceDE w:val="0"/>
        <w:autoSpaceDN w:val="0"/>
        <w:adjustRightInd w:val="0"/>
        <w:jc w:val="both"/>
        <w:rPr>
          <w:rFonts w:eastAsia="Times New Roman"/>
          <w:color w:val="000000"/>
        </w:rPr>
      </w:pPr>
    </w:p>
    <w:p w:rsidR="00D7024A" w:rsidRDefault="00D7024A" w:rsidP="00D7024A">
      <w:pPr>
        <w:autoSpaceDE w:val="0"/>
        <w:autoSpaceDN w:val="0"/>
        <w:adjustRightInd w:val="0"/>
        <w:jc w:val="both"/>
        <w:rPr>
          <w:rFonts w:eastAsia="Times New Roman"/>
          <w:color w:val="000000"/>
        </w:rPr>
      </w:pPr>
      <w:r>
        <w:rPr>
          <w:rFonts w:eastAsia="Times New Roman"/>
          <w:color w:val="000000"/>
        </w:rPr>
        <w:t>Za FTTH svjetlovodnu pristupnu mrežu koja se temelji na topologiji točka više točaka karakteristično je da postoji spojni dio mreže (</w:t>
      </w:r>
      <w:proofErr w:type="spellStart"/>
      <w:r>
        <w:rPr>
          <w:rFonts w:eastAsia="Times New Roman"/>
          <w:color w:val="000000"/>
        </w:rPr>
        <w:t>eng</w:t>
      </w:r>
      <w:proofErr w:type="spellEnd"/>
      <w:r>
        <w:rPr>
          <w:rFonts w:eastAsia="Times New Roman"/>
          <w:color w:val="000000"/>
        </w:rPr>
        <w:t xml:space="preserve">. </w:t>
      </w:r>
      <w:proofErr w:type="spellStart"/>
      <w:r w:rsidRPr="00411E3E">
        <w:rPr>
          <w:rFonts w:eastAsia="Times New Roman"/>
          <w:i/>
          <w:color w:val="000000"/>
        </w:rPr>
        <w:t>Feeder</w:t>
      </w:r>
      <w:proofErr w:type="spellEnd"/>
      <w:r w:rsidRPr="00411E3E">
        <w:rPr>
          <w:rFonts w:eastAsia="Times New Roman"/>
          <w:i/>
          <w:color w:val="000000"/>
        </w:rPr>
        <w:t xml:space="preserve"> segment</w:t>
      </w:r>
      <w:r>
        <w:rPr>
          <w:rFonts w:eastAsia="Times New Roman"/>
          <w:color w:val="000000"/>
        </w:rPr>
        <w:t>)</w:t>
      </w:r>
      <w:r w:rsidRPr="00EA09EA">
        <w:rPr>
          <w:rFonts w:eastAsia="Times New Roman"/>
          <w:color w:val="000000"/>
        </w:rPr>
        <w:t xml:space="preserve"> </w:t>
      </w:r>
      <w:r>
        <w:rPr>
          <w:rFonts w:eastAsia="Times New Roman"/>
          <w:color w:val="000000"/>
        </w:rPr>
        <w:t>koji povezuje pristupni čvor (ili POP) i točku grananja (distribucijski čvor) od kojeg do svakog krajnjeg korisnika se postavlja zasebna, dedicirana svjetlovodna nit (svjetlovodna distribucijska mreža). Tehnologija pasivne svjetlovodne mreže PON</w:t>
      </w:r>
      <w:r>
        <w:rPr>
          <w:rStyle w:val="FootnoteReference"/>
          <w:rFonts w:eastAsia="Times New Roman"/>
          <w:color w:val="000000"/>
        </w:rPr>
        <w:footnoteReference w:id="28"/>
      </w:r>
      <w:r>
        <w:rPr>
          <w:rFonts w:eastAsia="Times New Roman"/>
          <w:color w:val="000000"/>
        </w:rPr>
        <w:t xml:space="preserve"> koristi pasivne svjetlovodne djelitelj (</w:t>
      </w:r>
      <w:proofErr w:type="spellStart"/>
      <w:r>
        <w:rPr>
          <w:rFonts w:eastAsia="Times New Roman"/>
          <w:color w:val="000000"/>
        </w:rPr>
        <w:t>eng</w:t>
      </w:r>
      <w:proofErr w:type="spellEnd"/>
      <w:r>
        <w:rPr>
          <w:rFonts w:eastAsia="Times New Roman"/>
          <w:color w:val="000000"/>
        </w:rPr>
        <w:t xml:space="preserve">. </w:t>
      </w:r>
      <w:proofErr w:type="spellStart"/>
      <w:r w:rsidRPr="00411E3E">
        <w:rPr>
          <w:rFonts w:eastAsia="Times New Roman"/>
          <w:i/>
          <w:color w:val="000000"/>
        </w:rPr>
        <w:t>splitter</w:t>
      </w:r>
      <w:proofErr w:type="spellEnd"/>
      <w:r>
        <w:rPr>
          <w:rFonts w:eastAsia="Times New Roman"/>
          <w:color w:val="000000"/>
        </w:rPr>
        <w:t>) u točki grananja, a podaci se kodiraju na način da korisnici primaju samo podatke namijenjene njima.</w:t>
      </w:r>
    </w:p>
    <w:p w:rsidR="00D7024A" w:rsidRPr="00411E3E" w:rsidRDefault="00D7024A" w:rsidP="00D7024A">
      <w:pPr>
        <w:autoSpaceDE w:val="0"/>
        <w:autoSpaceDN w:val="0"/>
        <w:adjustRightInd w:val="0"/>
        <w:jc w:val="both"/>
        <w:rPr>
          <w:rFonts w:eastAsia="Times New Roman"/>
          <w:color w:val="000000"/>
        </w:rPr>
      </w:pPr>
    </w:p>
    <w:p w:rsidR="00D7024A" w:rsidRDefault="00D7024A" w:rsidP="00D7024A">
      <w:pPr>
        <w:autoSpaceDE w:val="0"/>
        <w:autoSpaceDN w:val="0"/>
        <w:adjustRightInd w:val="0"/>
        <w:jc w:val="both"/>
        <w:rPr>
          <w:rFonts w:eastAsia="Times New Roman"/>
          <w:color w:val="000000"/>
        </w:rPr>
      </w:pPr>
      <w:r w:rsidRPr="00411E3E">
        <w:rPr>
          <w:rFonts w:eastAsia="Times New Roman"/>
          <w:color w:val="000000"/>
        </w:rPr>
        <w:t>Kod FTTH svjetlovodne pristupne mreže temeljene na konceptu poveznica od točke do točke (</w:t>
      </w:r>
      <w:proofErr w:type="spellStart"/>
      <w:r w:rsidRPr="00411E3E">
        <w:rPr>
          <w:rFonts w:eastAsia="Times New Roman"/>
          <w:color w:val="000000"/>
        </w:rPr>
        <w:t>point</w:t>
      </w:r>
      <w:proofErr w:type="spellEnd"/>
      <w:r w:rsidRPr="00411E3E">
        <w:rPr>
          <w:rFonts w:eastAsia="Times New Roman"/>
          <w:color w:val="000000"/>
        </w:rPr>
        <w:t>-to-</w:t>
      </w:r>
      <w:proofErr w:type="spellStart"/>
      <w:r w:rsidRPr="00411E3E">
        <w:rPr>
          <w:rFonts w:eastAsia="Times New Roman"/>
          <w:color w:val="000000"/>
        </w:rPr>
        <w:t>point</w:t>
      </w:r>
      <w:proofErr w:type="spellEnd"/>
      <w:r w:rsidRPr="00411E3E">
        <w:rPr>
          <w:rFonts w:eastAsia="Times New Roman"/>
          <w:color w:val="000000"/>
        </w:rPr>
        <w:t xml:space="preserve">) </w:t>
      </w:r>
      <w:r>
        <w:rPr>
          <w:rFonts w:eastAsia="Times New Roman"/>
          <w:color w:val="000000"/>
        </w:rPr>
        <w:t xml:space="preserve">postavljaju se svjetlovodne niti </w:t>
      </w:r>
      <w:r w:rsidRPr="00411E3E">
        <w:rPr>
          <w:rFonts w:eastAsia="Times New Roman"/>
          <w:color w:val="000000"/>
        </w:rPr>
        <w:t>od kojih</w:t>
      </w:r>
      <w:r>
        <w:rPr>
          <w:rFonts w:eastAsia="Times New Roman"/>
          <w:color w:val="000000"/>
        </w:rPr>
        <w:t xml:space="preserve"> svaka izravno povezuje pristupni čvor (centralu)</w:t>
      </w:r>
      <w:r w:rsidRPr="00411E3E">
        <w:rPr>
          <w:rFonts w:eastAsia="Times New Roman"/>
          <w:color w:val="000000"/>
        </w:rPr>
        <w:t xml:space="preserve"> (</w:t>
      </w:r>
      <w:r>
        <w:rPr>
          <w:rFonts w:eastAsia="Times New Roman"/>
          <w:color w:val="000000"/>
        </w:rPr>
        <w:t xml:space="preserve">ili </w:t>
      </w:r>
      <w:proofErr w:type="spellStart"/>
      <w:r w:rsidRPr="00411E3E">
        <w:rPr>
          <w:rFonts w:eastAsia="Times New Roman"/>
          <w:color w:val="000000"/>
        </w:rPr>
        <w:t>PoP-eng</w:t>
      </w:r>
      <w:proofErr w:type="spellEnd"/>
      <w:r w:rsidRPr="00411E3E">
        <w:rPr>
          <w:rFonts w:eastAsia="Times New Roman"/>
          <w:color w:val="000000"/>
        </w:rPr>
        <w:t>.</w:t>
      </w:r>
      <w:r w:rsidRPr="00411E3E">
        <w:rPr>
          <w:rFonts w:eastAsia="Times New Roman"/>
          <w:i/>
          <w:color w:val="000000"/>
        </w:rPr>
        <w:t xml:space="preserve"> </w:t>
      </w:r>
      <w:proofErr w:type="spellStart"/>
      <w:r w:rsidRPr="00411E3E">
        <w:rPr>
          <w:rFonts w:eastAsia="Times New Roman"/>
          <w:i/>
          <w:color w:val="000000"/>
        </w:rPr>
        <w:t>Point</w:t>
      </w:r>
      <w:proofErr w:type="spellEnd"/>
      <w:r w:rsidRPr="00411E3E">
        <w:rPr>
          <w:rFonts w:eastAsia="Times New Roman"/>
          <w:i/>
          <w:color w:val="000000"/>
        </w:rPr>
        <w:t xml:space="preserve"> </w:t>
      </w:r>
      <w:proofErr w:type="spellStart"/>
      <w:r w:rsidRPr="00411E3E">
        <w:rPr>
          <w:rFonts w:eastAsia="Times New Roman"/>
          <w:i/>
          <w:color w:val="000000"/>
        </w:rPr>
        <w:t>of</w:t>
      </w:r>
      <w:proofErr w:type="spellEnd"/>
      <w:r w:rsidRPr="00411E3E">
        <w:rPr>
          <w:rFonts w:eastAsia="Times New Roman"/>
          <w:i/>
          <w:color w:val="000000"/>
        </w:rPr>
        <w:t xml:space="preserve"> </w:t>
      </w:r>
      <w:proofErr w:type="spellStart"/>
      <w:r w:rsidRPr="00411E3E">
        <w:rPr>
          <w:rFonts w:eastAsia="Times New Roman"/>
          <w:i/>
          <w:color w:val="000000"/>
        </w:rPr>
        <w:t>Presence</w:t>
      </w:r>
      <w:proofErr w:type="spellEnd"/>
      <w:r w:rsidRPr="00411E3E">
        <w:rPr>
          <w:rFonts w:eastAsia="Times New Roman"/>
          <w:color w:val="000000"/>
        </w:rPr>
        <w:t xml:space="preserve">) </w:t>
      </w:r>
      <w:r>
        <w:rPr>
          <w:rFonts w:eastAsia="Times New Roman"/>
          <w:color w:val="000000"/>
        </w:rPr>
        <w:t xml:space="preserve">u kojoj se nalazi OLT </w:t>
      </w:r>
      <w:r w:rsidRPr="00411E3E">
        <w:rPr>
          <w:rFonts w:eastAsia="Times New Roman"/>
          <w:color w:val="000000"/>
        </w:rPr>
        <w:t>i pojedinog krajnjeg korisnika (</w:t>
      </w:r>
      <w:r w:rsidR="00910639">
        <w:rPr>
          <w:rFonts w:eastAsia="Times New Roman"/>
          <w:color w:val="000000"/>
        </w:rPr>
        <w:fldChar w:fldCharType="begin"/>
      </w:r>
      <w:r w:rsidR="00910639">
        <w:rPr>
          <w:rFonts w:eastAsia="Times New Roman"/>
          <w:color w:val="000000"/>
        </w:rPr>
        <w:instrText xml:space="preserve"> REF _Ref125571950 \h </w:instrText>
      </w:r>
      <w:r w:rsidR="00910639">
        <w:rPr>
          <w:rFonts w:eastAsia="Times New Roman"/>
          <w:color w:val="000000"/>
        </w:rPr>
      </w:r>
      <w:r w:rsidR="00910639">
        <w:rPr>
          <w:rFonts w:eastAsia="Times New Roman"/>
          <w:color w:val="000000"/>
        </w:rPr>
        <w:fldChar w:fldCharType="separate"/>
      </w:r>
      <w:r w:rsidR="00910639">
        <w:t xml:space="preserve">Slika </w:t>
      </w:r>
      <w:r w:rsidR="00910639">
        <w:rPr>
          <w:noProof/>
        </w:rPr>
        <w:t>11</w:t>
      </w:r>
      <w:r w:rsidR="00910639">
        <w:rPr>
          <w:rFonts w:eastAsia="Times New Roman"/>
          <w:color w:val="000000"/>
        </w:rPr>
        <w:fldChar w:fldCharType="end"/>
      </w:r>
      <w:r w:rsidRPr="00411E3E">
        <w:rPr>
          <w:rFonts w:eastAsia="Times New Roman"/>
          <w:color w:val="000000"/>
        </w:rPr>
        <w:t>).</w:t>
      </w:r>
      <w:r>
        <w:rPr>
          <w:rFonts w:eastAsia="Times New Roman"/>
          <w:color w:val="000000"/>
        </w:rPr>
        <w:t xml:space="preserve"> Pri tom je potrebno naglasiti da se ruta između pristupnog čvora i krajnjeg korisnika obično sastoji od više dijelova međusobno spojenih svjetlovodnih niti, međutim od pristupnog čvora do lokacije krajnjeg korisnika postoji neprekinuti svjetlovodni put. Ova topologija se najčešće realizira s </w:t>
      </w:r>
      <w:proofErr w:type="spellStart"/>
      <w:r>
        <w:rPr>
          <w:rFonts w:eastAsia="Times New Roman"/>
          <w:color w:val="000000"/>
        </w:rPr>
        <w:t>Ethernet</w:t>
      </w:r>
      <w:proofErr w:type="spellEnd"/>
      <w:r>
        <w:rPr>
          <w:rFonts w:eastAsia="Times New Roman"/>
          <w:color w:val="000000"/>
        </w:rPr>
        <w:t xml:space="preserve"> prijenosnom tehnologijom, međutim ova topologija može uključivati i PON tehnologiju i to postavljanjem svjetlovodnog djelitelja (</w:t>
      </w:r>
      <w:proofErr w:type="spellStart"/>
      <w:r w:rsidRPr="00411E3E">
        <w:rPr>
          <w:rFonts w:eastAsia="Times New Roman"/>
          <w:i/>
          <w:color w:val="000000"/>
        </w:rPr>
        <w:t>splitter</w:t>
      </w:r>
      <w:proofErr w:type="spellEnd"/>
      <w:r>
        <w:rPr>
          <w:rFonts w:eastAsia="Times New Roman"/>
          <w:color w:val="000000"/>
        </w:rPr>
        <w:t>) u pristupni čvor.</w:t>
      </w:r>
    </w:p>
    <w:p w:rsidR="000C3571" w:rsidRDefault="000C3571" w:rsidP="00D7024A">
      <w:pPr>
        <w:autoSpaceDE w:val="0"/>
        <w:autoSpaceDN w:val="0"/>
        <w:adjustRightInd w:val="0"/>
        <w:jc w:val="both"/>
        <w:rPr>
          <w:rFonts w:eastAsia="Times New Roman"/>
          <w:color w:val="000000"/>
        </w:rPr>
      </w:pPr>
    </w:p>
    <w:p w:rsidR="00D7024A" w:rsidRPr="00411E3E" w:rsidRDefault="00CD38D2" w:rsidP="000C3571">
      <w:pPr>
        <w:pStyle w:val="Caption"/>
        <w:spacing w:after="0"/>
        <w:rPr>
          <w:rFonts w:eastAsia="Times New Roman"/>
          <w:b/>
          <w:bCs/>
          <w:i w:val="0"/>
          <w:noProof/>
          <w:color w:val="4F81BD"/>
        </w:rPr>
      </w:pPr>
      <w:bookmarkStart w:id="170" w:name="_Ref125571950"/>
      <w:r>
        <w:t xml:space="preserve">Slika </w:t>
      </w:r>
      <w:r w:rsidR="00C60C6F">
        <w:fldChar w:fldCharType="begin"/>
      </w:r>
      <w:r w:rsidR="00C60C6F">
        <w:instrText xml:space="preserve"> SEQ Slika \* ARABIC </w:instrText>
      </w:r>
      <w:r w:rsidR="00C60C6F">
        <w:fldChar w:fldCharType="separate"/>
      </w:r>
      <w:r w:rsidR="006A29BC">
        <w:rPr>
          <w:noProof/>
        </w:rPr>
        <w:t>11</w:t>
      </w:r>
      <w:r w:rsidR="00C60C6F">
        <w:rPr>
          <w:noProof/>
        </w:rPr>
        <w:fldChar w:fldCharType="end"/>
      </w:r>
      <w:bookmarkEnd w:id="170"/>
      <w:r w:rsidR="00D7024A" w:rsidRPr="00411E3E">
        <w:rPr>
          <w:rFonts w:eastAsia="Times New Roman"/>
          <w:b/>
          <w:bCs/>
          <w:i w:val="0"/>
          <w:noProof/>
          <w:color w:val="4F81BD"/>
        </w:rPr>
        <w:t xml:space="preserve"> </w:t>
      </w:r>
      <w:r w:rsidR="00D7024A" w:rsidRPr="00CD38D2">
        <w:t>Različite FTTH arhitekture</w:t>
      </w:r>
    </w:p>
    <w:p w:rsidR="00D7024A" w:rsidRPr="00411E3E" w:rsidRDefault="00D7024A" w:rsidP="00D7024A">
      <w:pPr>
        <w:jc w:val="both"/>
        <w:rPr>
          <w:rFonts w:eastAsia="Times New Roman"/>
          <w:color w:val="000000"/>
        </w:rPr>
      </w:pPr>
      <w:r w:rsidRPr="000E51E4">
        <w:rPr>
          <w:rFonts w:eastAsia="Times New Roman"/>
          <w:noProof/>
          <w:color w:val="000000"/>
          <w:lang w:val="en-US"/>
        </w:rPr>
        <w:drawing>
          <wp:inline distT="0" distB="0" distL="0" distR="0" wp14:anchorId="48A7DE3B" wp14:editId="6B054643">
            <wp:extent cx="5972810" cy="248399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2810" cy="2483995"/>
                    </a:xfrm>
                    <a:prstGeom prst="rect">
                      <a:avLst/>
                    </a:prstGeom>
                    <a:noFill/>
                    <a:ln>
                      <a:noFill/>
                    </a:ln>
                  </pic:spPr>
                </pic:pic>
              </a:graphicData>
            </a:graphic>
          </wp:inline>
        </w:drawing>
      </w:r>
    </w:p>
    <w:p w:rsidR="00D7024A" w:rsidRPr="00FE2A35" w:rsidRDefault="00D7024A" w:rsidP="00D7024A">
      <w:pPr>
        <w:autoSpaceDE w:val="0"/>
        <w:autoSpaceDN w:val="0"/>
        <w:adjustRightInd w:val="0"/>
        <w:jc w:val="both"/>
        <w:rPr>
          <w:rFonts w:eastAsia="Times New Roman"/>
          <w:color w:val="000000"/>
          <w:sz w:val="20"/>
          <w:szCs w:val="20"/>
        </w:rPr>
      </w:pPr>
      <w:r w:rsidRPr="00FE2A35">
        <w:rPr>
          <w:rFonts w:eastAsia="Times New Roman"/>
          <w:color w:val="000000"/>
          <w:sz w:val="20"/>
          <w:szCs w:val="20"/>
        </w:rPr>
        <w:t>I</w:t>
      </w:r>
      <w:r w:rsidRPr="00CD38D2">
        <w:rPr>
          <w:i/>
          <w:iCs/>
          <w:color w:val="44546A" w:themeColor="text2"/>
          <w:sz w:val="18"/>
          <w:szCs w:val="18"/>
        </w:rPr>
        <w:t xml:space="preserve">zvor: FTTH </w:t>
      </w:r>
      <w:proofErr w:type="spellStart"/>
      <w:r w:rsidRPr="00CD38D2">
        <w:rPr>
          <w:i/>
          <w:iCs/>
          <w:color w:val="44546A" w:themeColor="text2"/>
          <w:sz w:val="18"/>
          <w:szCs w:val="18"/>
        </w:rPr>
        <w:t>Council</w:t>
      </w:r>
      <w:proofErr w:type="spellEnd"/>
      <w:r w:rsidRPr="00CD38D2">
        <w:rPr>
          <w:i/>
          <w:iCs/>
          <w:color w:val="44546A" w:themeColor="text2"/>
          <w:sz w:val="18"/>
          <w:szCs w:val="18"/>
        </w:rPr>
        <w:t xml:space="preserve"> Europe, FTTH </w:t>
      </w:r>
      <w:proofErr w:type="spellStart"/>
      <w:r w:rsidRPr="00CD38D2">
        <w:rPr>
          <w:i/>
          <w:iCs/>
          <w:color w:val="44546A" w:themeColor="text2"/>
          <w:sz w:val="18"/>
          <w:szCs w:val="18"/>
        </w:rPr>
        <w:t>Handbook</w:t>
      </w:r>
      <w:proofErr w:type="spellEnd"/>
    </w:p>
    <w:p w:rsidR="00D7024A" w:rsidRPr="00CA1644" w:rsidRDefault="00D7024A" w:rsidP="00D7024A">
      <w:pPr>
        <w:jc w:val="both"/>
        <w:rPr>
          <w:rFonts w:eastAsia="Times New Roman"/>
          <w:bCs/>
          <w:sz w:val="20"/>
          <w:szCs w:val="20"/>
        </w:rPr>
      </w:pPr>
    </w:p>
    <w:p w:rsidR="00D7024A" w:rsidRDefault="00D7024A" w:rsidP="00D7024A">
      <w:pPr>
        <w:jc w:val="both"/>
        <w:rPr>
          <w:rFonts w:eastAsia="Times New Roman" w:cs="Times-Roman"/>
        </w:rPr>
      </w:pPr>
      <w:r>
        <w:rPr>
          <w:rFonts w:eastAsia="Times New Roman" w:cs="Times-Roman"/>
        </w:rPr>
        <w:t xml:space="preserve">Iz gornjih opisa je razvidno da je i jedna i druga topologija u jednom topologija od točke do točke. Kod P2P topologije to je na cijelom prijenosnom putu od OLT-a do krajnjeg korisnika dok je kod P2MP topologije to u dijelu od točke grananja na kojoj se nalazi zadnji svjetlovodni djelitelj pa do krajnjeg korisnika. Stoga je kod P2P topologije uslugu pristupa izdvojenoj lokalnoj petlji koja se temelji na svjetlovodnoj niti moguće pružiti na lokaciji pristupnog čvora (ili POP-a) u kojem se nalazi OLT, dok je kod P2MP topologije to moguće na lokaciji točke grananja, odnosno distribucijskog čvora u kojem se nalazi zadnji svjetlovodni djelitelj. </w:t>
      </w:r>
    </w:p>
    <w:p w:rsidR="00D7024A" w:rsidRDefault="00D7024A" w:rsidP="00D7024A">
      <w:pPr>
        <w:jc w:val="both"/>
        <w:rPr>
          <w:rFonts w:eastAsia="Times New Roman" w:cs="Times-Roman"/>
        </w:rPr>
      </w:pPr>
    </w:p>
    <w:p w:rsidR="00D7024A" w:rsidRPr="00411E3E" w:rsidRDefault="00CD38D2" w:rsidP="000C3571">
      <w:pPr>
        <w:pStyle w:val="Caption"/>
        <w:spacing w:after="0"/>
        <w:rPr>
          <w:rFonts w:eastAsia="Times New Roman"/>
          <w:b/>
          <w:bCs/>
          <w:i w:val="0"/>
          <w:noProof/>
          <w:color w:val="4F81BD"/>
        </w:rPr>
      </w:pPr>
      <w:bookmarkStart w:id="171" w:name="_Ref124838848"/>
      <w:r>
        <w:t xml:space="preserve">Slika </w:t>
      </w:r>
      <w:r w:rsidR="00C60C6F">
        <w:fldChar w:fldCharType="begin"/>
      </w:r>
      <w:r w:rsidR="00C60C6F">
        <w:instrText xml:space="preserve"> SEQ Slika \* ARABIC </w:instrText>
      </w:r>
      <w:r w:rsidR="00C60C6F">
        <w:fldChar w:fldCharType="separate"/>
      </w:r>
      <w:r w:rsidR="006A29BC">
        <w:rPr>
          <w:noProof/>
        </w:rPr>
        <w:t>12</w:t>
      </w:r>
      <w:r w:rsidR="00C60C6F">
        <w:rPr>
          <w:noProof/>
        </w:rPr>
        <w:fldChar w:fldCharType="end"/>
      </w:r>
      <w:bookmarkEnd w:id="171"/>
      <w:r>
        <w:t xml:space="preserve"> </w:t>
      </w:r>
      <w:r w:rsidR="00D7024A" w:rsidRPr="00CD38D2">
        <w:t xml:space="preserve">Pokrivene korisničke jedinice prema </w:t>
      </w:r>
      <w:proofErr w:type="spellStart"/>
      <w:r w:rsidR="00D7024A" w:rsidRPr="00CD38D2">
        <w:t>FTTx</w:t>
      </w:r>
      <w:proofErr w:type="spellEnd"/>
      <w:r w:rsidR="00D7024A" w:rsidRPr="00CD38D2">
        <w:t xml:space="preserve"> tehnologijama</w:t>
      </w:r>
    </w:p>
    <w:p w:rsidR="00D7024A" w:rsidRPr="00CD38D2" w:rsidRDefault="00B6751A" w:rsidP="00D7024A">
      <w:pPr>
        <w:jc w:val="both"/>
        <w:rPr>
          <w:i/>
          <w:iCs/>
          <w:color w:val="44546A" w:themeColor="text2"/>
          <w:sz w:val="18"/>
          <w:szCs w:val="18"/>
        </w:rPr>
      </w:pPr>
      <w:r>
        <w:rPr>
          <w:i/>
          <w:iCs/>
          <w:noProof/>
          <w:color w:val="44546A" w:themeColor="text2"/>
          <w:sz w:val="18"/>
          <w:szCs w:val="18"/>
          <w:lang w:val="en-US"/>
        </w:rPr>
        <w:drawing>
          <wp:inline distT="0" distB="0" distL="0" distR="0" wp14:anchorId="70C47B15" wp14:editId="1A06823D">
            <wp:extent cx="5279390" cy="240220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9390" cy="2402205"/>
                    </a:xfrm>
                    <a:prstGeom prst="rect">
                      <a:avLst/>
                    </a:prstGeom>
                    <a:noFill/>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B74F3D" w:rsidRDefault="00B74F3D" w:rsidP="00D7024A">
      <w:pPr>
        <w:jc w:val="both"/>
        <w:rPr>
          <w:rFonts w:eastAsia="Times New Roman" w:cs="Times-Roman"/>
        </w:rPr>
      </w:pPr>
    </w:p>
    <w:p w:rsidR="00D7024A" w:rsidRDefault="00D7024A" w:rsidP="00D7024A">
      <w:pPr>
        <w:jc w:val="both"/>
        <w:rPr>
          <w:rFonts w:eastAsia="Times New Roman" w:cs="Times-Roman"/>
        </w:rPr>
      </w:pPr>
      <w:r>
        <w:rPr>
          <w:rFonts w:eastAsia="Times New Roman" w:cs="Times-Roman"/>
        </w:rPr>
        <w:t>U RH svjetlovodne pristupne mreže se u najvećoj mjeri grade kao P2MP topologija s PON tehnologijom (</w:t>
      </w:r>
      <w:r w:rsidR="00B75510">
        <w:rPr>
          <w:rFonts w:eastAsia="Times New Roman" w:cs="Times-Roman"/>
        </w:rPr>
        <w:fldChar w:fldCharType="begin"/>
      </w:r>
      <w:r w:rsidR="00B75510">
        <w:rPr>
          <w:rFonts w:eastAsia="Times New Roman" w:cs="Times-Roman"/>
        </w:rPr>
        <w:instrText xml:space="preserve"> REF _Ref124838848 \h </w:instrText>
      </w:r>
      <w:r w:rsidR="00B75510">
        <w:rPr>
          <w:rFonts w:eastAsia="Times New Roman" w:cs="Times-Roman"/>
        </w:rPr>
      </w:r>
      <w:r w:rsidR="00B75510">
        <w:rPr>
          <w:rFonts w:eastAsia="Times New Roman" w:cs="Times-Roman"/>
        </w:rPr>
        <w:fldChar w:fldCharType="separate"/>
      </w:r>
      <w:r w:rsidR="00B75510">
        <w:t xml:space="preserve">Slika </w:t>
      </w:r>
      <w:r w:rsidR="00B75510">
        <w:rPr>
          <w:noProof/>
        </w:rPr>
        <w:t>12</w:t>
      </w:r>
      <w:r w:rsidR="00B75510">
        <w:rPr>
          <w:rFonts w:eastAsia="Times New Roman" w:cs="Times-Roman"/>
        </w:rPr>
        <w:fldChar w:fldCharType="end"/>
      </w:r>
      <w:r>
        <w:rPr>
          <w:rFonts w:eastAsia="Times New Roman" w:cs="Times-Roman"/>
        </w:rPr>
        <w:t xml:space="preserve">). U odnosu na dijagram sa gornje slike potrebno je naglasiti da se tehnologija oznake P2P </w:t>
      </w:r>
      <w:proofErr w:type="spellStart"/>
      <w:r>
        <w:rPr>
          <w:rFonts w:eastAsia="Times New Roman" w:cs="Times-Roman"/>
        </w:rPr>
        <w:t>Ethernet</w:t>
      </w:r>
      <w:proofErr w:type="spellEnd"/>
      <w:r>
        <w:rPr>
          <w:rFonts w:eastAsia="Times New Roman" w:cs="Times-Roman"/>
        </w:rPr>
        <w:t xml:space="preserve"> koja ima relativno značajno pokrivanje korisničkih jedinica u biti odnosi na lokacije s poslovnim korisnicima koje su priključene na usluge s tržišta zajamčenog kapaciteta te da se putem tih priključaka ne pružaju usluge ovog mjerodavnog tržišta. </w:t>
      </w:r>
    </w:p>
    <w:p w:rsidR="00D7024A" w:rsidRDefault="00D7024A" w:rsidP="00D7024A">
      <w:pPr>
        <w:jc w:val="both"/>
        <w:rPr>
          <w:rFonts w:eastAsia="Times New Roman" w:cs="Times-Roman"/>
        </w:rPr>
      </w:pPr>
    </w:p>
    <w:p w:rsidR="00D7024A" w:rsidRDefault="00D7024A" w:rsidP="00D7024A">
      <w:pPr>
        <w:jc w:val="both"/>
        <w:rPr>
          <w:rFonts w:eastAsia="Times New Roman" w:cs="Times-Roman"/>
        </w:rPr>
      </w:pPr>
      <w:r>
        <w:rPr>
          <w:rFonts w:eastAsia="Times New Roman" w:cs="Times-Roman"/>
        </w:rPr>
        <w:t>Dodatno je potrebno naglasiti da se svjetlovodne mreže u RH moraju graditi sukladno odredbama Pravilnika o svjetlovodnim mrežama koji između ostalog propisuje minimalni kapacitet distribucijskog čvora (točka grananja kod PON mreže u koje se smještaju svjetlovodni djelitelji), odnosno minimalni broj krajnjih korisnika koje se može dohvatiti s tog čvora, što omogućuje isplativost korištenja usluge izdvojene svjetlovodne lokalne petlje na temelju svjetlovodne niti na lokaciji distribucijskog čvora. Obveza pristupa nitima svjetlovodne distribucijske mreže je simetričnom regulacijom koja vrijedi u RH</w:t>
      </w:r>
      <w:r>
        <w:rPr>
          <w:rStyle w:val="FootnoteReference"/>
          <w:rFonts w:eastAsia="Times New Roman" w:cs="Times-Roman"/>
        </w:rPr>
        <w:footnoteReference w:id="29"/>
      </w:r>
      <w:r>
        <w:rPr>
          <w:rFonts w:eastAsia="Times New Roman" w:cs="Times-Roman"/>
        </w:rPr>
        <w:t xml:space="preserve"> propisana u odnosu na sve operatore koji grade svjetlovodne distribucijske mreže, dok je HT-u prošlom analizom tržišta uz obvezu pristupa izdvojenoj lokalnoj petlji na temelju svjetlovodne niti na lokaciji distribucijskog čvora propisana i obveza pružanja usluge VULA.</w:t>
      </w:r>
    </w:p>
    <w:p w:rsidR="000C3571" w:rsidRDefault="000C3571" w:rsidP="00D7024A">
      <w:pPr>
        <w:jc w:val="both"/>
        <w:rPr>
          <w:rFonts w:eastAsia="Times New Roman" w:cs="Times-Roman"/>
        </w:rPr>
      </w:pPr>
    </w:p>
    <w:p w:rsidR="00D7024A" w:rsidRDefault="00D7024A" w:rsidP="00D7024A">
      <w:pPr>
        <w:jc w:val="both"/>
        <w:rPr>
          <w:rFonts w:eastAsia="Times New Roman" w:cs="Times-Roman"/>
        </w:rPr>
      </w:pPr>
      <w:r>
        <w:rPr>
          <w:rFonts w:eastAsia="Times New Roman" w:cs="Times-Roman"/>
        </w:rPr>
        <w:t>Dakle, i</w:t>
      </w:r>
      <w:r w:rsidRPr="00CA1644">
        <w:rPr>
          <w:rFonts w:eastAsia="Times New Roman" w:cs="Times-Roman"/>
        </w:rPr>
        <w:t>zdvojeni p</w:t>
      </w:r>
      <w:r>
        <w:rPr>
          <w:rFonts w:eastAsia="Times New Roman" w:cs="Times-Roman"/>
        </w:rPr>
        <w:t xml:space="preserve">ristup lokalnoj petlji je u </w:t>
      </w:r>
      <w:r w:rsidRPr="00CA1644">
        <w:rPr>
          <w:rFonts w:eastAsia="Times New Roman" w:cs="Times-Roman"/>
        </w:rPr>
        <w:t xml:space="preserve">slučaju </w:t>
      </w:r>
      <w:r>
        <w:rPr>
          <w:rFonts w:eastAsia="Times New Roman" w:cs="Times-Roman"/>
        </w:rPr>
        <w:t xml:space="preserve">PON mreža koje se najčešće grade u RH </w:t>
      </w:r>
      <w:r w:rsidRPr="00CA1644">
        <w:rPr>
          <w:rFonts w:eastAsia="Times New Roman" w:cs="Times-Roman"/>
        </w:rPr>
        <w:t xml:space="preserve">moguć </w:t>
      </w:r>
      <w:r w:rsidRPr="00CA1644">
        <w:rPr>
          <w:rFonts w:eastAsia="Times New Roman"/>
          <w:lang w:eastAsia="hr-HR"/>
        </w:rPr>
        <w:t>u distribucijskom čvoru svjetlovodne distribucijske mreže u kojem se nalazi zadnji djelitelj (</w:t>
      </w:r>
      <w:proofErr w:type="spellStart"/>
      <w:r w:rsidRPr="00CA1644">
        <w:rPr>
          <w:rFonts w:eastAsia="Times New Roman"/>
          <w:lang w:eastAsia="hr-HR"/>
        </w:rPr>
        <w:t>splitter</w:t>
      </w:r>
      <w:proofErr w:type="spellEnd"/>
      <w:r w:rsidRPr="00CA1644">
        <w:rPr>
          <w:rFonts w:eastAsia="Times New Roman"/>
          <w:lang w:eastAsia="hr-HR"/>
        </w:rPr>
        <w:t xml:space="preserve">) </w:t>
      </w:r>
      <w:r w:rsidRPr="00CA1644">
        <w:rPr>
          <w:rFonts w:eastAsia="Times New Roman" w:cs="Times-Roman"/>
        </w:rPr>
        <w:t>(</w:t>
      </w:r>
      <w:proofErr w:type="spellStart"/>
      <w:r w:rsidRPr="00CA1644">
        <w:rPr>
          <w:rFonts w:eastAsia="Times New Roman"/>
          <w:i/>
        </w:rPr>
        <w:t>fibre</w:t>
      </w:r>
      <w:proofErr w:type="spellEnd"/>
      <w:r w:rsidRPr="00CA1644">
        <w:rPr>
          <w:rFonts w:eastAsia="Times New Roman"/>
          <w:i/>
        </w:rPr>
        <w:t xml:space="preserve"> </w:t>
      </w:r>
      <w:proofErr w:type="spellStart"/>
      <w:r w:rsidRPr="00CA1644">
        <w:rPr>
          <w:rFonts w:eastAsia="Times New Roman"/>
          <w:i/>
        </w:rPr>
        <w:t>access</w:t>
      </w:r>
      <w:proofErr w:type="spellEnd"/>
      <w:r w:rsidRPr="00CA1644">
        <w:rPr>
          <w:rFonts w:eastAsia="Times New Roman"/>
          <w:i/>
        </w:rPr>
        <w:t xml:space="preserve"> – FA</w:t>
      </w:r>
      <w:r w:rsidRPr="00CA1644">
        <w:rPr>
          <w:rFonts w:eastAsia="Times New Roman" w:cs="Times-Roman"/>
        </w:rPr>
        <w:t xml:space="preserve">) </w:t>
      </w:r>
      <w:r w:rsidRPr="00CA1644">
        <w:rPr>
          <w:rFonts w:eastAsia="Times New Roman"/>
          <w:lang w:eastAsia="hr-HR"/>
        </w:rPr>
        <w:t>za sve svjetlovodne distribucijske mreže koje su građene (postavljane) sukladno odredbama Pravilnika o tehničkim i uporabnim uvjetima za svjetlovodne distribucijske mreže</w:t>
      </w:r>
      <w:r w:rsidRPr="00CA1644">
        <w:rPr>
          <w:rFonts w:eastAsia="Times New Roman"/>
          <w:vertAlign w:val="superscript"/>
        </w:rPr>
        <w:footnoteReference w:id="30"/>
      </w:r>
      <w:r w:rsidRPr="00CA1644">
        <w:rPr>
          <w:rFonts w:eastAsia="Times New Roman" w:cs="Times-Roman"/>
        </w:rPr>
        <w:t>, odnosno Pravilnika o svjetlovodnim distribucijskim mrežama</w:t>
      </w:r>
      <w:r w:rsidRPr="00CA1644">
        <w:rPr>
          <w:rFonts w:eastAsia="Times New Roman" w:cs="Times-Roman"/>
          <w:vertAlign w:val="superscript"/>
        </w:rPr>
        <w:footnoteReference w:id="31"/>
      </w:r>
      <w:r w:rsidRPr="00CA1644">
        <w:rPr>
          <w:rFonts w:eastAsia="Times New Roman" w:cs="Times-Roman"/>
        </w:rPr>
        <w:t xml:space="preserve"> ili putem </w:t>
      </w:r>
      <w:r>
        <w:rPr>
          <w:rFonts w:eastAsia="Times New Roman" w:cs="Times-Roman"/>
        </w:rPr>
        <w:t xml:space="preserve">HT-ov </w:t>
      </w:r>
      <w:r w:rsidRPr="00CA1644">
        <w:rPr>
          <w:rFonts w:eastAsia="Times New Roman" w:cs="Times-Roman"/>
        </w:rPr>
        <w:t xml:space="preserve">usluge virtualnog izdvajanja lokalne petlje </w:t>
      </w:r>
      <w:r w:rsidRPr="00CA1644">
        <w:rPr>
          <w:rFonts w:eastAsia="Times New Roman"/>
          <w:iCs/>
        </w:rPr>
        <w:t>(</w:t>
      </w:r>
      <w:proofErr w:type="spellStart"/>
      <w:r w:rsidRPr="00CA1644">
        <w:rPr>
          <w:rFonts w:eastAsia="Times New Roman"/>
          <w:iCs/>
        </w:rPr>
        <w:t>eng</w:t>
      </w:r>
      <w:proofErr w:type="spellEnd"/>
      <w:r w:rsidRPr="00CA1644">
        <w:rPr>
          <w:rFonts w:eastAsia="Times New Roman"/>
          <w:iCs/>
        </w:rPr>
        <w:t xml:space="preserve">. </w:t>
      </w:r>
      <w:proofErr w:type="spellStart"/>
      <w:r w:rsidRPr="00CA1644">
        <w:rPr>
          <w:rFonts w:eastAsia="Times New Roman"/>
          <w:i/>
          <w:iCs/>
        </w:rPr>
        <w:t>Virtual</w:t>
      </w:r>
      <w:proofErr w:type="spellEnd"/>
      <w:r w:rsidRPr="00CA1644">
        <w:rPr>
          <w:rFonts w:eastAsia="Times New Roman"/>
          <w:i/>
          <w:iCs/>
        </w:rPr>
        <w:t xml:space="preserve"> </w:t>
      </w:r>
      <w:proofErr w:type="spellStart"/>
      <w:r w:rsidRPr="00CA1644">
        <w:rPr>
          <w:rFonts w:eastAsia="Times New Roman"/>
          <w:i/>
          <w:iCs/>
        </w:rPr>
        <w:t>Unbundling</w:t>
      </w:r>
      <w:proofErr w:type="spellEnd"/>
      <w:r w:rsidRPr="00CA1644">
        <w:rPr>
          <w:rFonts w:eastAsia="Times New Roman"/>
          <w:iCs/>
        </w:rPr>
        <w:t xml:space="preserve"> – VULA). </w:t>
      </w:r>
      <w:r>
        <w:rPr>
          <w:rFonts w:eastAsia="Times New Roman" w:cs="Times-Roman"/>
        </w:rPr>
        <w:t xml:space="preserve"> </w:t>
      </w:r>
    </w:p>
    <w:p w:rsidR="004763E0" w:rsidRDefault="004763E0" w:rsidP="00D7024A">
      <w:pPr>
        <w:jc w:val="both"/>
        <w:rPr>
          <w:rFonts w:eastAsia="Times New Roman" w:cs="Times-Roman"/>
        </w:rPr>
      </w:pPr>
    </w:p>
    <w:p w:rsidR="00D7024A" w:rsidRDefault="00D7024A" w:rsidP="00D7024A">
      <w:pPr>
        <w:jc w:val="both"/>
        <w:rPr>
          <w:rFonts w:eastAsia="Times New Roman"/>
          <w:iCs/>
        </w:rPr>
      </w:pPr>
      <w:r w:rsidRPr="00CA1644">
        <w:rPr>
          <w:rFonts w:eastAsia="Times New Roman" w:cs="Times-Roman"/>
        </w:rPr>
        <w:t xml:space="preserve">Usluga virtualnog izdvajanja lokalne petlje </w:t>
      </w:r>
      <w:r w:rsidRPr="00CA1644">
        <w:rPr>
          <w:rFonts w:eastAsia="Times New Roman"/>
          <w:iCs/>
        </w:rPr>
        <w:t>zapravo predstavlja uslugu koja odgovara usl</w:t>
      </w:r>
      <w:r>
        <w:rPr>
          <w:rFonts w:eastAsia="Times New Roman"/>
          <w:iCs/>
        </w:rPr>
        <w:t>uzi bitstream</w:t>
      </w:r>
      <w:r w:rsidRPr="00CA1644">
        <w:rPr>
          <w:rFonts w:eastAsia="Times New Roman"/>
          <w:iCs/>
        </w:rPr>
        <w:t xml:space="preserve"> pristupa na OLT razini koja je trenutno definirana u Standardnoj ponudi HT-a za uslugu velep</w:t>
      </w:r>
      <w:r>
        <w:rPr>
          <w:rFonts w:eastAsia="Times New Roman"/>
          <w:iCs/>
        </w:rPr>
        <w:t>rodajnog širokopojasnog pristupa. Osim za pristup FTTH svjetlovodnim mrežama koje se temelje na PON tehnologijama, kojima se pristup može pružiti i na lokaciji distribucijskog čvora, VULA usluga je jedini mogući način veleprodajnog lokalnog pristupa mrežama koje se temelje na FTTB i FTTDP rješenju HT-a.</w:t>
      </w:r>
    </w:p>
    <w:p w:rsidR="00D7024A" w:rsidRPr="00CA1644" w:rsidRDefault="00D7024A" w:rsidP="00D7024A">
      <w:pPr>
        <w:jc w:val="both"/>
        <w:rPr>
          <w:rFonts w:eastAsia="Times New Roman" w:cs="Times-Roman"/>
        </w:rPr>
      </w:pPr>
    </w:p>
    <w:p w:rsidR="00D7024A" w:rsidRDefault="00D7024A" w:rsidP="00D7024A">
      <w:pPr>
        <w:autoSpaceDE w:val="0"/>
        <w:autoSpaceDN w:val="0"/>
        <w:adjustRightInd w:val="0"/>
        <w:jc w:val="both"/>
        <w:rPr>
          <w:rFonts w:eastAsia="Times New Roman" w:cs="Times-Roman"/>
        </w:rPr>
      </w:pPr>
      <w:r w:rsidRPr="00411E3E">
        <w:rPr>
          <w:rFonts w:eastAsia="Times New Roman" w:cs="Times-Roman"/>
        </w:rPr>
        <w:t xml:space="preserve">Usluga virtualnog izdvojenog pristupa lokalnoj petlji dizajnirana je s ciljem da se omogući veleprodajna usluga istih značajki kao što je izdvajanje lokalne petlje na novim mrežnim arhitekturama na kojima nije moguće izdvojiti lokalnu petlju primjenom fizičkog izdvajanja lokalne petlje. Za razliku od fizičkog izdvajanja lokalne petlje, virtualno izdvajanje lokalne petlje alternativnom operatoru ne omogućuje potpunu kontrolu nad lokalnom petljom, s obzirom da operator korisnik nema potpunu kontrolu nad mrežnom opremom koja je u vlasništvu veleprodajnog operatora, a na koju je spojen korisnik. </w:t>
      </w:r>
    </w:p>
    <w:p w:rsidR="009C6743" w:rsidRDefault="009C6743" w:rsidP="00D7024A">
      <w:pPr>
        <w:autoSpaceDE w:val="0"/>
        <w:autoSpaceDN w:val="0"/>
        <w:adjustRightInd w:val="0"/>
        <w:jc w:val="both"/>
        <w:rPr>
          <w:rFonts w:eastAsia="Times New Roman" w:cs="Times-Roman"/>
        </w:rPr>
      </w:pPr>
    </w:p>
    <w:p w:rsidR="00D7024A" w:rsidRDefault="00D7024A" w:rsidP="00D7024A">
      <w:pPr>
        <w:autoSpaceDE w:val="0"/>
        <w:autoSpaceDN w:val="0"/>
        <w:adjustRightInd w:val="0"/>
        <w:jc w:val="both"/>
        <w:rPr>
          <w:rFonts w:eastAsia="Times New Roman" w:cs="Times-Roman"/>
        </w:rPr>
      </w:pPr>
      <w:r w:rsidRPr="00411E3E">
        <w:rPr>
          <w:rFonts w:eastAsia="Times New Roman" w:cs="Times-Roman"/>
        </w:rPr>
        <w:t>U budućnosti se očekuju i druga tehnološka rješenja u području WDM (CWDM i DWDM) tehnologije koja će omogućiti izdvojeni pristup koji će se temeljiti na valnoj duljini u mrežama PON arhitekture.</w:t>
      </w:r>
    </w:p>
    <w:p w:rsidR="00CD38D2" w:rsidRDefault="00CD38D2" w:rsidP="00CD38D2">
      <w:pPr>
        <w:pStyle w:val="Caption"/>
      </w:pPr>
      <w:bookmarkStart w:id="172" w:name="_Ref124843068"/>
    </w:p>
    <w:p w:rsidR="00CD38D2" w:rsidRDefault="00CD38D2" w:rsidP="00CD38D2">
      <w:pPr>
        <w:pStyle w:val="Caption"/>
      </w:pPr>
    </w:p>
    <w:p w:rsidR="00CD38D2" w:rsidRDefault="00CD38D2" w:rsidP="00CD38D2">
      <w:pPr>
        <w:pStyle w:val="Caption"/>
      </w:pPr>
    </w:p>
    <w:p w:rsidR="006A29BC" w:rsidRPr="006A29BC" w:rsidRDefault="006A29BC" w:rsidP="006A29BC"/>
    <w:p w:rsidR="006A29BC" w:rsidRDefault="006A29BC" w:rsidP="006A29BC">
      <w:pPr>
        <w:pStyle w:val="Caption"/>
        <w:spacing w:after="0"/>
      </w:pPr>
    </w:p>
    <w:p w:rsidR="00D7024A" w:rsidRPr="00411E3E" w:rsidRDefault="00CD38D2" w:rsidP="006A29BC">
      <w:pPr>
        <w:pStyle w:val="Caption"/>
        <w:spacing w:after="0"/>
        <w:rPr>
          <w:rFonts w:eastAsia="Times New Roman"/>
          <w:b/>
          <w:bCs/>
          <w:i w:val="0"/>
          <w:noProof/>
          <w:color w:val="4F81BD"/>
        </w:rPr>
      </w:pPr>
      <w:bookmarkStart w:id="173" w:name="_Ref125572548"/>
      <w:r>
        <w:t xml:space="preserve">Slika </w:t>
      </w:r>
      <w:r w:rsidR="00C60C6F">
        <w:fldChar w:fldCharType="begin"/>
      </w:r>
      <w:r w:rsidR="00C60C6F">
        <w:instrText xml:space="preserve"> SEQ Slika \* ARABIC </w:instrText>
      </w:r>
      <w:r w:rsidR="00C60C6F">
        <w:fldChar w:fldCharType="separate"/>
      </w:r>
      <w:r w:rsidR="006A29BC">
        <w:rPr>
          <w:noProof/>
        </w:rPr>
        <w:t>13</w:t>
      </w:r>
      <w:r w:rsidR="00C60C6F">
        <w:rPr>
          <w:noProof/>
        </w:rPr>
        <w:fldChar w:fldCharType="end"/>
      </w:r>
      <w:bookmarkEnd w:id="172"/>
      <w:bookmarkEnd w:id="173"/>
      <w:r>
        <w:t xml:space="preserve"> </w:t>
      </w:r>
      <w:r w:rsidR="00D7024A" w:rsidRPr="00CD38D2">
        <w:t>Maloprodajni priključci temeljeni na svjetlovodnoj niti prema načinima pristupa</w:t>
      </w:r>
    </w:p>
    <w:p w:rsidR="00D7024A" w:rsidRDefault="00E96F99" w:rsidP="00D7024A">
      <w:pPr>
        <w:autoSpaceDE w:val="0"/>
        <w:autoSpaceDN w:val="0"/>
        <w:adjustRightInd w:val="0"/>
        <w:jc w:val="both"/>
        <w:rPr>
          <w:rFonts w:eastAsia="Times New Roman" w:cs="Times-Roman"/>
        </w:rPr>
      </w:pPr>
      <w:r>
        <w:rPr>
          <w:rFonts w:eastAsia="Times New Roman" w:cs="Times-Roman"/>
          <w:noProof/>
          <w:lang w:val="en-US"/>
        </w:rPr>
        <w:drawing>
          <wp:inline distT="0" distB="0" distL="0" distR="0" wp14:anchorId="00CCAAE2" wp14:editId="3EDF2C4F">
            <wp:extent cx="4784271" cy="296120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34878" cy="2992528"/>
                    </a:xfrm>
                    <a:prstGeom prst="rect">
                      <a:avLst/>
                    </a:prstGeom>
                    <a:noFill/>
                  </pic:spPr>
                </pic:pic>
              </a:graphicData>
            </a:graphic>
          </wp:inline>
        </w:drawing>
      </w:r>
    </w:p>
    <w:p w:rsidR="00D7024A" w:rsidRPr="00CD38D2" w:rsidRDefault="00D7024A" w:rsidP="00D7024A">
      <w:pPr>
        <w:autoSpaceDE w:val="0"/>
        <w:autoSpaceDN w:val="0"/>
        <w:adjustRightInd w:val="0"/>
        <w:jc w:val="both"/>
        <w:rPr>
          <w:i/>
          <w:iCs/>
          <w:color w:val="44546A" w:themeColor="text2"/>
          <w:sz w:val="18"/>
          <w:szCs w:val="18"/>
        </w:rPr>
      </w:pPr>
      <w:r w:rsidRPr="00CD38D2">
        <w:rPr>
          <w:i/>
          <w:iCs/>
          <w:color w:val="44546A" w:themeColor="text2"/>
          <w:sz w:val="18"/>
          <w:szCs w:val="18"/>
        </w:rPr>
        <w:t>Izvor: HAKOM</w:t>
      </w:r>
    </w:p>
    <w:p w:rsidR="00B74F3D" w:rsidRDefault="00B74F3D" w:rsidP="00D7024A">
      <w:pPr>
        <w:autoSpaceDE w:val="0"/>
        <w:autoSpaceDN w:val="0"/>
        <w:adjustRightInd w:val="0"/>
        <w:jc w:val="both"/>
        <w:rPr>
          <w:rFonts w:eastAsia="Times New Roman" w:cs="Times-Roman"/>
        </w:rPr>
      </w:pPr>
    </w:p>
    <w:p w:rsidR="00D7024A" w:rsidRDefault="00D7024A" w:rsidP="00D7024A">
      <w:pPr>
        <w:autoSpaceDE w:val="0"/>
        <w:autoSpaceDN w:val="0"/>
        <w:adjustRightInd w:val="0"/>
        <w:jc w:val="both"/>
        <w:rPr>
          <w:rFonts w:eastAsia="Times New Roman" w:cs="Times-Roman"/>
        </w:rPr>
      </w:pPr>
      <w:r>
        <w:rPr>
          <w:rFonts w:eastAsia="Times New Roman" w:cs="Times-Roman"/>
        </w:rPr>
        <w:t>Trenutno se veleprodajne usluge temeljene na svjetlovodnoj niti koriste u zanemarivoj mjeri. Dakle, operatori, kako HT, tako i alternativni operatori u najvećoj mjeri maloprodajne usluge temeljene na svjetlovodnoj niti koriste putem vlastite infrastrukture (</w:t>
      </w:r>
      <w:r w:rsidR="00B75510">
        <w:rPr>
          <w:rFonts w:eastAsia="Times New Roman" w:cs="Times-Roman"/>
        </w:rPr>
        <w:fldChar w:fldCharType="begin"/>
      </w:r>
      <w:r w:rsidR="00B75510">
        <w:rPr>
          <w:rFonts w:eastAsia="Times New Roman" w:cs="Times-Roman"/>
        </w:rPr>
        <w:instrText xml:space="preserve"> REF _Ref125572548 \h </w:instrText>
      </w:r>
      <w:r w:rsidR="00B75510">
        <w:rPr>
          <w:rFonts w:eastAsia="Times New Roman" w:cs="Times-Roman"/>
        </w:rPr>
      </w:r>
      <w:r w:rsidR="00B75510">
        <w:rPr>
          <w:rFonts w:eastAsia="Times New Roman" w:cs="Times-Roman"/>
        </w:rPr>
        <w:fldChar w:fldCharType="separate"/>
      </w:r>
      <w:r w:rsidR="00B75510">
        <w:t xml:space="preserve">Slika </w:t>
      </w:r>
      <w:r w:rsidR="00B75510">
        <w:rPr>
          <w:noProof/>
        </w:rPr>
        <w:t>13</w:t>
      </w:r>
      <w:r w:rsidR="00B75510">
        <w:rPr>
          <w:rFonts w:eastAsia="Times New Roman" w:cs="Times-Roman"/>
        </w:rPr>
        <w:fldChar w:fldCharType="end"/>
      </w:r>
      <w:r>
        <w:rPr>
          <w:rFonts w:eastAsia="Times New Roman" w:cs="Times-Roman"/>
        </w:rPr>
        <w:t xml:space="preserve">). Razlog tomu je što su operatori u proteklom razdoblju bili fokusirani na postavljanje vlastitih mreža te njihovu što veću </w:t>
      </w:r>
      <w:proofErr w:type="spellStart"/>
      <w:r>
        <w:rPr>
          <w:rFonts w:eastAsia="Times New Roman" w:cs="Times-Roman"/>
        </w:rPr>
        <w:t>utilizaciju</w:t>
      </w:r>
      <w:proofErr w:type="spellEnd"/>
      <w:r>
        <w:rPr>
          <w:rFonts w:eastAsia="Times New Roman" w:cs="Times-Roman"/>
        </w:rPr>
        <w:t>.</w:t>
      </w:r>
    </w:p>
    <w:p w:rsidR="00B74F3D" w:rsidRDefault="00B74F3D" w:rsidP="00D7024A">
      <w:pPr>
        <w:autoSpaceDE w:val="0"/>
        <w:autoSpaceDN w:val="0"/>
        <w:adjustRightInd w:val="0"/>
        <w:jc w:val="both"/>
        <w:rPr>
          <w:rFonts w:eastAsia="Times New Roman" w:cs="Times-Roman"/>
        </w:rPr>
      </w:pPr>
    </w:p>
    <w:p w:rsidR="00D7024A" w:rsidRDefault="00CD38D2" w:rsidP="00E571DF">
      <w:pPr>
        <w:pStyle w:val="Caption"/>
        <w:spacing w:after="0"/>
      </w:pPr>
      <w:bookmarkStart w:id="174" w:name="_Ref125572744"/>
      <w:r>
        <w:t xml:space="preserve">Slika </w:t>
      </w:r>
      <w:r w:rsidR="00C60C6F">
        <w:fldChar w:fldCharType="begin"/>
      </w:r>
      <w:r w:rsidR="00C60C6F">
        <w:instrText xml:space="preserve"> SEQ Slika \* ARABIC </w:instrText>
      </w:r>
      <w:r w:rsidR="00C60C6F">
        <w:fldChar w:fldCharType="separate"/>
      </w:r>
      <w:r w:rsidR="006A29BC">
        <w:rPr>
          <w:noProof/>
        </w:rPr>
        <w:t>14</w:t>
      </w:r>
      <w:r w:rsidR="00C60C6F">
        <w:rPr>
          <w:noProof/>
        </w:rPr>
        <w:fldChar w:fldCharType="end"/>
      </w:r>
      <w:bookmarkEnd w:id="174"/>
      <w:r>
        <w:t xml:space="preserve"> </w:t>
      </w:r>
      <w:r w:rsidR="00D7024A" w:rsidRPr="00CD38D2">
        <w:t>Distribucija priključaka ostvarenih putem FA-PON usluge po operatorima</w:t>
      </w:r>
    </w:p>
    <w:p w:rsidR="00747DDE" w:rsidRPr="00747DDE" w:rsidRDefault="00747DDE" w:rsidP="00747DDE"/>
    <w:p w:rsidR="00F473BA" w:rsidRPr="00F473BA" w:rsidRDefault="00747DDE" w:rsidP="00F473BA">
      <w:r>
        <w:rPr>
          <w:noProof/>
          <w:lang w:val="en-US"/>
        </w:rPr>
        <w:drawing>
          <wp:inline distT="0" distB="0" distL="0" distR="0" wp14:anchorId="53FD1521" wp14:editId="0B6C6CEE">
            <wp:extent cx="4712335" cy="276796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12335" cy="2767965"/>
                    </a:xfrm>
                    <a:prstGeom prst="rect">
                      <a:avLst/>
                    </a:prstGeom>
                    <a:noFill/>
                  </pic:spPr>
                </pic:pic>
              </a:graphicData>
            </a:graphic>
          </wp:inline>
        </w:drawing>
      </w:r>
    </w:p>
    <w:p w:rsidR="00D7024A" w:rsidRDefault="005F1E9F" w:rsidP="00D7024A">
      <w:pPr>
        <w:keepNext/>
        <w:jc w:val="both"/>
      </w:pPr>
      <w:r>
        <w:rPr>
          <w:rStyle w:val="CommentReference"/>
          <w:color w:val="000000"/>
        </w:rPr>
        <w:t xml:space="preserve"> </w:t>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Default="00D7024A" w:rsidP="00D7024A">
      <w:pPr>
        <w:jc w:val="both"/>
        <w:rPr>
          <w:rFonts w:eastAsia="Times New Roman"/>
          <w:color w:val="000000"/>
          <w:sz w:val="20"/>
          <w:szCs w:val="20"/>
        </w:rPr>
      </w:pPr>
    </w:p>
    <w:p w:rsidR="00D7024A" w:rsidRDefault="00D7024A" w:rsidP="00D7024A">
      <w:pPr>
        <w:jc w:val="both"/>
        <w:rPr>
          <w:rFonts w:eastAsia="Times New Roman"/>
          <w:color w:val="000000"/>
        </w:rPr>
      </w:pPr>
      <w:r>
        <w:rPr>
          <w:rFonts w:eastAsia="Times New Roman"/>
          <w:color w:val="000000"/>
        </w:rPr>
        <w:t>Iako na kraju drugog tromjesečja 2022</w:t>
      </w:r>
      <w:r w:rsidR="00F5119D">
        <w:rPr>
          <w:rFonts w:eastAsia="Times New Roman"/>
          <w:color w:val="000000"/>
        </w:rPr>
        <w:t>.</w:t>
      </w:r>
      <w:r>
        <w:rPr>
          <w:rFonts w:eastAsia="Times New Roman"/>
          <w:color w:val="000000"/>
        </w:rPr>
        <w:t xml:space="preserve"> više od 80 posto priključaka putem usluga veleprodajnog lokalnog pristupa (usluga izdvojene lokalne petlje na temelju svjetlovodne niti na lokaciji distribucijskog čvora; dalje: FA-PON usluga) otpada na FA-PON uslugu alternativnih operatora</w:t>
      </w:r>
      <w:r w:rsidR="00D91CE1">
        <w:rPr>
          <w:rFonts w:eastAsia="Times New Roman"/>
          <w:color w:val="000000"/>
        </w:rPr>
        <w:t xml:space="preserve"> (</w:t>
      </w:r>
      <w:r w:rsidR="00D91CE1">
        <w:rPr>
          <w:rFonts w:eastAsia="Times New Roman"/>
          <w:color w:val="000000"/>
        </w:rPr>
        <w:fldChar w:fldCharType="begin"/>
      </w:r>
      <w:r w:rsidR="00D91CE1">
        <w:rPr>
          <w:rFonts w:eastAsia="Times New Roman"/>
          <w:color w:val="000000"/>
        </w:rPr>
        <w:instrText xml:space="preserve"> REF _Ref125572744 \h </w:instrText>
      </w:r>
      <w:r w:rsidR="00D91CE1">
        <w:rPr>
          <w:rFonts w:eastAsia="Times New Roman"/>
          <w:color w:val="000000"/>
        </w:rPr>
      </w:r>
      <w:r w:rsidR="00D91CE1">
        <w:rPr>
          <w:rFonts w:eastAsia="Times New Roman"/>
          <w:color w:val="000000"/>
        </w:rPr>
        <w:fldChar w:fldCharType="separate"/>
      </w:r>
      <w:r w:rsidR="00D91CE1">
        <w:t xml:space="preserve">Slika </w:t>
      </w:r>
      <w:r w:rsidR="00D91CE1">
        <w:rPr>
          <w:noProof/>
        </w:rPr>
        <w:t>14</w:t>
      </w:r>
      <w:r w:rsidR="00D91CE1">
        <w:rPr>
          <w:rFonts w:eastAsia="Times New Roman"/>
          <w:color w:val="000000"/>
        </w:rPr>
        <w:fldChar w:fldCharType="end"/>
      </w:r>
      <w:r w:rsidR="00D91CE1">
        <w:rPr>
          <w:rFonts w:eastAsia="Times New Roman"/>
          <w:color w:val="000000"/>
        </w:rPr>
        <w:t>)</w:t>
      </w:r>
      <w:r>
        <w:rPr>
          <w:rFonts w:eastAsia="Times New Roman"/>
          <w:color w:val="000000"/>
        </w:rPr>
        <w:t>, zbog vrlo malog uzorka, najveću rasprostranjenost HT-ove svjetlovodne pristupne mreže te ako se uzme u obzir FA-PON usluga za vlastite potrebe pri čemu je onda više od 60 posto maloprodajnih priključaka realizirano putem HT-ove veleprodajne usluge lokalnog pristupa na temelju svjetlovodne niti</w:t>
      </w:r>
      <w:r w:rsidR="00B75510">
        <w:rPr>
          <w:rFonts w:eastAsia="Times New Roman"/>
          <w:color w:val="000000"/>
        </w:rPr>
        <w:t xml:space="preserve"> (</w:t>
      </w:r>
      <w:r w:rsidR="00B75510">
        <w:rPr>
          <w:rFonts w:eastAsia="Times New Roman"/>
          <w:color w:val="000000"/>
        </w:rPr>
        <w:fldChar w:fldCharType="begin"/>
      </w:r>
      <w:r w:rsidR="00B75510">
        <w:rPr>
          <w:rFonts w:eastAsia="Times New Roman"/>
          <w:color w:val="000000"/>
        </w:rPr>
        <w:instrText xml:space="preserve"> REF _Ref125572709 \h </w:instrText>
      </w:r>
      <w:r w:rsidR="00B75510">
        <w:rPr>
          <w:rFonts w:eastAsia="Times New Roman"/>
          <w:color w:val="000000"/>
        </w:rPr>
      </w:r>
      <w:r w:rsidR="00B75510">
        <w:rPr>
          <w:rFonts w:eastAsia="Times New Roman"/>
          <w:color w:val="000000"/>
        </w:rPr>
        <w:fldChar w:fldCharType="separate"/>
      </w:r>
      <w:r w:rsidR="00B75510">
        <w:t xml:space="preserve">Slika </w:t>
      </w:r>
      <w:r w:rsidR="00B75510">
        <w:rPr>
          <w:noProof/>
        </w:rPr>
        <w:t>15</w:t>
      </w:r>
      <w:r w:rsidR="00B75510">
        <w:rPr>
          <w:rFonts w:eastAsia="Times New Roman"/>
          <w:color w:val="000000"/>
        </w:rPr>
        <w:fldChar w:fldCharType="end"/>
      </w:r>
      <w:r w:rsidR="00B75510">
        <w:rPr>
          <w:rFonts w:eastAsia="Times New Roman"/>
          <w:color w:val="000000"/>
        </w:rPr>
        <w:t>)</w:t>
      </w:r>
      <w:r>
        <w:rPr>
          <w:rFonts w:eastAsia="Times New Roman"/>
          <w:color w:val="000000"/>
        </w:rPr>
        <w:t>, smatrat ćemo da su HT-ove usluge veleprodajnog lokalnog pristupa temeljene na svjetlovodnoj niti najzastupljenije.</w:t>
      </w:r>
    </w:p>
    <w:p w:rsidR="00D7024A" w:rsidRDefault="00D7024A" w:rsidP="00D7024A">
      <w:pPr>
        <w:jc w:val="both"/>
        <w:rPr>
          <w:rFonts w:eastAsia="Times New Roman"/>
          <w:color w:val="000000"/>
          <w:sz w:val="20"/>
          <w:szCs w:val="20"/>
        </w:rPr>
      </w:pPr>
    </w:p>
    <w:p w:rsidR="00D7024A" w:rsidRPr="00411E3E" w:rsidRDefault="00CD38D2" w:rsidP="006A29BC">
      <w:pPr>
        <w:pStyle w:val="Caption"/>
        <w:spacing w:after="0"/>
        <w:rPr>
          <w:rFonts w:eastAsia="Times New Roman"/>
          <w:b/>
          <w:bCs/>
          <w:i w:val="0"/>
          <w:noProof/>
          <w:color w:val="4F81BD"/>
        </w:rPr>
      </w:pPr>
      <w:bookmarkStart w:id="175" w:name="_Ref125572709"/>
      <w:r>
        <w:t xml:space="preserve">Slika </w:t>
      </w:r>
      <w:r w:rsidR="00C60C6F">
        <w:fldChar w:fldCharType="begin"/>
      </w:r>
      <w:r w:rsidR="00C60C6F">
        <w:instrText xml:space="preserve"> SEQ Slika \* ARABIC </w:instrText>
      </w:r>
      <w:r w:rsidR="00C60C6F">
        <w:fldChar w:fldCharType="separate"/>
      </w:r>
      <w:r w:rsidR="006A29BC">
        <w:rPr>
          <w:noProof/>
        </w:rPr>
        <w:t>15</w:t>
      </w:r>
      <w:r w:rsidR="00C60C6F">
        <w:rPr>
          <w:noProof/>
        </w:rPr>
        <w:fldChar w:fldCharType="end"/>
      </w:r>
      <w:bookmarkEnd w:id="175"/>
      <w:r>
        <w:t xml:space="preserve"> </w:t>
      </w:r>
      <w:r w:rsidR="00D7024A" w:rsidRPr="00CD38D2">
        <w:t>FTTH priključci po operatorima</w:t>
      </w:r>
    </w:p>
    <w:p w:rsidR="00D7024A" w:rsidRDefault="0040572D" w:rsidP="00D7024A">
      <w:pPr>
        <w:jc w:val="both"/>
        <w:rPr>
          <w:rFonts w:eastAsia="Times New Roman"/>
          <w:color w:val="000000"/>
        </w:rPr>
      </w:pPr>
      <w:r>
        <w:rPr>
          <w:rFonts w:eastAsia="Times New Roman"/>
          <w:noProof/>
          <w:color w:val="000000"/>
          <w:lang w:val="en-US"/>
        </w:rPr>
        <w:drawing>
          <wp:inline distT="0" distB="0" distL="0" distR="0" wp14:anchorId="53FCBC4D" wp14:editId="541A627E">
            <wp:extent cx="4778375" cy="2808514"/>
            <wp:effectExtent l="0" t="0" r="317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28314" cy="2837866"/>
                    </a:xfrm>
                    <a:prstGeom prst="rect">
                      <a:avLst/>
                    </a:prstGeom>
                    <a:noFill/>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Default="00D7024A" w:rsidP="00D7024A">
      <w:pPr>
        <w:rPr>
          <w:lang w:eastAsia="hr-HR"/>
        </w:rPr>
      </w:pPr>
      <w:bookmarkStart w:id="176" w:name="_Toc124462553"/>
      <w:bookmarkStart w:id="177" w:name="_Toc124514447"/>
    </w:p>
    <w:p w:rsidR="00D7024A" w:rsidRPr="00B34167" w:rsidRDefault="00D7024A" w:rsidP="00B34167">
      <w:pPr>
        <w:pStyle w:val="Heading4"/>
      </w:pPr>
      <w:bookmarkStart w:id="178" w:name="_Toc124928591"/>
      <w:bookmarkStart w:id="179" w:name="_Toc124946933"/>
      <w:bookmarkStart w:id="180" w:name="_Toc124948843"/>
      <w:bookmarkStart w:id="181" w:name="_Toc124951738"/>
      <w:bookmarkStart w:id="182" w:name="_Ref125565847"/>
      <w:bookmarkStart w:id="183" w:name="_Ref125566143"/>
      <w:bookmarkStart w:id="184" w:name="_Toc125644888"/>
      <w:r w:rsidRPr="00B34167">
        <w:t>Određivanje tržišta velikog kapaciteta u dimenziji usluga</w:t>
      </w:r>
      <w:bookmarkEnd w:id="176"/>
      <w:bookmarkEnd w:id="177"/>
      <w:bookmarkEnd w:id="178"/>
      <w:bookmarkEnd w:id="179"/>
      <w:bookmarkEnd w:id="180"/>
      <w:bookmarkEnd w:id="181"/>
      <w:bookmarkEnd w:id="182"/>
      <w:bookmarkEnd w:id="183"/>
      <w:bookmarkEnd w:id="184"/>
    </w:p>
    <w:p w:rsidR="00D7024A" w:rsidRPr="00812C3F" w:rsidRDefault="00D7024A" w:rsidP="00D7024A">
      <w:pPr>
        <w:jc w:val="both"/>
        <w:rPr>
          <w:rFonts w:eastAsia="Times New Roman"/>
          <w:color w:val="000000"/>
        </w:rPr>
      </w:pPr>
    </w:p>
    <w:p w:rsidR="00D7024A" w:rsidRPr="00812C3F" w:rsidRDefault="00D7024A" w:rsidP="00D7024A">
      <w:pPr>
        <w:contextualSpacing/>
        <w:jc w:val="both"/>
        <w:rPr>
          <w:rFonts w:eastAsia="Times New Roman"/>
          <w:color w:val="000000"/>
        </w:rPr>
      </w:pPr>
      <w:r w:rsidRPr="00812C3F">
        <w:rPr>
          <w:rFonts w:eastAsia="Times New Roman"/>
          <w:color w:val="000000"/>
        </w:rPr>
        <w:t>Određivanje tržišta u dimenziji usluga na veleprodajnoj razini temelji se na analizi zamjenjivosti na strani potražnje i na strani ponude na veleprodajnoj razini na temelju kojih različite usluge pristupa mreži mogu biti sastavni dio istog veleprodajnog tržišta ili mogu činiti različita tržišta veleprodajnog širokopojasnog pristupa.</w:t>
      </w:r>
    </w:p>
    <w:p w:rsidR="00D7024A" w:rsidRPr="00812C3F" w:rsidRDefault="00D7024A" w:rsidP="00D7024A">
      <w:pPr>
        <w:contextualSpacing/>
        <w:jc w:val="both"/>
        <w:rPr>
          <w:rFonts w:eastAsia="Times New Roman"/>
          <w:color w:val="000000"/>
        </w:rPr>
      </w:pPr>
    </w:p>
    <w:p w:rsidR="00D7024A" w:rsidRPr="00007C50" w:rsidRDefault="00D7024A" w:rsidP="00D7024A">
      <w:pPr>
        <w:jc w:val="both"/>
        <w:rPr>
          <w:rFonts w:eastAsia="Times New Roman"/>
          <w:color w:val="000000"/>
        </w:rPr>
      </w:pPr>
      <w:r w:rsidRPr="00812C3F">
        <w:rPr>
          <w:rFonts w:eastAsia="Times New Roman"/>
          <w:color w:val="000000"/>
        </w:rPr>
        <w:t xml:space="preserve">Kako je već pojašnjeno u uvodu, polazna točka za određivanje zamjenskih usluga je veleprodajno tržište koje je HAKOM prethodnom analizom definirao kao tržište veleprodajnog </w:t>
      </w:r>
      <w:r>
        <w:rPr>
          <w:rFonts w:eastAsia="Times New Roman"/>
          <w:color w:val="000000"/>
        </w:rPr>
        <w:t>lokalnog</w:t>
      </w:r>
      <w:r w:rsidRPr="00812C3F">
        <w:rPr>
          <w:rFonts w:eastAsia="Times New Roman"/>
          <w:color w:val="000000"/>
        </w:rPr>
        <w:t xml:space="preserve"> pristupa koji se pruža na fiksnoj lokaciji za proizvode za masovno tržište i koje, uključuje sljedeće usluge:</w:t>
      </w:r>
    </w:p>
    <w:p w:rsidR="00D7024A" w:rsidRPr="00007C50" w:rsidRDefault="00D7024A" w:rsidP="00766501">
      <w:pPr>
        <w:numPr>
          <w:ilvl w:val="0"/>
          <w:numId w:val="53"/>
        </w:numPr>
        <w:contextualSpacing/>
        <w:jc w:val="both"/>
        <w:rPr>
          <w:rFonts w:eastAsia="Times New Roman"/>
          <w:color w:val="000000"/>
        </w:rPr>
      </w:pPr>
      <w:r w:rsidRPr="00007C50">
        <w:rPr>
          <w:rFonts w:eastAsia="Times New Roman"/>
          <w:color w:val="000000"/>
        </w:rPr>
        <w:t>uslugu izdvojenog pristupa lokalnoj petlji na temelju bakrene parice</w:t>
      </w:r>
    </w:p>
    <w:p w:rsidR="00D7024A" w:rsidRPr="00007C50" w:rsidRDefault="00D7024A" w:rsidP="00766501">
      <w:pPr>
        <w:numPr>
          <w:ilvl w:val="0"/>
          <w:numId w:val="53"/>
        </w:numPr>
        <w:contextualSpacing/>
        <w:jc w:val="both"/>
        <w:rPr>
          <w:rFonts w:eastAsia="Times New Roman"/>
          <w:color w:val="000000"/>
        </w:rPr>
      </w:pPr>
      <w:r w:rsidRPr="00007C50">
        <w:rPr>
          <w:rFonts w:eastAsia="Times New Roman"/>
          <w:color w:val="000000"/>
        </w:rPr>
        <w:t>uslugu izdvojenog pristupa lokalnoj petlji na temelju svjetlovodnih niti</w:t>
      </w:r>
    </w:p>
    <w:p w:rsidR="00D7024A" w:rsidRPr="00007C50" w:rsidRDefault="00D7024A" w:rsidP="00766501">
      <w:pPr>
        <w:numPr>
          <w:ilvl w:val="0"/>
          <w:numId w:val="53"/>
        </w:numPr>
        <w:contextualSpacing/>
        <w:jc w:val="both"/>
        <w:rPr>
          <w:rFonts w:eastAsia="Times New Roman"/>
          <w:color w:val="000000"/>
        </w:rPr>
      </w:pPr>
      <w:r w:rsidRPr="00007C50">
        <w:rPr>
          <w:rFonts w:eastAsia="Times New Roman"/>
          <w:color w:val="000000"/>
        </w:rPr>
        <w:t>uslugu lokalnog pristupa koju HT pruža za vlastite potrebe.</w:t>
      </w:r>
    </w:p>
    <w:p w:rsidR="00D7024A" w:rsidRPr="00812C3F" w:rsidRDefault="00D7024A" w:rsidP="00D7024A">
      <w:pPr>
        <w:contextualSpacing/>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neovisno o tome radi li se o pristupnoj tehnologiji na temelju bakrene parice, na temelju tehničkog rješenja koje podrazumijeva i bakrenu paricu i svjetlovodnu nit ili na temelju svjetlovodne niti.</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S obzirom da HAKOM u ovom dijelu dokumenta određuje definiciju tržišta za segment tržišta velikog kapaciteta, HAKOM će zamjenske usluge analizirati u odnosu na:</w:t>
      </w:r>
    </w:p>
    <w:p w:rsidR="00D7024A" w:rsidRPr="00812C3F" w:rsidRDefault="00D7024A" w:rsidP="00D7024A">
      <w:pPr>
        <w:jc w:val="both"/>
        <w:rPr>
          <w:rFonts w:eastAsia="Times New Roman"/>
          <w:color w:val="000000"/>
        </w:rPr>
      </w:pPr>
    </w:p>
    <w:p w:rsidR="00D7024A" w:rsidRPr="00007C50" w:rsidRDefault="00D7024A" w:rsidP="00766501">
      <w:pPr>
        <w:numPr>
          <w:ilvl w:val="0"/>
          <w:numId w:val="53"/>
        </w:numPr>
        <w:jc w:val="both"/>
        <w:rPr>
          <w:rFonts w:eastAsia="Times New Roman"/>
          <w:color w:val="000000"/>
        </w:rPr>
      </w:pPr>
      <w:r w:rsidRPr="00007C50">
        <w:rPr>
          <w:rFonts w:eastAsia="Times New Roman"/>
          <w:color w:val="000000"/>
        </w:rPr>
        <w:t>uslugu izdvojenog pristupa lokalnoj petlji na temelju svjetlovodnih niti</w:t>
      </w:r>
    </w:p>
    <w:p w:rsidR="00D7024A" w:rsidRDefault="00D7024A" w:rsidP="00766501">
      <w:pPr>
        <w:numPr>
          <w:ilvl w:val="0"/>
          <w:numId w:val="53"/>
        </w:numPr>
        <w:jc w:val="both"/>
        <w:rPr>
          <w:rFonts w:eastAsia="Times New Roman"/>
          <w:color w:val="000000"/>
        </w:rPr>
      </w:pPr>
      <w:r w:rsidRPr="00007C50">
        <w:rPr>
          <w:rFonts w:eastAsia="Times New Roman"/>
          <w:color w:val="000000"/>
        </w:rPr>
        <w:t>uslugu lokalnog pristupa koju HT pruža za vlastite potrebe.</w:t>
      </w:r>
    </w:p>
    <w:p w:rsidR="00B74F3D" w:rsidRPr="00007C50" w:rsidRDefault="00B74F3D" w:rsidP="00B74F3D">
      <w:pPr>
        <w:ind w:left="720"/>
        <w:jc w:val="both"/>
        <w:rPr>
          <w:rFonts w:eastAsia="Times New Roman"/>
          <w:color w:val="000000"/>
        </w:rPr>
      </w:pPr>
    </w:p>
    <w:p w:rsidR="00D7024A" w:rsidRPr="00B34167" w:rsidRDefault="00D7024A" w:rsidP="00766501">
      <w:pPr>
        <w:pStyle w:val="ListParagraph"/>
        <w:numPr>
          <w:ilvl w:val="0"/>
          <w:numId w:val="61"/>
        </w:numPr>
        <w:jc w:val="both"/>
        <w:rPr>
          <w:rFonts w:ascii="Segoe UI Semibold" w:hAnsi="Segoe UI Semibold" w:cs="Segoe UI Semibold"/>
          <w:color w:val="1F3864" w:themeColor="accent1" w:themeShade="80"/>
        </w:rPr>
      </w:pPr>
      <w:bookmarkStart w:id="185" w:name="_Toc124462554"/>
      <w:bookmarkStart w:id="186" w:name="_Toc124514448"/>
      <w:r w:rsidRPr="00B34167">
        <w:rPr>
          <w:rFonts w:ascii="Segoe UI Semibold" w:hAnsi="Segoe UI Semibold" w:cs="Segoe UI Semibold"/>
          <w:color w:val="1F3864" w:themeColor="accent1" w:themeShade="80"/>
        </w:rPr>
        <w:t>Zamjenjivost na strani potražnje</w:t>
      </w:r>
      <w:bookmarkEnd w:id="185"/>
      <w:bookmarkEnd w:id="186"/>
    </w:p>
    <w:p w:rsidR="00B34167" w:rsidRPr="00BD542F" w:rsidRDefault="00B34167" w:rsidP="00BD542F">
      <w:pPr>
        <w:jc w:val="both"/>
        <w:rPr>
          <w:rFonts w:ascii="Segoe UI Semibold" w:hAnsi="Segoe UI Semibold" w:cs="Segoe UI Semibold"/>
          <w:b/>
          <w:color w:val="1F3864" w:themeColor="accent1" w:themeShade="80"/>
        </w:rPr>
      </w:pPr>
    </w:p>
    <w:p w:rsidR="00D7024A" w:rsidRPr="00812C3F" w:rsidRDefault="00D7024A" w:rsidP="00D7024A">
      <w:pPr>
        <w:jc w:val="both"/>
        <w:rPr>
          <w:rFonts w:eastAsia="Times New Roman"/>
          <w:color w:val="000000"/>
        </w:rPr>
      </w:pPr>
      <w:r w:rsidRPr="00812C3F">
        <w:rPr>
          <w:rFonts w:eastAsia="Times New Roman"/>
          <w:color w:val="000000"/>
        </w:rPr>
        <w:t xml:space="preserve">Potražnja za uslugama na veleprodajnoj razini proizlazi iz potražnje na maloprodajnoj razini. </w:t>
      </w:r>
    </w:p>
    <w:p w:rsidR="00D7024A" w:rsidRPr="00812C3F" w:rsidRDefault="00D7024A"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HAKOM je utvrdio kako potražnja na maloprodajnom tržištu velikog kapaciteta proizlazi iz potražnje za sljedećim uslugama širokopojasnog pristupa: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svjetlovodne niti i</w:t>
      </w:r>
    </w:p>
    <w:p w:rsidR="00D7024A" w:rsidRPr="00812C3F" w:rsidRDefault="00D7024A" w:rsidP="00D7024A">
      <w:pPr>
        <w:jc w:val="both"/>
        <w:rPr>
          <w:rFonts w:eastAsia="Times New Roman"/>
          <w:color w:val="000000"/>
        </w:rPr>
      </w:pPr>
      <w:r w:rsidRPr="00812C3F">
        <w:rPr>
          <w:rFonts w:eastAsia="Times New Roman"/>
          <w:color w:val="000000"/>
        </w:rPr>
        <w:t>•</w:t>
      </w:r>
      <w:r w:rsidRPr="00812C3F">
        <w:rPr>
          <w:rFonts w:eastAsia="Times New Roman"/>
          <w:color w:val="000000"/>
        </w:rPr>
        <w:tab/>
        <w:t>pristup putem kabelskih mreža.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Pomoću zamjenjivosti na strani potražnje na veleprodajnoj razini potrebno je utvrditi zamjenske usluge </w:t>
      </w:r>
      <w:r>
        <w:rPr>
          <w:rFonts w:eastAsia="Times New Roman"/>
          <w:color w:val="000000"/>
        </w:rPr>
        <w:t>FA-PON usluzi</w:t>
      </w:r>
      <w:r w:rsidRPr="00812C3F">
        <w:rPr>
          <w:rFonts w:eastAsia="Times New Roman"/>
          <w:color w:val="000000"/>
        </w:rPr>
        <w:t xml:space="preserve">, na način da korisnici te usluge, u slučaju da bivši monopolist povisi cijenu iste, izgrade vlastitu pristupnu infrastrukturu ili počnu koristiti neku drugu veleprodajnu uslugu, a koju će smatrati istovjetnom uslugom. </w:t>
      </w:r>
    </w:p>
    <w:p w:rsidR="00D7024A" w:rsidRPr="00812C3F" w:rsidRDefault="00D7024A" w:rsidP="00D7024A">
      <w:pPr>
        <w:ind w:left="720"/>
        <w:contextualSpacing/>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Pretpostavka korištenja usluge širokopojasnog pristupa i prijenosa podataka od strane krajnjeg korisnika je postojanje određenog prijenosnog kanala do lokacije krajnjeg korisnika, koji omogućava prijenos podataka u oba smjera i to brzinama koje omogućavaju pružanje navedene usluge. Stoga, svaki operator koji želi ponuditi usluge širokopojasnog pristupa krajnjim korisnicima, ima mogućnost ili izgraditi takvu mrežu prijenosnih kanala do lokacije krajnjih korisnika ili koristiti veleprodajnu uslugu pristupa na temelju postojeće infrastrukture.</w:t>
      </w:r>
    </w:p>
    <w:p w:rsidR="00D7024A" w:rsidRPr="00812C3F" w:rsidRDefault="00D7024A" w:rsidP="00D7024A">
      <w:pPr>
        <w:jc w:val="both"/>
        <w:rPr>
          <w:rFonts w:eastAsia="Times New Roman"/>
          <w:color w:val="000000"/>
        </w:rPr>
      </w:pPr>
    </w:p>
    <w:p w:rsidR="00D7024A" w:rsidRPr="00182883" w:rsidRDefault="00D7024A" w:rsidP="00D7024A">
      <w:pPr>
        <w:jc w:val="both"/>
        <w:rPr>
          <w:rFonts w:eastAsia="Times New Roman"/>
          <w:color w:val="000000"/>
        </w:rPr>
      </w:pPr>
      <w:r w:rsidRPr="00182883">
        <w:rPr>
          <w:rFonts w:eastAsia="Times New Roman"/>
          <w:color w:val="000000"/>
        </w:rPr>
        <w:t>U svrhu pružanja usluge širokopojasnog pristupa internetu na maloprodajnoj razini, operatori mogu do krajnjeg korisnika izgraditi vlastitu infrastrukturu. U navedenom slučaju radi se o usluzi širokopojasnog pristupa internetu za vlastite potrebe.</w:t>
      </w:r>
    </w:p>
    <w:p w:rsidR="00D7024A" w:rsidRPr="00812C3F" w:rsidRDefault="00D7024A" w:rsidP="00D7024A">
      <w:pPr>
        <w:jc w:val="both"/>
        <w:rPr>
          <w:rFonts w:eastAsia="Times New Roman"/>
          <w:color w:val="000000"/>
        </w:rPr>
      </w:pPr>
    </w:p>
    <w:p w:rsidR="00D7024A" w:rsidRPr="00B34167" w:rsidRDefault="00D7024A" w:rsidP="00BD542F">
      <w:pPr>
        <w:jc w:val="both"/>
        <w:rPr>
          <w:rFonts w:ascii="Segoe UI Semibold" w:hAnsi="Segoe UI Semibold" w:cs="Segoe UI Semibold"/>
          <w:color w:val="1F3864" w:themeColor="accent1" w:themeShade="80"/>
        </w:rPr>
      </w:pPr>
      <w:bookmarkStart w:id="187" w:name="_Toc124462555"/>
      <w:bookmarkStart w:id="188" w:name="_Toc124514449"/>
      <w:r w:rsidRPr="00B34167">
        <w:rPr>
          <w:rFonts w:ascii="Segoe UI Semibold" w:hAnsi="Segoe UI Semibold" w:cs="Segoe UI Semibold"/>
          <w:color w:val="1F3864" w:themeColor="accent1" w:themeShade="80"/>
        </w:rPr>
        <w:t>Izgradnja vlastite infrastrukture</w:t>
      </w:r>
      <w:bookmarkEnd w:id="187"/>
      <w:bookmarkEnd w:id="188"/>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U ovom dijelu razmatra se mogućnost da operator radi hipotetskog povećanja cijena usluge </w:t>
      </w:r>
      <w:r>
        <w:rPr>
          <w:rFonts w:eastAsia="Times New Roman"/>
          <w:color w:val="000000"/>
        </w:rPr>
        <w:t xml:space="preserve">FA-PON </w:t>
      </w:r>
      <w:r w:rsidRPr="00812C3F">
        <w:rPr>
          <w:rFonts w:eastAsia="Times New Roman"/>
          <w:color w:val="000000"/>
        </w:rPr>
        <w:t>bivšeg monopolista počne graditi vlastitu pristupnu infrastrukturu.</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Najprije treba reći kako svjetlovodna pristupna infrastruktura omogućava pružanje najnaprednijih usluga čija je potražnja u porastu te gradnja iste predstavlja najbolji zalog za budućnost.</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Na hrvatskom tržištu se u prethodnom razdoblju intenzivno ulagalo isključivo u VHCN infrastrukturu, prvenstveno u svjetlovodne mreže. U ovom trenutku</w:t>
      </w:r>
      <w:r w:rsidRPr="00812C3F">
        <w:rPr>
          <w:rFonts w:eastAsia="Calibri"/>
          <w:color w:val="000000"/>
        </w:rPr>
        <w:t xml:space="preserve"> </w:t>
      </w:r>
      <w:r w:rsidRPr="00812C3F">
        <w:rPr>
          <w:rFonts w:eastAsia="Times New Roman"/>
          <w:color w:val="000000"/>
        </w:rPr>
        <w:t>RH u smislu pokrivenosti VHCN mrežama zaostaje za prosjekom EU, a primjetne su i značajnije razlike u pokrivenosti svjetlovodnom infrastrukturom između ruralnih i urbanih područja. U tom kontekstu, HAKOM očekuje nastavak ulagačkih aktivnosti u razdoblju na koje se odnosi ova analiza, posebno s obzirom na najave operatora o planiranom nastavku intenzivnih ulaganja u svjetlovodne mreže</w:t>
      </w:r>
      <w:r w:rsidRPr="00812C3F">
        <w:rPr>
          <w:rFonts w:eastAsia="Calibri"/>
          <w:color w:val="000000"/>
        </w:rPr>
        <w:t xml:space="preserve"> </w:t>
      </w:r>
      <w:r w:rsidRPr="00812C3F">
        <w:rPr>
          <w:rFonts w:eastAsia="Times New Roman"/>
          <w:color w:val="000000"/>
        </w:rPr>
        <w:t>koje su investitori sukladno odredbama Pravilnika o svjetlovodnim distribucijskim mrežama obvezni objavljivati najmanje 60 dana prije početka postavljanja. Također, u narednom razdoblju se očekuje i postavljanje svjetlovodnih mreža koje se dijelom sufinanciraju sredstvima iz EU fondova.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Dodatno, gradnja svjetlovodne infrastrukture uređena je i olakšana postojećom simetričnom regulacijom koja omogućava pristup svjetlovodnim nitima SDM-a što eliminira probleme s otežanim pristupom zgradama i nemogućnosti ekonomske i tehničke replikacije tog dijela mreže unutar zgrada. Prema novom ZEK-u, HAKOM ima mogućnost proširenja postojeće simetrične regulacije određivanjem simetrične obveze u pogledu cijena pristupa te proširenja točke pristupa i na točku dalje od distribucijskog čvora gledajući u smjeru od krajnjeg korisnika prema mreži, što bi dodatno trebalo olakšati operatorima gradnju vlastite infrastrukture.</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Dakle, s obzirom na već prisutan trend porasta potražnje za uslugama širokopojasnog pristupa velikog kapaciteta koje će se u budućnosti sve više koristiti, operatorima je ekonomski isplativo graditi vlastitu svjetlovodnu infrastrukturu. Poticaj operatora na gradnju vlastite infrastrukture u slučaju povećanja cijene </w:t>
      </w:r>
      <w:r>
        <w:rPr>
          <w:rFonts w:eastAsia="Times New Roman"/>
          <w:color w:val="000000"/>
        </w:rPr>
        <w:t xml:space="preserve">FA-PON </w:t>
      </w:r>
      <w:r w:rsidRPr="00812C3F">
        <w:rPr>
          <w:rFonts w:eastAsia="Times New Roman"/>
          <w:color w:val="000000"/>
        </w:rPr>
        <w:t xml:space="preserve">usluge HT-a ovisi prvenstveno o njegovoj procjeni ekonomske isplativosti umnažanja mreža na određenom zemljopisnom području i uz uvjete simetrične regulacije. Naravno, na područjima s dovoljnim brojem i gustoćom korisnika, operatori će prije imati poticaj za gradnju paralelne infrastrukture u slučaju hipotetskog povećanja cijene </w:t>
      </w:r>
      <w:r>
        <w:rPr>
          <w:rFonts w:eastAsia="Times New Roman"/>
          <w:color w:val="000000"/>
        </w:rPr>
        <w:t>FA-PON</w:t>
      </w:r>
      <w:r w:rsidRPr="00812C3F">
        <w:rPr>
          <w:rFonts w:eastAsia="Times New Roman"/>
          <w:color w:val="000000"/>
        </w:rPr>
        <w:t xml:space="preserve"> usluge HT-a nego u slabije i rjeđe naseljenim zemljopisnim područjima. Stoga HAKOM zaključuje kako gradnja vlastite infrastrukture na određenim zemljopisnim područjima predstavlja zamjensku uslugu HT-ovoj usluzi </w:t>
      </w:r>
      <w:r>
        <w:rPr>
          <w:rFonts w:eastAsia="Times New Roman"/>
          <w:color w:val="000000"/>
        </w:rPr>
        <w:t>FA-PON</w:t>
      </w:r>
      <w:r w:rsidRPr="00812C3F">
        <w:rPr>
          <w:rFonts w:eastAsia="Times New Roman"/>
          <w:color w:val="000000"/>
        </w:rPr>
        <w:t>.</w:t>
      </w:r>
    </w:p>
    <w:p w:rsidR="00D7024A" w:rsidRPr="00812C3F" w:rsidRDefault="00D7024A" w:rsidP="00D7024A">
      <w:pPr>
        <w:jc w:val="both"/>
        <w:rPr>
          <w:rFonts w:eastAsia="Times New Roman"/>
          <w:color w:val="000000"/>
          <w:highlight w:val="yellow"/>
        </w:rPr>
      </w:pPr>
    </w:p>
    <w:p w:rsidR="00D7024A" w:rsidRPr="00B34167" w:rsidRDefault="00D7024A" w:rsidP="00BD542F">
      <w:pPr>
        <w:jc w:val="both"/>
        <w:rPr>
          <w:rFonts w:ascii="Segoe UI Semibold" w:hAnsi="Segoe UI Semibold" w:cs="Segoe UI Semibold"/>
          <w:color w:val="1F3864" w:themeColor="accent1" w:themeShade="80"/>
        </w:rPr>
      </w:pPr>
      <w:bookmarkStart w:id="189" w:name="_Toc124462556"/>
      <w:bookmarkStart w:id="190" w:name="_Toc124514450"/>
      <w:r w:rsidRPr="00B34167">
        <w:rPr>
          <w:rFonts w:ascii="Segoe UI Semibold" w:hAnsi="Segoe UI Semibold" w:cs="Segoe UI Semibold"/>
          <w:color w:val="1F3864" w:themeColor="accent1" w:themeShade="80"/>
        </w:rPr>
        <w:t>Mogućnost korištenja drugih veleprodajnih usluga s istog mjerodavnog tržišta ili s povezanih veleprodajnih tržišta</w:t>
      </w:r>
      <w:bookmarkEnd w:id="189"/>
      <w:bookmarkEnd w:id="190"/>
    </w:p>
    <w:p w:rsidR="00D7024A" w:rsidRPr="00812C3F"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 xml:space="preserve">Kako je opisano u poglavlju </w:t>
      </w:r>
      <w:r w:rsidR="00161247">
        <w:rPr>
          <w:rFonts w:eastAsia="Times New Roman"/>
          <w:color w:val="000000"/>
        </w:rPr>
        <w:fldChar w:fldCharType="begin"/>
      </w:r>
      <w:r w:rsidR="00161247">
        <w:rPr>
          <w:rFonts w:eastAsia="Times New Roman"/>
          <w:color w:val="000000"/>
        </w:rPr>
        <w:instrText xml:space="preserve"> REF _Ref125565683 \r \h </w:instrText>
      </w:r>
      <w:r w:rsidR="00161247">
        <w:rPr>
          <w:rFonts w:eastAsia="Times New Roman"/>
          <w:color w:val="000000"/>
        </w:rPr>
      </w:r>
      <w:r w:rsidR="00161247">
        <w:rPr>
          <w:rFonts w:eastAsia="Times New Roman"/>
          <w:color w:val="000000"/>
        </w:rPr>
        <w:fldChar w:fldCharType="separate"/>
      </w:r>
      <w:r w:rsidR="00161247">
        <w:rPr>
          <w:rFonts w:eastAsia="Times New Roman"/>
          <w:color w:val="000000"/>
        </w:rPr>
        <w:t>3.3</w:t>
      </w:r>
      <w:r w:rsidR="00161247">
        <w:rPr>
          <w:rFonts w:eastAsia="Times New Roman"/>
          <w:color w:val="000000"/>
        </w:rPr>
        <w:fldChar w:fldCharType="end"/>
      </w:r>
      <w:r>
        <w:rPr>
          <w:rFonts w:eastAsia="Times New Roman"/>
          <w:color w:val="000000"/>
        </w:rPr>
        <w:t xml:space="preserve"> FA-PON u</w:t>
      </w:r>
      <w:r w:rsidRPr="00812C3F">
        <w:rPr>
          <w:rFonts w:eastAsia="Times New Roman"/>
          <w:color w:val="000000"/>
        </w:rPr>
        <w:t xml:space="preserve">slugu na analiziranom mjerodavnom tržištu uz HT, nude/pružaju još i </w:t>
      </w:r>
      <w:r>
        <w:rPr>
          <w:rFonts w:eastAsia="Times New Roman"/>
          <w:color w:val="000000"/>
        </w:rPr>
        <w:t>svi ostali operatori koji grade svjetlovodne distribucijske mreže</w:t>
      </w:r>
      <w:r w:rsidRPr="00812C3F">
        <w:rPr>
          <w:rFonts w:eastAsia="Times New Roman"/>
          <w:color w:val="000000"/>
        </w:rPr>
        <w:t xml:space="preserv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Riječ je o uslugama pristupa </w:t>
      </w:r>
      <w:r>
        <w:rPr>
          <w:rFonts w:eastAsia="Times New Roman"/>
          <w:color w:val="000000"/>
        </w:rPr>
        <w:t>izdvojenoj lokalnoj petlji na temelju</w:t>
      </w:r>
      <w:r w:rsidRPr="00812C3F">
        <w:rPr>
          <w:rFonts w:eastAsia="Times New Roman"/>
          <w:color w:val="000000"/>
        </w:rPr>
        <w:t xml:space="preserve"> svjetlovodne niti</w:t>
      </w:r>
      <w:r>
        <w:rPr>
          <w:rFonts w:eastAsia="Times New Roman"/>
          <w:color w:val="000000"/>
        </w:rPr>
        <w:t xml:space="preserve"> na lokaciji distribucijskog čvora</w:t>
      </w:r>
      <w:r w:rsidRPr="00812C3F">
        <w:rPr>
          <w:rFonts w:eastAsia="Times New Roman"/>
          <w:color w:val="000000"/>
        </w:rPr>
        <w:t xml:space="preserve"> koje su istovjetne </w:t>
      </w:r>
      <w:r>
        <w:rPr>
          <w:rFonts w:eastAsia="Times New Roman"/>
          <w:color w:val="000000"/>
        </w:rPr>
        <w:t>FA-PON</w:t>
      </w:r>
      <w:r w:rsidRPr="00812C3F">
        <w:rPr>
          <w:rFonts w:eastAsia="Times New Roman"/>
          <w:color w:val="000000"/>
        </w:rPr>
        <w:t xml:space="preserve"> usluzi HT-a, uz razliku u područjima pokrivanja mreže pojedinog operatora te stoga ove usluge čine sastavni dio tržišta velikog kapaciteta.</w:t>
      </w:r>
    </w:p>
    <w:p w:rsidR="00D7024A" w:rsidRPr="00812C3F"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 xml:space="preserve">Uz gore navedenu veleprodajnu uslugu </w:t>
      </w:r>
      <w:r>
        <w:rPr>
          <w:rFonts w:eastAsia="Times New Roman"/>
          <w:color w:val="000000"/>
        </w:rPr>
        <w:t xml:space="preserve">pristupa izdvojenoj lokalnoj petlji na temelju </w:t>
      </w:r>
      <w:r w:rsidRPr="00812C3F">
        <w:rPr>
          <w:rFonts w:eastAsia="Times New Roman"/>
          <w:color w:val="000000"/>
        </w:rPr>
        <w:t xml:space="preserve">svjetlovodne niti na </w:t>
      </w:r>
      <w:r>
        <w:rPr>
          <w:rFonts w:eastAsia="Times New Roman"/>
          <w:color w:val="000000"/>
        </w:rPr>
        <w:t xml:space="preserve">lokaciji distribucijskog čvora </w:t>
      </w:r>
      <w:r w:rsidRPr="00812C3F">
        <w:rPr>
          <w:rFonts w:eastAsia="Times New Roman"/>
          <w:color w:val="000000"/>
        </w:rPr>
        <w:t>tržištu velikog kapaciteta, za pružanje maloprodajnih usluga širokopojasnog pristupa velikog kapaciteta operatori mogu koristiti i uslugu</w:t>
      </w:r>
      <w:r w:rsidRPr="00812C3F">
        <w:rPr>
          <w:rFonts w:eastAsia="Calibri"/>
          <w:color w:val="000000"/>
        </w:rPr>
        <w:t xml:space="preserve"> </w:t>
      </w:r>
      <w:r>
        <w:rPr>
          <w:rFonts w:eastAsia="Times New Roman"/>
          <w:color w:val="000000"/>
        </w:rPr>
        <w:t>VULA, odnosno uslugu bitstream pristupa na OLT razini</w:t>
      </w:r>
      <w:r w:rsidRPr="00812C3F">
        <w:rPr>
          <w:rFonts w:eastAsia="Times New Roman"/>
          <w:color w:val="000000"/>
        </w:rPr>
        <w:t xml:space="preserve">. </w:t>
      </w:r>
      <w:r>
        <w:rPr>
          <w:rFonts w:eastAsia="Times New Roman"/>
          <w:color w:val="000000"/>
        </w:rPr>
        <w:t>Navedenu uslugu nudi HT temeljem obveze iz prethodne analize tržišta, a uvjeti te usluge su propisani Standardnom ponudom HT-a za uslugu veleprodajnog širokopojasnog pristupa.</w:t>
      </w:r>
    </w:p>
    <w:p w:rsidR="00D7024A" w:rsidRPr="00812C3F" w:rsidRDefault="00D7024A" w:rsidP="00D7024A">
      <w:pPr>
        <w:jc w:val="both"/>
        <w:rPr>
          <w:rFonts w:eastAsia="Times New Roman"/>
          <w:color w:val="000000"/>
          <w:highlight w:val="yellow"/>
        </w:rPr>
      </w:pPr>
    </w:p>
    <w:p w:rsidR="00D7024A" w:rsidRDefault="00D7024A" w:rsidP="00D7024A">
      <w:pPr>
        <w:jc w:val="both"/>
        <w:rPr>
          <w:rFonts w:eastAsia="Times New Roman"/>
          <w:color w:val="000000"/>
        </w:rPr>
      </w:pPr>
      <w:r w:rsidRPr="00812C3F">
        <w:rPr>
          <w:rFonts w:eastAsia="Times New Roman"/>
          <w:color w:val="000000"/>
        </w:rPr>
        <w:t xml:space="preserve">FA-PON usluga zanimljiva je operatorima koji u neposrednim susjednim područjima grade vlastite svjetlovodne mreže i pomoću ove usluge mogu proširiti područje pokrivanja vlastite svjetlovodne mreže, pritom izbjegavajući repliciranje završnog segmenta mreže koji podrazumijeva postavljanje mreža unutar </w:t>
      </w:r>
      <w:proofErr w:type="spellStart"/>
      <w:r w:rsidRPr="00812C3F">
        <w:rPr>
          <w:rFonts w:eastAsia="Times New Roman"/>
          <w:color w:val="000000"/>
        </w:rPr>
        <w:t>višestambenih</w:t>
      </w:r>
      <w:proofErr w:type="spellEnd"/>
      <w:r w:rsidRPr="00812C3F">
        <w:rPr>
          <w:rFonts w:eastAsia="Times New Roman"/>
          <w:color w:val="000000"/>
        </w:rPr>
        <w:t xml:space="preserve"> zgrada. Korištenje ove usluge</w:t>
      </w:r>
      <w:r>
        <w:rPr>
          <w:rFonts w:eastAsia="Times New Roman"/>
          <w:color w:val="000000"/>
        </w:rPr>
        <w:t xml:space="preserve"> još je u početnoj fazi i nije značajno iako </w:t>
      </w:r>
      <w:r w:rsidRPr="00812C3F">
        <w:rPr>
          <w:rFonts w:eastAsia="Times New Roman"/>
          <w:color w:val="000000"/>
        </w:rPr>
        <w:t>HAKOM očekuje da će se tijekom razdoblja na koje se odnosi ova analiza</w:t>
      </w:r>
      <w:r>
        <w:rPr>
          <w:rFonts w:eastAsia="Times New Roman"/>
          <w:color w:val="000000"/>
        </w:rPr>
        <w:t xml:space="preserve"> korištenje ove usluge značajno povećati</w:t>
      </w:r>
      <w:r w:rsidRPr="00812C3F">
        <w:rPr>
          <w:rFonts w:eastAsia="Times New Roman"/>
          <w:color w:val="000000"/>
        </w:rPr>
        <w:t xml:space="preserve">. </w:t>
      </w:r>
    </w:p>
    <w:p w:rsidR="00895582" w:rsidRDefault="00895582" w:rsidP="00D7024A">
      <w:pPr>
        <w:jc w:val="both"/>
        <w:rPr>
          <w:rFonts w:eastAsia="Times New Roman"/>
          <w:color w:val="000000"/>
        </w:rPr>
      </w:pPr>
    </w:p>
    <w:p w:rsidR="00D7024A" w:rsidRDefault="00D7024A" w:rsidP="00D7024A">
      <w:pPr>
        <w:jc w:val="both"/>
        <w:rPr>
          <w:rFonts w:eastAsia="Times New Roman"/>
          <w:color w:val="000000"/>
        </w:rPr>
      </w:pPr>
      <w:r w:rsidRPr="00812C3F">
        <w:rPr>
          <w:rFonts w:eastAsia="Times New Roman"/>
          <w:color w:val="000000"/>
        </w:rPr>
        <w:t>Osim toga, operatorima koji u nekom geografskom području neće graditi vlastitu svjetlovodnu mrežu</w:t>
      </w:r>
      <w:r>
        <w:rPr>
          <w:rFonts w:eastAsia="Times New Roman"/>
          <w:color w:val="000000"/>
        </w:rPr>
        <w:t>, a primjerice trenutno koriste usluge s tržišta malog kapaciteta,</w:t>
      </w:r>
      <w:r w:rsidRPr="00812C3F">
        <w:rPr>
          <w:rFonts w:eastAsia="Times New Roman"/>
          <w:color w:val="000000"/>
        </w:rPr>
        <w:t xml:space="preserve"> bit će zanimljivije </w:t>
      </w:r>
      <w:proofErr w:type="spellStart"/>
      <w:r>
        <w:rPr>
          <w:rFonts w:eastAsia="Times New Roman"/>
          <w:color w:val="000000"/>
        </w:rPr>
        <w:t>koristti</w:t>
      </w:r>
      <w:proofErr w:type="spellEnd"/>
      <w:r>
        <w:rPr>
          <w:rFonts w:eastAsia="Times New Roman"/>
          <w:color w:val="000000"/>
        </w:rPr>
        <w:t xml:space="preserve"> </w:t>
      </w:r>
      <w:r w:rsidRPr="00812C3F">
        <w:rPr>
          <w:rFonts w:eastAsia="Times New Roman"/>
          <w:color w:val="000000"/>
        </w:rPr>
        <w:t>uslug</w:t>
      </w:r>
      <w:r>
        <w:rPr>
          <w:rFonts w:eastAsia="Times New Roman"/>
          <w:color w:val="000000"/>
        </w:rPr>
        <w:t>u</w:t>
      </w:r>
      <w:r w:rsidRPr="00812C3F">
        <w:rPr>
          <w:rFonts w:eastAsia="Times New Roman"/>
          <w:color w:val="000000"/>
        </w:rPr>
        <w:t xml:space="preserve"> VULA</w:t>
      </w:r>
      <w:r>
        <w:rPr>
          <w:rFonts w:eastAsia="Times New Roman"/>
          <w:color w:val="000000"/>
        </w:rPr>
        <w:t>,</w:t>
      </w:r>
      <w:r w:rsidRPr="00812C3F">
        <w:rPr>
          <w:rFonts w:eastAsia="Times New Roman"/>
          <w:color w:val="000000"/>
        </w:rPr>
        <w:t xml:space="preserve"> odnosno bitstream na OLT razini, </w:t>
      </w:r>
      <w:r>
        <w:rPr>
          <w:rFonts w:eastAsia="Times New Roman"/>
          <w:color w:val="000000"/>
        </w:rPr>
        <w:t xml:space="preserve">budući da su ti </w:t>
      </w:r>
      <w:proofErr w:type="spellStart"/>
      <w:r>
        <w:rPr>
          <w:rFonts w:eastAsia="Times New Roman"/>
          <w:color w:val="000000"/>
        </w:rPr>
        <w:t>opetatori</w:t>
      </w:r>
      <w:proofErr w:type="spellEnd"/>
      <w:r>
        <w:rPr>
          <w:rFonts w:eastAsia="Times New Roman"/>
          <w:color w:val="000000"/>
        </w:rPr>
        <w:t xml:space="preserve"> već prisutni na lokacijama na kojoj se nalazi OLT, a s </w:t>
      </w:r>
      <w:r w:rsidRPr="00812C3F">
        <w:rPr>
          <w:rFonts w:eastAsia="Times New Roman"/>
          <w:color w:val="000000"/>
        </w:rPr>
        <w:t xml:space="preserve">kojih imaju mogućnost dosega većeg broja krajnjih korisnika čime se povećava isplativost pristupa, a da se pri tom značajno ne umanjuje kvaliteta maloprodajne usluge. </w:t>
      </w:r>
    </w:p>
    <w:p w:rsidR="00895582" w:rsidRDefault="00895582" w:rsidP="00D7024A">
      <w:pPr>
        <w:jc w:val="both"/>
        <w:rPr>
          <w:rFonts w:eastAsia="Times New Roman"/>
          <w:color w:val="000000"/>
        </w:rPr>
      </w:pPr>
    </w:p>
    <w:p w:rsidR="00D7024A" w:rsidRPr="00812C3F" w:rsidRDefault="00D7024A" w:rsidP="00D7024A">
      <w:pPr>
        <w:jc w:val="both"/>
        <w:rPr>
          <w:rFonts w:eastAsia="Times New Roman"/>
          <w:color w:val="000000"/>
          <w:highlight w:val="yellow"/>
        </w:rPr>
      </w:pPr>
      <w:r>
        <w:rPr>
          <w:rFonts w:eastAsia="Times New Roman"/>
          <w:color w:val="000000"/>
        </w:rPr>
        <w:t>Slijedom navedenog FA-PON usluge drugih operatora, kao i VULA usluga HT-a predstavljaju zamjenske usluge FA-PON usluzi HT-a.</w:t>
      </w:r>
    </w:p>
    <w:p w:rsidR="00D7024A" w:rsidRPr="00812C3F" w:rsidRDefault="00D7024A" w:rsidP="00D7024A">
      <w:pPr>
        <w:jc w:val="both"/>
        <w:rPr>
          <w:rFonts w:eastAsia="Times New Roman"/>
          <w:color w:val="000000"/>
          <w:highlight w:val="yellow"/>
        </w:rPr>
      </w:pPr>
    </w:p>
    <w:p w:rsidR="00D7024A" w:rsidRPr="00B34167" w:rsidRDefault="00B74F3D" w:rsidP="00BD542F">
      <w:pPr>
        <w:jc w:val="both"/>
        <w:rPr>
          <w:rFonts w:ascii="Segoe UI Semibold" w:hAnsi="Segoe UI Semibold" w:cs="Segoe UI Semibold"/>
          <w:color w:val="1F3864" w:themeColor="accent1" w:themeShade="80"/>
        </w:rPr>
      </w:pPr>
      <w:bookmarkStart w:id="191" w:name="_Toc124462557"/>
      <w:bookmarkStart w:id="192" w:name="_Toc124514451"/>
      <w:r w:rsidRPr="00B34167">
        <w:rPr>
          <w:rFonts w:ascii="Segoe UI Semibold" w:hAnsi="Segoe UI Semibold" w:cs="Segoe UI Semibold"/>
          <w:color w:val="1F3864" w:themeColor="accent1" w:themeShade="80"/>
        </w:rPr>
        <w:t>Usluga lokalnog</w:t>
      </w:r>
      <w:r w:rsidR="00D7024A" w:rsidRPr="00B34167">
        <w:rPr>
          <w:rFonts w:ascii="Segoe UI Semibold" w:hAnsi="Segoe UI Semibold" w:cs="Segoe UI Semibold"/>
          <w:color w:val="1F3864" w:themeColor="accent1" w:themeShade="80"/>
        </w:rPr>
        <w:t xml:space="preserve"> pristupa za vlastite potreb</w:t>
      </w:r>
      <w:bookmarkEnd w:id="191"/>
      <w:bookmarkEnd w:id="192"/>
      <w:r w:rsidR="00BD542F" w:rsidRPr="00B34167">
        <w:rPr>
          <w:rFonts w:ascii="Segoe UI Semibold" w:hAnsi="Segoe UI Semibold" w:cs="Segoe UI Semibold"/>
          <w:color w:val="1F3864" w:themeColor="accent1" w:themeShade="80"/>
        </w:rPr>
        <w:t>e</w:t>
      </w:r>
    </w:p>
    <w:p w:rsidR="00D7024A" w:rsidRPr="00FB3A40" w:rsidRDefault="00D7024A" w:rsidP="00D7024A"/>
    <w:p w:rsidR="00D7024A" w:rsidRPr="00812C3F" w:rsidRDefault="00D7024A" w:rsidP="00D7024A">
      <w:pPr>
        <w:jc w:val="both"/>
        <w:rPr>
          <w:rFonts w:eastAsia="Times New Roman"/>
          <w:color w:val="000000"/>
        </w:rPr>
      </w:pPr>
      <w:r w:rsidRPr="00812C3F">
        <w:rPr>
          <w:rFonts w:eastAsia="Times New Roman"/>
          <w:color w:val="000000"/>
        </w:rPr>
        <w:t>Uzevši u obzir da potražnja na maloprodajnoj razini ovog tržišta proizlazi iz potražnje za uslugom širokopojasnog pristupa koja se ostvaruje putem svjetlovodne niti i putem kabelskih mreža, HAKOM u ovom poglavlju nastoji utvrditi postoji</w:t>
      </w:r>
      <w:r>
        <w:rPr>
          <w:rFonts w:eastAsia="Times New Roman"/>
          <w:color w:val="000000"/>
        </w:rPr>
        <w:t xml:space="preserve"> </w:t>
      </w:r>
      <w:r w:rsidRPr="00812C3F">
        <w:rPr>
          <w:rFonts w:eastAsia="Times New Roman"/>
          <w:color w:val="000000"/>
        </w:rPr>
        <w:t>li na maloprodajnoj razini dovoljan konkurentski pritisak od strane operatora koji navedene usluge pružaju putem vlastite</w:t>
      </w:r>
      <w:r>
        <w:rPr>
          <w:rFonts w:eastAsia="Times New Roman"/>
          <w:color w:val="000000"/>
        </w:rPr>
        <w:t xml:space="preserve"> </w:t>
      </w:r>
      <w:r w:rsidRPr="00812C3F">
        <w:rPr>
          <w:rFonts w:eastAsia="Times New Roman"/>
          <w:color w:val="000000"/>
        </w:rPr>
        <w:t xml:space="preserve">pristupne infrastrukture, odnosno za vlastite potrebe, na način da mogu utjecati na određivanje cijene </w:t>
      </w:r>
      <w:r>
        <w:rPr>
          <w:rFonts w:eastAsia="Times New Roman"/>
          <w:color w:val="000000"/>
        </w:rPr>
        <w:t>FA-PON usluge.</w:t>
      </w:r>
      <w:r w:rsidRPr="00812C3F">
        <w:rPr>
          <w:rFonts w:eastAsia="Times New Roman"/>
          <w:color w:val="000000"/>
        </w:rPr>
        <w:t xml:space="preserve"> U slučaju značajnog konkurentskog pritiska na maloprodajnoj razini, potrebno je u dimenziju usluga mjerodavnog tržišta, uključiti i uslugu širokopojasnog pristupa koju operatori pružaju za vlastite potrebe.</w:t>
      </w:r>
    </w:p>
    <w:p w:rsidR="00D7024A" w:rsidRPr="00812C3F" w:rsidRDefault="00D7024A" w:rsidP="00D7024A">
      <w:pPr>
        <w:jc w:val="both"/>
        <w:rPr>
          <w:rFonts w:eastAsia="Times New Roman"/>
          <w:color w:val="000000"/>
          <w:highlight w:val="yellow"/>
        </w:rPr>
      </w:pPr>
    </w:p>
    <w:p w:rsidR="00D7024A" w:rsidRPr="00BD542F" w:rsidRDefault="00D7024A" w:rsidP="00BD542F">
      <w:pPr>
        <w:jc w:val="both"/>
        <w:rPr>
          <w:rFonts w:ascii="Segoe UI Semibold" w:hAnsi="Segoe UI Semibold" w:cs="Segoe UI Semibold"/>
          <w:i/>
          <w:color w:val="1F3864" w:themeColor="accent1" w:themeShade="80"/>
        </w:rPr>
      </w:pPr>
      <w:bookmarkStart w:id="193" w:name="_Toc124462558"/>
      <w:bookmarkStart w:id="194" w:name="_Toc124514452"/>
      <w:r w:rsidRPr="00BD542F">
        <w:rPr>
          <w:rFonts w:ascii="Segoe UI Semibold" w:hAnsi="Segoe UI Semibold" w:cs="Segoe UI Semibold"/>
          <w:i/>
          <w:color w:val="1F3864" w:themeColor="accent1" w:themeShade="80"/>
        </w:rPr>
        <w:t>Usluga lokalnog pristupa koju operatori pružaju putem svjetlovodne infrastrukture za vlastite potrebe</w:t>
      </w:r>
      <w:bookmarkEnd w:id="193"/>
      <w:bookmarkEnd w:id="194"/>
    </w:p>
    <w:p w:rsidR="00D7024A"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Usluge na maloprodajnoj razini ovog tržišta, s najvećim udjelom širokopojasnih priključaka u nepokretnoj mreži pružaju operatori HT, A1, i Iskon (ukupno 93,18 % priključaka), dok je udio širokopojasnih priključaka ostalih operatora relativno mali i iznosi 6,82 %.</w:t>
      </w:r>
    </w:p>
    <w:p w:rsidR="00D7024A" w:rsidRPr="00812C3F"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 xml:space="preserve">Mogućnost operatora da u situaciji u kojoj bi bivši monopolist podigao cijenu </w:t>
      </w:r>
      <w:r>
        <w:rPr>
          <w:rFonts w:eastAsia="Times New Roman"/>
          <w:color w:val="000000"/>
        </w:rPr>
        <w:t>FA-PON</w:t>
      </w:r>
      <w:r w:rsidRPr="00812C3F">
        <w:rPr>
          <w:rFonts w:eastAsia="Times New Roman"/>
          <w:color w:val="000000"/>
        </w:rPr>
        <w:t xml:space="preserve"> usluge putem, prijeđe na uslugu drugog operatora nepokretne mreže i na taj način stvori konkurentski pritisak na cijenu HT-ov</w:t>
      </w:r>
      <w:r>
        <w:rPr>
          <w:rFonts w:eastAsia="Times New Roman"/>
          <w:color w:val="000000"/>
        </w:rPr>
        <w:t>e FA-PON usluge</w:t>
      </w:r>
      <w:r w:rsidRPr="00812C3F">
        <w:rPr>
          <w:rFonts w:eastAsia="Times New Roman"/>
          <w:color w:val="000000"/>
        </w:rPr>
        <w:t xml:space="preserve">, ovisi o dostupnosti takve usluge.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Pokrivanje svjetlovodnih mreža u RH je vrlo različito za različita geografska područja, a operatori svjetlovodnu infrastrukturu grade u područjima u kojima ista već nije prisutna.  Stoga je vrlo malo zemljopisnih područja na kojima se svjetlovodne infrastrukture alternativnih operatora i HT-a preklapaju, odnosno na kojima bi operator korisnik veleprodajne usluge </w:t>
      </w:r>
      <w:r>
        <w:rPr>
          <w:rFonts w:eastAsia="Times New Roman"/>
          <w:color w:val="000000"/>
        </w:rPr>
        <w:t xml:space="preserve">lokalnog pristupa </w:t>
      </w:r>
      <w:r w:rsidRPr="00812C3F">
        <w:rPr>
          <w:rFonts w:eastAsia="Times New Roman"/>
          <w:color w:val="000000"/>
        </w:rPr>
        <w:t xml:space="preserve">bivšeg monopolista imao mogućnost tu uslugu zamijeniti istovjetnom uslugom drugog operatora. Slijedom navedenog, HAKOM zaključuje kako na područjima pokrivanja svjetlovodne mreže HT-a ne postoji konkurentski pritisak na maloprodajnoj razini koji bi onemogućio HT u podizanju cijene </w:t>
      </w:r>
      <w:r>
        <w:rPr>
          <w:rFonts w:eastAsia="Times New Roman"/>
          <w:color w:val="000000"/>
        </w:rPr>
        <w:t>FA-PON usluge</w:t>
      </w:r>
      <w:r w:rsidRPr="00812C3F">
        <w:rPr>
          <w:rFonts w:eastAsia="Times New Roman"/>
          <w:color w:val="000000"/>
        </w:rPr>
        <w:t xml:space="preserve">. S obzirom na nepostojanje odgovarajućeg konkurentskog pritiska s maloprodajne razine na cijenu </w:t>
      </w:r>
      <w:r>
        <w:rPr>
          <w:rFonts w:eastAsia="Times New Roman"/>
          <w:color w:val="000000"/>
        </w:rPr>
        <w:t xml:space="preserve">FA-PON </w:t>
      </w:r>
      <w:r w:rsidRPr="00812C3F">
        <w:rPr>
          <w:rFonts w:eastAsia="Times New Roman"/>
          <w:color w:val="000000"/>
        </w:rPr>
        <w:t>usluge HT-a, vrlo je vjerojatno kako bi u slučaju povećanja cijene veleprodajne usluge, kada bi to povećanje operatori korisnici iste prenijeli na svoje krajnje korisnike, krajnji korisnici prešli na usluge drugog operatora koji im može ponuditi svoje usluge – u ovom slučaju HT. Zbog ovakve situacije, potrebno je usluge</w:t>
      </w:r>
      <w:r>
        <w:rPr>
          <w:rFonts w:eastAsia="Times New Roman"/>
          <w:color w:val="000000"/>
        </w:rPr>
        <w:t xml:space="preserve"> lokalnog</w:t>
      </w:r>
      <w:r w:rsidRPr="00812C3F">
        <w:rPr>
          <w:rFonts w:eastAsia="Times New Roman"/>
          <w:color w:val="000000"/>
        </w:rPr>
        <w:t xml:space="preserve"> pristupa</w:t>
      </w:r>
      <w:r>
        <w:rPr>
          <w:rFonts w:eastAsia="Times New Roman"/>
          <w:color w:val="000000"/>
        </w:rPr>
        <w:t xml:space="preserve"> velikog kapaciteta</w:t>
      </w:r>
      <w:r w:rsidRPr="00812C3F">
        <w:rPr>
          <w:rFonts w:eastAsia="Times New Roman"/>
          <w:color w:val="000000"/>
        </w:rPr>
        <w:t xml:space="preserve"> koje HT pruža svom maloprodajnom dijelu, odnosno za vlastite potrebe uključiti u mjerodavno tržište velikog kapaciteta.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Osim HT-a, usluge širokopojasnog pristupa velikog kapaciteta putem vlastite svjetlovodne infrastrukture na maloprodajnoj razini pružaju još </w:t>
      </w:r>
      <w:r>
        <w:rPr>
          <w:rFonts w:eastAsia="Times New Roman"/>
          <w:color w:val="000000"/>
        </w:rPr>
        <w:t xml:space="preserve">niz alternativnih operatora (A1, </w:t>
      </w:r>
      <w:proofErr w:type="spellStart"/>
      <w:r w:rsidRPr="00812C3F">
        <w:rPr>
          <w:rFonts w:eastAsia="Times New Roman"/>
          <w:color w:val="000000"/>
        </w:rPr>
        <w:t>Telemach</w:t>
      </w:r>
      <w:proofErr w:type="spellEnd"/>
      <w:r>
        <w:rPr>
          <w:rFonts w:eastAsia="Times New Roman"/>
          <w:color w:val="000000"/>
        </w:rPr>
        <w:t xml:space="preserve">, Pro </w:t>
      </w:r>
      <w:proofErr w:type="spellStart"/>
      <w:r>
        <w:rPr>
          <w:rFonts w:eastAsia="Times New Roman"/>
          <w:color w:val="000000"/>
        </w:rPr>
        <w:t>Ping</w:t>
      </w:r>
      <w:proofErr w:type="spellEnd"/>
      <w:r>
        <w:rPr>
          <w:rFonts w:eastAsia="Times New Roman"/>
          <w:color w:val="000000"/>
        </w:rPr>
        <w:t>, 4Tel telekomunikacije itd.)</w:t>
      </w:r>
      <w:r w:rsidRPr="00812C3F">
        <w:rPr>
          <w:rFonts w:eastAsia="Times New Roman"/>
          <w:color w:val="000000"/>
        </w:rPr>
        <w:t xml:space="preserve"> koji nud</w:t>
      </w:r>
      <w:r>
        <w:rPr>
          <w:rFonts w:eastAsia="Times New Roman"/>
          <w:color w:val="000000"/>
        </w:rPr>
        <w:t>e</w:t>
      </w:r>
      <w:r w:rsidRPr="00812C3F">
        <w:rPr>
          <w:rFonts w:eastAsia="Times New Roman"/>
          <w:color w:val="000000"/>
        </w:rPr>
        <w:t xml:space="preserve"> i odgovarajuću veleprodajnu uslugu, a samo na veleprodajnoj razini RUNE </w:t>
      </w:r>
      <w:proofErr w:type="spellStart"/>
      <w:r>
        <w:rPr>
          <w:rFonts w:eastAsia="Times New Roman"/>
          <w:color w:val="000000"/>
        </w:rPr>
        <w:t>Crow</w:t>
      </w:r>
      <w:proofErr w:type="spellEnd"/>
      <w:r>
        <w:rPr>
          <w:rFonts w:eastAsia="Times New Roman"/>
          <w:color w:val="000000"/>
        </w:rPr>
        <w:t xml:space="preserve"> d.o.o., Zagrebački Holding-Podružnica Digitalni grad, Infrastruktura d.o.o.</w:t>
      </w:r>
      <w:r w:rsidRPr="00812C3F">
        <w:rPr>
          <w:rFonts w:eastAsia="Times New Roman"/>
          <w:color w:val="000000"/>
        </w:rPr>
        <w:t>- s različitim područjima pokrivanja. S obzirom da se pokrivenost svjetlovodnih mreža različitih operatora ne preklapa</w:t>
      </w:r>
      <w:r>
        <w:rPr>
          <w:rFonts w:eastAsia="Times New Roman"/>
          <w:color w:val="000000"/>
        </w:rPr>
        <w:t xml:space="preserve"> ili se preklapa u maloj mjeri</w:t>
      </w:r>
      <w:r w:rsidRPr="00812C3F">
        <w:rPr>
          <w:rFonts w:eastAsia="Times New Roman"/>
          <w:color w:val="000000"/>
        </w:rPr>
        <w:t>, na lokacijama pokrivanja mreže nekog operatora taj operator može pružati usluge veleprodajn</w:t>
      </w:r>
      <w:r>
        <w:rPr>
          <w:rFonts w:eastAsia="Times New Roman"/>
          <w:color w:val="000000"/>
        </w:rPr>
        <w:t>og lokalnog pristupa velikog kapaciteta te</w:t>
      </w:r>
      <w:r w:rsidRPr="00812C3F">
        <w:rPr>
          <w:rFonts w:eastAsia="Times New Roman"/>
          <w:color w:val="000000"/>
        </w:rPr>
        <w:t xml:space="preserve"> maloprodaj</w:t>
      </w:r>
      <w:r>
        <w:rPr>
          <w:rFonts w:eastAsia="Times New Roman"/>
          <w:color w:val="000000"/>
        </w:rPr>
        <w:t>ne usluge velikog kapaciteta</w:t>
      </w:r>
      <w:r w:rsidRPr="00812C3F">
        <w:rPr>
          <w:rFonts w:eastAsia="Times New Roman"/>
          <w:color w:val="000000"/>
        </w:rPr>
        <w:t xml:space="preserve"> krajnjim korisnicima s tog područja bez postojanja konkurentskog pritiska. Zbog toga, prethodno izneseni zaključci za HT na području pokrivanja svjetlovodne mreže HT-a, vrijede i za ostale operatore na područjima pokrivanja njihovih svjetlovodnih mreža. Drugim riječima, usluge</w:t>
      </w:r>
      <w:r>
        <w:rPr>
          <w:rFonts w:eastAsia="Times New Roman"/>
          <w:color w:val="000000"/>
        </w:rPr>
        <w:t xml:space="preserve"> lokalnog pristupa velikog kapaciteta</w:t>
      </w:r>
      <w:r w:rsidRPr="00812C3F">
        <w:rPr>
          <w:rFonts w:eastAsia="Times New Roman"/>
          <w:color w:val="000000"/>
        </w:rPr>
        <w:t xml:space="preserve"> koje ostali operatori pružaju za vlastite potrebe putem vlastite svjetlovodne infrastrukture, potrebno je uključiti u dimenziju usluga ovog mjerodavnog tržišta.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Slijedom svega navedenog, HAKOM smatra da, u razdoblju na koje se odnosi ova analiza, usluga </w:t>
      </w:r>
      <w:r>
        <w:rPr>
          <w:rFonts w:eastAsia="Times New Roman"/>
          <w:color w:val="000000"/>
        </w:rPr>
        <w:t>lokalnog</w:t>
      </w:r>
      <w:r w:rsidRPr="00812C3F">
        <w:rPr>
          <w:rFonts w:eastAsia="Times New Roman"/>
          <w:color w:val="000000"/>
        </w:rPr>
        <w:t xml:space="preserve"> pristupa velikog kapaciteta koju operatori pružaju putem vlastite svjetlovodne infrastrukture za vlastite potrebe ulazi u dimenziju usluga mjerodavnog tržišta.</w:t>
      </w:r>
    </w:p>
    <w:p w:rsidR="00D7024A" w:rsidRPr="00812C3F" w:rsidRDefault="00D7024A" w:rsidP="00D7024A">
      <w:pPr>
        <w:jc w:val="both"/>
        <w:rPr>
          <w:rFonts w:eastAsia="Times New Roman"/>
          <w:color w:val="000000"/>
          <w:highlight w:val="yellow"/>
        </w:rPr>
      </w:pPr>
    </w:p>
    <w:p w:rsidR="00D7024A" w:rsidRPr="00CB684F" w:rsidRDefault="00D7024A" w:rsidP="00CB684F">
      <w:pPr>
        <w:jc w:val="both"/>
        <w:rPr>
          <w:rFonts w:ascii="Segoe UI Semibold" w:hAnsi="Segoe UI Semibold" w:cs="Segoe UI Semibold"/>
          <w:i/>
          <w:color w:val="1F3864" w:themeColor="accent1" w:themeShade="80"/>
        </w:rPr>
      </w:pPr>
      <w:bookmarkStart w:id="195" w:name="_Toc124462559"/>
      <w:bookmarkStart w:id="196" w:name="_Toc124514453"/>
      <w:r w:rsidRPr="00CB684F">
        <w:rPr>
          <w:rFonts w:ascii="Segoe UI Semibold" w:hAnsi="Segoe UI Semibold" w:cs="Segoe UI Semibold"/>
          <w:i/>
          <w:color w:val="1F3864" w:themeColor="accent1" w:themeShade="80"/>
        </w:rPr>
        <w:t>Usluga lokalnog pristupa putem kabelskih mreža za vlastite potrebe</w:t>
      </w:r>
      <w:bookmarkEnd w:id="195"/>
      <w:bookmarkEnd w:id="196"/>
    </w:p>
    <w:p w:rsidR="00D7024A" w:rsidRPr="00812C3F"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 xml:space="preserve">Operatori A1, BT NET, Kabel kanal, </w:t>
      </w:r>
      <w:proofErr w:type="spellStart"/>
      <w:r w:rsidRPr="00812C3F">
        <w:rPr>
          <w:rFonts w:eastAsia="Times New Roman"/>
          <w:color w:val="000000"/>
        </w:rPr>
        <w:t>Magić</w:t>
      </w:r>
      <w:proofErr w:type="spellEnd"/>
      <w:r w:rsidRPr="00812C3F">
        <w:rPr>
          <w:rFonts w:eastAsia="Times New Roman"/>
          <w:color w:val="000000"/>
        </w:rPr>
        <w:t xml:space="preserve"> </w:t>
      </w:r>
      <w:proofErr w:type="spellStart"/>
      <w:r w:rsidRPr="00812C3F">
        <w:rPr>
          <w:rFonts w:eastAsia="Times New Roman"/>
          <w:color w:val="000000"/>
        </w:rPr>
        <w:t>net</w:t>
      </w:r>
      <w:proofErr w:type="spellEnd"/>
      <w:r w:rsidRPr="00812C3F">
        <w:rPr>
          <w:rFonts w:eastAsia="Times New Roman"/>
          <w:color w:val="000000"/>
        </w:rPr>
        <w:t xml:space="preserve">, </w:t>
      </w:r>
      <w:proofErr w:type="spellStart"/>
      <w:r w:rsidRPr="00812C3F">
        <w:rPr>
          <w:rFonts w:eastAsia="Times New Roman"/>
          <w:color w:val="000000"/>
        </w:rPr>
        <w:t>Terrakom</w:t>
      </w:r>
      <w:proofErr w:type="spellEnd"/>
      <w:r w:rsidRPr="00812C3F">
        <w:rPr>
          <w:rFonts w:eastAsia="Times New Roman"/>
          <w:color w:val="000000"/>
        </w:rPr>
        <w:t xml:space="preserve">, </w:t>
      </w:r>
      <w:proofErr w:type="spellStart"/>
      <w:r w:rsidRPr="00812C3F">
        <w:rPr>
          <w:rFonts w:eastAsia="Times New Roman"/>
          <w:color w:val="000000"/>
        </w:rPr>
        <w:t>Istria</w:t>
      </w:r>
      <w:proofErr w:type="spellEnd"/>
      <w:r w:rsidRPr="00812C3F">
        <w:rPr>
          <w:rFonts w:eastAsia="Times New Roman"/>
          <w:color w:val="000000"/>
        </w:rPr>
        <w:t xml:space="preserve"> NET UMAG, EL-KOM pružaju krajnjim korisnicima usluge širokopojasnog pristupa velikog kapaciteta putem kabelskih mreža.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S tim u vezi, najprije je potrebno istaknuti kako zemljopisna pokrivenost kabelskom infrastrukturom nije ravnomjerna te se njeno daljnje širenje ne očekuje, barem ne u značajnijem opsegu. </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sidRPr="00812C3F">
        <w:rPr>
          <w:rFonts w:eastAsia="Times New Roman"/>
          <w:color w:val="000000"/>
        </w:rPr>
        <w:t xml:space="preserve">HAKOM je </w:t>
      </w:r>
      <w:r>
        <w:rPr>
          <w:rFonts w:eastAsia="Times New Roman"/>
          <w:color w:val="000000"/>
        </w:rPr>
        <w:t xml:space="preserve">u nastavku </w:t>
      </w:r>
      <w:r w:rsidRPr="00812C3F">
        <w:rPr>
          <w:rFonts w:eastAsia="Times New Roman"/>
          <w:color w:val="000000"/>
        </w:rPr>
        <w:t xml:space="preserve">analizirao utjecaj širokopojasnog pristupa putem kabelskih mreža koji operatori kabelskih mreža pružaju za vlastite potrebe, na cijenu usluge </w:t>
      </w:r>
      <w:r>
        <w:rPr>
          <w:rFonts w:eastAsia="Times New Roman"/>
          <w:color w:val="000000"/>
        </w:rPr>
        <w:t>FA-PON usluge</w:t>
      </w:r>
      <w:r w:rsidRPr="00812C3F">
        <w:rPr>
          <w:rFonts w:eastAsia="Times New Roman"/>
          <w:color w:val="000000"/>
        </w:rPr>
        <w:t xml:space="preserve">.  </w:t>
      </w:r>
    </w:p>
    <w:p w:rsidR="00D7024A" w:rsidRPr="0089784D" w:rsidRDefault="00D7024A" w:rsidP="00D7024A">
      <w:pPr>
        <w:rPr>
          <w:lang w:eastAsia="hr-HR"/>
        </w:rPr>
      </w:pPr>
    </w:p>
    <w:p w:rsidR="00D7024A" w:rsidRPr="0089784D" w:rsidRDefault="00D7024A" w:rsidP="00D7024A">
      <w:pPr>
        <w:jc w:val="both"/>
        <w:rPr>
          <w:lang w:eastAsia="hr-HR"/>
        </w:rPr>
      </w:pPr>
      <w:r w:rsidRPr="0089784D">
        <w:rPr>
          <w:lang w:eastAsia="hr-HR"/>
        </w:rPr>
        <w:t>Zbog svojih tehničkih ograničenja veleprodajni pristup kabelskim mrežama</w:t>
      </w:r>
      <w:r w:rsidRPr="0089784D">
        <w:rPr>
          <w:vertAlign w:val="superscript"/>
          <w:lang w:eastAsia="hr-HR"/>
        </w:rPr>
        <w:footnoteReference w:id="32"/>
      </w:r>
      <w:r w:rsidRPr="0089784D">
        <w:rPr>
          <w:lang w:eastAsia="hr-HR"/>
        </w:rPr>
        <w:t xml:space="preserve"> nije moguć putem veleprodajnih usluga koje bi se mogle uključiti u tržište veleprodajnog lokalnog pristupa koji se pruža na fiksnoj lokaciji. Postoje primjeri zemalja članica EU u kojima se bilo kao regulatorna obveza</w:t>
      </w:r>
      <w:r w:rsidRPr="0089784D">
        <w:rPr>
          <w:vertAlign w:val="superscript"/>
          <w:lang w:eastAsia="hr-HR"/>
        </w:rPr>
        <w:footnoteReference w:id="33"/>
      </w:r>
      <w:r w:rsidRPr="0089784D">
        <w:rPr>
          <w:lang w:eastAsia="hr-HR"/>
        </w:rPr>
        <w:t>, bilo na komercijalnoj osnovi</w:t>
      </w:r>
      <w:r w:rsidRPr="0089784D">
        <w:rPr>
          <w:vertAlign w:val="superscript"/>
          <w:lang w:eastAsia="hr-HR"/>
        </w:rPr>
        <w:footnoteReference w:id="34"/>
      </w:r>
      <w:r w:rsidRPr="0089784D">
        <w:rPr>
          <w:lang w:eastAsia="hr-HR"/>
        </w:rPr>
        <w:t xml:space="preserve">, pružaju usluge veleprodajnog pristupa kabelskim mrežama (vidi </w:t>
      </w:r>
      <w:proofErr w:type="spellStart"/>
      <w:r w:rsidRPr="0089784D">
        <w:rPr>
          <w:lang w:eastAsia="hr-HR"/>
        </w:rPr>
        <w:t>Explanatory</w:t>
      </w:r>
      <w:proofErr w:type="spellEnd"/>
      <w:r w:rsidRPr="0089784D">
        <w:rPr>
          <w:lang w:eastAsia="hr-HR"/>
        </w:rPr>
        <w:t xml:space="preserve"> Note dokument, odnosno radni dokument koji je EK objavila istodobno s novom Preporukom EK o mjerodavnim tržištima</w:t>
      </w:r>
      <w:r w:rsidRPr="0089784D">
        <w:rPr>
          <w:vertAlign w:val="superscript"/>
          <w:lang w:eastAsia="hr-HR"/>
        </w:rPr>
        <w:footnoteReference w:id="35"/>
      </w:r>
      <w:r w:rsidRPr="0089784D">
        <w:rPr>
          <w:lang w:eastAsia="hr-HR"/>
        </w:rPr>
        <w:t xml:space="preserve">), ali isključivo je riječ o uslugama koje su sastavni dio tržišta veleprodajnog središnjeg pristupa, odnosno </w:t>
      </w:r>
      <w:r w:rsidRPr="0089784D">
        <w:rPr>
          <w:i/>
          <w:lang w:eastAsia="hr-HR"/>
        </w:rPr>
        <w:t>bitstream</w:t>
      </w:r>
      <w:r w:rsidRPr="0089784D">
        <w:rPr>
          <w:lang w:eastAsia="hr-HR"/>
        </w:rPr>
        <w:t xml:space="preserve"> usluge. Iz navedenog proizlazi, kako veleprodajne usluge pristupa kabelskim mrežama nisu sastavni dio tržišta veleprodajnog lokalnog pristupa koji se pruža na fiksnoj lokaciji.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Međutim, sukladno SMP smjernicama</w:t>
      </w:r>
      <w:r w:rsidRPr="0089784D">
        <w:rPr>
          <w:vertAlign w:val="superscript"/>
          <w:lang w:eastAsia="hr-HR"/>
        </w:rPr>
        <w:footnoteReference w:id="36"/>
      </w:r>
      <w:r w:rsidRPr="0089784D">
        <w:rPr>
          <w:lang w:eastAsia="hr-HR"/>
        </w:rPr>
        <w:t xml:space="preserve"> nacionalna regulatorna tijela trebala bi isto tako razmotriti mogu li proizvodi ili usluge izvan mjerodavnog tržišta i temeljnih maloprodajnih tržišta biti (cjenovna) ograničenja tržišnoj snazi postojećeg operatora. </w:t>
      </w:r>
    </w:p>
    <w:p w:rsidR="00D7024A" w:rsidRPr="0089784D" w:rsidRDefault="00D7024A" w:rsidP="00D7024A">
      <w:pPr>
        <w:jc w:val="both"/>
        <w:rPr>
          <w:i/>
          <w:lang w:eastAsia="hr-HR"/>
        </w:rPr>
      </w:pPr>
    </w:p>
    <w:p w:rsidR="00D7024A" w:rsidRPr="0089784D" w:rsidRDefault="00D7024A" w:rsidP="00D7024A">
      <w:pPr>
        <w:jc w:val="both"/>
        <w:rPr>
          <w:lang w:eastAsia="hr-HR"/>
        </w:rPr>
      </w:pPr>
      <w:r w:rsidRPr="0089784D">
        <w:rPr>
          <w:lang w:eastAsia="hr-HR"/>
        </w:rPr>
        <w:t>Dakle, potrebno je razmotriti može li široka rasprostranjenost, u ovom slučaju kabelske VHCN infrastrukture putem koje se pružaju usluge širokopojasnog pristupa na maloprodajnoj razini, utjecati u obliku neizravnih ograničenja, na poslovne odluke operatora koji ima snažan položaj na tržištu na veleprodajnoj razini. Konkretno, neizravna ograničenja nastaju kada se povećanje cijena usluga na veleprodajnoj razini prenosi na povećanje maloprodajnih cijena na način da krajnje korisnike potakne na prelazak na alternativne (kabelske) VHCN infrastrukture preko koje mogu dobiti istovjetan proizvod, a što zapravo neizravno utječe na smanjenje potražnje za veleprodajnim proizvodima operatora koji ima snažan položaj na tržištu. Drugim riječima, neizravna ograničenja, u slučaju da postoje, onemogućavaju operatora koji ima snažan položaj na tržištu da na veleprodajnoj razini bude neovisan u svojim poslovnim odlukama</w:t>
      </w:r>
      <w:r w:rsidRPr="0089784D">
        <w:rPr>
          <w:vertAlign w:val="superscript"/>
          <w:lang w:eastAsia="hr-HR"/>
        </w:rPr>
        <w:footnoteReference w:id="37"/>
      </w:r>
      <w:r w:rsidRPr="0089784D">
        <w:rPr>
          <w:lang w:eastAsia="hr-HR"/>
        </w:rPr>
        <w:t xml:space="preserve">.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 xml:space="preserve">Nastavno na navedeno HAKOM je u nastavku ovog poglavlja analizirao predstavljaju li kabelske VHCN mreže, koje su sastavni dio ovog tržišta na maloprodajnoj razini, neizravno ograničenje zbog kojeg bi pristup kabelskim mrežama trebao biti sastavni dio ovog tržišta na veleprodajnoj razini.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 xml:space="preserve">Prilikom spomenute analize HAKOM je provjerio (I) mogu li se maloprodajne usluge koje se nude putem kabelskih i svjetlovodnih VHCN mreža smatrati u potpunosti zamjenskim uslugama za krajnje korisnike te je provjerio (II) koji postotak priključaka u ukupnom broju priključaka na području na kojem postoje kabelske VHCN mreže se ostvaruje putem kabelskih VHCN mreža. </w:t>
      </w:r>
    </w:p>
    <w:p w:rsidR="00D7024A" w:rsidRPr="0089784D" w:rsidRDefault="00D7024A" w:rsidP="00D7024A">
      <w:pPr>
        <w:jc w:val="both"/>
        <w:rPr>
          <w:lang w:eastAsia="hr-HR"/>
        </w:rPr>
      </w:pPr>
    </w:p>
    <w:p w:rsidR="00D7024A" w:rsidRPr="007F7FCF" w:rsidRDefault="00D7024A" w:rsidP="00E571DF">
      <w:pPr>
        <w:rPr>
          <w:rStyle w:val="IntenseEmphasis"/>
          <w:rFonts w:ascii="Segoe UI Semibold" w:hAnsi="Segoe UI Semibold" w:cs="Segoe UI Semibold"/>
          <w:b w:val="0"/>
          <w:bCs w:val="0"/>
          <w:i w:val="0"/>
          <w:color w:val="272727" w:themeColor="text1" w:themeTint="D8"/>
          <w:sz w:val="22"/>
          <w:szCs w:val="22"/>
        </w:rPr>
      </w:pPr>
      <w:r w:rsidRPr="007F7FCF">
        <w:rPr>
          <w:rStyle w:val="IntenseEmphasis"/>
          <w:rFonts w:ascii="Segoe UI Semibold" w:hAnsi="Segoe UI Semibold" w:cs="Segoe UI Semibold"/>
          <w:b w:val="0"/>
          <w:bCs w:val="0"/>
          <w:i w:val="0"/>
          <w:color w:val="272727" w:themeColor="text1" w:themeTint="D8"/>
          <w:sz w:val="22"/>
          <w:szCs w:val="22"/>
        </w:rPr>
        <w:t>Zamjenjivost tarifnih paketa na kabelskim i svjetlovodnim mrežama</w:t>
      </w:r>
    </w:p>
    <w:p w:rsidR="00D7024A" w:rsidRPr="0089784D" w:rsidRDefault="00D7024A" w:rsidP="00D7024A">
      <w:pPr>
        <w:rPr>
          <w:lang w:eastAsia="hr-HR"/>
        </w:rPr>
      </w:pPr>
    </w:p>
    <w:p w:rsidR="00D7024A" w:rsidRPr="0089784D" w:rsidRDefault="00D7024A" w:rsidP="00D7024A">
      <w:pPr>
        <w:jc w:val="both"/>
        <w:rPr>
          <w:lang w:eastAsia="hr-HR"/>
        </w:rPr>
      </w:pPr>
      <w:r w:rsidRPr="0089784D">
        <w:rPr>
          <w:lang w:eastAsia="hr-HR"/>
        </w:rPr>
        <w:t>Krajnji korisnik koji uslugu širokopojasnog pristupa internetu ugovori  putem svjetlovodnih VHCN mreža može, na jednak način, ugovoriti i putem kabelskih VHCN mreža. Tu uslugu je moguće ugovoriti kao samostalnu uslugu ili u paketu usluga (</w:t>
      </w:r>
      <w:proofErr w:type="spellStart"/>
      <w:r w:rsidRPr="0089784D">
        <w:rPr>
          <w:lang w:eastAsia="hr-HR"/>
        </w:rPr>
        <w:t>eng</w:t>
      </w:r>
      <w:proofErr w:type="spellEnd"/>
      <w:r w:rsidRPr="0089784D">
        <w:rPr>
          <w:lang w:eastAsia="hr-HR"/>
        </w:rPr>
        <w:t xml:space="preserve">. </w:t>
      </w:r>
      <w:proofErr w:type="spellStart"/>
      <w:r w:rsidRPr="0089784D">
        <w:rPr>
          <w:i/>
          <w:lang w:eastAsia="hr-HR"/>
        </w:rPr>
        <w:t>bundle</w:t>
      </w:r>
      <w:proofErr w:type="spellEnd"/>
      <w:r w:rsidRPr="0089784D">
        <w:rPr>
          <w:i/>
          <w:lang w:eastAsia="hr-HR"/>
        </w:rPr>
        <w:t xml:space="preserve"> </w:t>
      </w:r>
      <w:proofErr w:type="spellStart"/>
      <w:r w:rsidRPr="0089784D">
        <w:rPr>
          <w:i/>
          <w:lang w:eastAsia="hr-HR"/>
        </w:rPr>
        <w:t>products</w:t>
      </w:r>
      <w:proofErr w:type="spellEnd"/>
      <w:r w:rsidRPr="0089784D">
        <w:rPr>
          <w:lang w:eastAsia="hr-HR"/>
        </w:rPr>
        <w:t>) s nekom drugom uslugom (npr. javno dostupna telefonska usluga, usluga naplatne televizije) neovisno radi se li o</w:t>
      </w:r>
      <w:r>
        <w:rPr>
          <w:lang w:eastAsia="hr-HR"/>
        </w:rPr>
        <w:t xml:space="preserve"> </w:t>
      </w:r>
      <w:r w:rsidRPr="0089784D">
        <w:rPr>
          <w:lang w:eastAsia="hr-HR"/>
        </w:rPr>
        <w:t xml:space="preserve">svjetlovodnim ili kabelskim mrežama.  Dodatno, najveći kabelski operator ujedno je i operator pokretnih mreža iz čega proizlazi kako je i 4D pakete usluga moguće ugovoriti neovisno ima li krajnji korisnik uslugu širokopojasnog pristupa internetu ugovorenu putem fiksne kabelske ili fiksne svjetlovodne VHCN mreže.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Nadalje, usluga širokopojasnog pristupa internetu nudi se krajnjem korisniku, neovisno je li tu uslugu ugovorio putem svjetlovodnih ili putem kabelskih VHCN mreža, u pravilu s istim brzinama prijenosa podataka u dolaznom (</w:t>
      </w:r>
      <w:proofErr w:type="spellStart"/>
      <w:r w:rsidRPr="0089784D">
        <w:rPr>
          <w:lang w:eastAsia="hr-HR"/>
        </w:rPr>
        <w:t>eng</w:t>
      </w:r>
      <w:proofErr w:type="spellEnd"/>
      <w:r w:rsidRPr="0089784D">
        <w:rPr>
          <w:lang w:eastAsia="hr-HR"/>
        </w:rPr>
        <w:t>. download) i odlaznom (</w:t>
      </w:r>
      <w:proofErr w:type="spellStart"/>
      <w:r w:rsidRPr="0089784D">
        <w:rPr>
          <w:lang w:eastAsia="hr-HR"/>
        </w:rPr>
        <w:t>eng</w:t>
      </w:r>
      <w:proofErr w:type="spellEnd"/>
      <w:r w:rsidRPr="0089784D">
        <w:rPr>
          <w:lang w:eastAsia="hr-HR"/>
        </w:rPr>
        <w:t xml:space="preserve">. </w:t>
      </w:r>
      <w:proofErr w:type="spellStart"/>
      <w:r w:rsidRPr="0089784D">
        <w:rPr>
          <w:lang w:eastAsia="hr-HR"/>
        </w:rPr>
        <w:t>upload</w:t>
      </w:r>
      <w:proofErr w:type="spellEnd"/>
      <w:r w:rsidRPr="0089784D">
        <w:rPr>
          <w:lang w:eastAsia="hr-HR"/>
        </w:rPr>
        <w:t xml:space="preserve">) smjeru. Nadalje, spomenute usluge nude se krajnjim korisnicima po jednakim cijenama odnosno ne postoji razlika u cijeni nudi li se usluga putem kabelskih ili svjetlovodnih VHCN mreža. </w:t>
      </w:r>
    </w:p>
    <w:p w:rsidR="00D7024A" w:rsidRPr="0089784D" w:rsidRDefault="00D7024A" w:rsidP="00D7024A">
      <w:pPr>
        <w:jc w:val="both"/>
        <w:rPr>
          <w:lang w:eastAsia="hr-HR"/>
        </w:rPr>
      </w:pPr>
    </w:p>
    <w:p w:rsidR="00D7024A" w:rsidRPr="0089784D" w:rsidRDefault="00D7024A" w:rsidP="00D7024A">
      <w:pPr>
        <w:jc w:val="both"/>
        <w:rPr>
          <w:lang w:eastAsia="hr-HR"/>
        </w:rPr>
      </w:pPr>
      <w:r>
        <w:rPr>
          <w:lang w:eastAsia="hr-HR"/>
        </w:rPr>
        <w:t>U donjoj tablici (</w:t>
      </w:r>
      <w:r>
        <w:rPr>
          <w:lang w:eastAsia="hr-HR"/>
        </w:rPr>
        <w:fldChar w:fldCharType="begin"/>
      </w:r>
      <w:r>
        <w:rPr>
          <w:lang w:eastAsia="hr-HR"/>
        </w:rPr>
        <w:instrText xml:space="preserve"> REF _Ref124872454 \h  \* MERGEFORMAT </w:instrText>
      </w:r>
      <w:r>
        <w:rPr>
          <w:lang w:eastAsia="hr-HR"/>
        </w:rPr>
      </w:r>
      <w:r>
        <w:rPr>
          <w:lang w:eastAsia="hr-HR"/>
        </w:rPr>
        <w:fldChar w:fldCharType="separate"/>
      </w:r>
      <w:r w:rsidRPr="00FB3A40">
        <w:rPr>
          <w:lang w:eastAsia="hr-HR"/>
        </w:rPr>
        <w:t>Tablica 1</w:t>
      </w:r>
      <w:r>
        <w:rPr>
          <w:lang w:eastAsia="hr-HR"/>
        </w:rPr>
        <w:fldChar w:fldCharType="end"/>
      </w:r>
      <w:r>
        <w:rPr>
          <w:lang w:eastAsia="hr-HR"/>
        </w:rPr>
        <w:t>)</w:t>
      </w:r>
      <w:r w:rsidRPr="0089784D">
        <w:rPr>
          <w:lang w:eastAsia="hr-HR"/>
        </w:rPr>
        <w:t xml:space="preserve"> HAKOM je dao usporedni prikaz maloprodajnih cijena i glavnih karakteristika za samostalnu uslugu širokopojasnog pristupa internetu operatora A1 putem kabelske VHCN mreže i maloprodajnih cijena HT-a putem svjetlovodne VHCN mreže. Iz prikaza je vidljivo kako u pravilu za krajnje korisnike ne postoji značajna razlika ugovori li uslugu širokopojasnog pristupa internetu putem svjetlovodnih ili kabelskih VHCN mreža.</w:t>
      </w:r>
    </w:p>
    <w:p w:rsidR="00D7024A" w:rsidRPr="0089784D" w:rsidRDefault="00D7024A" w:rsidP="00D7024A">
      <w:pPr>
        <w:keepNext/>
        <w:spacing w:after="200"/>
        <w:jc w:val="both"/>
        <w:rPr>
          <w:rFonts w:eastAsia="Times New Roman"/>
          <w:b/>
          <w:bCs/>
          <w:color w:val="4F81BD"/>
          <w:sz w:val="18"/>
          <w:szCs w:val="18"/>
        </w:rPr>
      </w:pPr>
    </w:p>
    <w:p w:rsidR="00D7024A" w:rsidRPr="00FB3A40" w:rsidRDefault="00E571DF" w:rsidP="00E571DF">
      <w:pPr>
        <w:pStyle w:val="Caption"/>
        <w:rPr>
          <w:rFonts w:eastAsia="Times New Roman"/>
          <w:b/>
          <w:bCs/>
          <w:i w:val="0"/>
          <w:noProof/>
          <w:color w:val="4F81BD"/>
        </w:rPr>
      </w:pPr>
      <w:r>
        <w:t xml:space="preserve">Tablica </w:t>
      </w:r>
      <w:r w:rsidR="00C60C6F">
        <w:fldChar w:fldCharType="begin"/>
      </w:r>
      <w:r w:rsidR="00C60C6F">
        <w:instrText xml:space="preserve"> SEQ Tablica \* ARABIC </w:instrText>
      </w:r>
      <w:r w:rsidR="00C60C6F">
        <w:fldChar w:fldCharType="separate"/>
      </w:r>
      <w:r>
        <w:rPr>
          <w:noProof/>
        </w:rPr>
        <w:t>1</w:t>
      </w:r>
      <w:r w:rsidR="00C60C6F">
        <w:rPr>
          <w:noProof/>
        </w:rPr>
        <w:fldChar w:fldCharType="end"/>
      </w:r>
      <w:r>
        <w:t xml:space="preserve"> </w:t>
      </w:r>
      <w:r w:rsidR="00D7024A" w:rsidRPr="00E571DF">
        <w:t>Usporedni prikaza maloprodajnih paketa HT-a i A1</w:t>
      </w:r>
    </w:p>
    <w:tbl>
      <w:tblPr>
        <w:tblW w:w="8100" w:type="dxa"/>
        <w:tblInd w:w="694" w:type="dxa"/>
        <w:tblLook w:val="04A0" w:firstRow="1" w:lastRow="0" w:firstColumn="1" w:lastColumn="0" w:noHBand="0" w:noVBand="1"/>
      </w:tblPr>
      <w:tblGrid>
        <w:gridCol w:w="2240"/>
        <w:gridCol w:w="3160"/>
        <w:gridCol w:w="2700"/>
      </w:tblGrid>
      <w:tr w:rsidR="00D7024A" w:rsidRPr="0089784D" w:rsidTr="004306B7">
        <w:trPr>
          <w:trHeight w:val="765"/>
        </w:trPr>
        <w:tc>
          <w:tcPr>
            <w:tcW w:w="2240" w:type="dxa"/>
            <w:tcBorders>
              <w:top w:val="single" w:sz="12" w:space="0" w:color="2F75B5"/>
              <w:left w:val="single" w:sz="12" w:space="0" w:color="2F75B5"/>
              <w:bottom w:val="single" w:sz="4" w:space="0" w:color="2F75B5"/>
              <w:right w:val="double" w:sz="6" w:space="0" w:color="2F75B5"/>
            </w:tcBorders>
            <w:shd w:val="clear" w:color="000000" w:fill="2F75B5"/>
            <w:vAlign w:val="center"/>
            <w:hideMark/>
          </w:tcPr>
          <w:p w:rsidR="00D7024A" w:rsidRPr="0089784D" w:rsidRDefault="00D7024A" w:rsidP="004306B7">
            <w:pPr>
              <w:jc w:val="center"/>
              <w:rPr>
                <w:rFonts w:eastAsia="Times New Roman"/>
                <w:color w:val="FFFFFF"/>
                <w:lang w:eastAsia="hr-HR"/>
              </w:rPr>
            </w:pPr>
            <w:r w:rsidRPr="0089784D">
              <w:rPr>
                <w:rFonts w:eastAsia="Times New Roman"/>
                <w:color w:val="FFFFFF"/>
                <w:lang w:eastAsia="hr-HR"/>
              </w:rPr>
              <w:t>BB usluga</w:t>
            </w:r>
          </w:p>
        </w:tc>
        <w:tc>
          <w:tcPr>
            <w:tcW w:w="3160" w:type="dxa"/>
            <w:tcBorders>
              <w:top w:val="single" w:sz="12" w:space="0" w:color="2F75B5"/>
              <w:left w:val="nil"/>
              <w:bottom w:val="single" w:sz="4" w:space="0" w:color="2F75B5"/>
              <w:right w:val="double" w:sz="6" w:space="0" w:color="2F75B5"/>
            </w:tcBorders>
            <w:shd w:val="clear" w:color="000000" w:fill="2F75B5"/>
            <w:vAlign w:val="center"/>
            <w:hideMark/>
          </w:tcPr>
          <w:p w:rsidR="00D7024A" w:rsidRPr="0089784D" w:rsidRDefault="00D7024A" w:rsidP="004306B7">
            <w:pPr>
              <w:jc w:val="center"/>
              <w:rPr>
                <w:rFonts w:eastAsia="Times New Roman"/>
                <w:color w:val="FFFFFF"/>
                <w:lang w:eastAsia="hr-HR"/>
              </w:rPr>
            </w:pPr>
            <w:r w:rsidRPr="0089784D">
              <w:rPr>
                <w:rFonts w:eastAsia="Times New Roman"/>
                <w:color w:val="FFFFFF"/>
                <w:lang w:eastAsia="hr-HR"/>
              </w:rPr>
              <w:t>HT svjetlovodna VHCN mreža</w:t>
            </w:r>
          </w:p>
        </w:tc>
        <w:tc>
          <w:tcPr>
            <w:tcW w:w="2700" w:type="dxa"/>
            <w:tcBorders>
              <w:top w:val="single" w:sz="12" w:space="0" w:color="2F75B5"/>
              <w:left w:val="nil"/>
              <w:bottom w:val="single" w:sz="4" w:space="0" w:color="2F75B5"/>
              <w:right w:val="single" w:sz="12" w:space="0" w:color="2F75B5"/>
            </w:tcBorders>
            <w:shd w:val="clear" w:color="000000" w:fill="2F75B5"/>
            <w:vAlign w:val="center"/>
            <w:hideMark/>
          </w:tcPr>
          <w:p w:rsidR="00D7024A" w:rsidRPr="0089784D" w:rsidRDefault="00D7024A" w:rsidP="004306B7">
            <w:pPr>
              <w:jc w:val="center"/>
              <w:rPr>
                <w:rFonts w:eastAsia="Times New Roman"/>
                <w:color w:val="FFFFFF"/>
                <w:lang w:eastAsia="hr-HR"/>
              </w:rPr>
            </w:pPr>
            <w:r w:rsidRPr="0089784D">
              <w:rPr>
                <w:rFonts w:eastAsia="Times New Roman"/>
                <w:color w:val="FFFFFF"/>
                <w:lang w:eastAsia="hr-HR"/>
              </w:rPr>
              <w:t>A1 kabelska VHCN mreža</w:t>
            </w:r>
          </w:p>
        </w:tc>
      </w:tr>
      <w:tr w:rsidR="00D7024A" w:rsidRPr="0089784D" w:rsidTr="004306B7">
        <w:trPr>
          <w:trHeight w:val="600"/>
        </w:trPr>
        <w:tc>
          <w:tcPr>
            <w:tcW w:w="2240" w:type="dxa"/>
            <w:tcBorders>
              <w:top w:val="nil"/>
              <w:left w:val="single" w:sz="12" w:space="0" w:color="2F75B5"/>
              <w:bottom w:val="single" w:sz="4" w:space="0" w:color="2F75B5"/>
              <w:right w:val="double" w:sz="6" w:space="0" w:color="2F75B5"/>
            </w:tcBorders>
            <w:shd w:val="clear" w:color="000000" w:fill="DDEBF7"/>
            <w:vAlign w:val="center"/>
            <w:hideMark/>
          </w:tcPr>
          <w:p w:rsidR="00D7024A" w:rsidRPr="0089784D" w:rsidRDefault="00D7024A" w:rsidP="004306B7">
            <w:pPr>
              <w:rPr>
                <w:rFonts w:eastAsia="Times New Roman"/>
                <w:color w:val="000000"/>
                <w:lang w:eastAsia="hr-HR"/>
              </w:rPr>
            </w:pPr>
            <w:r w:rsidRPr="0089784D">
              <w:rPr>
                <w:rFonts w:eastAsia="Times New Roman"/>
                <w:color w:val="000000"/>
                <w:lang w:eastAsia="hr-HR"/>
              </w:rPr>
              <w:t>Mjesečna naknada (PDV uključen)</w:t>
            </w:r>
          </w:p>
        </w:tc>
        <w:tc>
          <w:tcPr>
            <w:tcW w:w="3160" w:type="dxa"/>
            <w:tcBorders>
              <w:top w:val="nil"/>
              <w:left w:val="nil"/>
              <w:bottom w:val="single" w:sz="4" w:space="0" w:color="2F75B5"/>
              <w:right w:val="double" w:sz="6"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 29,20 EUR (uz MCD 12)</w:t>
            </w:r>
          </w:p>
        </w:tc>
        <w:tc>
          <w:tcPr>
            <w:tcW w:w="2700" w:type="dxa"/>
            <w:tcBorders>
              <w:top w:val="nil"/>
              <w:left w:val="nil"/>
              <w:bottom w:val="single" w:sz="4" w:space="0" w:color="2F75B5"/>
              <w:right w:val="single" w:sz="12"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 23,76 EUR</w:t>
            </w:r>
          </w:p>
        </w:tc>
      </w:tr>
      <w:tr w:rsidR="00D7024A" w:rsidRPr="0089784D" w:rsidTr="004306B7">
        <w:trPr>
          <w:trHeight w:val="600"/>
        </w:trPr>
        <w:tc>
          <w:tcPr>
            <w:tcW w:w="2240" w:type="dxa"/>
            <w:tcBorders>
              <w:top w:val="nil"/>
              <w:left w:val="single" w:sz="12" w:space="0" w:color="2F75B5"/>
              <w:bottom w:val="single" w:sz="4" w:space="0" w:color="2F75B5"/>
              <w:right w:val="double" w:sz="6" w:space="0" w:color="2F75B5"/>
            </w:tcBorders>
            <w:shd w:val="clear" w:color="000000" w:fill="DDEBF7"/>
            <w:vAlign w:val="center"/>
            <w:hideMark/>
          </w:tcPr>
          <w:p w:rsidR="00D7024A" w:rsidRPr="0089784D" w:rsidRDefault="00D7024A" w:rsidP="004306B7">
            <w:pPr>
              <w:rPr>
                <w:rFonts w:eastAsia="Times New Roman"/>
                <w:color w:val="000000"/>
                <w:lang w:eastAsia="hr-HR"/>
              </w:rPr>
            </w:pPr>
            <w:r w:rsidRPr="0089784D">
              <w:rPr>
                <w:rFonts w:eastAsia="Times New Roman"/>
                <w:color w:val="000000"/>
                <w:lang w:eastAsia="hr-HR"/>
              </w:rPr>
              <w:t>Aktivacijska naknada (PDV uključen)</w:t>
            </w:r>
          </w:p>
        </w:tc>
        <w:tc>
          <w:tcPr>
            <w:tcW w:w="3160" w:type="dxa"/>
            <w:tcBorders>
              <w:top w:val="nil"/>
              <w:left w:val="nil"/>
              <w:bottom w:val="single" w:sz="4" w:space="0" w:color="2F75B5"/>
              <w:right w:val="double" w:sz="6"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 8,63 EUR (uz MCD 12)</w:t>
            </w:r>
          </w:p>
        </w:tc>
        <w:tc>
          <w:tcPr>
            <w:tcW w:w="2700" w:type="dxa"/>
            <w:tcBorders>
              <w:top w:val="nil"/>
              <w:left w:val="nil"/>
              <w:bottom w:val="single" w:sz="4" w:space="0" w:color="2F75B5"/>
              <w:right w:val="single" w:sz="12"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 20,23 EUR</w:t>
            </w:r>
          </w:p>
        </w:tc>
      </w:tr>
      <w:tr w:rsidR="00D7024A" w:rsidRPr="0089784D" w:rsidTr="004306B7">
        <w:trPr>
          <w:trHeight w:val="600"/>
        </w:trPr>
        <w:tc>
          <w:tcPr>
            <w:tcW w:w="2240" w:type="dxa"/>
            <w:tcBorders>
              <w:top w:val="nil"/>
              <w:left w:val="single" w:sz="12" w:space="0" w:color="2F75B5"/>
              <w:bottom w:val="single" w:sz="4" w:space="0" w:color="2F75B5"/>
              <w:right w:val="double" w:sz="6" w:space="0" w:color="2F75B5"/>
            </w:tcBorders>
            <w:shd w:val="clear" w:color="000000" w:fill="DDEBF7"/>
            <w:vAlign w:val="center"/>
            <w:hideMark/>
          </w:tcPr>
          <w:p w:rsidR="00D7024A" w:rsidRPr="0089784D" w:rsidRDefault="00D7024A" w:rsidP="004306B7">
            <w:pPr>
              <w:rPr>
                <w:rFonts w:eastAsia="Times New Roman"/>
                <w:color w:val="000000"/>
                <w:lang w:eastAsia="hr-HR"/>
              </w:rPr>
            </w:pPr>
            <w:r w:rsidRPr="0089784D">
              <w:rPr>
                <w:rFonts w:eastAsia="Times New Roman"/>
                <w:color w:val="000000"/>
                <w:lang w:eastAsia="hr-HR"/>
              </w:rPr>
              <w:t xml:space="preserve">Trajanje ugovora </w:t>
            </w:r>
          </w:p>
        </w:tc>
        <w:tc>
          <w:tcPr>
            <w:tcW w:w="3160" w:type="dxa"/>
            <w:tcBorders>
              <w:top w:val="nil"/>
              <w:left w:val="nil"/>
              <w:bottom w:val="single" w:sz="4" w:space="0" w:color="2F75B5"/>
              <w:right w:val="double" w:sz="6"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12 do 24 mjeseci</w:t>
            </w:r>
          </w:p>
        </w:tc>
        <w:tc>
          <w:tcPr>
            <w:tcW w:w="2700" w:type="dxa"/>
            <w:tcBorders>
              <w:top w:val="nil"/>
              <w:left w:val="nil"/>
              <w:bottom w:val="single" w:sz="4" w:space="0" w:color="2F75B5"/>
              <w:right w:val="single" w:sz="12"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12 do 24 mjeseci</w:t>
            </w:r>
          </w:p>
        </w:tc>
      </w:tr>
      <w:tr w:rsidR="00D7024A" w:rsidRPr="0089784D" w:rsidTr="004306B7">
        <w:trPr>
          <w:trHeight w:val="600"/>
        </w:trPr>
        <w:tc>
          <w:tcPr>
            <w:tcW w:w="2240" w:type="dxa"/>
            <w:tcBorders>
              <w:top w:val="nil"/>
              <w:left w:val="single" w:sz="12" w:space="0" w:color="2F75B5"/>
              <w:bottom w:val="single" w:sz="4" w:space="0" w:color="2F75B5"/>
              <w:right w:val="double" w:sz="6" w:space="0" w:color="2F75B5"/>
            </w:tcBorders>
            <w:shd w:val="clear" w:color="000000" w:fill="DDEBF7"/>
            <w:vAlign w:val="center"/>
          </w:tcPr>
          <w:p w:rsidR="00D7024A" w:rsidRPr="0089784D" w:rsidRDefault="00D7024A" w:rsidP="004306B7">
            <w:pPr>
              <w:rPr>
                <w:rFonts w:eastAsia="Times New Roman"/>
                <w:color w:val="000000"/>
                <w:lang w:eastAsia="hr-HR"/>
              </w:rPr>
            </w:pPr>
            <w:r w:rsidRPr="0089784D">
              <w:rPr>
                <w:rFonts w:eastAsia="Times New Roman"/>
                <w:color w:val="000000"/>
                <w:lang w:eastAsia="hr-HR"/>
              </w:rPr>
              <w:t>Brzina prijenosa podataka</w:t>
            </w:r>
          </w:p>
        </w:tc>
        <w:tc>
          <w:tcPr>
            <w:tcW w:w="3160" w:type="dxa"/>
            <w:tcBorders>
              <w:top w:val="nil"/>
              <w:left w:val="nil"/>
              <w:bottom w:val="single" w:sz="4" w:space="0" w:color="2F75B5"/>
              <w:right w:val="double" w:sz="6" w:space="0" w:color="2F75B5"/>
            </w:tcBorders>
            <w:shd w:val="clear" w:color="000000" w:fill="DDEBF7"/>
            <w:vAlign w:val="center"/>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200 Mbit/s silazna i 100 Mbit/s ulazna</w:t>
            </w:r>
          </w:p>
        </w:tc>
        <w:tc>
          <w:tcPr>
            <w:tcW w:w="2700" w:type="dxa"/>
            <w:tcBorders>
              <w:top w:val="nil"/>
              <w:left w:val="nil"/>
              <w:bottom w:val="single" w:sz="4" w:space="0" w:color="2F75B5"/>
              <w:right w:val="single" w:sz="12" w:space="0" w:color="2F75B5"/>
            </w:tcBorders>
            <w:shd w:val="clear" w:color="000000" w:fill="DDEBF7"/>
            <w:vAlign w:val="center"/>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200 Mbit/s silazna i 20 Mbit/s uzlazna</w:t>
            </w:r>
          </w:p>
        </w:tc>
      </w:tr>
      <w:tr w:rsidR="00D7024A" w:rsidRPr="0089784D" w:rsidTr="004306B7">
        <w:trPr>
          <w:trHeight w:val="600"/>
        </w:trPr>
        <w:tc>
          <w:tcPr>
            <w:tcW w:w="2240" w:type="dxa"/>
            <w:tcBorders>
              <w:top w:val="nil"/>
              <w:left w:val="single" w:sz="12" w:space="0" w:color="2F75B5"/>
              <w:bottom w:val="single" w:sz="4" w:space="0" w:color="2F75B5"/>
              <w:right w:val="double" w:sz="6" w:space="0" w:color="2F75B5"/>
            </w:tcBorders>
            <w:shd w:val="clear" w:color="000000" w:fill="DDEBF7"/>
            <w:vAlign w:val="center"/>
            <w:hideMark/>
          </w:tcPr>
          <w:p w:rsidR="00D7024A" w:rsidRPr="0089784D" w:rsidRDefault="00D7024A" w:rsidP="004306B7">
            <w:pPr>
              <w:rPr>
                <w:rFonts w:eastAsia="Times New Roman"/>
                <w:color w:val="000000"/>
                <w:lang w:eastAsia="hr-HR"/>
              </w:rPr>
            </w:pPr>
            <w:r w:rsidRPr="0089784D">
              <w:rPr>
                <w:rFonts w:eastAsia="Times New Roman"/>
                <w:color w:val="000000"/>
                <w:lang w:eastAsia="hr-HR"/>
              </w:rPr>
              <w:t>Potrošnja u tarifi</w:t>
            </w:r>
          </w:p>
        </w:tc>
        <w:tc>
          <w:tcPr>
            <w:tcW w:w="3160" w:type="dxa"/>
            <w:tcBorders>
              <w:top w:val="nil"/>
              <w:left w:val="nil"/>
              <w:bottom w:val="single" w:sz="4" w:space="0" w:color="2F75B5"/>
              <w:right w:val="double" w:sz="6"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 xml:space="preserve">neograničeno </w:t>
            </w:r>
          </w:p>
        </w:tc>
        <w:tc>
          <w:tcPr>
            <w:tcW w:w="2700" w:type="dxa"/>
            <w:tcBorders>
              <w:top w:val="nil"/>
              <w:left w:val="nil"/>
              <w:bottom w:val="single" w:sz="4" w:space="0" w:color="2F75B5"/>
              <w:right w:val="single" w:sz="12" w:space="0" w:color="2F75B5"/>
            </w:tcBorders>
            <w:shd w:val="clear" w:color="000000" w:fill="DDEBF7"/>
            <w:vAlign w:val="center"/>
            <w:hideMark/>
          </w:tcPr>
          <w:p w:rsidR="00D7024A" w:rsidRPr="0089784D" w:rsidRDefault="00D7024A" w:rsidP="004306B7">
            <w:pPr>
              <w:jc w:val="center"/>
              <w:rPr>
                <w:rFonts w:eastAsia="Times New Roman"/>
                <w:color w:val="000000"/>
                <w:lang w:eastAsia="hr-HR"/>
              </w:rPr>
            </w:pPr>
            <w:r w:rsidRPr="0089784D">
              <w:rPr>
                <w:rFonts w:eastAsia="Times New Roman"/>
                <w:color w:val="000000"/>
                <w:lang w:eastAsia="hr-HR"/>
              </w:rPr>
              <w:t xml:space="preserve">neograničeno </w:t>
            </w:r>
          </w:p>
        </w:tc>
      </w:tr>
      <w:tr w:rsidR="00D7024A" w:rsidRPr="0089784D" w:rsidTr="004306B7">
        <w:trPr>
          <w:trHeight w:val="1530"/>
        </w:trPr>
        <w:tc>
          <w:tcPr>
            <w:tcW w:w="2240" w:type="dxa"/>
            <w:tcBorders>
              <w:top w:val="nil"/>
              <w:left w:val="single" w:sz="12" w:space="0" w:color="2F75B5"/>
              <w:bottom w:val="single" w:sz="12" w:space="0" w:color="2F75B5"/>
              <w:right w:val="double" w:sz="6" w:space="0" w:color="2F75B5"/>
            </w:tcBorders>
            <w:shd w:val="clear" w:color="000000" w:fill="DDEBF7"/>
            <w:vAlign w:val="center"/>
            <w:hideMark/>
          </w:tcPr>
          <w:p w:rsidR="00D7024A" w:rsidRPr="0089784D" w:rsidRDefault="00D7024A" w:rsidP="004306B7">
            <w:pPr>
              <w:rPr>
                <w:rFonts w:eastAsia="Times New Roman"/>
                <w:color w:val="000000"/>
                <w:lang w:eastAsia="hr-HR"/>
              </w:rPr>
            </w:pPr>
            <w:r w:rsidRPr="0089784D">
              <w:rPr>
                <w:rFonts w:eastAsia="Times New Roman"/>
                <w:color w:val="000000"/>
                <w:lang w:eastAsia="hr-HR"/>
              </w:rPr>
              <w:t xml:space="preserve">Naplatni Tv sadržaj </w:t>
            </w:r>
          </w:p>
        </w:tc>
        <w:tc>
          <w:tcPr>
            <w:tcW w:w="5860" w:type="dxa"/>
            <w:gridSpan w:val="2"/>
            <w:tcBorders>
              <w:top w:val="single" w:sz="4" w:space="0" w:color="2F75B5"/>
              <w:left w:val="nil"/>
              <w:bottom w:val="single" w:sz="12" w:space="0" w:color="2F75B5"/>
              <w:right w:val="single" w:sz="12" w:space="0" w:color="2F75B5"/>
            </w:tcBorders>
            <w:shd w:val="clear" w:color="000000" w:fill="DDEBF7"/>
            <w:vAlign w:val="center"/>
            <w:hideMark/>
          </w:tcPr>
          <w:p w:rsidR="00D7024A" w:rsidRPr="0089784D" w:rsidRDefault="00D7024A" w:rsidP="00766501">
            <w:pPr>
              <w:numPr>
                <w:ilvl w:val="0"/>
                <w:numId w:val="56"/>
              </w:numPr>
              <w:contextualSpacing/>
              <w:rPr>
                <w:rFonts w:eastAsia="Times New Roman"/>
                <w:color w:val="000000"/>
                <w:lang w:eastAsia="hr-HR"/>
              </w:rPr>
            </w:pPr>
            <w:r w:rsidRPr="0089784D">
              <w:rPr>
                <w:rFonts w:eastAsia="Times New Roman"/>
                <w:color w:val="000000"/>
                <w:lang w:eastAsia="hr-HR"/>
              </w:rPr>
              <w:t>dostupan u paketu s BB uslugom za obje infrastrukture</w:t>
            </w:r>
          </w:p>
          <w:p w:rsidR="00D7024A" w:rsidRPr="0089784D" w:rsidRDefault="00D7024A" w:rsidP="00766501">
            <w:pPr>
              <w:numPr>
                <w:ilvl w:val="0"/>
                <w:numId w:val="56"/>
              </w:numPr>
              <w:contextualSpacing/>
              <w:rPr>
                <w:rFonts w:eastAsia="Times New Roman"/>
                <w:color w:val="000000"/>
                <w:lang w:eastAsia="hr-HR"/>
              </w:rPr>
            </w:pPr>
            <w:r w:rsidRPr="0089784D">
              <w:rPr>
                <w:rFonts w:eastAsia="Times New Roman"/>
                <w:color w:val="000000"/>
                <w:lang w:eastAsia="hr-HR"/>
              </w:rPr>
              <w:t>veliki izbor programa različitog sadržaja (isti izbor neovisno radi li se o svjetlovodnoj ili kabelskoj infrastrukturi)</w:t>
            </w:r>
          </w:p>
          <w:p w:rsidR="00D7024A" w:rsidRPr="0089784D" w:rsidRDefault="00D7024A" w:rsidP="00766501">
            <w:pPr>
              <w:numPr>
                <w:ilvl w:val="0"/>
                <w:numId w:val="56"/>
              </w:numPr>
              <w:contextualSpacing/>
              <w:rPr>
                <w:rFonts w:eastAsia="Times New Roman"/>
                <w:color w:val="000000"/>
                <w:lang w:eastAsia="hr-HR"/>
              </w:rPr>
            </w:pPr>
            <w:r w:rsidRPr="0089784D">
              <w:rPr>
                <w:rFonts w:eastAsia="Times New Roman"/>
                <w:color w:val="000000"/>
                <w:lang w:eastAsia="hr-HR"/>
              </w:rPr>
              <w:t xml:space="preserve">dostupnost istom ekskluzivnom sadržaju po </w:t>
            </w:r>
            <w:r w:rsidRPr="007F7FCF">
              <w:rPr>
                <w:rFonts w:eastAsia="Times New Roman"/>
                <w:color w:val="000000"/>
                <w:lang w:eastAsia="hr-HR"/>
              </w:rPr>
              <w:t>sličnim cijenama</w:t>
            </w:r>
            <w:r w:rsidRPr="0089784D">
              <w:rPr>
                <w:rFonts w:eastAsia="Times New Roman"/>
                <w:color w:val="FF0000"/>
                <w:lang w:eastAsia="hr-HR"/>
              </w:rPr>
              <w:t xml:space="preserve"> </w:t>
            </w:r>
          </w:p>
        </w:tc>
      </w:tr>
    </w:tbl>
    <w:p w:rsidR="00D7024A" w:rsidRDefault="00D7024A" w:rsidP="00D7024A">
      <w:pPr>
        <w:jc w:val="both"/>
        <w:rPr>
          <w:lang w:eastAsia="hr-HR"/>
        </w:rPr>
      </w:pPr>
    </w:p>
    <w:p w:rsidR="00D7024A" w:rsidRPr="0089784D" w:rsidRDefault="00D7024A" w:rsidP="00D7024A">
      <w:pPr>
        <w:jc w:val="both"/>
        <w:rPr>
          <w:lang w:eastAsia="hr-HR"/>
        </w:rPr>
      </w:pPr>
      <w:r w:rsidRPr="0089784D">
        <w:rPr>
          <w:lang w:eastAsia="hr-HR"/>
        </w:rPr>
        <w:t xml:space="preserve">Dodatno, uvidom u Internet stranicu najvećeg kabelskog operatora, koji ujedno gradi i svjetlovodnu mrežu, vidljivo je kako se naglasak stavlja na podatke o uslugama poput brzine prijenosa podataka i iznosu mjesečne naknade, a ne na vrstu VHCN infrastrukture putem koje se usluga nudi krajnjem korisniku.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 xml:space="preserve">Nastavno na sve prethodno navedeno te uzevši u obzir kako se, neovisno o infrastrukturi cilja ista skupina krajnjih korisnika, HAKOM zaključuje kako su tarifni paketi na kabelskim i svjetlovodnim VHCN mrežama u potpunosti zamjenjivi. </w:t>
      </w:r>
    </w:p>
    <w:p w:rsidR="00D7024A" w:rsidRPr="0089784D" w:rsidRDefault="00D7024A" w:rsidP="00D7024A">
      <w:pPr>
        <w:jc w:val="both"/>
        <w:rPr>
          <w:lang w:eastAsia="hr-HR"/>
        </w:rPr>
      </w:pPr>
    </w:p>
    <w:p w:rsidR="00D7024A" w:rsidRPr="007F7FCF" w:rsidRDefault="00D7024A" w:rsidP="00E571DF">
      <w:pPr>
        <w:rPr>
          <w:rStyle w:val="IntenseEmphasis"/>
          <w:rFonts w:ascii="Segoe UI Semibold" w:hAnsi="Segoe UI Semibold" w:cs="Segoe UI Semibold"/>
          <w:b w:val="0"/>
          <w:bCs w:val="0"/>
          <w:i w:val="0"/>
          <w:color w:val="272727" w:themeColor="text1" w:themeTint="D8"/>
          <w:sz w:val="22"/>
          <w:szCs w:val="22"/>
        </w:rPr>
      </w:pPr>
      <w:r w:rsidRPr="007F7FCF">
        <w:rPr>
          <w:rStyle w:val="IntenseEmphasis"/>
          <w:rFonts w:ascii="Segoe UI Semibold" w:hAnsi="Segoe UI Semibold" w:cs="Segoe UI Semibold"/>
          <w:b w:val="0"/>
          <w:bCs w:val="0"/>
          <w:i w:val="0"/>
          <w:color w:val="272727" w:themeColor="text1" w:themeTint="D8"/>
          <w:sz w:val="22"/>
          <w:szCs w:val="22"/>
        </w:rPr>
        <w:t>Udio kabelskih priključaka u ukupnom broju priključaka na područjima koja su pokrivena kabelskom VHCN mrežom</w:t>
      </w:r>
    </w:p>
    <w:p w:rsidR="00D7024A" w:rsidRPr="0089784D" w:rsidRDefault="00D7024A" w:rsidP="00D7024A">
      <w:pPr>
        <w:jc w:val="both"/>
        <w:rPr>
          <w:lang w:eastAsia="hr-HR"/>
        </w:rPr>
      </w:pPr>
    </w:p>
    <w:p w:rsidR="00D7024A" w:rsidRPr="0089784D" w:rsidRDefault="00D7024A" w:rsidP="00D7024A">
      <w:pPr>
        <w:jc w:val="both"/>
        <w:rPr>
          <w:lang w:eastAsia="hr-HR"/>
        </w:rPr>
      </w:pPr>
      <w:r>
        <w:rPr>
          <w:lang w:eastAsia="hr-HR"/>
        </w:rPr>
        <w:t>Na</w:t>
      </w:r>
      <w:r w:rsidRPr="0089784D">
        <w:rPr>
          <w:lang w:eastAsia="hr-HR"/>
        </w:rPr>
        <w:t xml:space="preserve"> kraju prvog polugodišta 2022. ukupna pokrivenost kabelskim Docsis 3.1. VHCN mrežama oko </w:t>
      </w:r>
      <w:r w:rsidRPr="00895582">
        <w:rPr>
          <w:lang w:eastAsia="hr-HR"/>
        </w:rPr>
        <w:t xml:space="preserve">35 posto </w:t>
      </w:r>
      <w:r w:rsidRPr="0089784D">
        <w:rPr>
          <w:lang w:eastAsia="hr-HR"/>
        </w:rPr>
        <w:t xml:space="preserve">dok je ukupna pokrivenost svjetlovodnim VHCN mrežama oko </w:t>
      </w:r>
      <w:r w:rsidRPr="00895582">
        <w:rPr>
          <w:lang w:eastAsia="hr-HR"/>
        </w:rPr>
        <w:t>40</w:t>
      </w:r>
      <w:r w:rsidRPr="0089784D">
        <w:rPr>
          <w:lang w:eastAsia="hr-HR"/>
        </w:rPr>
        <w:t xml:space="preserve"> posto iz čega proizlazi kako ne postoji značajna razlika u pokrivenosti kabelskim i svjetlovodnim VHCN mrežama. U kasnijim poglavljima dokumenta koji se odnose na geografsku dimenziju tržišta te geografsku analizu uvjeta tržišne konkurentnosti HAKOM će detaljno uzeti u obzir razlike u geografskoj pokrivenosti svjetlovodnim i kabelskim VHCN mrežama. </w:t>
      </w:r>
    </w:p>
    <w:p w:rsidR="00D7024A" w:rsidRPr="0089784D" w:rsidRDefault="00D7024A" w:rsidP="00D7024A">
      <w:pPr>
        <w:jc w:val="both"/>
        <w:rPr>
          <w:lang w:eastAsia="hr-HR"/>
        </w:rPr>
      </w:pPr>
    </w:p>
    <w:p w:rsidR="00D7024A" w:rsidRPr="0089784D" w:rsidRDefault="00D7024A" w:rsidP="00D7024A">
      <w:pPr>
        <w:jc w:val="both"/>
        <w:rPr>
          <w:lang w:eastAsia="hr-HR"/>
        </w:rPr>
      </w:pPr>
      <w:r w:rsidRPr="004043CF">
        <w:rPr>
          <w:lang w:eastAsia="hr-HR"/>
        </w:rPr>
        <w:t xml:space="preserve">Značajan udio kabelskih priključaka u ukupnom broju priključaka na područjima na kojima postoji pokrivenost kabelskom VHCN mrežom znači kako kabelska VHCN mreža može </w:t>
      </w:r>
      <w:r w:rsidRPr="00AB1890">
        <w:rPr>
          <w:lang w:eastAsia="hr-HR"/>
        </w:rPr>
        <w:t>kroz neizravna ograničenja</w:t>
      </w:r>
      <w:r w:rsidRPr="004043CF">
        <w:rPr>
          <w:lang w:eastAsia="hr-HR"/>
        </w:rPr>
        <w:t xml:space="preserve"> s maloprodajne</w:t>
      </w:r>
      <w:r w:rsidRPr="0089784D">
        <w:rPr>
          <w:lang w:eastAsia="hr-HR"/>
        </w:rPr>
        <w:t xml:space="preserve"> razine utjecati na veleprodajne proizvode. U pravilu kabelska VHCN mreža se gradila u područjima s </w:t>
      </w:r>
      <w:proofErr w:type="spellStart"/>
      <w:r w:rsidRPr="0089784D">
        <w:rPr>
          <w:lang w:eastAsia="hr-HR"/>
        </w:rPr>
        <w:t>višestambenim</w:t>
      </w:r>
      <w:proofErr w:type="spellEnd"/>
      <w:r w:rsidRPr="0089784D">
        <w:rPr>
          <w:lang w:eastAsia="hr-HR"/>
        </w:rPr>
        <w:t xml:space="preserve"> zgradama što je karakteristično za urbana područja i u velikom dijelu se preklapa s HT-ovom svjetlovodnom pristupnom mrežom tako da je za očekivati kako su neizravna ograničenja s maloprodajne razine izražena upravo u tim područjima.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Uzevši u obzir kako je glavni kabelski operator u područjima pokrivenosti kabelskom infrastrukturom stekao značajan udio (</w:t>
      </w:r>
      <w:r w:rsidRPr="00895582">
        <w:rPr>
          <w:lang w:eastAsia="hr-HR"/>
        </w:rPr>
        <w:t>oko 51,38 posto</w:t>
      </w:r>
      <w:r w:rsidRPr="0089784D">
        <w:rPr>
          <w:lang w:eastAsia="hr-HR"/>
        </w:rPr>
        <w:t>) u ukupnom broju priključaka ostvarenih putem VHCN mreža u tim područjima, HAKOM je mišljenja kako operator koji ima snažan položaj na tržištu nije u mogućnosti malo, ali značajno trajno</w:t>
      </w:r>
      <w:r w:rsidRPr="0089784D">
        <w:rPr>
          <w:vertAlign w:val="superscript"/>
          <w:lang w:eastAsia="hr-HR"/>
        </w:rPr>
        <w:footnoteReference w:id="38"/>
      </w:r>
      <w:r w:rsidRPr="0089784D">
        <w:rPr>
          <w:lang w:eastAsia="hr-HR"/>
        </w:rPr>
        <w:t xml:space="preserve"> povećati veleprodajne cijene iz razloga što će se isto negativno odraziti na poslovanje. Naime, povećanje cijena veleprodajnih proizvoda utjecalo bi na povećanje maloprodajnih cijena usluga koje se nude putem svjetlovodnih VHCN mreža zbog kojih bi krajnji korisnici usluge počeli koristiti putem kabelskih mreža. </w:t>
      </w:r>
    </w:p>
    <w:p w:rsidR="00D7024A" w:rsidRPr="0089784D" w:rsidRDefault="00D7024A" w:rsidP="00D7024A">
      <w:pPr>
        <w:jc w:val="both"/>
        <w:rPr>
          <w:lang w:eastAsia="hr-HR"/>
        </w:rPr>
      </w:pPr>
    </w:p>
    <w:p w:rsidR="00D7024A" w:rsidRPr="0089784D" w:rsidRDefault="00D7024A" w:rsidP="00D7024A">
      <w:pPr>
        <w:jc w:val="both"/>
        <w:rPr>
          <w:lang w:eastAsia="hr-HR"/>
        </w:rPr>
      </w:pPr>
      <w:r w:rsidRPr="0089784D">
        <w:rPr>
          <w:lang w:eastAsia="hr-HR"/>
        </w:rPr>
        <w:t xml:space="preserve">Nastavno na prethodno navedeno HAKOM je mišljenja kako pristup putem kabelskih VHCN mreža </w:t>
      </w:r>
      <w:r>
        <w:rPr>
          <w:lang w:eastAsia="hr-HR"/>
        </w:rPr>
        <w:t xml:space="preserve">za vlastite potrebe </w:t>
      </w:r>
      <w:r w:rsidRPr="0089784D">
        <w:rPr>
          <w:lang w:eastAsia="hr-HR"/>
        </w:rPr>
        <w:t xml:space="preserve">na temelju neizravnih ograničenja s maloprodajne razine treba biti uključen u ovo tržište odnosno tržište veleprodajnog lokalnog pristupa velikog kapaciteta. </w:t>
      </w:r>
    </w:p>
    <w:p w:rsidR="00D7024A" w:rsidRPr="0089784D" w:rsidRDefault="00D7024A" w:rsidP="00D7024A">
      <w:pPr>
        <w:jc w:val="both"/>
        <w:rPr>
          <w:lang w:eastAsia="hr-HR"/>
        </w:rPr>
      </w:pPr>
    </w:p>
    <w:p w:rsidR="00D7024A" w:rsidRDefault="00D7024A" w:rsidP="00D7024A">
      <w:pPr>
        <w:jc w:val="both"/>
        <w:rPr>
          <w:lang w:eastAsia="hr-HR"/>
        </w:rPr>
      </w:pPr>
      <w:r w:rsidRPr="0089784D">
        <w:rPr>
          <w:lang w:eastAsia="hr-HR"/>
        </w:rPr>
        <w:t xml:space="preserve">Naime, povećanje cijena veleprodajnih proizvoda s ovog tržišta će, zbog značajnog udjela kabelskih priključaka u ukupnom broju priključaka na područjima na kojima postoji pokrivenost kabelskom VHCN mrežom, potaknuti krajnje korisnike da pređu sa svjetlovodne na kabelsku VHCN infrastrukturu. </w:t>
      </w:r>
    </w:p>
    <w:p w:rsidR="00195E22" w:rsidRPr="0089784D" w:rsidRDefault="00195E22" w:rsidP="00D7024A">
      <w:pPr>
        <w:jc w:val="both"/>
        <w:rPr>
          <w:lang w:eastAsia="hr-HR"/>
        </w:rPr>
      </w:pPr>
    </w:p>
    <w:p w:rsidR="00D7024A" w:rsidRPr="0082266F" w:rsidRDefault="00D7024A" w:rsidP="00766501">
      <w:pPr>
        <w:pStyle w:val="ListParagraph"/>
        <w:numPr>
          <w:ilvl w:val="0"/>
          <w:numId w:val="61"/>
        </w:numPr>
        <w:jc w:val="both"/>
        <w:rPr>
          <w:rFonts w:ascii="Segoe UI Semibold" w:hAnsi="Segoe UI Semibold" w:cs="Segoe UI Semibold"/>
          <w:color w:val="1F3864" w:themeColor="accent1" w:themeShade="80"/>
        </w:rPr>
      </w:pPr>
      <w:bookmarkStart w:id="197" w:name="_Toc124462560"/>
      <w:bookmarkStart w:id="198" w:name="_Toc124514454"/>
      <w:r w:rsidRPr="0082266F">
        <w:rPr>
          <w:rFonts w:ascii="Segoe UI Semibold" w:hAnsi="Segoe UI Semibold" w:cs="Segoe UI Semibold"/>
          <w:color w:val="1F3864" w:themeColor="accent1" w:themeShade="80"/>
        </w:rPr>
        <w:t>Zamjenjivost na strani ponude</w:t>
      </w:r>
      <w:bookmarkEnd w:id="197"/>
      <w:bookmarkEnd w:id="198"/>
    </w:p>
    <w:p w:rsidR="00195E22" w:rsidRPr="00B74F3D" w:rsidRDefault="00195E22" w:rsidP="00195E22"/>
    <w:p w:rsidR="00D7024A" w:rsidRPr="00812C3F" w:rsidRDefault="00D7024A" w:rsidP="00D7024A">
      <w:pPr>
        <w:jc w:val="both"/>
        <w:rPr>
          <w:rFonts w:eastAsia="Times New Roman"/>
          <w:color w:val="000000"/>
        </w:rPr>
      </w:pPr>
      <w:r w:rsidRPr="00812C3F">
        <w:rPr>
          <w:rFonts w:eastAsia="Times New Roman"/>
          <w:color w:val="000000"/>
        </w:rPr>
        <w:t xml:space="preserve">Zamjenjivost na strani ponude se očituje u mogućnosti da drugi operatori u slučaju hipotetskog povećanja cijena veleprodajne </w:t>
      </w:r>
      <w:r>
        <w:rPr>
          <w:rFonts w:eastAsia="Times New Roman"/>
          <w:color w:val="000000"/>
        </w:rPr>
        <w:t xml:space="preserve">FA-PON </w:t>
      </w:r>
      <w:r w:rsidRPr="00812C3F">
        <w:rPr>
          <w:rFonts w:eastAsia="Times New Roman"/>
          <w:color w:val="000000"/>
        </w:rPr>
        <w:t xml:space="preserve">usluge, ponude istovjetnu uslugu toj veleprodajnoj usluzi, bez da se izlažu znatnijim dodatnim troškovima. </w:t>
      </w:r>
    </w:p>
    <w:p w:rsidR="00D7024A" w:rsidRPr="00812C3F"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 xml:space="preserve">S obzirom da u određenim područjima postoje već izgrađene svjetlovodne mreže alternativnih operatora putem kojih se također mogu pružati usluge širokopojasnog pristupa velikog kapaciteta te da su </w:t>
      </w:r>
      <w:r>
        <w:rPr>
          <w:rFonts w:eastAsia="Times New Roman"/>
          <w:color w:val="000000"/>
        </w:rPr>
        <w:t>svi</w:t>
      </w:r>
      <w:r w:rsidRPr="00812C3F">
        <w:rPr>
          <w:rFonts w:eastAsia="Times New Roman"/>
          <w:color w:val="000000"/>
        </w:rPr>
        <w:t xml:space="preserve"> operatori već </w:t>
      </w:r>
      <w:r>
        <w:rPr>
          <w:rFonts w:eastAsia="Times New Roman"/>
          <w:color w:val="000000"/>
        </w:rPr>
        <w:t xml:space="preserve">nude </w:t>
      </w:r>
      <w:r w:rsidRPr="00812C3F">
        <w:rPr>
          <w:rFonts w:eastAsia="Times New Roman"/>
          <w:color w:val="000000"/>
        </w:rPr>
        <w:t xml:space="preserve">veleprodajne usluge pristupa </w:t>
      </w:r>
      <w:r>
        <w:rPr>
          <w:rFonts w:eastAsia="Times New Roman"/>
          <w:color w:val="000000"/>
        </w:rPr>
        <w:t>izdvojenoj lokalnoj petlji na temelju svjetlovodne niti na lokaciji distribucijskog čvora (FA-PON) te da bi mogli ponuditi i VULA usluge putem vlastite svjetlovodne infrastrukture</w:t>
      </w:r>
      <w:r w:rsidRPr="00812C3F">
        <w:rPr>
          <w:rFonts w:eastAsia="Times New Roman"/>
          <w:color w:val="000000"/>
        </w:rPr>
        <w:t xml:space="preserve">, HAKOM smatra kako u slučaju hipotetskog povećanja cijene HT-ove </w:t>
      </w:r>
      <w:r>
        <w:rPr>
          <w:rFonts w:eastAsia="Times New Roman"/>
          <w:color w:val="000000"/>
        </w:rPr>
        <w:t xml:space="preserve">FA-PON usluge </w:t>
      </w:r>
      <w:r w:rsidRPr="00812C3F">
        <w:rPr>
          <w:rFonts w:eastAsia="Times New Roman"/>
          <w:color w:val="000000"/>
        </w:rPr>
        <w:t>svaki operator ima mogućnost i poticaj ponuditi istovjetnu veleprodajnu uslugu putem vlastite infrastrukture i bez da se izlaže znatnijim dodatnim troškovima.</w:t>
      </w:r>
    </w:p>
    <w:p w:rsidR="00D7024A" w:rsidRPr="00812C3F" w:rsidRDefault="00D7024A" w:rsidP="00D7024A">
      <w:pPr>
        <w:jc w:val="both"/>
        <w:rPr>
          <w:rFonts w:eastAsia="Times New Roman"/>
          <w:color w:val="000000"/>
        </w:rPr>
      </w:pPr>
    </w:p>
    <w:p w:rsidR="00D7024A" w:rsidRPr="00812C3F" w:rsidRDefault="00D7024A" w:rsidP="00D7024A">
      <w:pPr>
        <w:jc w:val="both"/>
        <w:rPr>
          <w:rFonts w:eastAsia="Times New Roman"/>
          <w:color w:val="000000"/>
        </w:rPr>
      </w:pPr>
      <w:r>
        <w:rPr>
          <w:rFonts w:eastAsia="Times New Roman"/>
          <w:color w:val="000000"/>
        </w:rPr>
        <w:t>S druge strane</w:t>
      </w:r>
      <w:r w:rsidRPr="00812C3F">
        <w:rPr>
          <w:rFonts w:eastAsia="Times New Roman"/>
          <w:color w:val="000000"/>
        </w:rPr>
        <w:t xml:space="preserve">, HAKOM smatra kako </w:t>
      </w:r>
      <w:r>
        <w:rPr>
          <w:rFonts w:eastAsia="Times New Roman"/>
          <w:color w:val="000000"/>
        </w:rPr>
        <w:t>u razdoblju na koje se odnosi ova analiza zbog tehničkih ograničenja nije izgledno da usluge</w:t>
      </w:r>
      <w:r w:rsidRPr="00812C3F">
        <w:rPr>
          <w:rFonts w:eastAsia="Times New Roman"/>
          <w:color w:val="000000"/>
        </w:rPr>
        <w:t xml:space="preserve"> veleprodajno</w:t>
      </w:r>
      <w:r>
        <w:rPr>
          <w:rFonts w:eastAsia="Times New Roman"/>
          <w:color w:val="000000"/>
        </w:rPr>
        <w:t xml:space="preserve">g lokalnog pristupa </w:t>
      </w:r>
      <w:r w:rsidRPr="00812C3F">
        <w:rPr>
          <w:rFonts w:eastAsia="Times New Roman"/>
          <w:color w:val="000000"/>
        </w:rPr>
        <w:t xml:space="preserve">razini </w:t>
      </w:r>
      <w:r>
        <w:rPr>
          <w:rFonts w:eastAsia="Times New Roman"/>
          <w:color w:val="000000"/>
        </w:rPr>
        <w:t>ponude</w:t>
      </w:r>
      <w:r w:rsidRPr="00812C3F">
        <w:rPr>
          <w:rFonts w:eastAsia="Times New Roman"/>
          <w:color w:val="000000"/>
        </w:rPr>
        <w:t xml:space="preserve"> operatori </w:t>
      </w:r>
      <w:r>
        <w:rPr>
          <w:rFonts w:eastAsia="Times New Roman"/>
          <w:color w:val="000000"/>
        </w:rPr>
        <w:t xml:space="preserve">VHCN </w:t>
      </w:r>
      <w:r w:rsidRPr="00812C3F">
        <w:rPr>
          <w:rFonts w:eastAsia="Times New Roman"/>
          <w:color w:val="000000"/>
        </w:rPr>
        <w:t>kabelskih mreža.</w:t>
      </w:r>
    </w:p>
    <w:p w:rsidR="00D7024A" w:rsidRPr="00812C3F" w:rsidRDefault="00D7024A" w:rsidP="00D7024A">
      <w:pPr>
        <w:jc w:val="both"/>
        <w:rPr>
          <w:rFonts w:eastAsia="Times New Roman"/>
          <w:color w:val="000000"/>
          <w:highlight w:val="yellow"/>
        </w:rPr>
      </w:pPr>
    </w:p>
    <w:p w:rsidR="00D7024A" w:rsidRPr="00812C3F" w:rsidRDefault="00D7024A" w:rsidP="00D7024A">
      <w:pPr>
        <w:jc w:val="both"/>
        <w:rPr>
          <w:rFonts w:eastAsia="Times New Roman"/>
          <w:color w:val="000000"/>
        </w:rPr>
      </w:pPr>
      <w:r w:rsidRPr="00812C3F">
        <w:rPr>
          <w:rFonts w:eastAsia="Times New Roman"/>
          <w:color w:val="000000"/>
        </w:rPr>
        <w:t xml:space="preserve">Zbog svega navedenog, HAKOM zaključuje kako u RH na strani ponude, </w:t>
      </w:r>
      <w:r>
        <w:rPr>
          <w:rFonts w:eastAsia="Times New Roman"/>
          <w:color w:val="000000"/>
        </w:rPr>
        <w:t>FA-PON i VULA usluge</w:t>
      </w:r>
      <w:r w:rsidRPr="00812C3F">
        <w:rPr>
          <w:rFonts w:eastAsia="Times New Roman"/>
          <w:color w:val="000000"/>
        </w:rPr>
        <w:t xml:space="preserve"> putem vlastite svjetlovodne infrastrukture svakog operatora  predstavljaju zamjensku uslugu </w:t>
      </w:r>
      <w:r>
        <w:rPr>
          <w:rFonts w:eastAsia="Times New Roman"/>
          <w:color w:val="000000"/>
        </w:rPr>
        <w:t xml:space="preserve">HT-ovoj FA-PON </w:t>
      </w:r>
      <w:r w:rsidRPr="00812C3F">
        <w:rPr>
          <w:rFonts w:eastAsia="Times New Roman"/>
          <w:color w:val="000000"/>
        </w:rPr>
        <w:t>usluzi.</w:t>
      </w:r>
    </w:p>
    <w:p w:rsidR="00D7024A" w:rsidRPr="00812C3F" w:rsidRDefault="00D7024A" w:rsidP="00D7024A">
      <w:pPr>
        <w:jc w:val="both"/>
        <w:rPr>
          <w:rFonts w:eastAsia="Times New Roman"/>
          <w:color w:val="000000"/>
          <w:highlight w:val="yellow"/>
        </w:rPr>
      </w:pPr>
    </w:p>
    <w:p w:rsidR="00D7024A" w:rsidRPr="0082266F" w:rsidRDefault="00D7024A" w:rsidP="00195E22">
      <w:pPr>
        <w:jc w:val="both"/>
        <w:rPr>
          <w:rFonts w:ascii="Segoe UI Semibold" w:hAnsi="Segoe UI Semibold" w:cs="Segoe UI Semibold"/>
          <w:color w:val="1F3864" w:themeColor="accent1" w:themeShade="80"/>
        </w:rPr>
      </w:pPr>
      <w:bookmarkStart w:id="199" w:name="_Toc124462561"/>
      <w:bookmarkStart w:id="200" w:name="_Toc124514455"/>
      <w:r w:rsidRPr="0082266F">
        <w:rPr>
          <w:rFonts w:ascii="Segoe UI Semibold" w:hAnsi="Segoe UI Semibold" w:cs="Segoe UI Semibold"/>
          <w:color w:val="1F3864" w:themeColor="accent1" w:themeShade="80"/>
        </w:rPr>
        <w:t>Zaključak o određivanju tržišta velikog kapaciteta u dimenziji usluga</w:t>
      </w:r>
      <w:bookmarkEnd w:id="199"/>
      <w:bookmarkEnd w:id="200"/>
    </w:p>
    <w:p w:rsidR="00195E22" w:rsidRPr="00195E22" w:rsidRDefault="00195E22" w:rsidP="00195E22">
      <w:pPr>
        <w:jc w:val="both"/>
        <w:rPr>
          <w:rFonts w:ascii="Segoe UI Semibold" w:hAnsi="Segoe UI Semibold" w:cs="Segoe UI Semibold"/>
          <w:b/>
          <w:color w:val="1F3864" w:themeColor="accent1" w:themeShade="80"/>
        </w:rPr>
      </w:pPr>
    </w:p>
    <w:p w:rsidR="00D7024A" w:rsidRPr="00812C3F" w:rsidRDefault="00D7024A" w:rsidP="00D7024A">
      <w:pPr>
        <w:jc w:val="both"/>
        <w:rPr>
          <w:rFonts w:eastAsia="Times New Roman"/>
          <w:color w:val="000000"/>
        </w:rPr>
      </w:pPr>
      <w:r w:rsidRPr="00812C3F">
        <w:rPr>
          <w:rFonts w:eastAsia="Times New Roman"/>
          <w:color w:val="000000"/>
        </w:rPr>
        <w:t>HAKOM je u prethodnim poglavljima zaključio da mjerodavno tržište velikog kapaciteta uključuje:</w:t>
      </w:r>
    </w:p>
    <w:p w:rsidR="00D7024A" w:rsidRPr="00B20EAF" w:rsidRDefault="00D7024A" w:rsidP="00D7024A">
      <w:pPr>
        <w:numPr>
          <w:ilvl w:val="0"/>
          <w:numId w:val="1"/>
        </w:numPr>
        <w:jc w:val="both"/>
        <w:rPr>
          <w:rFonts w:eastAsia="Times New Roman"/>
          <w:color w:val="000000"/>
        </w:rPr>
      </w:pPr>
      <w:r w:rsidRPr="00B20EAF">
        <w:rPr>
          <w:rFonts w:eastAsia="Times New Roman"/>
          <w:color w:val="000000"/>
        </w:rPr>
        <w:t>uslugu izdvojenog pristupa</w:t>
      </w:r>
      <w:r>
        <w:rPr>
          <w:rFonts w:eastAsia="Times New Roman"/>
          <w:color w:val="000000"/>
        </w:rPr>
        <w:t xml:space="preserve"> lokalnoj petlji na temelju </w:t>
      </w:r>
      <w:r w:rsidRPr="00B20EAF">
        <w:rPr>
          <w:rFonts w:eastAsia="Times New Roman"/>
          <w:color w:val="000000"/>
        </w:rPr>
        <w:t xml:space="preserve">svjetlovodne niti </w:t>
      </w:r>
    </w:p>
    <w:p w:rsidR="00D7024A" w:rsidRPr="00B20EAF" w:rsidRDefault="00D7024A" w:rsidP="00D7024A">
      <w:pPr>
        <w:numPr>
          <w:ilvl w:val="0"/>
          <w:numId w:val="1"/>
        </w:numPr>
        <w:jc w:val="both"/>
        <w:rPr>
          <w:rFonts w:eastAsia="Times New Roman"/>
          <w:color w:val="000000"/>
        </w:rPr>
      </w:pPr>
      <w:r w:rsidRPr="00B20EAF">
        <w:rPr>
          <w:rFonts w:eastAsia="Times New Roman"/>
          <w:color w:val="000000"/>
        </w:rPr>
        <w:t>uslugu virtualnog izdvojenog pristupa lokalnoj petlji (VULA) putem svjetlovodne niti (bitstream na OLT razini)</w:t>
      </w:r>
    </w:p>
    <w:p w:rsidR="00D7024A" w:rsidRPr="00B20EAF" w:rsidRDefault="00D7024A" w:rsidP="00D7024A">
      <w:pPr>
        <w:numPr>
          <w:ilvl w:val="0"/>
          <w:numId w:val="1"/>
        </w:numPr>
        <w:jc w:val="both"/>
        <w:rPr>
          <w:rFonts w:eastAsia="Times New Roman"/>
          <w:color w:val="000000"/>
        </w:rPr>
      </w:pPr>
      <w:r w:rsidRPr="00B20EAF">
        <w:rPr>
          <w:rFonts w:eastAsia="Times New Roman"/>
          <w:color w:val="000000"/>
        </w:rPr>
        <w:t>uslugu lokalnog pristupa putem svjetlovodne niti koju HT pruža za vlastite potrebe</w:t>
      </w:r>
    </w:p>
    <w:p w:rsidR="00D7024A" w:rsidRPr="00B20EAF" w:rsidRDefault="00D7024A" w:rsidP="00D7024A">
      <w:pPr>
        <w:numPr>
          <w:ilvl w:val="0"/>
          <w:numId w:val="1"/>
        </w:numPr>
        <w:jc w:val="both"/>
        <w:rPr>
          <w:rFonts w:eastAsia="Times New Roman"/>
          <w:color w:val="000000"/>
        </w:rPr>
      </w:pPr>
      <w:r w:rsidRPr="00B20EAF">
        <w:rPr>
          <w:rFonts w:eastAsia="Times New Roman"/>
          <w:color w:val="000000"/>
        </w:rPr>
        <w:t>uslugu lokalnog pristupa putem svjetlovodne niti koju alternativni operatori pružaju za vlastite potrebe</w:t>
      </w:r>
    </w:p>
    <w:p w:rsidR="0082266F" w:rsidRDefault="00D7024A" w:rsidP="009775C1">
      <w:pPr>
        <w:numPr>
          <w:ilvl w:val="0"/>
          <w:numId w:val="1"/>
        </w:numPr>
        <w:jc w:val="both"/>
        <w:rPr>
          <w:rFonts w:eastAsia="Times New Roman"/>
          <w:color w:val="000000"/>
        </w:rPr>
      </w:pPr>
      <w:r w:rsidRPr="00FF0F36">
        <w:rPr>
          <w:rFonts w:eastAsia="Times New Roman"/>
          <w:color w:val="000000"/>
        </w:rPr>
        <w:t>uslugu lokalnog pristupa putem kabelskih mreža koju alternativni operatori pružaju za vlastite potrebe</w:t>
      </w:r>
    </w:p>
    <w:p w:rsidR="00FF0F36" w:rsidRPr="00FF0F36" w:rsidRDefault="0082266F" w:rsidP="0082266F">
      <w:pPr>
        <w:rPr>
          <w:rFonts w:eastAsia="Times New Roman"/>
          <w:color w:val="000000"/>
        </w:rPr>
      </w:pPr>
      <w:r>
        <w:rPr>
          <w:rFonts w:eastAsia="Times New Roman"/>
          <w:color w:val="000000"/>
        </w:rPr>
        <w:br w:type="page"/>
      </w:r>
    </w:p>
    <w:p w:rsidR="004306B7" w:rsidRPr="00E571DF" w:rsidRDefault="004306B7" w:rsidP="00E571DF">
      <w:pPr>
        <w:pStyle w:val="Heading3"/>
      </w:pPr>
      <w:bookmarkStart w:id="201" w:name="_Toc124462562"/>
      <w:bookmarkStart w:id="202" w:name="_Toc124851959"/>
      <w:bookmarkStart w:id="203" w:name="_Toc124852520"/>
      <w:bookmarkStart w:id="204" w:name="_Toc124860234"/>
      <w:bookmarkStart w:id="205" w:name="_Toc124928592"/>
      <w:bookmarkStart w:id="206" w:name="_Toc124946934"/>
      <w:bookmarkStart w:id="207" w:name="_Toc124948844"/>
      <w:bookmarkStart w:id="208" w:name="_Toc124951739"/>
      <w:bookmarkStart w:id="209" w:name="_Ref125565920"/>
      <w:bookmarkStart w:id="210" w:name="_Toc125644889"/>
      <w:r w:rsidRPr="00E571DF">
        <w:t>Određivanje mjerodavnog tržišta u zemljopisnoj dimenziji</w:t>
      </w:r>
      <w:bookmarkEnd w:id="201"/>
      <w:bookmarkEnd w:id="202"/>
      <w:bookmarkEnd w:id="203"/>
      <w:bookmarkEnd w:id="204"/>
      <w:bookmarkEnd w:id="205"/>
      <w:bookmarkEnd w:id="206"/>
      <w:bookmarkEnd w:id="207"/>
      <w:bookmarkEnd w:id="208"/>
      <w:bookmarkEnd w:id="209"/>
      <w:bookmarkEnd w:id="210"/>
    </w:p>
    <w:p w:rsidR="004306B7" w:rsidRPr="004306B7" w:rsidRDefault="004306B7" w:rsidP="004306B7">
      <w:pPr>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Mjerodavno tržište u zemljopisnoj dimenziji obuhvaća sva područja u kojima određeni operatori pružaju usluge pod istim uvjetima, odnosno u kojima postoje istovrsni uvjeti tržišnog natjecanja.</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U postojećoj Preporuci EK o mjerodavnim tržištima</w:t>
      </w:r>
      <w:r w:rsidRPr="004306B7">
        <w:rPr>
          <w:rFonts w:eastAsia="Times New Roman"/>
          <w:color w:val="000000"/>
          <w:vertAlign w:val="superscript"/>
        </w:rPr>
        <w:footnoteReference w:id="39"/>
      </w:r>
      <w:r w:rsidRPr="004306B7">
        <w:rPr>
          <w:rFonts w:eastAsia="Times New Roman"/>
          <w:color w:val="000000"/>
        </w:rPr>
        <w:t xml:space="preserve"> je navedeno kako problemi povezani s tržišnim natjecanjem vjerojatno neće biti jednako prisutni u cijeloj državi članici pa bi takva tržišta trebalo temeljito geografski analizirati. Dakle, pri definiranju mjerodavnih tržišta u skladu s člankom 64. stavkom 3. Zakonika nacionalna regulatorna tijela trebala bi utvrditi geografska područja koja imaju dovoljno homogene uvjete tržišnog natjecanja i koja se mogu razlikovati od susjednih područja s očito drukčijim prevladavajućim uvjetima tržišnog natjecanja. Također je navedeno kako su dosad nacionalna regulatorna tijela ustanovila da je većina tržišta nacionalna zato što je bakrena mreža postojećeg pružatelja usluga imala nacionalnu pokrivenost. Međutim, kako postavljanje alternativnih mreža napreduje, uvjeti tržišnog natjecanja mogu se znatno i dugotrajno razlikovati među različitim područjima iste države članice (primjerice između urbanih i ruralnih područja), zbog čega je potrebno definirati zasebna geografska tržišta.</w:t>
      </w:r>
    </w:p>
    <w:p w:rsidR="004306B7" w:rsidRPr="004306B7" w:rsidRDefault="004306B7" w:rsidP="004306B7">
      <w:pPr>
        <w:jc w:val="both"/>
        <w:rPr>
          <w:rFonts w:eastAsia="Times New Roman"/>
          <w:color w:val="000000"/>
        </w:rPr>
      </w:pPr>
    </w:p>
    <w:p w:rsidR="00814987" w:rsidRDefault="004306B7" w:rsidP="004306B7">
      <w:pPr>
        <w:jc w:val="both"/>
        <w:rPr>
          <w:rFonts w:eastAsia="Times New Roman"/>
          <w:color w:val="000000"/>
        </w:rPr>
      </w:pPr>
      <w:r w:rsidRPr="004306B7">
        <w:rPr>
          <w:rFonts w:eastAsia="Times New Roman"/>
          <w:color w:val="000000"/>
        </w:rPr>
        <w:t xml:space="preserve">HAKOM je mjerodavno tržište u dimenziji usluga podijelio na (I) tržište malog kapaciteta i (II) tržište velikog kapaciteta. </w:t>
      </w:r>
    </w:p>
    <w:p w:rsidR="00814987" w:rsidRDefault="00814987">
      <w:pPr>
        <w:rPr>
          <w:rFonts w:eastAsia="Times New Roman"/>
          <w:color w:val="000000"/>
        </w:rPr>
      </w:pPr>
      <w:r>
        <w:rPr>
          <w:rFonts w:eastAsia="Times New Roman"/>
          <w:color w:val="000000"/>
        </w:rPr>
        <w:br w:type="page"/>
      </w:r>
    </w:p>
    <w:p w:rsidR="004306B7" w:rsidRPr="0082266F" w:rsidRDefault="004306B7" w:rsidP="0082266F">
      <w:pPr>
        <w:pStyle w:val="Heading4"/>
      </w:pPr>
      <w:bookmarkStart w:id="211" w:name="_Toc124462563"/>
      <w:bookmarkStart w:id="212" w:name="_Toc124851960"/>
      <w:bookmarkStart w:id="213" w:name="_Toc124852521"/>
      <w:bookmarkStart w:id="214" w:name="_Toc124860235"/>
      <w:bookmarkStart w:id="215" w:name="_Toc124928593"/>
      <w:bookmarkStart w:id="216" w:name="_Toc124946935"/>
      <w:bookmarkStart w:id="217" w:name="_Toc124948845"/>
      <w:bookmarkStart w:id="218" w:name="_Toc124951740"/>
      <w:bookmarkStart w:id="219" w:name="_Toc125644890"/>
      <w:r w:rsidRPr="0082266F">
        <w:t>Tržište usluga širokopojasnog pristupa malog kapaciteta</w:t>
      </w:r>
      <w:bookmarkEnd w:id="211"/>
      <w:bookmarkEnd w:id="212"/>
      <w:bookmarkEnd w:id="213"/>
      <w:bookmarkEnd w:id="214"/>
      <w:bookmarkEnd w:id="215"/>
      <w:bookmarkEnd w:id="216"/>
      <w:bookmarkEnd w:id="217"/>
      <w:bookmarkEnd w:id="218"/>
      <w:bookmarkEnd w:id="219"/>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Na tržištu malog kapaciteta najveći dio priključaka se ostvaruje putem bakrene pristupne mreže odnosno mreže koju ne grade alternativni operatori na tržištu, već se isključivo radi o mreži za koju nacionalnu pokrivenost ima HT, kao bivši monopolist. Nastavno na navedeno, a uzevši u obzir prethodno spomenutu Preporuku EK o mjerodavnim tržištima HAKOM je mišljenja kako na ovom tržištu nisu ostvareni uvjeti zbog kojih bi bilo potrebno definirati zasebna geografska tržišta.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Zaključno, kako na ovom tržištu nema alternativnih mreža odnosno kako se uvjeti tržišnog natjecanja ne razlikuju među različitim područjima RH HAKOM smatra da je mjerodavno tržište malog kapaciteta  u zemljopisnoj dimenziji u opsegu nacionalno, odnosno mjerodavno tržište u zemljopisnoj dimenziji čini cijeli teritorij RH.</w:t>
      </w:r>
    </w:p>
    <w:p w:rsidR="004306B7" w:rsidRPr="004306B7" w:rsidRDefault="004306B7" w:rsidP="004306B7">
      <w:pPr>
        <w:jc w:val="both"/>
        <w:rPr>
          <w:rFonts w:eastAsia="Times New Roman"/>
          <w:color w:val="000000"/>
        </w:rPr>
      </w:pPr>
    </w:p>
    <w:p w:rsidR="004306B7" w:rsidRPr="0082266F" w:rsidRDefault="004306B7" w:rsidP="0082266F">
      <w:pPr>
        <w:pStyle w:val="Heading4"/>
      </w:pPr>
      <w:bookmarkStart w:id="220" w:name="_Toc124462564"/>
      <w:bookmarkStart w:id="221" w:name="_Toc124851961"/>
      <w:bookmarkStart w:id="222" w:name="_Toc124852522"/>
      <w:bookmarkStart w:id="223" w:name="_Toc124860236"/>
      <w:bookmarkStart w:id="224" w:name="_Toc124928594"/>
      <w:bookmarkStart w:id="225" w:name="_Toc124946936"/>
      <w:bookmarkStart w:id="226" w:name="_Toc124948846"/>
      <w:bookmarkStart w:id="227" w:name="_Toc124951741"/>
      <w:bookmarkStart w:id="228" w:name="_Ref125566000"/>
      <w:bookmarkStart w:id="229" w:name="_Toc125644891"/>
      <w:r w:rsidRPr="0082266F">
        <w:t>Tržište usluga širokopojasnog pristupa velikog kapaciteta</w:t>
      </w:r>
      <w:bookmarkEnd w:id="220"/>
      <w:bookmarkEnd w:id="221"/>
      <w:bookmarkEnd w:id="222"/>
      <w:bookmarkEnd w:id="223"/>
      <w:bookmarkEnd w:id="224"/>
      <w:bookmarkEnd w:id="225"/>
      <w:bookmarkEnd w:id="226"/>
      <w:bookmarkEnd w:id="227"/>
      <w:bookmarkEnd w:id="228"/>
      <w:bookmarkEnd w:id="229"/>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Za razliku od tržišta malog kapaciteta, priključci na ovom tržištu se ostvaruju putem svjetlovodnih (FTTH/B/DP) i kabelskih (HFC</w:t>
      </w:r>
      <w:r w:rsidR="00402361">
        <w:rPr>
          <w:rFonts w:eastAsia="Times New Roman"/>
          <w:color w:val="000000"/>
        </w:rPr>
        <w:t xml:space="preserve"> Docsis 3.1</w:t>
      </w:r>
      <w:r w:rsidRPr="004306B7">
        <w:rPr>
          <w:rFonts w:eastAsia="Times New Roman"/>
          <w:color w:val="000000"/>
        </w:rPr>
        <w:t xml:space="preserve">) mreža odnosno priključci se ostvaruju putem mreža koje grade i alternativni operatori na tržištu što predstavlja ključnu razliku u odnosu na tržište malog kapaciteta.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Nastavno na navedeno, a uzevši u obzir Preporuku EK o mjerodavnim tržištima, HAKOM je mišljenja kako je na ovom tržištu potrebno provesti geografsku analizu i po potrebi definirati zasebna geografska tržišta.</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U postojećoj Preporuci EK o mjerodavnim tržištima (recitali od 35. do 38.)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Kako bi provjerio koja podjela najviše odgovara prethodno spomenutim recitalima Preporuke, HAKOM je razmatrao četiri (4) mogućnosti:</w:t>
      </w:r>
    </w:p>
    <w:p w:rsidR="004306B7" w:rsidRPr="004306B7" w:rsidRDefault="004306B7" w:rsidP="004306B7">
      <w:pPr>
        <w:jc w:val="both"/>
        <w:rPr>
          <w:rFonts w:eastAsia="Times New Roman"/>
          <w:color w:val="000000"/>
        </w:rPr>
      </w:pPr>
    </w:p>
    <w:p w:rsidR="004306B7" w:rsidRPr="004306B7" w:rsidRDefault="004306B7" w:rsidP="00766501">
      <w:pPr>
        <w:numPr>
          <w:ilvl w:val="0"/>
          <w:numId w:val="57"/>
        </w:numPr>
        <w:jc w:val="both"/>
        <w:rPr>
          <w:rFonts w:eastAsia="Times New Roman"/>
          <w:b/>
          <w:color w:val="000000"/>
        </w:rPr>
      </w:pPr>
      <w:r w:rsidRPr="004306B7">
        <w:rPr>
          <w:rFonts w:eastAsia="Times New Roman"/>
          <w:b/>
          <w:color w:val="000000"/>
        </w:rPr>
        <w:t>Mogućnost 1 – geografska podjela RH na županije</w:t>
      </w:r>
    </w:p>
    <w:p w:rsidR="002C49FE" w:rsidRDefault="002C49FE"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Županija je jedinica područne (regionalne) samouprave čije područje predstavlja prirodnu, povijesnu, prometnu, gospodarsku, društvenu i samoupravnu cjelinu, a ustrojava se radi obavljanja poslova od područnoga (regionalnog) interesa. U RH postoji 20 županija te grad Zagreb koji također ima status županije.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U postojećoj Preporuci EK o mjerodavnim tržištima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Temeljem navedenog po mišljenju HAKOM-a podjela RH na županije ne bi bila u skladu s navedenom Preporukom. Naime, unutar iste županije postoje područja s velikim odstupanjima u, primjerice, gustoći naseljenosti te stupnju gospodarske razvijenosti zbog čega kod ovakve podjele ne bi bilo moguće izbjeći znatne varijacije tržišnog natjecanja. Dodatno, po mišljenju HAKOM-a unutar iste županije uvjeti tržišnog natjecanja nisu dovoljno homogeni.</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b/>
          <w:color w:val="000000"/>
        </w:rPr>
      </w:pPr>
      <w:r w:rsidRPr="004306B7">
        <w:rPr>
          <w:rFonts w:eastAsia="Times New Roman"/>
          <w:b/>
          <w:color w:val="000000"/>
        </w:rPr>
        <w:t xml:space="preserve">Temeljem navedenog HAKOM smatra kako geografska podjela RH na županije nije odgovarajuća odnosno nije u skladu s Preporukom EK o mjerodavnim tržištima. </w:t>
      </w:r>
    </w:p>
    <w:p w:rsidR="004306B7" w:rsidRPr="004306B7" w:rsidRDefault="004306B7" w:rsidP="004306B7">
      <w:pPr>
        <w:jc w:val="both"/>
        <w:rPr>
          <w:rFonts w:eastAsia="Times New Roman"/>
          <w:b/>
          <w:color w:val="000000"/>
        </w:rPr>
      </w:pPr>
    </w:p>
    <w:p w:rsidR="004306B7" w:rsidRPr="004306B7" w:rsidRDefault="004306B7" w:rsidP="00766501">
      <w:pPr>
        <w:numPr>
          <w:ilvl w:val="0"/>
          <w:numId w:val="57"/>
        </w:numPr>
        <w:jc w:val="both"/>
        <w:rPr>
          <w:rFonts w:eastAsia="Times New Roman"/>
          <w:b/>
          <w:color w:val="000000"/>
        </w:rPr>
      </w:pPr>
      <w:r w:rsidRPr="004306B7">
        <w:rPr>
          <w:rFonts w:eastAsia="Times New Roman"/>
          <w:b/>
          <w:color w:val="000000"/>
        </w:rPr>
        <w:t>Mogućnost 2 – geografska podjela RH na naselja</w:t>
      </w:r>
    </w:p>
    <w:p w:rsidR="002C49FE" w:rsidRDefault="002C49FE"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Naseljem se smatra prostorna jedinica koja se sastoji od građevinskog područja i područja druge namjene, a ima ime i vlastiti sistem obilježavanja zgrada. U RH postoji 6789 naselja.</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Kao što je već navedeno, u postojećoj Preporuci EK o mjerodavnim tržištima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Temeljem navedenog po mišljenju HAKOM-a podjela RH na naselja ne bi bila u skladu s navedenom Preporukom. Naime, s obzirom na veliki broj naselja u odnosu na površinu RH, ovakva podjela dovela bi do provođenja vrlo zahtjevnih mikroanaliza koje bi dovele do rascjepkanosti tržišta bez stvarne koristi za daljnji razvoj tržišnog natjecanja. Dodatni dokaz da se radi o podjeli na presitna geografska područja je što postoje naselja bez stanovnika.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b/>
          <w:color w:val="000000"/>
        </w:rPr>
      </w:pPr>
      <w:r w:rsidRPr="004306B7">
        <w:rPr>
          <w:rFonts w:eastAsia="Times New Roman"/>
          <w:b/>
          <w:color w:val="000000"/>
        </w:rPr>
        <w:t xml:space="preserve">Temeljem navedenog, HAKOM smatra kako geografska podjela RH na naselja nije odgovarajuća odnosno nije u skladu s Preporukom EK o mjerodavnim tržištima. </w:t>
      </w:r>
    </w:p>
    <w:p w:rsidR="004306B7" w:rsidRPr="004306B7" w:rsidRDefault="004306B7" w:rsidP="004306B7">
      <w:pPr>
        <w:jc w:val="both"/>
        <w:rPr>
          <w:rFonts w:eastAsia="Times New Roman"/>
          <w:color w:val="000000"/>
        </w:rPr>
      </w:pPr>
    </w:p>
    <w:p w:rsidR="004306B7" w:rsidRPr="004306B7" w:rsidRDefault="004306B7" w:rsidP="00766501">
      <w:pPr>
        <w:numPr>
          <w:ilvl w:val="0"/>
          <w:numId w:val="57"/>
        </w:numPr>
        <w:jc w:val="both"/>
        <w:rPr>
          <w:rFonts w:eastAsia="Times New Roman"/>
          <w:b/>
          <w:color w:val="000000"/>
        </w:rPr>
      </w:pPr>
      <w:r w:rsidRPr="004306B7">
        <w:rPr>
          <w:rFonts w:eastAsia="Times New Roman"/>
          <w:b/>
          <w:color w:val="000000"/>
        </w:rPr>
        <w:t>Mogućnost 3 – geografska podjela RH na općine i gradove</w:t>
      </w:r>
    </w:p>
    <w:p w:rsidR="002C49FE" w:rsidRDefault="002C49FE"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Općina je jedinica lokalne samouprave koja se osniva, u pravilu, za područje više naseljenih mjesta koja predstavljaju prirodnu, gospodarsku i društvenu cjelinu, te koja su povezana zajedničkim interesima stanovništva. U RH postoji 428 općina.</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Grad je jedinica lokalne samouprave u kojoj je sjedište županije te svako mjesto koje ima više od 10.000 stanovnika, a predstavlja urbanu, povijesnu, prirodnu, gospodarsku i društvenu cjelinu. U sastav grada kao jedinice lokalne samouprave mogu biti uključena i prigradska naselja koja s gradskim naseljem čine gospodarsku i društvenu cjelinu te su s njim povezana dnevnim migracijskim kretanjima i svakodnevnim potrebama stanovništva od lokalnog značenja. U RH postoji 127 gradova.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U postojećoj Preporuci EK o mjerodavnim tržištima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Temeljem navedenog, HAKOM smatra kako je podjela RH na općine i gradove u skladu s navedenom Preporukom. Naime, unutar iste općine ili grada ne postoje znatna odstupanja u, primjerice, gustoći naseljenosti ili stupnju gospodarske razvijenosti te, s druge strane, takva podjela ne bi predstavljala mikroanalizu koja bi mogla dovesti do rascjepkanosti tržišta. Dodatno, upravo geografsko područje općina i gradova daje dovoljno homogene uvjete tržišnog natjecanja odnosno ovakva podjela je u skladu s Preporukom EK o mjerodavnim tržištima.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Po mišljenju HAKOM-a navedena podjela je odgovarajuća za sva područja osim za Grad Zagreb. Naime, Grad Zagreb, kao glavni grad RH, ima Ustavom određen poseban status iz kojega proizlazi da obavlja poslove iz samoupravnog djelokruga grada i županije. Dodatno, na temelju popisa stanovništva Grad Zagreb ima oko 780.000 stanovnika dok, primjerice Split, Rijeka i Osijek, kao ostali najveći gradovi u RH imaju zajedno oko 370.000 stanovnika što je manje od 50 posto stanovnika Grada Zagreba.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Nastavno na navedeno, odrediti Grad Zagreb kao jedinstvenu geografsku jedinicu ne bi bilo u skladu s Preporukom EK o mjerodavnim tržištima jer ne bi bilo moguće izbjeći značajne varijacije uvjeta tržišnog natjecanja, odnosno uvjeti tržišnog natjecanja ne bi bili dovoljno homogeni.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b/>
          <w:color w:val="000000"/>
        </w:rPr>
      </w:pPr>
      <w:r w:rsidRPr="004306B7">
        <w:rPr>
          <w:rFonts w:eastAsia="Times New Roman"/>
          <w:b/>
          <w:color w:val="000000"/>
        </w:rPr>
        <w:t xml:space="preserve">Temeljem navedenog HAKOM smatra kako geografska podjela RH na općine i gradove, uključujući takvu podjelu i za Grad Zagreb nije odgovarajuća, odnosno nije u skladu s Preporukom EK o mjerodavnim tržištima. </w:t>
      </w:r>
    </w:p>
    <w:p w:rsidR="004306B7" w:rsidRPr="004306B7" w:rsidRDefault="004306B7" w:rsidP="004306B7">
      <w:pPr>
        <w:jc w:val="both"/>
        <w:rPr>
          <w:rFonts w:eastAsia="Times New Roman"/>
          <w:i/>
          <w:color w:val="000000"/>
        </w:rPr>
      </w:pPr>
    </w:p>
    <w:p w:rsidR="004306B7" w:rsidRPr="004306B7" w:rsidRDefault="004306B7" w:rsidP="00766501">
      <w:pPr>
        <w:numPr>
          <w:ilvl w:val="0"/>
          <w:numId w:val="57"/>
        </w:numPr>
        <w:jc w:val="both"/>
        <w:rPr>
          <w:rFonts w:eastAsia="Times New Roman"/>
          <w:b/>
          <w:color w:val="000000"/>
        </w:rPr>
      </w:pPr>
      <w:r w:rsidRPr="004306B7">
        <w:rPr>
          <w:rFonts w:eastAsia="Times New Roman"/>
          <w:b/>
          <w:color w:val="000000"/>
        </w:rPr>
        <w:t xml:space="preserve">Mogućnost 4 – geografska podjela RH na općine i gradove te podjela Grada Zagreba na manje teritorijalne jedinice </w:t>
      </w:r>
    </w:p>
    <w:p w:rsidR="002C49FE" w:rsidRDefault="002C49FE"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Grad Zagreb, kao glavni grad RH, ima Ustavom određen poseban status iz kojega proizlazi da obavlja poslove iz samoupravnog djelokruga grada i županije. Dodatno, na temelju popisa stanovništva Grad Zagreb ima oko 780.000 stanovnika dok, primjerice Split, Rijeka i Osijek, kao ostali najveći gradovi u RH imaju zajedno oko 370.000 stanovnika što je manje od 50 posto stanovnika Grada Zagreba.</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Grad Zagreb je teritorijalno podijeljen na 17 gradskih četvrti: Brezovica, Črnomerec, Donja Dubrava, Donji Grad, Gornja Dubrava, Gornji Grad – Medvešćak, Maksimir, Novi Zagreb – istok,  Novi Zagreb – zapad, Peščenica – Žitnjak, </w:t>
      </w:r>
      <w:proofErr w:type="spellStart"/>
      <w:r w:rsidRPr="004306B7">
        <w:rPr>
          <w:rFonts w:eastAsia="Times New Roman"/>
          <w:color w:val="000000"/>
        </w:rPr>
        <w:t>Podsljeme</w:t>
      </w:r>
      <w:proofErr w:type="spellEnd"/>
      <w:r w:rsidRPr="004306B7">
        <w:rPr>
          <w:rFonts w:eastAsia="Times New Roman"/>
          <w:color w:val="000000"/>
        </w:rPr>
        <w:t xml:space="preserve">, Podsused – Vrapče, Sesvete, </w:t>
      </w:r>
      <w:proofErr w:type="spellStart"/>
      <w:r w:rsidRPr="004306B7">
        <w:rPr>
          <w:rFonts w:eastAsia="Times New Roman"/>
          <w:color w:val="000000"/>
        </w:rPr>
        <w:t>Stenjevec</w:t>
      </w:r>
      <w:proofErr w:type="spellEnd"/>
      <w:r w:rsidRPr="004306B7">
        <w:rPr>
          <w:rFonts w:eastAsia="Times New Roman"/>
          <w:color w:val="000000"/>
        </w:rPr>
        <w:t xml:space="preserve">, Trešnjevka – jug, Trešnjevka – sjever i Trnje. Ukupan broj stanovnika se kreće od oko 12.000 koliko ima Brezovica do oko 72.000 koliko imaju Sesvete odnosno svaka od gradskih četvrti Grada Zagreba ima više stanovnika od nekih drugih područja u RH koji imaju status grada.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color w:val="000000"/>
        </w:rPr>
      </w:pPr>
      <w:r w:rsidRPr="004306B7">
        <w:rPr>
          <w:rFonts w:eastAsia="Times New Roman"/>
          <w:color w:val="000000"/>
        </w:rPr>
        <w:t xml:space="preserve">Nastavno na navedeno HAKOM je mišljenja kako je nužno Grad Zagreb tretirati drugačije od ostatka RH odnosno kako je podjela Grada Zagreba na 17 gradskih četvrti upravo podjela koja je u skladu s Preporukom EK o mjerodavnim tržištima. </w:t>
      </w:r>
    </w:p>
    <w:p w:rsidR="004306B7" w:rsidRPr="004306B7" w:rsidRDefault="004306B7" w:rsidP="004306B7">
      <w:pPr>
        <w:jc w:val="both"/>
        <w:rPr>
          <w:rFonts w:eastAsia="Times New Roman"/>
          <w:color w:val="000000"/>
        </w:rPr>
      </w:pPr>
    </w:p>
    <w:p w:rsidR="004306B7" w:rsidRPr="004306B7" w:rsidRDefault="004306B7" w:rsidP="004306B7">
      <w:pPr>
        <w:jc w:val="both"/>
        <w:rPr>
          <w:rFonts w:eastAsia="Times New Roman"/>
          <w:b/>
          <w:color w:val="000000"/>
        </w:rPr>
      </w:pPr>
      <w:r w:rsidRPr="004306B7">
        <w:rPr>
          <w:rFonts w:eastAsia="Times New Roman"/>
          <w:b/>
          <w:color w:val="000000"/>
        </w:rPr>
        <w:t xml:space="preserve">Temeljem navedenog HAKOM smatra kako geografska podjela RH na općine i gradove, te podjela Grada Zagreba na 17 gradskih četvrti je odgovarajuća odnosno u skladu s Preporukom EK o mjerodavnim tržištima. </w:t>
      </w:r>
    </w:p>
    <w:p w:rsidR="004306B7" w:rsidRPr="004306B7" w:rsidRDefault="004306B7" w:rsidP="004306B7">
      <w:pPr>
        <w:jc w:val="both"/>
        <w:rPr>
          <w:rFonts w:eastAsia="Times New Roman"/>
          <w:b/>
          <w:color w:val="000000"/>
        </w:rPr>
      </w:pPr>
      <w:r w:rsidRPr="004306B7">
        <w:rPr>
          <w:rFonts w:eastAsia="Times New Roman"/>
          <w:b/>
          <w:color w:val="000000"/>
        </w:rPr>
        <w:br w:type="page"/>
      </w:r>
    </w:p>
    <w:p w:rsidR="00FE6D9D" w:rsidRPr="0082266F" w:rsidRDefault="00DF4062" w:rsidP="0082266F">
      <w:pPr>
        <w:pStyle w:val="Heading1"/>
      </w:pPr>
      <w:bookmarkStart w:id="230" w:name="_Toc124459029"/>
      <w:bookmarkStart w:id="231" w:name="_Toc124459202"/>
      <w:bookmarkStart w:id="232" w:name="_Toc124459924"/>
      <w:bookmarkStart w:id="233" w:name="_Toc124462522"/>
      <w:bookmarkStart w:id="234" w:name="_Toc124462632"/>
      <w:bookmarkStart w:id="235" w:name="_Toc105596034"/>
      <w:bookmarkStart w:id="236" w:name="_Toc124462565"/>
      <w:bookmarkStart w:id="237" w:name="_Toc124851962"/>
      <w:bookmarkStart w:id="238" w:name="_Toc124852523"/>
      <w:bookmarkStart w:id="239" w:name="_Toc124859592"/>
      <w:bookmarkStart w:id="240" w:name="_Ref124920797"/>
      <w:bookmarkStart w:id="241" w:name="_Ref124920813"/>
      <w:bookmarkStart w:id="242" w:name="_Toc124928595"/>
      <w:bookmarkStart w:id="243" w:name="_Toc124946937"/>
      <w:bookmarkStart w:id="244" w:name="_Toc124948847"/>
      <w:bookmarkStart w:id="245" w:name="_Toc124951742"/>
      <w:bookmarkStart w:id="246" w:name="_Ref125565745"/>
      <w:bookmarkStart w:id="247" w:name="_Ref125566023"/>
      <w:bookmarkStart w:id="248" w:name="_Ref125566091"/>
      <w:bookmarkStart w:id="249" w:name="_Ref125566314"/>
      <w:bookmarkStart w:id="250" w:name="_Toc125644892"/>
      <w:bookmarkEnd w:id="19"/>
      <w:bookmarkEnd w:id="20"/>
      <w:bookmarkEnd w:id="21"/>
      <w:bookmarkEnd w:id="22"/>
      <w:bookmarkEnd w:id="230"/>
      <w:bookmarkEnd w:id="231"/>
      <w:bookmarkEnd w:id="232"/>
      <w:bookmarkEnd w:id="233"/>
      <w:bookmarkEnd w:id="234"/>
      <w:r w:rsidRPr="0082266F">
        <w:t>Geografska analiza uvjeta tržišne konkurentnosti</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rsidR="00FE6D9D" w:rsidRPr="00FE6D9D" w:rsidRDefault="00FE6D9D" w:rsidP="00FE6D9D"/>
    <w:p w:rsidR="00FE6D9D" w:rsidRDefault="00FE6D9D" w:rsidP="00FE6D9D">
      <w:pPr>
        <w:jc w:val="both"/>
        <w:rPr>
          <w:rFonts w:eastAsia="Times New Roman"/>
        </w:rPr>
      </w:pPr>
      <w:r w:rsidRPr="009C6BF4">
        <w:rPr>
          <w:rFonts w:eastAsia="Times New Roman"/>
        </w:rPr>
        <w:t>Prema postojećoj Preporuci EK o mjerodavnim tržištima, nakon što je definirana podjela mjerodavnog tržišta na odgovarajuće geografske jedinice, nacionalna regulatorna tijela trebala bi provesti analizu konkurentskih uvjeta na temelju koje će utvrditi geografske jedinice sa sličnim ili dovoljno homogenim uvjetima tržišnog natjecanja</w:t>
      </w:r>
      <w:r w:rsidRPr="009055A3">
        <w:rPr>
          <w:rFonts w:eastAsia="Times New Roman"/>
        </w:rPr>
        <w:t xml:space="preserve"> </w:t>
      </w:r>
      <w:r>
        <w:rPr>
          <w:rFonts w:eastAsia="Times New Roman"/>
        </w:rPr>
        <w:t>i koja se mogu razlikovati od susjednih područja s očito drukčijim prevladavajućim uvjetima tržišnog natjecanja</w:t>
      </w:r>
      <w:r w:rsidRPr="009C6BF4">
        <w:rPr>
          <w:rFonts w:eastAsia="Times New Roman"/>
        </w:rPr>
        <w:t>. Naime, u postupku utvrđivanja homogenih uvjeta tržišnog natjecanja u geografskim jedinicama, nacionalna regulatorna tijela trebala bi posebno uzimati u razmatranje strukturne pokazatelje na temelju kojih se može utvrditi odgovarajuća razina infrastrukturne konkurencije, a takvi pokazatelji, između ostalog, mogu biti:</w:t>
      </w:r>
    </w:p>
    <w:p w:rsidR="00FE6D9D" w:rsidRPr="009C6BF4" w:rsidRDefault="00FE6D9D" w:rsidP="00FE6D9D">
      <w:pPr>
        <w:jc w:val="both"/>
        <w:rPr>
          <w:rFonts w:eastAsia="Times New Roman"/>
        </w:rPr>
      </w:pPr>
    </w:p>
    <w:p w:rsidR="00FE6D9D" w:rsidRPr="009C6BF4" w:rsidRDefault="00FE6D9D" w:rsidP="00766501">
      <w:pPr>
        <w:pStyle w:val="ListParagraph"/>
        <w:numPr>
          <w:ilvl w:val="0"/>
          <w:numId w:val="5"/>
        </w:numPr>
        <w:jc w:val="both"/>
        <w:rPr>
          <w:rFonts w:eastAsia="Times New Roman"/>
        </w:rPr>
      </w:pPr>
      <w:r w:rsidRPr="009C6BF4">
        <w:rPr>
          <w:rFonts w:eastAsia="Times New Roman"/>
        </w:rPr>
        <w:t xml:space="preserve">broj infrastruktura u geografskoj jedinici, </w:t>
      </w:r>
    </w:p>
    <w:p w:rsidR="00FE6D9D" w:rsidRPr="009C6BF4" w:rsidRDefault="00FE6D9D" w:rsidP="00766501">
      <w:pPr>
        <w:pStyle w:val="ListParagraph"/>
        <w:numPr>
          <w:ilvl w:val="0"/>
          <w:numId w:val="5"/>
        </w:numPr>
        <w:jc w:val="both"/>
        <w:rPr>
          <w:rFonts w:eastAsia="Times New Roman"/>
        </w:rPr>
      </w:pPr>
      <w:r w:rsidRPr="009C6BF4">
        <w:rPr>
          <w:rFonts w:eastAsia="Times New Roman"/>
        </w:rPr>
        <w:t xml:space="preserve">pokrivenost infrastruktura u geografskoj jedinici, </w:t>
      </w:r>
    </w:p>
    <w:p w:rsidR="00FE6D9D" w:rsidRPr="009C6BF4" w:rsidRDefault="00FE6D9D" w:rsidP="00766501">
      <w:pPr>
        <w:pStyle w:val="ListParagraph"/>
        <w:numPr>
          <w:ilvl w:val="0"/>
          <w:numId w:val="5"/>
        </w:numPr>
        <w:jc w:val="both"/>
        <w:rPr>
          <w:rFonts w:eastAsia="Times New Roman"/>
        </w:rPr>
      </w:pPr>
      <w:r w:rsidRPr="009C6BF4">
        <w:rPr>
          <w:rFonts w:eastAsia="Times New Roman"/>
        </w:rPr>
        <w:t xml:space="preserve">maloprodajni tržišni udio operatora u geografskoj jedinici, </w:t>
      </w:r>
    </w:p>
    <w:p w:rsidR="00FE6D9D" w:rsidRPr="009C6BF4" w:rsidRDefault="00FE6D9D" w:rsidP="00766501">
      <w:pPr>
        <w:pStyle w:val="ListParagraph"/>
        <w:numPr>
          <w:ilvl w:val="0"/>
          <w:numId w:val="5"/>
        </w:numPr>
        <w:jc w:val="both"/>
        <w:rPr>
          <w:rFonts w:eastAsia="Times New Roman"/>
        </w:rPr>
      </w:pPr>
      <w:r w:rsidRPr="009C6BF4">
        <w:rPr>
          <w:rFonts w:eastAsia="Times New Roman"/>
        </w:rPr>
        <w:t>veleprodajni tržišni udio operatora u geografskoj jedinici,</w:t>
      </w:r>
    </w:p>
    <w:p w:rsidR="00FE6D9D" w:rsidRPr="009C6BF4" w:rsidRDefault="00FE6D9D" w:rsidP="00766501">
      <w:pPr>
        <w:pStyle w:val="ListParagraph"/>
        <w:numPr>
          <w:ilvl w:val="0"/>
          <w:numId w:val="5"/>
        </w:numPr>
        <w:jc w:val="both"/>
        <w:rPr>
          <w:rFonts w:eastAsia="Times New Roman"/>
        </w:rPr>
      </w:pPr>
      <w:r w:rsidRPr="009C6BF4">
        <w:rPr>
          <w:rFonts w:eastAsia="Times New Roman"/>
        </w:rPr>
        <w:t>kretanje tržišnog udjela tijekom određenog razdoblja,</w:t>
      </w:r>
    </w:p>
    <w:p w:rsidR="00FE6D9D" w:rsidRDefault="00FE6D9D" w:rsidP="00766501">
      <w:pPr>
        <w:pStyle w:val="ListParagraph"/>
        <w:numPr>
          <w:ilvl w:val="0"/>
          <w:numId w:val="5"/>
        </w:numPr>
        <w:jc w:val="both"/>
        <w:rPr>
          <w:rFonts w:eastAsia="Times New Roman"/>
        </w:rPr>
      </w:pPr>
      <w:r w:rsidRPr="009C6BF4">
        <w:rPr>
          <w:rFonts w:eastAsia="Times New Roman"/>
        </w:rPr>
        <w:t>geografske razlike u cijenama.</w:t>
      </w:r>
    </w:p>
    <w:p w:rsidR="00FE6D9D" w:rsidRPr="009C6BF4" w:rsidRDefault="00FE6D9D" w:rsidP="00FE6D9D">
      <w:pPr>
        <w:pStyle w:val="ListParagraph"/>
        <w:jc w:val="both"/>
        <w:rPr>
          <w:rFonts w:eastAsia="Times New Roman"/>
        </w:rPr>
      </w:pPr>
    </w:p>
    <w:p w:rsidR="00FE6D9D" w:rsidRPr="009C6BF4" w:rsidRDefault="00FE6D9D" w:rsidP="00FE6D9D">
      <w:pPr>
        <w:jc w:val="both"/>
        <w:rPr>
          <w:rFonts w:eastAsia="Times New Roman"/>
        </w:rPr>
      </w:pPr>
      <w:r w:rsidRPr="009C6BF4">
        <w:rPr>
          <w:rFonts w:eastAsia="Times New Roman"/>
        </w:rPr>
        <w:t>U pratećem dokumentu Preporuke EK o mjerodavnim tržištima</w:t>
      </w:r>
      <w:r>
        <w:rPr>
          <w:rStyle w:val="FootnoteReference"/>
        </w:rPr>
        <w:footnoteReference w:id="40"/>
      </w:r>
      <w:r w:rsidRPr="009C6BF4">
        <w:rPr>
          <w:rFonts w:eastAsia="Times New Roman"/>
        </w:rPr>
        <w:t xml:space="preserve"> se navodi kako nacionalna regulatorna tijela, nakon što provedu analizu utvrđivanja konkurent</w:t>
      </w:r>
      <w:r w:rsidR="00012220">
        <w:rPr>
          <w:rFonts w:eastAsia="Times New Roman"/>
        </w:rPr>
        <w:t>ni</w:t>
      </w:r>
      <w:r w:rsidRPr="009C6BF4">
        <w:rPr>
          <w:rFonts w:eastAsia="Times New Roman"/>
        </w:rPr>
        <w:t>h uvjeta, sve geografske jedinice sa sličnim uvjetima tržišnog natjecanja obično grupiraju u konkurentna i nekonkurentna područja.</w:t>
      </w:r>
    </w:p>
    <w:p w:rsidR="00FE6D9D" w:rsidRDefault="00FE6D9D" w:rsidP="00FE6D9D">
      <w:pPr>
        <w:jc w:val="both"/>
        <w:rPr>
          <w:rFonts w:eastAsia="Times New Roman"/>
        </w:rPr>
      </w:pPr>
    </w:p>
    <w:p w:rsidR="00FE6D9D" w:rsidRDefault="00FE6D9D" w:rsidP="00FE6D9D">
      <w:pPr>
        <w:jc w:val="both"/>
        <w:rPr>
          <w:rFonts w:eastAsia="Times New Roman"/>
        </w:rPr>
      </w:pPr>
      <w:r w:rsidRPr="009C6BF4">
        <w:rPr>
          <w:rFonts w:eastAsia="Times New Roman"/>
        </w:rPr>
        <w:t xml:space="preserve">Nakon što je definirana podjela mjerodavnog tržišta </w:t>
      </w:r>
      <w:r w:rsidR="00012220">
        <w:rPr>
          <w:rFonts w:eastAsia="Times New Roman"/>
        </w:rPr>
        <w:t xml:space="preserve">velikog </w:t>
      </w:r>
      <w:r>
        <w:rPr>
          <w:rFonts w:eastAsia="Times New Roman"/>
        </w:rPr>
        <w:t>kapaciteta</w:t>
      </w:r>
      <w:r w:rsidRPr="009C6BF4">
        <w:rPr>
          <w:rFonts w:eastAsia="Times New Roman"/>
        </w:rPr>
        <w:t xml:space="preserve"> na odgovarajuće geografske jedinice (općine</w:t>
      </w:r>
      <w:r>
        <w:rPr>
          <w:rFonts w:eastAsia="Times New Roman"/>
        </w:rPr>
        <w:t xml:space="preserve"> i </w:t>
      </w:r>
      <w:r w:rsidRPr="009C6BF4">
        <w:rPr>
          <w:rFonts w:eastAsia="Times New Roman"/>
        </w:rPr>
        <w:t>gradov</w:t>
      </w:r>
      <w:r>
        <w:rPr>
          <w:rFonts w:eastAsia="Times New Roman"/>
        </w:rPr>
        <w:t>i</w:t>
      </w:r>
      <w:r w:rsidRPr="009C6BF4">
        <w:rPr>
          <w:rFonts w:eastAsia="Times New Roman"/>
        </w:rPr>
        <w:t xml:space="preserve"> te Grad Zagreb na gradske četvrti), uzevši u obzir prethodno spomenutu Preporuku EK o mjerodavnim tržištima, HAKOM će </w:t>
      </w:r>
      <w:r w:rsidR="00012220">
        <w:rPr>
          <w:rFonts w:eastAsia="Times New Roman"/>
        </w:rPr>
        <w:t>u ovom poglavlju</w:t>
      </w:r>
      <w:r w:rsidRPr="009C6BF4">
        <w:rPr>
          <w:rFonts w:eastAsia="Times New Roman"/>
        </w:rPr>
        <w:t xml:space="preserve"> definirati kriterije za utvrđivanje infrastrukturne konkurencije te će na temelju istih provesti analizu utvrđivanja geografskih jedinica sa sličnim ili dovoljno homogenim uvjetima tržišnog natjecanja.  </w:t>
      </w:r>
    </w:p>
    <w:p w:rsidR="00FE6D9D" w:rsidRPr="009C6BF4" w:rsidRDefault="00FE6D9D" w:rsidP="00FE6D9D">
      <w:pPr>
        <w:jc w:val="both"/>
        <w:rPr>
          <w:rFonts w:eastAsia="Times New Roman"/>
        </w:rPr>
      </w:pPr>
    </w:p>
    <w:p w:rsidR="00FE6D9D" w:rsidRDefault="00012220" w:rsidP="00FE6D9D">
      <w:pPr>
        <w:jc w:val="both"/>
        <w:rPr>
          <w:rFonts w:eastAsia="Times New Roman"/>
        </w:rPr>
      </w:pPr>
      <w:r>
        <w:rPr>
          <w:rFonts w:eastAsia="Times New Roman"/>
        </w:rPr>
        <w:t xml:space="preserve">HAKOM je razmatrao različite opcije u odnosu na </w:t>
      </w:r>
      <w:r w:rsidR="00FE6D9D">
        <w:rPr>
          <w:rFonts w:eastAsia="Times New Roman"/>
        </w:rPr>
        <w:t xml:space="preserve">(I) </w:t>
      </w:r>
      <w:r>
        <w:rPr>
          <w:rFonts w:eastAsia="Times New Roman"/>
        </w:rPr>
        <w:t>kriterije</w:t>
      </w:r>
      <w:r w:rsidR="00FE6D9D">
        <w:rPr>
          <w:rFonts w:eastAsia="Times New Roman"/>
        </w:rPr>
        <w:t xml:space="preserve"> za utvrđivanje konkurentskih uvjeta u geografskim jedinicama te </w:t>
      </w:r>
      <w:r w:rsidR="00FE6D9D" w:rsidRPr="00C54449">
        <w:rPr>
          <w:rFonts w:eastAsia="Times New Roman"/>
        </w:rPr>
        <w:t xml:space="preserve">je razmatrao </w:t>
      </w:r>
      <w:r w:rsidR="00FE6D9D">
        <w:rPr>
          <w:rFonts w:eastAsia="Times New Roman"/>
        </w:rPr>
        <w:t xml:space="preserve">(II) </w:t>
      </w:r>
      <w:r w:rsidR="00FE6D9D" w:rsidRPr="00C54449">
        <w:rPr>
          <w:rFonts w:eastAsia="Times New Roman"/>
        </w:rPr>
        <w:t>mogućnost da se na temelju odabranih kriterija, u određenom razdoblju od donošenja analize, a prije provođenja novog kruga analize ovog tržišta</w:t>
      </w:r>
      <w:r w:rsidR="00FE6D9D">
        <w:rPr>
          <w:rFonts w:eastAsia="Times New Roman"/>
        </w:rPr>
        <w:t xml:space="preserve"> </w:t>
      </w:r>
      <w:r w:rsidR="00FE6D9D" w:rsidRPr="00C54449">
        <w:rPr>
          <w:rFonts w:eastAsia="Times New Roman"/>
        </w:rPr>
        <w:t xml:space="preserve">provjeri </w:t>
      </w:r>
      <w:r>
        <w:rPr>
          <w:rFonts w:eastAsia="Times New Roman"/>
        </w:rPr>
        <w:t>mijenjaju</w:t>
      </w:r>
      <w:r w:rsidRPr="00C54449">
        <w:rPr>
          <w:rFonts w:eastAsia="Times New Roman"/>
        </w:rPr>
        <w:t xml:space="preserve"> </w:t>
      </w:r>
      <w:r w:rsidR="00FE6D9D" w:rsidRPr="00C54449">
        <w:rPr>
          <w:rFonts w:eastAsia="Times New Roman"/>
        </w:rPr>
        <w:t>li na temelju zadanih kriterija neke od geografskih jedinica status pripadanja konkurentnim, odnosno nekonkurentnim područjima.</w:t>
      </w:r>
      <w:r w:rsidR="00FE6D9D">
        <w:rPr>
          <w:rFonts w:eastAsia="Times New Roman"/>
        </w:rPr>
        <w:t xml:space="preserve"> Potonju mogućnost HAKOM je razmatrao iz razloga što, sukladno ZEK-u, nacionalna regulatorna tijela odluku o analizi tržišta trebaju </w:t>
      </w:r>
      <w:proofErr w:type="spellStart"/>
      <w:r w:rsidR="00FE6D9D">
        <w:rPr>
          <w:rFonts w:eastAsia="Times New Roman"/>
        </w:rPr>
        <w:t>notificirati</w:t>
      </w:r>
      <w:proofErr w:type="spellEnd"/>
      <w:r w:rsidR="00FE6D9D">
        <w:rPr>
          <w:rFonts w:eastAsia="Times New Roman"/>
        </w:rPr>
        <w:t xml:space="preserve"> </w:t>
      </w:r>
      <w:r>
        <w:rPr>
          <w:rFonts w:eastAsia="Times New Roman"/>
        </w:rPr>
        <w:t xml:space="preserve">EK </w:t>
      </w:r>
      <w:r w:rsidR="00FE6D9D">
        <w:rPr>
          <w:rFonts w:eastAsia="Times New Roman"/>
        </w:rPr>
        <w:t xml:space="preserve">u roku od pet (5) godina od donošenja prethodne analize, umjesto u roku od tri (3) godine što je bio slučaj dok je na snazi bio </w:t>
      </w:r>
      <w:r w:rsidR="00577128">
        <w:rPr>
          <w:rFonts w:eastAsia="Times New Roman"/>
        </w:rPr>
        <w:t>Zakon o elektroničkim komunikacijama (NN br. 73/08</w:t>
      </w:r>
      <w:r w:rsidR="00577128" w:rsidRPr="00465F70">
        <w:rPr>
          <w:rFonts w:eastAsia="Times New Roman"/>
        </w:rPr>
        <w:t>, 90/11</w:t>
      </w:r>
      <w:r w:rsidR="00577128">
        <w:rPr>
          <w:rFonts w:eastAsia="Times New Roman"/>
        </w:rPr>
        <w:t>, 133/12</w:t>
      </w:r>
      <w:r w:rsidR="00577128" w:rsidRPr="00465F70">
        <w:rPr>
          <w:rFonts w:eastAsia="Times New Roman"/>
        </w:rPr>
        <w:t>, 80/13, 71/14 i 72/17</w:t>
      </w:r>
      <w:r w:rsidR="00577128">
        <w:rPr>
          <w:rFonts w:eastAsia="Times New Roman"/>
        </w:rPr>
        <w:t>; dalje: stari ZEK)</w:t>
      </w:r>
      <w:r w:rsidR="00577128" w:rsidRPr="00DF4062">
        <w:rPr>
          <w:rFonts w:eastAsia="Times New Roman"/>
        </w:rPr>
        <w:t>.</w:t>
      </w:r>
    </w:p>
    <w:p w:rsidR="00FE6D9D" w:rsidRDefault="00FE6D9D" w:rsidP="00FE6D9D">
      <w:pPr>
        <w:jc w:val="both"/>
        <w:rPr>
          <w:rFonts w:eastAsia="Times New Roman"/>
        </w:rPr>
      </w:pPr>
    </w:p>
    <w:p w:rsidR="00FE6D9D" w:rsidRDefault="00FE6D9D" w:rsidP="00FE6D9D">
      <w:pPr>
        <w:jc w:val="both"/>
        <w:rPr>
          <w:rFonts w:eastAsia="Times New Roman"/>
        </w:rPr>
      </w:pPr>
      <w:r w:rsidRPr="002C2FC6">
        <w:rPr>
          <w:rFonts w:eastAsia="Times New Roman"/>
        </w:rPr>
        <w:t>Nadalje, HAKOM je</w:t>
      </w:r>
      <w:r>
        <w:rPr>
          <w:rFonts w:eastAsia="Times New Roman"/>
        </w:rPr>
        <w:t xml:space="preserve"> r</w:t>
      </w:r>
      <w:r w:rsidRPr="002C2FC6">
        <w:rPr>
          <w:rFonts w:eastAsia="Times New Roman"/>
        </w:rPr>
        <w:t>azmatrao i mogućnost da utvrđivanje konkurentskih uvjeta u pojedinim geografskim jedinicama temelji na način da se za odabrane kriterije koriste procijenjene vrijednosti za buduće petogodišnje razdoblje, a ne vrijednosti na temelju zadnjih dostupnih podataka na pojedinom geografskom tržištu, kako bi se uzela u obzir buduća kretanja na tržištu. Međutim, navedena opcija nije odgovarajuća s obzirom da je iznimno teško predvidjeti kretanje tržišnih udjela i ulaganja u mrežu na lokalnoj razini.</w:t>
      </w:r>
      <w:r w:rsidR="00973D5D" w:rsidRPr="00973D5D">
        <w:rPr>
          <w:rFonts w:eastAsia="Times New Roman"/>
        </w:rPr>
        <w:t xml:space="preserve"> Umjesto procjene vrijednosti HAKOM je kod razmatranja kriterija uzeo u obzir postojeće trendove na tržištu i čime ti trendovi načelno mogu rezultirati u periodu koje pokriva ova analiza.</w:t>
      </w:r>
    </w:p>
    <w:p w:rsidR="00012220" w:rsidRDefault="00012220" w:rsidP="00FE6D9D">
      <w:pPr>
        <w:jc w:val="both"/>
        <w:rPr>
          <w:rFonts w:eastAsia="Times New Roman"/>
        </w:rPr>
      </w:pPr>
    </w:p>
    <w:p w:rsidR="00012220" w:rsidRDefault="00012220" w:rsidP="00012220">
      <w:pPr>
        <w:jc w:val="both"/>
      </w:pPr>
      <w:r>
        <w:t xml:space="preserve">Važno je naglasiti da su gore spomenute opcije razmatrane samo za tržište velikog kapaciteta kojem pripadaju VHCN </w:t>
      </w:r>
      <w:r w:rsidRPr="00463BB7">
        <w:t>mreže</w:t>
      </w:r>
      <w:r>
        <w:t xml:space="preserve"> s obzirom na činjenicu da se radi o mrežama koje grade svi operatori na tržištu, odnosno o mrežama za koje postoji infrastrukturna konkurencija te činjenicu da se ne gradi u jednakom opsegu na cijelom teritoriju RH te da postoje razlike u razini tržišnog natjecanja u različitim geografskim područjima. S druge strane, </w:t>
      </w:r>
      <w:r w:rsidRPr="009A1254">
        <w:rPr>
          <w:color w:val="auto"/>
        </w:rPr>
        <w:t xml:space="preserve">na tržištu malog kapaciteta, bakrenu mrežu, koja pripada tom tržištu, ima samo povijesni operator (HT) dok ostali operatori nikad tu mrežu neće graditi. </w:t>
      </w:r>
      <w:r>
        <w:t>Prema tome, zbog karakteristika tržišta malog kapaciteta (jednolika nacionalna rasprostranjenost bakrene mreže u vlasništvu povijesnog operatora i mreža pokretnih komunikacija putem kojih se pružaju alternativne usluge širokopojasnog pristupa malog kapaciteta koje su uključene u dimenziju tržišta), uvjeti tržišnog natjecanja na tom tržištu su dovoljno homogeni na području cijele RH zbog čega nije bilo potrebno raditi detaljnu geografsku analizu.</w:t>
      </w:r>
    </w:p>
    <w:p w:rsidR="00012220" w:rsidRDefault="00012220" w:rsidP="00012220">
      <w:pPr>
        <w:jc w:val="both"/>
        <w:rPr>
          <w:rFonts w:eastAsia="Times New Roman"/>
        </w:rPr>
      </w:pPr>
    </w:p>
    <w:p w:rsidR="00012220" w:rsidRPr="00463BB7" w:rsidRDefault="00012220" w:rsidP="00012220">
      <w:pPr>
        <w:jc w:val="both"/>
        <w:rPr>
          <w:rStyle w:val="IntenseEmphasis"/>
        </w:rPr>
      </w:pPr>
      <w:r w:rsidRPr="00463BB7">
        <w:rPr>
          <w:rStyle w:val="IntenseEmphasis"/>
        </w:rPr>
        <w:t>Kriteriji za utvrđivanje konkurent</w:t>
      </w:r>
      <w:r>
        <w:rPr>
          <w:rStyle w:val="IntenseEmphasis"/>
        </w:rPr>
        <w:t>n</w:t>
      </w:r>
      <w:r w:rsidRPr="00463BB7">
        <w:rPr>
          <w:rStyle w:val="IntenseEmphasis"/>
        </w:rPr>
        <w:t>ih uvjeta u geografskim jedinicama</w:t>
      </w:r>
    </w:p>
    <w:p w:rsidR="00012220" w:rsidRDefault="00012220" w:rsidP="00012220">
      <w:pPr>
        <w:jc w:val="both"/>
        <w:rPr>
          <w:rFonts w:eastAsia="Times New Roman"/>
        </w:rPr>
      </w:pPr>
    </w:p>
    <w:p w:rsidR="00012220" w:rsidRPr="00410331" w:rsidRDefault="00012220" w:rsidP="00012220">
      <w:pPr>
        <w:jc w:val="both"/>
        <w:rPr>
          <w:rFonts w:eastAsia="Times New Roman"/>
        </w:rPr>
      </w:pPr>
      <w:r>
        <w:rPr>
          <w:rFonts w:eastAsia="Times New Roman"/>
        </w:rPr>
        <w:t xml:space="preserve">U </w:t>
      </w:r>
      <w:r w:rsidRPr="00DF4062">
        <w:rPr>
          <w:rFonts w:eastAsia="Times New Roman"/>
        </w:rPr>
        <w:t xml:space="preserve">postupku utvrđivanja homogenih uvjeta tržišnog natjecanja u geografskim jedinicama, </w:t>
      </w:r>
      <w:r w:rsidRPr="00410331">
        <w:rPr>
          <w:rFonts w:eastAsia="Times New Roman"/>
        </w:rPr>
        <w:t xml:space="preserve">HAKOM </w:t>
      </w:r>
      <w:r>
        <w:rPr>
          <w:rFonts w:eastAsia="Times New Roman"/>
        </w:rPr>
        <w:t xml:space="preserve">je </w:t>
      </w:r>
      <w:r w:rsidRPr="00410331">
        <w:rPr>
          <w:rFonts w:eastAsia="Times New Roman"/>
        </w:rPr>
        <w:t>razmatra</w:t>
      </w:r>
      <w:r>
        <w:rPr>
          <w:rFonts w:eastAsia="Times New Roman"/>
        </w:rPr>
        <w:t>o</w:t>
      </w:r>
      <w:r w:rsidRPr="00410331">
        <w:rPr>
          <w:rFonts w:eastAsia="Times New Roman"/>
        </w:rPr>
        <w:t xml:space="preserve"> tri kriterija </w:t>
      </w:r>
      <w:r>
        <w:rPr>
          <w:rFonts w:eastAsia="Times New Roman"/>
        </w:rPr>
        <w:t xml:space="preserve">i dvije opcije za svaki od kriterija, kako je </w:t>
      </w:r>
      <w:r w:rsidRPr="00410331">
        <w:rPr>
          <w:rFonts w:eastAsia="Times New Roman"/>
        </w:rPr>
        <w:t>naveden</w:t>
      </w:r>
      <w:r>
        <w:rPr>
          <w:rFonts w:eastAsia="Times New Roman"/>
        </w:rPr>
        <w:t>o</w:t>
      </w:r>
      <w:r w:rsidRPr="00410331">
        <w:rPr>
          <w:rFonts w:eastAsia="Times New Roman"/>
        </w:rPr>
        <w:t xml:space="preserve"> u tablici niže. </w:t>
      </w:r>
    </w:p>
    <w:p w:rsidR="00012220" w:rsidRPr="00410331" w:rsidRDefault="00012220" w:rsidP="00012220">
      <w:pPr>
        <w:jc w:val="both"/>
        <w:rPr>
          <w:rFonts w:eastAsia="Times New Roman"/>
        </w:rPr>
      </w:pPr>
    </w:p>
    <w:p w:rsidR="00012220" w:rsidRPr="00DF4062" w:rsidRDefault="00012220" w:rsidP="00012220">
      <w:pPr>
        <w:jc w:val="both"/>
        <w:rPr>
          <w:rFonts w:eastAsia="Times New Roman"/>
        </w:rPr>
      </w:pPr>
    </w:p>
    <w:tbl>
      <w:tblPr>
        <w:tblStyle w:val="TableGrid1"/>
        <w:tblpPr w:leftFromText="180" w:rightFromText="180" w:vertAnchor="text" w:horzAnchor="margin" w:tblpXSpec="center" w:tblpY="-180"/>
        <w:tblOverlap w:val="never"/>
        <w:tblW w:w="0" w:type="auto"/>
        <w:tblLayout w:type="fixed"/>
        <w:tblLook w:val="04A0" w:firstRow="1" w:lastRow="0" w:firstColumn="1" w:lastColumn="0" w:noHBand="0" w:noVBand="1"/>
      </w:tblPr>
      <w:tblGrid>
        <w:gridCol w:w="704"/>
        <w:gridCol w:w="3640"/>
        <w:gridCol w:w="3969"/>
      </w:tblGrid>
      <w:tr w:rsidR="00012220" w:rsidRPr="00410331" w:rsidTr="00495E79">
        <w:trPr>
          <w:trHeight w:val="299"/>
        </w:trPr>
        <w:tc>
          <w:tcPr>
            <w:tcW w:w="704" w:type="dxa"/>
          </w:tcPr>
          <w:p w:rsidR="00012220" w:rsidRPr="00410331" w:rsidRDefault="00012220" w:rsidP="00766501">
            <w:pPr>
              <w:numPr>
                <w:ilvl w:val="0"/>
                <w:numId w:val="13"/>
              </w:numPr>
              <w:ind w:left="584" w:hanging="357"/>
              <w:contextualSpacing/>
              <w:jc w:val="center"/>
              <w:rPr>
                <w:rFonts w:ascii="Arial Narrow" w:hAnsi="Arial Narrow"/>
                <w:iCs/>
                <w:color w:val="000000"/>
                <w:sz w:val="20"/>
              </w:rPr>
            </w:pPr>
          </w:p>
        </w:tc>
        <w:tc>
          <w:tcPr>
            <w:tcW w:w="3640" w:type="dxa"/>
            <w:vAlign w:val="center"/>
          </w:tcPr>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broj</w:t>
            </w:r>
            <w:proofErr w:type="spellEnd"/>
            <w:r w:rsidRPr="00410331">
              <w:rPr>
                <w:rFonts w:ascii="Arial Narrow" w:hAnsi="Arial Narrow"/>
                <w:iCs/>
                <w:color w:val="000000"/>
                <w:sz w:val="20"/>
              </w:rPr>
              <w:t xml:space="preserve"> </w:t>
            </w:r>
            <w:r>
              <w:rPr>
                <w:rFonts w:ascii="Arial Narrow" w:hAnsi="Arial Narrow"/>
                <w:iCs/>
                <w:color w:val="000000"/>
                <w:sz w:val="20"/>
              </w:rPr>
              <w:t xml:space="preserve">VHCN </w:t>
            </w:r>
            <w:proofErr w:type="spellStart"/>
            <w:r>
              <w:rPr>
                <w:rFonts w:ascii="Arial Narrow" w:hAnsi="Arial Narrow"/>
                <w:iCs/>
                <w:color w:val="000000"/>
                <w:sz w:val="20"/>
              </w:rPr>
              <w:t>infrastruktura</w:t>
            </w:r>
            <w:proofErr w:type="spellEnd"/>
            <w:r w:rsidRPr="00410331">
              <w:rPr>
                <w:rFonts w:ascii="Arial Narrow" w:hAnsi="Arial Narrow"/>
                <w:iCs/>
                <w:color w:val="000000"/>
                <w:sz w:val="20"/>
              </w:rPr>
              <w:t xml:space="preserve"> </w:t>
            </w:r>
            <w:proofErr w:type="spellStart"/>
            <w:r>
              <w:rPr>
                <w:rFonts w:ascii="Arial Narrow" w:hAnsi="Arial Narrow"/>
                <w:iCs/>
                <w:color w:val="000000"/>
                <w:sz w:val="20"/>
              </w:rPr>
              <w:t>alternativnog</w:t>
            </w:r>
            <w:proofErr w:type="spellEnd"/>
            <w:r>
              <w:rPr>
                <w:rFonts w:ascii="Arial Narrow" w:hAnsi="Arial Narrow"/>
                <w:iCs/>
                <w:color w:val="000000"/>
                <w:sz w:val="20"/>
              </w:rPr>
              <w:t xml:space="preserve"> </w:t>
            </w:r>
            <w:proofErr w:type="spellStart"/>
            <w:r>
              <w:rPr>
                <w:rFonts w:ascii="Arial Narrow" w:hAnsi="Arial Narrow"/>
                <w:iCs/>
                <w:color w:val="000000"/>
                <w:sz w:val="20"/>
              </w:rPr>
              <w:t>operatora</w:t>
            </w:r>
            <w:proofErr w:type="spellEnd"/>
            <w:r>
              <w:rPr>
                <w:rFonts w:ascii="Arial Narrow" w:hAnsi="Arial Narrow"/>
                <w:iCs/>
                <w:color w:val="000000"/>
                <w:sz w:val="20"/>
              </w:rPr>
              <w:t xml:space="preserve"> </w:t>
            </w:r>
            <w:r w:rsidRPr="00410331">
              <w:rPr>
                <w:rFonts w:ascii="Arial Narrow" w:hAnsi="Arial Narrow"/>
                <w:iCs/>
                <w:color w:val="000000"/>
                <w:sz w:val="20"/>
              </w:rPr>
              <w:t xml:space="preserve">u </w:t>
            </w:r>
            <w:proofErr w:type="spellStart"/>
            <w:r w:rsidRPr="00410331">
              <w:rPr>
                <w:rFonts w:ascii="Arial Narrow" w:hAnsi="Arial Narrow"/>
                <w:iCs/>
                <w:color w:val="000000"/>
                <w:sz w:val="20"/>
              </w:rPr>
              <w:t>geografskoj</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jedinici</w:t>
            </w:r>
            <w:proofErr w:type="spellEnd"/>
          </w:p>
        </w:tc>
        <w:tc>
          <w:tcPr>
            <w:tcW w:w="3969" w:type="dxa"/>
          </w:tcPr>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Opcija</w:t>
            </w:r>
            <w:proofErr w:type="spellEnd"/>
            <w:r w:rsidRPr="00410331">
              <w:rPr>
                <w:rFonts w:ascii="Arial Narrow" w:hAnsi="Arial Narrow"/>
                <w:iCs/>
                <w:color w:val="000000"/>
                <w:sz w:val="20"/>
              </w:rPr>
              <w:t xml:space="preserve"> 1: VHCN </w:t>
            </w:r>
            <w:proofErr w:type="spellStart"/>
            <w:r w:rsidRPr="00410331">
              <w:rPr>
                <w:rFonts w:ascii="Arial Narrow" w:hAnsi="Arial Narrow"/>
                <w:iCs/>
                <w:color w:val="000000"/>
                <w:sz w:val="20"/>
              </w:rPr>
              <w:t>infrastruktura</w:t>
            </w:r>
            <w:proofErr w:type="spellEnd"/>
            <w:r>
              <w:rPr>
                <w:rFonts w:ascii="Arial Narrow" w:hAnsi="Arial Narrow"/>
                <w:iCs/>
                <w:color w:val="000000"/>
                <w:sz w:val="20"/>
              </w:rPr>
              <w:t xml:space="preserve"> </w:t>
            </w:r>
            <w:proofErr w:type="spellStart"/>
            <w:r>
              <w:rPr>
                <w:rFonts w:ascii="Arial Narrow" w:hAnsi="Arial Narrow"/>
                <w:iCs/>
                <w:color w:val="000000"/>
                <w:sz w:val="20"/>
              </w:rPr>
              <w:t>jednog</w:t>
            </w:r>
            <w:proofErr w:type="spellEnd"/>
            <w:r>
              <w:rPr>
                <w:rFonts w:ascii="Arial Narrow" w:hAnsi="Arial Narrow"/>
                <w:iCs/>
                <w:color w:val="000000"/>
                <w:sz w:val="20"/>
              </w:rPr>
              <w:t xml:space="preserve"> </w:t>
            </w:r>
            <w:proofErr w:type="spellStart"/>
            <w:r>
              <w:rPr>
                <w:rFonts w:ascii="Arial Narrow" w:hAnsi="Arial Narrow"/>
                <w:iCs/>
                <w:color w:val="000000"/>
                <w:sz w:val="20"/>
              </w:rPr>
              <w:t>alternativnog</w:t>
            </w:r>
            <w:proofErr w:type="spellEnd"/>
            <w:r>
              <w:rPr>
                <w:rFonts w:ascii="Arial Narrow" w:hAnsi="Arial Narrow"/>
                <w:iCs/>
                <w:color w:val="000000"/>
                <w:sz w:val="20"/>
              </w:rPr>
              <w:t xml:space="preserve"> </w:t>
            </w:r>
            <w:proofErr w:type="spellStart"/>
            <w:r>
              <w:rPr>
                <w:rFonts w:ascii="Arial Narrow" w:hAnsi="Arial Narrow"/>
                <w:iCs/>
                <w:color w:val="000000"/>
                <w:sz w:val="20"/>
              </w:rPr>
              <w:t>operatora</w:t>
            </w:r>
            <w:proofErr w:type="spellEnd"/>
          </w:p>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Opcija</w:t>
            </w:r>
            <w:proofErr w:type="spellEnd"/>
            <w:r w:rsidRPr="00410331">
              <w:rPr>
                <w:rFonts w:ascii="Arial Narrow" w:hAnsi="Arial Narrow"/>
                <w:iCs/>
                <w:color w:val="000000"/>
                <w:sz w:val="20"/>
              </w:rPr>
              <w:t xml:space="preserve"> 2:  VHCN </w:t>
            </w:r>
            <w:proofErr w:type="spellStart"/>
            <w:r w:rsidRPr="00410331">
              <w:rPr>
                <w:rFonts w:ascii="Arial Narrow" w:hAnsi="Arial Narrow"/>
                <w:iCs/>
                <w:color w:val="000000"/>
                <w:sz w:val="20"/>
              </w:rPr>
              <w:t>infrastruktur</w:t>
            </w:r>
            <w:r>
              <w:rPr>
                <w:rFonts w:ascii="Arial Narrow" w:hAnsi="Arial Narrow"/>
                <w:iCs/>
                <w:color w:val="000000"/>
                <w:sz w:val="20"/>
              </w:rPr>
              <w:t>e</w:t>
            </w:r>
            <w:proofErr w:type="spellEnd"/>
            <w:r>
              <w:rPr>
                <w:rFonts w:ascii="Arial Narrow" w:hAnsi="Arial Narrow"/>
                <w:iCs/>
                <w:color w:val="000000"/>
                <w:sz w:val="20"/>
              </w:rPr>
              <w:t xml:space="preserve"> </w:t>
            </w:r>
            <w:proofErr w:type="spellStart"/>
            <w:r w:rsidRPr="00410331">
              <w:rPr>
                <w:rFonts w:ascii="Arial Narrow" w:hAnsi="Arial Narrow"/>
                <w:iCs/>
                <w:color w:val="000000"/>
                <w:sz w:val="20"/>
              </w:rPr>
              <w:t>dv</w:t>
            </w:r>
            <w:r>
              <w:rPr>
                <w:rFonts w:ascii="Arial Narrow" w:hAnsi="Arial Narrow"/>
                <w:iCs/>
                <w:color w:val="000000"/>
                <w:sz w:val="20"/>
              </w:rPr>
              <w:t>a</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ili</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više</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alternativnih</w:t>
            </w:r>
            <w:proofErr w:type="spellEnd"/>
            <w:r w:rsidRPr="00410331">
              <w:rPr>
                <w:rFonts w:ascii="Arial Narrow" w:hAnsi="Arial Narrow"/>
                <w:iCs/>
                <w:color w:val="000000"/>
                <w:sz w:val="20"/>
              </w:rPr>
              <w:t xml:space="preserve"> </w:t>
            </w:r>
            <w:proofErr w:type="spellStart"/>
            <w:r>
              <w:rPr>
                <w:rFonts w:ascii="Arial Narrow" w:hAnsi="Arial Narrow"/>
                <w:iCs/>
                <w:color w:val="000000"/>
                <w:sz w:val="20"/>
              </w:rPr>
              <w:t>operatora</w:t>
            </w:r>
            <w:proofErr w:type="spellEnd"/>
          </w:p>
        </w:tc>
      </w:tr>
      <w:tr w:rsidR="00012220" w:rsidRPr="00410331" w:rsidTr="00495E79">
        <w:tc>
          <w:tcPr>
            <w:tcW w:w="704" w:type="dxa"/>
          </w:tcPr>
          <w:p w:rsidR="00012220" w:rsidRPr="00410331" w:rsidRDefault="00012220" w:rsidP="00766501">
            <w:pPr>
              <w:numPr>
                <w:ilvl w:val="0"/>
                <w:numId w:val="13"/>
              </w:numPr>
              <w:ind w:left="584" w:hanging="357"/>
              <w:contextualSpacing/>
              <w:jc w:val="center"/>
              <w:rPr>
                <w:rFonts w:ascii="Arial Narrow" w:hAnsi="Arial Narrow"/>
                <w:iCs/>
                <w:color w:val="000000"/>
                <w:sz w:val="20"/>
              </w:rPr>
            </w:pPr>
          </w:p>
        </w:tc>
        <w:tc>
          <w:tcPr>
            <w:tcW w:w="3640" w:type="dxa"/>
            <w:vAlign w:val="center"/>
          </w:tcPr>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pojedinačna</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pokrivenost</w:t>
            </w:r>
            <w:proofErr w:type="spellEnd"/>
            <w:r w:rsidRPr="00410331">
              <w:rPr>
                <w:rFonts w:ascii="Arial Narrow" w:hAnsi="Arial Narrow"/>
                <w:iCs/>
                <w:color w:val="000000"/>
                <w:sz w:val="20"/>
              </w:rPr>
              <w:t xml:space="preserve"> VHCN </w:t>
            </w:r>
            <w:proofErr w:type="spellStart"/>
            <w:r w:rsidRPr="00410331">
              <w:rPr>
                <w:rFonts w:ascii="Arial Narrow" w:hAnsi="Arial Narrow"/>
                <w:iCs/>
                <w:color w:val="000000"/>
                <w:sz w:val="20"/>
              </w:rPr>
              <w:t>infrastrukture</w:t>
            </w:r>
            <w:proofErr w:type="spellEnd"/>
            <w:r w:rsidRPr="00410331">
              <w:rPr>
                <w:rFonts w:ascii="Arial Narrow" w:hAnsi="Arial Narrow"/>
                <w:iCs/>
                <w:color w:val="000000"/>
                <w:sz w:val="20"/>
              </w:rPr>
              <w:t xml:space="preserve"> </w:t>
            </w:r>
            <w:proofErr w:type="spellStart"/>
            <w:r>
              <w:rPr>
                <w:rFonts w:ascii="Arial Narrow" w:hAnsi="Arial Narrow"/>
                <w:iCs/>
                <w:color w:val="000000"/>
                <w:sz w:val="20"/>
              </w:rPr>
              <w:t>alternativnog</w:t>
            </w:r>
            <w:proofErr w:type="spellEnd"/>
            <w:r>
              <w:rPr>
                <w:rFonts w:ascii="Arial Narrow" w:hAnsi="Arial Narrow"/>
                <w:iCs/>
                <w:color w:val="000000"/>
                <w:sz w:val="20"/>
              </w:rPr>
              <w:t xml:space="preserve"> </w:t>
            </w:r>
            <w:proofErr w:type="spellStart"/>
            <w:r>
              <w:rPr>
                <w:rFonts w:ascii="Arial Narrow" w:hAnsi="Arial Narrow"/>
                <w:iCs/>
                <w:color w:val="000000"/>
                <w:sz w:val="20"/>
              </w:rPr>
              <w:t>operatora</w:t>
            </w:r>
            <w:proofErr w:type="spellEnd"/>
            <w:r>
              <w:rPr>
                <w:rFonts w:ascii="Arial Narrow" w:hAnsi="Arial Narrow"/>
                <w:iCs/>
                <w:color w:val="000000"/>
                <w:sz w:val="20"/>
              </w:rPr>
              <w:t xml:space="preserve"> </w:t>
            </w:r>
            <w:proofErr w:type="spellStart"/>
            <w:r w:rsidRPr="00410331">
              <w:rPr>
                <w:rFonts w:ascii="Arial Narrow" w:hAnsi="Arial Narrow"/>
                <w:iCs/>
                <w:color w:val="000000"/>
                <w:sz w:val="20"/>
              </w:rPr>
              <w:t>iz</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točke</w:t>
            </w:r>
            <w:proofErr w:type="spellEnd"/>
            <w:r w:rsidRPr="00410331">
              <w:rPr>
                <w:rFonts w:ascii="Arial Narrow" w:hAnsi="Arial Narrow"/>
                <w:iCs/>
                <w:color w:val="000000"/>
                <w:sz w:val="20"/>
              </w:rPr>
              <w:t xml:space="preserve"> 1 (</w:t>
            </w:r>
            <w:proofErr w:type="spellStart"/>
            <w:r w:rsidRPr="00410331">
              <w:rPr>
                <w:rFonts w:ascii="Arial Narrow" w:hAnsi="Arial Narrow"/>
                <w:iCs/>
                <w:color w:val="000000"/>
                <w:sz w:val="20"/>
              </w:rPr>
              <w:t>udio</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pokrivenih</w:t>
            </w:r>
            <w:proofErr w:type="spellEnd"/>
            <w:r w:rsidRPr="00410331">
              <w:rPr>
                <w:rFonts w:ascii="Arial Narrow" w:hAnsi="Arial Narrow"/>
                <w:iCs/>
                <w:color w:val="000000"/>
                <w:sz w:val="20"/>
              </w:rPr>
              <w:t xml:space="preserve"> </w:t>
            </w:r>
            <w:proofErr w:type="spellStart"/>
            <w:r>
              <w:rPr>
                <w:rFonts w:ascii="Arial Narrow" w:hAnsi="Arial Narrow"/>
                <w:iCs/>
                <w:color w:val="000000"/>
                <w:sz w:val="20"/>
              </w:rPr>
              <w:t>korisničkih</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jedinica</w:t>
            </w:r>
            <w:proofErr w:type="spellEnd"/>
            <w:r w:rsidRPr="00410331">
              <w:rPr>
                <w:rFonts w:ascii="Arial Narrow" w:hAnsi="Arial Narrow"/>
                <w:iCs/>
                <w:color w:val="000000"/>
                <w:sz w:val="20"/>
              </w:rPr>
              <w:t xml:space="preserve"> u </w:t>
            </w:r>
            <w:proofErr w:type="spellStart"/>
            <w:r w:rsidRPr="00410331">
              <w:rPr>
                <w:rFonts w:ascii="Arial Narrow" w:hAnsi="Arial Narrow"/>
                <w:iCs/>
                <w:color w:val="000000"/>
                <w:sz w:val="20"/>
              </w:rPr>
              <w:t>geografskoj</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jedinici</w:t>
            </w:r>
            <w:proofErr w:type="spellEnd"/>
            <w:r w:rsidRPr="00410331">
              <w:rPr>
                <w:rFonts w:ascii="Arial Narrow" w:hAnsi="Arial Narrow"/>
                <w:iCs/>
                <w:color w:val="000000"/>
                <w:sz w:val="20"/>
              </w:rPr>
              <w:t>)</w:t>
            </w:r>
          </w:p>
        </w:tc>
        <w:tc>
          <w:tcPr>
            <w:tcW w:w="3969" w:type="dxa"/>
          </w:tcPr>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Opcija</w:t>
            </w:r>
            <w:proofErr w:type="spellEnd"/>
            <w:r w:rsidRPr="00410331">
              <w:rPr>
                <w:rFonts w:ascii="Arial Narrow" w:hAnsi="Arial Narrow"/>
                <w:iCs/>
                <w:color w:val="000000"/>
                <w:sz w:val="20"/>
              </w:rPr>
              <w:t xml:space="preserve"> 1: </w:t>
            </w:r>
            <w:proofErr w:type="spellStart"/>
            <w:r w:rsidRPr="00410331">
              <w:rPr>
                <w:rFonts w:ascii="Arial Narrow" w:hAnsi="Arial Narrow"/>
                <w:iCs/>
                <w:color w:val="000000"/>
                <w:sz w:val="20"/>
              </w:rPr>
              <w:t>najmanje</w:t>
            </w:r>
            <w:proofErr w:type="spellEnd"/>
            <w:r w:rsidRPr="00410331">
              <w:rPr>
                <w:rFonts w:ascii="Arial Narrow" w:hAnsi="Arial Narrow"/>
                <w:iCs/>
                <w:color w:val="000000"/>
                <w:sz w:val="20"/>
              </w:rPr>
              <w:t xml:space="preserve"> 25 </w:t>
            </w:r>
            <w:proofErr w:type="spellStart"/>
            <w:r w:rsidRPr="00410331">
              <w:rPr>
                <w:rFonts w:ascii="Arial Narrow" w:hAnsi="Arial Narrow"/>
                <w:iCs/>
                <w:color w:val="000000"/>
                <w:sz w:val="20"/>
              </w:rPr>
              <w:t>posto</w:t>
            </w:r>
            <w:proofErr w:type="spellEnd"/>
          </w:p>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Opcija</w:t>
            </w:r>
            <w:proofErr w:type="spellEnd"/>
            <w:r w:rsidRPr="00410331">
              <w:rPr>
                <w:rFonts w:ascii="Arial Narrow" w:hAnsi="Arial Narrow"/>
                <w:iCs/>
                <w:color w:val="000000"/>
                <w:sz w:val="20"/>
              </w:rPr>
              <w:t xml:space="preserve"> 2: </w:t>
            </w:r>
            <w:proofErr w:type="spellStart"/>
            <w:r w:rsidRPr="00410331">
              <w:rPr>
                <w:rFonts w:ascii="Arial Narrow" w:hAnsi="Arial Narrow"/>
                <w:iCs/>
                <w:color w:val="000000"/>
                <w:sz w:val="20"/>
              </w:rPr>
              <w:t>najmanje</w:t>
            </w:r>
            <w:proofErr w:type="spellEnd"/>
            <w:r w:rsidRPr="00410331">
              <w:rPr>
                <w:rFonts w:ascii="Arial Narrow" w:hAnsi="Arial Narrow"/>
                <w:iCs/>
                <w:color w:val="000000"/>
                <w:sz w:val="20"/>
              </w:rPr>
              <w:t xml:space="preserve"> 33 </w:t>
            </w:r>
            <w:proofErr w:type="spellStart"/>
            <w:r w:rsidRPr="00410331">
              <w:rPr>
                <w:rFonts w:ascii="Arial Narrow" w:hAnsi="Arial Narrow"/>
                <w:iCs/>
                <w:color w:val="000000"/>
                <w:sz w:val="20"/>
              </w:rPr>
              <w:t>posto</w:t>
            </w:r>
            <w:proofErr w:type="spellEnd"/>
          </w:p>
        </w:tc>
      </w:tr>
      <w:tr w:rsidR="00012220" w:rsidRPr="00410331" w:rsidTr="00495E79">
        <w:trPr>
          <w:trHeight w:val="579"/>
        </w:trPr>
        <w:tc>
          <w:tcPr>
            <w:tcW w:w="704" w:type="dxa"/>
          </w:tcPr>
          <w:p w:rsidR="00012220" w:rsidRPr="00410331" w:rsidRDefault="00012220" w:rsidP="00766501">
            <w:pPr>
              <w:numPr>
                <w:ilvl w:val="0"/>
                <w:numId w:val="13"/>
              </w:numPr>
              <w:ind w:left="584" w:hanging="357"/>
              <w:contextualSpacing/>
              <w:jc w:val="center"/>
              <w:rPr>
                <w:rFonts w:ascii="Arial Narrow" w:hAnsi="Arial Narrow"/>
                <w:iCs/>
                <w:color w:val="000000"/>
                <w:sz w:val="20"/>
              </w:rPr>
            </w:pPr>
          </w:p>
        </w:tc>
        <w:tc>
          <w:tcPr>
            <w:tcW w:w="3640" w:type="dxa"/>
            <w:vAlign w:val="center"/>
          </w:tcPr>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tržišni</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udio</w:t>
            </w:r>
            <w:proofErr w:type="spellEnd"/>
            <w:r w:rsidRPr="00410331">
              <w:rPr>
                <w:rFonts w:ascii="Arial Narrow" w:hAnsi="Arial Narrow"/>
                <w:iCs/>
                <w:color w:val="000000"/>
                <w:sz w:val="20"/>
              </w:rPr>
              <w:t xml:space="preserve"> HT </w:t>
            </w:r>
            <w:proofErr w:type="spellStart"/>
            <w:r w:rsidRPr="00410331">
              <w:rPr>
                <w:rFonts w:ascii="Arial Narrow" w:hAnsi="Arial Narrow"/>
                <w:iCs/>
                <w:color w:val="000000"/>
                <w:sz w:val="20"/>
              </w:rPr>
              <w:t>Grupe</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na</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maloprodajnoj</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razini</w:t>
            </w:r>
            <w:proofErr w:type="spellEnd"/>
            <w:r w:rsidRPr="00410331">
              <w:rPr>
                <w:rFonts w:ascii="Arial Narrow" w:hAnsi="Arial Narrow"/>
                <w:iCs/>
                <w:color w:val="000000"/>
                <w:sz w:val="20"/>
              </w:rPr>
              <w:t xml:space="preserve"> u </w:t>
            </w:r>
            <w:proofErr w:type="spellStart"/>
            <w:r w:rsidRPr="00410331">
              <w:rPr>
                <w:rFonts w:ascii="Arial Narrow" w:hAnsi="Arial Narrow"/>
                <w:iCs/>
                <w:color w:val="000000"/>
                <w:sz w:val="20"/>
              </w:rPr>
              <w:t>geografskoj</w:t>
            </w:r>
            <w:proofErr w:type="spellEnd"/>
            <w:r w:rsidRPr="00410331">
              <w:rPr>
                <w:rFonts w:ascii="Arial Narrow" w:hAnsi="Arial Narrow"/>
                <w:iCs/>
                <w:color w:val="000000"/>
                <w:sz w:val="20"/>
              </w:rPr>
              <w:t xml:space="preserve"> </w:t>
            </w:r>
            <w:proofErr w:type="spellStart"/>
            <w:r w:rsidRPr="00410331">
              <w:rPr>
                <w:rFonts w:ascii="Arial Narrow" w:hAnsi="Arial Narrow"/>
                <w:iCs/>
                <w:color w:val="000000"/>
                <w:sz w:val="20"/>
              </w:rPr>
              <w:t>jedinici</w:t>
            </w:r>
            <w:proofErr w:type="spellEnd"/>
            <w:r w:rsidRPr="00410331">
              <w:rPr>
                <w:rFonts w:ascii="Arial Narrow" w:hAnsi="Arial Narrow"/>
                <w:iCs/>
                <w:color w:val="000000"/>
                <w:sz w:val="20"/>
              </w:rPr>
              <w:t xml:space="preserve"> </w:t>
            </w:r>
          </w:p>
        </w:tc>
        <w:tc>
          <w:tcPr>
            <w:tcW w:w="3969" w:type="dxa"/>
          </w:tcPr>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Opcija</w:t>
            </w:r>
            <w:proofErr w:type="spellEnd"/>
            <w:r w:rsidRPr="00410331">
              <w:rPr>
                <w:rFonts w:ascii="Arial Narrow" w:hAnsi="Arial Narrow"/>
                <w:iCs/>
                <w:color w:val="000000"/>
                <w:sz w:val="20"/>
              </w:rPr>
              <w:t xml:space="preserve"> 1: </w:t>
            </w:r>
            <w:proofErr w:type="spellStart"/>
            <w:r w:rsidRPr="00410331">
              <w:rPr>
                <w:rFonts w:ascii="Arial Narrow" w:hAnsi="Arial Narrow"/>
                <w:iCs/>
                <w:color w:val="000000"/>
                <w:sz w:val="20"/>
              </w:rPr>
              <w:t>manji</w:t>
            </w:r>
            <w:proofErr w:type="spellEnd"/>
            <w:r w:rsidRPr="00410331">
              <w:rPr>
                <w:rFonts w:ascii="Arial Narrow" w:hAnsi="Arial Narrow"/>
                <w:iCs/>
                <w:color w:val="000000"/>
                <w:sz w:val="20"/>
              </w:rPr>
              <w:t xml:space="preserve"> od 40 </w:t>
            </w:r>
            <w:proofErr w:type="spellStart"/>
            <w:r w:rsidRPr="00410331">
              <w:rPr>
                <w:rFonts w:ascii="Arial Narrow" w:hAnsi="Arial Narrow"/>
                <w:iCs/>
                <w:color w:val="000000"/>
                <w:sz w:val="20"/>
              </w:rPr>
              <w:t>posto</w:t>
            </w:r>
            <w:proofErr w:type="spellEnd"/>
          </w:p>
          <w:p w:rsidR="00012220" w:rsidRPr="00410331" w:rsidRDefault="00012220" w:rsidP="00495E79">
            <w:pPr>
              <w:rPr>
                <w:rFonts w:ascii="Arial Narrow" w:hAnsi="Arial Narrow"/>
                <w:iCs/>
                <w:color w:val="000000"/>
                <w:sz w:val="20"/>
              </w:rPr>
            </w:pPr>
            <w:proofErr w:type="spellStart"/>
            <w:r w:rsidRPr="00410331">
              <w:rPr>
                <w:rFonts w:ascii="Arial Narrow" w:hAnsi="Arial Narrow"/>
                <w:iCs/>
                <w:color w:val="000000"/>
                <w:sz w:val="20"/>
              </w:rPr>
              <w:t>Opcija</w:t>
            </w:r>
            <w:proofErr w:type="spellEnd"/>
            <w:r w:rsidRPr="00410331">
              <w:rPr>
                <w:rFonts w:ascii="Arial Narrow" w:hAnsi="Arial Narrow"/>
                <w:iCs/>
                <w:color w:val="000000"/>
                <w:sz w:val="20"/>
              </w:rPr>
              <w:t xml:space="preserve"> 2: </w:t>
            </w:r>
            <w:proofErr w:type="spellStart"/>
            <w:r w:rsidRPr="00410331">
              <w:rPr>
                <w:rFonts w:ascii="Arial Narrow" w:hAnsi="Arial Narrow"/>
                <w:iCs/>
                <w:color w:val="000000"/>
                <w:sz w:val="20"/>
              </w:rPr>
              <w:t>manji</w:t>
            </w:r>
            <w:proofErr w:type="spellEnd"/>
            <w:r w:rsidRPr="00410331">
              <w:rPr>
                <w:rFonts w:ascii="Arial Narrow" w:hAnsi="Arial Narrow"/>
                <w:iCs/>
                <w:color w:val="000000"/>
                <w:sz w:val="20"/>
              </w:rPr>
              <w:t xml:space="preserve"> od 50 </w:t>
            </w:r>
            <w:proofErr w:type="spellStart"/>
            <w:r w:rsidRPr="00410331">
              <w:rPr>
                <w:rFonts w:ascii="Arial Narrow" w:hAnsi="Arial Narrow"/>
                <w:iCs/>
                <w:color w:val="000000"/>
                <w:sz w:val="20"/>
              </w:rPr>
              <w:t>posto</w:t>
            </w:r>
            <w:proofErr w:type="spellEnd"/>
          </w:p>
        </w:tc>
      </w:tr>
    </w:tbl>
    <w:p w:rsidR="00012220" w:rsidRPr="00410331" w:rsidRDefault="00012220" w:rsidP="00012220">
      <w:pPr>
        <w:jc w:val="both"/>
        <w:rPr>
          <w:rFonts w:eastAsia="Times New Roman"/>
        </w:rPr>
      </w:pPr>
      <w:r w:rsidRPr="0016239C">
        <w:rPr>
          <w:rFonts w:eastAsia="Times New Roman"/>
        </w:rPr>
        <w:t xml:space="preserve">Sukladno </w:t>
      </w:r>
      <w:r w:rsidRPr="00463BB7">
        <w:rPr>
          <w:rFonts w:eastAsia="Times New Roman"/>
        </w:rPr>
        <w:t xml:space="preserve">dosadašnjoj </w:t>
      </w:r>
      <w:r w:rsidRPr="0016239C">
        <w:rPr>
          <w:rFonts w:eastAsia="Times New Roman"/>
        </w:rPr>
        <w:t>praksi europskih regulatornih tijela</w:t>
      </w:r>
      <w:r w:rsidRPr="00410331">
        <w:rPr>
          <w:rFonts w:eastAsia="Times New Roman"/>
        </w:rPr>
        <w:t>, jedan od kriterija za deregulaciju geografskog područja je da uz povijesnog operatora postoje infrastrukture</w:t>
      </w:r>
      <w:r>
        <w:rPr>
          <w:rFonts w:eastAsia="Times New Roman"/>
        </w:rPr>
        <w:t xml:space="preserve"> najmanje dva alternativna operatora</w:t>
      </w:r>
      <w:r w:rsidRPr="00410331">
        <w:rPr>
          <w:rFonts w:eastAsia="Times New Roman"/>
        </w:rPr>
        <w:t xml:space="preserve">. S obzirom na veličinu geografskih područja i broja operatora u RH, kao i potencijalnog broja krajnjih korisnika s obzirom na broj stanovnika u RH, uzevši u obzir ekonomsku isplativost ulaganja, HAKOM je razmatrao i mogućnost postojanja infrastrukture </w:t>
      </w:r>
      <w:r>
        <w:rPr>
          <w:rFonts w:eastAsia="Times New Roman"/>
        </w:rPr>
        <w:t xml:space="preserve">jednog alternativnog operatora </w:t>
      </w:r>
      <w:r w:rsidRPr="00410331">
        <w:rPr>
          <w:rFonts w:eastAsia="Times New Roman"/>
        </w:rPr>
        <w:t>kao kriterija za deregulaciju.</w:t>
      </w:r>
    </w:p>
    <w:p w:rsidR="00012220" w:rsidRPr="00410331" w:rsidRDefault="00012220" w:rsidP="00012220">
      <w:pPr>
        <w:jc w:val="both"/>
        <w:rPr>
          <w:rFonts w:eastAsia="Times New Roman"/>
        </w:rPr>
      </w:pPr>
    </w:p>
    <w:p w:rsidR="00973D5D" w:rsidRDefault="00012220" w:rsidP="00012220">
      <w:pPr>
        <w:jc w:val="both"/>
        <w:rPr>
          <w:rFonts w:eastAsia="Times New Roman"/>
        </w:rPr>
      </w:pPr>
      <w:r w:rsidRPr="00410331">
        <w:rPr>
          <w:rFonts w:eastAsia="Times New Roman"/>
        </w:rPr>
        <w:t xml:space="preserve">HAKOM je kod drugog kriterija razmatrao isključivo opcije minimalne pokrivenosti od 25 posto (1/4) pojedinog područja i 33 posto (1/3) pojedinog područja iz sljedećih razloga. </w:t>
      </w:r>
      <w:r w:rsidR="00973D5D">
        <w:rPr>
          <w:rFonts w:eastAsia="Times New Roman"/>
        </w:rPr>
        <w:t>P</w:t>
      </w:r>
      <w:r w:rsidRPr="00410331">
        <w:rPr>
          <w:rFonts w:eastAsia="Times New Roman"/>
        </w:rPr>
        <w:t>okrivenost manj</w:t>
      </w:r>
      <w:r w:rsidR="00973D5D">
        <w:rPr>
          <w:rFonts w:eastAsia="Times New Roman"/>
        </w:rPr>
        <w:t>a</w:t>
      </w:r>
      <w:r w:rsidRPr="00410331">
        <w:rPr>
          <w:rFonts w:eastAsia="Times New Roman"/>
        </w:rPr>
        <w:t xml:space="preserve"> od 1/4 pojedinog područja odnosno pokrivenost </w:t>
      </w:r>
      <w:r w:rsidR="00973D5D">
        <w:rPr>
          <w:rFonts w:eastAsia="Times New Roman"/>
        </w:rPr>
        <w:t xml:space="preserve">manja od </w:t>
      </w:r>
      <w:r w:rsidRPr="00410331">
        <w:rPr>
          <w:rFonts w:eastAsia="Times New Roman"/>
        </w:rPr>
        <w:t>2</w:t>
      </w:r>
      <w:r w:rsidR="00973D5D">
        <w:rPr>
          <w:rFonts w:eastAsia="Times New Roman"/>
        </w:rPr>
        <w:t xml:space="preserve">5 </w:t>
      </w:r>
      <w:r w:rsidRPr="00410331">
        <w:rPr>
          <w:rFonts w:eastAsia="Times New Roman"/>
        </w:rPr>
        <w:t xml:space="preserve">posto pojedinog područja </w:t>
      </w:r>
      <w:r w:rsidR="00973D5D">
        <w:rPr>
          <w:rFonts w:eastAsia="Times New Roman"/>
        </w:rPr>
        <w:t xml:space="preserve">nije razmatrana </w:t>
      </w:r>
      <w:r w:rsidRPr="00410331">
        <w:rPr>
          <w:rFonts w:eastAsia="Times New Roman"/>
        </w:rPr>
        <w:t xml:space="preserve">iz razloga što takva pokrivenost, u slučaju deregulacije takvog područja, može ugroziti daljnji razvoj djelotvornog tržišnog natjecanja kao i daljnja ulaganja u VHCN mreže od strane </w:t>
      </w:r>
      <w:r w:rsidR="00973D5D">
        <w:rPr>
          <w:rFonts w:eastAsia="Times New Roman"/>
        </w:rPr>
        <w:t>alternativnih operatora</w:t>
      </w:r>
      <w:r w:rsidRPr="00410331">
        <w:rPr>
          <w:rFonts w:eastAsia="Times New Roman"/>
        </w:rPr>
        <w:t>. Naime, po mišljenju HAKOM-a</w:t>
      </w:r>
      <w:r w:rsidR="00973D5D">
        <w:rPr>
          <w:rFonts w:eastAsia="Times New Roman"/>
        </w:rPr>
        <w:t xml:space="preserve"> pokrivenost područja manja od 25 posto </w:t>
      </w:r>
      <w:r w:rsidRPr="00410331">
        <w:rPr>
          <w:rFonts w:eastAsia="Times New Roman"/>
        </w:rPr>
        <w:t xml:space="preserve"> </w:t>
      </w:r>
      <w:r w:rsidR="00973D5D" w:rsidRPr="00973D5D">
        <w:rPr>
          <w:rFonts w:eastAsia="Times New Roman"/>
        </w:rPr>
        <w:t xml:space="preserve">je pokazatelj da to područje još uvijek nije dovoljno pokriveno VHCN mrežom alternativnog operatora te da bi </w:t>
      </w:r>
      <w:r w:rsidRPr="00410331">
        <w:rPr>
          <w:rFonts w:eastAsia="Times New Roman"/>
        </w:rPr>
        <w:t>HT, kao povijesni operator</w:t>
      </w:r>
      <w:r w:rsidR="00973D5D" w:rsidRPr="00973D5D">
        <w:rPr>
          <w:rFonts w:eastAsia="Times New Roman"/>
        </w:rPr>
        <w:t xml:space="preserve"> s puno većim investicijskim potencijalom</w:t>
      </w:r>
      <w:r w:rsidR="00973D5D">
        <w:rPr>
          <w:rFonts w:eastAsia="Times New Roman"/>
        </w:rPr>
        <w:t>,</w:t>
      </w:r>
      <w:r w:rsidR="00973D5D" w:rsidRPr="00973D5D">
        <w:rPr>
          <w:rFonts w:eastAsia="Times New Roman"/>
        </w:rPr>
        <w:t xml:space="preserve"> u slučaju deregulacije</w:t>
      </w:r>
      <w:r w:rsidRPr="00410331">
        <w:rPr>
          <w:rFonts w:eastAsia="Times New Roman"/>
        </w:rPr>
        <w:t>, mogao</w:t>
      </w:r>
      <w:r w:rsidR="00973D5D" w:rsidRPr="00973D5D">
        <w:rPr>
          <w:rFonts w:eastAsia="Times New Roman"/>
        </w:rPr>
        <w:t xml:space="preserve"> ugroziti već postojeće ulaganje</w:t>
      </w:r>
      <w:r w:rsidRPr="00410331">
        <w:rPr>
          <w:rFonts w:eastAsia="Times New Roman"/>
        </w:rPr>
        <w:t xml:space="preserve"> takvog alternativnog operatora </w:t>
      </w:r>
      <w:r w:rsidR="00973D5D">
        <w:rPr>
          <w:rFonts w:eastAsia="Times New Roman"/>
        </w:rPr>
        <w:t xml:space="preserve">te ga </w:t>
      </w:r>
      <w:r w:rsidRPr="00410331">
        <w:rPr>
          <w:rFonts w:eastAsia="Times New Roman"/>
        </w:rPr>
        <w:t xml:space="preserve">istisnuti s tržišta. </w:t>
      </w:r>
      <w:r w:rsidR="00973D5D" w:rsidRPr="00973D5D">
        <w:rPr>
          <w:rFonts w:eastAsia="Times New Roman"/>
        </w:rPr>
        <w:t xml:space="preserve">U tom kontekstu je potrebno istaknuti da su prema podacima s kojima HAKOM raspolaže, pokrivanja područja do 25 posto pokrivenosti VHCN mrežom alternativnog operatora su rezultat nedavnih ulaganja u gradnje VHCN mreža koja su još uvijek u tijeku i gdje mreže još nisu dovoljno </w:t>
      </w:r>
      <w:proofErr w:type="spellStart"/>
      <w:r w:rsidR="00973D5D" w:rsidRPr="00973D5D">
        <w:rPr>
          <w:rFonts w:eastAsia="Times New Roman"/>
        </w:rPr>
        <w:t>utilizirane</w:t>
      </w:r>
      <w:proofErr w:type="spellEnd"/>
      <w:r w:rsidR="00973D5D" w:rsidRPr="00973D5D">
        <w:rPr>
          <w:rFonts w:eastAsia="Times New Roman"/>
        </w:rPr>
        <w:t>.</w:t>
      </w:r>
      <w:r w:rsidR="00973D5D">
        <w:rPr>
          <w:rFonts w:eastAsia="Times New Roman"/>
        </w:rPr>
        <w:t xml:space="preserve"> </w:t>
      </w:r>
      <w:r w:rsidRPr="00410331">
        <w:rPr>
          <w:rFonts w:eastAsia="Times New Roman"/>
        </w:rPr>
        <w:t>Drugim riječima, HAKOM kod ove opcije ne vidi prednosti, već isključivo rizike za tržiš</w:t>
      </w:r>
      <w:r>
        <w:rPr>
          <w:rFonts w:eastAsia="Times New Roman"/>
        </w:rPr>
        <w:t>te radi čega</w:t>
      </w:r>
      <w:r w:rsidRPr="00410331">
        <w:rPr>
          <w:rFonts w:eastAsia="Times New Roman"/>
        </w:rPr>
        <w:t xml:space="preserve"> ova opcija nije niti razmatrana. </w:t>
      </w:r>
    </w:p>
    <w:p w:rsidR="00A87423" w:rsidRDefault="00A87423" w:rsidP="00012220">
      <w:pPr>
        <w:jc w:val="both"/>
        <w:rPr>
          <w:rFonts w:eastAsia="Times New Roman"/>
        </w:rPr>
      </w:pPr>
    </w:p>
    <w:p w:rsidR="00012220" w:rsidRDefault="00012220" w:rsidP="00012220">
      <w:pPr>
        <w:jc w:val="both"/>
        <w:rPr>
          <w:rFonts w:eastAsia="Times New Roman"/>
        </w:rPr>
      </w:pPr>
      <w:r w:rsidRPr="00410331">
        <w:rPr>
          <w:rFonts w:eastAsia="Times New Roman"/>
        </w:rPr>
        <w:t xml:space="preserve">S druge strane, HAKOM </w:t>
      </w:r>
      <w:r w:rsidR="00A87423">
        <w:rPr>
          <w:rFonts w:eastAsia="Times New Roman"/>
        </w:rPr>
        <w:t>u ovom trenutku</w:t>
      </w:r>
      <w:r w:rsidR="00A87423" w:rsidRPr="00410331">
        <w:rPr>
          <w:rFonts w:eastAsia="Times New Roman"/>
        </w:rPr>
        <w:t xml:space="preserve"> </w:t>
      </w:r>
      <w:r w:rsidRPr="00410331">
        <w:rPr>
          <w:rFonts w:eastAsia="Times New Roman"/>
        </w:rPr>
        <w:t xml:space="preserve">nije razmatrao niti opciju pokrivenosti od najmanje 50 posto (1/2) pojedinog područja </w:t>
      </w:r>
      <w:r w:rsidR="00973D5D" w:rsidRPr="00973D5D">
        <w:rPr>
          <w:rFonts w:eastAsia="Times New Roman"/>
        </w:rPr>
        <w:t xml:space="preserve">već u ovome trenutku </w:t>
      </w:r>
      <w:r w:rsidRPr="00410331">
        <w:rPr>
          <w:rFonts w:eastAsia="Times New Roman"/>
        </w:rPr>
        <w:t>iz razloga što</w:t>
      </w:r>
      <w:r w:rsidR="00973D5D" w:rsidRPr="00973D5D">
        <w:rPr>
          <w:rFonts w:eastAsia="Times New Roman"/>
        </w:rPr>
        <w:t xml:space="preserve"> bi odabir takvog kriterija mogao rezultirati smanjenjem ulaganja, dok doprinos razvoju tržišnog natjecanja ne bi bio značajan, kao ni dobrobiti za krajnje korisnike koj</w:t>
      </w:r>
      <w:r w:rsidR="00A87423">
        <w:rPr>
          <w:rFonts w:eastAsia="Times New Roman"/>
        </w:rPr>
        <w:t>e</w:t>
      </w:r>
      <w:r w:rsidR="00973D5D" w:rsidRPr="00973D5D">
        <w:rPr>
          <w:rFonts w:eastAsia="Times New Roman"/>
        </w:rPr>
        <w:t xml:space="preserve"> iz tržišnog natjecanja mogu proizaći. </w:t>
      </w:r>
      <w:r w:rsidR="00973D5D">
        <w:rPr>
          <w:rFonts w:eastAsia="Times New Roman"/>
        </w:rPr>
        <w:t>I</w:t>
      </w:r>
      <w:r w:rsidR="00973D5D" w:rsidRPr="00973D5D">
        <w:rPr>
          <w:rFonts w:eastAsia="Times New Roman"/>
        </w:rPr>
        <w:t>ako</w:t>
      </w:r>
      <w:r w:rsidRPr="00410331">
        <w:rPr>
          <w:rFonts w:eastAsia="Times New Roman"/>
        </w:rPr>
        <w:t xml:space="preserve"> takva pokrivenost</w:t>
      </w:r>
      <w:r w:rsidR="00973D5D" w:rsidRPr="00973D5D">
        <w:rPr>
          <w:rFonts w:eastAsia="Times New Roman"/>
        </w:rPr>
        <w:t xml:space="preserve"> VHCN infrastrukturom alternativnog operatora već u ovom trenutku ukazuje da na području gdje je zadovoljen taj kriterij zaista ne postoje nikakve strukturne zapreke ulasku na tržište i gradnji VHCN infrastrukture alternativnih operatora,</w:t>
      </w:r>
      <w:r w:rsidR="00973D5D">
        <w:rPr>
          <w:rFonts w:eastAsia="Times New Roman"/>
        </w:rPr>
        <w:t xml:space="preserve"> odabir te opcije</w:t>
      </w:r>
      <w:r w:rsidRPr="00410331">
        <w:rPr>
          <w:rFonts w:eastAsia="Times New Roman"/>
        </w:rPr>
        <w:t xml:space="preserve"> </w:t>
      </w:r>
      <w:r w:rsidR="0069410B">
        <w:rPr>
          <w:rFonts w:eastAsia="Times New Roman"/>
        </w:rPr>
        <w:t>mog</w:t>
      </w:r>
      <w:r w:rsidR="00973D5D">
        <w:rPr>
          <w:rFonts w:eastAsia="Times New Roman"/>
        </w:rPr>
        <w:t>ao</w:t>
      </w:r>
      <w:r>
        <w:rPr>
          <w:rFonts w:eastAsia="Times New Roman"/>
        </w:rPr>
        <w:t xml:space="preserve"> bi</w:t>
      </w:r>
      <w:r w:rsidRPr="00410331">
        <w:rPr>
          <w:rFonts w:eastAsia="Times New Roman"/>
        </w:rPr>
        <w:t xml:space="preserve"> neopravdano usporiti razvoj VHCN mreža. </w:t>
      </w:r>
      <w:r w:rsidR="00973D5D" w:rsidRPr="00973D5D">
        <w:rPr>
          <w:rFonts w:eastAsia="Times New Roman"/>
        </w:rPr>
        <w:t>Naime, ako uzmemo u obzir činjenicu da se u uvjetima malih preklapanja VHCN mreža značajno veća pokrivenost područja od 50 posto svakog pojedinog operatora ne može očekivati, HAKOM je mišljenja da bi alternativni operatori koji su blizu postignute pokrivenosti od 50 posto mogli  usporiti ili čak potpuno zaustaviti svoja ulaganja u nekim područjima da se ne ispuni kriterij za deregulaciju područja. S druge strane i povijesni operator bi također mogao usporiti svoja ulaganja u takvim područjima gdje trenutno nije ispunjen uvjet od pokrivenosti od najmanje 50 posto VHCN infrastrukturom alternativnog operatora</w:t>
      </w:r>
      <w:r w:rsidR="00A87423">
        <w:rPr>
          <w:rFonts w:eastAsia="Times New Roman"/>
        </w:rPr>
        <w:t>,</w:t>
      </w:r>
      <w:r w:rsidR="00973D5D" w:rsidRPr="00973D5D">
        <w:rPr>
          <w:rFonts w:eastAsia="Times New Roman"/>
        </w:rPr>
        <w:t xml:space="preserve"> jer bi i dalje bio reguliran iako realno ne postoje značajnije strukturne zapreke tržišnom natjecanju.</w:t>
      </w:r>
      <w:r w:rsidR="00973D5D">
        <w:rPr>
          <w:rFonts w:eastAsia="Times New Roman"/>
        </w:rPr>
        <w:t xml:space="preserve"> </w:t>
      </w:r>
      <w:r w:rsidRPr="00410331">
        <w:rPr>
          <w:rFonts w:eastAsia="Times New Roman"/>
        </w:rPr>
        <w:t xml:space="preserve">Drugim riječima, HAKOM kod ove opcije </w:t>
      </w:r>
      <w:r w:rsidR="00973D5D" w:rsidRPr="00973D5D">
        <w:rPr>
          <w:rFonts w:eastAsia="Times New Roman"/>
        </w:rPr>
        <w:t xml:space="preserve">procjenjuje da su rizici značajno veći od koristi za tržište </w:t>
      </w:r>
      <w:r>
        <w:rPr>
          <w:rFonts w:eastAsia="Times New Roman"/>
        </w:rPr>
        <w:t>te s</w:t>
      </w:r>
      <w:r w:rsidRPr="00410331">
        <w:rPr>
          <w:rFonts w:eastAsia="Times New Roman"/>
        </w:rPr>
        <w:t xml:space="preserve">toga ova opcija nije niti razmatrana. </w:t>
      </w:r>
    </w:p>
    <w:p w:rsidR="00012220" w:rsidRPr="00410331" w:rsidRDefault="00012220" w:rsidP="00012220">
      <w:pPr>
        <w:jc w:val="both"/>
        <w:rPr>
          <w:rFonts w:eastAsia="Times New Roman"/>
        </w:rPr>
      </w:pPr>
    </w:p>
    <w:p w:rsidR="00012220" w:rsidRDefault="00012220" w:rsidP="00012220">
      <w:pPr>
        <w:jc w:val="both"/>
        <w:rPr>
          <w:rFonts w:eastAsia="Times New Roman"/>
        </w:rPr>
      </w:pPr>
      <w:r w:rsidRPr="00410331">
        <w:rPr>
          <w:rFonts w:eastAsia="Times New Roman"/>
        </w:rPr>
        <w:t xml:space="preserve">Prema Smjernicama, tržišni udjel veći od 50 posto koji poduzeće posjeduje neko vrijeme može sam po sebi biti dokaz postojanja vladajućeg položaja. Nadalje, prema </w:t>
      </w:r>
      <w:r>
        <w:rPr>
          <w:rFonts w:eastAsia="Times New Roman"/>
        </w:rPr>
        <w:t>navedenim Smjernicama</w:t>
      </w:r>
      <w:r w:rsidRPr="00410331">
        <w:rPr>
          <w:rFonts w:eastAsia="Times New Roman"/>
        </w:rPr>
        <w:t xml:space="preserve"> nije vjerojatno da će poduzeće uživati vladajući položaj ako je njegov tržišni udjel na mjerodavnom tržištu manji od 40 posto. Stoga je HAKOM za kriterij tržišni udio HT Grupe na maloprodajnoj razini u geografskoj jedinici razmatrao opcije da je tržišni udio manji od 50 posto, odnosno 40 posto.</w:t>
      </w:r>
    </w:p>
    <w:p w:rsidR="00012220" w:rsidRDefault="00012220" w:rsidP="00012220">
      <w:pPr>
        <w:jc w:val="both"/>
        <w:rPr>
          <w:rFonts w:eastAsia="Times New Roman"/>
        </w:rPr>
      </w:pPr>
    </w:p>
    <w:p w:rsidR="00012220" w:rsidRPr="00410331" w:rsidRDefault="00012220" w:rsidP="00012220">
      <w:pPr>
        <w:jc w:val="both"/>
        <w:rPr>
          <w:rFonts w:eastAsia="Times New Roman"/>
        </w:rPr>
      </w:pPr>
      <w:r>
        <w:rPr>
          <w:rFonts w:eastAsia="Times New Roman"/>
        </w:rPr>
        <w:t>Prilikom analize p</w:t>
      </w:r>
      <w:r w:rsidRPr="007A0CB3">
        <w:rPr>
          <w:rFonts w:eastAsia="Times New Roman"/>
        </w:rPr>
        <w:t>rednosti i nedostat</w:t>
      </w:r>
      <w:r>
        <w:rPr>
          <w:rFonts w:eastAsia="Times New Roman"/>
        </w:rPr>
        <w:t>aka</w:t>
      </w:r>
      <w:r w:rsidRPr="007A0CB3">
        <w:rPr>
          <w:rFonts w:eastAsia="Times New Roman"/>
        </w:rPr>
        <w:t xml:space="preserve"> </w:t>
      </w:r>
      <w:r>
        <w:rPr>
          <w:rFonts w:eastAsia="Times New Roman"/>
        </w:rPr>
        <w:t xml:space="preserve">razmatranih </w:t>
      </w:r>
      <w:r w:rsidRPr="007A0CB3">
        <w:rPr>
          <w:rFonts w:eastAsia="Times New Roman"/>
        </w:rPr>
        <w:t>opcija</w:t>
      </w:r>
      <w:r>
        <w:rPr>
          <w:rFonts w:eastAsia="Times New Roman"/>
        </w:rPr>
        <w:t xml:space="preserve"> u tablici niže, HAKOM je vodio računa o ostvarenju ciljeva iz članka 7. stavka 4. ZEK-a, kako bi odabrane opcije u najvećoj mjeri dovele do poticanja ulaganja u VHCN mreže od strane svih operatora i što brže </w:t>
      </w:r>
      <w:proofErr w:type="spellStart"/>
      <w:r>
        <w:rPr>
          <w:rFonts w:eastAsia="Times New Roman"/>
        </w:rPr>
        <w:t>utilizacije</w:t>
      </w:r>
      <w:proofErr w:type="spellEnd"/>
      <w:r>
        <w:rPr>
          <w:rFonts w:eastAsia="Times New Roman"/>
        </w:rPr>
        <w:t xml:space="preserve"> tih mreža, što će potaknuti djelotvorno tržišno natjecanje i dovesti do najveći</w:t>
      </w:r>
      <w:r w:rsidR="00E571DF">
        <w:rPr>
          <w:rFonts w:eastAsia="Times New Roman"/>
        </w:rPr>
        <w:t>h koristi za krajnje korisnike.</w:t>
      </w:r>
    </w:p>
    <w:tbl>
      <w:tblPr>
        <w:tblStyle w:val="TableGrid"/>
        <w:tblpPr w:leftFromText="181" w:rightFromText="181" w:vertAnchor="text" w:horzAnchor="margin" w:tblpY="304"/>
        <w:tblOverlap w:val="never"/>
        <w:tblW w:w="8926" w:type="dxa"/>
        <w:tblInd w:w="0" w:type="dxa"/>
        <w:tblLook w:val="04A0" w:firstRow="1" w:lastRow="0" w:firstColumn="1" w:lastColumn="0" w:noHBand="0" w:noVBand="1"/>
      </w:tblPr>
      <w:tblGrid>
        <w:gridCol w:w="8926"/>
      </w:tblGrid>
      <w:tr w:rsidR="00012220" w:rsidRPr="00CB64A5" w:rsidTr="00495E79">
        <w:trPr>
          <w:trHeight w:val="710"/>
        </w:trPr>
        <w:tc>
          <w:tcPr>
            <w:tcW w:w="89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12220" w:rsidRPr="00CB64A5" w:rsidRDefault="00012220" w:rsidP="00495E79">
            <w:pPr>
              <w:contextualSpacing/>
              <w:rPr>
                <w:rFonts w:asciiTheme="minorHAnsi" w:hAnsiTheme="minorHAnsi" w:cstheme="minorHAnsi"/>
                <w:szCs w:val="22"/>
                <w:lang w:val="en-US"/>
              </w:rPr>
            </w:pPr>
          </w:p>
          <w:p w:rsidR="00012220" w:rsidRPr="00CB64A5" w:rsidRDefault="00012220" w:rsidP="00495E79">
            <w:pPr>
              <w:contextualSpacing/>
              <w:rPr>
                <w:rFonts w:ascii="Arial" w:hAnsi="Arial"/>
                <w:iCs/>
                <w:color w:val="44546A" w:themeColor="text2"/>
                <w:sz w:val="18"/>
                <w:szCs w:val="18"/>
                <w:lang w:bidi="ar-JO"/>
              </w:rPr>
            </w:pPr>
            <w:r w:rsidRPr="00CB64A5">
              <w:rPr>
                <w:rFonts w:ascii="Arial" w:hAnsi="Arial"/>
                <w:iCs/>
                <w:color w:val="44546A" w:themeColor="text2"/>
                <w:sz w:val="18"/>
                <w:szCs w:val="18"/>
                <w:lang w:bidi="ar-JO"/>
              </w:rPr>
              <w:t xml:space="preserve">Kriterij </w:t>
            </w:r>
            <w:r w:rsidRPr="00CB64A5">
              <w:rPr>
                <w:rFonts w:ascii="Arial" w:hAnsi="Arial"/>
                <w:iCs/>
                <w:color w:val="44546A" w:themeColor="text2"/>
                <w:sz w:val="18"/>
                <w:szCs w:val="18"/>
                <w:lang w:bidi="ar-JO"/>
              </w:rPr>
              <w:fldChar w:fldCharType="begin"/>
            </w:r>
            <w:r w:rsidRPr="00CB64A5">
              <w:rPr>
                <w:rFonts w:ascii="Arial" w:hAnsi="Arial"/>
                <w:iCs/>
                <w:color w:val="44546A" w:themeColor="text2"/>
                <w:sz w:val="18"/>
                <w:szCs w:val="18"/>
                <w:lang w:bidi="ar-JO"/>
              </w:rPr>
              <w:instrText xml:space="preserve"> SEQ Kriterij_ \* ARABIC </w:instrText>
            </w:r>
            <w:r w:rsidRPr="00CB64A5">
              <w:rPr>
                <w:rFonts w:ascii="Arial" w:hAnsi="Arial"/>
                <w:iCs/>
                <w:color w:val="44546A" w:themeColor="text2"/>
                <w:sz w:val="18"/>
                <w:szCs w:val="18"/>
                <w:lang w:bidi="ar-JO"/>
              </w:rPr>
              <w:fldChar w:fldCharType="separate"/>
            </w:r>
            <w:r w:rsidRPr="00CB64A5">
              <w:rPr>
                <w:rFonts w:ascii="Arial" w:hAnsi="Arial"/>
                <w:iCs/>
                <w:color w:val="44546A" w:themeColor="text2"/>
                <w:sz w:val="18"/>
                <w:szCs w:val="18"/>
                <w:lang w:bidi="ar-JO"/>
              </w:rPr>
              <w:t>1</w:t>
            </w:r>
            <w:r w:rsidRPr="00CB64A5">
              <w:rPr>
                <w:rFonts w:ascii="Arial" w:hAnsi="Arial"/>
                <w:iCs/>
                <w:color w:val="44546A" w:themeColor="text2"/>
                <w:sz w:val="18"/>
                <w:szCs w:val="18"/>
                <w:lang w:bidi="ar-JO"/>
              </w:rPr>
              <w:fldChar w:fldCharType="end"/>
            </w:r>
            <w:r w:rsidRPr="00CB64A5">
              <w:rPr>
                <w:rFonts w:ascii="Arial" w:hAnsi="Arial"/>
                <w:iCs/>
                <w:color w:val="44546A" w:themeColor="text2"/>
                <w:sz w:val="18"/>
                <w:szCs w:val="18"/>
                <w:lang w:bidi="ar-JO"/>
              </w:rPr>
              <w:t xml:space="preserve"> Broj alternativnih VHCN infrastruktura u geografskoj jedinici</w:t>
            </w:r>
          </w:p>
          <w:p w:rsidR="00012220" w:rsidRPr="00CB64A5" w:rsidRDefault="00012220" w:rsidP="00495E79">
            <w:pPr>
              <w:contextualSpacing/>
              <w:rPr>
                <w:rFonts w:ascii="Arial" w:hAnsi="Arial"/>
                <w:iCs/>
                <w:color w:val="44546A" w:themeColor="text2"/>
                <w:sz w:val="18"/>
                <w:szCs w:val="18"/>
                <w:lang w:bidi="ar-JO"/>
              </w:rPr>
            </w:pPr>
          </w:p>
          <w:tbl>
            <w:tblPr>
              <w:tblStyle w:val="TableGrid"/>
              <w:tblW w:w="0" w:type="auto"/>
              <w:tblInd w:w="311" w:type="dxa"/>
              <w:tblLook w:val="04A0" w:firstRow="1" w:lastRow="0" w:firstColumn="1" w:lastColumn="0" w:noHBand="0" w:noVBand="1"/>
            </w:tblPr>
            <w:tblGrid>
              <w:gridCol w:w="1623"/>
              <w:gridCol w:w="2968"/>
              <w:gridCol w:w="3659"/>
            </w:tblGrid>
            <w:tr w:rsidR="00012220" w:rsidRPr="00CB64A5" w:rsidTr="00495E79">
              <w:trPr>
                <w:trHeight w:val="363"/>
              </w:trPr>
              <w:tc>
                <w:tcPr>
                  <w:tcW w:w="1414" w:type="dxa"/>
                </w:tcPr>
                <w:p w:rsidR="00012220" w:rsidRPr="00CB64A5" w:rsidRDefault="00012220" w:rsidP="007F55BE">
                  <w:pPr>
                    <w:framePr w:hSpace="181" w:wrap="around" w:vAnchor="text" w:hAnchor="margin" w:y="304"/>
                    <w:suppressOverlap/>
                    <w:rPr>
                      <w:rFonts w:ascii="Arial Narrow" w:hAnsi="Arial Narrow"/>
                      <w:iCs/>
                      <w:sz w:val="20"/>
                    </w:rPr>
                  </w:pPr>
                </w:p>
              </w:tc>
              <w:tc>
                <w:tcPr>
                  <w:tcW w:w="2968" w:type="dxa"/>
                </w:tcPr>
                <w:p w:rsidR="00012220" w:rsidRPr="00CB64A5" w:rsidRDefault="00012220" w:rsidP="007F55B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Koristi</w:t>
                  </w:r>
                </w:p>
              </w:tc>
              <w:tc>
                <w:tcPr>
                  <w:tcW w:w="3659" w:type="dxa"/>
                </w:tcPr>
                <w:p w:rsidR="00012220" w:rsidRPr="00CB64A5" w:rsidRDefault="00012220" w:rsidP="007F55B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Troškovi (Rizici)</w:t>
                  </w:r>
                </w:p>
              </w:tc>
            </w:tr>
            <w:tr w:rsidR="00012220" w:rsidRPr="00CB64A5" w:rsidTr="00495E79">
              <w:trPr>
                <w:trHeight w:val="386"/>
              </w:trPr>
              <w:tc>
                <w:tcPr>
                  <w:tcW w:w="1414" w:type="dxa"/>
                </w:tcPr>
                <w:p w:rsidR="00012220" w:rsidRPr="00CB64A5" w:rsidRDefault="00012220" w:rsidP="007F55B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1 –VHCN infrastruktura</w:t>
                  </w:r>
                  <w:r>
                    <w:rPr>
                      <w:rFonts w:ascii="Arial Narrow" w:hAnsi="Arial Narrow"/>
                      <w:iCs/>
                      <w:sz w:val="16"/>
                      <w:szCs w:val="16"/>
                    </w:rPr>
                    <w:t xml:space="preserve"> jednog alternativnog operatora</w:t>
                  </w:r>
                </w:p>
              </w:tc>
              <w:tc>
                <w:tcPr>
                  <w:tcW w:w="2968"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Povijesnom operatoru se omogućava fleksibilniji pristup kod određivanja maloprodajnih i veleprodajnih cijena, čime se omogućava i fleksibilniji pristup krajnjim korisnicima od strane svih operatora na tržištu,</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 xml:space="preserve">S obzirom na fleksibilniji pristup prema krajnjim korisnicima daje se poticaj bržoj </w:t>
                  </w:r>
                  <w:proofErr w:type="spellStart"/>
                  <w:r w:rsidRPr="00CB64A5">
                    <w:rPr>
                      <w:rFonts w:ascii="Arial Narrow" w:hAnsi="Arial Narrow" w:cstheme="minorHAnsi"/>
                      <w:iCs/>
                      <w:sz w:val="16"/>
                      <w:szCs w:val="16"/>
                    </w:rPr>
                    <w:t>utilizaciji</w:t>
                  </w:r>
                  <w:proofErr w:type="spellEnd"/>
                  <w:r w:rsidRPr="00CB64A5">
                    <w:rPr>
                      <w:rFonts w:ascii="Arial Narrow" w:hAnsi="Arial Narrow" w:cstheme="minorHAnsi"/>
                      <w:iCs/>
                      <w:sz w:val="16"/>
                      <w:szCs w:val="16"/>
                    </w:rPr>
                    <w:t xml:space="preserve"> VHCN mreže povijesnog operatora, ali i mreža alternativnih operatora jer konkurentski pritisak dereguliranog povijesnog operatora potiče i alternativne operatore na veću fleksibilnost prema krajnjim korisnicima</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 xml:space="preserve">Bržom </w:t>
                  </w:r>
                  <w:proofErr w:type="spellStart"/>
                  <w:r w:rsidRPr="00CB64A5">
                    <w:rPr>
                      <w:rFonts w:ascii="Arial Narrow" w:hAnsi="Arial Narrow" w:cstheme="minorHAnsi"/>
                      <w:iCs/>
                      <w:sz w:val="16"/>
                      <w:szCs w:val="16"/>
                    </w:rPr>
                    <w:t>utilizacijom</w:t>
                  </w:r>
                  <w:proofErr w:type="spellEnd"/>
                  <w:r w:rsidRPr="00CB64A5">
                    <w:rPr>
                      <w:rFonts w:ascii="Arial Narrow" w:hAnsi="Arial Narrow" w:cstheme="minorHAnsi"/>
                      <w:iCs/>
                      <w:sz w:val="16"/>
                      <w:szCs w:val="16"/>
                    </w:rPr>
                    <w:t xml:space="preserve"> VHCN mreža daje se poticaj većim ulaganjima u VHCN mreže, omogućuje se veća pokrivenost VHCN mreža</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 dereguliranom okružju povećava se dinamika (brzina) ulaganja u gradnju novih VHCN mreža povijesnog i velikih alternativnih operatora, zbog želje za stjecanjem „</w:t>
                  </w:r>
                  <w:proofErr w:type="spellStart"/>
                  <w:r w:rsidRPr="00CB64A5">
                    <w:rPr>
                      <w:rFonts w:ascii="Arial Narrow" w:hAnsi="Arial Narrow" w:cstheme="minorHAnsi"/>
                      <w:iCs/>
                      <w:sz w:val="16"/>
                      <w:szCs w:val="16"/>
                    </w:rPr>
                    <w:t>first</w:t>
                  </w:r>
                  <w:proofErr w:type="spellEnd"/>
                  <w:r w:rsidRPr="00CB64A5">
                    <w:rPr>
                      <w:rFonts w:ascii="Arial Narrow" w:hAnsi="Arial Narrow" w:cstheme="minorHAnsi"/>
                      <w:iCs/>
                      <w:sz w:val="16"/>
                      <w:szCs w:val="16"/>
                    </w:rPr>
                    <w:t xml:space="preserve"> </w:t>
                  </w:r>
                  <w:proofErr w:type="spellStart"/>
                  <w:r w:rsidRPr="00CB64A5">
                    <w:rPr>
                      <w:rFonts w:ascii="Arial Narrow" w:hAnsi="Arial Narrow" w:cstheme="minorHAnsi"/>
                      <w:iCs/>
                      <w:sz w:val="16"/>
                      <w:szCs w:val="16"/>
                    </w:rPr>
                    <w:t>mover</w:t>
                  </w:r>
                  <w:proofErr w:type="spellEnd"/>
                  <w:r w:rsidRPr="00CB64A5">
                    <w:rPr>
                      <w:rFonts w:ascii="Arial Narrow" w:hAnsi="Arial Narrow" w:cstheme="minorHAnsi"/>
                      <w:iCs/>
                      <w:sz w:val="16"/>
                      <w:szCs w:val="16"/>
                    </w:rPr>
                    <w:t>“ prednosti</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 xml:space="preserve">Alternativni operatori će u uvjetima deregulacije biti motivirani otvoriti svoje VHCN mreže drugim alternativnim operatorima kako bi povećali </w:t>
                  </w:r>
                  <w:proofErr w:type="spellStart"/>
                  <w:r w:rsidRPr="00CB64A5">
                    <w:rPr>
                      <w:rFonts w:ascii="Arial Narrow" w:hAnsi="Arial Narrow" w:cstheme="minorHAnsi"/>
                      <w:iCs/>
                      <w:sz w:val="16"/>
                      <w:szCs w:val="16"/>
                    </w:rPr>
                    <w:t>utiilizaciju</w:t>
                  </w:r>
                  <w:proofErr w:type="spellEnd"/>
                  <w:r w:rsidRPr="00CB64A5">
                    <w:rPr>
                      <w:rFonts w:ascii="Arial Narrow" w:hAnsi="Arial Narrow" w:cstheme="minorHAnsi"/>
                      <w:iCs/>
                      <w:sz w:val="16"/>
                      <w:szCs w:val="16"/>
                    </w:rPr>
                    <w:t xml:space="preserve"> svojih mreža i ostvarili veleprodajne prihode kojima će nadoknaditi možebitno izgubljene maloprodajne prihode </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Ukupni pozitivni učinci su najveći kod ove opcije jer ona omogućuje najviše dereguliranih područja</w:t>
                  </w:r>
                </w:p>
                <w:p w:rsidR="00012220" w:rsidRPr="00CB64A5" w:rsidRDefault="00012220" w:rsidP="007F55BE">
                  <w:pPr>
                    <w:framePr w:hSpace="181" w:wrap="around" w:vAnchor="text" w:hAnchor="margin" w:y="304"/>
                    <w:suppressOverlap/>
                    <w:rPr>
                      <w:rFonts w:ascii="Arial Narrow" w:hAnsi="Arial Narrow" w:cstheme="minorHAnsi"/>
                      <w:iCs/>
                      <w:sz w:val="16"/>
                      <w:szCs w:val="16"/>
                    </w:rPr>
                  </w:pPr>
                </w:p>
              </w:tc>
              <w:tc>
                <w:tcPr>
                  <w:tcW w:w="3659"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Istiskivanje alternativnih operatora- kod ove opcije je ovaj rizik najviši jer povijesni operator lakše može istisnuti jednog nego dva ili više operatora koji grade VHCN infrastrukturu – veći je rizik za narušavanje tržišnog natjecanja jer ako se samo jedan alternativni operator neće moći nastaviti uspješno natjecati s dereguliranim povijesnim operatorom tada će se lakše ugroziti postojeća razina tržišnog natjecanja</w:t>
                  </w:r>
                </w:p>
                <w:p w:rsidR="00012220" w:rsidRPr="00CB64A5" w:rsidRDefault="00012220" w:rsidP="007F55BE">
                  <w:pPr>
                    <w:framePr w:hSpace="181" w:wrap="around" w:vAnchor="text" w:hAnchor="margin" w:y="304"/>
                    <w:suppressOverlap/>
                    <w:rPr>
                      <w:rFonts w:ascii="Arial Narrow" w:hAnsi="Arial Narrow"/>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Usporavanje ulaganja manjih alternativnih operatora u VHCN mrežu u područjima koja ostaju regulirana jer dosezanjem pokrivenosti od 25% povijesni operator postaje dereguliran čime se ugrožava prvotni poslovni plan. Ovaj rizik je kod ove opcije najniži jer kod ove opcije ostaje regulirano najmanje područja</w:t>
                  </w:r>
                </w:p>
                <w:p w:rsidR="00012220" w:rsidRPr="00CB64A5" w:rsidRDefault="00012220" w:rsidP="007F55BE">
                  <w:pPr>
                    <w:framePr w:hSpace="181" w:wrap="around" w:vAnchor="text" w:hAnchor="margin" w:y="304"/>
                    <w:ind w:left="720"/>
                    <w:contextualSpacing/>
                    <w:suppressOverlap/>
                    <w:rPr>
                      <w:rFonts w:ascii="Arial Narrow" w:hAnsi="Arial Narrow"/>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deregulacijom povijesni operator može prestati pružati veleprodajne usluge pod reguliranim uvjetima što može negativno utjecati na alternativne operatore koji nemaju vlastitu infrastrukturu</w:t>
                  </w:r>
                </w:p>
              </w:tc>
            </w:tr>
            <w:tr w:rsidR="00012220" w:rsidRPr="00CB64A5" w:rsidTr="00495E79">
              <w:trPr>
                <w:trHeight w:val="161"/>
              </w:trPr>
              <w:tc>
                <w:tcPr>
                  <w:tcW w:w="1414" w:type="dxa"/>
                </w:tcPr>
                <w:p w:rsidR="00012220" w:rsidRPr="00CB64A5" w:rsidRDefault="00012220" w:rsidP="007F55B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2 –VHCN infrastruktur</w:t>
                  </w:r>
                  <w:r>
                    <w:rPr>
                      <w:rFonts w:ascii="Arial Narrow" w:hAnsi="Arial Narrow"/>
                      <w:iCs/>
                      <w:sz w:val="16"/>
                      <w:szCs w:val="16"/>
                    </w:rPr>
                    <w:t xml:space="preserve">e </w:t>
                  </w:r>
                  <w:r w:rsidRPr="00CB64A5">
                    <w:rPr>
                      <w:rFonts w:ascii="Arial Narrow" w:hAnsi="Arial Narrow"/>
                      <w:iCs/>
                      <w:sz w:val="16"/>
                      <w:szCs w:val="16"/>
                    </w:rPr>
                    <w:t xml:space="preserve">2 ili više </w:t>
                  </w:r>
                  <w:r>
                    <w:rPr>
                      <w:rFonts w:ascii="Arial Narrow" w:hAnsi="Arial Narrow"/>
                      <w:iCs/>
                      <w:sz w:val="16"/>
                      <w:szCs w:val="16"/>
                    </w:rPr>
                    <w:t xml:space="preserve">alternativna </w:t>
                  </w:r>
                  <w:r w:rsidR="00A87423">
                    <w:rPr>
                      <w:rFonts w:ascii="Arial Narrow" w:hAnsi="Arial Narrow"/>
                      <w:iCs/>
                      <w:sz w:val="16"/>
                      <w:szCs w:val="16"/>
                    </w:rPr>
                    <w:t>operatora</w:t>
                  </w:r>
                </w:p>
              </w:tc>
              <w:tc>
                <w:tcPr>
                  <w:tcW w:w="2968"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Opcija 2 ima iste pozitivne učinke deregulacije kao i opcija 1 samo su ti učinci kumulativno niži jer se deregulira manje područja</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prednost u odnosu na opciju 1 je što je kod ove opcije manji rizik od degradacije razine tržišnog natjecanja nakon deregulacije</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ind w:left="720"/>
                    <w:contextualSpacing/>
                    <w:suppressOverlap/>
                    <w:rPr>
                      <w:szCs w:val="22"/>
                    </w:rPr>
                  </w:pPr>
                </w:p>
              </w:tc>
              <w:tc>
                <w:tcPr>
                  <w:tcW w:w="3659"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kod ove opcije postoje isti rizici povezani s deregulacijom kao i kod opcije 1, samo su niži</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S obzirom da je za uvjete u RH (ekonomska neisplativost) za očekivati mali broj područja gdje će područje biti pokriveno s barem dvije infrastruk</w:t>
                  </w:r>
                  <w:r>
                    <w:rPr>
                      <w:rFonts w:ascii="Arial Narrow" w:hAnsi="Arial Narrow" w:cstheme="minorHAnsi"/>
                      <w:iCs/>
                      <w:sz w:val="16"/>
                      <w:szCs w:val="16"/>
                    </w:rPr>
                    <w:t xml:space="preserve">ture alternativnog operatora (povijesni operator + </w:t>
                  </w:r>
                  <w:r w:rsidRPr="007F7FCF">
                    <w:rPr>
                      <w:rFonts w:ascii="Arial Narrow" w:hAnsi="Arial Narrow" w:cstheme="minorHAnsi"/>
                      <w:iCs/>
                      <w:sz w:val="16"/>
                      <w:szCs w:val="16"/>
                    </w:rPr>
                    <w:t>dva</w:t>
                  </w:r>
                  <w:r w:rsidRPr="00012220">
                    <w:rPr>
                      <w:rFonts w:ascii="Arial Narrow" w:hAnsi="Arial Narrow" w:cstheme="minorHAnsi"/>
                      <w:iCs/>
                      <w:sz w:val="16"/>
                      <w:szCs w:val="16"/>
                    </w:rPr>
                    <w:t xml:space="preserve"> i</w:t>
                  </w:r>
                  <w:r w:rsidRPr="00CB64A5">
                    <w:rPr>
                      <w:rFonts w:ascii="Arial Narrow" w:hAnsi="Arial Narrow" w:cstheme="minorHAnsi"/>
                      <w:iCs/>
                      <w:sz w:val="16"/>
                      <w:szCs w:val="16"/>
                    </w:rPr>
                    <w:t>li više alternativnih operatora), povijesni operator bi na većini područja ostao reguliran</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Zbog strožeg definiranja kriterija, na određenim područjima na kojima HT više nema vladajući položaj, HT-u bi se odredile nerazmjerne regulatorne obveze, što bi dovelo do regulatorne neučinkovitosti. Regulacija na područjima na kojima to više nije opravdano, iako kratkoročno štiti alternativne operatore, negativno utječe na dobrobit krajnjih korisnika</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 xml:space="preserve">Nastavak sporije </w:t>
                  </w:r>
                  <w:proofErr w:type="spellStart"/>
                  <w:r w:rsidRPr="00CB64A5">
                    <w:rPr>
                      <w:rFonts w:ascii="Arial Narrow" w:hAnsi="Arial Narrow" w:cstheme="minorHAnsi"/>
                      <w:iCs/>
                      <w:sz w:val="16"/>
                      <w:szCs w:val="16"/>
                    </w:rPr>
                    <w:t>utilizacij</w:t>
                  </w:r>
                  <w:r>
                    <w:rPr>
                      <w:rFonts w:ascii="Arial Narrow" w:hAnsi="Arial Narrow" w:cstheme="minorHAnsi"/>
                      <w:iCs/>
                      <w:sz w:val="16"/>
                      <w:szCs w:val="16"/>
                    </w:rPr>
                    <w:t>e</w:t>
                  </w:r>
                  <w:proofErr w:type="spellEnd"/>
                  <w:r w:rsidRPr="00CB64A5">
                    <w:rPr>
                      <w:rFonts w:ascii="Arial Narrow" w:hAnsi="Arial Narrow" w:cstheme="minorHAnsi"/>
                      <w:iCs/>
                      <w:sz w:val="16"/>
                      <w:szCs w:val="16"/>
                    </w:rPr>
                    <w:t xml:space="preserve"> izgrađenih VHCN mreža</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Usporavanje ulaganja alternativnih operatora u VHCN mrežu u područjima koja ostaju regulirana jer dosezanjem praga pokrivenosti od 25% povijesni operator postaje dereguliran čime se ugrožava prvotni poslovni plan – ovaj rizik je kod ove opcije veći nego kod opcije 1 jer više područja ostaje regulirano</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Usporavanje ulaganja povijesnog operatora u VHCN mreže jer bi ostao reguliran na većini područja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p>
              </w:tc>
            </w:tr>
          </w:tbl>
          <w:p w:rsidR="00012220" w:rsidRPr="00CB64A5" w:rsidRDefault="00012220" w:rsidP="00495E79">
            <w:pPr>
              <w:contextualSpacing/>
              <w:rPr>
                <w:rFonts w:ascii="Arial" w:hAnsi="Arial"/>
                <w:iCs/>
                <w:color w:val="44546A" w:themeColor="text2"/>
                <w:sz w:val="18"/>
                <w:szCs w:val="18"/>
                <w:lang w:bidi="ar-JO"/>
              </w:rPr>
            </w:pPr>
          </w:p>
          <w:p w:rsidR="00012220" w:rsidRPr="00CB64A5" w:rsidRDefault="00012220" w:rsidP="00495E79">
            <w:pPr>
              <w:keepNext/>
              <w:spacing w:after="200"/>
              <w:rPr>
                <w:rFonts w:ascii="Arial" w:hAnsi="Arial"/>
                <w:iCs/>
                <w:color w:val="44546A" w:themeColor="text2"/>
                <w:sz w:val="18"/>
                <w:szCs w:val="18"/>
              </w:rPr>
            </w:pPr>
            <w:r w:rsidRPr="00CB64A5">
              <w:rPr>
                <w:rFonts w:ascii="Arial" w:hAnsi="Arial"/>
                <w:iCs/>
                <w:color w:val="44546A" w:themeColor="text2"/>
                <w:sz w:val="18"/>
                <w:szCs w:val="18"/>
                <w:lang w:val="en-US" w:bidi="ar-JO"/>
              </w:rPr>
              <w:t xml:space="preserve">Kriterij </w:t>
            </w:r>
            <w:r w:rsidRPr="00CB64A5">
              <w:rPr>
                <w:rFonts w:ascii="Arial" w:hAnsi="Arial"/>
                <w:iCs/>
                <w:color w:val="44546A" w:themeColor="text2"/>
                <w:sz w:val="18"/>
                <w:szCs w:val="18"/>
                <w:lang w:val="en-US" w:bidi="ar-JO"/>
              </w:rPr>
              <w:fldChar w:fldCharType="begin"/>
            </w:r>
            <w:r w:rsidRPr="00CB64A5">
              <w:rPr>
                <w:rFonts w:ascii="Arial" w:hAnsi="Arial"/>
                <w:iCs/>
                <w:color w:val="44546A" w:themeColor="text2"/>
                <w:sz w:val="18"/>
                <w:szCs w:val="18"/>
                <w:lang w:val="en-US" w:bidi="ar-JO"/>
              </w:rPr>
              <w:instrText xml:space="preserve"> SEQ Kriterij_ \* ARABIC </w:instrText>
            </w:r>
            <w:r w:rsidRPr="00CB64A5">
              <w:rPr>
                <w:rFonts w:ascii="Arial" w:hAnsi="Arial"/>
                <w:iCs/>
                <w:color w:val="44546A" w:themeColor="text2"/>
                <w:sz w:val="18"/>
                <w:szCs w:val="18"/>
                <w:lang w:val="en-US" w:bidi="ar-JO"/>
              </w:rPr>
              <w:fldChar w:fldCharType="separate"/>
            </w:r>
            <w:r w:rsidRPr="00CB64A5">
              <w:rPr>
                <w:rFonts w:ascii="Arial" w:hAnsi="Arial"/>
                <w:iCs/>
                <w:noProof/>
                <w:color w:val="44546A" w:themeColor="text2"/>
                <w:sz w:val="18"/>
                <w:szCs w:val="18"/>
                <w:lang w:val="en-US" w:bidi="ar-JO"/>
              </w:rPr>
              <w:t>2</w:t>
            </w:r>
            <w:r w:rsidRPr="00CB64A5">
              <w:rPr>
                <w:rFonts w:ascii="Arial" w:hAnsi="Arial"/>
                <w:iCs/>
                <w:color w:val="44546A" w:themeColor="text2"/>
                <w:sz w:val="18"/>
                <w:szCs w:val="18"/>
                <w:lang w:val="en-US" w:bidi="ar-JO"/>
              </w:rPr>
              <w:fldChar w:fldCharType="end"/>
            </w:r>
            <w:r w:rsidRPr="00CB64A5">
              <w:rPr>
                <w:rFonts w:ascii="Arial" w:hAnsi="Arial"/>
                <w:iCs/>
                <w:color w:val="44546A" w:themeColor="text2"/>
                <w:sz w:val="18"/>
                <w:szCs w:val="18"/>
                <w:lang w:val="en-US" w:bidi="ar-JO"/>
              </w:rPr>
              <w:t xml:space="preserve"> </w:t>
            </w:r>
            <w:r w:rsidRPr="00CB64A5">
              <w:rPr>
                <w:rFonts w:ascii="Arial" w:hAnsi="Arial"/>
                <w:iCs/>
                <w:color w:val="44546A" w:themeColor="text2"/>
                <w:sz w:val="18"/>
                <w:szCs w:val="18"/>
              </w:rPr>
              <w:t>Pojedinačna pokrivenost jedne alternativne VHCN infrastrukture</w:t>
            </w:r>
          </w:p>
          <w:tbl>
            <w:tblPr>
              <w:tblStyle w:val="TableGrid"/>
              <w:tblW w:w="0" w:type="auto"/>
              <w:tblInd w:w="311" w:type="dxa"/>
              <w:tblLook w:val="04A0" w:firstRow="1" w:lastRow="0" w:firstColumn="1" w:lastColumn="0" w:noHBand="0" w:noVBand="1"/>
            </w:tblPr>
            <w:tblGrid>
              <w:gridCol w:w="1414"/>
              <w:gridCol w:w="2970"/>
              <w:gridCol w:w="3685"/>
            </w:tblGrid>
            <w:tr w:rsidR="00012220" w:rsidRPr="00CB64A5" w:rsidTr="00495E79">
              <w:trPr>
                <w:trHeight w:val="363"/>
              </w:trPr>
              <w:tc>
                <w:tcPr>
                  <w:tcW w:w="1414" w:type="dxa"/>
                </w:tcPr>
                <w:p w:rsidR="00012220" w:rsidRPr="00CB64A5" w:rsidRDefault="00012220" w:rsidP="007F55BE">
                  <w:pPr>
                    <w:framePr w:hSpace="181" w:wrap="around" w:vAnchor="text" w:hAnchor="margin" w:y="304"/>
                    <w:suppressOverlap/>
                    <w:rPr>
                      <w:rFonts w:ascii="Arial Narrow" w:hAnsi="Arial Narrow"/>
                      <w:iCs/>
                      <w:sz w:val="20"/>
                    </w:rPr>
                  </w:pPr>
                </w:p>
              </w:tc>
              <w:tc>
                <w:tcPr>
                  <w:tcW w:w="2970" w:type="dxa"/>
                </w:tcPr>
                <w:p w:rsidR="00012220" w:rsidRPr="00CB64A5" w:rsidRDefault="00012220" w:rsidP="007F55B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Koristi</w:t>
                  </w:r>
                </w:p>
              </w:tc>
              <w:tc>
                <w:tcPr>
                  <w:tcW w:w="3685" w:type="dxa"/>
                </w:tcPr>
                <w:p w:rsidR="00012220" w:rsidRPr="00CB64A5" w:rsidRDefault="00012220" w:rsidP="007F55B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Troškovi (Rizici)</w:t>
                  </w:r>
                </w:p>
              </w:tc>
            </w:tr>
            <w:tr w:rsidR="00012220" w:rsidRPr="00CB64A5" w:rsidTr="00495E79">
              <w:trPr>
                <w:trHeight w:val="386"/>
              </w:trPr>
              <w:tc>
                <w:tcPr>
                  <w:tcW w:w="1414" w:type="dxa"/>
                </w:tcPr>
                <w:p w:rsidR="00012220" w:rsidRPr="00CB64A5" w:rsidRDefault="00012220" w:rsidP="007F55B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1 – najmanje 25%</w:t>
                  </w:r>
                </w:p>
              </w:tc>
              <w:tc>
                <w:tcPr>
                  <w:tcW w:w="2970"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rPr>
                  </w:pPr>
                  <w:r w:rsidRPr="00CB64A5">
                    <w:rPr>
                      <w:rFonts w:ascii="Arial Narrow" w:hAnsi="Arial Narrow"/>
                      <w:sz w:val="16"/>
                      <w:szCs w:val="16"/>
                    </w:rPr>
                    <w:t xml:space="preserve">za učinkovito tržišno natjecanje nije potrebna prethodna regulacija; učinkovit pristup regulaciji </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sz w:val="16"/>
                      <w:szCs w:val="16"/>
                    </w:rPr>
                  </w:pPr>
                  <w:r w:rsidRPr="00CB64A5">
                    <w:rPr>
                      <w:rFonts w:ascii="Arial Narrow" w:hAnsi="Arial Narrow" w:cs="Simplified Arabic"/>
                      <w:sz w:val="16"/>
                      <w:szCs w:val="16"/>
                    </w:rPr>
                    <w:t>najveći pozitivni učinci deregulacije jer se ovom opcijom deregulira više područja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rPr>
                  </w:pPr>
                  <w:r w:rsidRPr="00CB64A5">
                    <w:rPr>
                      <w:rFonts w:ascii="Arial Narrow" w:hAnsi="Arial Narrow"/>
                      <w:sz w:val="16"/>
                      <w:szCs w:val="16"/>
                    </w:rPr>
                    <w:t>Poticaj bržoj gradnji VHCN mreža od strane svih operatora na tržištu</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rPr>
                  </w:pPr>
                  <w:r w:rsidRPr="00CB64A5">
                    <w:rPr>
                      <w:rFonts w:ascii="Arial Narrow" w:hAnsi="Arial Narrow"/>
                      <w:sz w:val="16"/>
                      <w:szCs w:val="16"/>
                    </w:rPr>
                    <w:t>Veliki vertikalno integrirani operatori koji su već dosegli 25% pokrivenosti će u uvjetima deregulacije ubrzati svoja daljnja ulaganja kako bi pokrili što više područja</w:t>
                  </w:r>
                </w:p>
                <w:p w:rsidR="00012220" w:rsidRPr="00CB64A5" w:rsidRDefault="00012220" w:rsidP="007F55BE">
                  <w:pPr>
                    <w:framePr w:hSpace="181" w:wrap="around" w:vAnchor="text" w:hAnchor="margin" w:y="304"/>
                    <w:ind w:left="720"/>
                    <w:contextualSpacing/>
                    <w:suppressOverlap/>
                    <w:rPr>
                      <w:rFonts w:ascii="Arial Narrow" w:hAnsi="Arial Narrow"/>
                      <w:iCs/>
                    </w:rPr>
                  </w:pPr>
                </w:p>
              </w:tc>
              <w:tc>
                <w:tcPr>
                  <w:tcW w:w="3685"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Povijesni operator može lakše usporiti rast tržišnog udjela na maloprodajnoj razini  operatora koji je pokrio minimalno 25% određenog geografskog područja u odnosu na onog operatora koji je pokrio minimalno 33% određenog geografskog područja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Usporit će se ulaganja u područjima koja ostaju regulirana jer se daljnjim ulaganjima alternativnih operatora prelazi prag koji povijesni operator postaje dereguliran-kod ove opcije je taj rizik najmanji</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U uvjetima kada postoji samo jedan alternativni operator s 25% pokrivenošću VHCN mrežom lakše je zadovoljen tržišni udio povijesnog operatora koji osigurava deregulaciju jer je mali ukupan broj krajnjih korisnika na VHCN mrežama.</w:t>
                  </w:r>
                </w:p>
                <w:p w:rsidR="00012220" w:rsidRPr="00CB64A5" w:rsidRDefault="00012220" w:rsidP="007F55BE">
                  <w:pPr>
                    <w:framePr w:hSpace="181" w:wrap="around" w:vAnchor="text" w:hAnchor="margin" w:y="304"/>
                    <w:ind w:left="720"/>
                    <w:contextualSpacing/>
                    <w:suppressOverlap/>
                    <w:rPr>
                      <w:rFonts w:ascii="Arial Narrow" w:hAnsi="Arial Narrow"/>
                      <w:iCs/>
                      <w:sz w:val="16"/>
                      <w:szCs w:val="16"/>
                    </w:rPr>
                  </w:pPr>
                </w:p>
              </w:tc>
            </w:tr>
            <w:tr w:rsidR="00012220" w:rsidRPr="00CB64A5" w:rsidTr="00495E79">
              <w:trPr>
                <w:trHeight w:val="363"/>
              </w:trPr>
              <w:tc>
                <w:tcPr>
                  <w:tcW w:w="1414" w:type="dxa"/>
                </w:tcPr>
                <w:p w:rsidR="00012220" w:rsidRPr="00CB64A5" w:rsidRDefault="00012220" w:rsidP="007F55B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2 – najmanje 33%</w:t>
                  </w:r>
                </w:p>
              </w:tc>
              <w:tc>
                <w:tcPr>
                  <w:tcW w:w="2970"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cstheme="minorHAnsi"/>
                      <w:iCs/>
                      <w:sz w:val="16"/>
                      <w:szCs w:val="16"/>
                    </w:rPr>
                    <w:t>Mogućnost da povijesni operator istisne konkurenciju na maloprodajnoj razini je manja u odnosu na Opciju 1 s obzirom da je alternativni operator već pokrio najmanje trećinu područja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cstheme="minorHAnsi"/>
                      <w:iCs/>
                      <w:sz w:val="16"/>
                      <w:szCs w:val="16"/>
                    </w:rPr>
                    <w:t>Pozitivni učinci koje donosi deregulacija će se osjetiti na manjem području nego kod opcije 1</w:t>
                  </w:r>
                </w:p>
              </w:tc>
              <w:tc>
                <w:tcPr>
                  <w:tcW w:w="3685"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Mogućnost regulatorne neučinkovitosti iz razloga što je slabo vjerojatno da povijesni operator u odsustvu regulacije može na maloprodajnoj razini istisnuti operatora koji  je pokrio minimalno trećinu tog geografskog područja (u nekim područjima je to realno i više s obzirom na brzinu gradnje i već objavljene namjere gradnje novih mreža)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sz w:val="16"/>
                      <w:szCs w:val="16"/>
                    </w:rPr>
                    <w:t xml:space="preserve">Manje fleksibilan pristup </w:t>
                  </w:r>
                  <w:r w:rsidRPr="00CB64A5">
                    <w:rPr>
                      <w:rFonts w:ascii="Arial Narrow" w:hAnsi="Arial Narrow" w:cstheme="minorHAnsi"/>
                      <w:iCs/>
                      <w:sz w:val="16"/>
                      <w:szCs w:val="16"/>
                    </w:rPr>
                    <w:t>krajnjim korisnicima od strane svih operatora na tržištu</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cstheme="minorHAnsi"/>
                      <w:iCs/>
                      <w:sz w:val="16"/>
                      <w:szCs w:val="16"/>
                    </w:rPr>
                  </w:pPr>
                  <w:r w:rsidRPr="00CB64A5">
                    <w:rPr>
                      <w:rFonts w:ascii="Arial Narrow" w:hAnsi="Arial Narrow" w:cstheme="minorHAnsi"/>
                      <w:iCs/>
                      <w:sz w:val="16"/>
                      <w:szCs w:val="16"/>
                    </w:rPr>
                    <w:t>Negativni učinci koje donosi nastavak regulacije će se osjetiti na više područja koja ostaju regulirana.</w:t>
                  </w:r>
                </w:p>
                <w:p w:rsidR="00012220" w:rsidRPr="00CB64A5" w:rsidRDefault="00012220" w:rsidP="007F55BE">
                  <w:pPr>
                    <w:framePr w:hSpace="181" w:wrap="around" w:vAnchor="text" w:hAnchor="margin" w:y="304"/>
                    <w:ind w:left="720"/>
                    <w:contextualSpacing/>
                    <w:suppressOverlap/>
                    <w:rPr>
                      <w:rFonts w:ascii="Arial Narrow" w:hAnsi="Arial Narrow" w:cstheme="minorHAnsi"/>
                      <w:iCs/>
                      <w:sz w:val="16"/>
                      <w:szCs w:val="16"/>
                    </w:rPr>
                  </w:pPr>
                </w:p>
              </w:tc>
            </w:tr>
          </w:tbl>
          <w:p w:rsidR="00012220" w:rsidRPr="00CB64A5" w:rsidRDefault="00012220" w:rsidP="00495E79"/>
          <w:p w:rsidR="00012220" w:rsidRPr="00CB64A5" w:rsidRDefault="00012220" w:rsidP="00495E79">
            <w:pPr>
              <w:keepNext/>
              <w:spacing w:after="200"/>
              <w:rPr>
                <w:rFonts w:ascii="Arial" w:hAnsi="Arial" w:cs="Simplified Arabic"/>
                <w:iCs/>
                <w:color w:val="44546A" w:themeColor="text2"/>
                <w:sz w:val="18"/>
                <w:szCs w:val="18"/>
                <w:lang w:val="en-US" w:bidi="ar-JO"/>
              </w:rPr>
            </w:pPr>
          </w:p>
          <w:p w:rsidR="00012220" w:rsidRPr="00CB64A5" w:rsidRDefault="00012220" w:rsidP="00495E79">
            <w:pPr>
              <w:keepNext/>
              <w:spacing w:after="200"/>
              <w:rPr>
                <w:rFonts w:cs="Simplified Arabic"/>
                <w:i/>
                <w:iCs/>
                <w:color w:val="44546A" w:themeColor="text2"/>
                <w:sz w:val="18"/>
                <w:szCs w:val="18"/>
                <w:lang w:val="en-US" w:bidi="ar-JO"/>
              </w:rPr>
            </w:pPr>
            <w:r w:rsidRPr="00CB64A5">
              <w:rPr>
                <w:rFonts w:ascii="Arial" w:hAnsi="Arial" w:cs="Simplified Arabic"/>
                <w:iCs/>
                <w:color w:val="44546A" w:themeColor="text2"/>
                <w:sz w:val="18"/>
                <w:szCs w:val="18"/>
                <w:lang w:val="en-US" w:bidi="ar-JO"/>
              </w:rPr>
              <w:t xml:space="preserve">Kriterij  </w:t>
            </w:r>
            <w:r w:rsidRPr="00CB64A5">
              <w:rPr>
                <w:rFonts w:ascii="Arial" w:hAnsi="Arial"/>
                <w:iCs/>
                <w:color w:val="44546A" w:themeColor="text2"/>
                <w:sz w:val="18"/>
                <w:szCs w:val="18"/>
                <w:lang w:val="en-US" w:bidi="ar-JO"/>
              </w:rPr>
              <w:fldChar w:fldCharType="begin"/>
            </w:r>
            <w:r w:rsidRPr="00CB64A5">
              <w:rPr>
                <w:rFonts w:ascii="Arial" w:hAnsi="Arial" w:cs="Simplified Arabic"/>
                <w:iCs/>
                <w:color w:val="44546A" w:themeColor="text2"/>
                <w:sz w:val="18"/>
                <w:szCs w:val="18"/>
                <w:lang w:val="en-US" w:bidi="ar-JO"/>
              </w:rPr>
              <w:instrText xml:space="preserve"> SEQ Kriterij_ \* ARABIC </w:instrText>
            </w:r>
            <w:r w:rsidRPr="00CB64A5">
              <w:rPr>
                <w:rFonts w:ascii="Arial" w:hAnsi="Arial"/>
                <w:iCs/>
                <w:color w:val="44546A" w:themeColor="text2"/>
                <w:sz w:val="18"/>
                <w:szCs w:val="18"/>
                <w:lang w:val="en-US" w:bidi="ar-JO"/>
              </w:rPr>
              <w:fldChar w:fldCharType="separate"/>
            </w:r>
            <w:r w:rsidRPr="00CB64A5">
              <w:rPr>
                <w:rFonts w:ascii="Arial" w:hAnsi="Arial" w:cs="Simplified Arabic"/>
                <w:iCs/>
                <w:noProof/>
                <w:color w:val="44546A" w:themeColor="text2"/>
                <w:sz w:val="18"/>
                <w:szCs w:val="18"/>
                <w:lang w:val="en-US" w:bidi="ar-JO"/>
              </w:rPr>
              <w:t>3</w:t>
            </w:r>
            <w:r w:rsidRPr="00CB64A5">
              <w:rPr>
                <w:rFonts w:ascii="Arial" w:hAnsi="Arial"/>
                <w:iCs/>
                <w:color w:val="44546A" w:themeColor="text2"/>
                <w:sz w:val="18"/>
                <w:szCs w:val="18"/>
                <w:lang w:val="en-US" w:bidi="ar-JO"/>
              </w:rPr>
              <w:fldChar w:fldCharType="end"/>
            </w:r>
            <w:r w:rsidRPr="00CB64A5">
              <w:rPr>
                <w:rFonts w:ascii="Arial" w:hAnsi="Arial" w:cs="Simplified Arabic"/>
                <w:i/>
                <w:iCs/>
                <w:color w:val="44546A" w:themeColor="text2"/>
                <w:sz w:val="18"/>
                <w:szCs w:val="18"/>
                <w:lang w:val="en-US" w:bidi="ar-JO"/>
              </w:rPr>
              <w:t xml:space="preserve"> </w:t>
            </w:r>
            <w:r w:rsidRPr="00CB64A5">
              <w:rPr>
                <w:rFonts w:ascii="Arial" w:hAnsi="Arial" w:cs="Simplified Arabic"/>
                <w:iCs/>
                <w:color w:val="44546A" w:themeColor="text2"/>
                <w:sz w:val="18"/>
                <w:szCs w:val="18"/>
              </w:rPr>
              <w:t>Tržišni udio HT Grupe na maloprodajnoj razini u geografskoj jedinici</w:t>
            </w:r>
          </w:p>
          <w:tbl>
            <w:tblPr>
              <w:tblStyle w:val="TableGrid"/>
              <w:tblW w:w="0" w:type="auto"/>
              <w:tblInd w:w="311" w:type="dxa"/>
              <w:tblLook w:val="04A0" w:firstRow="1" w:lastRow="0" w:firstColumn="1" w:lastColumn="0" w:noHBand="0" w:noVBand="1"/>
            </w:tblPr>
            <w:tblGrid>
              <w:gridCol w:w="1414"/>
              <w:gridCol w:w="2970"/>
              <w:gridCol w:w="3685"/>
            </w:tblGrid>
            <w:tr w:rsidR="00012220" w:rsidRPr="00CB64A5" w:rsidTr="00495E79">
              <w:trPr>
                <w:trHeight w:val="363"/>
              </w:trPr>
              <w:tc>
                <w:tcPr>
                  <w:tcW w:w="1414" w:type="dxa"/>
                </w:tcPr>
                <w:p w:rsidR="00012220" w:rsidRPr="00CB64A5" w:rsidRDefault="00012220" w:rsidP="007F55BE">
                  <w:pPr>
                    <w:framePr w:hSpace="181" w:wrap="around" w:vAnchor="text" w:hAnchor="margin" w:y="304"/>
                    <w:suppressOverlap/>
                    <w:rPr>
                      <w:rFonts w:ascii="Arial Narrow" w:hAnsi="Arial Narrow"/>
                      <w:iCs/>
                      <w:sz w:val="20"/>
                    </w:rPr>
                  </w:pPr>
                </w:p>
              </w:tc>
              <w:tc>
                <w:tcPr>
                  <w:tcW w:w="2970" w:type="dxa"/>
                </w:tcPr>
                <w:p w:rsidR="00012220" w:rsidRPr="00CB64A5" w:rsidRDefault="00012220" w:rsidP="007F55B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Koristi</w:t>
                  </w:r>
                </w:p>
              </w:tc>
              <w:tc>
                <w:tcPr>
                  <w:tcW w:w="3685" w:type="dxa"/>
                </w:tcPr>
                <w:p w:rsidR="00012220" w:rsidRPr="00CB64A5" w:rsidRDefault="00012220" w:rsidP="007F55B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Troškovi (Rizici)</w:t>
                  </w:r>
                </w:p>
              </w:tc>
            </w:tr>
            <w:tr w:rsidR="00012220" w:rsidRPr="00CB64A5" w:rsidTr="00495E79">
              <w:trPr>
                <w:trHeight w:val="386"/>
              </w:trPr>
              <w:tc>
                <w:tcPr>
                  <w:tcW w:w="1414" w:type="dxa"/>
                </w:tcPr>
                <w:p w:rsidR="00012220" w:rsidRPr="00CB64A5" w:rsidRDefault="00012220" w:rsidP="007F55B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1 – manji od 50%</w:t>
                  </w:r>
                </w:p>
              </w:tc>
              <w:tc>
                <w:tcPr>
                  <w:tcW w:w="2970"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cstheme="minorHAnsi"/>
                      <w:iCs/>
                      <w:sz w:val="16"/>
                      <w:szCs w:val="16"/>
                    </w:rPr>
                    <w:t>Povijesnom operatoru se omogućava fleksibilniji pristup kod određivanja maloprodajnih i veleprodajnih cijena, čime se omogućava i fleksibilniji pristup krajnjim korisnicima od strane svih operatora na tržištu</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Poticaj razvoju infrastrukturne konkurencije te većeg izbora za krajnje korisnike u smislu pružatelja usluga,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iCs/>
                      <w:sz w:val="16"/>
                      <w:szCs w:val="16"/>
                    </w:rPr>
                    <w:t>Poticaj razvoju novih i inovativnih usluga,</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sz w:val="16"/>
                      <w:szCs w:val="16"/>
                    </w:rPr>
                  </w:pPr>
                  <w:r w:rsidRPr="00CB64A5">
                    <w:rPr>
                      <w:rFonts w:ascii="Arial Narrow" w:hAnsi="Arial Narrow" w:cs="Simplified Arabic"/>
                      <w:sz w:val="16"/>
                      <w:szCs w:val="16"/>
                    </w:rPr>
                    <w:t>najveći pozitivni učinci deregulacije jer se ovom opcijom deregulira više područja</w:t>
                  </w:r>
                </w:p>
                <w:p w:rsidR="00012220" w:rsidRPr="00CB64A5" w:rsidRDefault="00012220" w:rsidP="007F55BE">
                  <w:pPr>
                    <w:framePr w:hSpace="181" w:wrap="around" w:vAnchor="text" w:hAnchor="margin" w:y="304"/>
                    <w:ind w:left="720"/>
                    <w:contextualSpacing/>
                    <w:suppressOverlap/>
                    <w:rPr>
                      <w:rFonts w:ascii="Arial Narrow" w:hAnsi="Arial Narrow"/>
                      <w:iCs/>
                      <w:sz w:val="16"/>
                      <w:szCs w:val="16"/>
                    </w:rPr>
                  </w:pPr>
                </w:p>
              </w:tc>
              <w:tc>
                <w:tcPr>
                  <w:tcW w:w="3685"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sz w:val="16"/>
                      <w:szCs w:val="16"/>
                    </w:rPr>
                  </w:pPr>
                  <w:r w:rsidRPr="00CB64A5">
                    <w:rPr>
                      <w:rFonts w:ascii="Arial Narrow" w:hAnsi="Arial Narrow"/>
                      <w:sz w:val="16"/>
                      <w:szCs w:val="16"/>
                    </w:rPr>
                    <w:t>Postoji mogućnost da povijesni operator, na područjima gdje ima tržišni udio između 40%-50%, postupa na način kojim se narušava tržišno natjecanje s obzirom da postoji mogućnosti da je uz tržišni udio od 40%-50% u vladajućem položaju, a što može dovesti do istiskivanja konkurencije s tržišta, što u dugom roku može dovesti do negativnih učinaka na krajnje korisnike u smislu manjeg izbora usluga, lošije kvalitete usluge, viših cijena</w:t>
                  </w:r>
                </w:p>
                <w:p w:rsidR="00012220" w:rsidRPr="00CB64A5" w:rsidRDefault="00012220" w:rsidP="007F55BE">
                  <w:pPr>
                    <w:framePr w:hSpace="181" w:wrap="around" w:vAnchor="text" w:hAnchor="margin" w:y="304"/>
                    <w:ind w:left="720"/>
                    <w:contextualSpacing/>
                    <w:suppressOverlap/>
                    <w:rPr>
                      <w:rFonts w:ascii="Arial Narrow" w:hAnsi="Arial Narrow"/>
                      <w:iCs/>
                      <w:sz w:val="20"/>
                    </w:rPr>
                  </w:pPr>
                </w:p>
              </w:tc>
            </w:tr>
            <w:tr w:rsidR="00012220" w:rsidRPr="00CB64A5" w:rsidTr="00495E79">
              <w:trPr>
                <w:trHeight w:val="758"/>
              </w:trPr>
              <w:tc>
                <w:tcPr>
                  <w:tcW w:w="1414" w:type="dxa"/>
                </w:tcPr>
                <w:p w:rsidR="00012220" w:rsidRPr="00CB64A5" w:rsidRDefault="00012220" w:rsidP="007F55B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2 – manji od 40%</w:t>
                  </w:r>
                </w:p>
              </w:tc>
              <w:tc>
                <w:tcPr>
                  <w:tcW w:w="2970"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20"/>
                    </w:rPr>
                  </w:pPr>
                  <w:r w:rsidRPr="00CB64A5">
                    <w:rPr>
                      <w:rFonts w:ascii="Arial Narrow" w:hAnsi="Arial Narrow" w:cstheme="minorHAnsi"/>
                      <w:iCs/>
                      <w:sz w:val="16"/>
                      <w:szCs w:val="16"/>
                    </w:rPr>
                    <w:t>Pozitivni učinci koje donosi deregulacija će se osjetiti na manjem području nego kod opcije 1.</w:t>
                  </w:r>
                </w:p>
              </w:tc>
              <w:tc>
                <w:tcPr>
                  <w:tcW w:w="3685" w:type="dxa"/>
                </w:tcPr>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Povijesni operator teži što većem tržišnom udjelu na maloprodajnoj razini,</w:t>
                  </w:r>
                </w:p>
                <w:p w:rsidR="00012220" w:rsidRPr="00CB64A5" w:rsidRDefault="00012220" w:rsidP="007F55BE">
                  <w:pPr>
                    <w:framePr w:hSpace="181" w:wrap="around" w:vAnchor="text" w:hAnchor="margin" w:y="304"/>
                    <w:numPr>
                      <w:ilvl w:val="0"/>
                      <w:numId w:val="14"/>
                    </w:numPr>
                    <w:contextualSpacing/>
                    <w:suppressOverlap/>
                    <w:rPr>
                      <w:rFonts w:ascii="Arial Narrow" w:hAnsi="Arial Narrow"/>
                      <w:iCs/>
                      <w:sz w:val="16"/>
                      <w:szCs w:val="16"/>
                    </w:rPr>
                  </w:pPr>
                  <w:r w:rsidRPr="00CB64A5">
                    <w:rPr>
                      <w:rFonts w:ascii="Arial Narrow" w:hAnsi="Arial Narrow"/>
                      <w:sz w:val="16"/>
                      <w:szCs w:val="16"/>
                    </w:rPr>
                    <w:t>Mogućnost regulatorne neučinkovitosti iz razloga što postoji vjerojatnost da se regulira operator koji nema najjači tržišni udio na maloprodajnoj razini.</w:t>
                  </w:r>
                </w:p>
              </w:tc>
            </w:tr>
          </w:tbl>
          <w:p w:rsidR="00012220" w:rsidRPr="00CB64A5" w:rsidRDefault="00012220" w:rsidP="00495E79">
            <w:pPr>
              <w:contextualSpacing/>
              <w:rPr>
                <w:rFonts w:asciiTheme="minorHAnsi" w:hAnsiTheme="minorHAnsi" w:cstheme="minorHAnsi"/>
                <w:szCs w:val="22"/>
              </w:rPr>
            </w:pPr>
          </w:p>
        </w:tc>
      </w:tr>
    </w:tbl>
    <w:p w:rsidR="00012220" w:rsidRDefault="00012220" w:rsidP="00012220">
      <w:pPr>
        <w:jc w:val="both"/>
        <w:rPr>
          <w:rFonts w:eastAsia="Times New Roman"/>
        </w:rPr>
      </w:pPr>
    </w:p>
    <w:p w:rsidR="00012220" w:rsidRDefault="00012220" w:rsidP="00012220">
      <w:pPr>
        <w:jc w:val="both"/>
        <w:rPr>
          <w:rFonts w:eastAsia="Times New Roman"/>
        </w:rPr>
      </w:pPr>
    </w:p>
    <w:p w:rsidR="00012220" w:rsidRDefault="00012220" w:rsidP="00012220">
      <w:pPr>
        <w:jc w:val="both"/>
        <w:rPr>
          <w:rFonts w:eastAsia="Times New Roman"/>
        </w:rPr>
      </w:pPr>
      <w:r>
        <w:rPr>
          <w:rFonts w:eastAsia="Times New Roman"/>
        </w:rPr>
        <w:t>Na temelju prepoznatih prednosti i rizika, za svaki odabrani kriterij dalje u tekstu je pojašnjen odabir odgovarajuće opcije.</w:t>
      </w:r>
    </w:p>
    <w:p w:rsidR="00012220" w:rsidRDefault="00012220" w:rsidP="00012220">
      <w:pPr>
        <w:jc w:val="both"/>
        <w:rPr>
          <w:rFonts w:eastAsia="Times New Roman"/>
        </w:rPr>
      </w:pPr>
    </w:p>
    <w:p w:rsidR="00012220" w:rsidRPr="00DB7DA0" w:rsidRDefault="00012220" w:rsidP="00012220">
      <w:pPr>
        <w:jc w:val="both"/>
        <w:rPr>
          <w:rFonts w:eastAsia="Times New Roman"/>
        </w:rPr>
      </w:pPr>
      <w:r w:rsidRPr="00DB7DA0">
        <w:rPr>
          <w:rFonts w:eastAsia="Times New Roman"/>
        </w:rPr>
        <w:t>U slučaju prvog kriterija, s obzirom da je za uvjete u RH</w:t>
      </w:r>
      <w:r>
        <w:rPr>
          <w:rFonts w:eastAsia="Times New Roman"/>
        </w:rPr>
        <w:t xml:space="preserve">, iz razloga </w:t>
      </w:r>
      <w:r w:rsidRPr="00DB7DA0">
        <w:rPr>
          <w:rFonts w:eastAsia="Times New Roman"/>
        </w:rPr>
        <w:t>ekonomsk</w:t>
      </w:r>
      <w:r>
        <w:rPr>
          <w:rFonts w:eastAsia="Times New Roman"/>
        </w:rPr>
        <w:t>e</w:t>
      </w:r>
      <w:r w:rsidRPr="00DB7DA0">
        <w:rPr>
          <w:rFonts w:eastAsia="Times New Roman"/>
        </w:rPr>
        <w:t xml:space="preserve"> neisplativost</w:t>
      </w:r>
      <w:r>
        <w:rPr>
          <w:rFonts w:eastAsia="Times New Roman"/>
        </w:rPr>
        <w:t>i,</w:t>
      </w:r>
      <w:r w:rsidRPr="00DB7DA0">
        <w:rPr>
          <w:rFonts w:eastAsia="Times New Roman"/>
        </w:rPr>
        <w:t xml:space="preserve"> za očekivati mali broj područja </w:t>
      </w:r>
      <w:r>
        <w:rPr>
          <w:rFonts w:eastAsia="Times New Roman"/>
        </w:rPr>
        <w:t>koja će</w:t>
      </w:r>
      <w:r w:rsidRPr="00DB7DA0">
        <w:rPr>
          <w:rFonts w:eastAsia="Times New Roman"/>
        </w:rPr>
        <w:t xml:space="preserve"> biti pokriven</w:t>
      </w:r>
      <w:r>
        <w:rPr>
          <w:rFonts w:eastAsia="Times New Roman"/>
        </w:rPr>
        <w:t>a infrastrukturom dva ili više alternativnih operatora uz i</w:t>
      </w:r>
      <w:r w:rsidRPr="00DB7DA0">
        <w:rPr>
          <w:rFonts w:eastAsia="Times New Roman"/>
        </w:rPr>
        <w:t>nfrastruktur</w:t>
      </w:r>
      <w:r>
        <w:rPr>
          <w:rFonts w:eastAsia="Times New Roman"/>
        </w:rPr>
        <w:t>u</w:t>
      </w:r>
      <w:r w:rsidRPr="00DB7DA0">
        <w:rPr>
          <w:rFonts w:eastAsia="Times New Roman"/>
        </w:rPr>
        <w:t xml:space="preserve"> </w:t>
      </w:r>
      <w:r>
        <w:rPr>
          <w:rFonts w:eastAsia="Times New Roman"/>
        </w:rPr>
        <w:t>HT-a,</w:t>
      </w:r>
      <w:r w:rsidRPr="00DB7DA0">
        <w:rPr>
          <w:rFonts w:eastAsia="Times New Roman"/>
        </w:rPr>
        <w:t xml:space="preserve"> </w:t>
      </w:r>
      <w:r>
        <w:rPr>
          <w:rFonts w:eastAsia="Times New Roman"/>
        </w:rPr>
        <w:t>HT</w:t>
      </w:r>
      <w:r w:rsidRPr="00DB7DA0">
        <w:rPr>
          <w:rFonts w:eastAsia="Times New Roman"/>
        </w:rPr>
        <w:t xml:space="preserve"> bi na većini područja ostao reguliran, iako na tim područjima ima tržišni udio ispod 50 posto, odnosno </w:t>
      </w:r>
      <w:r>
        <w:rPr>
          <w:rFonts w:eastAsia="Times New Roman"/>
        </w:rPr>
        <w:t xml:space="preserve">ispod </w:t>
      </w:r>
      <w:r w:rsidRPr="00DB7DA0">
        <w:rPr>
          <w:rFonts w:eastAsia="Times New Roman"/>
        </w:rPr>
        <w:t>40 posto</w:t>
      </w:r>
      <w:r w:rsidR="005615CA" w:rsidRPr="005615CA">
        <w:rPr>
          <w:rFonts w:eastAsia="Times New Roman"/>
        </w:rPr>
        <w:t xml:space="preserve"> i pokrivenost VHCN infrastrukturom jednaku ili manju od pokrivenosti VHCN infrastrukturom alternativnih operatora</w:t>
      </w:r>
      <w:r>
        <w:rPr>
          <w:rFonts w:eastAsia="Times New Roman"/>
        </w:rPr>
        <w:t xml:space="preserve">. Stoga je </w:t>
      </w:r>
      <w:r w:rsidRPr="00DB7DA0">
        <w:rPr>
          <w:rFonts w:eastAsia="Times New Roman"/>
        </w:rPr>
        <w:t>HAKOM zaključio da se prvom opcijom ostvaruju veći pozitivni učinci u smislu fleksibilnij</w:t>
      </w:r>
      <w:r>
        <w:rPr>
          <w:rFonts w:eastAsia="Times New Roman"/>
        </w:rPr>
        <w:t>eg</w:t>
      </w:r>
      <w:r w:rsidRPr="00DB7DA0">
        <w:rPr>
          <w:rFonts w:eastAsia="Times New Roman"/>
        </w:rPr>
        <w:t xml:space="preserve"> pristup</w:t>
      </w:r>
      <w:r>
        <w:rPr>
          <w:rFonts w:eastAsia="Times New Roman"/>
        </w:rPr>
        <w:t>a</w:t>
      </w:r>
      <w:r w:rsidRPr="00DB7DA0">
        <w:rPr>
          <w:rFonts w:eastAsia="Times New Roman"/>
        </w:rPr>
        <w:t xml:space="preserve"> prema većem broju krajnjih korisnika</w:t>
      </w:r>
      <w:r>
        <w:rPr>
          <w:rFonts w:eastAsia="Times New Roman"/>
        </w:rPr>
        <w:t xml:space="preserve"> radi deregulacije većeg broja područja</w:t>
      </w:r>
      <w:r w:rsidRPr="00DB7DA0">
        <w:rPr>
          <w:rFonts w:eastAsia="Times New Roman"/>
        </w:rPr>
        <w:t xml:space="preserve">, a time i veći poticaj bržoj </w:t>
      </w:r>
      <w:proofErr w:type="spellStart"/>
      <w:r w:rsidRPr="00DB7DA0">
        <w:rPr>
          <w:rFonts w:eastAsia="Times New Roman"/>
        </w:rPr>
        <w:t>utilizaciji</w:t>
      </w:r>
      <w:proofErr w:type="spellEnd"/>
      <w:r w:rsidRPr="00DB7DA0">
        <w:rPr>
          <w:rFonts w:eastAsia="Times New Roman"/>
        </w:rPr>
        <w:t xml:space="preserve"> VHCN mreža što će dodatno potaknuti ulaganja u VHCN mreže. </w:t>
      </w:r>
    </w:p>
    <w:p w:rsidR="00012220" w:rsidRPr="00DB7DA0" w:rsidRDefault="00012220" w:rsidP="00012220">
      <w:pPr>
        <w:jc w:val="both"/>
        <w:rPr>
          <w:rFonts w:eastAsia="Times New Roman"/>
        </w:rPr>
      </w:pPr>
    </w:p>
    <w:p w:rsidR="00012220" w:rsidRPr="00DB7DA0" w:rsidRDefault="00012220" w:rsidP="00012220">
      <w:pPr>
        <w:jc w:val="both"/>
        <w:rPr>
          <w:rFonts w:eastAsia="Times New Roman"/>
        </w:rPr>
      </w:pPr>
      <w:r w:rsidRPr="00DB7DA0">
        <w:rPr>
          <w:rFonts w:eastAsia="Times New Roman"/>
        </w:rPr>
        <w:t>Prednosti opcije 2 u odnosu na opciju 1 su zanemarivi u kontekstu činjenice da su prema podacima s kojima HAKOM raspolaže preklapanja infrastruktura različitih operatora mala i u pravilu neisplativa, iz čega proizlazi da postojanje dvije infrastrukture pored HT-ove ne jamče značajno niži rizik od istiskivanja konkurencije u slučaju deregulacije. Prema mišljenju HAKOM-a</w:t>
      </w:r>
      <w:r>
        <w:rPr>
          <w:rFonts w:eastAsia="Times New Roman"/>
        </w:rPr>
        <w:t>,</w:t>
      </w:r>
      <w:r w:rsidRPr="00DB7DA0">
        <w:rPr>
          <w:rFonts w:eastAsia="Times New Roman"/>
        </w:rPr>
        <w:t xml:space="preserve"> </w:t>
      </w:r>
      <w:r>
        <w:rPr>
          <w:rFonts w:eastAsia="Times New Roman"/>
        </w:rPr>
        <w:t xml:space="preserve">procijenjeni </w:t>
      </w:r>
      <w:r w:rsidRPr="00DB7DA0">
        <w:rPr>
          <w:rFonts w:eastAsia="Times New Roman"/>
        </w:rPr>
        <w:t xml:space="preserve">rizik </w:t>
      </w:r>
      <w:r>
        <w:rPr>
          <w:rFonts w:eastAsia="Times New Roman"/>
        </w:rPr>
        <w:t>koji se ogleda u</w:t>
      </w:r>
      <w:r w:rsidRPr="00092DDA">
        <w:rPr>
          <w:rFonts w:eastAsia="Times New Roman"/>
        </w:rPr>
        <w:t xml:space="preserve"> </w:t>
      </w:r>
      <w:r w:rsidRPr="00DB7DA0">
        <w:rPr>
          <w:rFonts w:eastAsia="Times New Roman"/>
        </w:rPr>
        <w:t>nedostupnost</w:t>
      </w:r>
      <w:r>
        <w:rPr>
          <w:rFonts w:eastAsia="Times New Roman"/>
        </w:rPr>
        <w:t>i</w:t>
      </w:r>
      <w:r w:rsidRPr="00DB7DA0">
        <w:rPr>
          <w:rFonts w:eastAsia="Times New Roman"/>
        </w:rPr>
        <w:t xml:space="preserve"> reguliranih veleprodajnih usluga HT-a jednak</w:t>
      </w:r>
      <w:r>
        <w:rPr>
          <w:rFonts w:eastAsia="Times New Roman"/>
        </w:rPr>
        <w:t xml:space="preserve"> je</w:t>
      </w:r>
      <w:r w:rsidRPr="00DB7DA0">
        <w:rPr>
          <w:rFonts w:eastAsia="Times New Roman"/>
        </w:rPr>
        <w:t xml:space="preserve"> i u slučaju opcije 1 i opcije 2</w:t>
      </w:r>
      <w:r>
        <w:rPr>
          <w:rFonts w:eastAsia="Times New Roman"/>
        </w:rPr>
        <w:t xml:space="preserve"> te</w:t>
      </w:r>
      <w:r w:rsidRPr="00DB7DA0">
        <w:rPr>
          <w:rFonts w:eastAsia="Times New Roman"/>
        </w:rPr>
        <w:t xml:space="preserve"> se može ukloniti prikladnijom simetričnom regulacijom koja će se primjenjivati u odnosu na pristup mreži na sve operatore koji imaju VHCN mrežu. S druge strane</w:t>
      </w:r>
      <w:r>
        <w:rPr>
          <w:rFonts w:eastAsia="Times New Roman"/>
        </w:rPr>
        <w:t>,</w:t>
      </w:r>
      <w:r w:rsidRPr="00DB7DA0">
        <w:rPr>
          <w:rFonts w:eastAsia="Times New Roman"/>
        </w:rPr>
        <w:t xml:space="preserve"> HAKOM je identificirao značajno veće rizike kod opcije 2 u pogledu usporavanja ulaganja u VHCN mreže, kako alternativnih operatora, tako i HT-a. </w:t>
      </w:r>
    </w:p>
    <w:p w:rsidR="00012220" w:rsidRPr="00DB7DA0" w:rsidRDefault="00012220" w:rsidP="00012220">
      <w:pPr>
        <w:jc w:val="both"/>
        <w:rPr>
          <w:rFonts w:eastAsia="Times New Roman"/>
        </w:rPr>
      </w:pPr>
    </w:p>
    <w:p w:rsidR="00012220" w:rsidRPr="00DB7DA0" w:rsidRDefault="00012220" w:rsidP="00012220">
      <w:pPr>
        <w:jc w:val="both"/>
        <w:rPr>
          <w:rFonts w:eastAsia="Times New Roman"/>
        </w:rPr>
      </w:pPr>
      <w:r w:rsidRPr="00DB7DA0">
        <w:rPr>
          <w:rFonts w:eastAsia="Times New Roman"/>
        </w:rPr>
        <w:t xml:space="preserve">Iz sličnih razloga, </w:t>
      </w:r>
      <w:r>
        <w:rPr>
          <w:rFonts w:eastAsia="Times New Roman"/>
        </w:rPr>
        <w:t>za</w:t>
      </w:r>
      <w:r w:rsidRPr="00DB7DA0">
        <w:rPr>
          <w:rFonts w:eastAsia="Times New Roman"/>
        </w:rPr>
        <w:t xml:space="preserve"> kriterij 2 </w:t>
      </w:r>
      <w:r>
        <w:rPr>
          <w:rFonts w:eastAsia="Times New Roman"/>
        </w:rPr>
        <w:t xml:space="preserve">HAKOM je zaključio da </w:t>
      </w:r>
      <w:r w:rsidRPr="00DB7DA0">
        <w:rPr>
          <w:rFonts w:eastAsia="Times New Roman"/>
        </w:rPr>
        <w:t>opcij</w:t>
      </w:r>
      <w:r>
        <w:rPr>
          <w:rFonts w:eastAsia="Times New Roman"/>
        </w:rPr>
        <w:t>a</w:t>
      </w:r>
      <w:r w:rsidRPr="00DB7DA0">
        <w:rPr>
          <w:rFonts w:eastAsia="Times New Roman"/>
        </w:rPr>
        <w:t xml:space="preserve"> 1 bolje doprinosi ciljevima iz članka 7. stavak 4. ZEK-a. Naime, veća postotna pokrivenost </w:t>
      </w:r>
      <w:r>
        <w:rPr>
          <w:rFonts w:eastAsia="Times New Roman"/>
        </w:rPr>
        <w:t xml:space="preserve">područja kao razmatrani kriterij </w:t>
      </w:r>
      <w:r w:rsidRPr="00DB7DA0">
        <w:rPr>
          <w:rFonts w:eastAsia="Times New Roman"/>
        </w:rPr>
        <w:t xml:space="preserve">ne umanjuje značajno </w:t>
      </w:r>
      <w:r>
        <w:rPr>
          <w:rFonts w:eastAsia="Times New Roman"/>
        </w:rPr>
        <w:t xml:space="preserve">opisane </w:t>
      </w:r>
      <w:r w:rsidRPr="00DB7DA0">
        <w:rPr>
          <w:rFonts w:eastAsia="Times New Roman"/>
        </w:rPr>
        <w:t>rizik</w:t>
      </w:r>
      <w:r>
        <w:rPr>
          <w:rFonts w:eastAsia="Times New Roman"/>
        </w:rPr>
        <w:t>e</w:t>
      </w:r>
      <w:r w:rsidRPr="00DB7DA0">
        <w:rPr>
          <w:rFonts w:eastAsia="Times New Roman"/>
        </w:rPr>
        <w:t xml:space="preserve"> od deregulacije, dok s druge strane može značajnije usporiti ulaganja u područjima koja bi ostala regulirana.</w:t>
      </w:r>
      <w:r w:rsidR="005615CA" w:rsidRPr="005615CA">
        <w:rPr>
          <w:rFonts w:eastAsia="Times New Roman"/>
        </w:rPr>
        <w:t xml:space="preserve"> S druge strane</w:t>
      </w:r>
      <w:r w:rsidR="00A87423">
        <w:rPr>
          <w:rFonts w:eastAsia="Times New Roman"/>
        </w:rPr>
        <w:t>,</w:t>
      </w:r>
      <w:r w:rsidR="005615CA" w:rsidRPr="005615CA">
        <w:rPr>
          <w:rFonts w:eastAsia="Times New Roman"/>
        </w:rPr>
        <w:t xml:space="preserve"> i 25 posto i 33 posto pojedinačne pokrivenosti VHCN infrastrukturom barem jednog alternativnog operatora sugerira da na području gdje je zadovoljen jedan ili drugi uvjet ne postoje značajnije strukturne zapreke ulasku na tržište te da će operator koji je već pokrio 25 posto ili 33 posto nekog područja VHCN mreže čija gradnja je trenutno u tijeku završiti sukladno svojim planovima, bez obzira na potencijalnu deregulaciju takvog područja. Uzimajući u obzir trendove</w:t>
      </w:r>
      <w:r w:rsidR="00A87423">
        <w:rPr>
          <w:rFonts w:eastAsia="Times New Roman"/>
        </w:rPr>
        <w:t xml:space="preserve"> prema kojim</w:t>
      </w:r>
      <w:r w:rsidR="005615CA" w:rsidRPr="005615CA">
        <w:rPr>
          <w:rFonts w:eastAsia="Times New Roman"/>
        </w:rPr>
        <w:t xml:space="preserve"> ulaganja u razvoj VHCN mreža, prvenstveno svjetlovodnih, rastu zadnjih godina</w:t>
      </w:r>
      <w:r w:rsidR="00A87423">
        <w:rPr>
          <w:rFonts w:eastAsia="Times New Roman"/>
        </w:rPr>
        <w:t>,</w:t>
      </w:r>
      <w:r w:rsidR="005615CA" w:rsidRPr="005615CA">
        <w:rPr>
          <w:rFonts w:eastAsia="Times New Roman"/>
        </w:rPr>
        <w:t xml:space="preserve"> kao i najavljena ulaganja kroz objave namjera gradnje svjetlovodnih distribucijskih mreža koje se planiraju završiti tijekom sljedeće dvije godine</w:t>
      </w:r>
      <w:r w:rsidR="00A87423">
        <w:rPr>
          <w:rFonts w:eastAsia="Times New Roman"/>
        </w:rPr>
        <w:t>,</w:t>
      </w:r>
      <w:r w:rsidR="005615CA" w:rsidRPr="005615CA">
        <w:rPr>
          <w:rFonts w:eastAsia="Times New Roman"/>
        </w:rPr>
        <w:t xml:space="preserve"> HAKOM očekuje da će se na područjima gdje je zadovoljen kriterij 25 posto pokrivanja već sada pokrivenost u razdoblju koje pokriva ova analiza dodatno povećati, međutim ne očekuje se da bi u većini geografskih područja pojedinačno pokrivanje moglo biti značajno veće od 50 posto. Zbog toga je HAKOM, uzimajući u obzir identificirane prednosti i nedostatke iz gornje tablice zaključio da opcija 1, tj. pojedinačno pokrivanje VHCN infrastrukturom alternativnog operatora od najmanje 25 posto bolje doprinosi ciljevima iz članka 7. stavak 4. ZEK-a.</w:t>
      </w:r>
    </w:p>
    <w:p w:rsidR="00012220" w:rsidRPr="00DB7DA0" w:rsidRDefault="00012220" w:rsidP="00012220">
      <w:pPr>
        <w:jc w:val="both"/>
        <w:rPr>
          <w:rFonts w:eastAsia="Times New Roman"/>
        </w:rPr>
      </w:pPr>
    </w:p>
    <w:p w:rsidR="00012220" w:rsidRDefault="00012220" w:rsidP="00012220">
      <w:pPr>
        <w:jc w:val="both"/>
        <w:rPr>
          <w:rFonts w:eastAsia="Times New Roman"/>
        </w:rPr>
      </w:pPr>
      <w:r w:rsidRPr="0049284B">
        <w:rPr>
          <w:rFonts w:eastAsia="Times New Roman"/>
        </w:rPr>
        <w:t xml:space="preserve">Kod kriterija 3, HAKOM </w:t>
      </w:r>
      <w:r w:rsidRPr="00463BB7">
        <w:rPr>
          <w:rFonts w:eastAsia="Times New Roman"/>
        </w:rPr>
        <w:t>j</w:t>
      </w:r>
      <w:r w:rsidRPr="0049284B">
        <w:rPr>
          <w:rFonts w:eastAsia="Times New Roman"/>
        </w:rPr>
        <w:t xml:space="preserve">e </w:t>
      </w:r>
      <w:r w:rsidRPr="00463BB7">
        <w:rPr>
          <w:rFonts w:eastAsia="Times New Roman"/>
        </w:rPr>
        <w:t xml:space="preserve">zaključio da </w:t>
      </w:r>
      <w:r>
        <w:rPr>
          <w:rFonts w:eastAsia="Times New Roman"/>
        </w:rPr>
        <w:t>opcija 2 (tržišni udio manji od 50 posto) ima veći pozitivan</w:t>
      </w:r>
      <w:r w:rsidRPr="00A72FA7">
        <w:rPr>
          <w:rFonts w:eastAsia="Times New Roman"/>
        </w:rPr>
        <w:t xml:space="preserve"> učin</w:t>
      </w:r>
      <w:r>
        <w:rPr>
          <w:rFonts w:eastAsia="Times New Roman"/>
        </w:rPr>
        <w:t>a</w:t>
      </w:r>
      <w:r w:rsidRPr="00A72FA7">
        <w:rPr>
          <w:rFonts w:eastAsia="Times New Roman"/>
        </w:rPr>
        <w:t xml:space="preserve">k u smislu fleksibilnijeg pristupa prema većem broju krajnjih korisnika radi deregulacije </w:t>
      </w:r>
      <w:r>
        <w:rPr>
          <w:rFonts w:eastAsia="Times New Roman"/>
        </w:rPr>
        <w:t>većeg</w:t>
      </w:r>
      <w:r w:rsidRPr="00A72FA7">
        <w:rPr>
          <w:rFonts w:eastAsia="Times New Roman"/>
        </w:rPr>
        <w:t xml:space="preserve"> broja područja</w:t>
      </w:r>
      <w:r>
        <w:rPr>
          <w:rFonts w:eastAsia="Times New Roman"/>
        </w:rPr>
        <w:t>, te u smislu poticaja ulaganja u VHCN mreže na većem broju područja.</w:t>
      </w:r>
    </w:p>
    <w:p w:rsidR="00012220" w:rsidRDefault="00012220" w:rsidP="00012220">
      <w:pPr>
        <w:jc w:val="both"/>
        <w:rPr>
          <w:rFonts w:eastAsia="Times New Roman"/>
        </w:rPr>
      </w:pPr>
    </w:p>
    <w:p w:rsidR="00012220" w:rsidRDefault="00012220" w:rsidP="00012220">
      <w:pPr>
        <w:jc w:val="both"/>
        <w:rPr>
          <w:rFonts w:eastAsia="Times New Roman"/>
        </w:rPr>
      </w:pPr>
      <w:r>
        <w:rPr>
          <w:rFonts w:eastAsia="Times New Roman"/>
        </w:rPr>
        <w:t>S druge strane, r</w:t>
      </w:r>
      <w:r w:rsidRPr="0049284B">
        <w:rPr>
          <w:rFonts w:eastAsia="Times New Roman"/>
        </w:rPr>
        <w:t>izik koji postoji kod primjene praga od 50 posto umjesto 40 posto nije toliko značajan.</w:t>
      </w:r>
      <w:r>
        <w:rPr>
          <w:rFonts w:eastAsia="Times New Roman"/>
        </w:rPr>
        <w:t xml:space="preserve"> </w:t>
      </w:r>
      <w:r w:rsidRPr="0049284B">
        <w:rPr>
          <w:rFonts w:eastAsia="Times New Roman"/>
        </w:rPr>
        <w:t xml:space="preserve">Naime, </w:t>
      </w:r>
      <w:r>
        <w:rPr>
          <w:rFonts w:eastAsia="Times New Roman"/>
        </w:rPr>
        <w:t>u slučaju odabira opcije</w:t>
      </w:r>
      <w:r w:rsidRPr="0049284B">
        <w:rPr>
          <w:rFonts w:eastAsia="Times New Roman"/>
        </w:rPr>
        <w:t xml:space="preserve"> tržišn</w:t>
      </w:r>
      <w:r>
        <w:rPr>
          <w:rFonts w:eastAsia="Times New Roman"/>
        </w:rPr>
        <w:t>og</w:t>
      </w:r>
      <w:r w:rsidRPr="0049284B">
        <w:rPr>
          <w:rFonts w:eastAsia="Times New Roman"/>
        </w:rPr>
        <w:t xml:space="preserve"> ud</w:t>
      </w:r>
      <w:r>
        <w:rPr>
          <w:rFonts w:eastAsia="Times New Roman"/>
        </w:rPr>
        <w:t>jela</w:t>
      </w:r>
      <w:r w:rsidRPr="0049284B">
        <w:rPr>
          <w:rFonts w:eastAsia="Times New Roman"/>
        </w:rPr>
        <w:t xml:space="preserve"> HT-a ispod 50 posto</w:t>
      </w:r>
      <w:r>
        <w:rPr>
          <w:rFonts w:eastAsia="Times New Roman"/>
        </w:rPr>
        <w:t>,</w:t>
      </w:r>
      <w:r w:rsidRPr="0049284B">
        <w:rPr>
          <w:rFonts w:eastAsia="Times New Roman"/>
        </w:rPr>
        <w:t xml:space="preserve"> ponašanje HT-a u uvjetima deregulacije koje bi bilo usmjereno narušavanju tržišnog natjecanja bi vrlo brzo dovelo do stanja koje je podložno ponovnoj regulaciji HT-a, a što HT svakako želi izbjeći. Također</w:t>
      </w:r>
      <w:r>
        <w:rPr>
          <w:rFonts w:eastAsia="Times New Roman"/>
        </w:rPr>
        <w:t>, u slučaju odabira opcije tržišnog udjela HT-a</w:t>
      </w:r>
      <w:r w:rsidRPr="0049284B">
        <w:rPr>
          <w:rFonts w:eastAsia="Times New Roman"/>
        </w:rPr>
        <w:t xml:space="preserve"> ispod 40 posto</w:t>
      </w:r>
      <w:r>
        <w:rPr>
          <w:rFonts w:eastAsia="Times New Roman"/>
        </w:rPr>
        <w:t>, HT-u neće biti u interesu smanjiti svoj tržišni udio u cilju deregulacije</w:t>
      </w:r>
      <w:r w:rsidRPr="0049284B">
        <w:rPr>
          <w:rFonts w:eastAsia="Times New Roman"/>
        </w:rPr>
        <w:t>.</w:t>
      </w:r>
    </w:p>
    <w:p w:rsidR="00012220" w:rsidRDefault="00012220" w:rsidP="00012220">
      <w:pPr>
        <w:jc w:val="both"/>
        <w:rPr>
          <w:rFonts w:eastAsia="Times New Roman"/>
        </w:rPr>
      </w:pPr>
    </w:p>
    <w:p w:rsidR="00012220" w:rsidRDefault="00012220" w:rsidP="00012220">
      <w:pPr>
        <w:jc w:val="both"/>
        <w:rPr>
          <w:rFonts w:eastAsia="Times New Roman"/>
        </w:rPr>
      </w:pPr>
      <w:r>
        <w:rPr>
          <w:rFonts w:eastAsia="Times New Roman"/>
        </w:rPr>
        <w:t>Nadalje</w:t>
      </w:r>
      <w:r w:rsidRPr="0049284B">
        <w:rPr>
          <w:rFonts w:eastAsia="Times New Roman"/>
        </w:rPr>
        <w:t xml:space="preserve">, u uvjetima deregulacije HT-a alternativni operatori </w:t>
      </w:r>
      <w:r>
        <w:rPr>
          <w:rFonts w:eastAsia="Times New Roman"/>
        </w:rPr>
        <w:t>će morati</w:t>
      </w:r>
      <w:r w:rsidRPr="0049284B">
        <w:rPr>
          <w:rFonts w:eastAsia="Times New Roman"/>
        </w:rPr>
        <w:t xml:space="preserve"> preuzeti više rizika te više ulagati kako bi ugrozili HT koji u dereguliranim uvjetima ima veću fleksibilnost za tržišno natjecanje s nadolazećom konkurencijom alternativnih operatora. U takvim uvjetima profitirali bi krajnji korisnici u smislu nižih cijena i bolje kvalitete i dostupnosti usluga.</w:t>
      </w:r>
    </w:p>
    <w:p w:rsidR="00FE6D9D" w:rsidRDefault="00FE6D9D" w:rsidP="00FE6D9D">
      <w:pPr>
        <w:jc w:val="both"/>
        <w:rPr>
          <w:rFonts w:eastAsia="Times New Roman"/>
        </w:rPr>
      </w:pPr>
    </w:p>
    <w:p w:rsidR="00FE6D9D" w:rsidRDefault="00FE6D9D" w:rsidP="00FE6D9D">
      <w:pPr>
        <w:jc w:val="both"/>
        <w:rPr>
          <w:rFonts w:eastAsia="Times New Roman"/>
        </w:rPr>
      </w:pPr>
      <w:r w:rsidRPr="009C6BF4">
        <w:rPr>
          <w:rFonts w:eastAsia="Times New Roman"/>
        </w:rPr>
        <w:t>S</w:t>
      </w:r>
      <w:r w:rsidR="00012220">
        <w:rPr>
          <w:rFonts w:eastAsia="Times New Roman"/>
        </w:rPr>
        <w:t>lijedom navedenog, s</w:t>
      </w:r>
      <w:r w:rsidRPr="009C6BF4">
        <w:rPr>
          <w:rFonts w:eastAsia="Times New Roman"/>
        </w:rPr>
        <w:t xml:space="preserve"> obzirom na trenutnu situaciju na mjerodavnom tržištu te pogotovo ako se uzme u obzir broj i rasprostranjenost alternativnih</w:t>
      </w:r>
      <w:r>
        <w:rPr>
          <w:rFonts w:eastAsia="Times New Roman"/>
        </w:rPr>
        <w:t xml:space="preserve"> VHCN</w:t>
      </w:r>
      <w:r w:rsidRPr="009C6BF4">
        <w:rPr>
          <w:rFonts w:eastAsia="Times New Roman"/>
        </w:rPr>
        <w:t xml:space="preserve"> infrastruktura u geografskim jedinicama u RH, HAKOM smatra opravdanim koristiti sljedeće kriterije za utvrđivanje konkurentskih uvjeta u geografskim jedinicama:</w:t>
      </w:r>
    </w:p>
    <w:p w:rsidR="00FE6D9D" w:rsidRPr="009C6BF4" w:rsidRDefault="00FE6D9D" w:rsidP="00FE6D9D">
      <w:pPr>
        <w:jc w:val="both"/>
        <w:rPr>
          <w:rFonts w:eastAsia="Times New Roman"/>
        </w:rPr>
      </w:pPr>
    </w:p>
    <w:p w:rsidR="00FE6D9D" w:rsidRPr="009C6BF4" w:rsidRDefault="00FE6D9D" w:rsidP="00766501">
      <w:pPr>
        <w:pStyle w:val="ListParagraph"/>
        <w:numPr>
          <w:ilvl w:val="0"/>
          <w:numId w:val="6"/>
        </w:numPr>
        <w:jc w:val="both"/>
        <w:rPr>
          <w:rFonts w:eastAsia="Times New Roman"/>
        </w:rPr>
      </w:pPr>
      <w:r>
        <w:rPr>
          <w:rFonts w:eastAsia="Times New Roman"/>
        </w:rPr>
        <w:t>postojanje minimalno jedne (1</w:t>
      </w:r>
      <w:r w:rsidRPr="009C6BF4">
        <w:rPr>
          <w:rFonts w:eastAsia="Times New Roman"/>
        </w:rPr>
        <w:t xml:space="preserve">) </w:t>
      </w:r>
      <w:r>
        <w:rPr>
          <w:rFonts w:eastAsia="Times New Roman"/>
        </w:rPr>
        <w:t xml:space="preserve">VHCN </w:t>
      </w:r>
      <w:r w:rsidRPr="009C6BF4">
        <w:rPr>
          <w:rFonts w:eastAsia="Times New Roman"/>
        </w:rPr>
        <w:t>infrastrukture</w:t>
      </w:r>
      <w:r>
        <w:rPr>
          <w:rStyle w:val="FootnoteReference"/>
        </w:rPr>
        <w:footnoteReference w:id="41"/>
      </w:r>
      <w:r>
        <w:rPr>
          <w:rFonts w:eastAsia="Times New Roman"/>
        </w:rPr>
        <w:t xml:space="preserve"> </w:t>
      </w:r>
      <w:r>
        <w:t xml:space="preserve">alternativnog operatora </w:t>
      </w:r>
      <w:r w:rsidRPr="009C6BF4">
        <w:rPr>
          <w:rFonts w:eastAsia="Times New Roman"/>
        </w:rPr>
        <w:t>u geografskoj jedinici</w:t>
      </w:r>
      <w:r>
        <w:rPr>
          <w:rFonts w:eastAsia="Times New Roman"/>
        </w:rPr>
        <w:t>,</w:t>
      </w:r>
      <w:r w:rsidRPr="009C6BF4">
        <w:rPr>
          <w:rFonts w:eastAsia="Times New Roman"/>
        </w:rPr>
        <w:t xml:space="preserve"> </w:t>
      </w:r>
    </w:p>
    <w:p w:rsidR="00FE6D9D" w:rsidRPr="009C6BF4" w:rsidRDefault="00FE6D9D" w:rsidP="00766501">
      <w:pPr>
        <w:pStyle w:val="ListParagraph"/>
        <w:numPr>
          <w:ilvl w:val="0"/>
          <w:numId w:val="6"/>
        </w:numPr>
        <w:jc w:val="both"/>
        <w:rPr>
          <w:rFonts w:eastAsia="Times New Roman"/>
        </w:rPr>
      </w:pPr>
      <w:r w:rsidRPr="009C6BF4">
        <w:rPr>
          <w:rFonts w:eastAsia="Times New Roman"/>
        </w:rPr>
        <w:t xml:space="preserve">pokrivenost </w:t>
      </w:r>
      <w:r>
        <w:rPr>
          <w:rFonts w:eastAsia="Times New Roman"/>
        </w:rPr>
        <w:t>VHCN</w:t>
      </w:r>
      <w:r w:rsidRPr="009C6BF4">
        <w:rPr>
          <w:rFonts w:eastAsia="Times New Roman"/>
        </w:rPr>
        <w:t xml:space="preserve"> infrastrukture</w:t>
      </w:r>
      <w:r>
        <w:rPr>
          <w:rFonts w:eastAsia="Times New Roman"/>
        </w:rPr>
        <w:t xml:space="preserve"> alternativnog operatora </w:t>
      </w:r>
      <w:r w:rsidRPr="009C6BF4">
        <w:rPr>
          <w:rFonts w:eastAsia="Times New Roman"/>
        </w:rPr>
        <w:t xml:space="preserve">s minimalno 25 posto </w:t>
      </w:r>
      <w:r>
        <w:rPr>
          <w:rFonts w:eastAsia="Times New Roman"/>
        </w:rPr>
        <w:t>korisničkih</w:t>
      </w:r>
      <w:r w:rsidRPr="009C6BF4">
        <w:rPr>
          <w:rFonts w:eastAsia="Times New Roman"/>
        </w:rPr>
        <w:t xml:space="preserve"> jedinica u geografskoj jedinici</w:t>
      </w:r>
      <w:r>
        <w:rPr>
          <w:rStyle w:val="FootnoteReference"/>
          <w:rFonts w:eastAsia="Times New Roman"/>
        </w:rPr>
        <w:footnoteReference w:id="42"/>
      </w:r>
      <w:r w:rsidRPr="009C6BF4">
        <w:rPr>
          <w:rFonts w:eastAsia="Times New Roman"/>
        </w:rPr>
        <w:t>,</w:t>
      </w:r>
    </w:p>
    <w:p w:rsidR="00FE6D9D" w:rsidRPr="009C6BF4" w:rsidRDefault="00FE6D9D" w:rsidP="00766501">
      <w:pPr>
        <w:pStyle w:val="ListParagraph"/>
        <w:numPr>
          <w:ilvl w:val="0"/>
          <w:numId w:val="6"/>
        </w:numPr>
        <w:jc w:val="both"/>
        <w:rPr>
          <w:rFonts w:eastAsia="Times New Roman"/>
        </w:rPr>
      </w:pPr>
      <w:r w:rsidRPr="009C6BF4">
        <w:rPr>
          <w:rFonts w:eastAsia="Times New Roman"/>
        </w:rPr>
        <w:t>tržišni udio HT Grupe na maloprodajnoj razini u geografskoj jedinici je niži od 50 posto.</w:t>
      </w:r>
    </w:p>
    <w:p w:rsidR="00FE6D9D" w:rsidRDefault="00FE6D9D" w:rsidP="00FE6D9D">
      <w:pPr>
        <w:jc w:val="both"/>
        <w:rPr>
          <w:rFonts w:eastAsia="Times New Roman"/>
        </w:rPr>
      </w:pPr>
    </w:p>
    <w:p w:rsidR="00855405" w:rsidRDefault="00FE6D9D" w:rsidP="00FE6D9D">
      <w:pPr>
        <w:jc w:val="both"/>
        <w:rPr>
          <w:rFonts w:eastAsia="Times New Roman"/>
        </w:rPr>
      </w:pPr>
      <w:r w:rsidRPr="009C6BF4">
        <w:rPr>
          <w:rFonts w:eastAsia="Times New Roman"/>
        </w:rPr>
        <w:t xml:space="preserve">Nakon što su definirani kriteriji za utvrđivanje infrastrukturne konkurencije, HAKOM će provesti analizu utvrđivanja </w:t>
      </w:r>
      <w:r w:rsidR="00012220" w:rsidRPr="009C6BF4">
        <w:rPr>
          <w:rFonts w:eastAsia="Times New Roman"/>
        </w:rPr>
        <w:t>konkurent</w:t>
      </w:r>
      <w:r w:rsidR="00012220">
        <w:rPr>
          <w:rFonts w:eastAsia="Times New Roman"/>
        </w:rPr>
        <w:t>ni</w:t>
      </w:r>
      <w:r w:rsidR="00012220" w:rsidRPr="009C6BF4">
        <w:rPr>
          <w:rFonts w:eastAsia="Times New Roman"/>
        </w:rPr>
        <w:t xml:space="preserve">h </w:t>
      </w:r>
      <w:r w:rsidRPr="009C6BF4">
        <w:rPr>
          <w:rFonts w:eastAsia="Times New Roman"/>
        </w:rPr>
        <w:t xml:space="preserve">uvjeta u svim geografskih jedinicama. Na temelju utvrđene razine uvjeta tržišnog natjecanja, HAKOM će sve geografske jedinice </w:t>
      </w:r>
      <w:r w:rsidR="00855405">
        <w:rPr>
          <w:rFonts w:eastAsia="Times New Roman"/>
        </w:rPr>
        <w:t>grupirati u</w:t>
      </w:r>
      <w:r w:rsidRPr="009C6BF4">
        <w:rPr>
          <w:rFonts w:eastAsia="Times New Roman"/>
        </w:rPr>
        <w:t xml:space="preserve"> konku</w:t>
      </w:r>
      <w:r w:rsidR="00855405">
        <w:rPr>
          <w:rFonts w:eastAsia="Times New Roman"/>
        </w:rPr>
        <w:t>rentna i nekonkurentna područja te na taj način odrediti granice odvojenih geografskih tržišta:</w:t>
      </w:r>
      <w:r>
        <w:rPr>
          <w:rFonts w:eastAsia="Times New Roman"/>
        </w:rPr>
        <w:t xml:space="preserve"> </w:t>
      </w:r>
    </w:p>
    <w:p w:rsidR="00855405" w:rsidRPr="00855405" w:rsidRDefault="00855405" w:rsidP="00766501">
      <w:pPr>
        <w:pStyle w:val="ListParagraph"/>
        <w:numPr>
          <w:ilvl w:val="0"/>
          <w:numId w:val="57"/>
        </w:numPr>
        <w:rPr>
          <w:rFonts w:eastAsia="Times New Roman"/>
        </w:rPr>
      </w:pPr>
      <w:r>
        <w:rPr>
          <w:rFonts w:eastAsia="Times New Roman"/>
        </w:rPr>
        <w:t>Tržište</w:t>
      </w:r>
      <w:r w:rsidRPr="00855405">
        <w:rPr>
          <w:rFonts w:eastAsia="Times New Roman"/>
        </w:rPr>
        <w:t xml:space="preserve"> velikog kapaciteta – konkurentna područja </w:t>
      </w:r>
    </w:p>
    <w:p w:rsidR="00855405" w:rsidRPr="00855405" w:rsidRDefault="00855405" w:rsidP="00766501">
      <w:pPr>
        <w:pStyle w:val="ListParagraph"/>
        <w:numPr>
          <w:ilvl w:val="0"/>
          <w:numId w:val="57"/>
        </w:numPr>
        <w:jc w:val="both"/>
        <w:rPr>
          <w:rFonts w:eastAsia="Times New Roman"/>
        </w:rPr>
      </w:pPr>
      <w:r w:rsidRPr="00855405">
        <w:rPr>
          <w:rFonts w:eastAsia="Times New Roman"/>
        </w:rPr>
        <w:t>Tržište velikog kapaciteta –</w:t>
      </w:r>
      <w:r>
        <w:rPr>
          <w:rFonts w:eastAsia="Times New Roman"/>
        </w:rPr>
        <w:t xml:space="preserve"> ne</w:t>
      </w:r>
      <w:r w:rsidRPr="00855405">
        <w:rPr>
          <w:rFonts w:eastAsia="Times New Roman"/>
        </w:rPr>
        <w:t xml:space="preserve">konkurentna područja </w:t>
      </w:r>
    </w:p>
    <w:p w:rsidR="00855405" w:rsidRDefault="00855405" w:rsidP="00FE6D9D">
      <w:pPr>
        <w:jc w:val="both"/>
        <w:rPr>
          <w:rFonts w:eastAsia="Times New Roman"/>
        </w:rPr>
      </w:pPr>
    </w:p>
    <w:p w:rsidR="00FE6D9D" w:rsidRPr="009C6BF4" w:rsidRDefault="00013D23" w:rsidP="00FE6D9D">
      <w:pPr>
        <w:jc w:val="both"/>
        <w:rPr>
          <w:rFonts w:eastAsia="Times New Roman"/>
        </w:rPr>
      </w:pPr>
      <w:r>
        <w:rPr>
          <w:rFonts w:eastAsia="Times New Roman"/>
        </w:rPr>
        <w:t>Takva podjela tržišta velikog kapaciteta</w:t>
      </w:r>
      <w:r w:rsidR="00FE6D9D">
        <w:rPr>
          <w:rFonts w:eastAsia="Times New Roman"/>
        </w:rPr>
        <w:t xml:space="preserve"> na konkurentna i nekonkurentna područja ne prejudicira </w:t>
      </w:r>
      <w:r>
        <w:rPr>
          <w:rFonts w:eastAsia="Times New Roman"/>
        </w:rPr>
        <w:t xml:space="preserve">ishod </w:t>
      </w:r>
      <w:r w:rsidR="00FE6D9D">
        <w:rPr>
          <w:rFonts w:eastAsia="Times New Roman"/>
        </w:rPr>
        <w:t>Test</w:t>
      </w:r>
      <w:r>
        <w:rPr>
          <w:rFonts w:eastAsia="Times New Roman"/>
        </w:rPr>
        <w:t>a</w:t>
      </w:r>
      <w:r w:rsidR="00FE6D9D">
        <w:rPr>
          <w:rFonts w:eastAsia="Times New Roman"/>
        </w:rPr>
        <w:t xml:space="preserve"> tri mjerila koji će biti proveden za konkurentna područja.</w:t>
      </w:r>
    </w:p>
    <w:p w:rsidR="00FE6D9D" w:rsidRPr="0082266F" w:rsidRDefault="00855405" w:rsidP="0082266F">
      <w:pPr>
        <w:pStyle w:val="Heading2"/>
      </w:pPr>
      <w:bookmarkStart w:id="251" w:name="_Toc105596035"/>
      <w:bookmarkStart w:id="252" w:name="_Toc124928596"/>
      <w:bookmarkStart w:id="253" w:name="_Toc124946938"/>
      <w:bookmarkStart w:id="254" w:name="_Toc124948848"/>
      <w:bookmarkStart w:id="255" w:name="_Toc124951743"/>
      <w:bookmarkStart w:id="256" w:name="_Toc125644893"/>
      <w:r w:rsidRPr="0082266F">
        <w:t>Tržište velikog kapaciteta - k</w:t>
      </w:r>
      <w:r w:rsidR="00FE6D9D" w:rsidRPr="0082266F">
        <w:t>onkurentna područja</w:t>
      </w:r>
      <w:bookmarkEnd w:id="251"/>
      <w:bookmarkEnd w:id="252"/>
      <w:bookmarkEnd w:id="253"/>
      <w:bookmarkEnd w:id="254"/>
      <w:bookmarkEnd w:id="255"/>
      <w:bookmarkEnd w:id="256"/>
      <w:r w:rsidR="00FE6D9D" w:rsidRPr="0082266F">
        <w:t xml:space="preserve"> </w:t>
      </w:r>
    </w:p>
    <w:p w:rsidR="00FE6D9D" w:rsidRDefault="00FE6D9D" w:rsidP="00FE6D9D">
      <w:pPr>
        <w:jc w:val="both"/>
        <w:rPr>
          <w:rFonts w:eastAsia="Times New Roman"/>
        </w:rPr>
      </w:pPr>
      <w:r w:rsidRPr="009C6BF4">
        <w:rPr>
          <w:rFonts w:eastAsia="Times New Roman"/>
        </w:rPr>
        <w:t>Ova područja čine sve geografske jedinice u kojima su istodobno zadovoljena sva tri navedena kriterija. Navedeno znači da</w:t>
      </w:r>
      <w:r>
        <w:rPr>
          <w:rFonts w:eastAsia="Times New Roman"/>
        </w:rPr>
        <w:t xml:space="preserve"> </w:t>
      </w:r>
      <w:r w:rsidR="00855405">
        <w:rPr>
          <w:rFonts w:eastAsia="Times New Roman"/>
        </w:rPr>
        <w:t xml:space="preserve">Tržište velikog kapaciteta - </w:t>
      </w:r>
      <w:r>
        <w:rPr>
          <w:rFonts w:eastAsia="Times New Roman"/>
        </w:rPr>
        <w:t>konkurentna područja</w:t>
      </w:r>
      <w:r w:rsidRPr="009C6BF4">
        <w:rPr>
          <w:rFonts w:eastAsia="Times New Roman"/>
        </w:rPr>
        <w:t xml:space="preserve"> obuhvaća</w:t>
      </w:r>
      <w:r>
        <w:rPr>
          <w:rFonts w:eastAsia="Times New Roman"/>
        </w:rPr>
        <w:t xml:space="preserve">ju </w:t>
      </w:r>
      <w:r w:rsidRPr="009C6BF4">
        <w:rPr>
          <w:rFonts w:eastAsia="Times New Roman"/>
        </w:rPr>
        <w:t>sve one geografske jedinice u kojima</w:t>
      </w:r>
      <w:r>
        <w:rPr>
          <w:rFonts w:eastAsia="Times New Roman"/>
        </w:rPr>
        <w:t xml:space="preserve"> (I)</w:t>
      </w:r>
      <w:r w:rsidRPr="009C6BF4">
        <w:rPr>
          <w:rFonts w:eastAsia="Times New Roman"/>
        </w:rPr>
        <w:t xml:space="preserve"> </w:t>
      </w:r>
      <w:r>
        <w:rPr>
          <w:rFonts w:eastAsia="Times New Roman"/>
        </w:rPr>
        <w:t>postoji minimalno jedna (1) VHCN infrastruktura</w:t>
      </w:r>
      <w:r w:rsidR="00392CF1">
        <w:rPr>
          <w:rFonts w:eastAsia="Times New Roman"/>
        </w:rPr>
        <w:t xml:space="preserve"> alternativnog operatora</w:t>
      </w:r>
      <w:r>
        <w:rPr>
          <w:rFonts w:eastAsia="Times New Roman"/>
        </w:rPr>
        <w:t xml:space="preserve">, (II) spomenutom VHCN infrastrukturom </w:t>
      </w:r>
      <w:r w:rsidR="00392CF1">
        <w:rPr>
          <w:rFonts w:eastAsia="Times New Roman"/>
        </w:rPr>
        <w:t>alternativnog operatora</w:t>
      </w:r>
      <w:r>
        <w:rPr>
          <w:rFonts w:eastAsia="Times New Roman"/>
        </w:rPr>
        <w:t xml:space="preserve"> pokriveno je minimalno </w:t>
      </w:r>
      <w:r w:rsidRPr="009C6BF4">
        <w:rPr>
          <w:rFonts w:eastAsia="Times New Roman"/>
        </w:rPr>
        <w:t>25 posto</w:t>
      </w:r>
      <w:r>
        <w:rPr>
          <w:rFonts w:eastAsia="Times New Roman"/>
        </w:rPr>
        <w:t xml:space="preserve"> korisničkih</w:t>
      </w:r>
      <w:r w:rsidRPr="009C6BF4">
        <w:rPr>
          <w:rFonts w:eastAsia="Times New Roman"/>
        </w:rPr>
        <w:t xml:space="preserve"> jedinica u geografskoj jedinici</w:t>
      </w:r>
      <w:r>
        <w:rPr>
          <w:rFonts w:eastAsia="Times New Roman"/>
        </w:rPr>
        <w:t xml:space="preserve"> te je (II) maloprodajni tržišni udio HT Grupe u toj geografskoj jedinici manji od 50 posto.</w:t>
      </w:r>
    </w:p>
    <w:p w:rsidR="00B8604F" w:rsidRDefault="00B8604F" w:rsidP="00FE6D9D">
      <w:pPr>
        <w:jc w:val="both"/>
        <w:rPr>
          <w:rFonts w:eastAsia="Times New Roman"/>
        </w:rPr>
      </w:pPr>
    </w:p>
    <w:p w:rsidR="00FE6D9D" w:rsidRDefault="00FE6D9D" w:rsidP="00FE6D9D">
      <w:pPr>
        <w:jc w:val="both"/>
        <w:rPr>
          <w:rFonts w:eastAsia="Times New Roman"/>
        </w:rPr>
      </w:pPr>
      <w:r>
        <w:rPr>
          <w:rFonts w:eastAsia="Times New Roman"/>
        </w:rPr>
        <w:t xml:space="preserve">Nastavno na provedenu analizu u svih </w:t>
      </w:r>
      <w:r w:rsidRPr="00B8604F">
        <w:rPr>
          <w:rFonts w:eastAsia="Times New Roman"/>
        </w:rPr>
        <w:t>572</w:t>
      </w:r>
      <w:r>
        <w:rPr>
          <w:rFonts w:eastAsia="Times New Roman"/>
        </w:rPr>
        <w:t xml:space="preserve"> geografske jedinice, HAKOM je zaključio kako su sva tri kriterija zadovoljena u </w:t>
      </w:r>
      <w:r w:rsidRPr="00B8604F">
        <w:rPr>
          <w:rFonts w:eastAsia="Times New Roman"/>
        </w:rPr>
        <w:t>79</w:t>
      </w:r>
      <w:r>
        <w:rPr>
          <w:rFonts w:eastAsia="Times New Roman"/>
        </w:rPr>
        <w:t xml:space="preserve"> geografskih jedinica što predstavlja </w:t>
      </w:r>
      <w:r w:rsidRPr="00B8604F">
        <w:rPr>
          <w:rFonts w:eastAsia="Times New Roman"/>
        </w:rPr>
        <w:t>13,81 posto</w:t>
      </w:r>
      <w:r>
        <w:rPr>
          <w:rFonts w:eastAsia="Times New Roman"/>
        </w:rPr>
        <w:t xml:space="preserve"> svih geografskih jedinica (</w:t>
      </w:r>
      <w:r w:rsidR="002E0BC9">
        <w:rPr>
          <w:rFonts w:eastAsia="Times New Roman"/>
        </w:rPr>
        <w:fldChar w:fldCharType="begin"/>
      </w:r>
      <w:r w:rsidR="002E0BC9">
        <w:rPr>
          <w:rFonts w:eastAsia="Times New Roman"/>
        </w:rPr>
        <w:instrText xml:space="preserve"> REF _Ref124931304 \h </w:instrText>
      </w:r>
      <w:r w:rsidR="002E0BC9">
        <w:rPr>
          <w:rFonts w:eastAsia="Times New Roman"/>
        </w:rPr>
      </w:r>
      <w:r w:rsidR="002E0BC9">
        <w:rPr>
          <w:rFonts w:eastAsia="Times New Roman"/>
        </w:rPr>
        <w:fldChar w:fldCharType="separate"/>
      </w:r>
      <w:r w:rsidR="002E0BC9">
        <w:t xml:space="preserve">Slika </w:t>
      </w:r>
      <w:r w:rsidR="002E0BC9">
        <w:rPr>
          <w:noProof/>
        </w:rPr>
        <w:t>16</w:t>
      </w:r>
      <w:r w:rsidR="002E0BC9">
        <w:rPr>
          <w:rFonts w:eastAsia="Times New Roman"/>
        </w:rPr>
        <w:fldChar w:fldCharType="end"/>
      </w:r>
      <w:r>
        <w:rPr>
          <w:rFonts w:eastAsia="Times New Roman"/>
        </w:rPr>
        <w:t xml:space="preserve">). </w:t>
      </w:r>
    </w:p>
    <w:p w:rsidR="00FE6D9D" w:rsidRPr="00DF29B8" w:rsidRDefault="00FE6D9D" w:rsidP="00FE6D9D">
      <w:pPr>
        <w:jc w:val="both"/>
        <w:rPr>
          <w:rFonts w:eastAsia="Times New Roman"/>
        </w:rPr>
      </w:pPr>
    </w:p>
    <w:p w:rsidR="002E0BC9" w:rsidRPr="00CD38D2" w:rsidRDefault="00CD38D2" w:rsidP="00CD38D2">
      <w:pPr>
        <w:pStyle w:val="Caption"/>
      </w:pPr>
      <w:bookmarkStart w:id="257" w:name="_Ref124931304"/>
      <w:r>
        <w:t xml:space="preserve">Slika </w:t>
      </w:r>
      <w:r w:rsidR="00C60C6F">
        <w:fldChar w:fldCharType="begin"/>
      </w:r>
      <w:r w:rsidR="00C60C6F">
        <w:instrText xml:space="preserve"> SEQ Slika \* ARABIC </w:instrText>
      </w:r>
      <w:r w:rsidR="00C60C6F">
        <w:fldChar w:fldCharType="separate"/>
      </w:r>
      <w:r w:rsidR="006A29BC">
        <w:rPr>
          <w:noProof/>
        </w:rPr>
        <w:t>16</w:t>
      </w:r>
      <w:r w:rsidR="00C60C6F">
        <w:rPr>
          <w:noProof/>
        </w:rPr>
        <w:fldChar w:fldCharType="end"/>
      </w:r>
      <w:bookmarkEnd w:id="257"/>
      <w:r>
        <w:t xml:space="preserve"> </w:t>
      </w:r>
      <w:r w:rsidR="002E0BC9" w:rsidRPr="00CD38D2">
        <w:t>Geografske jedinice koje ulaze u konkurentna područja</w:t>
      </w:r>
    </w:p>
    <w:p w:rsidR="00FE6D9D" w:rsidRDefault="00FE6D9D" w:rsidP="00FE6D9D">
      <w:pPr>
        <w:jc w:val="both"/>
        <w:rPr>
          <w:rFonts w:eastAsia="Times New Roman"/>
        </w:rPr>
      </w:pPr>
      <w:r w:rsidRPr="00987B6B">
        <w:rPr>
          <w:noProof/>
          <w:lang w:val="en-US"/>
        </w:rPr>
        <w:drawing>
          <wp:inline distT="0" distB="0" distL="0" distR="0" wp14:anchorId="398FEF97" wp14:editId="61E758C8">
            <wp:extent cx="5943600" cy="33458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3600" cy="3345815"/>
                    </a:xfrm>
                    <a:prstGeom prst="rect">
                      <a:avLst/>
                    </a:prstGeom>
                  </pic:spPr>
                </pic:pic>
              </a:graphicData>
            </a:graphic>
          </wp:inline>
        </w:drawing>
      </w:r>
    </w:p>
    <w:p w:rsidR="00FE6D9D"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U Privitku 3 ovog dokumenta nalazi se popis </w:t>
      </w:r>
      <w:r w:rsidR="00392CF1">
        <w:rPr>
          <w:rFonts w:eastAsia="Times New Roman"/>
        </w:rPr>
        <w:t xml:space="preserve">svih geografskih jedinica koje pripadaju </w:t>
      </w:r>
      <w:r w:rsidR="00141AEC">
        <w:rPr>
          <w:rFonts w:eastAsia="Times New Roman"/>
        </w:rPr>
        <w:t xml:space="preserve">Tržištu velikog kapaciteta - </w:t>
      </w:r>
      <w:r w:rsidR="00392CF1">
        <w:rPr>
          <w:rFonts w:eastAsia="Times New Roman"/>
        </w:rPr>
        <w:t>konkurentn</w:t>
      </w:r>
      <w:r w:rsidR="00141AEC">
        <w:rPr>
          <w:rFonts w:eastAsia="Times New Roman"/>
        </w:rPr>
        <w:t>a</w:t>
      </w:r>
      <w:r>
        <w:rPr>
          <w:rFonts w:eastAsia="Times New Roman"/>
        </w:rPr>
        <w:t xml:space="preserve"> područj</w:t>
      </w:r>
      <w:r w:rsidR="00141AEC">
        <w:rPr>
          <w:rFonts w:eastAsia="Times New Roman"/>
        </w:rPr>
        <w:t>a</w:t>
      </w:r>
      <w:r>
        <w:rPr>
          <w:rFonts w:eastAsia="Times New Roman"/>
        </w:rPr>
        <w:t xml:space="preserve"> odnosno svih geografskih jedinica u kojima su zadovoljena sva tri kriterija.</w:t>
      </w:r>
    </w:p>
    <w:p w:rsidR="00FE6D9D" w:rsidRDefault="00FE6D9D" w:rsidP="00FE6D9D">
      <w:pPr>
        <w:jc w:val="both"/>
        <w:rPr>
          <w:rFonts w:eastAsia="Times New Roman"/>
        </w:rPr>
      </w:pPr>
    </w:p>
    <w:p w:rsidR="00FE6D9D" w:rsidRPr="009C6BF4" w:rsidRDefault="00FE6D9D" w:rsidP="00FE6D9D">
      <w:pPr>
        <w:jc w:val="both"/>
        <w:rPr>
          <w:rFonts w:eastAsia="Times New Roman"/>
        </w:rPr>
      </w:pPr>
      <w:r>
        <w:rPr>
          <w:rFonts w:eastAsia="Times New Roman"/>
        </w:rPr>
        <w:t xml:space="preserve">HAKOM će za </w:t>
      </w:r>
      <w:r w:rsidR="00392CF1">
        <w:rPr>
          <w:rFonts w:eastAsia="Times New Roman"/>
        </w:rPr>
        <w:t>Tržište velikog kapaciteta -</w:t>
      </w:r>
      <w:r>
        <w:rPr>
          <w:rFonts w:eastAsia="Times New Roman"/>
        </w:rPr>
        <w:t xml:space="preserve"> konkurentna područja provesti Test tri mjerila kako bi utvrdio </w:t>
      </w:r>
      <w:r w:rsidR="00392CF1">
        <w:rPr>
          <w:rFonts w:eastAsia="Times New Roman"/>
        </w:rPr>
        <w:t>je</w:t>
      </w:r>
      <w:r>
        <w:rPr>
          <w:rFonts w:eastAsia="Times New Roman"/>
        </w:rPr>
        <w:t xml:space="preserve"> li </w:t>
      </w:r>
      <w:r w:rsidR="00392CF1">
        <w:rPr>
          <w:rFonts w:eastAsia="Times New Roman"/>
        </w:rPr>
        <w:t>to geografsko tržište podložno</w:t>
      </w:r>
      <w:r>
        <w:rPr>
          <w:rFonts w:eastAsia="Times New Roman"/>
        </w:rPr>
        <w:t xml:space="preserve"> prethodnoj regulaciji.</w:t>
      </w:r>
    </w:p>
    <w:p w:rsidR="00FE6D9D" w:rsidRPr="0082266F" w:rsidRDefault="00F810D3" w:rsidP="0082266F">
      <w:pPr>
        <w:pStyle w:val="Heading2"/>
      </w:pPr>
      <w:bookmarkStart w:id="258" w:name="_Toc105596036"/>
      <w:bookmarkStart w:id="259" w:name="_Toc124928597"/>
      <w:bookmarkStart w:id="260" w:name="_Toc124946939"/>
      <w:bookmarkStart w:id="261" w:name="_Toc124948849"/>
      <w:bookmarkStart w:id="262" w:name="_Toc124951744"/>
      <w:bookmarkStart w:id="263" w:name="_Toc125644894"/>
      <w:r w:rsidRPr="0082266F">
        <w:t>Tržište velikog kapaciteta - n</w:t>
      </w:r>
      <w:r w:rsidR="00FE6D9D" w:rsidRPr="0082266F">
        <w:t>ekonkurentna područja</w:t>
      </w:r>
      <w:bookmarkEnd w:id="258"/>
      <w:bookmarkEnd w:id="259"/>
      <w:bookmarkEnd w:id="260"/>
      <w:bookmarkEnd w:id="261"/>
      <w:bookmarkEnd w:id="262"/>
      <w:bookmarkEnd w:id="263"/>
      <w:r w:rsidR="00FE6D9D" w:rsidRPr="0082266F">
        <w:t xml:space="preserve"> </w:t>
      </w:r>
    </w:p>
    <w:p w:rsidR="00FE6D9D" w:rsidRDefault="00392CF1" w:rsidP="00FE6D9D">
      <w:pPr>
        <w:jc w:val="both"/>
        <w:rPr>
          <w:rFonts w:eastAsia="Times New Roman"/>
        </w:rPr>
      </w:pPr>
      <w:r>
        <w:rPr>
          <w:rFonts w:eastAsia="Times New Roman"/>
        </w:rPr>
        <w:t>Ovo geografsko tržište</w:t>
      </w:r>
      <w:r w:rsidR="00FE6D9D" w:rsidRPr="009C6BF4">
        <w:rPr>
          <w:rFonts w:eastAsia="Times New Roman"/>
        </w:rPr>
        <w:t xml:space="preserve"> čine sve one geografske jedinice u kojima nisu istodobno zadovoljena sva tri kriterija</w:t>
      </w:r>
      <w:r w:rsidR="00FE6D9D">
        <w:rPr>
          <w:rFonts w:eastAsia="Times New Roman"/>
        </w:rPr>
        <w:t xml:space="preserve"> </w:t>
      </w:r>
      <w:r w:rsidR="00FE6D9D" w:rsidRPr="009C6BF4">
        <w:rPr>
          <w:rFonts w:eastAsia="Times New Roman"/>
        </w:rPr>
        <w:t xml:space="preserve">za utvrđivanje konkurentskih uvjeta. </w:t>
      </w:r>
      <w:r w:rsidR="00FE6D9D">
        <w:rPr>
          <w:rFonts w:eastAsia="Times New Roman"/>
        </w:rPr>
        <w:t xml:space="preserve">Stoga </w:t>
      </w:r>
      <w:r w:rsidR="00855405">
        <w:rPr>
          <w:rFonts w:eastAsia="Times New Roman"/>
        </w:rPr>
        <w:t xml:space="preserve">Tržište velikog kapaciteta - </w:t>
      </w:r>
      <w:r w:rsidR="00FE6D9D">
        <w:rPr>
          <w:rFonts w:eastAsia="Times New Roman"/>
        </w:rPr>
        <w:t>nekonkurentna područja</w:t>
      </w:r>
      <w:r w:rsidR="00FE6D9D" w:rsidRPr="009C6BF4">
        <w:rPr>
          <w:rFonts w:eastAsia="Times New Roman"/>
        </w:rPr>
        <w:t xml:space="preserve"> obuhva</w:t>
      </w:r>
      <w:r>
        <w:rPr>
          <w:rFonts w:eastAsia="Times New Roman"/>
        </w:rPr>
        <w:t>ća</w:t>
      </w:r>
      <w:r w:rsidR="00FE6D9D" w:rsidRPr="009C6BF4">
        <w:rPr>
          <w:rFonts w:eastAsia="Times New Roman"/>
        </w:rPr>
        <w:t xml:space="preserve">: (i) geografske jedinice u kojima </w:t>
      </w:r>
      <w:r w:rsidR="00FE6D9D">
        <w:rPr>
          <w:rFonts w:eastAsia="Times New Roman"/>
        </w:rPr>
        <w:t xml:space="preserve">ne postoji </w:t>
      </w:r>
      <w:r>
        <w:rPr>
          <w:rFonts w:eastAsia="Times New Roman"/>
        </w:rPr>
        <w:t xml:space="preserve">barem jedna </w:t>
      </w:r>
      <w:r w:rsidR="00FE6D9D">
        <w:rPr>
          <w:rFonts w:eastAsia="Times New Roman"/>
        </w:rPr>
        <w:t>VHCN infrastruktura</w:t>
      </w:r>
      <w:r>
        <w:rPr>
          <w:rFonts w:eastAsia="Times New Roman"/>
        </w:rPr>
        <w:t xml:space="preserve"> alternativnog operatora</w:t>
      </w:r>
      <w:r w:rsidR="00FE6D9D">
        <w:rPr>
          <w:rFonts w:eastAsia="Times New Roman"/>
        </w:rPr>
        <w:t>,</w:t>
      </w:r>
      <w:r w:rsidR="00FE6D9D" w:rsidRPr="009C6BF4">
        <w:rPr>
          <w:rFonts w:eastAsia="Times New Roman"/>
        </w:rPr>
        <w:t xml:space="preserve"> (</w:t>
      </w:r>
      <w:r w:rsidR="00FE6D9D">
        <w:rPr>
          <w:rFonts w:eastAsia="Times New Roman"/>
        </w:rPr>
        <w:t>ii) geografske jedinice u kojima postoji minimalno jedna VHCN infrastruktura</w:t>
      </w:r>
      <w:r>
        <w:rPr>
          <w:rFonts w:eastAsia="Times New Roman"/>
        </w:rPr>
        <w:t xml:space="preserve"> alternativnog operatora</w:t>
      </w:r>
      <w:r w:rsidR="00FE6D9D" w:rsidRPr="009C6BF4">
        <w:rPr>
          <w:rFonts w:eastAsia="Times New Roman"/>
        </w:rPr>
        <w:t xml:space="preserve">, ali </w:t>
      </w:r>
      <w:r w:rsidR="00FE6D9D">
        <w:rPr>
          <w:rFonts w:eastAsia="Times New Roman"/>
        </w:rPr>
        <w:t xml:space="preserve">tom VHCN infrastrukturom </w:t>
      </w:r>
      <w:r>
        <w:rPr>
          <w:rFonts w:eastAsia="Times New Roman"/>
        </w:rPr>
        <w:t>alternativnog operatora</w:t>
      </w:r>
      <w:r w:rsidR="00FE6D9D">
        <w:rPr>
          <w:rFonts w:eastAsia="Times New Roman"/>
        </w:rPr>
        <w:t xml:space="preserve"> nije pokriveno minimalno 25 posto korisničkih jedinica u toj geografskoj jedinici te (III) </w:t>
      </w:r>
      <w:r w:rsidR="00FE6D9D" w:rsidRPr="009C6BF4">
        <w:rPr>
          <w:rFonts w:eastAsia="Times New Roman"/>
        </w:rPr>
        <w:t xml:space="preserve">geografske jedinice u kojima </w:t>
      </w:r>
      <w:r w:rsidR="00FE6D9D">
        <w:rPr>
          <w:rFonts w:eastAsia="Times New Roman"/>
        </w:rPr>
        <w:t>postoji minimalno jedna VHCN infrastruktura</w:t>
      </w:r>
      <w:r w:rsidR="00FE6D9D" w:rsidRPr="009C6BF4">
        <w:rPr>
          <w:rFonts w:eastAsia="Times New Roman"/>
        </w:rPr>
        <w:t xml:space="preserve"> </w:t>
      </w:r>
      <w:r>
        <w:rPr>
          <w:rFonts w:eastAsia="Times New Roman"/>
        </w:rPr>
        <w:t xml:space="preserve">alternativnog operatora </w:t>
      </w:r>
      <w:r w:rsidR="00FE6D9D" w:rsidRPr="009C6BF4">
        <w:rPr>
          <w:rFonts w:eastAsia="Times New Roman"/>
        </w:rPr>
        <w:t>uz pokrivenost od minimalno 25 posto</w:t>
      </w:r>
      <w:r w:rsidR="00FE6D9D">
        <w:rPr>
          <w:rFonts w:eastAsia="Times New Roman"/>
        </w:rPr>
        <w:t xml:space="preserve"> korisničkih jedinica u toj geografskoj jedinici</w:t>
      </w:r>
      <w:r w:rsidR="00FE6D9D" w:rsidRPr="009C6BF4">
        <w:rPr>
          <w:rFonts w:eastAsia="Times New Roman"/>
        </w:rPr>
        <w:t xml:space="preserve">, ali </w:t>
      </w:r>
      <w:r w:rsidR="00FE6D9D">
        <w:rPr>
          <w:rFonts w:eastAsia="Times New Roman"/>
        </w:rPr>
        <w:t xml:space="preserve">je </w:t>
      </w:r>
      <w:r w:rsidR="00FE6D9D" w:rsidRPr="009C6BF4">
        <w:rPr>
          <w:rFonts w:eastAsia="Times New Roman"/>
        </w:rPr>
        <w:t>maloprodajni tržišni udio HT Grupe veći od 50 posto.</w:t>
      </w:r>
      <w:r w:rsidR="00FE6D9D">
        <w:rPr>
          <w:rFonts w:eastAsia="Times New Roman"/>
        </w:rPr>
        <w:t xml:space="preserve"> Drugim riječima, u </w:t>
      </w:r>
      <w:r>
        <w:rPr>
          <w:rFonts w:eastAsia="Times New Roman"/>
        </w:rPr>
        <w:t xml:space="preserve">Tržište velikog kapaciteta - </w:t>
      </w:r>
      <w:r w:rsidR="00FE6D9D">
        <w:rPr>
          <w:rFonts w:eastAsia="Times New Roman"/>
        </w:rPr>
        <w:t>nekonkurentna područja ulaze one geografske jedinice u kojima nije zadovoljen niti jedan kriterij, samo je prvi kriterij zadovoljen ili su zadovoljena prva dva od tri definirana kriterija.</w:t>
      </w:r>
    </w:p>
    <w:p w:rsidR="00FE6D9D"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Obzirom da </w:t>
      </w:r>
      <w:r w:rsidR="00392CF1">
        <w:rPr>
          <w:rFonts w:eastAsia="Times New Roman"/>
        </w:rPr>
        <w:t xml:space="preserve">Tržište velikog kapaciteta – </w:t>
      </w:r>
      <w:r>
        <w:rPr>
          <w:rFonts w:eastAsia="Times New Roman"/>
        </w:rPr>
        <w:t xml:space="preserve">nekonkurentna područja čine geografske jedinice bez VHCN infrastrukture </w:t>
      </w:r>
      <w:r w:rsidR="008B30C1">
        <w:rPr>
          <w:rFonts w:eastAsia="Times New Roman"/>
        </w:rPr>
        <w:t xml:space="preserve">alternativnog operatora </w:t>
      </w:r>
      <w:r>
        <w:rPr>
          <w:rFonts w:eastAsia="Times New Roman"/>
        </w:rPr>
        <w:t xml:space="preserve">kao i geografske jedinice s VHCN infrastrukturom </w:t>
      </w:r>
      <w:r w:rsidR="008B30C1">
        <w:rPr>
          <w:rFonts w:eastAsia="Times New Roman"/>
        </w:rPr>
        <w:t xml:space="preserve">alternativnog operatora </w:t>
      </w:r>
      <w:r>
        <w:rPr>
          <w:rFonts w:eastAsia="Times New Roman"/>
        </w:rPr>
        <w:t xml:space="preserve">čija pokrivenost može biti ispod i iznad praga od 25 posto korisničkih jedinica, HAKOM smatra kako u svim tim geografskim jedinicama ne prevladavaju dovoljno homogeni uvjeti tržišnog natjecanja. Naime, konkurentni uvjeti u geografskim jedinicama s minimalno jednom VHCN infrastrukturom </w:t>
      </w:r>
      <w:r w:rsidR="008B30C1">
        <w:rPr>
          <w:rFonts w:eastAsia="Times New Roman"/>
        </w:rPr>
        <w:t>alternativnog operatora</w:t>
      </w:r>
      <w:r>
        <w:rPr>
          <w:rFonts w:eastAsia="Times New Roman"/>
        </w:rPr>
        <w:t xml:space="preserve"> s kojom je pokriveno minimalno 25 posto korisničkih jedinica u toj geografskoj jedinici mogu se razlikovati od geografskih jedinica u kojoj ne postoji VHCN infrastruktura </w:t>
      </w:r>
      <w:r w:rsidR="008B30C1">
        <w:rPr>
          <w:rFonts w:eastAsia="Times New Roman"/>
        </w:rPr>
        <w:t>alternativnog oper</w:t>
      </w:r>
      <w:r w:rsidR="00EE7BE1">
        <w:rPr>
          <w:rFonts w:eastAsia="Times New Roman"/>
        </w:rPr>
        <w:t>a</w:t>
      </w:r>
      <w:r w:rsidR="008B30C1">
        <w:rPr>
          <w:rFonts w:eastAsia="Times New Roman"/>
        </w:rPr>
        <w:t>tora</w:t>
      </w:r>
      <w:r>
        <w:rPr>
          <w:rFonts w:eastAsia="Times New Roman"/>
        </w:rPr>
        <w:t xml:space="preserve"> ili postoji, ali s pokrivenošću manjom od 25 posto korisničkih jedinica. Stoga, HAKOM smatra opravdanim </w:t>
      </w:r>
      <w:r w:rsidR="00855405">
        <w:rPr>
          <w:rFonts w:eastAsia="Times New Roman"/>
        </w:rPr>
        <w:t xml:space="preserve">geografske jedinice unutar Tržišta velikog kapaciteta – nekonkurentna područja </w:t>
      </w:r>
      <w:r w:rsidRPr="009C6BF4">
        <w:rPr>
          <w:rFonts w:eastAsia="Times New Roman"/>
        </w:rPr>
        <w:t>doda</w:t>
      </w:r>
      <w:r w:rsidR="00855405">
        <w:rPr>
          <w:rFonts w:eastAsia="Times New Roman"/>
        </w:rPr>
        <w:t>tno podijeliti na K</w:t>
      </w:r>
      <w:r>
        <w:rPr>
          <w:rFonts w:eastAsia="Times New Roman"/>
        </w:rPr>
        <w:t xml:space="preserve">laster A i </w:t>
      </w:r>
      <w:r w:rsidR="002D636E">
        <w:rPr>
          <w:rFonts w:eastAsia="Times New Roman"/>
        </w:rPr>
        <w:t>Klaster</w:t>
      </w:r>
      <w:r>
        <w:rPr>
          <w:rFonts w:eastAsia="Times New Roman"/>
        </w:rPr>
        <w:t xml:space="preserve"> B.</w:t>
      </w:r>
    </w:p>
    <w:p w:rsidR="0082266F" w:rsidRDefault="0082266F" w:rsidP="00FE6D9D">
      <w:pPr>
        <w:jc w:val="both"/>
        <w:rPr>
          <w:rFonts w:eastAsia="Times New Roman"/>
        </w:rPr>
      </w:pPr>
    </w:p>
    <w:p w:rsidR="00FE6D9D" w:rsidRPr="0082266F" w:rsidRDefault="00FE6D9D" w:rsidP="0082266F">
      <w:pPr>
        <w:pStyle w:val="Heading3"/>
      </w:pPr>
      <w:bookmarkStart w:id="264" w:name="_Toc124928598"/>
      <w:bookmarkStart w:id="265" w:name="_Toc124946940"/>
      <w:bookmarkStart w:id="266" w:name="_Toc124948850"/>
      <w:bookmarkStart w:id="267" w:name="_Toc124951745"/>
      <w:bookmarkStart w:id="268" w:name="_Toc125644895"/>
      <w:r w:rsidRPr="0082266F">
        <w:t>Klaster A</w:t>
      </w:r>
      <w:bookmarkEnd w:id="264"/>
      <w:bookmarkEnd w:id="265"/>
      <w:bookmarkEnd w:id="266"/>
      <w:bookmarkEnd w:id="267"/>
      <w:bookmarkEnd w:id="268"/>
      <w:r w:rsidRPr="0082266F">
        <w:t xml:space="preserve">  </w:t>
      </w:r>
    </w:p>
    <w:p w:rsidR="00FE6D9D" w:rsidRDefault="00FE6D9D" w:rsidP="00FE6D9D">
      <w:pPr>
        <w:jc w:val="both"/>
        <w:rPr>
          <w:rFonts w:eastAsia="Times New Roman"/>
        </w:rPr>
      </w:pPr>
    </w:p>
    <w:p w:rsidR="00FE6D9D" w:rsidRDefault="00FE6D9D" w:rsidP="00FE6D9D">
      <w:pPr>
        <w:jc w:val="both"/>
        <w:rPr>
          <w:rFonts w:eastAsia="Times New Roman"/>
        </w:rPr>
      </w:pPr>
      <w:r w:rsidRPr="009C6BF4">
        <w:rPr>
          <w:rFonts w:eastAsia="Times New Roman"/>
        </w:rPr>
        <w:t>Ovaj klaster čine sve one geografske jedinice u kojima</w:t>
      </w:r>
      <w:r>
        <w:rPr>
          <w:rFonts w:eastAsia="Times New Roman"/>
        </w:rPr>
        <w:t xml:space="preserve"> nije prisutna niti jedna VHCN infrastruktura </w:t>
      </w:r>
      <w:r w:rsidR="008B30C1">
        <w:rPr>
          <w:rFonts w:eastAsia="Times New Roman"/>
        </w:rPr>
        <w:t xml:space="preserve">alternativnog operatora </w:t>
      </w:r>
      <w:r>
        <w:rPr>
          <w:rFonts w:eastAsia="Times New Roman"/>
        </w:rPr>
        <w:t>ili</w:t>
      </w:r>
      <w:r w:rsidRPr="009C6BF4">
        <w:rPr>
          <w:rFonts w:eastAsia="Times New Roman"/>
        </w:rPr>
        <w:t xml:space="preserve"> je prisutna </w:t>
      </w:r>
      <w:r>
        <w:rPr>
          <w:rFonts w:eastAsia="Times New Roman"/>
        </w:rPr>
        <w:t xml:space="preserve">minimalno jedna VHCN infrastruktura </w:t>
      </w:r>
      <w:r w:rsidR="008B30C1" w:rsidRPr="008B30C1">
        <w:rPr>
          <w:rFonts w:eastAsia="Times New Roman"/>
        </w:rPr>
        <w:t xml:space="preserve">alternativnog operatora  </w:t>
      </w:r>
      <w:r>
        <w:rPr>
          <w:rFonts w:eastAsia="Times New Roman"/>
        </w:rPr>
        <w:t>na način da</w:t>
      </w:r>
      <w:r w:rsidRPr="009C6BF4">
        <w:rPr>
          <w:rFonts w:eastAsia="Times New Roman"/>
        </w:rPr>
        <w:t xml:space="preserve"> je pokrivenost </w:t>
      </w:r>
      <w:r>
        <w:rPr>
          <w:rFonts w:eastAsia="Times New Roman"/>
        </w:rPr>
        <w:t>te VHCN</w:t>
      </w:r>
      <w:r w:rsidRPr="009C6BF4">
        <w:rPr>
          <w:rFonts w:eastAsia="Times New Roman"/>
        </w:rPr>
        <w:t xml:space="preserve"> infrastrukture </w:t>
      </w:r>
      <w:r w:rsidR="008B30C1" w:rsidRPr="008B30C1">
        <w:rPr>
          <w:rFonts w:eastAsia="Times New Roman"/>
        </w:rPr>
        <w:t xml:space="preserve">alternativnog operatora  </w:t>
      </w:r>
      <w:r w:rsidRPr="009C6BF4">
        <w:rPr>
          <w:rFonts w:eastAsia="Times New Roman"/>
        </w:rPr>
        <w:t xml:space="preserve">niža od 25 posto </w:t>
      </w:r>
      <w:r>
        <w:rPr>
          <w:rFonts w:eastAsia="Times New Roman"/>
        </w:rPr>
        <w:t>korisničkih</w:t>
      </w:r>
      <w:r w:rsidRPr="009C6BF4">
        <w:rPr>
          <w:rFonts w:eastAsia="Times New Roman"/>
        </w:rPr>
        <w:t xml:space="preserve"> jedinica</w:t>
      </w:r>
      <w:r>
        <w:rPr>
          <w:rFonts w:eastAsia="Times New Roman"/>
        </w:rPr>
        <w:t xml:space="preserve"> u toj geografskoj jedinici</w:t>
      </w:r>
      <w:r w:rsidR="00EE7BE1">
        <w:rPr>
          <w:rFonts w:eastAsia="Times New Roman"/>
        </w:rPr>
        <w:t>.</w:t>
      </w:r>
      <w:r w:rsidRPr="009C6BF4">
        <w:rPr>
          <w:rFonts w:eastAsia="Times New Roman"/>
        </w:rPr>
        <w:t xml:space="preserve"> </w:t>
      </w:r>
    </w:p>
    <w:p w:rsidR="00FE6D9D" w:rsidRPr="009C6BF4"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Izuzetak od </w:t>
      </w:r>
      <w:r w:rsidR="002D636E">
        <w:rPr>
          <w:rFonts w:eastAsia="Times New Roman"/>
        </w:rPr>
        <w:t>Klastera</w:t>
      </w:r>
      <w:r>
        <w:rPr>
          <w:rFonts w:eastAsia="Times New Roman"/>
        </w:rPr>
        <w:t xml:space="preserve"> A činile bi one geografske jedinice u kojima je pokrivenost VHCN infrastrukturom </w:t>
      </w:r>
      <w:r w:rsidR="008B30C1" w:rsidRPr="008B30C1">
        <w:rPr>
          <w:rFonts w:eastAsia="Times New Roman"/>
        </w:rPr>
        <w:t xml:space="preserve">alternativnog operatora </w:t>
      </w:r>
      <w:r>
        <w:rPr>
          <w:rFonts w:eastAsia="Times New Roman"/>
        </w:rPr>
        <w:t xml:space="preserve">niža od 25 posto, ali samo u slučaju da tu VHCN infrastrukturu </w:t>
      </w:r>
      <w:r w:rsidR="008B30C1" w:rsidRPr="008B30C1">
        <w:rPr>
          <w:rFonts w:eastAsia="Times New Roman"/>
        </w:rPr>
        <w:t xml:space="preserve">alternativnog operatora </w:t>
      </w:r>
      <w:r w:rsidR="008B159F">
        <w:rPr>
          <w:rFonts w:eastAsia="Times New Roman"/>
        </w:rPr>
        <w:t>predstavlja infrastrukturu</w:t>
      </w:r>
      <w:r w:rsidR="008B159F" w:rsidRPr="00DF4062">
        <w:rPr>
          <w:rFonts w:eastAsia="Times New Roman"/>
        </w:rPr>
        <w:t xml:space="preserve"> operator</w:t>
      </w:r>
      <w:r w:rsidR="008B159F">
        <w:rPr>
          <w:rFonts w:eastAsia="Times New Roman"/>
        </w:rPr>
        <w:t>a</w:t>
      </w:r>
      <w:r>
        <w:rPr>
          <w:rFonts w:eastAsia="Times New Roman"/>
        </w:rPr>
        <w:t xml:space="preserve"> koji djeluje isključivo na veleprodajnoj razini.</w:t>
      </w:r>
    </w:p>
    <w:p w:rsidR="00FE6D9D"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Nastavno na provedenu analizu u svih </w:t>
      </w:r>
      <w:r w:rsidRPr="00B8604F">
        <w:rPr>
          <w:rFonts w:eastAsia="Times New Roman"/>
        </w:rPr>
        <w:t>572</w:t>
      </w:r>
      <w:r>
        <w:rPr>
          <w:rFonts w:eastAsia="Times New Roman"/>
        </w:rPr>
        <w:t xml:space="preserve"> geografske jedinice, HAKOM je zaključio kako niti jedan od tri kriterija ili samo prvi kriterij uz prethodno navedeni izuzetak je zadovoljen u </w:t>
      </w:r>
      <w:r w:rsidRPr="00B8604F">
        <w:rPr>
          <w:rFonts w:eastAsia="Times New Roman"/>
        </w:rPr>
        <w:t>471</w:t>
      </w:r>
      <w:r>
        <w:rPr>
          <w:rFonts w:eastAsia="Times New Roman"/>
        </w:rPr>
        <w:t xml:space="preserve"> geografskih jedinica što predstavlja </w:t>
      </w:r>
      <w:r w:rsidRPr="00B8604F">
        <w:rPr>
          <w:rFonts w:eastAsia="Times New Roman"/>
        </w:rPr>
        <w:t>82,34 posto</w:t>
      </w:r>
      <w:r>
        <w:rPr>
          <w:rFonts w:eastAsia="Times New Roman"/>
        </w:rPr>
        <w:t xml:space="preserve"> svih geografskih jedinica </w:t>
      </w:r>
      <w:r w:rsidR="008B30C1">
        <w:rPr>
          <w:rFonts w:eastAsia="Times New Roman"/>
        </w:rPr>
        <w:t>(</w:t>
      </w:r>
      <w:r w:rsidR="00D91CE1">
        <w:rPr>
          <w:rFonts w:eastAsia="Times New Roman"/>
        </w:rPr>
        <w:fldChar w:fldCharType="begin"/>
      </w:r>
      <w:r w:rsidR="00D91CE1">
        <w:rPr>
          <w:rFonts w:eastAsia="Times New Roman"/>
        </w:rPr>
        <w:instrText xml:space="preserve"> REF _Ref124925168 \h </w:instrText>
      </w:r>
      <w:r w:rsidR="00D91CE1">
        <w:rPr>
          <w:rFonts w:eastAsia="Times New Roman"/>
        </w:rPr>
      </w:r>
      <w:r w:rsidR="00D91CE1">
        <w:rPr>
          <w:rFonts w:eastAsia="Times New Roman"/>
        </w:rPr>
        <w:fldChar w:fldCharType="separate"/>
      </w:r>
      <w:r w:rsidR="00D91CE1">
        <w:t xml:space="preserve">Slika </w:t>
      </w:r>
      <w:r w:rsidR="00D91CE1">
        <w:rPr>
          <w:noProof/>
        </w:rPr>
        <w:t>17</w:t>
      </w:r>
      <w:r w:rsidR="00D91CE1">
        <w:rPr>
          <w:rFonts w:eastAsia="Times New Roman"/>
        </w:rPr>
        <w:fldChar w:fldCharType="end"/>
      </w:r>
      <w:r>
        <w:rPr>
          <w:rFonts w:eastAsia="Times New Roman"/>
        </w:rPr>
        <w:t xml:space="preserve">). </w:t>
      </w:r>
    </w:p>
    <w:p w:rsidR="00FE6D9D" w:rsidRDefault="00FE6D9D" w:rsidP="00FE6D9D">
      <w:pPr>
        <w:jc w:val="both"/>
        <w:rPr>
          <w:rFonts w:eastAsia="Times New Roman"/>
        </w:rPr>
      </w:pPr>
    </w:p>
    <w:p w:rsidR="008B30C1" w:rsidRPr="008B30C1" w:rsidRDefault="00CD38D2" w:rsidP="00CD38D2">
      <w:pPr>
        <w:pStyle w:val="Caption"/>
        <w:rPr>
          <w:rFonts w:eastAsia="Times New Roman"/>
          <w:b/>
          <w:bCs/>
          <w:i w:val="0"/>
          <w:noProof/>
          <w:color w:val="4F81BD"/>
        </w:rPr>
      </w:pPr>
      <w:bookmarkStart w:id="269" w:name="_Ref124925168"/>
      <w:r>
        <w:t xml:space="preserve">Slika </w:t>
      </w:r>
      <w:r w:rsidR="00C60C6F">
        <w:fldChar w:fldCharType="begin"/>
      </w:r>
      <w:r w:rsidR="00C60C6F">
        <w:instrText xml:space="preserve"> SEQ Slika \* ARABIC </w:instrText>
      </w:r>
      <w:r w:rsidR="00C60C6F">
        <w:fldChar w:fldCharType="separate"/>
      </w:r>
      <w:r w:rsidR="006A29BC">
        <w:rPr>
          <w:noProof/>
        </w:rPr>
        <w:t>17</w:t>
      </w:r>
      <w:r w:rsidR="00C60C6F">
        <w:rPr>
          <w:noProof/>
        </w:rPr>
        <w:fldChar w:fldCharType="end"/>
      </w:r>
      <w:bookmarkEnd w:id="269"/>
      <w:r>
        <w:t xml:space="preserve"> </w:t>
      </w:r>
      <w:r w:rsidR="002E0BC9" w:rsidRPr="00CD38D2">
        <w:t>G</w:t>
      </w:r>
      <w:r w:rsidR="008B30C1" w:rsidRPr="00CD38D2">
        <w:t xml:space="preserve">eografske jedinice koje ulaze u </w:t>
      </w:r>
      <w:r w:rsidR="002D636E" w:rsidRPr="00CD38D2">
        <w:t>Klaster A</w:t>
      </w:r>
    </w:p>
    <w:p w:rsidR="00FE6D9D" w:rsidRDefault="00FE6D9D" w:rsidP="00FE6D9D">
      <w:pPr>
        <w:jc w:val="both"/>
        <w:rPr>
          <w:rFonts w:eastAsia="Times New Roman"/>
        </w:rPr>
      </w:pPr>
      <w:r w:rsidRPr="002016F5">
        <w:rPr>
          <w:noProof/>
          <w:lang w:val="en-US"/>
        </w:rPr>
        <w:drawing>
          <wp:inline distT="0" distB="0" distL="0" distR="0" wp14:anchorId="0345E433" wp14:editId="2B502F74">
            <wp:extent cx="5943600" cy="30575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3057525"/>
                    </a:xfrm>
                    <a:prstGeom prst="rect">
                      <a:avLst/>
                    </a:prstGeom>
                  </pic:spPr>
                </pic:pic>
              </a:graphicData>
            </a:graphic>
          </wp:inline>
        </w:drawing>
      </w:r>
    </w:p>
    <w:p w:rsidR="00FE6D9D"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U privitku 1 ovog dokumenta nalazi se popis svih geografskih jedinica </w:t>
      </w:r>
      <w:r w:rsidR="00BF2133" w:rsidRPr="00BF2133">
        <w:rPr>
          <w:rFonts w:eastAsia="Times New Roman"/>
        </w:rPr>
        <w:t xml:space="preserve">koje pripadaju Tržištu velikog kapaciteta - </w:t>
      </w:r>
      <w:r w:rsidR="00BF2133">
        <w:rPr>
          <w:rFonts w:eastAsia="Times New Roman"/>
        </w:rPr>
        <w:t>ne</w:t>
      </w:r>
      <w:r w:rsidR="00BF2133" w:rsidRPr="00BF2133">
        <w:rPr>
          <w:rFonts w:eastAsia="Times New Roman"/>
        </w:rPr>
        <w:t>konkurentna područja</w:t>
      </w:r>
      <w:r w:rsidR="00BF2133">
        <w:rPr>
          <w:rFonts w:eastAsia="Times New Roman"/>
        </w:rPr>
        <w:t>-</w:t>
      </w:r>
      <w:r w:rsidR="002D636E">
        <w:rPr>
          <w:rFonts w:eastAsia="Times New Roman"/>
        </w:rPr>
        <w:t>Klaster</w:t>
      </w:r>
      <w:r>
        <w:rPr>
          <w:rFonts w:eastAsia="Times New Roman"/>
        </w:rPr>
        <w:t xml:space="preserve"> A u kojima nije zadovoljen niti jedan kriterij ili samo prvi od tri kriterija, uzevši u obzir prethodno navedeni izuzetak. </w:t>
      </w:r>
    </w:p>
    <w:p w:rsidR="00FE6D9D" w:rsidRDefault="00FE6D9D" w:rsidP="00FE6D9D">
      <w:pPr>
        <w:jc w:val="both"/>
        <w:rPr>
          <w:rFonts w:eastAsia="Times New Roman"/>
        </w:rPr>
      </w:pPr>
    </w:p>
    <w:p w:rsidR="00FE6D9D" w:rsidRPr="0082266F" w:rsidRDefault="00FE6D9D" w:rsidP="0082266F">
      <w:pPr>
        <w:pStyle w:val="Heading3"/>
      </w:pPr>
      <w:bookmarkStart w:id="270" w:name="_Toc124928599"/>
      <w:bookmarkStart w:id="271" w:name="_Toc124946941"/>
      <w:bookmarkStart w:id="272" w:name="_Toc124948851"/>
      <w:bookmarkStart w:id="273" w:name="_Toc124951746"/>
      <w:bookmarkStart w:id="274" w:name="_Toc125644896"/>
      <w:r w:rsidRPr="0082266F">
        <w:t>Klaster B</w:t>
      </w:r>
      <w:bookmarkEnd w:id="270"/>
      <w:bookmarkEnd w:id="271"/>
      <w:bookmarkEnd w:id="272"/>
      <w:bookmarkEnd w:id="273"/>
      <w:bookmarkEnd w:id="274"/>
      <w:r w:rsidRPr="0082266F">
        <w:t xml:space="preserve"> </w:t>
      </w:r>
    </w:p>
    <w:p w:rsidR="00FE6D9D" w:rsidRPr="009C6BF4" w:rsidRDefault="00FE6D9D" w:rsidP="00FE6D9D">
      <w:pPr>
        <w:jc w:val="both"/>
        <w:rPr>
          <w:rFonts w:eastAsia="Times New Roman"/>
        </w:rPr>
      </w:pPr>
    </w:p>
    <w:p w:rsidR="00FE6D9D" w:rsidRDefault="00FE6D9D" w:rsidP="00FE6D9D">
      <w:pPr>
        <w:jc w:val="both"/>
        <w:rPr>
          <w:rFonts w:eastAsia="Times New Roman"/>
        </w:rPr>
      </w:pPr>
      <w:r w:rsidRPr="009C6BF4">
        <w:rPr>
          <w:rFonts w:eastAsia="Times New Roman"/>
        </w:rPr>
        <w:t xml:space="preserve">Ovaj klaster čine sve one geografske jedinice u kojima </w:t>
      </w:r>
      <w:r>
        <w:rPr>
          <w:rFonts w:eastAsia="Times New Roman"/>
        </w:rPr>
        <w:t>je prisutna minimalno jedna VHCN</w:t>
      </w:r>
      <w:r w:rsidRPr="009C6BF4">
        <w:rPr>
          <w:rFonts w:eastAsia="Times New Roman"/>
        </w:rPr>
        <w:t xml:space="preserve"> infrastruktur</w:t>
      </w:r>
      <w:r>
        <w:rPr>
          <w:rFonts w:eastAsia="Times New Roman"/>
        </w:rPr>
        <w:t>a</w:t>
      </w:r>
      <w:r w:rsidR="008B30C1">
        <w:rPr>
          <w:rFonts w:eastAsia="Times New Roman"/>
        </w:rPr>
        <w:t xml:space="preserve"> alternativnog operatora</w:t>
      </w:r>
      <w:r w:rsidRPr="009C6BF4">
        <w:rPr>
          <w:rFonts w:eastAsia="Times New Roman"/>
        </w:rPr>
        <w:t xml:space="preserve">, te pokrivenost </w:t>
      </w:r>
      <w:r>
        <w:rPr>
          <w:rFonts w:eastAsia="Times New Roman"/>
        </w:rPr>
        <w:t>tom VHCN</w:t>
      </w:r>
      <w:r w:rsidRPr="009C6BF4">
        <w:rPr>
          <w:rFonts w:eastAsia="Times New Roman"/>
        </w:rPr>
        <w:t xml:space="preserve"> infrastruktur</w:t>
      </w:r>
      <w:r>
        <w:rPr>
          <w:rFonts w:eastAsia="Times New Roman"/>
        </w:rPr>
        <w:t xml:space="preserve">om </w:t>
      </w:r>
      <w:r w:rsidR="008B30C1" w:rsidRPr="008B30C1">
        <w:rPr>
          <w:rFonts w:eastAsia="Times New Roman"/>
        </w:rPr>
        <w:t>alternativnog operatora</w:t>
      </w:r>
      <w:r>
        <w:rPr>
          <w:rFonts w:eastAsia="Times New Roman"/>
        </w:rPr>
        <w:t xml:space="preserve"> iznosi</w:t>
      </w:r>
      <w:r w:rsidRPr="009C6BF4">
        <w:rPr>
          <w:rFonts w:eastAsia="Times New Roman"/>
        </w:rPr>
        <w:t xml:space="preserve"> minimalno 25 posto </w:t>
      </w:r>
      <w:r>
        <w:rPr>
          <w:rFonts w:eastAsia="Times New Roman"/>
        </w:rPr>
        <w:t>korisničkih</w:t>
      </w:r>
      <w:r w:rsidRPr="009C6BF4">
        <w:rPr>
          <w:rFonts w:eastAsia="Times New Roman"/>
        </w:rPr>
        <w:t xml:space="preserve"> jedinica</w:t>
      </w:r>
      <w:r w:rsidR="003F09D5">
        <w:rPr>
          <w:rFonts w:eastAsia="Times New Roman"/>
        </w:rPr>
        <w:t>.</w:t>
      </w:r>
      <w:r>
        <w:rPr>
          <w:rFonts w:eastAsia="Times New Roman"/>
        </w:rPr>
        <w:t xml:space="preserve"> Također, kako je navedeno kod </w:t>
      </w:r>
      <w:r w:rsidR="002D636E">
        <w:rPr>
          <w:rFonts w:eastAsia="Times New Roman"/>
        </w:rPr>
        <w:t>Klastera</w:t>
      </w:r>
      <w:r>
        <w:rPr>
          <w:rFonts w:eastAsia="Times New Roman"/>
        </w:rPr>
        <w:t xml:space="preserve"> A, u </w:t>
      </w:r>
      <w:r w:rsidR="002D636E">
        <w:rPr>
          <w:rFonts w:eastAsia="Times New Roman"/>
        </w:rPr>
        <w:t>Klaster</w:t>
      </w:r>
      <w:r>
        <w:rPr>
          <w:rFonts w:eastAsia="Times New Roman"/>
        </w:rPr>
        <w:t xml:space="preserve"> B ušle bi i one geografske jedinice u kojima je pokrivenost VHCN infrastrukturom </w:t>
      </w:r>
      <w:r w:rsidR="008B30C1" w:rsidRPr="008B30C1">
        <w:rPr>
          <w:rFonts w:eastAsia="Times New Roman"/>
        </w:rPr>
        <w:t>alternativnog operatora</w:t>
      </w:r>
      <w:r>
        <w:rPr>
          <w:rFonts w:eastAsia="Times New Roman"/>
        </w:rPr>
        <w:t xml:space="preserve"> niža od 25 posto, ali samo u slučaju da tu VHCN infrastrukturu </w:t>
      </w:r>
      <w:r w:rsidR="002D636E" w:rsidRPr="002D636E">
        <w:rPr>
          <w:rFonts w:eastAsia="Times New Roman"/>
        </w:rPr>
        <w:t>alternativnog operatora</w:t>
      </w:r>
      <w:r w:rsidR="002D636E">
        <w:rPr>
          <w:rFonts w:eastAsia="Times New Roman"/>
        </w:rPr>
        <w:t xml:space="preserve"> predstavlja infrastrukturu</w:t>
      </w:r>
      <w:r>
        <w:rPr>
          <w:rFonts w:eastAsia="Times New Roman"/>
        </w:rPr>
        <w:t xml:space="preserve"> operator</w:t>
      </w:r>
      <w:r w:rsidR="002D636E">
        <w:rPr>
          <w:rFonts w:eastAsia="Times New Roman"/>
        </w:rPr>
        <w:t>a</w:t>
      </w:r>
      <w:r>
        <w:rPr>
          <w:rFonts w:eastAsia="Times New Roman"/>
        </w:rPr>
        <w:t xml:space="preserve"> koji djeluje isključivo na veleprodajnoj razini.</w:t>
      </w:r>
    </w:p>
    <w:p w:rsidR="00FE6D9D" w:rsidRPr="009C6BF4"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Nastavno na provedenu analizu u svih </w:t>
      </w:r>
      <w:r w:rsidRPr="00B8604F">
        <w:rPr>
          <w:rFonts w:eastAsia="Times New Roman"/>
        </w:rPr>
        <w:t>572</w:t>
      </w:r>
      <w:r>
        <w:rPr>
          <w:rFonts w:eastAsia="Times New Roman"/>
        </w:rPr>
        <w:t xml:space="preserve"> geografske jedinice, HAKOM je zaključio kako su prva dva kriterija uz prethodno navedeni izuzetak zadovoljena u </w:t>
      </w:r>
      <w:r w:rsidRPr="00B8604F">
        <w:rPr>
          <w:rFonts w:eastAsia="Times New Roman"/>
        </w:rPr>
        <w:t>22</w:t>
      </w:r>
      <w:r>
        <w:rPr>
          <w:rFonts w:eastAsia="Times New Roman"/>
        </w:rPr>
        <w:t xml:space="preserve"> geografskih jedinica što predstavlja </w:t>
      </w:r>
      <w:r w:rsidRPr="00B8604F">
        <w:rPr>
          <w:rFonts w:eastAsia="Times New Roman"/>
        </w:rPr>
        <w:t>3,85 posto</w:t>
      </w:r>
      <w:r>
        <w:rPr>
          <w:rFonts w:eastAsia="Times New Roman"/>
        </w:rPr>
        <w:t xml:space="preserve"> svih geografskih jedinica (</w:t>
      </w:r>
      <w:r w:rsidR="00D91CE1">
        <w:rPr>
          <w:rFonts w:eastAsia="Times New Roman"/>
        </w:rPr>
        <w:fldChar w:fldCharType="begin"/>
      </w:r>
      <w:r w:rsidR="00D91CE1">
        <w:rPr>
          <w:rFonts w:eastAsia="Times New Roman"/>
        </w:rPr>
        <w:instrText xml:space="preserve"> REF _Ref124925429 \h </w:instrText>
      </w:r>
      <w:r w:rsidR="00D91CE1">
        <w:rPr>
          <w:rFonts w:eastAsia="Times New Roman"/>
        </w:rPr>
      </w:r>
      <w:r w:rsidR="00D91CE1">
        <w:rPr>
          <w:rFonts w:eastAsia="Times New Roman"/>
        </w:rPr>
        <w:fldChar w:fldCharType="separate"/>
      </w:r>
      <w:r w:rsidR="00D91CE1">
        <w:t xml:space="preserve">Slika </w:t>
      </w:r>
      <w:r w:rsidR="00D91CE1">
        <w:rPr>
          <w:noProof/>
        </w:rPr>
        <w:t>18</w:t>
      </w:r>
      <w:r w:rsidR="00D91CE1">
        <w:rPr>
          <w:rFonts w:eastAsia="Times New Roman"/>
        </w:rPr>
        <w:fldChar w:fldCharType="end"/>
      </w:r>
      <w:r>
        <w:rPr>
          <w:rFonts w:eastAsia="Times New Roman"/>
        </w:rPr>
        <w:t xml:space="preserve">). </w:t>
      </w:r>
    </w:p>
    <w:p w:rsidR="00FE6D9D" w:rsidRDefault="00FE6D9D" w:rsidP="00FE6D9D">
      <w:pPr>
        <w:jc w:val="both"/>
        <w:rPr>
          <w:rFonts w:eastAsia="Times New Roman"/>
        </w:rPr>
      </w:pPr>
    </w:p>
    <w:p w:rsidR="002D636E" w:rsidRPr="002D636E" w:rsidRDefault="00CD38D2" w:rsidP="00CD38D2">
      <w:pPr>
        <w:pStyle w:val="Caption"/>
        <w:rPr>
          <w:rFonts w:eastAsia="Times New Roman"/>
          <w:b/>
          <w:bCs/>
          <w:i w:val="0"/>
          <w:noProof/>
          <w:color w:val="4F81BD"/>
        </w:rPr>
      </w:pPr>
      <w:bookmarkStart w:id="275" w:name="_Ref124925429"/>
      <w:r>
        <w:t xml:space="preserve">Slika </w:t>
      </w:r>
      <w:r w:rsidR="00C60C6F">
        <w:fldChar w:fldCharType="begin"/>
      </w:r>
      <w:r w:rsidR="00C60C6F">
        <w:instrText xml:space="preserve"> SEQ Slika \* ARABIC </w:instrText>
      </w:r>
      <w:r w:rsidR="00C60C6F">
        <w:fldChar w:fldCharType="separate"/>
      </w:r>
      <w:r w:rsidR="006A29BC">
        <w:rPr>
          <w:noProof/>
        </w:rPr>
        <w:t>18</w:t>
      </w:r>
      <w:r w:rsidR="00C60C6F">
        <w:rPr>
          <w:noProof/>
        </w:rPr>
        <w:fldChar w:fldCharType="end"/>
      </w:r>
      <w:bookmarkEnd w:id="275"/>
      <w:r>
        <w:t xml:space="preserve"> </w:t>
      </w:r>
      <w:r w:rsidR="002D636E" w:rsidRPr="00CD38D2">
        <w:t>Geografske jedinice koje ulaze u Klaster B</w:t>
      </w:r>
    </w:p>
    <w:p w:rsidR="00FE6D9D" w:rsidRDefault="00FE6D9D" w:rsidP="00FE6D9D">
      <w:pPr>
        <w:jc w:val="both"/>
        <w:rPr>
          <w:rFonts w:eastAsia="Times New Roman"/>
        </w:rPr>
      </w:pPr>
      <w:r w:rsidRPr="003D4430">
        <w:rPr>
          <w:noProof/>
          <w:lang w:val="en-US"/>
        </w:rPr>
        <w:drawing>
          <wp:inline distT="0" distB="0" distL="0" distR="0" wp14:anchorId="3E392E17" wp14:editId="32A9F4A2">
            <wp:extent cx="5943600" cy="3312160"/>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3312160"/>
                    </a:xfrm>
                    <a:prstGeom prst="rect">
                      <a:avLst/>
                    </a:prstGeom>
                  </pic:spPr>
                </pic:pic>
              </a:graphicData>
            </a:graphic>
          </wp:inline>
        </w:drawing>
      </w:r>
    </w:p>
    <w:p w:rsidR="00FE6D9D" w:rsidRDefault="00FE6D9D" w:rsidP="00FE6D9D">
      <w:pPr>
        <w:jc w:val="both"/>
        <w:rPr>
          <w:rFonts w:eastAsia="Times New Roman"/>
        </w:rPr>
      </w:pPr>
    </w:p>
    <w:p w:rsidR="00FE6D9D" w:rsidRDefault="00FE6D9D" w:rsidP="00FE6D9D">
      <w:pPr>
        <w:jc w:val="both"/>
        <w:rPr>
          <w:rFonts w:eastAsia="Times New Roman"/>
        </w:rPr>
      </w:pPr>
      <w:r>
        <w:rPr>
          <w:rFonts w:eastAsia="Times New Roman"/>
        </w:rPr>
        <w:t xml:space="preserve">U privitku 2 ovog dokumenta nalazi se popis svih geografskih jedinica </w:t>
      </w:r>
      <w:r w:rsidR="00BF2133" w:rsidRPr="00BF2133">
        <w:rPr>
          <w:rFonts w:eastAsia="Times New Roman"/>
        </w:rPr>
        <w:t xml:space="preserve">koje pripadaju Tržištu velikog kapaciteta - </w:t>
      </w:r>
      <w:r w:rsidR="00BF2133">
        <w:rPr>
          <w:rFonts w:eastAsia="Times New Roman"/>
        </w:rPr>
        <w:t>ne</w:t>
      </w:r>
      <w:r w:rsidR="00BF2133" w:rsidRPr="00BF2133">
        <w:rPr>
          <w:rFonts w:eastAsia="Times New Roman"/>
        </w:rPr>
        <w:t>konkurentna područja</w:t>
      </w:r>
      <w:r w:rsidR="00BF2133">
        <w:rPr>
          <w:rFonts w:eastAsia="Times New Roman"/>
        </w:rPr>
        <w:t xml:space="preserve"> - </w:t>
      </w:r>
      <w:r w:rsidR="002D636E">
        <w:rPr>
          <w:rFonts w:eastAsia="Times New Roman"/>
        </w:rPr>
        <w:t>Klaster</w:t>
      </w:r>
      <w:r>
        <w:rPr>
          <w:rFonts w:eastAsia="Times New Roman"/>
        </w:rPr>
        <w:t xml:space="preserve"> B u kojima su zadovoljena prva dva od tri kriterija, uzevši u obzir prethodno navedeni izuzetak.</w:t>
      </w:r>
    </w:p>
    <w:p w:rsidR="00FE6D9D" w:rsidRDefault="00FE6D9D" w:rsidP="00FE6D9D">
      <w:pPr>
        <w:jc w:val="both"/>
        <w:rPr>
          <w:rFonts w:eastAsia="Times New Roman"/>
        </w:rPr>
      </w:pPr>
    </w:p>
    <w:p w:rsidR="00FE6D9D" w:rsidRPr="0082266F" w:rsidRDefault="00FE6D9D" w:rsidP="0082266F">
      <w:pPr>
        <w:pStyle w:val="Heading2"/>
      </w:pPr>
      <w:bookmarkStart w:id="276" w:name="_Toc124928600"/>
      <w:bookmarkStart w:id="277" w:name="_Toc124946942"/>
      <w:bookmarkStart w:id="278" w:name="_Toc124948852"/>
      <w:bookmarkStart w:id="279" w:name="_Toc124951747"/>
      <w:bookmarkStart w:id="280" w:name="_Toc125644897"/>
      <w:r w:rsidRPr="0082266F">
        <w:t xml:space="preserve">Ažuriranje popisa </w:t>
      </w:r>
      <w:r w:rsidR="00855405" w:rsidRPr="0082266F">
        <w:t xml:space="preserve">geografskih jedinica koje pripadaju </w:t>
      </w:r>
      <w:r w:rsidR="002D636E" w:rsidRPr="0082266F">
        <w:t xml:space="preserve">Tržištu velikog kapaciteta – </w:t>
      </w:r>
      <w:r w:rsidRPr="0082266F">
        <w:t>konkure</w:t>
      </w:r>
      <w:r w:rsidR="002D636E" w:rsidRPr="0082266F">
        <w:t>ntna područja</w:t>
      </w:r>
      <w:r w:rsidRPr="0082266F">
        <w:t xml:space="preserve"> i </w:t>
      </w:r>
      <w:r w:rsidR="002D636E" w:rsidRPr="0082266F">
        <w:t xml:space="preserve">Tržištu velikog kapaciteta - </w:t>
      </w:r>
      <w:r w:rsidRPr="0082266F">
        <w:t>nekonku</w:t>
      </w:r>
      <w:r w:rsidR="002D636E" w:rsidRPr="0082266F">
        <w:t>rentna područja</w:t>
      </w:r>
      <w:bookmarkEnd w:id="276"/>
      <w:bookmarkEnd w:id="277"/>
      <w:bookmarkEnd w:id="278"/>
      <w:bookmarkEnd w:id="279"/>
      <w:bookmarkEnd w:id="280"/>
    </w:p>
    <w:p w:rsidR="00012220" w:rsidRPr="00DF4062" w:rsidRDefault="00012220" w:rsidP="00012220">
      <w:pPr>
        <w:jc w:val="both"/>
        <w:rPr>
          <w:rFonts w:eastAsia="Times New Roman"/>
        </w:rPr>
      </w:pPr>
      <w:r w:rsidRPr="00010077">
        <w:rPr>
          <w:rFonts w:asciiTheme="minorHAnsi" w:hAnsiTheme="minorHAnsi"/>
          <w:iCs/>
        </w:rPr>
        <w:t xml:space="preserve">S obzirom da je sljedeću analizu mjerodavnih tržišta potrebno provesti u roku od pet godina od dana donošenja prethodne analize, za očekivati je da će u navedenom razdoblju određene geografske jedinice prema odabranim kriterijima ispuniti uvjete za promjenu konkurentnog/nekonkurentnog statusa. </w:t>
      </w:r>
      <w:r>
        <w:rPr>
          <w:rFonts w:asciiTheme="minorHAnsi" w:hAnsiTheme="minorHAnsi"/>
          <w:iCs/>
        </w:rPr>
        <w:t>U tom smislu</w:t>
      </w:r>
      <w:r w:rsidRPr="00010077">
        <w:rPr>
          <w:rFonts w:asciiTheme="minorHAnsi" w:hAnsiTheme="minorHAnsi"/>
          <w:iCs/>
        </w:rPr>
        <w:t xml:space="preserve"> HAKOM je razmatrao mogućnost da se na temelju odabranih kriterija, u određenom razdoblju od donošenja analize, a prije provođenja novog kruga analize ovog tržišta, provjeri </w:t>
      </w:r>
      <w:r>
        <w:rPr>
          <w:rFonts w:asciiTheme="minorHAnsi" w:hAnsiTheme="minorHAnsi"/>
          <w:iCs/>
        </w:rPr>
        <w:t xml:space="preserve">mijenjaju </w:t>
      </w:r>
      <w:r w:rsidRPr="00010077">
        <w:rPr>
          <w:rFonts w:asciiTheme="minorHAnsi" w:hAnsiTheme="minorHAnsi"/>
          <w:iCs/>
        </w:rPr>
        <w:t xml:space="preserve">li na temelju zadanih kriterija neke od geografskih jedinica status </w:t>
      </w:r>
      <w:r w:rsidRPr="00DF4062">
        <w:rPr>
          <w:rFonts w:eastAsia="Times New Roman"/>
        </w:rPr>
        <w:t xml:space="preserve">pripadanja </w:t>
      </w:r>
      <w:r>
        <w:rPr>
          <w:rFonts w:eastAsia="Times New Roman"/>
        </w:rPr>
        <w:t xml:space="preserve">Tržištu velikog kapaciteta – </w:t>
      </w:r>
      <w:r w:rsidRPr="00DF4062">
        <w:rPr>
          <w:rFonts w:eastAsia="Times New Roman"/>
        </w:rPr>
        <w:t>konkurentn</w:t>
      </w:r>
      <w:r>
        <w:rPr>
          <w:rFonts w:eastAsia="Times New Roman"/>
        </w:rPr>
        <w:t>a područja</w:t>
      </w:r>
      <w:r w:rsidRPr="00DF4062">
        <w:rPr>
          <w:rFonts w:eastAsia="Times New Roman"/>
        </w:rPr>
        <w:t xml:space="preserve">, odnosno </w:t>
      </w:r>
      <w:r>
        <w:rPr>
          <w:rFonts w:eastAsia="Times New Roman"/>
        </w:rPr>
        <w:t xml:space="preserve">Tržištu velikog kapaciteta - </w:t>
      </w:r>
      <w:r w:rsidRPr="00DF4062">
        <w:rPr>
          <w:rFonts w:eastAsia="Times New Roman"/>
        </w:rPr>
        <w:t>nekonkurentn</w:t>
      </w:r>
      <w:r>
        <w:rPr>
          <w:rFonts w:eastAsia="Times New Roman"/>
        </w:rPr>
        <w:t>a</w:t>
      </w:r>
      <w:r w:rsidRPr="00DF4062">
        <w:rPr>
          <w:rFonts w:eastAsia="Times New Roman"/>
        </w:rPr>
        <w:t xml:space="preserve"> područ</w:t>
      </w:r>
      <w:r>
        <w:rPr>
          <w:rFonts w:eastAsia="Times New Roman"/>
        </w:rPr>
        <w:t>j</w:t>
      </w:r>
      <w:r w:rsidRPr="00DF4062">
        <w:rPr>
          <w:rFonts w:eastAsia="Times New Roman"/>
        </w:rPr>
        <w:t>a.</w:t>
      </w:r>
    </w:p>
    <w:p w:rsidR="00012220" w:rsidRPr="00010077" w:rsidRDefault="00012220" w:rsidP="00012220">
      <w:pPr>
        <w:tabs>
          <w:tab w:val="left" w:pos="1690"/>
        </w:tabs>
        <w:ind w:left="317"/>
        <w:contextualSpacing/>
        <w:rPr>
          <w:rFonts w:asciiTheme="minorHAnsi" w:hAnsiTheme="minorHAnsi"/>
          <w:iCs/>
        </w:rPr>
      </w:pPr>
      <w:r>
        <w:rPr>
          <w:rFonts w:asciiTheme="minorHAnsi" w:hAnsiTheme="minorHAnsi"/>
          <w:iCs/>
        </w:rPr>
        <w:tab/>
      </w:r>
    </w:p>
    <w:p w:rsidR="00012220" w:rsidRPr="00010077" w:rsidRDefault="00012220" w:rsidP="00012220">
      <w:pPr>
        <w:contextualSpacing/>
        <w:jc w:val="both"/>
        <w:rPr>
          <w:rFonts w:asciiTheme="minorHAnsi" w:hAnsiTheme="minorHAnsi"/>
          <w:iCs/>
        </w:rPr>
      </w:pPr>
      <w:r w:rsidRPr="00010077">
        <w:rPr>
          <w:rFonts w:asciiTheme="minorHAnsi" w:hAnsiTheme="minorHAnsi"/>
          <w:iCs/>
        </w:rPr>
        <w:t>HAKOM je</w:t>
      </w:r>
      <w:r>
        <w:rPr>
          <w:rFonts w:asciiTheme="minorHAnsi" w:hAnsiTheme="minorHAnsi"/>
          <w:iCs/>
        </w:rPr>
        <w:t xml:space="preserve"> u tablici niže</w:t>
      </w:r>
      <w:r w:rsidRPr="00010077">
        <w:rPr>
          <w:rFonts w:asciiTheme="minorHAnsi" w:hAnsiTheme="minorHAnsi"/>
          <w:iCs/>
        </w:rPr>
        <w:t xml:space="preserve"> razmatrao sljedeće opcije vezano uz ažuriranje popisa konkurentnih, odnosno nekonkurentnih područja:</w:t>
      </w:r>
    </w:p>
    <w:p w:rsidR="00012220" w:rsidRPr="009B472B" w:rsidRDefault="00012220" w:rsidP="00766501">
      <w:pPr>
        <w:pStyle w:val="ListParagraph"/>
        <w:numPr>
          <w:ilvl w:val="0"/>
          <w:numId w:val="58"/>
        </w:numPr>
        <w:jc w:val="both"/>
        <w:rPr>
          <w:rFonts w:asciiTheme="minorHAnsi" w:hAnsiTheme="minorHAnsi"/>
          <w:iCs/>
        </w:rPr>
      </w:pPr>
      <w:r w:rsidRPr="009B472B">
        <w:rPr>
          <w:rFonts w:asciiTheme="minorHAnsi" w:hAnsiTheme="minorHAnsi"/>
          <w:iCs/>
        </w:rPr>
        <w:t>Opcija 1: Ne ažurirati popis do novog kruga analize tržišta,</w:t>
      </w:r>
    </w:p>
    <w:p w:rsidR="00012220" w:rsidRPr="009B472B" w:rsidRDefault="00012220" w:rsidP="00766501">
      <w:pPr>
        <w:pStyle w:val="ListParagraph"/>
        <w:numPr>
          <w:ilvl w:val="0"/>
          <w:numId w:val="58"/>
        </w:numPr>
        <w:jc w:val="both"/>
        <w:rPr>
          <w:rFonts w:asciiTheme="minorHAnsi" w:hAnsiTheme="minorHAnsi"/>
          <w:iCs/>
        </w:rPr>
      </w:pPr>
      <w:r w:rsidRPr="009B472B">
        <w:rPr>
          <w:rFonts w:asciiTheme="minorHAnsi" w:hAnsiTheme="minorHAnsi"/>
          <w:iCs/>
        </w:rPr>
        <w:t>Opcija 2: Ažurirati popis godinu dana nakon stupanja na snagu odredbi analize ili u roku kraćem od godine dana,</w:t>
      </w:r>
    </w:p>
    <w:p w:rsidR="00012220" w:rsidRPr="009B472B" w:rsidRDefault="00012220" w:rsidP="00766501">
      <w:pPr>
        <w:pStyle w:val="ListParagraph"/>
        <w:numPr>
          <w:ilvl w:val="0"/>
          <w:numId w:val="58"/>
        </w:numPr>
        <w:jc w:val="both"/>
        <w:rPr>
          <w:rFonts w:asciiTheme="minorHAnsi" w:hAnsiTheme="minorHAnsi"/>
          <w:iCs/>
        </w:rPr>
      </w:pPr>
      <w:r w:rsidRPr="009B472B">
        <w:rPr>
          <w:rFonts w:asciiTheme="minorHAnsi" w:hAnsiTheme="minorHAnsi"/>
          <w:iCs/>
        </w:rPr>
        <w:t>Opcija 3: Ažurirati popis 2 godine nakon stupanja na snagu odredbi analize.</w:t>
      </w:r>
    </w:p>
    <w:p w:rsidR="00012220" w:rsidRDefault="00012220" w:rsidP="00012220">
      <w:pPr>
        <w:jc w:val="both"/>
        <w:rPr>
          <w:rFonts w:eastAsia="Times New Roman"/>
        </w:rPr>
      </w:pPr>
    </w:p>
    <w:tbl>
      <w:tblPr>
        <w:tblStyle w:val="TableGrid"/>
        <w:tblW w:w="0" w:type="auto"/>
        <w:tblInd w:w="311" w:type="dxa"/>
        <w:tblLook w:val="04A0" w:firstRow="1" w:lastRow="0" w:firstColumn="1" w:lastColumn="0" w:noHBand="0" w:noVBand="1"/>
      </w:tblPr>
      <w:tblGrid>
        <w:gridCol w:w="1811"/>
        <w:gridCol w:w="2976"/>
        <w:gridCol w:w="3261"/>
      </w:tblGrid>
      <w:tr w:rsidR="00012220" w:rsidRPr="00096C5C" w:rsidTr="00495E79">
        <w:trPr>
          <w:trHeight w:val="363"/>
        </w:trPr>
        <w:tc>
          <w:tcPr>
            <w:tcW w:w="1811" w:type="dxa"/>
          </w:tcPr>
          <w:p w:rsidR="00012220" w:rsidRPr="00096C5C" w:rsidRDefault="00012220" w:rsidP="00495E79">
            <w:pPr>
              <w:rPr>
                <w:rFonts w:ascii="Arial Narrow" w:hAnsi="Arial Narrow"/>
                <w:iCs/>
                <w:sz w:val="20"/>
              </w:rPr>
            </w:pPr>
          </w:p>
        </w:tc>
        <w:tc>
          <w:tcPr>
            <w:tcW w:w="2976" w:type="dxa"/>
          </w:tcPr>
          <w:p w:rsidR="00012220" w:rsidRPr="00096C5C" w:rsidRDefault="00012220" w:rsidP="00495E79">
            <w:pPr>
              <w:jc w:val="center"/>
              <w:rPr>
                <w:rFonts w:ascii="Arial Narrow" w:hAnsi="Arial Narrow"/>
                <w:iCs/>
                <w:sz w:val="18"/>
                <w:szCs w:val="18"/>
              </w:rPr>
            </w:pPr>
            <w:r w:rsidRPr="00096C5C">
              <w:rPr>
                <w:rFonts w:ascii="Arial Narrow" w:hAnsi="Arial Narrow"/>
                <w:iCs/>
                <w:sz w:val="18"/>
                <w:szCs w:val="18"/>
              </w:rPr>
              <w:t>Koristi</w:t>
            </w:r>
          </w:p>
        </w:tc>
        <w:tc>
          <w:tcPr>
            <w:tcW w:w="3261" w:type="dxa"/>
          </w:tcPr>
          <w:p w:rsidR="00012220" w:rsidRPr="00096C5C" w:rsidRDefault="00012220" w:rsidP="00495E79">
            <w:pPr>
              <w:jc w:val="center"/>
              <w:rPr>
                <w:rFonts w:ascii="Arial Narrow" w:hAnsi="Arial Narrow"/>
                <w:iCs/>
                <w:sz w:val="18"/>
                <w:szCs w:val="18"/>
              </w:rPr>
            </w:pPr>
            <w:r w:rsidRPr="00096C5C">
              <w:rPr>
                <w:rFonts w:ascii="Arial Narrow" w:hAnsi="Arial Narrow"/>
                <w:iCs/>
                <w:sz w:val="18"/>
                <w:szCs w:val="18"/>
              </w:rPr>
              <w:t>Troškovi (Rizici)</w:t>
            </w:r>
          </w:p>
        </w:tc>
      </w:tr>
      <w:tr w:rsidR="00012220" w:rsidRPr="00096C5C" w:rsidTr="00495E79">
        <w:trPr>
          <w:trHeight w:val="386"/>
        </w:trPr>
        <w:tc>
          <w:tcPr>
            <w:tcW w:w="1811" w:type="dxa"/>
          </w:tcPr>
          <w:p w:rsidR="00012220" w:rsidRPr="00096C5C" w:rsidRDefault="00012220" w:rsidP="00495E79">
            <w:pPr>
              <w:rPr>
                <w:rFonts w:ascii="Arial Narrow" w:hAnsi="Arial Narrow"/>
                <w:iCs/>
                <w:sz w:val="16"/>
                <w:szCs w:val="16"/>
              </w:rPr>
            </w:pPr>
            <w:r w:rsidRPr="00096C5C">
              <w:rPr>
                <w:rFonts w:ascii="Arial Narrow" w:hAnsi="Arial Narrow"/>
                <w:iCs/>
                <w:sz w:val="16"/>
                <w:szCs w:val="16"/>
              </w:rPr>
              <w:t>Opcija 1 – ne ažurirati popis do novog kruga analiza tržišta</w:t>
            </w:r>
          </w:p>
        </w:tc>
        <w:tc>
          <w:tcPr>
            <w:tcW w:w="2976" w:type="dxa"/>
          </w:tcPr>
          <w:p w:rsidR="00012220" w:rsidRPr="00096C5C" w:rsidRDefault="00012220" w:rsidP="00766501">
            <w:pPr>
              <w:numPr>
                <w:ilvl w:val="0"/>
                <w:numId w:val="14"/>
              </w:numPr>
              <w:contextualSpacing/>
              <w:rPr>
                <w:rFonts w:ascii="Arial Narrow" w:hAnsi="Arial Narrow"/>
                <w:iCs/>
                <w:sz w:val="16"/>
                <w:szCs w:val="16"/>
              </w:rPr>
            </w:pPr>
            <w:r w:rsidRPr="00096C5C">
              <w:rPr>
                <w:rFonts w:ascii="Arial Narrow" w:hAnsi="Arial Narrow"/>
                <w:iCs/>
                <w:sz w:val="16"/>
                <w:szCs w:val="16"/>
              </w:rPr>
              <w:t>ne postoje koristi iz razloga što je predugo razdoblje u kojem se u obzir nisu uzele nove okolnosti na tržištu koje uključuju gradnju VHCN mreža od strane različitih dionika tržišta</w:t>
            </w:r>
          </w:p>
          <w:p w:rsidR="00012220" w:rsidRPr="00096C5C" w:rsidRDefault="00012220" w:rsidP="00495E79">
            <w:pPr>
              <w:ind w:left="720"/>
              <w:contextualSpacing/>
              <w:rPr>
                <w:rFonts w:ascii="Arial Narrow" w:hAnsi="Arial Narrow"/>
                <w:iCs/>
                <w:sz w:val="16"/>
                <w:szCs w:val="16"/>
              </w:rPr>
            </w:pPr>
          </w:p>
        </w:tc>
        <w:tc>
          <w:tcPr>
            <w:tcW w:w="3261" w:type="dxa"/>
          </w:tcPr>
          <w:p w:rsidR="00012220" w:rsidRPr="00096C5C" w:rsidRDefault="00012220" w:rsidP="00766501">
            <w:pPr>
              <w:numPr>
                <w:ilvl w:val="0"/>
                <w:numId w:val="14"/>
              </w:numPr>
              <w:contextualSpacing/>
              <w:rPr>
                <w:rFonts w:ascii="Arial Narrow" w:hAnsi="Arial Narrow" w:cstheme="minorHAnsi"/>
                <w:iCs/>
                <w:sz w:val="16"/>
                <w:szCs w:val="16"/>
              </w:rPr>
            </w:pPr>
            <w:r w:rsidRPr="00096C5C">
              <w:rPr>
                <w:rFonts w:ascii="Arial Narrow" w:hAnsi="Arial Narrow" w:cstheme="minorHAnsi"/>
                <w:iCs/>
                <w:sz w:val="16"/>
                <w:szCs w:val="16"/>
              </w:rPr>
              <w:t xml:space="preserve">velika mogućnost regulatorne neučinkovitosti iz razloga što se u obzir ne bi uzela novo izgrađena infrastruktura u zadnjih 5 godina </w:t>
            </w:r>
          </w:p>
        </w:tc>
      </w:tr>
      <w:tr w:rsidR="00012220" w:rsidRPr="00096C5C" w:rsidTr="00495E79">
        <w:trPr>
          <w:trHeight w:val="363"/>
        </w:trPr>
        <w:tc>
          <w:tcPr>
            <w:tcW w:w="1811" w:type="dxa"/>
          </w:tcPr>
          <w:p w:rsidR="00012220" w:rsidRPr="00096C5C" w:rsidRDefault="00012220" w:rsidP="00495E79">
            <w:pPr>
              <w:rPr>
                <w:rFonts w:ascii="Arial Narrow" w:hAnsi="Arial Narrow"/>
                <w:iCs/>
                <w:sz w:val="16"/>
                <w:szCs w:val="16"/>
              </w:rPr>
            </w:pPr>
            <w:r w:rsidRPr="00096C5C">
              <w:rPr>
                <w:rFonts w:ascii="Arial Narrow" w:hAnsi="Arial Narrow"/>
                <w:iCs/>
                <w:sz w:val="16"/>
                <w:szCs w:val="16"/>
              </w:rPr>
              <w:t xml:space="preserve">Opcija 2 – Ažurirati popis jednom godišnje ili u kraćim vremenskim intervalima </w:t>
            </w:r>
          </w:p>
        </w:tc>
        <w:tc>
          <w:tcPr>
            <w:tcW w:w="2976" w:type="dxa"/>
          </w:tcPr>
          <w:p w:rsidR="00012220" w:rsidRPr="00096C5C" w:rsidRDefault="00012220" w:rsidP="00766501">
            <w:pPr>
              <w:numPr>
                <w:ilvl w:val="0"/>
                <w:numId w:val="14"/>
              </w:numPr>
              <w:contextualSpacing/>
              <w:rPr>
                <w:rFonts w:ascii="Arial Narrow" w:hAnsi="Arial Narrow" w:cstheme="minorHAnsi"/>
                <w:iCs/>
                <w:sz w:val="16"/>
                <w:szCs w:val="16"/>
              </w:rPr>
            </w:pPr>
            <w:r w:rsidRPr="00096C5C">
              <w:rPr>
                <w:rFonts w:ascii="Arial Narrow" w:hAnsi="Arial Narrow" w:cstheme="minorHAnsi"/>
                <w:iCs/>
                <w:sz w:val="16"/>
                <w:szCs w:val="16"/>
              </w:rPr>
              <w:t>SMP analiza i prateće obveze pratile bi situaciju na tržištu; podaci za SMP analizu ne bi bili zastarjeli</w:t>
            </w:r>
          </w:p>
        </w:tc>
        <w:tc>
          <w:tcPr>
            <w:tcW w:w="3261" w:type="dxa"/>
          </w:tcPr>
          <w:p w:rsidR="00012220" w:rsidRPr="00096C5C" w:rsidRDefault="00012220" w:rsidP="00766501">
            <w:pPr>
              <w:numPr>
                <w:ilvl w:val="0"/>
                <w:numId w:val="14"/>
              </w:numPr>
              <w:contextualSpacing/>
              <w:rPr>
                <w:rFonts w:ascii="Arial Narrow" w:hAnsi="Arial Narrow"/>
                <w:iCs/>
                <w:sz w:val="16"/>
                <w:szCs w:val="16"/>
              </w:rPr>
            </w:pPr>
            <w:r w:rsidRPr="00096C5C">
              <w:rPr>
                <w:rFonts w:ascii="Arial Narrow" w:hAnsi="Arial Narrow"/>
                <w:iCs/>
                <w:sz w:val="16"/>
                <w:szCs w:val="16"/>
              </w:rPr>
              <w:t xml:space="preserve">Mogućnost regulatorne i poslovne nesigurnosti; pravila za geografska područja bi se </w:t>
            </w:r>
            <w:proofErr w:type="spellStart"/>
            <w:r w:rsidRPr="00096C5C">
              <w:rPr>
                <w:rFonts w:ascii="Arial Narrow" w:hAnsi="Arial Narrow"/>
                <w:iCs/>
                <w:sz w:val="16"/>
                <w:szCs w:val="16"/>
              </w:rPr>
              <w:t>preučestalo</w:t>
            </w:r>
            <w:proofErr w:type="spellEnd"/>
            <w:r w:rsidRPr="00096C5C">
              <w:rPr>
                <w:rFonts w:ascii="Arial Narrow" w:hAnsi="Arial Narrow"/>
                <w:iCs/>
                <w:sz w:val="16"/>
                <w:szCs w:val="16"/>
              </w:rPr>
              <w:t xml:space="preserve"> (barem 5 puta) mijenjala unutar iste analize tržišta</w:t>
            </w:r>
          </w:p>
          <w:p w:rsidR="00012220" w:rsidRPr="00096C5C" w:rsidRDefault="00012220" w:rsidP="00766501">
            <w:pPr>
              <w:numPr>
                <w:ilvl w:val="0"/>
                <w:numId w:val="14"/>
              </w:numPr>
              <w:contextualSpacing/>
              <w:rPr>
                <w:rFonts w:ascii="Arial Narrow" w:hAnsi="Arial Narrow"/>
                <w:iCs/>
                <w:sz w:val="16"/>
                <w:szCs w:val="16"/>
              </w:rPr>
            </w:pPr>
            <w:r w:rsidRPr="00096C5C">
              <w:rPr>
                <w:rFonts w:ascii="Arial Narrow" w:hAnsi="Arial Narrow"/>
                <w:iCs/>
                <w:sz w:val="16"/>
                <w:szCs w:val="16"/>
              </w:rPr>
              <w:t>Ažuriranje statusa područja jednom godišnje ili u kraćim vremenskim intervalima bi zahtijevalo  prečestu prilagodbu poslovne politike od strane operatora što izaziva dodatne troškove u pogledu ljudskih resursa</w:t>
            </w:r>
          </w:p>
        </w:tc>
      </w:tr>
      <w:tr w:rsidR="00012220" w:rsidRPr="00096C5C" w:rsidTr="00495E79">
        <w:trPr>
          <w:trHeight w:val="363"/>
        </w:trPr>
        <w:tc>
          <w:tcPr>
            <w:tcW w:w="1811" w:type="dxa"/>
          </w:tcPr>
          <w:p w:rsidR="00012220" w:rsidRPr="00096C5C" w:rsidRDefault="00012220" w:rsidP="00495E79">
            <w:pPr>
              <w:rPr>
                <w:rFonts w:ascii="Arial Narrow" w:hAnsi="Arial Narrow"/>
                <w:iCs/>
                <w:sz w:val="16"/>
                <w:szCs w:val="16"/>
              </w:rPr>
            </w:pPr>
            <w:r w:rsidRPr="00096C5C">
              <w:rPr>
                <w:rFonts w:ascii="Arial Narrow" w:hAnsi="Arial Narrow"/>
                <w:iCs/>
                <w:sz w:val="16"/>
                <w:szCs w:val="16"/>
              </w:rPr>
              <w:t>Opcija 3 – Ažurirati popis 2 godine nakon stupanja na snagu odredbi analize</w:t>
            </w:r>
          </w:p>
        </w:tc>
        <w:tc>
          <w:tcPr>
            <w:tcW w:w="2976" w:type="dxa"/>
          </w:tcPr>
          <w:p w:rsidR="00012220" w:rsidRPr="00096C5C" w:rsidRDefault="00012220" w:rsidP="00766501">
            <w:pPr>
              <w:numPr>
                <w:ilvl w:val="0"/>
                <w:numId w:val="14"/>
              </w:numPr>
              <w:contextualSpacing/>
              <w:rPr>
                <w:rFonts w:ascii="Arial Narrow" w:hAnsi="Arial Narrow" w:cstheme="minorHAnsi"/>
                <w:iCs/>
                <w:sz w:val="16"/>
                <w:szCs w:val="16"/>
              </w:rPr>
            </w:pPr>
            <w:r w:rsidRPr="00096C5C">
              <w:rPr>
                <w:rFonts w:ascii="Arial Narrow" w:hAnsi="Arial Narrow" w:cstheme="minorHAnsi"/>
                <w:iCs/>
                <w:sz w:val="16"/>
                <w:szCs w:val="16"/>
              </w:rPr>
              <w:t>SMP analiza i prateće obveze pratile bi situaciju na tržištu; podaci za SMP analizu ne bi bili zastarjeli</w:t>
            </w:r>
          </w:p>
          <w:p w:rsidR="00012220" w:rsidRPr="00096C5C" w:rsidRDefault="00012220" w:rsidP="00766501">
            <w:pPr>
              <w:numPr>
                <w:ilvl w:val="0"/>
                <w:numId w:val="14"/>
              </w:numPr>
              <w:contextualSpacing/>
              <w:rPr>
                <w:rFonts w:ascii="Arial Narrow" w:hAnsi="Arial Narrow" w:cstheme="minorHAnsi"/>
                <w:iCs/>
                <w:sz w:val="16"/>
                <w:szCs w:val="16"/>
              </w:rPr>
            </w:pPr>
            <w:r w:rsidRPr="00096C5C">
              <w:rPr>
                <w:rFonts w:ascii="Arial Narrow" w:hAnsi="Arial Narrow" w:cstheme="minorHAnsi"/>
                <w:iCs/>
                <w:sz w:val="16"/>
                <w:szCs w:val="16"/>
              </w:rPr>
              <w:t>Poslovna i regulatorna sigurnost; pravila za geografska područja bi se optimalno (2 puta) mijenjala unutar iste analize tržišta</w:t>
            </w:r>
          </w:p>
        </w:tc>
        <w:tc>
          <w:tcPr>
            <w:tcW w:w="3261" w:type="dxa"/>
          </w:tcPr>
          <w:p w:rsidR="00012220" w:rsidRPr="00096C5C" w:rsidRDefault="00012220" w:rsidP="00766501">
            <w:pPr>
              <w:numPr>
                <w:ilvl w:val="0"/>
                <w:numId w:val="14"/>
              </w:numPr>
              <w:contextualSpacing/>
              <w:rPr>
                <w:rFonts w:ascii="Arial Narrow" w:hAnsi="Arial Narrow"/>
                <w:sz w:val="16"/>
                <w:szCs w:val="16"/>
              </w:rPr>
            </w:pPr>
            <w:r w:rsidRPr="00096C5C">
              <w:rPr>
                <w:rFonts w:ascii="Arial Narrow" w:hAnsi="Arial Narrow"/>
                <w:sz w:val="16"/>
                <w:szCs w:val="16"/>
              </w:rPr>
              <w:t>Nema vidljivih nedostataka</w:t>
            </w:r>
          </w:p>
        </w:tc>
      </w:tr>
    </w:tbl>
    <w:p w:rsidR="00012220" w:rsidRPr="00096C5C" w:rsidRDefault="00012220" w:rsidP="00012220">
      <w:pPr>
        <w:spacing w:after="160" w:line="259" w:lineRule="auto"/>
        <w:contextualSpacing/>
        <w:rPr>
          <w:rFonts w:asciiTheme="minorHAnsi" w:hAnsiTheme="minorHAnsi" w:cstheme="minorHAnsi"/>
          <w:color w:val="auto"/>
          <w:sz w:val="20"/>
          <w:szCs w:val="22"/>
          <w:lang w:val="hr"/>
        </w:rPr>
      </w:pPr>
    </w:p>
    <w:p w:rsidR="00012220" w:rsidRDefault="00012220" w:rsidP="00012220">
      <w:pPr>
        <w:jc w:val="both"/>
        <w:rPr>
          <w:rFonts w:eastAsia="Times New Roman"/>
        </w:rPr>
      </w:pPr>
    </w:p>
    <w:p w:rsidR="00012220" w:rsidRPr="00DF4062" w:rsidRDefault="00012220" w:rsidP="00012220">
      <w:pPr>
        <w:jc w:val="both"/>
        <w:rPr>
          <w:rFonts w:eastAsia="Times New Roman"/>
        </w:rPr>
      </w:pPr>
      <w:r w:rsidRPr="002C159C">
        <w:rPr>
          <w:rFonts w:eastAsia="Times New Roman"/>
        </w:rPr>
        <w:t xml:space="preserve">HAKOM je odlučio ažurirati popis 2 godine nakon stupanja na snagu analize, jer se na taj način uzimaju u obzir promjene na tržištu koje će nastupiti do provođenja novog kruga analize tržišta, odnosno prije isteka petogodišnjeg razdoblja. Uzevši u obzir dosadašnje objave namjere gradnje za očekivati je porast daljnjih ulaganja u svjetlovodne mreže, a što će utjecati i na tržišne udjele na maloprodajnoj razini, pa će se na ovaj način regulacija prilagoditi stvarnom stanju u geografskim jedinicama. HAKOM </w:t>
      </w:r>
      <w:r>
        <w:rPr>
          <w:rFonts w:eastAsia="Times New Roman"/>
        </w:rPr>
        <w:t>ni</w:t>
      </w:r>
      <w:r w:rsidRPr="002C159C">
        <w:rPr>
          <w:rFonts w:eastAsia="Times New Roman"/>
        </w:rPr>
        <w:t xml:space="preserve">je </w:t>
      </w:r>
      <w:r>
        <w:rPr>
          <w:rFonts w:eastAsia="Times New Roman"/>
        </w:rPr>
        <w:t>odabrao</w:t>
      </w:r>
      <w:r w:rsidRPr="002C159C">
        <w:rPr>
          <w:rFonts w:eastAsia="Times New Roman"/>
        </w:rPr>
        <w:t xml:space="preserve"> opciju ažuriranja popisa jednom godišnje, odnosno u kraćim vremenskim intervalima, s obzirom da bi se na taj način prečesto mijenjala regulacija u razdoblju jedne analize tržišta, a što bi iziskivalo prečeste prilagodbe poslovne politike operatora ovisno o području. Nadalje, uvidom u objave namjere gradnje svjetlovodnih distribucijskih mreža, izgradnja svjetlovodne distribucijske mreže planira se prosječno u trajanju od godinu i šest mjeseci, tako da s obzirom da se radi o projektima koji uglavnom traju više od godinu dana, HAKOM smatra kako nije potrebno češće ažurirati popis područja.</w:t>
      </w:r>
      <w:r>
        <w:rPr>
          <w:rFonts w:eastAsia="Times New Roman"/>
        </w:rPr>
        <w:t xml:space="preserve"> Stoga je zaključeno kako je opcija ažuriranja statusa geografskih jedinica u dvogodišnjem razdoblju najprimjerenija opcija.</w:t>
      </w:r>
    </w:p>
    <w:p w:rsidR="00DF4062" w:rsidRPr="00DF4062" w:rsidRDefault="00DF4062" w:rsidP="00DF4062">
      <w:pPr>
        <w:rPr>
          <w:rFonts w:eastAsia="Times New Roman"/>
        </w:rPr>
      </w:pPr>
      <w:r w:rsidRPr="00DF4062">
        <w:rPr>
          <w:rFonts w:eastAsia="Times New Roman"/>
        </w:rPr>
        <w:br w:type="page"/>
      </w:r>
    </w:p>
    <w:p w:rsidR="00D7024A" w:rsidRPr="0082266F" w:rsidRDefault="00D7024A" w:rsidP="0082266F">
      <w:pPr>
        <w:pStyle w:val="Heading1"/>
      </w:pPr>
      <w:bookmarkStart w:id="281" w:name="_Toc124928601"/>
      <w:bookmarkStart w:id="282" w:name="_Toc124946943"/>
      <w:bookmarkStart w:id="283" w:name="_Toc124948853"/>
      <w:bookmarkStart w:id="284" w:name="_Toc124951748"/>
      <w:bookmarkStart w:id="285" w:name="_Toc125644898"/>
      <w:r w:rsidRPr="0082266F">
        <w:t>Test tri mjerila na tržištu velikog kapaciteta – konkurentna područja</w:t>
      </w:r>
      <w:bookmarkEnd w:id="281"/>
      <w:bookmarkEnd w:id="282"/>
      <w:bookmarkEnd w:id="283"/>
      <w:bookmarkEnd w:id="284"/>
      <w:bookmarkEnd w:id="285"/>
      <w:r w:rsidRPr="0082266F">
        <w:t xml:space="preserve"> </w:t>
      </w:r>
    </w:p>
    <w:p w:rsidR="00D7024A" w:rsidRDefault="00D7024A" w:rsidP="00D7024A">
      <w:pPr>
        <w:jc w:val="both"/>
        <w:rPr>
          <w:rFonts w:eastAsia="Times New Roman"/>
        </w:rPr>
      </w:pPr>
    </w:p>
    <w:p w:rsidR="00D7024A" w:rsidRPr="00F6699F" w:rsidRDefault="00D7024A" w:rsidP="00D7024A">
      <w:pPr>
        <w:jc w:val="both"/>
        <w:rPr>
          <w:rFonts w:eastAsia="Times New Roman"/>
        </w:rPr>
      </w:pPr>
      <w:r w:rsidRPr="00F6699F">
        <w:rPr>
          <w:rFonts w:eastAsia="Times New Roman"/>
        </w:rPr>
        <w:t xml:space="preserve">S obzirom da </w:t>
      </w:r>
      <w:r>
        <w:rPr>
          <w:rFonts w:eastAsia="Times New Roman"/>
        </w:rPr>
        <w:t>je tržište veleprodajnog lokalnog</w:t>
      </w:r>
      <w:r w:rsidRPr="00F6699F">
        <w:rPr>
          <w:rFonts w:eastAsia="Times New Roman"/>
        </w:rPr>
        <w:t xml:space="preserve"> pristupa koji se pruža na fiksnoj lokaciji sastavni dio nove Preporuke </w:t>
      </w:r>
      <w:r>
        <w:rPr>
          <w:rFonts w:eastAsia="Times New Roman"/>
        </w:rPr>
        <w:t xml:space="preserve">EK </w:t>
      </w:r>
      <w:r w:rsidRPr="00F6699F">
        <w:rPr>
          <w:rFonts w:eastAsia="Times New Roman"/>
        </w:rPr>
        <w:t xml:space="preserve">o mjerodavnim tržištima, HAKOM može prethodno </w:t>
      </w:r>
      <w:r>
        <w:rPr>
          <w:rFonts w:eastAsia="Times New Roman"/>
        </w:rPr>
        <w:t>de</w:t>
      </w:r>
      <w:r w:rsidRPr="00F6699F">
        <w:rPr>
          <w:rFonts w:eastAsia="Times New Roman"/>
        </w:rPr>
        <w:t>regulirati naveden</w:t>
      </w:r>
      <w:r>
        <w:rPr>
          <w:rFonts w:eastAsia="Times New Roman"/>
        </w:rPr>
        <w:t>o tržište čim</w:t>
      </w:r>
      <w:r w:rsidRPr="00F6699F">
        <w:rPr>
          <w:rFonts w:eastAsia="Times New Roman"/>
        </w:rPr>
        <w:t xml:space="preserve"> na njemu</w:t>
      </w:r>
      <w:r>
        <w:rPr>
          <w:rFonts w:eastAsia="Times New Roman"/>
        </w:rPr>
        <w:t xml:space="preserve"> nije zadovoljeno jedno od</w:t>
      </w:r>
      <w:r w:rsidRPr="00F6699F">
        <w:rPr>
          <w:rFonts w:eastAsia="Times New Roman"/>
        </w:rPr>
        <w:t xml:space="preserve"> sljedeća tri mjerila:</w:t>
      </w:r>
    </w:p>
    <w:p w:rsidR="00D7024A" w:rsidRPr="00F6699F" w:rsidRDefault="00D7024A" w:rsidP="00D7024A">
      <w:pPr>
        <w:jc w:val="both"/>
        <w:rPr>
          <w:rFonts w:eastAsia="Times New Roman"/>
        </w:rPr>
      </w:pPr>
    </w:p>
    <w:p w:rsidR="00D7024A" w:rsidRPr="00F6699F" w:rsidRDefault="00D7024A" w:rsidP="00D7024A">
      <w:pPr>
        <w:ind w:left="708"/>
        <w:jc w:val="both"/>
        <w:rPr>
          <w:rFonts w:eastAsia="Times New Roman"/>
        </w:rPr>
      </w:pPr>
      <w:r w:rsidRPr="00F6699F">
        <w:rPr>
          <w:rFonts w:eastAsia="Times New Roman"/>
        </w:rPr>
        <w:t xml:space="preserve">1. prisutnost </w:t>
      </w:r>
      <w:r>
        <w:rPr>
          <w:rFonts w:eastAsia="Times New Roman"/>
        </w:rPr>
        <w:t xml:space="preserve">velikih </w:t>
      </w:r>
      <w:r w:rsidRPr="00F6699F">
        <w:rPr>
          <w:rFonts w:eastAsia="Times New Roman"/>
        </w:rPr>
        <w:t xml:space="preserve">i trajnih </w:t>
      </w:r>
      <w:r>
        <w:rPr>
          <w:rFonts w:eastAsia="Times New Roman"/>
        </w:rPr>
        <w:t>pre</w:t>
      </w:r>
      <w:r w:rsidRPr="00F6699F">
        <w:rPr>
          <w:rFonts w:eastAsia="Times New Roman"/>
        </w:rPr>
        <w:t xml:space="preserve">preka za ulazak na tržište, strukturne, pravne ili regulatorne prirode, </w:t>
      </w:r>
    </w:p>
    <w:p w:rsidR="00D7024A" w:rsidRPr="00F6699F" w:rsidRDefault="00D7024A" w:rsidP="00D7024A">
      <w:pPr>
        <w:ind w:left="708"/>
        <w:jc w:val="both"/>
        <w:rPr>
          <w:rFonts w:eastAsia="Times New Roman"/>
        </w:rPr>
      </w:pPr>
      <w:r w:rsidRPr="00F6699F">
        <w:rPr>
          <w:rFonts w:eastAsia="Times New Roman"/>
        </w:rPr>
        <w:t>2. struktura tržišta koja ne teži razvoju djelotvornoga tržišnog natjecanja unutar odgovarajućeg</w:t>
      </w:r>
      <w:r>
        <w:rPr>
          <w:rFonts w:eastAsia="Times New Roman"/>
        </w:rPr>
        <w:t xml:space="preserve"> razdoblja</w:t>
      </w:r>
      <w:r w:rsidRPr="00F6699F">
        <w:rPr>
          <w:rFonts w:eastAsia="Times New Roman"/>
        </w:rPr>
        <w:t xml:space="preserve">, </w:t>
      </w:r>
      <w:r w:rsidRPr="00D4034B">
        <w:rPr>
          <w:rFonts w:eastAsia="Times New Roman"/>
        </w:rPr>
        <w:t>uzimajući u obzir stanje tržišnog natjecanja koje se temelji na infrastrukturi i druge čimbenike tržišnog natjecanja, osim prepreka ulasku na tržište</w:t>
      </w:r>
      <w:r>
        <w:rPr>
          <w:rFonts w:eastAsia="Times New Roman"/>
        </w:rPr>
        <w:t>,</w:t>
      </w:r>
    </w:p>
    <w:p w:rsidR="00D7024A" w:rsidRPr="00F6699F" w:rsidRDefault="00D7024A" w:rsidP="00D7024A">
      <w:pPr>
        <w:ind w:left="708"/>
        <w:jc w:val="both"/>
        <w:rPr>
          <w:rFonts w:eastAsia="Times New Roman"/>
        </w:rPr>
      </w:pPr>
      <w:r w:rsidRPr="00F6699F">
        <w:rPr>
          <w:rFonts w:eastAsia="Times New Roman"/>
        </w:rPr>
        <w:t xml:space="preserve">3. primjena mjerodavnih propisa o zaštiti tržišnog natjecanja </w:t>
      </w:r>
      <w:r>
        <w:rPr>
          <w:rFonts w:eastAsia="Times New Roman"/>
        </w:rPr>
        <w:t xml:space="preserve">koja </w:t>
      </w:r>
      <w:r w:rsidRPr="00F6699F">
        <w:rPr>
          <w:rFonts w:eastAsia="Times New Roman"/>
        </w:rPr>
        <w:t xml:space="preserve">sama po sebi ne omogućuje na odgovarajući način uklanjanje </w:t>
      </w:r>
      <w:r>
        <w:rPr>
          <w:rFonts w:eastAsia="Times New Roman"/>
        </w:rPr>
        <w:t xml:space="preserve">utvrđenih </w:t>
      </w:r>
      <w:r w:rsidRPr="00F6699F">
        <w:rPr>
          <w:rFonts w:eastAsia="Times New Roman"/>
        </w:rPr>
        <w:t xml:space="preserve">nedostataka na tržištu. </w:t>
      </w:r>
    </w:p>
    <w:p w:rsidR="00D7024A" w:rsidRPr="00BD038D" w:rsidRDefault="00D7024A" w:rsidP="00D7024A">
      <w:pPr>
        <w:jc w:val="both"/>
      </w:pPr>
    </w:p>
    <w:p w:rsidR="00D7024A" w:rsidRDefault="00D7024A" w:rsidP="00D7024A">
      <w:pPr>
        <w:jc w:val="both"/>
        <w:rPr>
          <w:rFonts w:eastAsia="Times New Roman"/>
        </w:rPr>
      </w:pPr>
      <w:r w:rsidRPr="00F6699F">
        <w:rPr>
          <w:rFonts w:eastAsia="Times New Roman"/>
        </w:rPr>
        <w:t xml:space="preserve">HAKOM je, kao što je navedeno u </w:t>
      </w:r>
      <w:r w:rsidRPr="001B16A4">
        <w:rPr>
          <w:rFonts w:eastAsia="Times New Roman"/>
        </w:rPr>
        <w:t xml:space="preserve">poglavlju </w:t>
      </w:r>
      <w:r w:rsidR="00161247" w:rsidRPr="001B16A4">
        <w:rPr>
          <w:rFonts w:eastAsia="Times New Roman"/>
        </w:rPr>
        <w:fldChar w:fldCharType="begin"/>
      </w:r>
      <w:r w:rsidR="00161247" w:rsidRPr="001B16A4">
        <w:rPr>
          <w:rFonts w:eastAsia="Times New Roman"/>
        </w:rPr>
        <w:instrText xml:space="preserve"> REF _Ref125565713 \r \h </w:instrText>
      </w:r>
      <w:r w:rsidR="001B16A4">
        <w:rPr>
          <w:rFonts w:eastAsia="Times New Roman"/>
        </w:rPr>
        <w:instrText xml:space="preserve"> \* MERGEFORMAT </w:instrText>
      </w:r>
      <w:r w:rsidR="00161247" w:rsidRPr="001B16A4">
        <w:rPr>
          <w:rFonts w:eastAsia="Times New Roman"/>
        </w:rPr>
      </w:r>
      <w:r w:rsidR="00161247" w:rsidRPr="001B16A4">
        <w:rPr>
          <w:rFonts w:eastAsia="Times New Roman"/>
        </w:rPr>
        <w:fldChar w:fldCharType="separate"/>
      </w:r>
      <w:r w:rsidR="00161247" w:rsidRPr="001B16A4">
        <w:rPr>
          <w:rFonts w:eastAsia="Times New Roman"/>
        </w:rPr>
        <w:t>3.1</w:t>
      </w:r>
      <w:r w:rsidR="00161247" w:rsidRPr="001B16A4">
        <w:rPr>
          <w:rFonts w:eastAsia="Times New Roman"/>
        </w:rPr>
        <w:fldChar w:fldCharType="end"/>
      </w:r>
      <w:r w:rsidR="00B8604F" w:rsidRPr="001B16A4">
        <w:rPr>
          <w:rFonts w:eastAsia="Times New Roman"/>
        </w:rPr>
        <w:t xml:space="preserve"> </w:t>
      </w:r>
      <w:r w:rsidRPr="001B16A4">
        <w:rPr>
          <w:rFonts w:eastAsia="Times New Roman"/>
        </w:rPr>
        <w:t>ovog dokumenta, tržište u dimenziji usluga podijelio na dva tržišta:</w:t>
      </w:r>
    </w:p>
    <w:p w:rsidR="00D7024A" w:rsidRDefault="00D7024A" w:rsidP="00D7024A">
      <w:pPr>
        <w:jc w:val="both"/>
        <w:rPr>
          <w:rFonts w:eastAsia="Times New Roman"/>
        </w:rPr>
      </w:pPr>
    </w:p>
    <w:p w:rsidR="00D7024A" w:rsidRDefault="00D7024A" w:rsidP="00766501">
      <w:pPr>
        <w:pStyle w:val="ListParagraph"/>
        <w:numPr>
          <w:ilvl w:val="0"/>
          <w:numId w:val="51"/>
        </w:numPr>
        <w:jc w:val="both"/>
        <w:rPr>
          <w:rFonts w:eastAsia="Times New Roman"/>
        </w:rPr>
      </w:pPr>
      <w:r w:rsidRPr="00E06D16">
        <w:rPr>
          <w:rFonts w:eastAsia="Times New Roman"/>
        </w:rPr>
        <w:t xml:space="preserve">tržište </w:t>
      </w:r>
      <w:r>
        <w:rPr>
          <w:rFonts w:eastAsia="Times New Roman"/>
        </w:rPr>
        <w:t xml:space="preserve">malog kapaciteta, </w:t>
      </w:r>
    </w:p>
    <w:p w:rsidR="00D7024A" w:rsidRDefault="00D7024A" w:rsidP="00766501">
      <w:pPr>
        <w:pStyle w:val="ListParagraph"/>
        <w:numPr>
          <w:ilvl w:val="0"/>
          <w:numId w:val="51"/>
        </w:numPr>
        <w:jc w:val="both"/>
        <w:rPr>
          <w:rFonts w:eastAsia="Times New Roman"/>
        </w:rPr>
      </w:pPr>
      <w:r w:rsidRPr="00E06D16">
        <w:rPr>
          <w:rFonts w:eastAsia="Times New Roman"/>
        </w:rPr>
        <w:t xml:space="preserve">tržište </w:t>
      </w:r>
      <w:r>
        <w:rPr>
          <w:rFonts w:eastAsia="Times New Roman"/>
        </w:rPr>
        <w:t xml:space="preserve">velikog kapaciteta. </w:t>
      </w:r>
    </w:p>
    <w:p w:rsidR="00D7024A" w:rsidRDefault="00D7024A" w:rsidP="00D7024A">
      <w:pPr>
        <w:jc w:val="both"/>
        <w:rPr>
          <w:rFonts w:eastAsia="Times New Roman"/>
        </w:rPr>
      </w:pPr>
    </w:p>
    <w:p w:rsidR="00D7024A" w:rsidRDefault="00D7024A" w:rsidP="00D7024A">
      <w:pPr>
        <w:jc w:val="both"/>
        <w:rPr>
          <w:rFonts w:eastAsia="Times New Roman"/>
        </w:rPr>
      </w:pPr>
      <w:r w:rsidRPr="00E06D16">
        <w:rPr>
          <w:rFonts w:eastAsia="Times New Roman"/>
        </w:rPr>
        <w:t>Što se tiče zemljopisne dimenzije tržišta, HAKOM je, za tržište malog kapaciteta zaključio kako mjerodavno tržište u zemljopisnoj dimenziji čini cijeli teritorij RH (nacionalno tržište)</w:t>
      </w:r>
      <w:r>
        <w:rPr>
          <w:rFonts w:eastAsia="Times New Roman"/>
        </w:rPr>
        <w:t xml:space="preserve">. </w:t>
      </w:r>
    </w:p>
    <w:p w:rsidR="00D7024A" w:rsidRDefault="00D7024A" w:rsidP="00D7024A">
      <w:pPr>
        <w:jc w:val="both"/>
        <w:rPr>
          <w:rFonts w:eastAsia="Times New Roman"/>
        </w:rPr>
      </w:pPr>
    </w:p>
    <w:p w:rsidR="00D7024A" w:rsidRPr="001B16A4" w:rsidRDefault="00D7024A" w:rsidP="00D7024A">
      <w:pPr>
        <w:jc w:val="both"/>
        <w:rPr>
          <w:rFonts w:eastAsia="Times New Roman"/>
        </w:rPr>
      </w:pPr>
      <w:r w:rsidRPr="001B16A4">
        <w:rPr>
          <w:rFonts w:eastAsia="Times New Roman"/>
        </w:rPr>
        <w:t xml:space="preserve">S druge strane, za tržište velikog kapaciteta HAKOM je napravio detaljnu geografsku analizu (vidi poglavlje </w:t>
      </w:r>
      <w:r w:rsidR="00161247" w:rsidRPr="001B16A4">
        <w:rPr>
          <w:rFonts w:eastAsia="Times New Roman"/>
        </w:rPr>
        <w:fldChar w:fldCharType="begin"/>
      </w:r>
      <w:r w:rsidR="00161247" w:rsidRPr="001B16A4">
        <w:rPr>
          <w:rFonts w:eastAsia="Times New Roman"/>
        </w:rPr>
        <w:instrText xml:space="preserve"> REF _Ref125565745 \r \h </w:instrText>
      </w:r>
      <w:r w:rsidR="001B16A4">
        <w:rPr>
          <w:rFonts w:eastAsia="Times New Roman"/>
        </w:rPr>
        <w:instrText xml:space="preserve"> \* MERGEFORMAT </w:instrText>
      </w:r>
      <w:r w:rsidR="00161247" w:rsidRPr="001B16A4">
        <w:rPr>
          <w:rFonts w:eastAsia="Times New Roman"/>
        </w:rPr>
      </w:r>
      <w:r w:rsidR="00161247" w:rsidRPr="001B16A4">
        <w:rPr>
          <w:rFonts w:eastAsia="Times New Roman"/>
        </w:rPr>
        <w:fldChar w:fldCharType="separate"/>
      </w:r>
      <w:r w:rsidR="00161247" w:rsidRPr="001B16A4">
        <w:rPr>
          <w:rFonts w:eastAsia="Times New Roman"/>
        </w:rPr>
        <w:t>4</w:t>
      </w:r>
      <w:r w:rsidR="00161247" w:rsidRPr="001B16A4">
        <w:rPr>
          <w:rFonts w:eastAsia="Times New Roman"/>
        </w:rPr>
        <w:fldChar w:fldCharType="end"/>
      </w:r>
      <w:r w:rsidRPr="001B16A4">
        <w:rPr>
          <w:rFonts w:eastAsia="Times New Roman"/>
        </w:rPr>
        <w:t>) gdje je analizirao tržišne okolnosti na razini pojedinih općina i gradova, s iznimkom Grada Zagreba koji je dodatno podijeljen i analiziran na razini pojedinih gradskih četvrti. Nakon provedene geografske analize za tržište velikog kapaciteta HAKOM je, ovisno o razini utvrđenog tržišnog natjecanja, pojedine općine i gradove i gradske četvrti Grada Zagreba grupirao u dva odvojena tržišta:</w:t>
      </w:r>
    </w:p>
    <w:p w:rsidR="00D7024A" w:rsidRPr="001B16A4" w:rsidRDefault="00D7024A" w:rsidP="00D7024A">
      <w:pPr>
        <w:jc w:val="both"/>
        <w:rPr>
          <w:rFonts w:eastAsia="Times New Roman"/>
        </w:rPr>
      </w:pPr>
    </w:p>
    <w:p w:rsidR="00D7024A" w:rsidRPr="001B16A4" w:rsidRDefault="00D7024A" w:rsidP="00766501">
      <w:pPr>
        <w:pStyle w:val="ListParagraph"/>
        <w:numPr>
          <w:ilvl w:val="0"/>
          <w:numId w:val="52"/>
        </w:numPr>
        <w:jc w:val="both"/>
        <w:rPr>
          <w:rFonts w:eastAsia="Times New Roman"/>
        </w:rPr>
      </w:pPr>
      <w:r w:rsidRPr="001B16A4">
        <w:rPr>
          <w:rFonts w:eastAsia="Times New Roman"/>
        </w:rPr>
        <w:t>Tržište velikog kapaciteta – konkurentna područja,</w:t>
      </w:r>
    </w:p>
    <w:p w:rsidR="00D7024A" w:rsidRPr="001B16A4" w:rsidRDefault="00D7024A" w:rsidP="00766501">
      <w:pPr>
        <w:pStyle w:val="ListParagraph"/>
        <w:numPr>
          <w:ilvl w:val="0"/>
          <w:numId w:val="52"/>
        </w:numPr>
        <w:spacing w:after="200" w:line="276" w:lineRule="auto"/>
        <w:jc w:val="both"/>
        <w:rPr>
          <w:rFonts w:eastAsia="Times New Roman"/>
        </w:rPr>
      </w:pPr>
      <w:r w:rsidRPr="001B16A4">
        <w:rPr>
          <w:rFonts w:eastAsia="Times New Roman"/>
        </w:rPr>
        <w:t>Tržište velikog kapaciteta – nekonkurentna područja.</w:t>
      </w:r>
    </w:p>
    <w:p w:rsidR="00D7024A" w:rsidRPr="001B16A4" w:rsidRDefault="00D7024A" w:rsidP="00D7024A">
      <w:pPr>
        <w:jc w:val="both"/>
        <w:rPr>
          <w:rFonts w:eastAsia="Times New Roman"/>
        </w:rPr>
      </w:pPr>
      <w:r w:rsidRPr="001B16A4">
        <w:rPr>
          <w:rFonts w:eastAsia="Times New Roman"/>
        </w:rPr>
        <w:t>HAKOM pri tom napominje da pojmovima „konkurentna“ i „nekonkurentna“ u nazivima tržišta ne prejudicira ishod testa tri mjerila.</w:t>
      </w:r>
    </w:p>
    <w:p w:rsidR="00D7024A" w:rsidRPr="001B16A4" w:rsidRDefault="00D7024A" w:rsidP="00D7024A">
      <w:pPr>
        <w:jc w:val="both"/>
        <w:rPr>
          <w:rFonts w:eastAsia="Times New Roman"/>
        </w:rPr>
      </w:pPr>
    </w:p>
    <w:p w:rsidR="004A7E45" w:rsidRDefault="00D7024A" w:rsidP="00D7024A">
      <w:pPr>
        <w:jc w:val="both"/>
        <w:rPr>
          <w:rFonts w:eastAsia="Times New Roman"/>
        </w:rPr>
      </w:pPr>
      <w:r w:rsidRPr="001B16A4">
        <w:rPr>
          <w:rFonts w:eastAsia="Times New Roman"/>
        </w:rPr>
        <w:t xml:space="preserve">Nastavno na navedeno, s obzirom da na temelju geografske analize iz </w:t>
      </w:r>
      <w:r w:rsidR="004A7E45" w:rsidRPr="001B16A4">
        <w:rPr>
          <w:rFonts w:eastAsia="Times New Roman"/>
        </w:rPr>
        <w:fldChar w:fldCharType="begin"/>
      </w:r>
      <w:r w:rsidR="004A7E45" w:rsidRPr="001B16A4">
        <w:rPr>
          <w:rFonts w:eastAsia="Times New Roman"/>
        </w:rPr>
        <w:instrText xml:space="preserve"> REF _Ref124920813 \r \h </w:instrText>
      </w:r>
      <w:r w:rsidR="001B16A4" w:rsidRPr="001B16A4">
        <w:rPr>
          <w:rFonts w:eastAsia="Times New Roman"/>
        </w:rPr>
        <w:instrText xml:space="preserve"> \* MERGEFORMAT </w:instrText>
      </w:r>
      <w:r w:rsidR="004A7E45" w:rsidRPr="001B16A4">
        <w:rPr>
          <w:rFonts w:eastAsia="Times New Roman"/>
        </w:rPr>
      </w:r>
      <w:r w:rsidR="004A7E45" w:rsidRPr="001B16A4">
        <w:rPr>
          <w:rFonts w:eastAsia="Times New Roman"/>
        </w:rPr>
        <w:fldChar w:fldCharType="separate"/>
      </w:r>
      <w:r w:rsidR="004A7E45" w:rsidRPr="001B16A4">
        <w:rPr>
          <w:rFonts w:eastAsia="Times New Roman"/>
        </w:rPr>
        <w:t>4</w:t>
      </w:r>
      <w:r w:rsidR="004A7E45" w:rsidRPr="001B16A4">
        <w:rPr>
          <w:rFonts w:eastAsia="Times New Roman"/>
        </w:rPr>
        <w:fldChar w:fldCharType="end"/>
      </w:r>
      <w:r w:rsidR="004A7E45" w:rsidRPr="001B16A4">
        <w:rPr>
          <w:rFonts w:eastAsia="Times New Roman"/>
        </w:rPr>
        <w:t xml:space="preserve"> </w:t>
      </w:r>
      <w:r w:rsidRPr="001B16A4">
        <w:rPr>
          <w:rFonts w:eastAsia="Times New Roman"/>
        </w:rPr>
        <w:t xml:space="preserve">postoje pretpostavke da na </w:t>
      </w:r>
      <w:r w:rsidR="002D636E" w:rsidRPr="001B16A4">
        <w:rPr>
          <w:rFonts w:eastAsia="Times New Roman"/>
        </w:rPr>
        <w:t>T</w:t>
      </w:r>
      <w:r w:rsidRPr="001B16A4">
        <w:rPr>
          <w:rFonts w:eastAsia="Times New Roman"/>
        </w:rPr>
        <w:t>ržištu velikog kapaciteta – konkurentna područja postoji dovoljna razina</w:t>
      </w:r>
      <w:r>
        <w:rPr>
          <w:rFonts w:eastAsia="Times New Roman"/>
        </w:rPr>
        <w:t xml:space="preserve"> tržišnog natjecanja te da više ne bi trebalo biti podložno prethodnoj regulaciji, </w:t>
      </w:r>
      <w:r w:rsidRPr="00F6699F">
        <w:rPr>
          <w:rFonts w:eastAsia="Times New Roman"/>
        </w:rPr>
        <w:t xml:space="preserve">HAKOM će </w:t>
      </w:r>
      <w:r>
        <w:rPr>
          <w:rFonts w:eastAsia="Times New Roman"/>
        </w:rPr>
        <w:t xml:space="preserve">za to tržište </w:t>
      </w:r>
      <w:r w:rsidRPr="00F6699F">
        <w:rPr>
          <w:rFonts w:eastAsia="Times New Roman"/>
        </w:rPr>
        <w:t xml:space="preserve">provesti </w:t>
      </w:r>
      <w:r>
        <w:rPr>
          <w:rFonts w:eastAsia="Times New Roman"/>
        </w:rPr>
        <w:t>Test tri mjerila.</w:t>
      </w:r>
    </w:p>
    <w:p w:rsidR="004A7E45" w:rsidRDefault="004A7E45">
      <w:pPr>
        <w:rPr>
          <w:rFonts w:eastAsia="Times New Roman"/>
        </w:rPr>
      </w:pPr>
      <w:r>
        <w:rPr>
          <w:rFonts w:eastAsia="Times New Roman"/>
        </w:rPr>
        <w:br w:type="page"/>
      </w:r>
    </w:p>
    <w:p w:rsidR="00D7024A" w:rsidRPr="0082266F" w:rsidRDefault="00D7024A" w:rsidP="0082266F">
      <w:pPr>
        <w:pStyle w:val="Heading2"/>
      </w:pPr>
      <w:bookmarkStart w:id="286" w:name="_Toc124928602"/>
      <w:bookmarkStart w:id="287" w:name="_Toc124946944"/>
      <w:bookmarkStart w:id="288" w:name="_Toc124948854"/>
      <w:bookmarkStart w:id="289" w:name="_Toc124951749"/>
      <w:bookmarkStart w:id="290" w:name="_Toc125644899"/>
      <w:r w:rsidRPr="0082266F">
        <w:t>Uvodni dio Testa tri mjerila</w:t>
      </w:r>
      <w:bookmarkEnd w:id="286"/>
      <w:bookmarkEnd w:id="287"/>
      <w:bookmarkEnd w:id="288"/>
      <w:bookmarkEnd w:id="289"/>
      <w:bookmarkEnd w:id="290"/>
    </w:p>
    <w:p w:rsidR="00D7024A" w:rsidRDefault="0082266F" w:rsidP="00D7024A">
      <w:pPr>
        <w:jc w:val="both"/>
        <w:rPr>
          <w:rFonts w:eastAsia="Times New Roman"/>
        </w:rPr>
      </w:pPr>
      <w:r>
        <w:rPr>
          <w:rFonts w:eastAsia="Times New Roman"/>
        </w:rPr>
        <w:t>Z</w:t>
      </w:r>
      <w:r w:rsidR="00D7024A">
        <w:rPr>
          <w:rFonts w:eastAsia="Times New Roman"/>
        </w:rPr>
        <w:t xml:space="preserve">a bolje razumijevanje Testa tri mjerila koja će HAKOM provesti, potrebno je dati osvrt na tržište usluga širokopojasnog pristupa u cjelini, odnosno neovisno radi li se o tržištu veleprodajnog središnjeg pristupa koji se pruža na fiksnoj lokaciji za proizvode za masovno tržište ili o tržištu veleprodajnog lokalnog </w:t>
      </w:r>
      <w:r w:rsidR="00D7024A" w:rsidRPr="00E00826">
        <w:rPr>
          <w:rFonts w:eastAsia="Times New Roman"/>
        </w:rPr>
        <w:t>pristup</w:t>
      </w:r>
      <w:r w:rsidR="00D7024A">
        <w:rPr>
          <w:rFonts w:eastAsia="Times New Roman"/>
        </w:rPr>
        <w:t>a</w:t>
      </w:r>
      <w:r w:rsidR="00D7024A" w:rsidRPr="00E00826">
        <w:rPr>
          <w:rFonts w:eastAsia="Times New Roman"/>
        </w:rPr>
        <w:t xml:space="preserve"> koji se pruža na fiksnoj lokaciji</w:t>
      </w:r>
      <w:r w:rsidR="00D7024A">
        <w:rPr>
          <w:rFonts w:eastAsia="Times New Roman"/>
        </w:rPr>
        <w:t>.</w:t>
      </w:r>
    </w:p>
    <w:p w:rsidR="00D7024A" w:rsidRDefault="00D7024A" w:rsidP="00D7024A">
      <w:pPr>
        <w:jc w:val="both"/>
        <w:rPr>
          <w:rFonts w:eastAsia="Times New Roman"/>
        </w:rPr>
      </w:pPr>
    </w:p>
    <w:p w:rsidR="00D7024A" w:rsidRDefault="00D7024A" w:rsidP="00D7024A">
      <w:pPr>
        <w:jc w:val="both"/>
        <w:rPr>
          <w:rFonts w:eastAsia="Times New Roman"/>
        </w:rPr>
      </w:pPr>
      <w:r>
        <w:rPr>
          <w:rFonts w:eastAsia="Times New Roman"/>
        </w:rPr>
        <w:t>Nastavno na navedeno p</w:t>
      </w:r>
      <w:r w:rsidRPr="00F6699F">
        <w:rPr>
          <w:rFonts w:eastAsia="Times New Roman"/>
        </w:rPr>
        <w:t>romatrajući u cjelini tržište usluge širokopojasnog pristupa</w:t>
      </w:r>
      <w:r>
        <w:rPr>
          <w:rFonts w:eastAsia="Times New Roman"/>
        </w:rPr>
        <w:t>,</w:t>
      </w:r>
      <w:r w:rsidRPr="00F6699F">
        <w:rPr>
          <w:rFonts w:eastAsia="Times New Roman"/>
        </w:rPr>
        <w:t xml:space="preserve"> HT</w:t>
      </w:r>
      <w:r>
        <w:rPr>
          <w:rFonts w:eastAsia="Times New Roman"/>
        </w:rPr>
        <w:t>, kao SMP operator na cijelom teritoriju RH,</w:t>
      </w:r>
      <w:r w:rsidRPr="00F6699F">
        <w:rPr>
          <w:rFonts w:eastAsia="Times New Roman"/>
        </w:rPr>
        <w:t xml:space="preserve"> mora </w:t>
      </w:r>
      <w:r>
        <w:rPr>
          <w:rFonts w:eastAsia="Times New Roman"/>
        </w:rPr>
        <w:t xml:space="preserve">ostalim </w:t>
      </w:r>
      <w:r w:rsidRPr="00F6699F">
        <w:rPr>
          <w:rFonts w:eastAsia="Times New Roman"/>
        </w:rPr>
        <w:t xml:space="preserve">operatorima omogućiti uslugu širokopojasnog pristupa </w:t>
      </w:r>
      <w:r>
        <w:rPr>
          <w:rFonts w:eastAsia="Times New Roman"/>
        </w:rPr>
        <w:t>putem</w:t>
      </w:r>
      <w:r w:rsidRPr="00F6699F">
        <w:rPr>
          <w:rFonts w:eastAsia="Times New Roman"/>
        </w:rPr>
        <w:t xml:space="preserve"> nekoliko različitih veleprodajnih usluga: (I) uslug</w:t>
      </w:r>
      <w:r>
        <w:rPr>
          <w:rFonts w:eastAsia="Times New Roman"/>
        </w:rPr>
        <w:t>a</w:t>
      </w:r>
      <w:r w:rsidRPr="00F6699F">
        <w:rPr>
          <w:rFonts w:eastAsia="Times New Roman"/>
        </w:rPr>
        <w:t xml:space="preserve"> </w:t>
      </w:r>
      <w:r>
        <w:rPr>
          <w:rFonts w:eastAsia="Times New Roman"/>
        </w:rPr>
        <w:t>b</w:t>
      </w:r>
      <w:r w:rsidRPr="00F6699F">
        <w:rPr>
          <w:rFonts w:eastAsia="Times New Roman"/>
        </w:rPr>
        <w:t xml:space="preserve">itstream pristupa na </w:t>
      </w:r>
      <w:proofErr w:type="spellStart"/>
      <w:r w:rsidRPr="00F6699F">
        <w:rPr>
          <w:rFonts w:eastAsia="Times New Roman"/>
        </w:rPr>
        <w:t>Ethernet</w:t>
      </w:r>
      <w:proofErr w:type="spellEnd"/>
      <w:r w:rsidRPr="00F6699F">
        <w:rPr>
          <w:rFonts w:eastAsia="Times New Roman"/>
        </w:rPr>
        <w:t xml:space="preserve"> i IP razini; (II) uslug</w:t>
      </w:r>
      <w:r>
        <w:rPr>
          <w:rFonts w:eastAsia="Times New Roman"/>
        </w:rPr>
        <w:t>a</w:t>
      </w:r>
      <w:r w:rsidRPr="00F6699F">
        <w:rPr>
          <w:rFonts w:eastAsia="Times New Roman"/>
        </w:rPr>
        <w:t xml:space="preserve"> virtualnog izdvajanja lokalne petlje (</w:t>
      </w:r>
      <w:proofErr w:type="spellStart"/>
      <w:r w:rsidRPr="00F6699F">
        <w:rPr>
          <w:rFonts w:eastAsia="Times New Roman"/>
        </w:rPr>
        <w:t>eng</w:t>
      </w:r>
      <w:proofErr w:type="spellEnd"/>
      <w:r w:rsidRPr="00F6699F">
        <w:rPr>
          <w:rFonts w:eastAsia="Times New Roman"/>
        </w:rPr>
        <w:t xml:space="preserve">. </w:t>
      </w:r>
      <w:proofErr w:type="spellStart"/>
      <w:r w:rsidRPr="00F6699F">
        <w:rPr>
          <w:rFonts w:eastAsia="Times New Roman"/>
        </w:rPr>
        <w:t>Virtual</w:t>
      </w:r>
      <w:proofErr w:type="spellEnd"/>
      <w:r w:rsidRPr="00F6699F">
        <w:rPr>
          <w:rFonts w:eastAsia="Times New Roman"/>
        </w:rPr>
        <w:t xml:space="preserve"> </w:t>
      </w:r>
      <w:proofErr w:type="spellStart"/>
      <w:r w:rsidRPr="00F6699F">
        <w:rPr>
          <w:rFonts w:eastAsia="Times New Roman"/>
        </w:rPr>
        <w:t>Unbundling</w:t>
      </w:r>
      <w:proofErr w:type="spellEnd"/>
      <w:r w:rsidRPr="00F6699F">
        <w:rPr>
          <w:rFonts w:eastAsia="Times New Roman"/>
        </w:rPr>
        <w:t xml:space="preserve"> – VULA); (III) uslug</w:t>
      </w:r>
      <w:r>
        <w:rPr>
          <w:rFonts w:eastAsia="Times New Roman"/>
        </w:rPr>
        <w:t>a</w:t>
      </w:r>
      <w:r w:rsidRPr="00F6699F">
        <w:rPr>
          <w:rFonts w:eastAsia="Times New Roman"/>
        </w:rPr>
        <w:t xml:space="preserve"> pristupa pasivnoj pristupnoj svjetlovodnoj mreži na lokaciji distribucijskog čvora za svjetlovodne distribucijske mreže (</w:t>
      </w:r>
      <w:proofErr w:type="spellStart"/>
      <w:r w:rsidRPr="00F6699F">
        <w:rPr>
          <w:rFonts w:eastAsia="Times New Roman"/>
        </w:rPr>
        <w:t>eng</w:t>
      </w:r>
      <w:proofErr w:type="spellEnd"/>
      <w:r w:rsidRPr="00F6699F">
        <w:rPr>
          <w:rFonts w:eastAsia="Times New Roman"/>
        </w:rPr>
        <w:t xml:space="preserve">. </w:t>
      </w:r>
      <w:proofErr w:type="spellStart"/>
      <w:r w:rsidRPr="00F6699F">
        <w:rPr>
          <w:rFonts w:eastAsia="Times New Roman"/>
        </w:rPr>
        <w:t>Fiber</w:t>
      </w:r>
      <w:proofErr w:type="spellEnd"/>
      <w:r w:rsidRPr="00F6699F">
        <w:rPr>
          <w:rFonts w:eastAsia="Times New Roman"/>
        </w:rPr>
        <w:t xml:space="preserve"> Access </w:t>
      </w:r>
      <w:proofErr w:type="spellStart"/>
      <w:r w:rsidRPr="00F6699F">
        <w:rPr>
          <w:rFonts w:eastAsia="Times New Roman"/>
        </w:rPr>
        <w:t>Passive</w:t>
      </w:r>
      <w:proofErr w:type="spellEnd"/>
      <w:r w:rsidRPr="00F6699F">
        <w:rPr>
          <w:rFonts w:eastAsia="Times New Roman"/>
        </w:rPr>
        <w:t xml:space="preserve"> </w:t>
      </w:r>
      <w:proofErr w:type="spellStart"/>
      <w:r w:rsidRPr="00F6699F">
        <w:rPr>
          <w:rFonts w:eastAsia="Times New Roman"/>
        </w:rPr>
        <w:t>Optical</w:t>
      </w:r>
      <w:proofErr w:type="spellEnd"/>
      <w:r w:rsidRPr="00F6699F">
        <w:rPr>
          <w:rFonts w:eastAsia="Times New Roman"/>
        </w:rPr>
        <w:t xml:space="preserve"> Network  - FA-PON); te (IV) uslug</w:t>
      </w:r>
      <w:r>
        <w:rPr>
          <w:rFonts w:eastAsia="Times New Roman"/>
        </w:rPr>
        <w:t>a</w:t>
      </w:r>
      <w:r w:rsidRPr="00F6699F">
        <w:rPr>
          <w:rFonts w:eastAsia="Times New Roman"/>
        </w:rPr>
        <w:t xml:space="preserve"> izdvojenog pristupa lokalnoj petlji (</w:t>
      </w:r>
      <w:proofErr w:type="spellStart"/>
      <w:r w:rsidRPr="00F6699F">
        <w:rPr>
          <w:rFonts w:eastAsia="Times New Roman"/>
        </w:rPr>
        <w:t>eng</w:t>
      </w:r>
      <w:proofErr w:type="spellEnd"/>
      <w:r w:rsidRPr="00F6699F">
        <w:rPr>
          <w:rFonts w:eastAsia="Times New Roman"/>
        </w:rPr>
        <w:t xml:space="preserve">. </w:t>
      </w:r>
      <w:proofErr w:type="spellStart"/>
      <w:r w:rsidRPr="00F6699F">
        <w:rPr>
          <w:rFonts w:eastAsia="Times New Roman"/>
        </w:rPr>
        <w:t>Local</w:t>
      </w:r>
      <w:proofErr w:type="spellEnd"/>
      <w:r w:rsidRPr="00F6699F">
        <w:rPr>
          <w:rFonts w:eastAsia="Times New Roman"/>
        </w:rPr>
        <w:t xml:space="preserve"> </w:t>
      </w:r>
      <w:proofErr w:type="spellStart"/>
      <w:r w:rsidRPr="00F6699F">
        <w:rPr>
          <w:rFonts w:eastAsia="Times New Roman"/>
        </w:rPr>
        <w:t>Loop</w:t>
      </w:r>
      <w:proofErr w:type="spellEnd"/>
      <w:r w:rsidRPr="00F6699F">
        <w:rPr>
          <w:rFonts w:eastAsia="Times New Roman"/>
        </w:rPr>
        <w:t xml:space="preserve"> </w:t>
      </w:r>
      <w:proofErr w:type="spellStart"/>
      <w:r w:rsidRPr="00F6699F">
        <w:rPr>
          <w:rFonts w:eastAsia="Times New Roman"/>
        </w:rPr>
        <w:t>Unbundli</w:t>
      </w:r>
      <w:r>
        <w:rPr>
          <w:rFonts w:eastAsia="Times New Roman"/>
        </w:rPr>
        <w:t>ng</w:t>
      </w:r>
      <w:proofErr w:type="spellEnd"/>
      <w:r>
        <w:rPr>
          <w:rFonts w:eastAsia="Times New Roman"/>
        </w:rPr>
        <w:t xml:space="preserve"> - LLU).  </w:t>
      </w:r>
    </w:p>
    <w:p w:rsidR="00D7024A" w:rsidRDefault="00D7024A" w:rsidP="00D7024A">
      <w:pPr>
        <w:jc w:val="both"/>
        <w:rPr>
          <w:rFonts w:eastAsia="Times New Roman"/>
        </w:rPr>
      </w:pPr>
    </w:p>
    <w:p w:rsidR="00D7024A" w:rsidRDefault="00D7024A" w:rsidP="00D7024A">
      <w:pPr>
        <w:jc w:val="both"/>
        <w:rPr>
          <w:rFonts w:eastAsia="Times New Roman"/>
        </w:rPr>
      </w:pPr>
      <w:r w:rsidRPr="0059577C">
        <w:rPr>
          <w:rFonts w:eastAsia="Times New Roman"/>
        </w:rPr>
        <w:t xml:space="preserve">Prateći stanje na tržištu u razdoblju od zadnje analize </w:t>
      </w:r>
      <w:r w:rsidRPr="0059577C">
        <w:rPr>
          <w:rFonts w:eastAsia="Times New Roman"/>
          <w:color w:val="000000"/>
        </w:rPr>
        <w:t xml:space="preserve">tržišta, </w:t>
      </w:r>
      <w:r w:rsidRPr="0059577C">
        <w:rPr>
          <w:rFonts w:eastAsia="Times New Roman"/>
        </w:rPr>
        <w:t xml:space="preserve">vidljivo je kako je na </w:t>
      </w:r>
      <w:r>
        <w:rPr>
          <w:rFonts w:eastAsia="Times New Roman"/>
        </w:rPr>
        <w:t xml:space="preserve">kraju drugog </w:t>
      </w:r>
      <w:r w:rsidRPr="001B16A4">
        <w:rPr>
          <w:rFonts w:eastAsia="Times New Roman"/>
        </w:rPr>
        <w:t>tromjesečja 2022. najzastupljenija veleprodajna usluga na tržištu u RH usluga bitstream pristupa</w:t>
      </w:r>
      <w:r w:rsidRPr="001B16A4" w:rsidDel="002F13DB">
        <w:rPr>
          <w:rFonts w:eastAsia="Times New Roman"/>
        </w:rPr>
        <w:t xml:space="preserve"> </w:t>
      </w:r>
      <w:r w:rsidRPr="001B16A4">
        <w:rPr>
          <w:rFonts w:eastAsia="Times New Roman"/>
        </w:rPr>
        <w:t>(</w:t>
      </w:r>
      <w:r w:rsidR="00D91CE1" w:rsidRPr="001B16A4">
        <w:rPr>
          <w:rFonts w:eastAsia="Times New Roman"/>
        </w:rPr>
        <w:fldChar w:fldCharType="begin"/>
      </w:r>
      <w:r w:rsidR="00D91CE1" w:rsidRPr="001B16A4">
        <w:rPr>
          <w:rFonts w:eastAsia="Times New Roman"/>
        </w:rPr>
        <w:instrText xml:space="preserve"> REF _Ref125573020 \h </w:instrText>
      </w:r>
      <w:r w:rsidR="001B16A4" w:rsidRPr="001B16A4">
        <w:rPr>
          <w:rFonts w:eastAsia="Times New Roman"/>
        </w:rPr>
        <w:instrText xml:space="preserve"> \* MERGEFORMAT </w:instrText>
      </w:r>
      <w:r w:rsidR="00D91CE1" w:rsidRPr="001B16A4">
        <w:rPr>
          <w:rFonts w:eastAsia="Times New Roman"/>
        </w:rPr>
      </w:r>
      <w:r w:rsidR="00D91CE1" w:rsidRPr="001B16A4">
        <w:rPr>
          <w:rFonts w:eastAsia="Times New Roman"/>
        </w:rPr>
        <w:fldChar w:fldCharType="separate"/>
      </w:r>
      <w:r w:rsidR="00D91CE1" w:rsidRPr="001B16A4">
        <w:t xml:space="preserve">Slika </w:t>
      </w:r>
      <w:r w:rsidR="00D91CE1" w:rsidRPr="001B16A4">
        <w:rPr>
          <w:noProof/>
        </w:rPr>
        <w:t>19</w:t>
      </w:r>
      <w:r w:rsidR="00D91CE1" w:rsidRPr="001B16A4">
        <w:rPr>
          <w:rFonts w:eastAsia="Times New Roman"/>
        </w:rPr>
        <w:fldChar w:fldCharType="end"/>
      </w:r>
      <w:r w:rsidRPr="001B16A4">
        <w:rPr>
          <w:rFonts w:eastAsia="Times New Roman"/>
        </w:rPr>
        <w:t>). Isto tako, vidljiv je pad ukupnog broja priključaka koji se ostvaruje putem veleprodajnog pristupa</w:t>
      </w:r>
      <w:r w:rsidRPr="0059577C">
        <w:rPr>
          <w:rFonts w:eastAsia="Times New Roman"/>
        </w:rPr>
        <w:t>. To se najvećim dijelom može objasniti padom broja širokopojasnih priključak</w:t>
      </w:r>
      <w:r>
        <w:rPr>
          <w:rFonts w:eastAsia="Times New Roman"/>
        </w:rPr>
        <w:t>a na bakrenoj infrastrukturi odnosno</w:t>
      </w:r>
      <w:r w:rsidRPr="0059577C">
        <w:rPr>
          <w:rFonts w:eastAsia="Times New Roman"/>
        </w:rPr>
        <w:t xml:space="preserve"> povećanj</w:t>
      </w:r>
      <w:r>
        <w:rPr>
          <w:rFonts w:eastAsia="Times New Roman"/>
        </w:rPr>
        <w:t>em</w:t>
      </w:r>
      <w:r w:rsidRPr="0059577C">
        <w:rPr>
          <w:rFonts w:eastAsia="Times New Roman"/>
        </w:rPr>
        <w:t xml:space="preserve"> broja širokopojasnih prik</w:t>
      </w:r>
      <w:r>
        <w:rPr>
          <w:rFonts w:eastAsia="Times New Roman"/>
        </w:rPr>
        <w:t>ljučaka putem vlastite svjetlovodne i kabelske (HFC)</w:t>
      </w:r>
      <w:r w:rsidRPr="0059577C">
        <w:rPr>
          <w:rFonts w:eastAsia="Times New Roman"/>
        </w:rPr>
        <w:t xml:space="preserve"> mreže</w:t>
      </w:r>
      <w:r>
        <w:rPr>
          <w:rFonts w:eastAsia="Times New Roman"/>
        </w:rPr>
        <w:t xml:space="preserve"> (VHCN mreže)</w:t>
      </w:r>
      <w:r w:rsidRPr="0059577C">
        <w:rPr>
          <w:rFonts w:eastAsia="Times New Roman"/>
        </w:rPr>
        <w:t xml:space="preserve">. </w:t>
      </w:r>
    </w:p>
    <w:p w:rsidR="00D7024A" w:rsidRDefault="00D7024A" w:rsidP="00D7024A">
      <w:pPr>
        <w:jc w:val="both"/>
        <w:rPr>
          <w:rFonts w:eastAsia="Times New Roman"/>
        </w:rPr>
      </w:pPr>
    </w:p>
    <w:p w:rsidR="00D7024A" w:rsidRDefault="00D7024A" w:rsidP="00D7024A">
      <w:pPr>
        <w:jc w:val="both"/>
        <w:rPr>
          <w:rFonts w:eastAsia="Times New Roman"/>
        </w:rPr>
      </w:pPr>
      <w:r w:rsidRPr="0059577C">
        <w:rPr>
          <w:rFonts w:eastAsia="Times New Roman"/>
        </w:rPr>
        <w:t xml:space="preserve">Naime, već </w:t>
      </w:r>
      <w:r>
        <w:rPr>
          <w:rFonts w:eastAsia="Times New Roman"/>
        </w:rPr>
        <w:t>je</w:t>
      </w:r>
      <w:r w:rsidRPr="0059577C">
        <w:rPr>
          <w:rFonts w:eastAsia="Times New Roman"/>
        </w:rPr>
        <w:t xml:space="preserve"> u prethodnim poglavljima </w:t>
      </w:r>
      <w:r>
        <w:rPr>
          <w:rFonts w:eastAsia="Times New Roman"/>
        </w:rPr>
        <w:t>utvrđeno</w:t>
      </w:r>
      <w:r w:rsidRPr="0059577C">
        <w:rPr>
          <w:rFonts w:eastAsia="Times New Roman"/>
        </w:rPr>
        <w:t xml:space="preserve"> da se većina VHCN priključaka ostvaruje putem vlastitih svjetlovodnih i kabelskih mreža te je pad broja veleprodajnih priključaka u tom smislu razumljiv i očekivan jer su se operatori koji su zadnjih godina ulagali znač</w:t>
      </w:r>
      <w:r>
        <w:rPr>
          <w:rFonts w:eastAsia="Times New Roman"/>
        </w:rPr>
        <w:t>ajna sredstva u gradnju vlastitih VHCN mreža</w:t>
      </w:r>
      <w:r w:rsidRPr="0059577C">
        <w:rPr>
          <w:rFonts w:eastAsia="Times New Roman"/>
        </w:rPr>
        <w:t xml:space="preserve"> koncentrirali na povećanje </w:t>
      </w:r>
      <w:proofErr w:type="spellStart"/>
      <w:r w:rsidRPr="0059577C">
        <w:rPr>
          <w:rFonts w:eastAsia="Times New Roman"/>
        </w:rPr>
        <w:t>utilizacije</w:t>
      </w:r>
      <w:proofErr w:type="spellEnd"/>
      <w:r w:rsidRPr="0059577C">
        <w:rPr>
          <w:rFonts w:eastAsia="Times New Roman"/>
        </w:rPr>
        <w:t xml:space="preserve"> svojih mreža dok su pri tom manje koristili veleprodajne usluge na svjetlovodnoj infrastrukturi HT-a. Tome je dodatno doprinijela i činjenica da se područja pokrivanja HT-ove svjetlovodne mreže preklapaju s područjem pokrivanja</w:t>
      </w:r>
      <w:r>
        <w:rPr>
          <w:rFonts w:eastAsia="Times New Roman"/>
        </w:rPr>
        <w:t xml:space="preserve"> kabelskom (</w:t>
      </w:r>
      <w:r w:rsidRPr="0059577C">
        <w:rPr>
          <w:rFonts w:eastAsia="Times New Roman"/>
        </w:rPr>
        <w:t>HFC</w:t>
      </w:r>
      <w:r>
        <w:rPr>
          <w:rFonts w:eastAsia="Times New Roman"/>
        </w:rPr>
        <w:t>) mrežom</w:t>
      </w:r>
      <w:r w:rsidRPr="0059577C">
        <w:rPr>
          <w:rFonts w:eastAsia="Times New Roman"/>
        </w:rPr>
        <w:t xml:space="preserve"> </w:t>
      </w:r>
      <w:r>
        <w:rPr>
          <w:rFonts w:eastAsia="Times New Roman"/>
        </w:rPr>
        <w:t xml:space="preserve">operatora A1 kao </w:t>
      </w:r>
      <w:r w:rsidRPr="0059577C">
        <w:rPr>
          <w:rFonts w:eastAsia="Times New Roman"/>
        </w:rPr>
        <w:t>najvećeg alternativnog operatora.</w:t>
      </w:r>
    </w:p>
    <w:p w:rsidR="00D7024A" w:rsidRDefault="00D7024A" w:rsidP="00D7024A">
      <w:pPr>
        <w:jc w:val="both"/>
        <w:rPr>
          <w:rFonts w:eastAsia="Times New Roman"/>
        </w:rPr>
      </w:pPr>
    </w:p>
    <w:p w:rsidR="00D7024A" w:rsidRDefault="00D7024A" w:rsidP="00D7024A">
      <w:pPr>
        <w:jc w:val="both"/>
        <w:rPr>
          <w:rFonts w:eastAsia="Times New Roman"/>
        </w:rPr>
      </w:pPr>
      <w:r w:rsidRPr="0059577C">
        <w:rPr>
          <w:rFonts w:eastAsia="Times New Roman"/>
        </w:rPr>
        <w:t>S druge strane</w:t>
      </w:r>
      <w:r>
        <w:rPr>
          <w:rFonts w:eastAsia="Times New Roman"/>
        </w:rPr>
        <w:t>,</w:t>
      </w:r>
      <w:r w:rsidRPr="0059577C">
        <w:rPr>
          <w:rFonts w:eastAsia="Times New Roman"/>
        </w:rPr>
        <w:t xml:space="preserve"> alternativni operatori koji se isključivo oslanjaju na veleprodajne usluge HT-a na bakrenoj infrastrukturi su uslijed potražnje za sve većim kapacitetima </w:t>
      </w:r>
      <w:r>
        <w:rPr>
          <w:rFonts w:eastAsia="Times New Roman"/>
        </w:rPr>
        <w:t>počeli gubiti</w:t>
      </w:r>
      <w:r w:rsidRPr="0059577C">
        <w:rPr>
          <w:rFonts w:eastAsia="Times New Roman"/>
        </w:rPr>
        <w:t xml:space="preserve"> svoje korisnike koji dijelom prelaze na VHCN mreže, a dijelom na cjenovno povoljnije usluge širokopojasnog pristupa na nepokretnoj lokaciji koje se pružaju putem mreža pokretnih komunikacija.</w:t>
      </w:r>
    </w:p>
    <w:p w:rsidR="00D7024A" w:rsidRDefault="00D7024A" w:rsidP="00D7024A">
      <w:pPr>
        <w:jc w:val="both"/>
        <w:rPr>
          <w:rFonts w:eastAsia="Times New Roman"/>
        </w:rPr>
      </w:pPr>
    </w:p>
    <w:p w:rsidR="00D7024A" w:rsidRPr="0059577C" w:rsidRDefault="00D7024A" w:rsidP="00D7024A">
      <w:pPr>
        <w:jc w:val="both"/>
        <w:rPr>
          <w:rFonts w:eastAsia="Times New Roman"/>
        </w:rPr>
      </w:pPr>
    </w:p>
    <w:p w:rsidR="00CD38D2" w:rsidRDefault="00CD38D2" w:rsidP="00CD38D2">
      <w:pPr>
        <w:pStyle w:val="Caption"/>
      </w:pPr>
      <w:bookmarkStart w:id="291" w:name="_Ref124405664"/>
    </w:p>
    <w:p w:rsidR="00CD38D2" w:rsidRDefault="00CD38D2" w:rsidP="00CD38D2">
      <w:pPr>
        <w:pStyle w:val="Caption"/>
      </w:pPr>
    </w:p>
    <w:p w:rsidR="00CD38D2" w:rsidRDefault="00CD38D2" w:rsidP="00CD38D2">
      <w:pPr>
        <w:pStyle w:val="Caption"/>
      </w:pPr>
    </w:p>
    <w:p w:rsidR="00CD38D2" w:rsidRDefault="00CD38D2" w:rsidP="00CD38D2">
      <w:pPr>
        <w:pStyle w:val="Caption"/>
      </w:pPr>
    </w:p>
    <w:p w:rsidR="00CD38D2" w:rsidRDefault="00CD38D2" w:rsidP="00CD38D2">
      <w:pPr>
        <w:pStyle w:val="Caption"/>
      </w:pPr>
    </w:p>
    <w:p w:rsidR="00D7024A" w:rsidRDefault="00CD38D2" w:rsidP="006A29BC">
      <w:pPr>
        <w:pStyle w:val="Caption"/>
        <w:spacing w:after="0"/>
      </w:pPr>
      <w:bookmarkStart w:id="292" w:name="_Ref125573020"/>
      <w:r>
        <w:t xml:space="preserve">Slika </w:t>
      </w:r>
      <w:r w:rsidR="00C60C6F">
        <w:fldChar w:fldCharType="begin"/>
      </w:r>
      <w:r w:rsidR="00C60C6F">
        <w:instrText xml:space="preserve"> SEQ Slika \* ARABIC </w:instrText>
      </w:r>
      <w:r w:rsidR="00C60C6F">
        <w:fldChar w:fldCharType="separate"/>
      </w:r>
      <w:r w:rsidR="006A29BC">
        <w:rPr>
          <w:noProof/>
        </w:rPr>
        <w:t>19</w:t>
      </w:r>
      <w:r w:rsidR="00C60C6F">
        <w:rPr>
          <w:noProof/>
        </w:rPr>
        <w:fldChar w:fldCharType="end"/>
      </w:r>
      <w:bookmarkEnd w:id="291"/>
      <w:bookmarkEnd w:id="292"/>
      <w:r>
        <w:t xml:space="preserve"> </w:t>
      </w:r>
      <w:r w:rsidR="00D7024A" w:rsidRPr="007D55AB">
        <w:t>Korištenje veleprodajnih usluga LLU i BSA u razdoblju od  2019. do 2022/H1 zajedno za tržište malog i tržište velikog kapaciteta</w:t>
      </w:r>
    </w:p>
    <w:p w:rsidR="00D7024A" w:rsidRDefault="006C59F9" w:rsidP="00D7024A">
      <w:pPr>
        <w:jc w:val="both"/>
      </w:pPr>
      <w:r>
        <w:rPr>
          <w:noProof/>
          <w:lang w:val="en-US"/>
        </w:rPr>
        <w:drawing>
          <wp:inline distT="0" distB="0" distL="0" distR="0" wp14:anchorId="566C7BF0" wp14:editId="13D8BF4D">
            <wp:extent cx="5688330" cy="2755900"/>
            <wp:effectExtent l="0" t="0" r="762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88330" cy="2755900"/>
                    </a:xfrm>
                    <a:prstGeom prst="rect">
                      <a:avLst/>
                    </a:prstGeom>
                    <a:noFill/>
                  </pic:spPr>
                </pic:pic>
              </a:graphicData>
            </a:graphic>
          </wp:inline>
        </w:drawing>
      </w:r>
    </w:p>
    <w:p w:rsidR="00D7024A" w:rsidRDefault="00D7024A" w:rsidP="00CD38D2">
      <w:pPr>
        <w:pStyle w:val="Caption"/>
      </w:pPr>
      <w:r w:rsidRPr="00CD38D2">
        <w:t>Izvor: HA</w:t>
      </w:r>
      <w:r w:rsidR="00CD38D2">
        <w:t>KOM</w:t>
      </w:r>
    </w:p>
    <w:p w:rsidR="00D7024A" w:rsidRDefault="00D7024A" w:rsidP="00D7024A">
      <w:pPr>
        <w:jc w:val="both"/>
      </w:pPr>
      <w:r>
        <w:t xml:space="preserve">Kada se govori o reguliranim veleprodajnim uslugama HT-a, osim najzastupljenije usluge </w:t>
      </w:r>
      <w:r>
        <w:rPr>
          <w:rFonts w:eastAsia="Times New Roman"/>
        </w:rPr>
        <w:t>bitstream</w:t>
      </w:r>
      <w:r w:rsidRPr="0059577C">
        <w:rPr>
          <w:rFonts w:eastAsia="Times New Roman"/>
        </w:rPr>
        <w:t xml:space="preserve"> pristupa na </w:t>
      </w:r>
      <w:proofErr w:type="spellStart"/>
      <w:r w:rsidRPr="0059577C">
        <w:rPr>
          <w:rFonts w:eastAsia="Times New Roman"/>
        </w:rPr>
        <w:t>Ethernet</w:t>
      </w:r>
      <w:proofErr w:type="spellEnd"/>
      <w:r w:rsidRPr="0059577C">
        <w:rPr>
          <w:rFonts w:eastAsia="Times New Roman"/>
        </w:rPr>
        <w:t xml:space="preserve"> razini</w:t>
      </w:r>
      <w:r>
        <w:rPr>
          <w:rFonts w:eastAsia="Times New Roman"/>
        </w:rPr>
        <w:t xml:space="preserve"> </w:t>
      </w:r>
      <w:r w:rsidRPr="00BD038D">
        <w:t xml:space="preserve">veleprodajno se koriste i usluga </w:t>
      </w:r>
      <w:r>
        <w:t>pristupa</w:t>
      </w:r>
      <w:r w:rsidRPr="00BD038D">
        <w:t xml:space="preserve"> izdvojeno</w:t>
      </w:r>
      <w:r>
        <w:t>j</w:t>
      </w:r>
      <w:r w:rsidRPr="00BD038D">
        <w:t xml:space="preserve"> lokalnoj petlji te usluga </w:t>
      </w:r>
      <w:r>
        <w:t>bitstream</w:t>
      </w:r>
      <w:r w:rsidRPr="00BD038D">
        <w:t xml:space="preserve"> pristupa na IP razini. </w:t>
      </w:r>
      <w:r>
        <w:t xml:space="preserve">Pri tom je bitno napomenuti da je veleprodajne usluge HT-a koje se pružaju putem svjetlovodne mreže HT-a donedavno (kraj 2021.) koristio samo Iskon Internet d.d. koji je dio HT Grupe, i to samo bitstream uslugu na </w:t>
      </w:r>
      <w:proofErr w:type="spellStart"/>
      <w:r>
        <w:t>Ethernet</w:t>
      </w:r>
      <w:proofErr w:type="spellEnd"/>
      <w:r>
        <w:t xml:space="preserve"> razini. </w:t>
      </w:r>
      <w:r w:rsidRPr="00BD038D">
        <w:t>Uslug</w:t>
      </w:r>
      <w:r>
        <w:t>a</w:t>
      </w:r>
      <w:r w:rsidRPr="00BD038D">
        <w:t xml:space="preserve"> pristupa pasivnoj pristupnoj svjetlovodnoj mreži na lokaciji distribucijskog čvora za svjetlovodne distribucijske mreže (FA-PON) </w:t>
      </w:r>
      <w:r>
        <w:t xml:space="preserve">se tek krajem 2021. započela koristiti i  to od strane alternativnih operatora koji nisu dio HT Grupe, kao i bitstream usluga putem svjetlovodne mreže HT-a. HAKOM u budućem razdoblju na koje se odnosi ova analiza očekuje značajno povećanje korištenja veleprodajnih usluga pristupa HT-ovoj svjetlovodnoj mreži, ponajviše u područjima koja nisu pokrivena VHCN mrežama alternativnih operatora. </w:t>
      </w:r>
    </w:p>
    <w:p w:rsidR="00D7024A" w:rsidRDefault="00D7024A" w:rsidP="00D7024A">
      <w:pPr>
        <w:jc w:val="both"/>
      </w:pPr>
    </w:p>
    <w:p w:rsidR="00D7024A" w:rsidRDefault="00D7024A" w:rsidP="00D7024A">
      <w:pPr>
        <w:jc w:val="both"/>
      </w:pPr>
      <w:r>
        <w:t xml:space="preserve">Pri tom HAKOM očekuje da će se FA-PON usluga koristiti u područjima gdje u neposrednim susjednim područjima postoje izgrađene svjetlovodne distribucijske mreže alternativnih operatora. </w:t>
      </w:r>
    </w:p>
    <w:p w:rsidR="00D7024A" w:rsidRDefault="00D7024A" w:rsidP="00D7024A">
      <w:pPr>
        <w:jc w:val="both"/>
      </w:pPr>
    </w:p>
    <w:p w:rsidR="00D7024A" w:rsidRDefault="00D7024A" w:rsidP="00D7024A">
      <w:pPr>
        <w:jc w:val="both"/>
      </w:pPr>
      <w:r>
        <w:t xml:space="preserve">Naime, FA-PON usluga je usluga pristupa izdvojenoj svjetlovodnoj niti na lokaciji distribucijskog čvora svjetlovodne distribucijske mreže na kojoj se nalazi zadnji svjetlovodni razdjelnik PON mreže te je ta usluga zanimljiva operatorima koji u susjednim područjima grade vlastite svjetlovodne mreže i pomoću ove usluge mogu proširiti područje pokrivanja vlastite svjetlovodne mreže, pritom izbjegavajući repliciranje završnog segmenta mreže koji podrazumijeva postavljanje mreža unutar </w:t>
      </w:r>
      <w:proofErr w:type="spellStart"/>
      <w:r>
        <w:t>višestambenih</w:t>
      </w:r>
      <w:proofErr w:type="spellEnd"/>
      <w:r>
        <w:t xml:space="preserve"> zgrada.  </w:t>
      </w:r>
    </w:p>
    <w:p w:rsidR="00D7024A" w:rsidRDefault="00D7024A" w:rsidP="00D7024A">
      <w:pPr>
        <w:jc w:val="both"/>
      </w:pPr>
    </w:p>
    <w:p w:rsidR="00D7024A" w:rsidRDefault="00D7024A" w:rsidP="00D7024A">
      <w:pPr>
        <w:jc w:val="both"/>
      </w:pPr>
      <w:r>
        <w:t xml:space="preserve">S druge strane, operatorima koji u nekom geografskom području neće graditi vlastitu svjetlovodnu mrežu bit će zanimljivije usluge pristupa na višim razinama (VULA odnosno bitstream na OLT razini, bitstream na </w:t>
      </w:r>
      <w:proofErr w:type="spellStart"/>
      <w:r>
        <w:t>Ethernet</w:t>
      </w:r>
      <w:proofErr w:type="spellEnd"/>
      <w:r>
        <w:t xml:space="preserve"> i IP razini) s kojih imaju mogućnost dosega većeg broja krajnjih korisnika (npr. jednom OLT-u pridruženo je više distribucijskih čvorova, jednom </w:t>
      </w:r>
      <w:proofErr w:type="spellStart"/>
      <w:r>
        <w:t>Ethernet</w:t>
      </w:r>
      <w:proofErr w:type="spellEnd"/>
      <w:r>
        <w:t xml:space="preserve"> čvoru je pridruženo više OLT-ova) čime se povećava isplativost pristupa, a da se pri tom značajno ne umanjuje kvaliteta maloprodajne usluge. </w:t>
      </w:r>
    </w:p>
    <w:p w:rsidR="00D7024A" w:rsidRDefault="00D7024A" w:rsidP="00D7024A">
      <w:pPr>
        <w:jc w:val="both"/>
      </w:pPr>
    </w:p>
    <w:p w:rsidR="00D7024A" w:rsidRDefault="00D7024A" w:rsidP="00D7024A">
      <w:pPr>
        <w:jc w:val="both"/>
      </w:pPr>
      <w:r>
        <w:t>Osim HT-ovih reguliranih veleprodajnih usluga na tržištu veleprodajnog širokopojasnog pristupa pružaju se i veleprodajne usluge alternativnih operatora. Tu je bitno istaknuti operatore koji pružaju samo veleprodajne usluge</w:t>
      </w:r>
      <w:r w:rsidRPr="00474790">
        <w:t xml:space="preserve"> poput RUNE </w:t>
      </w:r>
      <w:proofErr w:type="spellStart"/>
      <w:r w:rsidRPr="00474790">
        <w:t>Crow</w:t>
      </w:r>
      <w:proofErr w:type="spellEnd"/>
      <w:r w:rsidRPr="00474790">
        <w:t xml:space="preserve"> d.o.o. </w:t>
      </w:r>
      <w:r>
        <w:t xml:space="preserve">koji pruža uslugu bitstream pristupa na </w:t>
      </w:r>
      <w:proofErr w:type="spellStart"/>
      <w:r>
        <w:t>Ethernet</w:t>
      </w:r>
      <w:proofErr w:type="spellEnd"/>
      <w:r>
        <w:t xml:space="preserve"> razini, Infrastruktura d.o.o., Zagrebački Holding – Podružnica Zagrebački digitalni grad koji pružaju uslugu</w:t>
      </w:r>
      <w:r w:rsidRPr="00474790">
        <w:t xml:space="preserve"> pristupa izdvojenoj svjetlovodnoj niti na lokaciji distribucijskog čvora svjetlovodne distribucijske mreže</w:t>
      </w:r>
      <w:r>
        <w:t xml:space="preserve">. Pored navedenih operatora koji pružaju isključivo veleprodajne usluge potrebno je naglasiti da je i najveći alternativni operator A1 Hrvatska d.o.o. u ožujku 2022. objavio komercijalnu ponudu pristupa svojoj svjetlovodnoj mreži koja uključuje usluge bitstream pristupa na lokalnoj (OLT) razini, </w:t>
      </w:r>
      <w:proofErr w:type="spellStart"/>
      <w:r>
        <w:t>Ethernet</w:t>
      </w:r>
      <w:proofErr w:type="spellEnd"/>
      <w:r>
        <w:t xml:space="preserve"> regionalnoj i nacionalnoj razini te uslugu </w:t>
      </w:r>
      <w:r w:rsidRPr="00474790">
        <w:t>pristupa izdvojenoj svjetlovodnoj niti na lokaciji distribucijskog čvora svjetlovodne distribucijske mreže</w:t>
      </w:r>
      <w:r>
        <w:t xml:space="preserve">. Prema podacima kojima HAKOM raspolaže usluge iz navedene komercijalne ponude se još uvijek ne koriste. </w:t>
      </w:r>
    </w:p>
    <w:p w:rsidR="00D7024A" w:rsidRDefault="00D7024A" w:rsidP="00D7024A">
      <w:pPr>
        <w:jc w:val="both"/>
      </w:pPr>
    </w:p>
    <w:p w:rsidR="00D7024A" w:rsidRDefault="00D7024A" w:rsidP="00D7024A">
      <w:pPr>
        <w:jc w:val="both"/>
      </w:pPr>
      <w:r>
        <w:t>Dodatno je potrebno naglasiti da, sukladno postojećoj simetričnoj regulaciji</w:t>
      </w:r>
      <w:r>
        <w:rPr>
          <w:rStyle w:val="FootnoteReference"/>
        </w:rPr>
        <w:footnoteReference w:id="43"/>
      </w:r>
      <w:r>
        <w:t xml:space="preserve"> koja je donesena na temelju prethodnog regulatornog okvira, svi operatori svjetlovodnih distribucijskih mreža imaju obvezu omogućavanja veleprodajnog pristupa svjetlovodnim nitima svoje distribucijske mreže koje završavaju u zgradama. </w:t>
      </w:r>
    </w:p>
    <w:p w:rsidR="00D7024A" w:rsidRDefault="00D7024A" w:rsidP="00D7024A">
      <w:pPr>
        <w:jc w:val="both"/>
      </w:pPr>
    </w:p>
    <w:p w:rsidR="00D7024A" w:rsidRPr="00F5503C" w:rsidRDefault="00D7024A" w:rsidP="00D7024A">
      <w:pPr>
        <w:jc w:val="both"/>
      </w:pPr>
      <w:r>
        <w:t xml:space="preserve">U tom smislu je velika važnost i mogućnost uvođenja simetrične regulacije prema novom regulatornom okviru gdje prema odredbama članka 93. stavka 5. ZEK-a HAKOM </w:t>
      </w:r>
      <w:r w:rsidRPr="00604F20">
        <w:rPr>
          <w:i/>
        </w:rPr>
        <w:t>može odrediti obveze omogućivanja pristupa, na razuman zahtjev, žičnim instalacijama i kabelima te povezanoj opremi unutar zgrada, ili do prve sabirne ili razdjelne točke, na način koji utvrdi Agencija, kada je ta točka smještena izvan zgrade</w:t>
      </w:r>
      <w:r>
        <w:t xml:space="preserve">, odnosno prema članku 93. stavku 8. ZEK-a može „… </w:t>
      </w:r>
      <w:r w:rsidRPr="006C3F24">
        <w:rPr>
          <w:i/>
        </w:rPr>
        <w:t>proširiti određivanje takvih obveza pristupa iza prve sabirne ili razdjelne točke, i to sve do točke za koju utvrdi da je najbliža krajnjim korisnicima, a u koju se može smjestiti dostatan broj veza krajnjih korisnika kako bi se učinkovitim tražiteljima pristupa omogućila tržišna održivost</w:t>
      </w:r>
      <w:r>
        <w:rPr>
          <w:i/>
        </w:rPr>
        <w:t xml:space="preserve">…“ , </w:t>
      </w:r>
      <w:r>
        <w:t>odnosno može uvesti i simetrične obveze u pogledu cijena pristupa te ih proširiti i na točku dalje od distribucijskog čvora gledajući u smjeru od krajnjeg korisnika prema mreži.</w:t>
      </w:r>
    </w:p>
    <w:p w:rsidR="00D7024A" w:rsidRPr="00BF3F71" w:rsidRDefault="00D7024A" w:rsidP="00D7024A">
      <w:pPr>
        <w:jc w:val="both"/>
      </w:pPr>
    </w:p>
    <w:p w:rsidR="00D7024A" w:rsidRDefault="00D7024A" w:rsidP="00D7024A">
      <w:pPr>
        <w:jc w:val="both"/>
      </w:pPr>
      <w:r>
        <w:t xml:space="preserve">Međutim, simetrične obveze iz članka 93. ZEK-a se ne određuju u postupku analize tržišta već u zasebnom postupku i to prvenstveno kako bi se riješile </w:t>
      </w:r>
      <w:r w:rsidRPr="006C3F24">
        <w:t>velike i trajne gospodarske ili fizičke prepreke umnažanju mrežnih sastavnica, kojima se naglašavaju postojeće ili novo nastajuće okolnosti na tržištu koje značajno ograničuju konkurentske ishode za krajnje korisnike</w:t>
      </w:r>
      <w:r>
        <w:t xml:space="preserve">, a koje se ne mogu otkloniti SMP regulacijom. Dodatno, simetrične obveze se primjenjuju i za ona područja kod kojih HAKOM eventualno utvrdi deregulaciju. </w:t>
      </w:r>
    </w:p>
    <w:p w:rsidR="00D7024A" w:rsidRPr="0082266F" w:rsidRDefault="00D7024A" w:rsidP="0082266F">
      <w:pPr>
        <w:pStyle w:val="Heading2"/>
      </w:pPr>
      <w:bookmarkStart w:id="293" w:name="_Toc124928603"/>
      <w:bookmarkStart w:id="294" w:name="_Toc124946945"/>
      <w:bookmarkStart w:id="295" w:name="_Toc124948855"/>
      <w:bookmarkStart w:id="296" w:name="_Toc124951750"/>
      <w:bookmarkStart w:id="297" w:name="_Toc125644900"/>
      <w:r w:rsidRPr="0082266F">
        <w:t>Opis mjerila sadržanih u Testu</w:t>
      </w:r>
      <w:r w:rsidRPr="0082266F">
        <w:rPr>
          <w:vertAlign w:val="superscript"/>
        </w:rPr>
        <w:footnoteReference w:id="44"/>
      </w:r>
      <w:bookmarkEnd w:id="293"/>
      <w:bookmarkEnd w:id="294"/>
      <w:bookmarkEnd w:id="295"/>
      <w:bookmarkEnd w:id="296"/>
      <w:bookmarkEnd w:id="297"/>
    </w:p>
    <w:p w:rsidR="00D7024A" w:rsidRPr="0082266F" w:rsidRDefault="00D7024A" w:rsidP="0082266F">
      <w:pPr>
        <w:pStyle w:val="Heading3"/>
      </w:pPr>
      <w:bookmarkStart w:id="298" w:name="_Toc124928604"/>
      <w:bookmarkStart w:id="299" w:name="_Toc124946946"/>
      <w:bookmarkStart w:id="300" w:name="_Toc124948856"/>
      <w:bookmarkStart w:id="301" w:name="_Toc124951751"/>
      <w:bookmarkStart w:id="302" w:name="_Toc125644901"/>
      <w:r w:rsidRPr="0082266F">
        <w:t>Prvo mjerilo: prisutnost velikih i trajnih prepreka za ulazak na tržište, strukturne, pravne ili regulatorne prirode</w:t>
      </w:r>
      <w:bookmarkEnd w:id="298"/>
      <w:bookmarkEnd w:id="299"/>
      <w:bookmarkEnd w:id="300"/>
      <w:bookmarkEnd w:id="301"/>
      <w:bookmarkEnd w:id="302"/>
      <w:r w:rsidRPr="0082266F">
        <w:t xml:space="preserve"> </w:t>
      </w:r>
    </w:p>
    <w:p w:rsidR="00D7024A" w:rsidRDefault="00D7024A" w:rsidP="00D7024A">
      <w:pPr>
        <w:jc w:val="both"/>
        <w:rPr>
          <w:rFonts w:eastAsia="Times New Roman"/>
        </w:rPr>
      </w:pPr>
    </w:p>
    <w:p w:rsidR="00D7024A" w:rsidRDefault="00D7024A" w:rsidP="00D7024A">
      <w:pPr>
        <w:jc w:val="both"/>
        <w:rPr>
          <w:rFonts w:eastAsia="Times New Roman"/>
        </w:rPr>
      </w:pPr>
      <w:r>
        <w:rPr>
          <w:rFonts w:eastAsia="Times New Roman"/>
        </w:rPr>
        <w:t>Pre</w:t>
      </w:r>
      <w:r w:rsidRPr="00F86E87">
        <w:rPr>
          <w:rFonts w:eastAsia="Times New Roman"/>
        </w:rPr>
        <w:t xml:space="preserve">preke ulasku na tržište mogu biti strukturne, pravne ili regulatorne. Postojanje visokih </w:t>
      </w:r>
      <w:r>
        <w:rPr>
          <w:rFonts w:eastAsia="Times New Roman"/>
        </w:rPr>
        <w:t>pre</w:t>
      </w:r>
      <w:r w:rsidRPr="00F86E87">
        <w:rPr>
          <w:rFonts w:eastAsia="Times New Roman"/>
        </w:rPr>
        <w:t>preka ulasku na tržište i razvoju tržišnog natjecanja na tržištu elektroničkih komunikacija smatra se pokazatelj</w:t>
      </w:r>
      <w:r>
        <w:rPr>
          <w:rFonts w:eastAsia="Times New Roman"/>
        </w:rPr>
        <w:t>em</w:t>
      </w:r>
      <w:r w:rsidRPr="00F86E87">
        <w:rPr>
          <w:rFonts w:eastAsia="Times New Roman"/>
        </w:rPr>
        <w:t xml:space="preserve"> da je za osiguranje tržišnog natjecanja možda potrebna regulatorna intervencija. Kada su </w:t>
      </w:r>
      <w:r>
        <w:rPr>
          <w:rFonts w:eastAsia="Times New Roman"/>
        </w:rPr>
        <w:t>pre</w:t>
      </w:r>
      <w:r w:rsidRPr="00F86E87">
        <w:rPr>
          <w:rFonts w:eastAsia="Times New Roman"/>
        </w:rPr>
        <w:t xml:space="preserve">preke ulasku na tržište visoke u odsustvu regulatorne intervencije, čak i poduzetniku koji je učinkovitiji od povijesnog operatora nije izgledna mogućnost ulaska na tržište i uspješnog tržišnog natjecanja na korist potrošača. Vrlo važna kvalifikacija prvog mjerila je jesu li visoke </w:t>
      </w:r>
      <w:r>
        <w:rPr>
          <w:rFonts w:eastAsia="Times New Roman"/>
        </w:rPr>
        <w:t>pre</w:t>
      </w:r>
      <w:r w:rsidRPr="00F86E87">
        <w:rPr>
          <w:rFonts w:eastAsia="Times New Roman"/>
        </w:rPr>
        <w:t>preke ulasku na tržište trajne. Pri tome regulator treba u obzir uzeti postojeće uvjete na tržištu, uključujući i druge vrste regulacije koje utječu na tržište, kao i očekivani ili predvidljivi razvoj tržišta u razdoblju do sljedeće analize tržišta u odsutnosti SMP regulacije.</w:t>
      </w:r>
    </w:p>
    <w:p w:rsidR="00D7024A" w:rsidRPr="00F86E87" w:rsidRDefault="00D7024A" w:rsidP="00D7024A">
      <w:pPr>
        <w:jc w:val="both"/>
        <w:rPr>
          <w:rFonts w:eastAsia="Times New Roman"/>
          <w:i/>
        </w:rPr>
      </w:pPr>
    </w:p>
    <w:p w:rsidR="00D7024A" w:rsidRDefault="00D7024A" w:rsidP="00D7024A">
      <w:pPr>
        <w:jc w:val="both"/>
        <w:rPr>
          <w:rFonts w:eastAsia="Times New Roman"/>
        </w:rPr>
      </w:pPr>
      <w:r w:rsidRPr="00F86E87">
        <w:rPr>
          <w:rFonts w:eastAsia="Times New Roman"/>
        </w:rPr>
        <w:t xml:space="preserve">Strukturne </w:t>
      </w:r>
      <w:r>
        <w:rPr>
          <w:rFonts w:eastAsia="Times New Roman"/>
        </w:rPr>
        <w:t>pre</w:t>
      </w:r>
      <w:r w:rsidRPr="00F86E87">
        <w:rPr>
          <w:rFonts w:eastAsia="Times New Roman"/>
        </w:rPr>
        <w:t xml:space="preserve">preke ulasku na tržište postoje kada su stanje tehnologije i priroda mreže, s pridruženom troškovnom strukturom i/ili razinom potražnje takvi da stvaraju asimetrične uvjete između operatora, sprječavajući ulazak na tržište ili širenje konkurenata. Primjerice, visoke </w:t>
      </w:r>
      <w:r>
        <w:rPr>
          <w:rFonts w:eastAsia="Times New Roman"/>
        </w:rPr>
        <w:t>pre</w:t>
      </w:r>
      <w:r w:rsidRPr="00F86E87">
        <w:rPr>
          <w:rFonts w:eastAsia="Times New Roman"/>
        </w:rPr>
        <w:t>preke ulasku na tržište postoje kada tržište karakteriziraju apsolutne troškovne prednosti, značajne ekonomije razmjera i/ili ekonomije opsega, nedostatni kapaciteti ili visoki nenadoknadivi troškovi (</w:t>
      </w:r>
      <w:proofErr w:type="spellStart"/>
      <w:r w:rsidRPr="00F86E87">
        <w:rPr>
          <w:rFonts w:eastAsia="Times New Roman"/>
        </w:rPr>
        <w:t>eng</w:t>
      </w:r>
      <w:proofErr w:type="spellEnd"/>
      <w:r w:rsidRPr="00F86E87">
        <w:rPr>
          <w:rFonts w:eastAsia="Times New Roman"/>
        </w:rPr>
        <w:t xml:space="preserve">. </w:t>
      </w:r>
      <w:proofErr w:type="spellStart"/>
      <w:r w:rsidRPr="00F86E87">
        <w:rPr>
          <w:rFonts w:eastAsia="Times New Roman"/>
          <w:i/>
        </w:rPr>
        <w:t>sunk</w:t>
      </w:r>
      <w:proofErr w:type="spellEnd"/>
      <w:r w:rsidRPr="00F86E87">
        <w:rPr>
          <w:rFonts w:eastAsia="Times New Roman"/>
          <w:i/>
        </w:rPr>
        <w:t xml:space="preserve"> </w:t>
      </w:r>
      <w:proofErr w:type="spellStart"/>
      <w:r w:rsidRPr="00F86E87">
        <w:rPr>
          <w:rFonts w:eastAsia="Times New Roman"/>
          <w:i/>
        </w:rPr>
        <w:t>cost</w:t>
      </w:r>
      <w:proofErr w:type="spellEnd"/>
      <w:r w:rsidRPr="00F86E87">
        <w:rPr>
          <w:rFonts w:eastAsia="Times New Roman"/>
        </w:rPr>
        <w:t xml:space="preserve">). Takve </w:t>
      </w:r>
      <w:r>
        <w:rPr>
          <w:rFonts w:eastAsia="Times New Roman"/>
        </w:rPr>
        <w:t>pre</w:t>
      </w:r>
      <w:r w:rsidRPr="00F86E87">
        <w:rPr>
          <w:rFonts w:eastAsia="Times New Roman"/>
        </w:rPr>
        <w:t>preke se javljaju u sektorima koji se oslanjaju na razvoj mreža, poput nepokretnih mreža.</w:t>
      </w:r>
    </w:p>
    <w:p w:rsidR="00D7024A" w:rsidRPr="00F86E87" w:rsidRDefault="00D7024A" w:rsidP="00D7024A">
      <w:pPr>
        <w:jc w:val="both"/>
        <w:rPr>
          <w:rFonts w:eastAsia="Times New Roman"/>
        </w:rPr>
      </w:pPr>
    </w:p>
    <w:p w:rsidR="00D7024A" w:rsidRPr="00F86E87" w:rsidRDefault="00D7024A" w:rsidP="00D7024A">
      <w:pPr>
        <w:jc w:val="both"/>
        <w:rPr>
          <w:rFonts w:eastAsia="Times New Roman"/>
        </w:rPr>
      </w:pPr>
      <w:r w:rsidRPr="00F86E87">
        <w:rPr>
          <w:rFonts w:eastAsia="Times New Roman"/>
        </w:rPr>
        <w:t xml:space="preserve">Pravne ili regulatorne </w:t>
      </w:r>
      <w:r>
        <w:rPr>
          <w:rFonts w:eastAsia="Times New Roman"/>
        </w:rPr>
        <w:t>pre</w:t>
      </w:r>
      <w:r w:rsidRPr="00F86E87">
        <w:rPr>
          <w:rFonts w:eastAsia="Times New Roman"/>
        </w:rPr>
        <w:t xml:space="preserve">preke se ne zasnivaju na ekonomskim uvjetima, nego proizlaze iz zakonodavnog okvira, administrativnih ili drugih državnih mjera koje imaju izravan utjecaj na uvjete ulaska na tržište i/ili pozicioniranje operatora na tržištu. Primjeri su pravni zahtjevi povezani s potrebnim dozvolama i odobrenjima za postavljanje vlastite infrastrukture, od odobrenja planiranja građevinskih radova do potrebe ishođenja odobrenja koja se tiču imovine i prava vlasništva nad zemljom, poput prava puta li drugih odobrenja za postavljanje mreže na privatnom vlasništvu. Drugi primjer je nedostatak raspoloživog </w:t>
      </w:r>
      <w:proofErr w:type="spellStart"/>
      <w:r w:rsidRPr="00F86E87">
        <w:rPr>
          <w:rFonts w:eastAsia="Times New Roman"/>
        </w:rPr>
        <w:t>radiofrekvencijskog</w:t>
      </w:r>
      <w:proofErr w:type="spellEnd"/>
      <w:r w:rsidRPr="00F86E87">
        <w:rPr>
          <w:rFonts w:eastAsia="Times New Roman"/>
        </w:rPr>
        <w:t xml:space="preserve"> spektra.</w:t>
      </w:r>
    </w:p>
    <w:p w:rsidR="00D7024A" w:rsidRPr="00F86E87" w:rsidRDefault="00D7024A" w:rsidP="00D7024A">
      <w:pPr>
        <w:jc w:val="both"/>
        <w:rPr>
          <w:rFonts w:eastAsia="Times New Roman"/>
        </w:rPr>
      </w:pPr>
    </w:p>
    <w:p w:rsidR="00D7024A" w:rsidRPr="00F86E87" w:rsidRDefault="00D7024A" w:rsidP="00D7024A">
      <w:pPr>
        <w:jc w:val="both"/>
        <w:rPr>
          <w:rFonts w:eastAsia="Times New Roman"/>
        </w:rPr>
      </w:pPr>
      <w:r w:rsidRPr="00F86E87">
        <w:rPr>
          <w:rFonts w:eastAsia="Times New Roman"/>
        </w:rPr>
        <w:t xml:space="preserve">Kako bi se isključilo postojanje visokih i trajnih prepreka, nije dovoljno ispitati je li do ulaska došlo ili je vjerojatno da će uopće doći do ulaska na tržište, već je potrebno ispitati može li novi ulazak biti dovoljno pravovremen i stabilan u odsustvu regulacije, tako da može ograničiti tržišnu moć. Ulazak malog opsega (npr. u ograničenom zemljopisnom području) možda se neće smatrati dostatnim ako je tržište šire, budući da je malo vjerojatno da će izvršiti značajna ograničenja na operatore sa značajnom tržišnom snagom. Nadalje, mogu postojati objektivna ograničenja za širenje izvan početnog malog ulaska, kao što je nedostatak ekonomije razmjera izvan najgušće naseljenih urbanih područja, zbog čega je malo vjerojatno da će takav ulazak ograničiti SMP operatore unutar relevantnog razdoblja. </w:t>
      </w:r>
    </w:p>
    <w:p w:rsidR="00D7024A" w:rsidRPr="00F86E87" w:rsidRDefault="00D7024A" w:rsidP="00D7024A">
      <w:pPr>
        <w:jc w:val="both"/>
        <w:rPr>
          <w:rFonts w:eastAsia="Times New Roman"/>
        </w:rPr>
      </w:pPr>
    </w:p>
    <w:p w:rsidR="00D7024A" w:rsidRDefault="00D7024A" w:rsidP="00D7024A">
      <w:pPr>
        <w:jc w:val="both"/>
        <w:rPr>
          <w:rFonts w:eastAsia="Times New Roman"/>
        </w:rPr>
      </w:pPr>
      <w:r w:rsidRPr="00F86E87">
        <w:rPr>
          <w:rFonts w:eastAsia="Times New Roman"/>
        </w:rPr>
        <w:t xml:space="preserve">Tekući tehnološki napredak na tržištima elektroničkih komunikacija može postupno smanjiti važnost </w:t>
      </w:r>
      <w:r>
        <w:rPr>
          <w:rFonts w:eastAsia="Times New Roman"/>
        </w:rPr>
        <w:t>pre</w:t>
      </w:r>
      <w:r w:rsidRPr="00F86E87">
        <w:rPr>
          <w:rFonts w:eastAsia="Times New Roman"/>
        </w:rPr>
        <w:t>preka za ulazak na tržište. Na primjer, važnost zakonskih i regulatornih prepreka na liberaliziranim tržištima koja su podložna postupnoj deregulaciji stalno se smanjivala, kako su monopolistička prava povijesnih operatora bila ukidana. Na takvim tržištima, konkurentski pritisci često dolaze od potencijalnih inovativnih konkurenata koji trenutno nisu na tržištu.</w:t>
      </w:r>
      <w:r>
        <w:rPr>
          <w:rFonts w:eastAsia="Times New Roman"/>
        </w:rPr>
        <w:t xml:space="preserve"> </w:t>
      </w:r>
      <w:r w:rsidRPr="00F86E87">
        <w:rPr>
          <w:rFonts w:eastAsia="Times New Roman"/>
        </w:rPr>
        <w:t xml:space="preserve">Stoga, prilikom identificiranja mjerodavnih tržišta za moguću </w:t>
      </w:r>
      <w:r w:rsidRPr="00F86E87">
        <w:rPr>
          <w:rFonts w:eastAsia="Times New Roman"/>
          <w:i/>
        </w:rPr>
        <w:t>ex ante</w:t>
      </w:r>
      <w:r w:rsidRPr="00F86E87">
        <w:rPr>
          <w:rFonts w:eastAsia="Times New Roman"/>
        </w:rPr>
        <w:t xml:space="preserve"> regulaciju u obzir se trebaju uzeti mogućnosti prevladavanja </w:t>
      </w:r>
      <w:r>
        <w:rPr>
          <w:rFonts w:eastAsia="Times New Roman"/>
        </w:rPr>
        <w:t>pre</w:t>
      </w:r>
      <w:r w:rsidRPr="00F86E87">
        <w:rPr>
          <w:rFonts w:eastAsia="Times New Roman"/>
        </w:rPr>
        <w:t>preka ulasku na tržište unutar relevantnog razdoblja.</w:t>
      </w:r>
    </w:p>
    <w:p w:rsidR="00D7024A" w:rsidRDefault="00D7024A" w:rsidP="00D7024A">
      <w:pPr>
        <w:jc w:val="both"/>
        <w:rPr>
          <w:rFonts w:eastAsia="Times New Roman"/>
        </w:rPr>
      </w:pPr>
    </w:p>
    <w:p w:rsidR="00D7024A" w:rsidRDefault="00D7024A" w:rsidP="00D7024A">
      <w:pPr>
        <w:jc w:val="both"/>
        <w:rPr>
          <w:rFonts w:eastAsia="Times New Roman"/>
        </w:rPr>
      </w:pPr>
    </w:p>
    <w:p w:rsidR="00D7024A" w:rsidRPr="0082266F" w:rsidRDefault="00D7024A" w:rsidP="0082266F">
      <w:pPr>
        <w:pStyle w:val="Heading3"/>
      </w:pPr>
      <w:bookmarkStart w:id="303" w:name="_Toc124928605"/>
      <w:bookmarkStart w:id="304" w:name="_Toc124946947"/>
      <w:bookmarkStart w:id="305" w:name="_Toc124948857"/>
      <w:bookmarkStart w:id="306" w:name="_Toc124951752"/>
      <w:bookmarkStart w:id="307" w:name="_Toc125644902"/>
      <w:r w:rsidRPr="0082266F">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bookmarkEnd w:id="303"/>
      <w:bookmarkEnd w:id="304"/>
      <w:bookmarkEnd w:id="305"/>
      <w:bookmarkEnd w:id="306"/>
      <w:bookmarkEnd w:id="307"/>
      <w:r w:rsidRPr="0082266F">
        <w:t xml:space="preserve">   </w:t>
      </w:r>
    </w:p>
    <w:p w:rsidR="00D7024A" w:rsidRDefault="00D7024A" w:rsidP="00D7024A">
      <w:pPr>
        <w:jc w:val="both"/>
      </w:pPr>
    </w:p>
    <w:p w:rsidR="00D7024A" w:rsidRDefault="00D7024A" w:rsidP="00D7024A">
      <w:pPr>
        <w:jc w:val="both"/>
      </w:pPr>
      <w:r w:rsidRPr="005221ED">
        <w:t xml:space="preserve">Drugo mjerilo je dinamičko mjerilo koje bi, nakon analize prvog, trebalo pomoći u sagledavanju ukupnih uvjeta tržišnog natjecanja na mjerodavnom tržištu unutar odgovarajućeg </w:t>
      </w:r>
      <w:r>
        <w:t>razdoblja</w:t>
      </w:r>
      <w:r w:rsidRPr="005221ED">
        <w:t>. Pri ocjeni teži li tržište djelotvornom tržišnom natjecanju, HA</w:t>
      </w:r>
      <w:r>
        <w:t xml:space="preserve">KOM će sukladno ZEK-u </w:t>
      </w:r>
      <w:r w:rsidRPr="005221ED">
        <w:t xml:space="preserve">razdoblje od </w:t>
      </w:r>
      <w:r>
        <w:t>pet</w:t>
      </w:r>
      <w:r w:rsidRPr="005221ED">
        <w:t xml:space="preserve"> godina uzeti u obzir kao relevantno. Kako bi bio u mogućnosti prethodno regulirati određeno tržište, HAKOM mora dokazati da tržište u točno određenom trenutku i određenom budućem razdoblju ne teži djelotvornom tržišnom natjecanju. Pravilna analiza ovog mjerila bi se trebala provesti tako da se utvrdi razina tržišnog natjecanja i pored postojanja mogućih </w:t>
      </w:r>
      <w:r>
        <w:t>pre</w:t>
      </w:r>
      <w:r w:rsidRPr="005221ED">
        <w:t>preka za ulazak na tržište, a imajući na umu činjenicu da i tržište gdje postoje prepreke za ulazak na tržište, može imati karakteristike po kojima teži razvoju djelotvornog tržišnog natjecanja unutar odgovarajućeg</w:t>
      </w:r>
      <w:r>
        <w:t xml:space="preserve"> razdoblja</w:t>
      </w:r>
      <w:r w:rsidRPr="005221ED">
        <w:t xml:space="preserve">. Težnja razvoju održivog tržišnog natjecanja unutar odgovarajućeg </w:t>
      </w:r>
      <w:r>
        <w:t xml:space="preserve">razdoblja </w:t>
      </w:r>
      <w:r w:rsidRPr="005221ED">
        <w:t>ne znači da će se isto dogoditi u vrlo kratkom razdoblju, već znači da je analizom utvrđeno da postoji određena dinamika tržišnih događaja i pokazatelja koja bi mogla dovesti do djelotvornog tržišnog natjecanja i bez prethodne regulacije.</w:t>
      </w:r>
    </w:p>
    <w:p w:rsidR="00D7024A" w:rsidRPr="003A2DE8" w:rsidRDefault="00D7024A" w:rsidP="00D7024A">
      <w:pPr>
        <w:jc w:val="both"/>
      </w:pPr>
    </w:p>
    <w:p w:rsidR="00D7024A" w:rsidRDefault="00D7024A" w:rsidP="00D7024A">
      <w:pPr>
        <w:jc w:val="both"/>
      </w:pPr>
      <w:r w:rsidRPr="003A2DE8">
        <w:t>Na dinamiku tržišta može utjecati i tehnološki razvoj ili konvergencija proizvoda i tržišta. Prisutnost infrastruktura koje se temelje na različitim tehnologijama, ali koje nude proizvode koji su zamjenjivi za krajnje korisnike, također može promijeniti konkurentsku dinamiku u cijelom opskrbnom lancu, uključujući konkurenciju u cijen</w:t>
      </w:r>
      <w:r>
        <w:t>i, izboru i kvaliteti. N</w:t>
      </w:r>
      <w:r w:rsidRPr="003A2DE8">
        <w:t>eizravni konkurentski pritisci n</w:t>
      </w:r>
      <w:r>
        <w:t>a operato</w:t>
      </w:r>
      <w:r w:rsidRPr="003A2DE8">
        <w:t>re ne moraju nužno potjecati od drugih usporedivih operat</w:t>
      </w:r>
      <w:r>
        <w:t>o</w:t>
      </w:r>
      <w:r w:rsidRPr="003A2DE8">
        <w:t>ra, već ih mogu vršiti poduzeća koja, iako prihvaćaju različite poslo</w:t>
      </w:r>
      <w:r>
        <w:t xml:space="preserve">vne modele, mogu isporučivati </w:t>
      </w:r>
      <w:r w:rsidRPr="003A2DE8">
        <w:t>proizvode koje krajnji kori</w:t>
      </w:r>
      <w:r>
        <w:t>snici mogu smatrati zamjenskim proizvodima ili uslugama.</w:t>
      </w:r>
    </w:p>
    <w:p w:rsidR="00D7024A" w:rsidRPr="003A2DE8" w:rsidRDefault="00D7024A" w:rsidP="00D7024A">
      <w:pPr>
        <w:jc w:val="both"/>
      </w:pPr>
    </w:p>
    <w:p w:rsidR="00D7024A" w:rsidRDefault="00D7024A" w:rsidP="00D7024A">
      <w:pPr>
        <w:jc w:val="both"/>
      </w:pPr>
      <w:r>
        <w:t>Tendencija prema djelotvornom</w:t>
      </w:r>
      <w:r w:rsidRPr="003A2DE8">
        <w:t xml:space="preserve"> tržišnom natjecanju ne znači nužno da će tržiš</w:t>
      </w:r>
      <w:r>
        <w:t xml:space="preserve">te dosegnuti status djelotvornog </w:t>
      </w:r>
      <w:r w:rsidRPr="003A2DE8">
        <w:t>tržišnog</w:t>
      </w:r>
      <w:r>
        <w:t xml:space="preserve"> natjecanja u razdoblju koje pokriva analiza</w:t>
      </w:r>
      <w:r w:rsidRPr="003A2DE8">
        <w:t>. To jednostavno znači da postoji jasan dokaz o dinamici na tržištu unutar tog razdoblja, što ukazuje da ć</w:t>
      </w:r>
      <w:r>
        <w:t xml:space="preserve">e se stanje djelotvornog tržišnog natjecanja </w:t>
      </w:r>
      <w:r w:rsidRPr="003A2DE8">
        <w:t>dostignut</w:t>
      </w:r>
      <w:r>
        <w:t>i</w:t>
      </w:r>
      <w:r w:rsidRPr="003A2DE8">
        <w:t xml:space="preserve"> u doglednoj budućnosti bez </w:t>
      </w:r>
      <w:r w:rsidRPr="00701EDD">
        <w:rPr>
          <w:i/>
        </w:rPr>
        <w:t>ex ante</w:t>
      </w:r>
      <w:r w:rsidRPr="003A2DE8">
        <w:t xml:space="preserve"> regulacije na dotičnom tržištu. Stoga se očekivani događaji moraju očekivati unutar točno određenog </w:t>
      </w:r>
      <w:r>
        <w:t>razdoblja</w:t>
      </w:r>
      <w:r w:rsidRPr="003A2DE8">
        <w:t xml:space="preserve"> i na temelju konkretnih elemenata (npr. poslovnih planova, ulaganja, novih tehnologija koje se uvode), a ne naznaka koje su samo teoretski moguće. </w:t>
      </w:r>
      <w:r>
        <w:t>Primjerice</w:t>
      </w:r>
      <w:r w:rsidRPr="003A2DE8">
        <w:t>, smanjenje tržišnih udjela ili neizvjestan budući tehnološki razvoj sami po sebi nisu dovoljni razlozi za zaključak da tržište teži učinkovitom natjecanju.</w:t>
      </w:r>
    </w:p>
    <w:p w:rsidR="00D7024A" w:rsidRPr="003A2DE8" w:rsidRDefault="00D7024A" w:rsidP="00D7024A">
      <w:pPr>
        <w:jc w:val="both"/>
      </w:pPr>
    </w:p>
    <w:p w:rsidR="00D7024A" w:rsidRDefault="00D7024A" w:rsidP="00D7024A">
      <w:pPr>
        <w:jc w:val="both"/>
      </w:pPr>
      <w:r>
        <w:t>HAKOM</w:t>
      </w:r>
      <w:r w:rsidRPr="003A2DE8">
        <w:t xml:space="preserve"> također </w:t>
      </w:r>
      <w:r>
        <w:t>uzima</w:t>
      </w:r>
      <w:r w:rsidRPr="003A2DE8">
        <w:t xml:space="preserve"> u obzir je li veleprodajni pristup dostupan bilo kojem zainteresiranom poduzetniku pod razumnim komercijalnim uvjetima koji dopuštaju održive konkurentne rezultate za krajnje korisnike na maloprodajnom tržištu. </w:t>
      </w:r>
      <w:r>
        <w:t>Naime, k</w:t>
      </w:r>
      <w:r w:rsidRPr="003A2DE8">
        <w:t>omercijalni sporazumi, uključujući sporazume o veleprodajnom pristupu, sporazume o zajedničkom ulaganju i ugovore o uzajamnom pristupu između operatora, koji su sklopljeni na trajnoj osnovi</w:t>
      </w:r>
      <w:r>
        <w:t xml:space="preserve"> i </w:t>
      </w:r>
      <w:r w:rsidRPr="003A2DE8">
        <w:t>održivi su, vjeroj</w:t>
      </w:r>
      <w:r>
        <w:t>atno će poboljšati</w:t>
      </w:r>
      <w:r w:rsidRPr="003A2DE8">
        <w:t xml:space="preserve"> dinamiku </w:t>
      </w:r>
      <w:r>
        <w:t xml:space="preserve">tržišnog natjecanja </w:t>
      </w:r>
      <w:r w:rsidRPr="003A2DE8">
        <w:t>i u konačnici mogu riješiti probleme tržišnog natjecanja na povezanom maloprodajnom tržištu i stoga dovode do odluka da se tržišta ne reguliraju ili dereguliraju.</w:t>
      </w:r>
    </w:p>
    <w:p w:rsidR="00D7024A" w:rsidRPr="003A2DE8" w:rsidRDefault="00D7024A" w:rsidP="00D7024A">
      <w:pPr>
        <w:jc w:val="both"/>
      </w:pPr>
    </w:p>
    <w:p w:rsidR="00D7024A" w:rsidRDefault="00D7024A" w:rsidP="00D7024A">
      <w:pPr>
        <w:jc w:val="both"/>
      </w:pPr>
      <w:r w:rsidRPr="003A2DE8">
        <w:t xml:space="preserve">Općenito, što </w:t>
      </w:r>
      <w:r>
        <w:t xml:space="preserve">je izglednije da će se djelotvorno tržišno natjecanje </w:t>
      </w:r>
      <w:r w:rsidRPr="003A2DE8">
        <w:t xml:space="preserve">ostvariti </w:t>
      </w:r>
      <w:r>
        <w:t xml:space="preserve">kasnije </w:t>
      </w:r>
      <w:r w:rsidRPr="003A2DE8">
        <w:t>u budućnosti, veća je vjerojatnost da će drugi kriterij biti ispunjen.</w:t>
      </w:r>
    </w:p>
    <w:p w:rsidR="00D7024A" w:rsidRDefault="00D7024A" w:rsidP="00D7024A">
      <w:pPr>
        <w:jc w:val="both"/>
      </w:pPr>
    </w:p>
    <w:p w:rsidR="00D7024A" w:rsidRPr="00E571DF" w:rsidRDefault="00D7024A" w:rsidP="00E571DF">
      <w:pPr>
        <w:pStyle w:val="Heading3"/>
      </w:pPr>
      <w:bookmarkStart w:id="308" w:name="_Toc124928606"/>
      <w:bookmarkStart w:id="309" w:name="_Toc124946948"/>
      <w:bookmarkStart w:id="310" w:name="_Toc124948858"/>
      <w:bookmarkStart w:id="311" w:name="_Toc124951753"/>
      <w:bookmarkStart w:id="312" w:name="_Toc125644903"/>
      <w:r w:rsidRPr="00E571DF">
        <w:t>Treće mjerilo: primjena mjerodavnih propisa o zaštiti tržišnog natjecanja koja sama po sebi ne omogućuje na odgovarajući način uklanjanje utvrđenih nedostataka na tržištu</w:t>
      </w:r>
      <w:bookmarkEnd w:id="308"/>
      <w:bookmarkEnd w:id="309"/>
      <w:bookmarkEnd w:id="310"/>
      <w:bookmarkEnd w:id="311"/>
      <w:bookmarkEnd w:id="312"/>
    </w:p>
    <w:p w:rsidR="00D7024A" w:rsidRPr="00AB4682" w:rsidRDefault="00D7024A" w:rsidP="00D7024A"/>
    <w:p w:rsidR="00D7024A" w:rsidRDefault="00D7024A" w:rsidP="00D7024A">
      <w:pPr>
        <w:jc w:val="both"/>
      </w:pPr>
      <w:r w:rsidRPr="00AB4682">
        <w:rPr>
          <w:i/>
        </w:rPr>
        <w:t>Ex ante</w:t>
      </w:r>
      <w:r w:rsidRPr="00AB4682">
        <w:t xml:space="preserve"> regulacija trebala bi se nametnuti samo </w:t>
      </w:r>
      <w:r>
        <w:t xml:space="preserve">u slučaju da mjere koje je moguće nametnuti kroz propise o zaštiti tržišnog natjecanja nisu dostatne za rješavanje problema djelotvornog tržišnog natjecanja koji se mogu pojaviti. Drugim riječima, ovaj treći kriterij </w:t>
      </w:r>
      <w:r w:rsidRPr="00AB4682">
        <w:t>procjenjuje dostatnost prava tržišnog natjecanja za rješavanje</w:t>
      </w:r>
      <w:r>
        <w:t xml:space="preserve"> tržišnog neuspjeha utvrđenog u analizama mjerodavnih tržišta </w:t>
      </w:r>
      <w:r w:rsidRPr="00AB4682">
        <w:t xml:space="preserve">u nedostatku </w:t>
      </w:r>
      <w:r w:rsidRPr="00AB4682">
        <w:rPr>
          <w:i/>
        </w:rPr>
        <w:t>ex ante</w:t>
      </w:r>
      <w:r w:rsidRPr="00AB4682">
        <w:t xml:space="preserve"> regulacij</w:t>
      </w:r>
      <w:r>
        <w:t xml:space="preserve">e. </w:t>
      </w:r>
    </w:p>
    <w:p w:rsidR="00D7024A" w:rsidRDefault="00D7024A" w:rsidP="00D7024A">
      <w:pPr>
        <w:jc w:val="both"/>
      </w:pPr>
    </w:p>
    <w:p w:rsidR="0082266F" w:rsidRDefault="00D7024A" w:rsidP="00D7024A">
      <w:pPr>
        <w:jc w:val="both"/>
      </w:pPr>
      <w:r>
        <w:t xml:space="preserve">Zaključno, </w:t>
      </w:r>
      <w:r w:rsidRPr="00435A2D">
        <w:t>je li tržište elektroničkih komunikac</w:t>
      </w:r>
      <w:r>
        <w:t xml:space="preserve">ija podložno </w:t>
      </w:r>
      <w:r w:rsidRPr="00435A2D">
        <w:rPr>
          <w:i/>
        </w:rPr>
        <w:t>ex ante</w:t>
      </w:r>
      <w:r>
        <w:t xml:space="preserve"> regulaciji </w:t>
      </w:r>
      <w:r w:rsidRPr="00435A2D">
        <w:t xml:space="preserve">ovisit će o postojanju visokih </w:t>
      </w:r>
      <w:r w:rsidRPr="00F6699F">
        <w:rPr>
          <w:rFonts w:eastAsia="Times New Roman"/>
        </w:rPr>
        <w:t>trajnih zapreka za ulazak na tržište</w:t>
      </w:r>
      <w:r>
        <w:rPr>
          <w:rFonts w:eastAsia="Times New Roman"/>
        </w:rPr>
        <w:t xml:space="preserve">, o strukturi </w:t>
      </w:r>
      <w:r w:rsidRPr="00F6699F">
        <w:rPr>
          <w:rFonts w:eastAsia="Times New Roman"/>
        </w:rPr>
        <w:t>tržišta koja ne teži razvoju djelotvornoga tržišnog natjecanja unutar odgovarajućega vremenskog okvir</w:t>
      </w:r>
      <w:r>
        <w:rPr>
          <w:rFonts w:eastAsia="Times New Roman"/>
        </w:rPr>
        <w:t xml:space="preserve">a te </w:t>
      </w:r>
      <w:r w:rsidRPr="00435A2D">
        <w:t xml:space="preserve">nedostatnosti </w:t>
      </w:r>
      <w:r w:rsidRPr="00F6699F">
        <w:rPr>
          <w:rFonts w:eastAsia="Times New Roman"/>
        </w:rPr>
        <w:t>mjerodavnih propisa o zaštiti tržišnog natjecanja</w:t>
      </w:r>
      <w:r>
        <w:t xml:space="preserve"> za rješavanje </w:t>
      </w:r>
      <w:r w:rsidRPr="00435A2D">
        <w:t>tržišn</w:t>
      </w:r>
      <w:r>
        <w:t>i</w:t>
      </w:r>
      <w:r w:rsidRPr="00435A2D">
        <w:t>h neuspjeh</w:t>
      </w:r>
      <w:r>
        <w:t xml:space="preserve">a. </w:t>
      </w:r>
    </w:p>
    <w:p w:rsidR="00D7024A" w:rsidRPr="00B22911" w:rsidRDefault="0082266F" w:rsidP="0082266F">
      <w:r>
        <w:br w:type="page"/>
      </w:r>
    </w:p>
    <w:p w:rsidR="00D7024A" w:rsidRPr="0082266F" w:rsidRDefault="00D7024A" w:rsidP="0082266F">
      <w:pPr>
        <w:pStyle w:val="Heading2"/>
      </w:pPr>
      <w:bookmarkStart w:id="313" w:name="_Toc124928607"/>
      <w:bookmarkStart w:id="314" w:name="_Toc124946949"/>
      <w:bookmarkStart w:id="315" w:name="_Toc124948859"/>
      <w:bookmarkStart w:id="316" w:name="_Toc124951754"/>
      <w:bookmarkStart w:id="317" w:name="_Toc125644904"/>
      <w:r w:rsidRPr="0082266F">
        <w:t>Test tri mjerila na tržištu velikog kapaciteta – konkurentna područja</w:t>
      </w:r>
      <w:bookmarkEnd w:id="313"/>
      <w:bookmarkEnd w:id="314"/>
      <w:bookmarkEnd w:id="315"/>
      <w:bookmarkEnd w:id="316"/>
      <w:bookmarkEnd w:id="317"/>
    </w:p>
    <w:p w:rsidR="00D7024A" w:rsidRDefault="00D7024A" w:rsidP="00D7024A">
      <w:pPr>
        <w:jc w:val="both"/>
      </w:pPr>
      <w:r w:rsidRPr="00DA0ED6">
        <w:t xml:space="preserve">Nakon određivanja mjerodavnog tržišta, HAKOM je pristupio provođenju Testa tri mjerila samo za tržište velikog kapaciteta – konkurentna područja, uzimajući u obzir utvrđenja i zaključke Testa tri mjerila za tržište malog kapaciteta i tržište velikog kapaciteta – nekonkurentna područja, sadržana u dokumentu </w:t>
      </w:r>
      <w:r w:rsidRPr="00AF136E">
        <w:rPr>
          <w:i/>
        </w:rPr>
        <w:t>„Analiza tržišta veleprodajnog središnjeg pristupa koji se pruža na fiksnoj lokaciji za proizvode za masovno tržište“</w:t>
      </w:r>
      <w:r w:rsidRPr="00DA0ED6">
        <w:t xml:space="preserve">, a koja se mogu analogno primijeniti i na tržišta koja su predmet ove analize. </w:t>
      </w:r>
    </w:p>
    <w:p w:rsidR="00D7024A" w:rsidRPr="00DA0ED6" w:rsidRDefault="00D7024A" w:rsidP="00D7024A">
      <w:pPr>
        <w:jc w:val="both"/>
      </w:pPr>
    </w:p>
    <w:p w:rsidR="00D7024A" w:rsidRPr="0082266F" w:rsidRDefault="00D7024A" w:rsidP="0082266F">
      <w:pPr>
        <w:pStyle w:val="Heading3"/>
      </w:pPr>
      <w:bookmarkStart w:id="318" w:name="_Toc124928608"/>
      <w:bookmarkStart w:id="319" w:name="_Toc124946950"/>
      <w:bookmarkStart w:id="320" w:name="_Toc124948860"/>
      <w:bookmarkStart w:id="321" w:name="_Toc124951755"/>
      <w:bookmarkStart w:id="322" w:name="_Toc125644905"/>
      <w:r w:rsidRPr="0082266F">
        <w:t>Prvo mjerilo: prisutnost velikih i trajnih prepreka za ulazak na tržište, strukturne, pravne ili regulatorne prirode</w:t>
      </w:r>
      <w:bookmarkEnd w:id="318"/>
      <w:bookmarkEnd w:id="319"/>
      <w:bookmarkEnd w:id="320"/>
      <w:bookmarkEnd w:id="321"/>
      <w:bookmarkEnd w:id="322"/>
    </w:p>
    <w:p w:rsidR="00D7024A" w:rsidRPr="00BD038D" w:rsidRDefault="00D7024A" w:rsidP="00D7024A">
      <w:pPr>
        <w:jc w:val="both"/>
      </w:pPr>
    </w:p>
    <w:p w:rsidR="00D7024A" w:rsidRDefault="00D7024A" w:rsidP="00D7024A">
      <w:pPr>
        <w:jc w:val="both"/>
      </w:pPr>
      <w:r w:rsidRPr="00BD038D">
        <w:t xml:space="preserve">Kao što je HAKOM već naveo, promatrajući trenutno situaciju na tržištu te pogotovo uzevši u obzir razdoblje od 5 godina na koje se odnosi ova analiza, može se zaključiti kako će ključnu ulogu imati usluga širokopojasnog pristupa </w:t>
      </w:r>
      <w:r>
        <w:t>velikog kapaciteta.</w:t>
      </w:r>
      <w:r w:rsidRPr="00BD038D">
        <w:t xml:space="preserve"> Drugim riječima, može se očekivati kako će u razdoblju na koji se odnosi ova analiza doći do značajnog povećanja broja korisnika koji koriste uslugu širokopojasnog pristupa </w:t>
      </w:r>
      <w:r>
        <w:t xml:space="preserve">velikog kapaciteta. </w:t>
      </w:r>
    </w:p>
    <w:p w:rsidR="00D7024A" w:rsidRDefault="00D7024A" w:rsidP="00D7024A">
      <w:pPr>
        <w:jc w:val="both"/>
      </w:pPr>
    </w:p>
    <w:p w:rsidR="00D7024A" w:rsidRPr="0082266F" w:rsidRDefault="00D7024A" w:rsidP="0082266F">
      <w:pPr>
        <w:rPr>
          <w:b/>
          <w:color w:val="1F3864" w:themeColor="accent1" w:themeShade="80"/>
        </w:rPr>
      </w:pPr>
      <w:bookmarkStart w:id="323" w:name="_Toc124928609"/>
      <w:bookmarkStart w:id="324" w:name="_Toc124946951"/>
      <w:bookmarkStart w:id="325" w:name="_Toc124948861"/>
      <w:bookmarkStart w:id="326" w:name="_Toc124951756"/>
      <w:r w:rsidRPr="0082266F">
        <w:rPr>
          <w:b/>
          <w:color w:val="1F3864" w:themeColor="accent1" w:themeShade="80"/>
        </w:rPr>
        <w:t>Prvo mjerilo: strukturne prepreke ulaska na tržište</w:t>
      </w:r>
      <w:bookmarkEnd w:id="323"/>
      <w:bookmarkEnd w:id="324"/>
      <w:bookmarkEnd w:id="325"/>
      <w:bookmarkEnd w:id="326"/>
    </w:p>
    <w:p w:rsidR="00D7024A" w:rsidRDefault="00D7024A" w:rsidP="00D7024A">
      <w:pPr>
        <w:jc w:val="both"/>
      </w:pPr>
    </w:p>
    <w:p w:rsidR="00D7024A" w:rsidRDefault="00D7024A" w:rsidP="00D7024A">
      <w:pPr>
        <w:jc w:val="both"/>
      </w:pPr>
      <w:r>
        <w:t>Preporukom EK o mjerodavnim tržištima iz 2020. zaključeno je da u većini zemalja članica EU još uvijek postoje strukturne prepreke za ulazak na tržište veleprodajnog lokalnog pristupa koji se pruža na fiksnoj lokaciji i to zbog nemogućnosti u kratkom vremenu gradnje alternativnih pristupnih mreža zbog visokih i nenadoknadivih troškova. Posljedično, alternativne pristupne mreže su ograničenog pokrivanja na ograničenim geografskim područjima.</w:t>
      </w:r>
    </w:p>
    <w:p w:rsidR="00D7024A" w:rsidRDefault="00D7024A" w:rsidP="00D7024A">
      <w:pPr>
        <w:jc w:val="both"/>
      </w:pPr>
    </w:p>
    <w:p w:rsidR="00D7024A" w:rsidRDefault="00D7024A" w:rsidP="00D7024A">
      <w:pPr>
        <w:jc w:val="both"/>
      </w:pPr>
      <w:r>
        <w:t xml:space="preserve">Unutar ovog poglavlja prethodno navedeno potrebno je promatrati u kontekstu tržišta usluge širokopojasnog pristupa velikog kapaciteta na konkurentnim područjima. U ovo tržište, kako je HAKOM već naveo u </w:t>
      </w:r>
      <w:r w:rsidRPr="004A7E45">
        <w:t>poglavlju</w:t>
      </w:r>
      <w:r w:rsidR="004A7E45">
        <w:t xml:space="preserve"> </w:t>
      </w:r>
      <w:r w:rsidR="00161247">
        <w:fldChar w:fldCharType="begin"/>
      </w:r>
      <w:r w:rsidR="00161247">
        <w:instrText xml:space="preserve"> REF _Ref125565847 \r \h </w:instrText>
      </w:r>
      <w:r w:rsidR="00161247">
        <w:fldChar w:fldCharType="separate"/>
      </w:r>
      <w:r w:rsidR="00161247">
        <w:t>3.4.2.2</w:t>
      </w:r>
      <w:r w:rsidR="00161247">
        <w:fldChar w:fldCharType="end"/>
      </w:r>
      <w:r w:rsidR="004A7E45">
        <w:t xml:space="preserve"> </w:t>
      </w:r>
      <w:r>
        <w:t>ovog dokumenta, ulaze usluge širokopojasnog pristupa koje se pružaju putem svjetlovodne (</w:t>
      </w:r>
      <w:proofErr w:type="spellStart"/>
      <w:r>
        <w:t>FTTx</w:t>
      </w:r>
      <w:proofErr w:type="spellEnd"/>
      <w:r>
        <w:t>) i kabelske (HFC</w:t>
      </w:r>
      <w:r w:rsidR="004A7E45">
        <w:t xml:space="preserve"> Docsis 3.1.</w:t>
      </w:r>
      <w:r>
        <w:t xml:space="preserve">) infrastrukture. </w:t>
      </w:r>
    </w:p>
    <w:p w:rsidR="00D7024A" w:rsidRDefault="00D7024A" w:rsidP="00D7024A">
      <w:pPr>
        <w:jc w:val="both"/>
      </w:pPr>
    </w:p>
    <w:p w:rsidR="00D7024A" w:rsidRDefault="00D7024A" w:rsidP="00D7024A">
      <w:pPr>
        <w:jc w:val="both"/>
      </w:pPr>
      <w:r>
        <w:t xml:space="preserve">Na tržištu postoje alternativni operatori koji imaju rasprostranjenu kabelsku mrežu. S obzirom da je kabelska mreža nadograđena na Docsis 3.1. standard (velika većina priključaka putem kabelske mreže u RH su Docsis 3.1. priključci) ista se poput svjetlovodnih mreža smatra VHCN mrežom i namijenjena je zadovoljavanju potreba krajnjih korisnika za velikim kapacitetima. </w:t>
      </w:r>
    </w:p>
    <w:p w:rsidR="00D7024A" w:rsidRDefault="00D7024A" w:rsidP="00D7024A">
      <w:pPr>
        <w:jc w:val="both"/>
      </w:pPr>
      <w:r>
        <w:t>Kako kabelske mreže imaju određena ograničenja nije izgledno da će u budućem razdoblju alternativni operatori nastaviti snažno ulagati u kabelsku mreže ili da će novi operatori koji ulaze na ovo tržište početi postavljati kabelsku mrežu, već je izgledno očekivati da će ulagati i postavljati isključivo svjetlovodne mreže za pružanje usluge širokopojasnog pristupa velikog kapaciteta. Naime, alternativnim operatorima ekonomski je isplativo graditi svjetlovodne mreže jer su te mreže namijenjene zadovoljavanju potreba krajnjih korisnika za velikim kapacitetima. To se prvenstveno odnosi na urbana geografska područja s velikom potražnjom i dostupnom postojećom fizičkom infrastrukturom što značajno smanjuje jedinične troškove gradnje mreža i posljedično njihovu gradnju čini isplativom.</w:t>
      </w:r>
    </w:p>
    <w:p w:rsidR="00D7024A" w:rsidRDefault="00D7024A" w:rsidP="00D7024A">
      <w:pPr>
        <w:jc w:val="both"/>
      </w:pPr>
    </w:p>
    <w:p w:rsidR="00D7024A" w:rsidRPr="00E27C35" w:rsidRDefault="00D7024A" w:rsidP="00D7024A">
      <w:pPr>
        <w:jc w:val="both"/>
      </w:pPr>
      <w:r w:rsidRPr="00E27C35">
        <w:t>Na kraju drugog tromjesečja na konkurentnim područjima oko 40</w:t>
      </w:r>
      <w:r>
        <w:t xml:space="preserve"> posto</w:t>
      </w:r>
      <w:r w:rsidRPr="00E27C35">
        <w:t xml:space="preserve"> od ukupnog broja krajnjih korisnika usluga velikog kapaciteta ostvaruje pristup putem svjetlovodne mreže, od čega se više od 37</w:t>
      </w:r>
      <w:r>
        <w:t xml:space="preserve"> posto</w:t>
      </w:r>
      <w:r w:rsidRPr="00E27C35">
        <w:t xml:space="preserve"> odnosi na pristup putem svjetlovodnih mreža alternativnih operatora. To zajedno s kabelskom mrežom čini gotovo 75</w:t>
      </w:r>
      <w:r>
        <w:t xml:space="preserve"> posto</w:t>
      </w:r>
      <w:r w:rsidRPr="00E27C35">
        <w:t xml:space="preserve"> VHCN priključaka putem mreža alternativnih mreža.</w:t>
      </w:r>
    </w:p>
    <w:p w:rsidR="00D7024A" w:rsidRDefault="00D7024A" w:rsidP="00D7024A">
      <w:pPr>
        <w:jc w:val="both"/>
      </w:pPr>
    </w:p>
    <w:p w:rsidR="00D7024A" w:rsidRDefault="00D7024A" w:rsidP="00D7024A">
      <w:pPr>
        <w:jc w:val="both"/>
      </w:pPr>
      <w:r>
        <w:t>Ukupna pokrivenost VHCN mrežama na kraju drugog tromjesečja 2022. na konkurentnim područjima je oko 70 posto, pri čemu je svjetlovodnim mrežama HT grupe pokriveno oko 40 posto korisničkih jedinica, dok je kabelskom mrežom i svjetlovodnom mrežom alternativnih operatora pokriveno oko 62 posto korisničkih jedinica. Svjetlovodna mreža alternativnih operatora pokriva oko 34 posto korisničkih jedinica na konkurentnim područjima, dok je kabelskim mrežama (Docsis 3.1.) pokriveno oko 40 posto korisničkih jedinica. Iz ovih podataka razvidno je da postoje i značajna preklapanja više VHCN infrastruktura na dijelu područja. Preklapanja najčešće postoje između kabelske mreže i svjetlovodne mreže, dok su preklapanja svjetlovodnih mreža znatno rjeđa. Iz navedenih podataka o pokrivanjima alternativnim VHCN infrastrukturama i činjenice da postoje preklapanja vidljivo je da je na konkurentnim područjima alternativnim operatorima isplativo graditi vlastitu VHCN infrastrukturu. Toj isplativosti prema mišljenju HAKOM-a značajno doprinosi i dostupnost HT-ove fizičke infrastrukture (prvenstveno kabelske kanalizacije) po razumnim cijenama.</w:t>
      </w:r>
    </w:p>
    <w:p w:rsidR="00D7024A" w:rsidRPr="00BB55CB" w:rsidRDefault="00D7024A" w:rsidP="00D7024A">
      <w:pPr>
        <w:jc w:val="both"/>
      </w:pPr>
    </w:p>
    <w:p w:rsidR="00D7024A" w:rsidRDefault="00CD38D2" w:rsidP="006A29BC">
      <w:pPr>
        <w:pStyle w:val="Caption"/>
        <w:spacing w:after="0"/>
      </w:pPr>
      <w:r>
        <w:t xml:space="preserve">Slika </w:t>
      </w:r>
      <w:r w:rsidR="00C60C6F">
        <w:fldChar w:fldCharType="begin"/>
      </w:r>
      <w:r w:rsidR="00C60C6F">
        <w:instrText xml:space="preserve"> SEQ Slika \* ARABIC </w:instrText>
      </w:r>
      <w:r w:rsidR="00C60C6F">
        <w:fldChar w:fldCharType="separate"/>
      </w:r>
      <w:r w:rsidR="006A29BC">
        <w:rPr>
          <w:noProof/>
        </w:rPr>
        <w:t>20</w:t>
      </w:r>
      <w:r w:rsidR="00C60C6F">
        <w:rPr>
          <w:noProof/>
        </w:rPr>
        <w:fldChar w:fldCharType="end"/>
      </w:r>
      <w:r>
        <w:t xml:space="preserve"> </w:t>
      </w:r>
      <w:r w:rsidR="00D7024A" w:rsidRPr="000B5F4E">
        <w:t>Broj priključaka i pokrivenost VHCN mrežama na tržištu velikog kapacitet</w:t>
      </w:r>
      <w:r w:rsidR="00D7024A">
        <w:t>a –konkurentna područja (2022/Q2</w:t>
      </w:r>
      <w:r w:rsidR="00D7024A" w:rsidRPr="000B5F4E">
        <w:t>)</w:t>
      </w:r>
    </w:p>
    <w:p w:rsidR="00D7024A" w:rsidRPr="007233A3" w:rsidRDefault="006C59F9" w:rsidP="00D7024A">
      <w:r>
        <w:rPr>
          <w:noProof/>
          <w:lang w:val="en-US"/>
        </w:rPr>
        <w:drawing>
          <wp:inline distT="0" distB="0" distL="0" distR="0" wp14:anchorId="456039E4" wp14:editId="10A76A82">
            <wp:extent cx="5742940" cy="2512060"/>
            <wp:effectExtent l="0" t="0" r="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42940" cy="2512060"/>
                    </a:xfrm>
                    <a:prstGeom prst="rect">
                      <a:avLst/>
                    </a:prstGeom>
                    <a:noFill/>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Default="00D7024A" w:rsidP="00D7024A">
      <w:pPr>
        <w:jc w:val="both"/>
      </w:pPr>
    </w:p>
    <w:p w:rsidR="00D7024A" w:rsidRDefault="00D7024A" w:rsidP="00D7024A">
      <w:pPr>
        <w:jc w:val="both"/>
      </w:pPr>
      <w:r>
        <w:t xml:space="preserve">Utilizacija VHCN mreža u konkurentnim područjima je također na niskoj razini, iako je bolja nego u nekonkurentnim područjima – svjetlovodne mreže HT-a je na razini oko 17 posto, svjetlovodne mreže alternativnih operatora je gotovo 12 posto, dok je kabelska mreža alternativnih operatora najbolje </w:t>
      </w:r>
      <w:proofErr w:type="spellStart"/>
      <w:r>
        <w:t>utilizirana</w:t>
      </w:r>
      <w:proofErr w:type="spellEnd"/>
      <w:r>
        <w:t xml:space="preserve"> i iznosi oko 37 posto. Razlozi ipak lošije </w:t>
      </w:r>
      <w:proofErr w:type="spellStart"/>
      <w:r>
        <w:t>utilizacije</w:t>
      </w:r>
      <w:proofErr w:type="spellEnd"/>
      <w:r>
        <w:t xml:space="preserve"> od očekivane u konkurentnim područjima prvenstveno leži u činjenici da se većina svjetlovodnih mreža nedavno izgradila te da se dio svjetlovodnih mreža preklapa s kabelskom mrežom. Razlog bolje </w:t>
      </w:r>
      <w:proofErr w:type="spellStart"/>
      <w:r>
        <w:t>utilizacije</w:t>
      </w:r>
      <w:proofErr w:type="spellEnd"/>
      <w:r>
        <w:t xml:space="preserve"> kabelske mreže je što je njihova uporaba za pružanje usluga širokopojasnog pristupa započela puno ranije od većine novoizgrađenih svjetlovodnih mreža.</w:t>
      </w:r>
    </w:p>
    <w:p w:rsidR="00D7024A" w:rsidRDefault="00D7024A" w:rsidP="00D7024A">
      <w:pPr>
        <w:jc w:val="both"/>
      </w:pPr>
      <w:r w:rsidRPr="0026465A">
        <w:t>Utjecaj preklapanja je vidljiv iz podatka o prosječnom korištenju VHCN infrastrukture ako je ona dostupna. Naime, više od 37</w:t>
      </w:r>
      <w:r>
        <w:t xml:space="preserve"> posto</w:t>
      </w:r>
      <w:r w:rsidRPr="0026465A">
        <w:t xml:space="preserve"> korisničkih jedinica kojima je dostupna VHCN infrastruktura ima aktivnu uslugu.</w:t>
      </w:r>
      <w:r>
        <w:t xml:space="preserve"> </w:t>
      </w:r>
    </w:p>
    <w:p w:rsidR="00D7024A" w:rsidRDefault="00D7024A" w:rsidP="00D7024A">
      <w:pPr>
        <w:jc w:val="both"/>
      </w:pPr>
    </w:p>
    <w:p w:rsidR="00D7024A" w:rsidRDefault="00CD38D2" w:rsidP="006A29BC">
      <w:pPr>
        <w:pStyle w:val="Caption"/>
        <w:spacing w:after="0"/>
      </w:pPr>
      <w:bookmarkStart w:id="327" w:name="_Ref124437936"/>
      <w:r>
        <w:t xml:space="preserve">Slika </w:t>
      </w:r>
      <w:r w:rsidR="00C60C6F">
        <w:fldChar w:fldCharType="begin"/>
      </w:r>
      <w:r w:rsidR="00C60C6F">
        <w:instrText xml:space="preserve"> SEQ Slika \* ARABIC </w:instrText>
      </w:r>
      <w:r w:rsidR="00C60C6F">
        <w:fldChar w:fldCharType="separate"/>
      </w:r>
      <w:r w:rsidR="006A29BC">
        <w:rPr>
          <w:noProof/>
        </w:rPr>
        <w:t>21</w:t>
      </w:r>
      <w:r w:rsidR="00C60C6F">
        <w:rPr>
          <w:noProof/>
        </w:rPr>
        <w:fldChar w:fldCharType="end"/>
      </w:r>
      <w:bookmarkEnd w:id="327"/>
      <w:r>
        <w:t xml:space="preserve"> </w:t>
      </w:r>
      <w:r w:rsidR="00D7024A">
        <w:t>Utilizacija VHCN mreža na konkurentnim područjima</w:t>
      </w:r>
    </w:p>
    <w:p w:rsidR="00D7024A" w:rsidRDefault="006C59F9" w:rsidP="00CD38D2">
      <w:pPr>
        <w:pStyle w:val="Caption"/>
        <w:spacing w:after="0"/>
      </w:pPr>
      <w:r>
        <w:rPr>
          <w:noProof/>
          <w:lang w:val="en-US"/>
        </w:rPr>
        <w:drawing>
          <wp:inline distT="0" distB="0" distL="0" distR="0" wp14:anchorId="2384B9CF" wp14:editId="4703C90C">
            <wp:extent cx="4584700" cy="2755900"/>
            <wp:effectExtent l="0" t="0" r="635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D7024A" w:rsidRDefault="00D7024A" w:rsidP="00CD38D2">
      <w:pPr>
        <w:pStyle w:val="Caption"/>
        <w:spacing w:after="0"/>
      </w:pPr>
      <w:r w:rsidRPr="00A47BB1">
        <w:t>Izvor: HAKOM</w:t>
      </w:r>
    </w:p>
    <w:p w:rsidR="00D7024A" w:rsidRPr="00A47BB1" w:rsidRDefault="00D7024A" w:rsidP="00D7024A">
      <w:pPr>
        <w:jc w:val="both"/>
        <w:rPr>
          <w:sz w:val="18"/>
          <w:szCs w:val="18"/>
        </w:rPr>
      </w:pPr>
    </w:p>
    <w:p w:rsidR="00D7024A" w:rsidRDefault="00D7024A" w:rsidP="00D7024A">
      <w:pPr>
        <w:jc w:val="both"/>
      </w:pPr>
      <w:r>
        <w:t xml:space="preserve">Iz svega prethodno navedenog jasno proizlazi zaključak </w:t>
      </w:r>
      <w:r w:rsidRPr="00361AD4">
        <w:t xml:space="preserve">kako je krajnjim korisnicima usluge širokopojasnog pristupa </w:t>
      </w:r>
      <w:r>
        <w:t>velikog</w:t>
      </w:r>
      <w:r w:rsidRPr="00361AD4">
        <w:t xml:space="preserve"> kapaciteta moguće ponuditi </w:t>
      </w:r>
      <w:r>
        <w:t xml:space="preserve">osim </w:t>
      </w:r>
      <w:r w:rsidRPr="00361AD4">
        <w:t xml:space="preserve">putem HT-ove </w:t>
      </w:r>
      <w:r>
        <w:t>svjetlovodne</w:t>
      </w:r>
      <w:r w:rsidRPr="00361AD4">
        <w:t xml:space="preserve"> mreže</w:t>
      </w:r>
      <w:r>
        <w:t xml:space="preserve"> i putem alternativnih svjetlovodnih i kabelskih mreža. </w:t>
      </w:r>
    </w:p>
    <w:p w:rsidR="00D7024A" w:rsidRDefault="00D7024A" w:rsidP="00D7024A">
      <w:pPr>
        <w:jc w:val="both"/>
      </w:pPr>
    </w:p>
    <w:p w:rsidR="00D7024A" w:rsidRDefault="00D7024A" w:rsidP="00D7024A">
      <w:pPr>
        <w:jc w:val="both"/>
      </w:pPr>
      <w:r>
        <w:t xml:space="preserve">Drugim riječima, HT-u na maloprodajnoj razini konkurentski pritisak stvaraju i ponude na svjetlovodnim i kabelskim mrežama alternativnih operatora. Trenutno je zbog veće </w:t>
      </w:r>
      <w:proofErr w:type="spellStart"/>
      <w:r>
        <w:t>utilizacije</w:t>
      </w:r>
      <w:proofErr w:type="spellEnd"/>
      <w:r>
        <w:t xml:space="preserve"> kabelskih mreža, na konkurentnim područjima najizraženiji konkurentski pritisak kabelskih VHCN mreža. </w:t>
      </w:r>
    </w:p>
    <w:p w:rsidR="00D7024A" w:rsidRDefault="00D7024A" w:rsidP="00D7024A">
      <w:pPr>
        <w:jc w:val="both"/>
      </w:pPr>
    </w:p>
    <w:p w:rsidR="00D7024A" w:rsidRDefault="00D7024A" w:rsidP="00D7024A">
      <w:pPr>
        <w:jc w:val="both"/>
      </w:pPr>
      <w:r>
        <w:t xml:space="preserve">Što se veleprodajne razine tiče, iako zbog tehničkih ograničenja veleprodajni lokalni pristup kabelskim mrežama nije moguće pružiti, postoje vrlo snažna neizravna ograničenja na HT-ove veleprodajne usluge lokalnog pristupa (FA-PON i VULA, odnosno bitstream na OLT razini) zbog kojih je HAKOM i usluge koje se pružaju putem kabelskih mreža uvrstio u dimenziju tržišta veleprodajnog lokalnog pristupa velikog kapaciteta koji se pruža na fiksnoj lokaciji. </w:t>
      </w:r>
    </w:p>
    <w:p w:rsidR="00D7024A" w:rsidRDefault="00D7024A" w:rsidP="00D7024A">
      <w:pPr>
        <w:jc w:val="both"/>
      </w:pPr>
    </w:p>
    <w:p w:rsidR="00D7024A" w:rsidRDefault="00D7024A" w:rsidP="00D7024A">
      <w:pPr>
        <w:jc w:val="both"/>
      </w:pPr>
      <w:r>
        <w:t xml:space="preserve">S druge strane, na konkurentnim područjima već postoje komercijalne veleprodajne ponude alternativnih operatora za pristup i korištenje niti svjetlovodnih distribucijskih mreža. Iako, trenutno korištenje tih usluga još nije značajno, potencijalni konkurentski pritisak tih veleprodajnih ponuda, uz maloprodajne usluge koje se pružaju na tim mrežama, će s vremenom biti sve izraženiji. Naime, iz podataka o </w:t>
      </w:r>
      <w:proofErr w:type="spellStart"/>
      <w:r>
        <w:t>utilizaciji</w:t>
      </w:r>
      <w:proofErr w:type="spellEnd"/>
      <w:r>
        <w:t xml:space="preserve"> (</w:t>
      </w:r>
      <w:r w:rsidR="00D91CE1">
        <w:fldChar w:fldCharType="begin"/>
      </w:r>
      <w:r w:rsidR="00D91CE1">
        <w:instrText xml:space="preserve"> REF _Ref124437936 \h </w:instrText>
      </w:r>
      <w:r w:rsidR="00D91CE1">
        <w:fldChar w:fldCharType="separate"/>
      </w:r>
      <w:r w:rsidR="00D91CE1">
        <w:t xml:space="preserve">Slika </w:t>
      </w:r>
      <w:r w:rsidR="00D91CE1">
        <w:rPr>
          <w:noProof/>
        </w:rPr>
        <w:t>21</w:t>
      </w:r>
      <w:r w:rsidR="00D91CE1">
        <w:fldChar w:fldCharType="end"/>
      </w:r>
      <w:r>
        <w:t>) ponajviše svjetlovodnih mreža alternativnih operatora te činjenicu da se te svjetlovodne mreže ne preklapaju u velikoj mjeri može se u razdoblju koje obuhvaća ova analiza očekivati značajan porast korištenja maloprodajnih usluga kao i veleprodajnih usluga na tržištu lokalnog pristupa velikog kapaciteta koji se pruža na fiksnoj lokaciji. Prema mišljenju HAKOM-a korištenje tih usluga u konkurentnim područjima može se očekivati ponajviše od operatora koji inače u istim ili susjednim područjima grade vlastite svjetlovodne mreže.</w:t>
      </w:r>
    </w:p>
    <w:p w:rsidR="00D7024A" w:rsidRDefault="00D7024A" w:rsidP="00D7024A">
      <w:pPr>
        <w:jc w:val="both"/>
      </w:pPr>
    </w:p>
    <w:p w:rsidR="00D7024A" w:rsidRDefault="00D7024A" w:rsidP="00D7024A">
      <w:pPr>
        <w:jc w:val="both"/>
      </w:pPr>
      <w:r>
        <w:t xml:space="preserve">Dakle, iako je u ovom trenutku </w:t>
      </w:r>
      <w:r w:rsidRPr="00361AD4">
        <w:t>broj priključaka</w:t>
      </w:r>
      <w:r w:rsidRPr="00361AD4">
        <w:rPr>
          <w:color w:val="FF0000"/>
        </w:rPr>
        <w:t xml:space="preserve"> </w:t>
      </w:r>
      <w:r>
        <w:t>koji se ostvaruje putem reguliranih FA-PON i VULA usluga, kao i putem sličnih komercijalnih usluga na tržištu veleprodajnog lokalnog pristupa koji se pruža na fiksnoj lokaciji i na konkurentnim područjima u ovom trenutku jako nizak</w:t>
      </w:r>
      <w:r>
        <w:rPr>
          <w:rStyle w:val="FootnoteReference"/>
        </w:rPr>
        <w:footnoteReference w:id="45"/>
      </w:r>
      <w:r>
        <w:t xml:space="preserve">, u budućem razdoblju, s obzirom na karakteristike konkurentnih područja na kojima je isplativo ili graditi vlastite VHCN mreže ili koristiti veleprodajne usluge na tržištu lokalnog pristupa, u budućem razdoblju na koje se odnosi ova analiza može se očekivati pojačano korištenje takvih usluga. </w:t>
      </w:r>
    </w:p>
    <w:p w:rsidR="00D7024A" w:rsidRDefault="00D7024A" w:rsidP="00D7024A">
      <w:pPr>
        <w:jc w:val="both"/>
      </w:pPr>
    </w:p>
    <w:p w:rsidR="00D7024A" w:rsidRDefault="00D7024A" w:rsidP="00D7024A">
      <w:pPr>
        <w:jc w:val="both"/>
      </w:pPr>
      <w:r>
        <w:t>Zaključno, uzevši u obzir kako se radi o konkurentnim VHCN područjima, odnosno o područjima u kojima postoji odgovarajuća infrastrukturna konkurencija kao i odgovarajuća potražnja koja će u budućem razdoblju na koje se odnosi ova analiza dodatno rasti, HAKOM je mišljenja da na mjerodavnom tržištu ne postoje velike i trajne zapreke za ulazak na tržište koje su strukturne prirode. Rizik ponovnog pojavljivanja velikih i trajnih strukturnih zapreka koji potencijalno postoji u odsustvu regulacije, može se prevenirati simetričnom regulacijom te regulacijom pristupa fizičkoj infrastrukturi.</w:t>
      </w:r>
    </w:p>
    <w:p w:rsidR="00D7024A" w:rsidRDefault="00D7024A" w:rsidP="00D7024A">
      <w:pPr>
        <w:jc w:val="both"/>
      </w:pPr>
    </w:p>
    <w:p w:rsidR="00D7024A" w:rsidRPr="0082266F" w:rsidRDefault="00D7024A" w:rsidP="0082266F">
      <w:pPr>
        <w:rPr>
          <w:b/>
          <w:color w:val="1F3864" w:themeColor="accent1" w:themeShade="80"/>
        </w:rPr>
      </w:pPr>
      <w:bookmarkStart w:id="328" w:name="_Toc124928610"/>
      <w:bookmarkStart w:id="329" w:name="_Toc124946952"/>
      <w:bookmarkStart w:id="330" w:name="_Toc124948862"/>
      <w:bookmarkStart w:id="331" w:name="_Toc124951757"/>
      <w:r w:rsidRPr="0082266F">
        <w:rPr>
          <w:b/>
          <w:color w:val="1F3864" w:themeColor="accent1" w:themeShade="80"/>
        </w:rPr>
        <w:t>Prvo mjerilo: pravne ili regulatorne prepreke ulaska na tržište</w:t>
      </w:r>
      <w:bookmarkEnd w:id="328"/>
      <w:bookmarkEnd w:id="329"/>
      <w:bookmarkEnd w:id="330"/>
      <w:bookmarkEnd w:id="331"/>
    </w:p>
    <w:p w:rsidR="00D7024A" w:rsidRDefault="00D7024A" w:rsidP="00D7024A">
      <w:pPr>
        <w:jc w:val="both"/>
      </w:pPr>
    </w:p>
    <w:p w:rsidR="00D7024A" w:rsidRPr="00256F00" w:rsidRDefault="00D7024A" w:rsidP="00766501">
      <w:pPr>
        <w:pStyle w:val="ListParagraph"/>
        <w:numPr>
          <w:ilvl w:val="0"/>
          <w:numId w:val="50"/>
        </w:numPr>
        <w:jc w:val="both"/>
        <w:rPr>
          <w:i/>
        </w:rPr>
      </w:pPr>
      <w:r w:rsidRPr="00256F00">
        <w:rPr>
          <w:i/>
        </w:rPr>
        <w:t xml:space="preserve">potreba za administrativnom odlukom, odnosno dozvolom, kako bi se moglo započeti s komercijalnim radom </w:t>
      </w:r>
    </w:p>
    <w:p w:rsidR="00D7024A" w:rsidRPr="0097150D" w:rsidRDefault="00D7024A" w:rsidP="00D7024A">
      <w:pPr>
        <w:contextualSpacing/>
        <w:jc w:val="both"/>
      </w:pPr>
    </w:p>
    <w:p w:rsidR="00D7024A" w:rsidRPr="0097150D" w:rsidRDefault="00D7024A" w:rsidP="00D7024A">
      <w:pPr>
        <w:contextualSpacing/>
        <w:jc w:val="both"/>
      </w:pPr>
      <w:r w:rsidRPr="0097150D">
        <w:t xml:space="preserve">Temeljem članka 24. ZEK-a, pružanje elektroničkih komunikacijskih mreže i usluga na području </w:t>
      </w:r>
      <w:r>
        <w:t>RH</w:t>
      </w:r>
      <w:r w:rsidRPr="0097150D">
        <w:t xml:space="preserve"> je slobodno, uz uvjete utvrđene ZEK-om i propisima donesenima na temelju ZEK</w:t>
      </w:r>
      <w:r>
        <w:t>-a</w:t>
      </w:r>
      <w:r w:rsidRPr="0097150D">
        <w:t xml:space="preserve">. Pružanje elektroničkih komunikacijskih mreže i usluga, podložno je općem ovlaštenju koje ne utječe na posebne obveze iz članka 25. stavka 2. ili na pravo uporabe </w:t>
      </w:r>
      <w:proofErr w:type="spellStart"/>
      <w:r w:rsidRPr="0097150D">
        <w:t>radiofrekvencijskog</w:t>
      </w:r>
      <w:proofErr w:type="spellEnd"/>
      <w:r w:rsidRPr="0097150D">
        <w:t xml:space="preserve"> spektra i brojevnog prostora. Poduzetnik, koji ostvaruje prava i ima obveze na temelju općeg ovlaštenja mora u roku od najmanje 15 dana unaprijed, obavijestiti HAKOM elektroničkim putem o početku, promjenama i završetku pružanja elektroničkih komunikacijskih mreža i/ili usluga te može započeti s pružanjem mreža i/ili usluga nakon dostave prethodne obavijesti HAKOM-u. </w:t>
      </w:r>
    </w:p>
    <w:p w:rsidR="00D7024A" w:rsidRPr="00BD038D" w:rsidRDefault="00D7024A" w:rsidP="00D7024A">
      <w:pPr>
        <w:contextualSpacing/>
        <w:jc w:val="both"/>
      </w:pPr>
    </w:p>
    <w:p w:rsidR="00D7024A" w:rsidRPr="00426279" w:rsidRDefault="00D7024A" w:rsidP="00766501">
      <w:pPr>
        <w:pStyle w:val="ListParagraph"/>
        <w:numPr>
          <w:ilvl w:val="0"/>
          <w:numId w:val="50"/>
        </w:numPr>
        <w:jc w:val="both"/>
        <w:rPr>
          <w:i/>
        </w:rPr>
      </w:pPr>
      <w:r w:rsidRPr="00426279">
        <w:rPr>
          <w:i/>
        </w:rPr>
        <w:t xml:space="preserve">ograničenja i uvjeti povezani uz uporabu </w:t>
      </w:r>
      <w:proofErr w:type="spellStart"/>
      <w:r w:rsidRPr="00426279">
        <w:rPr>
          <w:i/>
        </w:rPr>
        <w:t>radiofrekvencijskog</w:t>
      </w:r>
      <w:proofErr w:type="spellEnd"/>
      <w:r w:rsidRPr="00426279">
        <w:rPr>
          <w:i/>
        </w:rPr>
        <w:t xml:space="preserve"> spektra </w:t>
      </w:r>
    </w:p>
    <w:p w:rsidR="00D7024A" w:rsidRPr="00BD038D" w:rsidRDefault="00D7024A" w:rsidP="00D7024A">
      <w:pPr>
        <w:jc w:val="both"/>
      </w:pPr>
    </w:p>
    <w:p w:rsidR="00D7024A" w:rsidRDefault="00D7024A" w:rsidP="00D7024A">
      <w:pPr>
        <w:jc w:val="both"/>
      </w:pPr>
      <w:r w:rsidRPr="00BD038D">
        <w:t xml:space="preserve">Navedeni tip </w:t>
      </w:r>
      <w:r>
        <w:t>pre</w:t>
      </w:r>
      <w:r w:rsidRPr="00BD038D">
        <w:t xml:space="preserve">preke se </w:t>
      </w:r>
      <w:r>
        <w:t xml:space="preserve">u većoj mjeri </w:t>
      </w:r>
      <w:r w:rsidRPr="00BD038D">
        <w:t>ne odnosi na tržište koje je predmet ovog dokumenta</w:t>
      </w:r>
      <w:r>
        <w:t>, osim u dijelu razmatranja mogućnosti bi li neki alternativni operator htio ući na tržište korištenjem bežičnih tehnologija u nepokretnoj mreži ili tehnologija u mrežama pokretnih komunikacija putem kojih se također eventualno mogu pružati usluge veleprodajnog lokalnog pristupa velikog kapaciteta</w:t>
      </w:r>
      <w:r w:rsidRPr="00BD038D">
        <w:t xml:space="preserve">. </w:t>
      </w:r>
      <w:r>
        <w:t>Po mišljenju HAKOM-a navedeno nije izgledno barem do razvoja 5G mreža</w:t>
      </w:r>
      <w:r w:rsidR="00C365C1">
        <w:t>,</w:t>
      </w:r>
      <w:r>
        <w:t xml:space="preserve"> odnosno nije izgledno u razdoblju na koje se odnosi ova analiza. </w:t>
      </w:r>
    </w:p>
    <w:p w:rsidR="00D7024A" w:rsidRPr="00BD038D" w:rsidRDefault="00D7024A" w:rsidP="00D7024A">
      <w:pPr>
        <w:jc w:val="both"/>
      </w:pPr>
    </w:p>
    <w:p w:rsidR="00D7024A" w:rsidRDefault="00D7024A" w:rsidP="00766501">
      <w:pPr>
        <w:numPr>
          <w:ilvl w:val="0"/>
          <w:numId w:val="50"/>
        </w:numPr>
        <w:contextualSpacing/>
        <w:jc w:val="both"/>
        <w:rPr>
          <w:i/>
        </w:rPr>
      </w:pPr>
      <w:r w:rsidRPr="00BD038D">
        <w:rPr>
          <w:i/>
        </w:rPr>
        <w:t xml:space="preserve">utjecaji načina na koji je postavljena regulacija na nove operatore koji planiraju ući na tržište </w:t>
      </w:r>
    </w:p>
    <w:p w:rsidR="00D7024A" w:rsidRPr="00BD038D" w:rsidRDefault="00D7024A" w:rsidP="00D7024A">
      <w:pPr>
        <w:ind w:left="360"/>
        <w:contextualSpacing/>
        <w:jc w:val="both"/>
        <w:rPr>
          <w:i/>
        </w:rPr>
      </w:pPr>
    </w:p>
    <w:p w:rsidR="00D7024A" w:rsidRPr="00BD038D" w:rsidRDefault="00D7024A" w:rsidP="00D7024A">
      <w:pPr>
        <w:contextualSpacing/>
        <w:jc w:val="both"/>
      </w:pPr>
      <w:r w:rsidRPr="00BD038D">
        <w:t xml:space="preserve">HAKOM smatra kako ne postoje odredbe, u zakonskim ili </w:t>
      </w:r>
      <w:proofErr w:type="spellStart"/>
      <w:r w:rsidRPr="00BD038D">
        <w:t>podzakonskim</w:t>
      </w:r>
      <w:proofErr w:type="spellEnd"/>
      <w:r w:rsidRPr="00BD038D">
        <w:t xml:space="preserve"> aktima, koje bi onemogućile operatore da ostvare ulazak na tržište </w:t>
      </w:r>
      <w:r>
        <w:t>velikog kapaciteta</w:t>
      </w:r>
      <w:r w:rsidRPr="00BD038D">
        <w:t xml:space="preserve"> i pružaju tu uslugu krajnjim korisnicima. </w:t>
      </w:r>
    </w:p>
    <w:p w:rsidR="00D7024A" w:rsidRPr="00BD038D" w:rsidRDefault="00D7024A" w:rsidP="00D7024A">
      <w:pPr>
        <w:contextualSpacing/>
        <w:jc w:val="both"/>
      </w:pPr>
    </w:p>
    <w:p w:rsidR="00D7024A" w:rsidRDefault="00D7024A" w:rsidP="00D7024A">
      <w:pPr>
        <w:contextualSpacing/>
        <w:jc w:val="both"/>
      </w:pPr>
      <w:r w:rsidRPr="00BD038D">
        <w:t xml:space="preserve">Svaki operator može putem vlastite pristupne </w:t>
      </w:r>
      <w:r>
        <w:t xml:space="preserve">svjetlovodne </w:t>
      </w:r>
      <w:r w:rsidRPr="00BD038D">
        <w:t xml:space="preserve">infrastrukture pružati uslugu </w:t>
      </w:r>
      <w:r>
        <w:t>lokalnog</w:t>
      </w:r>
      <w:r w:rsidRPr="00BD038D">
        <w:t xml:space="preserve"> pristupa </w:t>
      </w:r>
      <w:r>
        <w:t xml:space="preserve">velikog kapaciteta </w:t>
      </w:r>
      <w:r w:rsidRPr="00BD038D">
        <w:t>pri čemu ne postoji nikakva regulatorna zapreka ulasku na predmetno tržište.</w:t>
      </w:r>
    </w:p>
    <w:p w:rsidR="00D7024A" w:rsidRPr="00BD038D" w:rsidRDefault="00D7024A" w:rsidP="00D7024A">
      <w:pPr>
        <w:contextualSpacing/>
        <w:jc w:val="both"/>
      </w:pPr>
    </w:p>
    <w:p w:rsidR="00D7024A" w:rsidRPr="0082266F" w:rsidRDefault="00D7024A" w:rsidP="0082266F">
      <w:pPr>
        <w:pStyle w:val="Heading4"/>
      </w:pPr>
      <w:bookmarkStart w:id="332" w:name="_Toc124928611"/>
      <w:bookmarkStart w:id="333" w:name="_Toc124946953"/>
      <w:bookmarkStart w:id="334" w:name="_Toc124948863"/>
      <w:bookmarkStart w:id="335" w:name="_Toc124951758"/>
      <w:bookmarkStart w:id="336" w:name="_Toc125644906"/>
      <w:r w:rsidRPr="0082266F">
        <w:t>Zaključak o prvom mjerilu</w:t>
      </w:r>
      <w:bookmarkEnd w:id="332"/>
      <w:bookmarkEnd w:id="333"/>
      <w:bookmarkEnd w:id="334"/>
      <w:bookmarkEnd w:id="335"/>
      <w:bookmarkEnd w:id="336"/>
    </w:p>
    <w:p w:rsidR="00D7024A" w:rsidRPr="00BD038D" w:rsidRDefault="00D7024A" w:rsidP="00D7024A">
      <w:pPr>
        <w:jc w:val="both"/>
      </w:pPr>
    </w:p>
    <w:p w:rsidR="00D7024A" w:rsidRDefault="00D7024A" w:rsidP="00D7024A">
      <w:pPr>
        <w:jc w:val="both"/>
      </w:pPr>
      <w:r w:rsidRPr="00BD038D">
        <w:t xml:space="preserve">Na temelju činjenica iznesenih u prvom mjerilu, HAKOM zaključuje kako na tržištu </w:t>
      </w:r>
      <w:r>
        <w:t xml:space="preserve">velikog kapaciteta – konkurentna područja nisu </w:t>
      </w:r>
      <w:r w:rsidRPr="00BD038D">
        <w:t xml:space="preserve">prisutne visoke i trajne strukturne </w:t>
      </w:r>
      <w:r>
        <w:t>pre</w:t>
      </w:r>
      <w:r w:rsidRPr="00BD038D">
        <w:t xml:space="preserve">preke za ulazak na tržište, </w:t>
      </w:r>
      <w:r>
        <w:t>te ne postoje niti pre</w:t>
      </w:r>
      <w:r w:rsidRPr="00BD038D">
        <w:t>preke pravne i reg</w:t>
      </w:r>
      <w:r>
        <w:t>ulatorne prirode</w:t>
      </w:r>
      <w:r w:rsidRPr="00BD038D">
        <w:t xml:space="preserve">. </w:t>
      </w:r>
      <w:r>
        <w:t xml:space="preserve">Nastavno na navedeno, HAKOM smatra kako </w:t>
      </w:r>
      <w:r w:rsidRPr="00BD038D">
        <w:t xml:space="preserve">na ovom tržištu prvo mjerilo </w:t>
      </w:r>
      <w:r>
        <w:t xml:space="preserve">nije </w:t>
      </w:r>
      <w:r w:rsidRPr="00BD038D">
        <w:t>zadovoljeno.</w:t>
      </w:r>
    </w:p>
    <w:p w:rsidR="0082266F" w:rsidRDefault="0082266F" w:rsidP="00D7024A">
      <w:pPr>
        <w:jc w:val="both"/>
      </w:pPr>
    </w:p>
    <w:p w:rsidR="00D7024A" w:rsidRPr="0082266F" w:rsidRDefault="00D7024A" w:rsidP="0082266F">
      <w:pPr>
        <w:pStyle w:val="Heading3"/>
      </w:pPr>
      <w:bookmarkStart w:id="337" w:name="_Toc124928612"/>
      <w:bookmarkStart w:id="338" w:name="_Toc124946954"/>
      <w:bookmarkStart w:id="339" w:name="_Toc124948864"/>
      <w:bookmarkStart w:id="340" w:name="_Toc124951759"/>
      <w:bookmarkStart w:id="341" w:name="_Toc125644907"/>
      <w:r w:rsidRPr="0082266F">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bookmarkEnd w:id="337"/>
      <w:bookmarkEnd w:id="338"/>
      <w:bookmarkEnd w:id="339"/>
      <w:bookmarkEnd w:id="340"/>
      <w:bookmarkEnd w:id="341"/>
      <w:r w:rsidRPr="0082266F">
        <w:t xml:space="preserve"> </w:t>
      </w:r>
    </w:p>
    <w:p w:rsidR="00D7024A" w:rsidRDefault="00D7024A" w:rsidP="00D7024A">
      <w:pPr>
        <w:jc w:val="both"/>
      </w:pPr>
    </w:p>
    <w:p w:rsidR="00D7024A" w:rsidRDefault="00D7024A" w:rsidP="00D7024A">
      <w:pPr>
        <w:jc w:val="both"/>
      </w:pPr>
      <w:r w:rsidRPr="00BD038D">
        <w:t>Na temelju prvog mjerila HAKOM je zaključio kako je operatorima ekonomski ispla</w:t>
      </w:r>
      <w:r>
        <w:t>tivo ulagati u gradnju vlastitih VHCN mreža s</w:t>
      </w:r>
      <w:r w:rsidRPr="00BD038D">
        <w:t xml:space="preserve"> ciljem pruža</w:t>
      </w:r>
      <w:r>
        <w:t>nja krajnjim korisnicima usluga širokopojasnog pristupa velikog kapaciteta te da ne postoje velike i trajne zapreke za ulazak na tržište. Iz toga proizlazi da je na konkurentnim područjima uz HT-ovu VHCN infrastrukturu, čak i većem broju korisnika dostupna i VHCN infrastruktura alternativnih operatora.</w:t>
      </w:r>
    </w:p>
    <w:p w:rsidR="00D7024A" w:rsidRPr="001E05A2" w:rsidRDefault="00D7024A" w:rsidP="00D7024A">
      <w:pPr>
        <w:jc w:val="both"/>
        <w:rPr>
          <w:b/>
          <w:bCs/>
          <w:color w:val="4472C4" w:themeColor="accent1"/>
          <w:sz w:val="18"/>
          <w:szCs w:val="18"/>
        </w:rPr>
      </w:pPr>
    </w:p>
    <w:p w:rsidR="00D7024A" w:rsidRDefault="00CD38D2" w:rsidP="006A29BC">
      <w:pPr>
        <w:pStyle w:val="Caption"/>
        <w:spacing w:after="0"/>
      </w:pPr>
      <w:bookmarkStart w:id="342" w:name="_Ref124438485"/>
      <w:bookmarkStart w:id="343" w:name="_Ref125573133"/>
      <w:r>
        <w:t xml:space="preserve">Slika </w:t>
      </w:r>
      <w:r w:rsidR="00C60C6F">
        <w:fldChar w:fldCharType="begin"/>
      </w:r>
      <w:r w:rsidR="00C60C6F">
        <w:instrText xml:space="preserve"> SEQ Slika \* ARABIC </w:instrText>
      </w:r>
      <w:r w:rsidR="00C60C6F">
        <w:fldChar w:fldCharType="separate"/>
      </w:r>
      <w:r w:rsidR="006A29BC">
        <w:rPr>
          <w:noProof/>
        </w:rPr>
        <w:t>22</w:t>
      </w:r>
      <w:r w:rsidR="00C60C6F">
        <w:rPr>
          <w:noProof/>
        </w:rPr>
        <w:fldChar w:fldCharType="end"/>
      </w:r>
      <w:bookmarkEnd w:id="342"/>
      <w:bookmarkEnd w:id="343"/>
      <w:r>
        <w:t xml:space="preserve"> </w:t>
      </w:r>
      <w:r w:rsidR="00D91CE1">
        <w:t>Udio</w:t>
      </w:r>
      <w:r w:rsidR="00D7024A" w:rsidRPr="00323702">
        <w:t xml:space="preserve"> priključaka prema načinu pristupa na tržištu velikog kapaciteta –konku</w:t>
      </w:r>
      <w:r w:rsidR="00D7024A">
        <w:t>rentna područja (2021. – 2022/Q2</w:t>
      </w:r>
      <w:r w:rsidR="00D7024A" w:rsidRPr="00323702">
        <w:t>)</w:t>
      </w:r>
    </w:p>
    <w:p w:rsidR="007F55BE" w:rsidRPr="007F55BE" w:rsidRDefault="007F55BE" w:rsidP="007F55BE"/>
    <w:p w:rsidR="001B16A4" w:rsidRPr="001B16A4" w:rsidRDefault="002B4D18" w:rsidP="001B16A4">
      <w:r>
        <w:rPr>
          <w:noProof/>
          <w:lang w:val="en-US"/>
        </w:rPr>
        <w:drawing>
          <wp:inline distT="0" distB="0" distL="0" distR="0" wp14:anchorId="0E46D178" wp14:editId="4DDE910E">
            <wp:extent cx="4749196" cy="2706859"/>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lika 22.png"/>
                    <pic:cNvPicPr/>
                  </pic:nvPicPr>
                  <pic:blipFill>
                    <a:blip r:embed="rId42">
                      <a:extLst>
                        <a:ext uri="{28A0092B-C50C-407E-A947-70E740481C1C}">
                          <a14:useLocalDpi xmlns:a14="http://schemas.microsoft.com/office/drawing/2010/main" val="0"/>
                        </a:ext>
                      </a:extLst>
                    </a:blip>
                    <a:stretch>
                      <a:fillRect/>
                    </a:stretch>
                  </pic:blipFill>
                  <pic:spPr>
                    <a:xfrm>
                      <a:off x="0" y="0"/>
                      <a:ext cx="4749196" cy="2706859"/>
                    </a:xfrm>
                    <a:prstGeom prst="rect">
                      <a:avLst/>
                    </a:prstGeom>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Default="00D7024A" w:rsidP="00D7024A">
      <w:pPr>
        <w:jc w:val="both"/>
      </w:pPr>
    </w:p>
    <w:p w:rsidR="00D7024A" w:rsidRDefault="00D91CE1" w:rsidP="00D7024A">
      <w:pPr>
        <w:jc w:val="both"/>
      </w:pPr>
      <w:r>
        <w:fldChar w:fldCharType="begin"/>
      </w:r>
      <w:r>
        <w:instrText xml:space="preserve"> REF _Ref125573133 \h </w:instrText>
      </w:r>
      <w:r>
        <w:fldChar w:fldCharType="separate"/>
      </w:r>
      <w:r>
        <w:t xml:space="preserve">Slika </w:t>
      </w:r>
      <w:r>
        <w:rPr>
          <w:noProof/>
        </w:rPr>
        <w:t>22</w:t>
      </w:r>
      <w:r>
        <w:fldChar w:fldCharType="end"/>
      </w:r>
      <w:r w:rsidR="00D7024A">
        <w:t xml:space="preserve"> prikazuje kretanje </w:t>
      </w:r>
      <w:r>
        <w:t>udjela</w:t>
      </w:r>
      <w:r w:rsidR="00D7024A">
        <w:t xml:space="preserve"> i načina ostvarivanja VHCN priključaka na konkurentnim područjima u zadnjih godinu dana. Iako HAKOM-u nisu u prikladnom obliku dostupni podaci iz ranijih razdoblja o kretanju broja VHCN priključaka na konkurentnim područjima, može se zaključiti da je trend zadnjih godinu dana nastavak trenda od ranije, odnosno da raste ukupan broj VHCN priključaka, pri čemu se smanjuje udio priključaka putem kabelske VHCN mreže, a povećava udio priključaka putem svjetlovodnih mreža. Također je vidljivo da je udio priključaka HT grupe značajno niži od udjela alternativnih operatora. Nadalje, kod analize prvog mjerila je pokazano da je pokrivenost VHCN mrežama alternativnih operatora veća od pokrivenosti HT grupe. To znači da alternativni operatori uslugu velikog kapaciteta putem vlastite infrastrukture mogu ponuditi većem broju krajnjih korisnika, bilo vlastitih bilo putem veleprodajnih usluga. Osim toga, vrlo niska utilizacija svjetlovodne mreže alternativnih operatora, a čije preklapanje s drugim infrastrukturama nije značajno, nudi još veći potencijal za porast broja priključaka u odnosu na postojeći. Kako bi povećali </w:t>
      </w:r>
      <w:proofErr w:type="spellStart"/>
      <w:r w:rsidR="00D7024A">
        <w:t>utilizaciju</w:t>
      </w:r>
      <w:proofErr w:type="spellEnd"/>
      <w:r w:rsidR="00D7024A">
        <w:t xml:space="preserve"> svoje mreže, alternativni operatori će biti motivirani omogućiti veleprodajni pristup svojim mrežama što će dovesti do još većeg konkurentskog pritiska na HT-ove veleprodajne usluge.  </w:t>
      </w:r>
    </w:p>
    <w:p w:rsidR="00D7024A" w:rsidRDefault="00D7024A" w:rsidP="00D7024A">
      <w:pPr>
        <w:jc w:val="both"/>
      </w:pPr>
    </w:p>
    <w:p w:rsidR="00D7024A" w:rsidRDefault="00CD38D2" w:rsidP="006A29BC">
      <w:pPr>
        <w:pStyle w:val="Caption"/>
        <w:spacing w:after="0"/>
      </w:pPr>
      <w:bookmarkStart w:id="344" w:name="_Ref124438687"/>
      <w:r>
        <w:t xml:space="preserve">Slika </w:t>
      </w:r>
      <w:r w:rsidR="00C60C6F">
        <w:fldChar w:fldCharType="begin"/>
      </w:r>
      <w:r w:rsidR="00C60C6F">
        <w:instrText xml:space="preserve"> SEQ Slika \* ARABIC </w:instrText>
      </w:r>
      <w:r w:rsidR="00C60C6F">
        <w:fldChar w:fldCharType="separate"/>
      </w:r>
      <w:r w:rsidR="006A29BC">
        <w:rPr>
          <w:noProof/>
        </w:rPr>
        <w:t>23</w:t>
      </w:r>
      <w:r w:rsidR="00C60C6F">
        <w:rPr>
          <w:noProof/>
        </w:rPr>
        <w:fldChar w:fldCharType="end"/>
      </w:r>
      <w:bookmarkEnd w:id="344"/>
      <w:r w:rsidR="00D7024A" w:rsidRPr="007E0E78">
        <w:t xml:space="preserve"> Udjeli VHCN priključaka prema načinu pristupa - konkurentna područja</w:t>
      </w:r>
    </w:p>
    <w:p w:rsidR="00D7024A" w:rsidRDefault="006C59F9" w:rsidP="00D7024A">
      <w:pPr>
        <w:jc w:val="both"/>
      </w:pPr>
      <w:r>
        <w:rPr>
          <w:noProof/>
          <w:lang w:val="en-US"/>
        </w:rPr>
        <w:drawing>
          <wp:inline distT="0" distB="0" distL="0" distR="0" wp14:anchorId="018E127B" wp14:editId="613667E4">
            <wp:extent cx="5651500" cy="2755900"/>
            <wp:effectExtent l="0" t="0" r="6350" b="635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51500" cy="2755900"/>
                    </a:xfrm>
                    <a:prstGeom prst="rect">
                      <a:avLst/>
                    </a:prstGeom>
                    <a:noFill/>
                  </pic:spPr>
                </pic:pic>
              </a:graphicData>
            </a:graphic>
          </wp:inline>
        </w:drawing>
      </w:r>
    </w:p>
    <w:p w:rsidR="00D7024A" w:rsidRPr="00CD38D2" w:rsidRDefault="00D7024A" w:rsidP="00D7024A">
      <w:pPr>
        <w:jc w:val="both"/>
        <w:rPr>
          <w:i/>
          <w:iCs/>
          <w:color w:val="44546A" w:themeColor="text2"/>
          <w:sz w:val="18"/>
          <w:szCs w:val="18"/>
        </w:rPr>
      </w:pPr>
      <w:r w:rsidRPr="00CD38D2">
        <w:rPr>
          <w:i/>
          <w:iCs/>
          <w:color w:val="44546A" w:themeColor="text2"/>
          <w:sz w:val="18"/>
          <w:szCs w:val="18"/>
        </w:rPr>
        <w:t>Izvor: HAKOM</w:t>
      </w:r>
    </w:p>
    <w:p w:rsidR="00D7024A" w:rsidRDefault="00D7024A" w:rsidP="00D7024A">
      <w:pPr>
        <w:jc w:val="both"/>
      </w:pPr>
    </w:p>
    <w:p w:rsidR="00D7024A" w:rsidRDefault="00D7024A" w:rsidP="00D7024A">
      <w:pPr>
        <w:jc w:val="both"/>
      </w:pPr>
      <w:r>
        <w:t xml:space="preserve">Na kraju drugog tromjesečja 2022., a što je vidljivo na </w:t>
      </w:r>
      <w:r w:rsidRPr="007E0E78">
        <w:t>gornjem dijagramu (</w:t>
      </w:r>
      <w:r w:rsidR="00D91CE1">
        <w:fldChar w:fldCharType="begin"/>
      </w:r>
      <w:r w:rsidR="00D91CE1">
        <w:instrText xml:space="preserve"> REF _Ref124438687 \h </w:instrText>
      </w:r>
      <w:r w:rsidR="00D91CE1">
        <w:fldChar w:fldCharType="separate"/>
      </w:r>
      <w:r w:rsidR="00D91CE1">
        <w:t xml:space="preserve">Slika </w:t>
      </w:r>
      <w:r w:rsidR="00D91CE1">
        <w:rPr>
          <w:noProof/>
        </w:rPr>
        <w:t>23</w:t>
      </w:r>
      <w:r w:rsidR="00D91CE1">
        <w:fldChar w:fldCharType="end"/>
      </w:r>
      <w:r>
        <w:t xml:space="preserve">), od ukupnog broja priključaka na konkurentnim područjima 5,69 posto se realiziralo putem HT-ove usluge bitstream pristupa putem svjetlovodne mreže, a </w:t>
      </w:r>
      <w:r w:rsidRPr="007E0E78">
        <w:t>samo 0,29</w:t>
      </w:r>
      <w:r>
        <w:t xml:space="preserve"> posto putem HT-ove FA-PON usluge. Na kraju 2018. taj omjer je bio gotovo isti kao i danas. Razlog tomu je što su se u proteklom razdoblju alternativni operatori više usmjerili na gradnju vlastitih VHCN mreža i usmjerenost na sve veću </w:t>
      </w:r>
      <w:proofErr w:type="spellStart"/>
      <w:r>
        <w:t>utilizaciju</w:t>
      </w:r>
      <w:proofErr w:type="spellEnd"/>
      <w:r>
        <w:t xml:space="preserve"> tih izgrađenih mreža. S obzirom na veliki udio priključaka ostvarenih putem vlastite mreže koja ima ograničenu pokrivenost, veliku pokrivenost alternativnim VHCN mrežama te na nisku </w:t>
      </w:r>
      <w:proofErr w:type="spellStart"/>
      <w:r>
        <w:t>utilizaciju</w:t>
      </w:r>
      <w:proofErr w:type="spellEnd"/>
      <w:r>
        <w:t xml:space="preserve"> svjetlovodnih mreža alternativnih operatora, HAKOM očekuje da će se u budućem razdoblju intenzivnije početi koristiti i HT-ove veleprodajne usluge, ali i veleprodajne usluge alternativnih operatora.</w:t>
      </w:r>
    </w:p>
    <w:p w:rsidR="00D7024A" w:rsidRDefault="00D7024A" w:rsidP="00D7024A">
      <w:pPr>
        <w:jc w:val="both"/>
      </w:pPr>
    </w:p>
    <w:p w:rsidR="00D7024A" w:rsidRDefault="00D7024A" w:rsidP="00D7024A">
      <w:pPr>
        <w:jc w:val="both"/>
      </w:pPr>
      <w:r>
        <w:t xml:space="preserve">Iz svega prethodno navedenog proizlazi kako HT-ove usluge na tržištu veleprodajnog lokalnog pristupa velikog kapaciteta koji se pruža na fiksnoj lokaciji (FA-PON i VULA, odnosno bitstream na OLT-u) nije niti će to u budućnosti postati najvažniji veleprodajni proizvod na konkurentnim VHCN područjima. Drugim riječima, na tržištu velikog kapaciteta – konkurentna područja HT </w:t>
      </w:r>
      <w:r w:rsidRPr="005A33B9">
        <w:t>trenutno nije</w:t>
      </w:r>
      <w:r w:rsidRPr="009C1FB3">
        <w:t>,</w:t>
      </w:r>
      <w:r w:rsidRPr="005A33B9">
        <w:t xml:space="preserve"> niti</w:t>
      </w:r>
      <w:r w:rsidRPr="009C1FB3">
        <w:t xml:space="preserve"> nije za očekivati da će</w:t>
      </w:r>
      <w:r w:rsidRPr="005A33B9">
        <w:t xml:space="preserve"> </w:t>
      </w:r>
      <w:r w:rsidRPr="000B7B8F">
        <w:t>ima</w:t>
      </w:r>
      <w:r w:rsidRPr="005A33B9">
        <w:t>ti položaj koji je jednak vladajućem položaju jer</w:t>
      </w:r>
      <w:r>
        <w:t xml:space="preserve"> postoje konkurentne VHCN mreže kojima će također biti omogućen lokalni pristup ili putem kojih će se vršiti konkurentski pritisak s maloprodajne razine. </w:t>
      </w:r>
    </w:p>
    <w:p w:rsidR="00D7024A" w:rsidRDefault="00D7024A" w:rsidP="00D7024A">
      <w:pPr>
        <w:jc w:val="both"/>
      </w:pPr>
    </w:p>
    <w:p w:rsidR="00D7024A" w:rsidRDefault="00D7024A" w:rsidP="00D7024A">
      <w:pPr>
        <w:jc w:val="both"/>
      </w:pPr>
      <w:r>
        <w:t>Zaključno, uzevši u obzir kako se radi o konkurentnim VHCN područjima, odnosno o područjima u kojima postoji u dovoljnoj mjeri infrastrukturna konkurencija i bez prethodne regulacije osigurali bi se uvjeti djelotvornog tržišnog natjecanja. Drugim riječima, može se zaključiti da alternativni operatori u odsustvu regulacije imaju</w:t>
      </w:r>
      <w:r w:rsidRPr="00BD038D">
        <w:t xml:space="preserve"> pristup krajnjim korisnicima koji koriste uslugu širokopojasnog pristupa </w:t>
      </w:r>
      <w:r>
        <w:t>velikog kapaciteta. Razvoj djelotvornog tržišnog natjecanja na konkurentnim VHCN područjima dodatno će se potaknuti obvezom pristupa HT-ovoj fizičkoj infrastrukturi čime se smanjuju troškovi gradnje VHCN mreža, kao i obvezama pristupa sukladno članku 93. stavak 5 ZEK-a (simetrične obveze) koje također osiguravaju lokalni pristup dijelovima mreža koji se ne mogu replicirati zbog postojanja velikih i trajnih zapreka bilo tehničke, bilo ekonomske prirode.</w:t>
      </w:r>
    </w:p>
    <w:p w:rsidR="00D7024A" w:rsidRDefault="00D7024A" w:rsidP="00D7024A">
      <w:pPr>
        <w:jc w:val="both"/>
      </w:pPr>
    </w:p>
    <w:p w:rsidR="00D7024A" w:rsidRPr="0082266F" w:rsidRDefault="00D7024A" w:rsidP="0082266F">
      <w:pPr>
        <w:pStyle w:val="Heading4"/>
      </w:pPr>
      <w:bookmarkStart w:id="345" w:name="_Toc124928613"/>
      <w:bookmarkStart w:id="346" w:name="_Toc124946955"/>
      <w:bookmarkStart w:id="347" w:name="_Toc124948865"/>
      <w:bookmarkStart w:id="348" w:name="_Toc124951760"/>
      <w:bookmarkStart w:id="349" w:name="_Toc125644908"/>
      <w:r w:rsidRPr="0082266F">
        <w:t>Zaključak o drugom mjerilu</w:t>
      </w:r>
      <w:bookmarkEnd w:id="345"/>
      <w:bookmarkEnd w:id="346"/>
      <w:bookmarkEnd w:id="347"/>
      <w:bookmarkEnd w:id="348"/>
      <w:bookmarkEnd w:id="349"/>
    </w:p>
    <w:p w:rsidR="00D7024A" w:rsidRPr="00BD038D" w:rsidRDefault="00D7024A" w:rsidP="00D7024A">
      <w:pPr>
        <w:jc w:val="both"/>
      </w:pPr>
    </w:p>
    <w:p w:rsidR="00D7024A" w:rsidRDefault="00D7024A" w:rsidP="00D7024A">
      <w:pPr>
        <w:jc w:val="both"/>
      </w:pPr>
      <w:r w:rsidRPr="00BD038D">
        <w:t xml:space="preserve">Na temelju </w:t>
      </w:r>
      <w:r>
        <w:t xml:space="preserve">iznesenih </w:t>
      </w:r>
      <w:r w:rsidRPr="00BD038D">
        <w:t xml:space="preserve">činjenica </w:t>
      </w:r>
      <w:r>
        <w:t xml:space="preserve">proizlazi da drugo </w:t>
      </w:r>
      <w:r w:rsidRPr="00BD038D">
        <w:t>mjeril</w:t>
      </w:r>
      <w:r>
        <w:t>o nije zadovoljeno.</w:t>
      </w:r>
      <w:r w:rsidRPr="00BD038D">
        <w:t xml:space="preserve"> HAKOM je mišljenja kako za razdoblje na koje se odnosi ova analiza struktura tržišta </w:t>
      </w:r>
      <w:r>
        <w:t>teži</w:t>
      </w:r>
      <w:r w:rsidRPr="00BD038D">
        <w:t xml:space="preserve"> djelotvornom tržišnom natjecanju te </w:t>
      </w:r>
      <w:r w:rsidRPr="00C359AF">
        <w:t xml:space="preserve">da za daljnji razvoj tržišnog natjecanja </w:t>
      </w:r>
      <w:r>
        <w:t>prethodna regulacija HT-ovih veleprodajnih</w:t>
      </w:r>
      <w:r w:rsidRPr="00C359AF">
        <w:t xml:space="preserve"> usluga</w:t>
      </w:r>
      <w:r>
        <w:t xml:space="preserve"> na tržištu velikog kapaciteta - </w:t>
      </w:r>
      <w:r w:rsidRPr="00C94252">
        <w:t>konkurentna područja</w:t>
      </w:r>
      <w:r>
        <w:t xml:space="preserve"> (FA-PON i VULA, odnosno bitstream na OLT-u) </w:t>
      </w:r>
      <w:r w:rsidRPr="00C359AF">
        <w:t xml:space="preserve">nije </w:t>
      </w:r>
      <w:r w:rsidRPr="005208E8">
        <w:t>od presudne važnosti.</w:t>
      </w:r>
    </w:p>
    <w:p w:rsidR="00D7024A" w:rsidRDefault="00D7024A" w:rsidP="00D7024A">
      <w:pPr>
        <w:jc w:val="both"/>
      </w:pPr>
    </w:p>
    <w:p w:rsidR="00D7024A" w:rsidRDefault="00D7024A" w:rsidP="00D7024A">
      <w:pPr>
        <w:jc w:val="both"/>
      </w:pPr>
      <w:r w:rsidRPr="00BD038D">
        <w:t>Naime, u slučaju deregulacije ovog tržišta</w:t>
      </w:r>
      <w:r>
        <w:t xml:space="preserve">, odnosno ukidanja obveze pružanja </w:t>
      </w:r>
      <w:r w:rsidRPr="00BD038D">
        <w:t>uslug</w:t>
      </w:r>
      <w:r>
        <w:t>a FA-PON i VULA-e, odnosno bitstream na OLT-u</w:t>
      </w:r>
      <w:r w:rsidRPr="00BD038D">
        <w:t xml:space="preserve"> po reguliranim (troškovno usmjerenim) uvjetima</w:t>
      </w:r>
      <w:r>
        <w:t>,</w:t>
      </w:r>
      <w:r w:rsidRPr="00BD038D">
        <w:t xml:space="preserve"> HT </w:t>
      </w:r>
      <w:r>
        <w:t xml:space="preserve">u budućem razdoblju ne </w:t>
      </w:r>
      <w:r w:rsidRPr="00BD038D">
        <w:t xml:space="preserve">bi </w:t>
      </w:r>
      <w:r>
        <w:t xml:space="preserve">bio u mogućnosti </w:t>
      </w:r>
      <w:r w:rsidRPr="00BD038D">
        <w:t xml:space="preserve">preuzeti većinu korisnika koji </w:t>
      </w:r>
      <w:r>
        <w:t xml:space="preserve">koriste </w:t>
      </w:r>
      <w:r w:rsidRPr="00BD038D">
        <w:t xml:space="preserve">uslugu širokopojasnog pristupa </w:t>
      </w:r>
      <w:r>
        <w:t>velikog kapaciteta na tim konkurentnim VHCN područjima. HAKOM svoj zaključak temelji na činjenici</w:t>
      </w:r>
      <w:r w:rsidRPr="00BD038D">
        <w:t xml:space="preserve"> da </w:t>
      </w:r>
      <w:r>
        <w:t xml:space="preserve">je na konkurentnim područjima prisutna infrastrukturna konkurencija te da su </w:t>
      </w:r>
      <w:r w:rsidRPr="00BD038D">
        <w:t xml:space="preserve">operatorima </w:t>
      </w:r>
      <w:r>
        <w:t>dostupne veleprodajne usluge i putem alternativnih VHCN mreža. Dodatno, obveza pristupa fizičkoj infrastrukturi HT-a omogućuje korištenje HT-ove fizičke infrastrukture po reguliranim uvjetima što umanjuje troškove gradnje vlastitih VHCN mreža čime se također povećava infrastrukturna konkurencija. Uz to, s obzirom da niti jedan operator (ni HT, niti alternativni) ne može ostvariti 100 posto pokrivenosti korisničkih jedinica vlastitom VHCN mrežom na cijelom području, postojanje simetričnih obveza pristupa sukladno članku 93. stavak 5. ZEK-a će dodatno doprinijeti djelotvornom tržišnom natjecanju.</w:t>
      </w:r>
    </w:p>
    <w:p w:rsidR="00D7024A" w:rsidRDefault="00D7024A" w:rsidP="00D7024A">
      <w:pPr>
        <w:jc w:val="both"/>
      </w:pPr>
    </w:p>
    <w:p w:rsidR="00D7024A" w:rsidRPr="0082266F" w:rsidRDefault="00D7024A" w:rsidP="0082266F">
      <w:pPr>
        <w:pStyle w:val="Heading3"/>
      </w:pPr>
      <w:bookmarkStart w:id="350" w:name="_Toc124928614"/>
      <w:bookmarkStart w:id="351" w:name="_Toc124946956"/>
      <w:bookmarkStart w:id="352" w:name="_Toc124948866"/>
      <w:bookmarkStart w:id="353" w:name="_Toc124951761"/>
      <w:bookmarkStart w:id="354" w:name="_Toc125644909"/>
      <w:r w:rsidRPr="0082266F">
        <w:t>Treće mjerilo: primjena mjerodavnih propisa o zaštiti tržišnog natjecanja sama po sebi ne omogućuje na odgovarajući način uklanjanje nedostataka na tržištu</w:t>
      </w:r>
      <w:bookmarkEnd w:id="350"/>
      <w:bookmarkEnd w:id="351"/>
      <w:bookmarkEnd w:id="352"/>
      <w:bookmarkEnd w:id="353"/>
      <w:bookmarkEnd w:id="354"/>
    </w:p>
    <w:p w:rsidR="00D7024A" w:rsidRDefault="00D7024A" w:rsidP="00D7024A">
      <w:pPr>
        <w:jc w:val="both"/>
      </w:pPr>
    </w:p>
    <w:p w:rsidR="00D7024A" w:rsidRPr="00BD038D" w:rsidRDefault="00D7024A" w:rsidP="00D7024A">
      <w:pPr>
        <w:jc w:val="both"/>
      </w:pPr>
      <w:r>
        <w:t xml:space="preserve">S obzirom da prva dva mjerila nisu zadovoljena, evidentno je da prethodna </w:t>
      </w:r>
      <w:r w:rsidRPr="00BD038D">
        <w:t>regulacija ovog mjerodavnog tržišta</w:t>
      </w:r>
      <w:r>
        <w:t xml:space="preserve"> na konkurentnim VHCN područjima </w:t>
      </w:r>
      <w:r w:rsidRPr="00BD038D">
        <w:t>u budućem razdoblju</w:t>
      </w:r>
      <w:r>
        <w:t>,</w:t>
      </w:r>
      <w:r w:rsidRPr="00BD038D">
        <w:t xml:space="preserve"> odnosno razdoblju na koje se odnosi ova analiza tržišta</w:t>
      </w:r>
      <w:r>
        <w:t xml:space="preserve"> nije potrebna</w:t>
      </w:r>
      <w:r w:rsidRPr="00BD038D">
        <w:t xml:space="preserve">. Naime, na tržištu se </w:t>
      </w:r>
      <w:r>
        <w:t>ne očekuje da će se</w:t>
      </w:r>
      <w:r w:rsidRPr="00BD038D">
        <w:t xml:space="preserve"> dogoditi situacije u kojima je pravovremena intervencija neophodna kako bi se spriječile ozbiljne ili nepopravljive štete koje mogu biti nanesene konkurenciji od strane operatora sa značajnom tržišnom snagom. </w:t>
      </w:r>
    </w:p>
    <w:p w:rsidR="00D7024A" w:rsidRPr="00BD038D" w:rsidRDefault="00D7024A" w:rsidP="00D7024A">
      <w:pPr>
        <w:jc w:val="both"/>
      </w:pPr>
    </w:p>
    <w:p w:rsidR="00D7024A" w:rsidRDefault="00D7024A" w:rsidP="00D7024A">
      <w:pPr>
        <w:jc w:val="both"/>
      </w:pPr>
      <w:r w:rsidRPr="00BD038D">
        <w:t>Slijedom navedenog, HA</w:t>
      </w:r>
      <w:r>
        <w:t>KOM je mišljenja kako zbog svega prethodno navedenog znatnije podizanje</w:t>
      </w:r>
      <w:r w:rsidRPr="00BD038D">
        <w:t xml:space="preserve"> c</w:t>
      </w:r>
      <w:r>
        <w:t>ijena usluga FA-PON i VULA, odnosno usluge bitstream pristupa na OLT-u nije izgledno</w:t>
      </w:r>
      <w:r w:rsidRPr="00BD038D">
        <w:t>,</w:t>
      </w:r>
      <w:r>
        <w:t xml:space="preserve"> međutim, ako bi se to i dogodilo,</w:t>
      </w:r>
      <w:r w:rsidRPr="00BD038D">
        <w:t xml:space="preserve"> </w:t>
      </w:r>
      <w:r w:rsidRPr="00BD038D">
        <w:rPr>
          <w:i/>
        </w:rPr>
        <w:t>ex post</w:t>
      </w:r>
      <w:r w:rsidRPr="00BD038D">
        <w:t xml:space="preserve"> regulacija koju provodi AZTN može dovoljno brzo djelovati</w:t>
      </w:r>
      <w:r>
        <w:t>,</w:t>
      </w:r>
      <w:r w:rsidRPr="00BD038D">
        <w:t xml:space="preserve"> odnosno u mogućnosti </w:t>
      </w:r>
      <w:r>
        <w:t xml:space="preserve">je </w:t>
      </w:r>
      <w:r w:rsidRPr="00BD038D">
        <w:t xml:space="preserve">pravovremeno otkloniti probleme koji se </w:t>
      </w:r>
      <w:r>
        <w:t xml:space="preserve">mogu pojaviti </w:t>
      </w:r>
      <w:r w:rsidRPr="00BD038D">
        <w:t>na tržištu.</w:t>
      </w:r>
    </w:p>
    <w:p w:rsidR="00D7024A" w:rsidRPr="00BD038D" w:rsidRDefault="00D7024A" w:rsidP="00D7024A">
      <w:pPr>
        <w:jc w:val="both"/>
      </w:pPr>
    </w:p>
    <w:p w:rsidR="00D7024A" w:rsidRPr="0082266F" w:rsidRDefault="00D7024A" w:rsidP="0082266F">
      <w:pPr>
        <w:pStyle w:val="Heading4"/>
      </w:pPr>
      <w:bookmarkStart w:id="355" w:name="_Toc124928615"/>
      <w:bookmarkStart w:id="356" w:name="_Toc124946957"/>
      <w:bookmarkStart w:id="357" w:name="_Toc124948867"/>
      <w:bookmarkStart w:id="358" w:name="_Toc124951762"/>
      <w:bookmarkStart w:id="359" w:name="_Toc125644910"/>
      <w:r w:rsidRPr="0082266F">
        <w:t>Zaključak o trećem mjerilu</w:t>
      </w:r>
      <w:bookmarkEnd w:id="355"/>
      <w:bookmarkEnd w:id="356"/>
      <w:bookmarkEnd w:id="357"/>
      <w:bookmarkEnd w:id="358"/>
      <w:bookmarkEnd w:id="359"/>
    </w:p>
    <w:p w:rsidR="00D7024A" w:rsidRDefault="00D7024A" w:rsidP="00D7024A">
      <w:pPr>
        <w:jc w:val="both"/>
      </w:pPr>
    </w:p>
    <w:p w:rsidR="00D7024A" w:rsidRDefault="00D7024A" w:rsidP="00D7024A">
      <w:pPr>
        <w:jc w:val="both"/>
      </w:pPr>
      <w:r w:rsidRPr="00BD038D">
        <w:t xml:space="preserve">HAKOM zaključuje kako za mjerodavno tržište </w:t>
      </w:r>
      <w:r>
        <w:t>velikog kapaciteta</w:t>
      </w:r>
      <w:r w:rsidRPr="00BD038D">
        <w:t xml:space="preserve"> </w:t>
      </w:r>
      <w:r>
        <w:t xml:space="preserve">- konkurentna područja treće mjerilo nije zadovoljeno budući da propisi </w:t>
      </w:r>
      <w:r w:rsidRPr="00BD038D">
        <w:t>o zaštiti tržišnog natjecanja</w:t>
      </w:r>
      <w:r>
        <w:t>,</w:t>
      </w:r>
      <w:r w:rsidRPr="00BD038D">
        <w:t xml:space="preserve"> odnosno naknadna regulacija</w:t>
      </w:r>
      <w:r>
        <w:t>,</w:t>
      </w:r>
      <w:r w:rsidRPr="00BD038D">
        <w:t xml:space="preserve"> mogu na odgovarajući način ukloniti moguće nedostatke na tržištu.</w:t>
      </w:r>
    </w:p>
    <w:p w:rsidR="0082266F" w:rsidRDefault="0082266F" w:rsidP="00D7024A">
      <w:pPr>
        <w:jc w:val="both"/>
      </w:pPr>
    </w:p>
    <w:p w:rsidR="00D7024A" w:rsidRPr="0082266F" w:rsidRDefault="00D7024A" w:rsidP="0082266F">
      <w:pPr>
        <w:pStyle w:val="Heading3"/>
      </w:pPr>
      <w:bookmarkStart w:id="360" w:name="_Toc124928616"/>
      <w:bookmarkStart w:id="361" w:name="_Toc124946958"/>
      <w:bookmarkStart w:id="362" w:name="_Toc124948868"/>
      <w:bookmarkStart w:id="363" w:name="_Toc124951763"/>
      <w:bookmarkStart w:id="364" w:name="_Toc125644911"/>
      <w:r w:rsidRPr="0082266F">
        <w:t xml:space="preserve">Stajalište nadležnog regulatornog tijela o utvrđivanju je li mjerodavno tržište veleprodajnog </w:t>
      </w:r>
      <w:r w:rsidR="00F53B97" w:rsidRPr="0082266F">
        <w:t>lokalnog</w:t>
      </w:r>
      <w:r w:rsidRPr="0082266F">
        <w:t xml:space="preserve"> pristupa velikog kapaciteta na konkurentnim VHCN područjima podložno prethodnoj regulaciji</w:t>
      </w:r>
      <w:bookmarkEnd w:id="360"/>
      <w:bookmarkEnd w:id="361"/>
      <w:bookmarkEnd w:id="362"/>
      <w:bookmarkEnd w:id="363"/>
      <w:bookmarkEnd w:id="364"/>
      <w:r w:rsidRPr="0082266F">
        <w:t xml:space="preserve"> </w:t>
      </w:r>
    </w:p>
    <w:p w:rsidR="00D7024A" w:rsidRDefault="00D7024A" w:rsidP="00D7024A">
      <w:pPr>
        <w:jc w:val="both"/>
      </w:pPr>
    </w:p>
    <w:p w:rsidR="00D7024A" w:rsidRPr="004C6B9A" w:rsidRDefault="00D7024A" w:rsidP="00D7024A">
      <w:pPr>
        <w:jc w:val="both"/>
      </w:pPr>
      <w:r w:rsidRPr="00BD038D">
        <w:t xml:space="preserve">Na temelju provedene analize tri mjerila iz </w:t>
      </w:r>
      <w:r w:rsidRPr="00C359AF">
        <w:t xml:space="preserve">članka 100. stavka 2. ZEK-a, </w:t>
      </w:r>
      <w:r w:rsidRPr="00BD038D">
        <w:t xml:space="preserve">HAKOM je zaključio kako mjerodavno </w:t>
      </w:r>
      <w:r w:rsidRPr="004C6B9A">
        <w:t xml:space="preserve">tržište </w:t>
      </w:r>
      <w:r>
        <w:t xml:space="preserve">velikog kapaciteta </w:t>
      </w:r>
      <w:r w:rsidRPr="00C94252">
        <w:t>- konkurentna područja</w:t>
      </w:r>
      <w:r>
        <w:t xml:space="preserve"> nije </w:t>
      </w:r>
      <w:r w:rsidRPr="004C6B9A">
        <w:t xml:space="preserve">podložno prethodnoj regulaciji. </w:t>
      </w:r>
    </w:p>
    <w:p w:rsidR="00D7024A" w:rsidRPr="00BD038D" w:rsidRDefault="00D7024A" w:rsidP="00D7024A">
      <w:pPr>
        <w:jc w:val="both"/>
      </w:pPr>
    </w:p>
    <w:p w:rsidR="00D7024A" w:rsidRDefault="00D7024A" w:rsidP="00D7024A">
      <w:pPr>
        <w:jc w:val="both"/>
      </w:pPr>
      <w:r w:rsidRPr="00BD038D">
        <w:t xml:space="preserve">U skladu s navedenim, HAKOM </w:t>
      </w:r>
      <w:r>
        <w:t>ne</w:t>
      </w:r>
      <w:r w:rsidRPr="00BD038D">
        <w:t xml:space="preserve">će nastaviti postupak analize tržišta za </w:t>
      </w:r>
      <w:r>
        <w:t xml:space="preserve">ovo </w:t>
      </w:r>
      <w:r w:rsidRPr="00BD038D">
        <w:t xml:space="preserve">mjerodavno tržište </w:t>
      </w:r>
      <w:r>
        <w:t>koja</w:t>
      </w:r>
      <w:r w:rsidRPr="00BD038D">
        <w:t xml:space="preserve"> uključuje procjenu postojanja operatora sa značajnom tržišnom snagom, utvrđivanje svih postojećih i potencijalnih prepreka razvoju djelotvornom tržišnom natjecanju kao i određivanja razumnih i opravdanih regulatornih obveza operatorim</w:t>
      </w:r>
      <w:r>
        <w:t xml:space="preserve">a sa značajnom tržišnom snagom. </w:t>
      </w:r>
    </w:p>
    <w:p w:rsidR="00D7024A" w:rsidRDefault="00D7024A" w:rsidP="00D7024A">
      <w:pPr>
        <w:jc w:val="both"/>
      </w:pPr>
    </w:p>
    <w:p w:rsidR="00D7024A" w:rsidRDefault="00D7024A" w:rsidP="00D7024A">
      <w:pPr>
        <w:jc w:val="both"/>
      </w:pPr>
    </w:p>
    <w:p w:rsidR="00D7024A" w:rsidRDefault="00D7024A" w:rsidP="00D7024A">
      <w:pPr>
        <w:jc w:val="both"/>
      </w:pPr>
    </w:p>
    <w:p w:rsidR="0002586D" w:rsidRDefault="0002586D">
      <w:pPr>
        <w:rPr>
          <w:rFonts w:ascii="Segoe UI Semibold" w:eastAsiaTheme="majorEastAsia" w:hAnsi="Segoe UI Semibold" w:cstheme="majorBidi"/>
          <w:color w:val="1F3864" w:themeColor="accent1" w:themeShade="80"/>
          <w:sz w:val="32"/>
          <w:szCs w:val="32"/>
        </w:rPr>
      </w:pPr>
      <w:r>
        <w:br w:type="page"/>
      </w:r>
    </w:p>
    <w:p w:rsidR="0002586D" w:rsidRPr="0082266F" w:rsidRDefault="00DF4062" w:rsidP="0082266F">
      <w:pPr>
        <w:pStyle w:val="Heading1"/>
      </w:pPr>
      <w:bookmarkStart w:id="365" w:name="_Toc124462603"/>
      <w:bookmarkStart w:id="366" w:name="_Toc124852001"/>
      <w:bookmarkStart w:id="367" w:name="_Toc124852562"/>
      <w:bookmarkStart w:id="368" w:name="_Toc124859631"/>
      <w:bookmarkStart w:id="369" w:name="_Toc124928617"/>
      <w:bookmarkStart w:id="370" w:name="_Toc124946959"/>
      <w:bookmarkStart w:id="371" w:name="_Toc124948869"/>
      <w:bookmarkStart w:id="372" w:name="_Toc124951764"/>
      <w:bookmarkStart w:id="373" w:name="_Ref125566198"/>
      <w:bookmarkStart w:id="374" w:name="_Toc125644912"/>
      <w:r w:rsidRPr="0082266F">
        <w:t xml:space="preserve">Procjena </w:t>
      </w:r>
      <w:r w:rsidR="00F656C0" w:rsidRPr="0082266F">
        <w:t>posto</w:t>
      </w:r>
      <w:r w:rsidRPr="0082266F">
        <w:t>janja operatora sa značajnom  tržišnom snagom</w:t>
      </w:r>
      <w:bookmarkEnd w:id="365"/>
      <w:bookmarkEnd w:id="366"/>
      <w:bookmarkEnd w:id="367"/>
      <w:bookmarkEnd w:id="368"/>
      <w:bookmarkEnd w:id="369"/>
      <w:bookmarkEnd w:id="370"/>
      <w:bookmarkEnd w:id="371"/>
      <w:bookmarkEnd w:id="372"/>
      <w:bookmarkEnd w:id="373"/>
      <w:bookmarkEnd w:id="374"/>
    </w:p>
    <w:p w:rsidR="008921B7" w:rsidRPr="008921B7" w:rsidRDefault="008921B7" w:rsidP="008921B7"/>
    <w:p w:rsidR="008921B7" w:rsidRPr="0082266F" w:rsidRDefault="008921B7" w:rsidP="0082266F">
      <w:pPr>
        <w:pStyle w:val="Heading2"/>
      </w:pPr>
      <w:bookmarkStart w:id="375" w:name="_Toc124928618"/>
      <w:bookmarkStart w:id="376" w:name="_Toc124946960"/>
      <w:bookmarkStart w:id="377" w:name="_Toc124948870"/>
      <w:bookmarkStart w:id="378" w:name="_Toc124951765"/>
      <w:bookmarkStart w:id="379" w:name="_Toc125644913"/>
      <w:r w:rsidRPr="0082266F">
        <w:t>Cilj i predmet analize tržišta</w:t>
      </w:r>
      <w:bookmarkEnd w:id="375"/>
      <w:bookmarkEnd w:id="376"/>
      <w:bookmarkEnd w:id="377"/>
      <w:bookmarkEnd w:id="378"/>
      <w:bookmarkEnd w:id="379"/>
    </w:p>
    <w:p w:rsidR="008921B7" w:rsidRDefault="008921B7" w:rsidP="008921B7">
      <w:pPr>
        <w:jc w:val="both"/>
      </w:pPr>
      <w:r>
        <w:t xml:space="preserve">HAKOM je u </w:t>
      </w:r>
      <w:r w:rsidRPr="0083749B">
        <w:t xml:space="preserve">poglavlju </w:t>
      </w:r>
      <w:r w:rsidR="00161247" w:rsidRPr="0083749B">
        <w:fldChar w:fldCharType="begin"/>
      </w:r>
      <w:r w:rsidR="00161247" w:rsidRPr="0083749B">
        <w:instrText xml:space="preserve"> REF _Ref125565881 \r \h </w:instrText>
      </w:r>
      <w:r w:rsidR="0083749B">
        <w:instrText xml:space="preserve"> \* MERGEFORMAT </w:instrText>
      </w:r>
      <w:r w:rsidR="00161247" w:rsidRPr="0083749B">
        <w:fldChar w:fldCharType="separate"/>
      </w:r>
      <w:r w:rsidR="00161247" w:rsidRPr="0083749B">
        <w:t>3.1</w:t>
      </w:r>
      <w:r w:rsidR="00161247" w:rsidRPr="0083749B">
        <w:fldChar w:fldCharType="end"/>
      </w:r>
      <w:r>
        <w:t xml:space="preserve"> ovog dokumenta obrazložio zašto smatra potrebnim tržište usluge širokopojasnog pristupa internetu na maloprodajnoj razini, a time posljedično i na veleprodajnoj razini podijeliti na tržište malog kapaciteta i tržište velikog kapaciteta. Nadalje, HAKOM je u </w:t>
      </w:r>
      <w:r w:rsidRPr="0083749B">
        <w:t xml:space="preserve">poglavlju </w:t>
      </w:r>
      <w:r w:rsidR="00161247" w:rsidRPr="0083749B">
        <w:fldChar w:fldCharType="begin"/>
      </w:r>
      <w:r w:rsidR="00161247" w:rsidRPr="0083749B">
        <w:instrText xml:space="preserve"> REF _Ref125565920 \r \h </w:instrText>
      </w:r>
      <w:r w:rsidR="0083749B">
        <w:instrText xml:space="preserve"> \* MERGEFORMAT </w:instrText>
      </w:r>
      <w:r w:rsidR="00161247" w:rsidRPr="0083749B">
        <w:fldChar w:fldCharType="separate"/>
      </w:r>
      <w:r w:rsidR="00161247" w:rsidRPr="0083749B">
        <w:t>3.4.3</w:t>
      </w:r>
      <w:r w:rsidR="00161247" w:rsidRPr="0083749B">
        <w:fldChar w:fldCharType="end"/>
      </w:r>
      <w:r>
        <w:t xml:space="preserve"> ovog dokumenta odredio kako će u geografskoj dimenziji tržište malog kapaciteta biti nacionalno dok će u geografskoj dimenziji tržište velikog kapaciteta biti podijeljeno na općine i gradove te Grad Zagreb na gradske četvrti.  </w:t>
      </w:r>
    </w:p>
    <w:p w:rsidR="008921B7" w:rsidRDefault="008921B7" w:rsidP="008921B7">
      <w:pPr>
        <w:jc w:val="both"/>
      </w:pPr>
    </w:p>
    <w:p w:rsidR="008921B7" w:rsidRDefault="008921B7" w:rsidP="008921B7">
      <w:pPr>
        <w:jc w:val="both"/>
      </w:pPr>
      <w:r>
        <w:t xml:space="preserve">Na tržište malog kapaciteta, između ostalih, ulazi bakrena pristupna infrastruktura. Navedenu infrastrukturu ima isključivo HT kao povijesni operator i ista je ravnomjerno rasprostranjena na čitavom nacionalnom teritoriju RH. Alternativni operatori ne grade bakrenu pristupnu infrastrukturu niti će je graditi u budućem razdoblju uzevši u obzir kako ista može pokriti potrebe krajnjih korisnika za malim kapacitetima. Iz navedenog proizlazi kako se na tržištu malog kapaciteta uvjeti djelotvornog tržišnog natjecanja neće ostvariti na temelju infrastrukturne konkurencije, već isključivo putem veleprodajnih usluga HT-a. </w:t>
      </w:r>
    </w:p>
    <w:p w:rsidR="008921B7" w:rsidRDefault="008921B7" w:rsidP="008921B7">
      <w:pPr>
        <w:jc w:val="both"/>
      </w:pPr>
    </w:p>
    <w:p w:rsidR="008921B7" w:rsidRDefault="008921B7" w:rsidP="008921B7">
      <w:pPr>
        <w:jc w:val="both"/>
      </w:pPr>
      <w:r>
        <w:t xml:space="preserve">S druge strane, na tržištu velikog kapaciteta dominira VHCN (svjetlovodna i kabelska) infrastruktura. VHCN infrastrukturu nema samo HT kao povijesni operator, već svjetlovodnu infrastrukturu grade svi alternativni operatori. Iz navedenog proizlazi kako se na tržištu velikog kapaciteta, za razliku od malog kapaciteta, uvjeti djelotvornog tržišnog natjecanja ne ostvaruju isključivo putem veleprodajnih ponuda HT-a, već i putem infrastrukturne konkurencije. </w:t>
      </w:r>
    </w:p>
    <w:p w:rsidR="008921B7" w:rsidRDefault="008921B7" w:rsidP="008921B7">
      <w:pPr>
        <w:jc w:val="both"/>
      </w:pPr>
    </w:p>
    <w:p w:rsidR="008921B7" w:rsidRDefault="008921B7" w:rsidP="008921B7">
      <w:pPr>
        <w:jc w:val="both"/>
      </w:pPr>
      <w:r>
        <w:t>Nastavno na navedeno, a n</w:t>
      </w:r>
      <w:r w:rsidRPr="00A17B68">
        <w:t>akon utvrđivanja i određivanja mjerodavnog tržišta u dimenziji usluga i geografskoj dimenziji</w:t>
      </w:r>
      <w:r>
        <w:t xml:space="preserve"> te geografske analize tržišne konkurentnosti, </w:t>
      </w:r>
      <w:r w:rsidRPr="00A17B68">
        <w:t>HAKOM će analizom prikupljenih podataka, a u</w:t>
      </w:r>
      <w:r>
        <w:t xml:space="preserve"> skladu s člankom </w:t>
      </w:r>
      <w:r w:rsidRPr="00F05FD7">
        <w:t xml:space="preserve">96. ZEK-a </w:t>
      </w:r>
      <w:r>
        <w:t xml:space="preserve">te uzevši u obzir mjerodavne Smjernice za analizu tržišta i ocjenu značajne tržišne snage na temelju regulatornog okvira EU-a za elektroničke komunikacijske mreže i usluge (dalje: Smjernice) koje objavljuje EK </w:t>
      </w:r>
      <w:r w:rsidRPr="00A17B68">
        <w:t>ocijeniti djelotvornost tržišnog natjecanja na određenom mjerodavnom tržištu te procijeniti postoje li na istom operator</w:t>
      </w:r>
      <w:r>
        <w:t>(</w:t>
      </w:r>
      <w:r w:rsidRPr="00A17B68">
        <w:t>i</w:t>
      </w:r>
      <w:r>
        <w:t>)</w:t>
      </w:r>
      <w:r w:rsidRPr="00A17B68">
        <w:t xml:space="preserve"> sa značajnom tržišnom snagom. </w:t>
      </w:r>
      <w:r>
        <w:t xml:space="preserve"> </w:t>
      </w:r>
      <w:r w:rsidRPr="00A17B68">
        <w:t xml:space="preserve">Smatra se da operator ima značajnu tržišnu snagu ako, pojedinačno ili zajedno s drugim operatorima, ima položaj koji odgovara vladajućem, </w:t>
      </w:r>
      <w:r>
        <w:t>tj. uživa položaj</w:t>
      </w:r>
      <w:r w:rsidRPr="00A17B68">
        <w:t xml:space="preserve"> </w:t>
      </w:r>
      <w:r>
        <w:t>ekonomske snage</w:t>
      </w:r>
      <w:r w:rsidRPr="00A17B68">
        <w:t xml:space="preserve"> </w:t>
      </w:r>
      <w:r>
        <w:t xml:space="preserve">zbog koje se može </w:t>
      </w:r>
      <w:r w:rsidRPr="00A17B68">
        <w:t xml:space="preserve">u značajnoj mjeri </w:t>
      </w:r>
      <w:r>
        <w:t>ponašati</w:t>
      </w:r>
      <w:r w:rsidRPr="00A17B68">
        <w:t xml:space="preserve"> neovisno o konkurenciji, korisnicima usluga i potrošačima. </w:t>
      </w:r>
    </w:p>
    <w:p w:rsidR="008921B7" w:rsidRDefault="008921B7" w:rsidP="008921B7">
      <w:pPr>
        <w:jc w:val="both"/>
      </w:pPr>
    </w:p>
    <w:p w:rsidR="008921B7" w:rsidRDefault="008921B7" w:rsidP="008921B7">
      <w:pPr>
        <w:jc w:val="both"/>
      </w:pPr>
      <w:r>
        <w:t xml:space="preserve">Drugim riječima, HAKOM će u nastavku ovog poglavlja za tržište malog kapaciteta procjenu postojanja operatora sa značajnom tržišnom snagom provesti nacionalno odnosno jedinstveno za cijeli teritorij RH, dok će za tržište velikog kapaciteta procjenu postojanja operatora sa značajnom tržišnom snagom provesti uzevši u obzir geografsku podjelu na općine, gradove te gradske četvrti Grada Zagreba. </w:t>
      </w:r>
    </w:p>
    <w:p w:rsidR="008921B7" w:rsidRDefault="008921B7" w:rsidP="008921B7">
      <w:pPr>
        <w:jc w:val="both"/>
      </w:pPr>
    </w:p>
    <w:p w:rsidR="0082266F" w:rsidRDefault="008921B7" w:rsidP="008921B7">
      <w:pPr>
        <w:jc w:val="both"/>
      </w:pPr>
      <w:r w:rsidRPr="00270A80">
        <w:t>Prije procjenjivanja značajne tržišne snage potrebno je uzeti u obzir činjenicu da na ovom tržištu iz HT Grupe</w:t>
      </w:r>
      <w:r>
        <w:rPr>
          <w:rStyle w:val="FootnoteReference"/>
        </w:rPr>
        <w:footnoteReference w:id="46"/>
      </w:r>
      <w:r w:rsidRPr="00270A80">
        <w:t xml:space="preserve"> djelatnost elektroničkih komunikacijskih mreža i usluga n</w:t>
      </w:r>
      <w:r>
        <w:t>e obavlja samo HT, već i Iskon</w:t>
      </w:r>
      <w:r>
        <w:rPr>
          <w:rStyle w:val="FootnoteReference"/>
        </w:rPr>
        <w:footnoteReference w:id="47"/>
      </w:r>
      <w:r>
        <w:t xml:space="preserve">. </w:t>
      </w:r>
      <w:r w:rsidRPr="00270A80">
        <w:t>Slijedom nave</w:t>
      </w:r>
      <w:r>
        <w:t xml:space="preserve">denog, uzevši u obzir da se HT i </w:t>
      </w:r>
      <w:r w:rsidRPr="00270A80">
        <w:t>Iskon smatraju jednim gospodarskim subjektom HAKOM će</w:t>
      </w:r>
      <w:r>
        <w:t>,</w:t>
      </w:r>
      <w:r w:rsidRPr="00270A80">
        <w:t xml:space="preserve"> u cilju ispravne procjene stvarne tržišne snage HT-a</w:t>
      </w:r>
      <w:r>
        <w:t>,</w:t>
      </w:r>
      <w:r w:rsidRPr="00270A80">
        <w:t xml:space="preserve"> kao poduzetnika koji </w:t>
      </w:r>
      <w:r>
        <w:t>je pod nadzorom</w:t>
      </w:r>
      <w:r w:rsidRPr="00270A80">
        <w:t xml:space="preserve"> drugog poduzetnik</w:t>
      </w:r>
      <w:r>
        <w:t>a na istom mjerodavnom tržištu, procjenu raditi zajednički za HT i Iskon.</w:t>
      </w:r>
    </w:p>
    <w:p w:rsidR="0082266F" w:rsidRDefault="0082266F">
      <w:r>
        <w:br w:type="page"/>
      </w:r>
    </w:p>
    <w:p w:rsidR="008921B7" w:rsidRPr="00E970CD" w:rsidRDefault="008921B7" w:rsidP="00E970CD">
      <w:pPr>
        <w:pStyle w:val="Heading2"/>
      </w:pPr>
      <w:bookmarkStart w:id="380" w:name="_Toc124928619"/>
      <w:bookmarkStart w:id="381" w:name="_Toc124946961"/>
      <w:bookmarkStart w:id="382" w:name="_Toc124948871"/>
      <w:bookmarkStart w:id="383" w:name="_Toc124951766"/>
      <w:bookmarkStart w:id="384" w:name="_Toc125644914"/>
      <w:r w:rsidRPr="00E970CD">
        <w:t>Tržište malog kapaciteta</w:t>
      </w:r>
      <w:bookmarkEnd w:id="380"/>
      <w:bookmarkEnd w:id="381"/>
      <w:bookmarkEnd w:id="382"/>
      <w:bookmarkEnd w:id="383"/>
      <w:bookmarkEnd w:id="384"/>
    </w:p>
    <w:p w:rsidR="008921B7" w:rsidRDefault="008921B7" w:rsidP="008921B7">
      <w:pPr>
        <w:jc w:val="both"/>
      </w:pPr>
      <w:r w:rsidRPr="00D6246B">
        <w:t xml:space="preserve">U procjenjivanju pojedinačne značajne tržišne snage operatora na </w:t>
      </w:r>
      <w:r>
        <w:t xml:space="preserve">ovom </w:t>
      </w:r>
      <w:r w:rsidRPr="00D6246B">
        <w:t>mjerodavnom tržištu, HAKOM je primijenio sljedeć</w:t>
      </w:r>
      <w:r>
        <w:t>e</w:t>
      </w:r>
      <w:r w:rsidRPr="00D6246B">
        <w:t xml:space="preserve"> </w:t>
      </w:r>
      <w:r>
        <w:t>kriterije</w:t>
      </w:r>
      <w:r w:rsidRPr="00D6246B">
        <w:t xml:space="preserve">: </w:t>
      </w:r>
    </w:p>
    <w:p w:rsidR="008921B7" w:rsidRDefault="008921B7" w:rsidP="008921B7">
      <w:pPr>
        <w:jc w:val="both"/>
      </w:pPr>
    </w:p>
    <w:p w:rsidR="008921B7" w:rsidRDefault="008921B7" w:rsidP="008921B7">
      <w:pPr>
        <w:jc w:val="both"/>
      </w:pPr>
      <w:r w:rsidRPr="00D6246B">
        <w:t>- tržišni udjel operatora na mjerodavnom tržištu</w:t>
      </w:r>
      <w:r>
        <w:t>,</w:t>
      </w:r>
      <w:r w:rsidRPr="00D6246B">
        <w:t xml:space="preserve"> </w:t>
      </w:r>
    </w:p>
    <w:p w:rsidR="008921B7" w:rsidRDefault="008921B7" w:rsidP="008921B7">
      <w:pPr>
        <w:jc w:val="both"/>
      </w:pPr>
      <w:r w:rsidRPr="00D6246B">
        <w:t>- nadzor infrastrukture kod koje postoje velike zapreke razvoju infrastrukturne konkurencije</w:t>
      </w:r>
      <w:r>
        <w:t>,</w:t>
      </w:r>
    </w:p>
    <w:p w:rsidR="008921B7" w:rsidRDefault="008921B7" w:rsidP="008921B7">
      <w:pPr>
        <w:jc w:val="both"/>
      </w:pPr>
      <w:r>
        <w:t>- ekonomije razmjera,</w:t>
      </w:r>
    </w:p>
    <w:p w:rsidR="008921B7" w:rsidRDefault="008921B7" w:rsidP="008921B7">
      <w:pPr>
        <w:jc w:val="both"/>
      </w:pPr>
      <w:r>
        <w:t>- ekonomije opsega,</w:t>
      </w:r>
    </w:p>
    <w:p w:rsidR="008921B7" w:rsidRDefault="008921B7" w:rsidP="008921B7">
      <w:pPr>
        <w:jc w:val="both"/>
      </w:pPr>
      <w:r w:rsidRPr="00D6246B">
        <w:t>- stupanj vertikalne integracij</w:t>
      </w:r>
      <w:r>
        <w:t>e.</w:t>
      </w:r>
    </w:p>
    <w:p w:rsidR="008921B7" w:rsidRDefault="008921B7" w:rsidP="008921B7">
      <w:pPr>
        <w:jc w:val="both"/>
      </w:pPr>
    </w:p>
    <w:p w:rsidR="008921B7" w:rsidRPr="00E970CD" w:rsidRDefault="008921B7" w:rsidP="00E970CD">
      <w:pPr>
        <w:pStyle w:val="Heading3"/>
      </w:pPr>
      <w:bookmarkStart w:id="385" w:name="_Toc124928620"/>
      <w:bookmarkStart w:id="386" w:name="_Toc124946962"/>
      <w:bookmarkStart w:id="387" w:name="_Toc124948872"/>
      <w:bookmarkStart w:id="388" w:name="_Toc124951767"/>
      <w:bookmarkStart w:id="389" w:name="_Toc125644915"/>
      <w:r w:rsidRPr="00E970CD">
        <w:t>Tržišni udjel operatora na mjerodavnom tržištu</w:t>
      </w:r>
      <w:bookmarkEnd w:id="385"/>
      <w:bookmarkEnd w:id="386"/>
      <w:bookmarkEnd w:id="387"/>
      <w:bookmarkEnd w:id="388"/>
      <w:bookmarkEnd w:id="389"/>
    </w:p>
    <w:p w:rsidR="008921B7" w:rsidRPr="00D6246B" w:rsidRDefault="008921B7" w:rsidP="008921B7"/>
    <w:p w:rsidR="008921B7" w:rsidRDefault="008921B7" w:rsidP="008921B7">
      <w:pPr>
        <w:jc w:val="both"/>
      </w:pPr>
      <w:r w:rsidRPr="00D6246B">
        <w:t>Tržišni udjel je mjerilo relativne veličine nekog poduzetnika na tržištu, izračunato na način da se utvrdi postotak u kojem taj poduzetnik sudjeluje u ukupnoj proizvodnji i/ili prodaji nekog proizvoda i/ili usluge na predmetnom tržištu u određenom razdoblju. U skladu s</w:t>
      </w:r>
      <w:r>
        <w:t>a</w:t>
      </w:r>
      <w:r w:rsidRPr="00D6246B">
        <w:t xml:space="preserve"> Smjernicama, tržišni udjel smatra se ključnim mjerilom u procjenjivanju značajne tržišne snage operatora. Međutim, iako je malo vjerojatno da će operator koji nema značajan tržišni udjel imati vladajući položaj, prema Smjernicama, visok tržišni udjel nije sam po sebi dovoljna mjera kako bi se utvrdilo postojanje značajne tržišne snage na određenom tržištu.</w:t>
      </w:r>
    </w:p>
    <w:p w:rsidR="00895582" w:rsidRDefault="00895582" w:rsidP="008921B7">
      <w:pPr>
        <w:jc w:val="both"/>
      </w:pPr>
    </w:p>
    <w:p w:rsidR="008921B7" w:rsidRDefault="008921B7" w:rsidP="008921B7">
      <w:pPr>
        <w:jc w:val="both"/>
      </w:pPr>
      <w:r w:rsidRPr="00D6246B">
        <w:t>Sukladno praksi Europske komisije</w:t>
      </w:r>
      <w:r>
        <w:t xml:space="preserve"> u proteklom razdoblju</w:t>
      </w:r>
      <w:r w:rsidRPr="00D6246B">
        <w:t>, u situaciji u kojoj oper</w:t>
      </w:r>
      <w:r>
        <w:t>ator ima tržišni udjel iznad 40 posto</w:t>
      </w:r>
      <w:r w:rsidRPr="00D6246B">
        <w:t xml:space="preserve">, sumnja se na postojanje pojedinačne značajne tržišne snage, iako Europska komisija sumnja na postojanje vladajućeg položaja i kod nižih tržišnih udjela. Nadalje, prema utvrđenoj sudskoj praksi, </w:t>
      </w:r>
      <w:r>
        <w:t>tržišni udjel koji premašuje 50 posto</w:t>
      </w:r>
      <w:r w:rsidRPr="00D6246B">
        <w:t>, je sam po sebi, osim u iznimnim okolnostima, dovoljan dokaz postojanja vladajućeg položaja</w:t>
      </w:r>
      <w:r>
        <w:t xml:space="preserve">. </w:t>
      </w:r>
    </w:p>
    <w:p w:rsidR="008921B7" w:rsidRDefault="008921B7" w:rsidP="008921B7">
      <w:pPr>
        <w:jc w:val="both"/>
      </w:pPr>
      <w:r w:rsidRPr="00D6246B">
        <w:t>Isto tako, smatra se da operator koji na određenom tržištu ima visok tržišni udjel, uživa vladajući položaj, ukoliko je njegov tržišni udjel stabilan kroz promatrano razdoblje. Činjenica da se tržišni udjel operatora sa značajnom tržišnom snagom na mjerodavnom tržištu postupno smanjuje ukazuje da tržište postaje konkurentnije, međutim ne isključuje postojanje značajne tržišne snage na istom. S druge strane, promjenjivi tržišni udjeli pokazatelji su pomanjkanja tržišne snage na mjerodavnom tržištu.</w:t>
      </w:r>
    </w:p>
    <w:p w:rsidR="00895582" w:rsidRDefault="00895582" w:rsidP="008921B7">
      <w:pPr>
        <w:jc w:val="both"/>
      </w:pPr>
    </w:p>
    <w:p w:rsidR="008921B7" w:rsidRDefault="008921B7" w:rsidP="008921B7">
      <w:pPr>
        <w:jc w:val="both"/>
      </w:pPr>
      <w:r>
        <w:t xml:space="preserve">U ovo tržište, kako je HAKOM već naveo u </w:t>
      </w:r>
      <w:r w:rsidRPr="0083749B">
        <w:t xml:space="preserve">poglavlju </w:t>
      </w:r>
      <w:r w:rsidR="00161247" w:rsidRPr="0083749B">
        <w:fldChar w:fldCharType="begin"/>
      </w:r>
      <w:r w:rsidR="00161247" w:rsidRPr="0083749B">
        <w:instrText xml:space="preserve"> REF _Ref125565949 \r \h </w:instrText>
      </w:r>
      <w:r w:rsidR="0083749B">
        <w:instrText xml:space="preserve"> \* MERGEFORMAT </w:instrText>
      </w:r>
      <w:r w:rsidR="00161247" w:rsidRPr="0083749B">
        <w:fldChar w:fldCharType="separate"/>
      </w:r>
      <w:r w:rsidR="00161247" w:rsidRPr="0083749B">
        <w:t>3.4.1.2</w:t>
      </w:r>
      <w:r w:rsidR="00161247" w:rsidRPr="0083749B">
        <w:fldChar w:fldCharType="end"/>
      </w:r>
      <w:r>
        <w:t xml:space="preserve"> ovog dokumenta, ulaze usluge širokopojasnog pristupa koje se pružaju putem bakrene pristupne mreže. U geografskoj dimenziji HAKOM je za ovo tržište odredio cijeli teritorij RH. </w:t>
      </w:r>
    </w:p>
    <w:p w:rsidR="008921B7" w:rsidRDefault="008921B7" w:rsidP="008921B7">
      <w:pPr>
        <w:jc w:val="both"/>
      </w:pPr>
    </w:p>
    <w:p w:rsidR="008921B7" w:rsidRDefault="008921B7" w:rsidP="008921B7">
      <w:pPr>
        <w:jc w:val="both"/>
      </w:pPr>
      <w:r>
        <w:t xml:space="preserve">Naime, alternativni operatori grade isključivo VHCN mreže tako da njihova eventualna LLU usluga na toj infrastrukturi neće biti zamjenska usluga za HT-ovu LLU uslugu jer se VHCN mreže koriste kako bi se u najvećoj mjeri ponudile usluge velikog kapaciteta. </w:t>
      </w:r>
    </w:p>
    <w:p w:rsidR="008921B7" w:rsidRDefault="008921B7" w:rsidP="008921B7">
      <w:pPr>
        <w:jc w:val="both"/>
      </w:pPr>
    </w:p>
    <w:p w:rsidR="008921B7" w:rsidRDefault="008921B7" w:rsidP="008921B7">
      <w:pPr>
        <w:jc w:val="both"/>
      </w:pPr>
      <w:r>
        <w:t xml:space="preserve">Nastavno na sve prethodno navedeno, HAKOM zaključuje kako HT na ovom tržištu ima 100-tni tržišni udio te da će isti ostati visok i stabilan u razdoblju na koji se odnosi ova analiza. </w:t>
      </w:r>
    </w:p>
    <w:p w:rsidR="008921B7" w:rsidRDefault="008921B7" w:rsidP="008921B7">
      <w:pPr>
        <w:jc w:val="both"/>
      </w:pPr>
    </w:p>
    <w:p w:rsidR="008921B7" w:rsidRPr="00E970CD" w:rsidRDefault="008921B7" w:rsidP="00E970CD">
      <w:pPr>
        <w:pStyle w:val="Heading3"/>
      </w:pPr>
      <w:bookmarkStart w:id="390" w:name="_Toc124928621"/>
      <w:bookmarkStart w:id="391" w:name="_Toc124946963"/>
      <w:bookmarkStart w:id="392" w:name="_Toc124948873"/>
      <w:bookmarkStart w:id="393" w:name="_Toc124951768"/>
      <w:bookmarkStart w:id="394" w:name="_Toc125644916"/>
      <w:r w:rsidRPr="00E970CD">
        <w:t>Nadzor infrastrukture kod koje postoje velike zapreke razvoju infrastrukturne  konkurencije</w:t>
      </w:r>
      <w:bookmarkEnd w:id="390"/>
      <w:bookmarkEnd w:id="391"/>
      <w:bookmarkEnd w:id="392"/>
      <w:bookmarkEnd w:id="393"/>
      <w:bookmarkEnd w:id="394"/>
    </w:p>
    <w:p w:rsidR="008921B7" w:rsidRDefault="008921B7" w:rsidP="008921B7">
      <w:pPr>
        <w:jc w:val="both"/>
      </w:pPr>
    </w:p>
    <w:p w:rsidR="008921B7" w:rsidRDefault="008921B7" w:rsidP="008921B7">
      <w:pPr>
        <w:jc w:val="both"/>
      </w:pPr>
      <w:r w:rsidRPr="00AB755E">
        <w:t xml:space="preserve">Smjernice </w:t>
      </w:r>
      <w:r>
        <w:t>ističu</w:t>
      </w:r>
      <w:r w:rsidRPr="00AB755E">
        <w:t xml:space="preserve"> da je nadzor infrastrukture koja se ne može lako replicirati, važan kriterij za procjenu postojanja značajne tržišne snage. To je vidljivo u slučaju kada je infrastruktura isključivo ili pretežno u vlasništvu određenog poduzetnika i postoje visoke prepreke povezane s repliciranjem takve infrastrukture, a pristup potrebnoj infrastrukturi neophodan je za pružanje određenog proizvoda ili usluge.</w:t>
      </w:r>
    </w:p>
    <w:p w:rsidR="008921B7" w:rsidRDefault="008921B7" w:rsidP="008921B7">
      <w:pPr>
        <w:jc w:val="both"/>
      </w:pPr>
    </w:p>
    <w:p w:rsidR="008921B7" w:rsidRDefault="008921B7" w:rsidP="008921B7">
      <w:pPr>
        <w:jc w:val="both"/>
      </w:pPr>
      <w:r>
        <w:t>Nadzor</w:t>
      </w:r>
      <w:r w:rsidRPr="00AB755E">
        <w:t xml:space="preserve"> nad infrastrukturom može bivšem monopolistu donijeti troškovnu prednost dok vrijeme i trošak povezan s repliciranjem takve infrastrukture predstavlja za druge operatore značajnu prepreku za ulazak na tržište. Vlasnik infrastrukture može još dodatno proširiti svoju tržišnu snagu na horizontalno ili vertikalno povezana tržišta.</w:t>
      </w:r>
    </w:p>
    <w:p w:rsidR="008921B7" w:rsidRDefault="008921B7" w:rsidP="008921B7">
      <w:pPr>
        <w:jc w:val="both"/>
      </w:pPr>
    </w:p>
    <w:p w:rsidR="008921B7" w:rsidRDefault="008921B7" w:rsidP="008921B7">
      <w:pPr>
        <w:jc w:val="both"/>
      </w:pPr>
      <w:r>
        <w:t xml:space="preserve">Alternativnim operatorima je gradnja vlastite bakrene pristupne infrastrukture u potpunosti neisplativa. Naime, bakrena infrastruktura može pokriti potrebe krajnjih korisnika samo za malim kapacitetima, a potrebe krajnjih korisnika u razdoblju na koje se odnosi ova analiza isključivo će se odnositi na potrebe za velikim kapacitetima koje mogu omogućiti VHCN mreže. </w:t>
      </w:r>
    </w:p>
    <w:p w:rsidR="008921B7" w:rsidRDefault="008921B7" w:rsidP="008921B7">
      <w:pPr>
        <w:jc w:val="both"/>
      </w:pPr>
    </w:p>
    <w:p w:rsidR="008921B7" w:rsidRDefault="008921B7" w:rsidP="008921B7">
      <w:pPr>
        <w:jc w:val="both"/>
      </w:pPr>
      <w:r>
        <w:t xml:space="preserve">Nastavno na navedeno, HT ima te će i u budućem razdoblju nastaviti imati monopol nad bakrenom infrastrukturom putem koje se krajnjim korisnicima pruža usluga širokopojasnog pristupa malog kapaciteta. </w:t>
      </w:r>
    </w:p>
    <w:p w:rsidR="008921B7" w:rsidRDefault="008921B7" w:rsidP="008921B7">
      <w:pPr>
        <w:jc w:val="both"/>
      </w:pPr>
    </w:p>
    <w:p w:rsidR="008921B7" w:rsidRPr="00E970CD" w:rsidRDefault="008921B7" w:rsidP="00E970CD">
      <w:pPr>
        <w:pStyle w:val="Heading3"/>
      </w:pPr>
      <w:bookmarkStart w:id="395" w:name="_Toc124928622"/>
      <w:bookmarkStart w:id="396" w:name="_Toc124946964"/>
      <w:bookmarkStart w:id="397" w:name="_Toc124948874"/>
      <w:bookmarkStart w:id="398" w:name="_Toc124951769"/>
      <w:bookmarkStart w:id="399" w:name="_Toc125644917"/>
      <w:r w:rsidRPr="00E970CD">
        <w:t>Ekonomije razmjera</w:t>
      </w:r>
      <w:bookmarkEnd w:id="395"/>
      <w:bookmarkEnd w:id="396"/>
      <w:bookmarkEnd w:id="397"/>
      <w:bookmarkEnd w:id="398"/>
      <w:bookmarkEnd w:id="399"/>
    </w:p>
    <w:p w:rsidR="008921B7" w:rsidRDefault="008921B7" w:rsidP="008921B7">
      <w:pPr>
        <w:jc w:val="both"/>
      </w:pPr>
    </w:p>
    <w:p w:rsidR="008921B7" w:rsidRDefault="008921B7" w:rsidP="008921B7">
      <w:pPr>
        <w:jc w:val="both"/>
      </w:pPr>
      <w:r w:rsidRPr="00890534">
        <w:t>Ekonomije razmjera (</w:t>
      </w:r>
      <w:proofErr w:type="spellStart"/>
      <w:r w:rsidRPr="00890534">
        <w:t>eng</w:t>
      </w:r>
      <w:proofErr w:type="spellEnd"/>
      <w:r w:rsidRPr="00890534">
        <w:t xml:space="preserve">. </w:t>
      </w:r>
      <w:proofErr w:type="spellStart"/>
      <w:r w:rsidRPr="00890534">
        <w:rPr>
          <w:i/>
        </w:rPr>
        <w:t>economies</w:t>
      </w:r>
      <w:proofErr w:type="spellEnd"/>
      <w:r w:rsidRPr="00890534">
        <w:rPr>
          <w:i/>
        </w:rPr>
        <w:t xml:space="preserve"> </w:t>
      </w:r>
      <w:proofErr w:type="spellStart"/>
      <w:r w:rsidRPr="00890534">
        <w:rPr>
          <w:i/>
        </w:rPr>
        <w:t>of</w:t>
      </w:r>
      <w:proofErr w:type="spellEnd"/>
      <w:r w:rsidRPr="00890534">
        <w:rPr>
          <w:i/>
        </w:rPr>
        <w:t xml:space="preserve"> </w:t>
      </w:r>
      <w:proofErr w:type="spellStart"/>
      <w:r w:rsidRPr="00890534">
        <w:rPr>
          <w:i/>
        </w:rPr>
        <w:t>scale</w:t>
      </w:r>
      <w:proofErr w:type="spellEnd"/>
      <w:r w:rsidRPr="00890534">
        <w:rPr>
          <w:i/>
        </w:rPr>
        <w:t>)</w:t>
      </w:r>
      <w:r w:rsidRPr="00890534">
        <w:t xml:space="preserve"> se javljaju kada prosječni troškovi proizvodnje padaju s porastom izlaznih proizvoda, dakle prosječni se troškovi smanjuju </w:t>
      </w:r>
      <w:r>
        <w:t>s povećanjem obujma proizvodnje</w:t>
      </w:r>
      <w:r w:rsidRPr="00890534">
        <w:t xml:space="preserve"> pa poduzeće s velikim obujmom proizvodnje može pokriti troškove uz nižu cijenu nego što to mogu mala poduzeća. Mogućnost osiguravanja nižih troškova, a time i nižih cijena, predstavlja važan izvor konkurentske prednosti na tržištima gdje je konkurencija cijenama glavni oblik </w:t>
      </w:r>
      <w:r>
        <w:t>nadmetanja</w:t>
      </w:r>
      <w:r w:rsidRPr="00890534">
        <w:t xml:space="preserve"> među poduzećima. </w:t>
      </w:r>
    </w:p>
    <w:p w:rsidR="008921B7" w:rsidRDefault="008921B7" w:rsidP="008921B7">
      <w:pPr>
        <w:jc w:val="both"/>
      </w:pPr>
    </w:p>
    <w:p w:rsidR="008921B7" w:rsidRPr="00A820F8" w:rsidRDefault="008921B7" w:rsidP="008921B7">
      <w:pPr>
        <w:jc w:val="both"/>
      </w:pPr>
      <w:r w:rsidRPr="00A820F8">
        <w:t>HT je trenutno, a tako će ostati i u budućem razdoblju jedini operator koji putem vlastite pristupne bakrene mreže pruža uslugu širokopojasnog pristupa</w:t>
      </w:r>
      <w:r>
        <w:t xml:space="preserve"> malog</w:t>
      </w:r>
      <w:r w:rsidRPr="00A820F8">
        <w:t xml:space="preserve"> kapaciteta krajnjim korisnicima na području RH te kao takav, zbog velike korisničke baze, uživa prednosti ekonomije razmjera pružajući navedene usluge. Iz navedenog slijedi kako je jedinični trošak HT-a za pružanje navedenih usluga puno niži od troška koji će za istu uslugu imati </w:t>
      </w:r>
      <w:r>
        <w:t xml:space="preserve">alternativni </w:t>
      </w:r>
      <w:r w:rsidRPr="00A820F8">
        <w:t xml:space="preserve">operator koji zapravo neće niti ući na ovo tržište. </w:t>
      </w:r>
    </w:p>
    <w:p w:rsidR="008921B7" w:rsidRDefault="008921B7" w:rsidP="008921B7">
      <w:pPr>
        <w:jc w:val="both"/>
      </w:pPr>
    </w:p>
    <w:p w:rsidR="008921B7" w:rsidRDefault="008921B7" w:rsidP="008921B7">
      <w:pPr>
        <w:jc w:val="both"/>
      </w:pPr>
      <w:r w:rsidRPr="00E33EC2">
        <w:t>Naime, trošak usluge pristupa javnoj komunikacijskoj mreži na fiksnoj lokaciji operatora koji koriste veleprodajnu uslugu je po broju pristupa uvijek isti, bez obzira koliko ima korisnika. Za razliku od ostalih operatora, u slučaju HT-a</w:t>
      </w:r>
      <w:r>
        <w:t>, koji ima svoju mrežu</w:t>
      </w:r>
      <w:r w:rsidRPr="00E33EC2">
        <w:t>, ukupni trošak usluge po jedinici pružanja usluge pada u odnosu na ostvareni broj pristupa.</w:t>
      </w:r>
    </w:p>
    <w:p w:rsidR="008921B7" w:rsidRDefault="008921B7" w:rsidP="008921B7">
      <w:pPr>
        <w:jc w:val="both"/>
      </w:pPr>
    </w:p>
    <w:p w:rsidR="008921B7" w:rsidRDefault="008921B7" w:rsidP="008921B7">
      <w:pPr>
        <w:jc w:val="both"/>
      </w:pPr>
      <w:r w:rsidRPr="00E33EC2">
        <w:t xml:space="preserve">Isto tako, HT ima najveću bazu korisnika i </w:t>
      </w:r>
      <w:r>
        <w:t>jedini ima bakrenu pristupnu infrastrukturu, odnosno infrastrukturu koju iz ekonomskih razloga nitko od alternativnih operatora neće niti duplicirati. I</w:t>
      </w:r>
      <w:r w:rsidRPr="00E33EC2">
        <w:t xml:space="preserve">z </w:t>
      </w:r>
      <w:r>
        <w:t xml:space="preserve">toga </w:t>
      </w:r>
      <w:r w:rsidRPr="00E33EC2">
        <w:t xml:space="preserve">proizlaze osnovne prednosti HT-a vezane za ekonomije razmjera. </w:t>
      </w:r>
      <w:r>
        <w:t xml:space="preserve">Uzevši u obzir </w:t>
      </w:r>
      <w:r w:rsidRPr="00E33EC2">
        <w:t xml:space="preserve">da HT, iz razloga što ima nadzor nad infrastrukturom koju </w:t>
      </w:r>
      <w:r>
        <w:t>nitko neće</w:t>
      </w:r>
      <w:r w:rsidRPr="00E33EC2">
        <w:t xml:space="preserve"> duplicirati, </w:t>
      </w:r>
      <w:r>
        <w:t>usluge širokopojasnog pristupa malog kapaciteta</w:t>
      </w:r>
      <w:r w:rsidRPr="00E33EC2">
        <w:t xml:space="preserve"> pruža putem vlastite mreže (za vlastite potrebe; </w:t>
      </w:r>
      <w:proofErr w:type="spellStart"/>
      <w:r w:rsidRPr="00E33EC2">
        <w:t>eng</w:t>
      </w:r>
      <w:proofErr w:type="spellEnd"/>
      <w:r w:rsidRPr="00E33EC2">
        <w:t xml:space="preserve">. </w:t>
      </w:r>
      <w:proofErr w:type="spellStart"/>
      <w:r w:rsidRPr="00C80059">
        <w:rPr>
          <w:i/>
        </w:rPr>
        <w:t>self</w:t>
      </w:r>
      <w:proofErr w:type="spellEnd"/>
      <w:r w:rsidRPr="00C80059">
        <w:rPr>
          <w:i/>
        </w:rPr>
        <w:t xml:space="preserve"> </w:t>
      </w:r>
      <w:proofErr w:type="spellStart"/>
      <w:r w:rsidRPr="00C80059">
        <w:rPr>
          <w:i/>
        </w:rPr>
        <w:t>supply</w:t>
      </w:r>
      <w:proofErr w:type="spellEnd"/>
      <w:r w:rsidRPr="00E33EC2">
        <w:t xml:space="preserve">), a ostali </w:t>
      </w:r>
      <w:r>
        <w:t>alternativni operatori</w:t>
      </w:r>
      <w:r w:rsidRPr="00E33EC2">
        <w:t xml:space="preserve"> </w:t>
      </w:r>
      <w:r>
        <w:t>usluge širokopojasnog pristupa malog kapaciteta</w:t>
      </w:r>
      <w:r w:rsidRPr="00E33EC2">
        <w:t xml:space="preserve"> </w:t>
      </w:r>
      <w:r>
        <w:t>ugovaraju</w:t>
      </w:r>
      <w:r w:rsidRPr="00E33EC2">
        <w:t xml:space="preserve"> na veleprodajnoj razini, lako je zaključiti da je HT u poziciji u kojoj može koristi</w:t>
      </w:r>
      <w:r>
        <w:t>ti prednosti ekonomije razmjera</w:t>
      </w:r>
      <w:r w:rsidRPr="00E33EC2">
        <w:t xml:space="preserve"> dok kod ostalih operatora to nije slučaj.</w:t>
      </w:r>
    </w:p>
    <w:p w:rsidR="008921B7" w:rsidRDefault="008921B7" w:rsidP="008921B7">
      <w:pPr>
        <w:jc w:val="both"/>
      </w:pPr>
    </w:p>
    <w:p w:rsidR="008921B7" w:rsidRPr="00E970CD" w:rsidRDefault="008921B7" w:rsidP="00E970CD">
      <w:pPr>
        <w:pStyle w:val="Heading3"/>
      </w:pPr>
      <w:bookmarkStart w:id="400" w:name="_Toc124928623"/>
      <w:bookmarkStart w:id="401" w:name="_Toc124946965"/>
      <w:bookmarkStart w:id="402" w:name="_Toc124948875"/>
      <w:bookmarkStart w:id="403" w:name="_Toc124951770"/>
      <w:bookmarkStart w:id="404" w:name="_Toc125644918"/>
      <w:r w:rsidRPr="00E970CD">
        <w:t>Ekonomije opsega</w:t>
      </w:r>
      <w:bookmarkEnd w:id="400"/>
      <w:bookmarkEnd w:id="401"/>
      <w:bookmarkEnd w:id="402"/>
      <w:bookmarkEnd w:id="403"/>
      <w:bookmarkEnd w:id="404"/>
    </w:p>
    <w:p w:rsidR="008921B7" w:rsidRPr="008921B7" w:rsidRDefault="008921B7" w:rsidP="008921B7"/>
    <w:p w:rsidR="008921B7" w:rsidRDefault="008921B7" w:rsidP="008921B7">
      <w:pPr>
        <w:jc w:val="both"/>
      </w:pPr>
      <w:r w:rsidRPr="0031122D">
        <w:t>Ekonomije opsega (</w:t>
      </w:r>
      <w:proofErr w:type="spellStart"/>
      <w:r w:rsidRPr="0031122D">
        <w:t>eng</w:t>
      </w:r>
      <w:proofErr w:type="spellEnd"/>
      <w:r w:rsidRPr="0031122D">
        <w:t xml:space="preserve">. </w:t>
      </w:r>
      <w:proofErr w:type="spellStart"/>
      <w:r>
        <w:rPr>
          <w:i/>
        </w:rPr>
        <w:t>e</w:t>
      </w:r>
      <w:r w:rsidRPr="009B1B75">
        <w:rPr>
          <w:i/>
        </w:rPr>
        <w:t>conomies</w:t>
      </w:r>
      <w:proofErr w:type="spellEnd"/>
      <w:r w:rsidRPr="009B1B75">
        <w:rPr>
          <w:i/>
        </w:rPr>
        <w:t xml:space="preserve"> </w:t>
      </w:r>
      <w:proofErr w:type="spellStart"/>
      <w:r w:rsidRPr="009B1B75">
        <w:rPr>
          <w:i/>
        </w:rPr>
        <w:t>of</w:t>
      </w:r>
      <w:proofErr w:type="spellEnd"/>
      <w:r w:rsidRPr="009B1B75">
        <w:rPr>
          <w:i/>
        </w:rPr>
        <w:t xml:space="preserve"> </w:t>
      </w:r>
      <w:proofErr w:type="spellStart"/>
      <w:r w:rsidRPr="009B1B75">
        <w:rPr>
          <w:i/>
        </w:rPr>
        <w:t>scope</w:t>
      </w:r>
      <w:proofErr w:type="spellEnd"/>
      <w:r w:rsidRPr="0031122D">
        <w:t xml:space="preserve">) nastaju smanjivanjem prosječnih proizvodnih troškova koje se može postići ako poduzeće proizvodi određen broj usko povezanih proizvoda ili usluga. Ekonomije opsega postoje ako su ukupni troškovi proizvodnje dvaju ili više proizvoda manji nego proizvodnja istih proizvoda u odvojenim pogonima ili poduzećima. Navedeno predstavlja ekonomiju ušteda na troškovima do kojih dolazi objedinjenim izvođenjem velikog broja različitih aktivnosti unutar iste tvrtke, odnosno u slučaju sektora elektroničkih komunikacija, korištenjem iste mrežne infrastrukture za pružanje niza različitih maloprodajnih usluga. </w:t>
      </w:r>
    </w:p>
    <w:p w:rsidR="008921B7" w:rsidRDefault="008921B7" w:rsidP="008921B7">
      <w:pPr>
        <w:jc w:val="both"/>
      </w:pPr>
    </w:p>
    <w:p w:rsidR="008921B7" w:rsidRDefault="008921B7" w:rsidP="008921B7">
      <w:pPr>
        <w:jc w:val="both"/>
      </w:pPr>
      <w:r w:rsidRPr="009B1B75">
        <w:t xml:space="preserve">Alternativni operatori imaju u </w:t>
      </w:r>
      <w:r>
        <w:t>velikoj</w:t>
      </w:r>
      <w:r w:rsidRPr="009B1B75">
        <w:t xml:space="preserve"> mjeri razvijenu distributivnu m</w:t>
      </w:r>
      <w:r>
        <w:t>režu u smislu da na maloprodajnoj</w:t>
      </w:r>
      <w:r w:rsidRPr="009B1B75">
        <w:t xml:space="preserve"> razini </w:t>
      </w:r>
      <w:r>
        <w:t xml:space="preserve">krajnjim </w:t>
      </w:r>
      <w:r w:rsidRPr="009B1B75">
        <w:t xml:space="preserve">korisnicima mogu pružati i pružaju iste usluge koje pruža i HT. Međutim, alternativni operatori, a kao što je i navedeno pod kriterijem </w:t>
      </w:r>
      <w:r>
        <w:t>„N</w:t>
      </w:r>
      <w:r w:rsidRPr="009B1B75">
        <w:t>adzor infrastrukture</w:t>
      </w:r>
      <w:r>
        <w:t>“,</w:t>
      </w:r>
      <w:r w:rsidRPr="009B1B75">
        <w:t xml:space="preserve"> kod koje postoje velike zapreke infrastrukturne konkurencije, nemaju</w:t>
      </w:r>
      <w:r>
        <w:t xml:space="preserve"> niti će imati</w:t>
      </w:r>
      <w:r w:rsidRPr="009B1B75">
        <w:t xml:space="preserve"> zemljopisnu rasprostranjenu pristupnu </w:t>
      </w:r>
      <w:r>
        <w:t xml:space="preserve">bakrenu </w:t>
      </w:r>
      <w:r w:rsidRPr="009B1B75">
        <w:t>infrastrukturu čime na veleprodajnoj razini (također dio ekonomije opsega) ne mogu, na isti način kao i HT, pružati</w:t>
      </w:r>
      <w:r>
        <w:t xml:space="preserve"> uslugu širokopojasnog pristupa malog kapaciteta.</w:t>
      </w:r>
      <w:r w:rsidRPr="009B1B75">
        <w:t xml:space="preserve"> </w:t>
      </w:r>
    </w:p>
    <w:p w:rsidR="008921B7" w:rsidRDefault="008921B7" w:rsidP="008921B7">
      <w:pPr>
        <w:jc w:val="both"/>
      </w:pPr>
    </w:p>
    <w:p w:rsidR="008921B7" w:rsidRDefault="008921B7" w:rsidP="008921B7">
      <w:pPr>
        <w:jc w:val="both"/>
      </w:pPr>
      <w:r w:rsidRPr="009B1B75">
        <w:t xml:space="preserve">Drugim riječima, svojom prisutnošću na </w:t>
      </w:r>
      <w:r>
        <w:t>veleprodajnom</w:t>
      </w:r>
      <w:r w:rsidRPr="009B1B75">
        <w:t xml:space="preserve"> i ma</w:t>
      </w:r>
      <w:r>
        <w:t>loprodajnom tržištu</w:t>
      </w:r>
      <w:r w:rsidRPr="009B1B75">
        <w:t>, HT</w:t>
      </w:r>
      <w:r>
        <w:t>, za razliku od alternativnih operatora,</w:t>
      </w:r>
      <w:r w:rsidRPr="009B1B75">
        <w:t xml:space="preserve"> koristi prednosti ekonomije opsega</w:t>
      </w:r>
      <w:r>
        <w:t>.</w:t>
      </w:r>
      <w:r w:rsidRPr="009B1B75">
        <w:t xml:space="preserve"> Sukladno tome, ostali operatori, da bi konkurirali HT-u na način da</w:t>
      </w:r>
      <w:r>
        <w:t xml:space="preserve"> bi</w:t>
      </w:r>
      <w:r w:rsidRPr="009B1B75">
        <w:t xml:space="preserve"> i sami uživ</w:t>
      </w:r>
      <w:r>
        <w:t>ali koristi od ekonomija opsega,</w:t>
      </w:r>
      <w:r w:rsidRPr="009B1B75">
        <w:t xml:space="preserve"> trebaju istodobno ući na </w:t>
      </w:r>
      <w:r>
        <w:t xml:space="preserve">veleprodajno i maloprodajno tržište, a to ekonomski nije isplativo za tržište malog kapaciteta. </w:t>
      </w:r>
    </w:p>
    <w:p w:rsidR="008921B7" w:rsidRDefault="008921B7" w:rsidP="008921B7">
      <w:pPr>
        <w:jc w:val="both"/>
      </w:pPr>
    </w:p>
    <w:p w:rsidR="008921B7" w:rsidRDefault="008921B7" w:rsidP="008921B7">
      <w:pPr>
        <w:jc w:val="both"/>
      </w:pPr>
      <w:r>
        <w:t xml:space="preserve">Slijedom svega navedenog, vidljivo je da HT uživa prednosti ekonomije opsega na tržištu malog kapaciteta. </w:t>
      </w:r>
    </w:p>
    <w:p w:rsidR="008921B7" w:rsidRDefault="008921B7" w:rsidP="008921B7">
      <w:pPr>
        <w:jc w:val="both"/>
      </w:pPr>
    </w:p>
    <w:p w:rsidR="008921B7" w:rsidRPr="00E970CD" w:rsidRDefault="008921B7" w:rsidP="00E970CD">
      <w:pPr>
        <w:pStyle w:val="Heading3"/>
      </w:pPr>
      <w:bookmarkStart w:id="405" w:name="_Toc124928624"/>
      <w:bookmarkStart w:id="406" w:name="_Toc124946966"/>
      <w:bookmarkStart w:id="407" w:name="_Toc124948876"/>
      <w:bookmarkStart w:id="408" w:name="_Toc124951771"/>
      <w:bookmarkStart w:id="409" w:name="_Toc125644919"/>
      <w:r w:rsidRPr="00E970CD">
        <w:t>Stupanj vertikalne integracije</w:t>
      </w:r>
      <w:bookmarkEnd w:id="405"/>
      <w:bookmarkEnd w:id="406"/>
      <w:bookmarkEnd w:id="407"/>
      <w:bookmarkEnd w:id="408"/>
      <w:bookmarkEnd w:id="409"/>
    </w:p>
    <w:p w:rsidR="008921B7" w:rsidRDefault="008921B7" w:rsidP="008921B7"/>
    <w:p w:rsidR="008921B7" w:rsidRDefault="008921B7" w:rsidP="008921B7">
      <w:pPr>
        <w:jc w:val="both"/>
      </w:pPr>
      <w:r w:rsidRPr="005B6616">
        <w:t xml:space="preserve">Vertikalna integracija podrazumijeva operatora koji je prisutan na više različitih, vertikalno povezanih, veleprodajnih i maloprodajnih tržišta. Vertikalna integracija se, sukladno Smjernicama, tretira kao zauzimanje tržišne moći. Takvo zauzimanje tržišne moći je pokušaj istiskivanja konkurencije s potencijalno konkurentskog tržišta ili samo ometanje konkurencije pri ulasku na tržište. </w:t>
      </w:r>
    </w:p>
    <w:p w:rsidR="008921B7" w:rsidRDefault="008921B7" w:rsidP="008921B7">
      <w:pPr>
        <w:jc w:val="both"/>
      </w:pPr>
    </w:p>
    <w:p w:rsidR="008921B7" w:rsidRDefault="008921B7" w:rsidP="008921B7">
      <w:pPr>
        <w:jc w:val="both"/>
      </w:pPr>
      <w:r w:rsidRPr="005B6616">
        <w:t xml:space="preserve">HT je vertikalno integrirani operator koji djeluje i na tržištu veleprodajnog </w:t>
      </w:r>
      <w:r>
        <w:t>lokalnog</w:t>
      </w:r>
      <w:r w:rsidRPr="005B6616">
        <w:t xml:space="preserve"> pristupa koji se pruža na fiksnoj lokaciji gdje nudi uslugu</w:t>
      </w:r>
      <w:r>
        <w:t xml:space="preserve"> širokopojasnog pristupa malog kapaciteta putem LLU</w:t>
      </w:r>
      <w:r w:rsidRPr="005B6616">
        <w:t xml:space="preserve"> pristupa</w:t>
      </w:r>
      <w:r>
        <w:t xml:space="preserve"> </w:t>
      </w:r>
      <w:r w:rsidRPr="005B6616">
        <w:t xml:space="preserve">te na maloprodajnom tržištu širokopojasnog pristupa gdje krajnjim korisnicima nudi uslugu širokopojasnog pristupa </w:t>
      </w:r>
      <w:r>
        <w:t>malog kapaciteta</w:t>
      </w:r>
      <w:r w:rsidRPr="005B6616">
        <w:t xml:space="preserve">. </w:t>
      </w:r>
    </w:p>
    <w:p w:rsidR="008921B7" w:rsidRDefault="008921B7" w:rsidP="008921B7">
      <w:pPr>
        <w:jc w:val="both"/>
      </w:pPr>
    </w:p>
    <w:p w:rsidR="008921B7" w:rsidRDefault="008921B7" w:rsidP="008921B7">
      <w:pPr>
        <w:jc w:val="both"/>
      </w:pPr>
      <w:r w:rsidRPr="005B6616">
        <w:t xml:space="preserve">Također, na maloprodajnom tržištu </w:t>
      </w:r>
      <w:r>
        <w:t>malog kapaciteta djeluje</w:t>
      </w:r>
      <w:r w:rsidRPr="005B6616">
        <w:t xml:space="preserve"> i </w:t>
      </w:r>
      <w:r>
        <w:t>Iskon kao društvo pod nadzorom HT-a.</w:t>
      </w:r>
      <w:r w:rsidRPr="005B6616">
        <w:t xml:space="preserve"> Na taj način, a uzimajući u obzir da HT raspolaže </w:t>
      </w:r>
      <w:r>
        <w:t>bakrenom</w:t>
      </w:r>
      <w:r w:rsidRPr="005B6616">
        <w:t xml:space="preserve"> infrastrukturom na cijelom području RH, vertikalna integracija i kontrola nad infrastrukturom pružaju mu ključnu prednost u odnosu na druge operatore na maloprodajnom tržištu, a osobito </w:t>
      </w:r>
      <w:r>
        <w:t>u odnosu na one koji nude uslugu širokopojasnog pristupa malog kapaciteta</w:t>
      </w:r>
      <w:r w:rsidRPr="005B6616">
        <w:t xml:space="preserve"> na maloprodajnom tržištu na temelju </w:t>
      </w:r>
      <w:r>
        <w:t xml:space="preserve">HT-ove </w:t>
      </w:r>
      <w:r w:rsidRPr="005B6616">
        <w:t>veleprodajne</w:t>
      </w:r>
      <w:r>
        <w:t xml:space="preserve"> LLU</w:t>
      </w:r>
      <w:r w:rsidRPr="005B6616">
        <w:t xml:space="preserve"> usluge</w:t>
      </w:r>
      <w:r>
        <w:t xml:space="preserve">. Spomenuta situacija omogućava HT-u da u odsustvu regulacije na veleprodajnom tržištu iskorištava značajnu tržišnu snagu. </w:t>
      </w:r>
    </w:p>
    <w:p w:rsidR="008921B7" w:rsidRDefault="008921B7" w:rsidP="008921B7">
      <w:pPr>
        <w:jc w:val="both"/>
      </w:pPr>
    </w:p>
    <w:p w:rsidR="008921B7" w:rsidRDefault="008921B7" w:rsidP="008921B7">
      <w:pPr>
        <w:jc w:val="both"/>
      </w:pPr>
      <w:r>
        <w:t xml:space="preserve">Drugim riječima, </w:t>
      </w:r>
      <w:r w:rsidRPr="005B6616">
        <w:t xml:space="preserve">HT otežavanjem veleprodajnog pristupa može onemogućiti </w:t>
      </w:r>
      <w:r>
        <w:t xml:space="preserve">alternativne </w:t>
      </w:r>
      <w:r w:rsidRPr="005B6616">
        <w:t>operatore pri pružanju konkurentne maloprodajne usluge</w:t>
      </w:r>
      <w:r>
        <w:t xml:space="preserve"> širokopojasnog pristupa malog kapaciteta</w:t>
      </w:r>
      <w:r w:rsidRPr="005B6616">
        <w:t xml:space="preserve"> što posljedično uzrokuje pad njihove prodaje</w:t>
      </w:r>
      <w:r>
        <w:t xml:space="preserve">, </w:t>
      </w:r>
      <w:r w:rsidRPr="005B6616">
        <w:t xml:space="preserve">prihoda kao i slabljenje njihova tržišnog položaja. Nadalje, vertikalna integracija i kontrola nad </w:t>
      </w:r>
      <w:r>
        <w:t xml:space="preserve">bakrenom pristupnom </w:t>
      </w:r>
      <w:r w:rsidRPr="005B6616">
        <w:t xml:space="preserve">infrastrukturom, u odsustvu regulacije, omogućile bi HT-u primjenjivanje diskriminacije cijenama i istiskivanje marže. </w:t>
      </w:r>
      <w:r>
        <w:t>Stoga su</w:t>
      </w:r>
      <w:r w:rsidRPr="005B6616">
        <w:t xml:space="preserve"> </w:t>
      </w:r>
      <w:r>
        <w:t xml:space="preserve">alternativni </w:t>
      </w:r>
      <w:r w:rsidRPr="005B6616">
        <w:t>operatori u ponudi svojih usluga</w:t>
      </w:r>
      <w:r>
        <w:t xml:space="preserve"> širokopojasnog pristupa malog kapaciteta</w:t>
      </w:r>
      <w:r w:rsidRPr="005B6616">
        <w:t xml:space="preserve"> ovisni o HT-u koji im omogućuje pristup do krajnjih korisnika. Slijedom svega navedenog, visoki stupanj vertikalne integracije dod</w:t>
      </w:r>
      <w:r>
        <w:t>atno jača tržišnu poziciju HT-a na ovom tržištu.</w:t>
      </w:r>
    </w:p>
    <w:p w:rsidR="008921B7" w:rsidRPr="00B97C97" w:rsidRDefault="008921B7" w:rsidP="008921B7">
      <w:pPr>
        <w:jc w:val="both"/>
      </w:pPr>
    </w:p>
    <w:p w:rsidR="008921B7" w:rsidRPr="00E970CD" w:rsidRDefault="008921B7" w:rsidP="00E970CD">
      <w:pPr>
        <w:pStyle w:val="Heading3"/>
      </w:pPr>
      <w:bookmarkStart w:id="410" w:name="_Toc124928625"/>
      <w:bookmarkStart w:id="411" w:name="_Toc124946967"/>
      <w:bookmarkStart w:id="412" w:name="_Toc124948877"/>
      <w:bookmarkStart w:id="413" w:name="_Toc124951772"/>
      <w:bookmarkStart w:id="414" w:name="_Toc125644920"/>
      <w:r w:rsidRPr="00E970CD">
        <w:t>Zaključak o procjeni postojanja operatora sa značajnom tržišnom snagom i ocjena djelotvornosti tržišnog natjecanja na tržištu malog kapaciteta</w:t>
      </w:r>
      <w:bookmarkEnd w:id="410"/>
      <w:bookmarkEnd w:id="411"/>
      <w:bookmarkEnd w:id="412"/>
      <w:bookmarkEnd w:id="413"/>
      <w:bookmarkEnd w:id="414"/>
    </w:p>
    <w:p w:rsidR="008921B7" w:rsidRPr="0071297C" w:rsidRDefault="008921B7" w:rsidP="008921B7">
      <w:pPr>
        <w:jc w:val="both"/>
      </w:pPr>
    </w:p>
    <w:p w:rsidR="008921B7" w:rsidRDefault="008921B7" w:rsidP="008921B7">
      <w:pPr>
        <w:jc w:val="both"/>
      </w:pPr>
      <w:r w:rsidRPr="0071297C">
        <w:t>HAKOM je postojanje značajne tržišne sn</w:t>
      </w:r>
      <w:r>
        <w:t>age HT-a utvrdio na temelju 100-tnog</w:t>
      </w:r>
      <w:r w:rsidRPr="0071297C">
        <w:t xml:space="preserve"> tržišnog udjel</w:t>
      </w:r>
      <w:r>
        <w:t xml:space="preserve">a te ostalih mjerila koje HAKOM može koristiti na temelju članka 96. ZEK-a kao što su: </w:t>
      </w:r>
      <w:r w:rsidRPr="0071297C">
        <w:t xml:space="preserve">nadzor infrastrukture kod koje postoje velike zapreke razvoju infrastrukturne konkurencije, ekonomije razmjera, ekonomije opsega te stupanj vertikalne integracije. </w:t>
      </w:r>
    </w:p>
    <w:p w:rsidR="008921B7" w:rsidRDefault="008921B7" w:rsidP="008921B7">
      <w:pPr>
        <w:jc w:val="both"/>
      </w:pPr>
    </w:p>
    <w:p w:rsidR="008921B7" w:rsidRDefault="008921B7" w:rsidP="008921B7">
      <w:pPr>
        <w:jc w:val="both"/>
      </w:pPr>
      <w:r w:rsidRPr="0071297C">
        <w:t xml:space="preserve">HAKOM smatra da analiza drugih mjerila nije potrebna, odnosno da druga mjerila, pored gore analiziranih, ne bi dovela do </w:t>
      </w:r>
      <w:r>
        <w:t xml:space="preserve">drugačijeg zaključka odnosno </w:t>
      </w:r>
      <w:r w:rsidRPr="0071297C">
        <w:t xml:space="preserve">zaključka da HT nema značajnu tržišnu snagu na tržištu </w:t>
      </w:r>
      <w:r>
        <w:t xml:space="preserve">malog kapaciteta. </w:t>
      </w:r>
    </w:p>
    <w:p w:rsidR="008921B7" w:rsidRDefault="008921B7" w:rsidP="008921B7">
      <w:pPr>
        <w:jc w:val="both"/>
      </w:pPr>
    </w:p>
    <w:p w:rsidR="00E970CD" w:rsidRDefault="008921B7" w:rsidP="008921B7">
      <w:pPr>
        <w:jc w:val="both"/>
      </w:pPr>
      <w:r>
        <w:t>S obzirom da je HAKOM utvrdio kako HT ima izrazito dominantan položaj na ovom tržištu, HAKOM će u nastavku dokumenta na temelju prepoznatih prepreka odrediti odgovarajuće regulatorne obveze.</w:t>
      </w:r>
    </w:p>
    <w:p w:rsidR="00E970CD" w:rsidRDefault="00E970CD">
      <w:r>
        <w:br w:type="page"/>
      </w:r>
    </w:p>
    <w:p w:rsidR="008921B7" w:rsidRPr="00E970CD" w:rsidRDefault="008921B7" w:rsidP="00E970CD">
      <w:pPr>
        <w:pStyle w:val="Heading2"/>
      </w:pPr>
      <w:bookmarkStart w:id="415" w:name="_Toc124928626"/>
      <w:bookmarkStart w:id="416" w:name="_Toc124946968"/>
      <w:bookmarkStart w:id="417" w:name="_Toc124948878"/>
      <w:bookmarkStart w:id="418" w:name="_Toc124951773"/>
      <w:bookmarkStart w:id="419" w:name="_Toc125644921"/>
      <w:r w:rsidRPr="00E970CD">
        <w:t>Tržište velikog kapaciteta</w:t>
      </w:r>
      <w:bookmarkEnd w:id="415"/>
      <w:bookmarkEnd w:id="416"/>
      <w:bookmarkEnd w:id="417"/>
      <w:bookmarkEnd w:id="418"/>
      <w:bookmarkEnd w:id="419"/>
    </w:p>
    <w:p w:rsidR="008921B7" w:rsidRPr="00E970CD" w:rsidRDefault="008921B7" w:rsidP="00E970CD">
      <w:pPr>
        <w:pStyle w:val="Heading3"/>
      </w:pPr>
      <w:bookmarkStart w:id="420" w:name="_Toc124928627"/>
      <w:bookmarkStart w:id="421" w:name="_Toc124946969"/>
      <w:bookmarkStart w:id="422" w:name="_Toc124948879"/>
      <w:bookmarkStart w:id="423" w:name="_Toc124951774"/>
      <w:bookmarkStart w:id="424" w:name="_Toc125644922"/>
      <w:r w:rsidRPr="00E970CD">
        <w:t>Uvodni dio</w:t>
      </w:r>
      <w:bookmarkEnd w:id="420"/>
      <w:bookmarkEnd w:id="421"/>
      <w:bookmarkEnd w:id="422"/>
      <w:bookmarkEnd w:id="423"/>
      <w:bookmarkEnd w:id="424"/>
    </w:p>
    <w:p w:rsidR="008921B7" w:rsidRDefault="008921B7" w:rsidP="008921B7">
      <w:pPr>
        <w:jc w:val="both"/>
      </w:pPr>
    </w:p>
    <w:p w:rsidR="008921B7" w:rsidRPr="0083749B" w:rsidRDefault="008921B7" w:rsidP="008921B7">
      <w:pPr>
        <w:jc w:val="both"/>
      </w:pPr>
      <w:r>
        <w:t xml:space="preserve">HAKOM je u </w:t>
      </w:r>
      <w:r w:rsidRPr="0083749B">
        <w:t xml:space="preserve">poglavlju </w:t>
      </w:r>
      <w:r w:rsidR="00161247" w:rsidRPr="0083749B">
        <w:fldChar w:fldCharType="begin"/>
      </w:r>
      <w:r w:rsidR="00161247" w:rsidRPr="0083749B">
        <w:instrText xml:space="preserve"> REF _Ref125566000 \r \h </w:instrText>
      </w:r>
      <w:r w:rsidR="0083749B">
        <w:instrText xml:space="preserve"> \* MERGEFORMAT </w:instrText>
      </w:r>
      <w:r w:rsidR="00161247" w:rsidRPr="0083749B">
        <w:fldChar w:fldCharType="separate"/>
      </w:r>
      <w:r w:rsidR="00161247" w:rsidRPr="0083749B">
        <w:t>3.4.3.2</w:t>
      </w:r>
      <w:r w:rsidR="00161247" w:rsidRPr="0083749B">
        <w:fldChar w:fldCharType="end"/>
      </w:r>
      <w:r w:rsidRPr="0083749B">
        <w:t xml:space="preserve"> ovog dokumenta u geografskoj dimenziji tržište velikog kapaciteta podijelio na općine i gradove te gradske četvrti Grada Zagreba iz čega proizlazi kako su ukupno su za ova tržište definirana 572 geografska područja. </w:t>
      </w:r>
    </w:p>
    <w:p w:rsidR="008921B7" w:rsidRPr="0083749B" w:rsidRDefault="008921B7" w:rsidP="008921B7">
      <w:pPr>
        <w:jc w:val="both"/>
      </w:pPr>
    </w:p>
    <w:p w:rsidR="008921B7" w:rsidRDefault="008921B7" w:rsidP="008921B7">
      <w:pPr>
        <w:jc w:val="both"/>
        <w:rPr>
          <w:rFonts w:eastAsia="Times New Roman"/>
        </w:rPr>
      </w:pPr>
      <w:r w:rsidRPr="0083749B">
        <w:t xml:space="preserve">Nadalje, HAKOM je u poglavlju </w:t>
      </w:r>
      <w:r w:rsidR="0007047F" w:rsidRPr="0083749B">
        <w:fldChar w:fldCharType="begin"/>
      </w:r>
      <w:r w:rsidR="0007047F" w:rsidRPr="0083749B">
        <w:instrText xml:space="preserve"> REF _Ref125566023 \r \h </w:instrText>
      </w:r>
      <w:r w:rsidR="0083749B">
        <w:instrText xml:space="preserve"> \* MERGEFORMAT </w:instrText>
      </w:r>
      <w:r w:rsidR="0007047F" w:rsidRPr="0083749B">
        <w:fldChar w:fldCharType="separate"/>
      </w:r>
      <w:r w:rsidR="0007047F" w:rsidRPr="0083749B">
        <w:t>4</w:t>
      </w:r>
      <w:r w:rsidR="0007047F" w:rsidRPr="0083749B">
        <w:fldChar w:fldCharType="end"/>
      </w:r>
      <w:r>
        <w:t xml:space="preserve"> ovog dokumenta odredio </w:t>
      </w:r>
      <w:r w:rsidRPr="00EF27E7">
        <w:rPr>
          <w:rFonts w:eastAsia="Times New Roman"/>
        </w:rPr>
        <w:t xml:space="preserve">kriterije za utvrđivanje konkurentskih </w:t>
      </w:r>
      <w:r>
        <w:rPr>
          <w:rFonts w:eastAsia="Times New Roman"/>
        </w:rPr>
        <w:t xml:space="preserve">uvjeta u geografskim jedinicama i to: (I) </w:t>
      </w:r>
      <w:r w:rsidRPr="001F119D">
        <w:rPr>
          <w:rFonts w:eastAsia="Times New Roman"/>
        </w:rPr>
        <w:t xml:space="preserve">postojanje minimalno jedne VHCN infrastrukture </w:t>
      </w:r>
      <w:r w:rsidR="00CD66D1">
        <w:rPr>
          <w:rFonts w:eastAsia="Times New Roman"/>
        </w:rPr>
        <w:t xml:space="preserve">alternativnog operatora </w:t>
      </w:r>
      <w:r w:rsidRPr="001F119D">
        <w:rPr>
          <w:rFonts w:eastAsia="Times New Roman"/>
        </w:rPr>
        <w:t xml:space="preserve">u geografskoj jedinici, </w:t>
      </w:r>
      <w:r>
        <w:rPr>
          <w:rFonts w:eastAsia="Times New Roman"/>
        </w:rPr>
        <w:t xml:space="preserve">(II) </w:t>
      </w:r>
      <w:r w:rsidRPr="001F119D">
        <w:rPr>
          <w:rFonts w:eastAsia="Times New Roman"/>
        </w:rPr>
        <w:t xml:space="preserve">pokrivenost VHCN infrastrukture </w:t>
      </w:r>
      <w:r w:rsidR="00CD66D1">
        <w:rPr>
          <w:rFonts w:eastAsia="Times New Roman"/>
        </w:rPr>
        <w:t>alternativnog operatora</w:t>
      </w:r>
      <w:r w:rsidRPr="001F119D">
        <w:rPr>
          <w:rFonts w:eastAsia="Times New Roman"/>
        </w:rPr>
        <w:t xml:space="preserve"> s minimalno 25 posto </w:t>
      </w:r>
      <w:r>
        <w:rPr>
          <w:rFonts w:eastAsia="Times New Roman"/>
        </w:rPr>
        <w:t xml:space="preserve">korisničkih </w:t>
      </w:r>
      <w:r w:rsidRPr="001F119D">
        <w:rPr>
          <w:rFonts w:eastAsia="Times New Roman"/>
        </w:rPr>
        <w:t>jedinica u geografskoj jedinici</w:t>
      </w:r>
      <w:r>
        <w:rPr>
          <w:rFonts w:eastAsia="Times New Roman"/>
        </w:rPr>
        <w:t xml:space="preserve"> te (III) </w:t>
      </w:r>
      <w:r w:rsidRPr="001F119D">
        <w:rPr>
          <w:rFonts w:eastAsia="Times New Roman"/>
        </w:rPr>
        <w:t>tržišni udio HT Grupe na maloprodajnoj razini u geografskoj jedinici niži od 50 posto</w:t>
      </w:r>
      <w:r>
        <w:rPr>
          <w:rFonts w:eastAsia="Times New Roman"/>
        </w:rPr>
        <w:t>.</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HAKOM je također naveo kako razina konkurentskih uvjeta ovisi o broju kriterija koji su zadovoljeni. Konkretno, a kako je navedeno u poglavlju </w:t>
      </w:r>
      <w:r w:rsidR="0007047F">
        <w:rPr>
          <w:rFonts w:eastAsia="Times New Roman"/>
          <w:highlight w:val="yellow"/>
        </w:rPr>
        <w:fldChar w:fldCharType="begin"/>
      </w:r>
      <w:r w:rsidR="0007047F">
        <w:rPr>
          <w:rFonts w:eastAsia="Times New Roman"/>
        </w:rPr>
        <w:instrText xml:space="preserve"> REF _Ref125566091 \r \h </w:instrText>
      </w:r>
      <w:r w:rsidR="0007047F">
        <w:rPr>
          <w:rFonts w:eastAsia="Times New Roman"/>
          <w:highlight w:val="yellow"/>
        </w:rPr>
      </w:r>
      <w:r w:rsidR="0007047F">
        <w:rPr>
          <w:rFonts w:eastAsia="Times New Roman"/>
          <w:highlight w:val="yellow"/>
        </w:rPr>
        <w:fldChar w:fldCharType="separate"/>
      </w:r>
      <w:r w:rsidR="0007047F">
        <w:rPr>
          <w:rFonts w:eastAsia="Times New Roman"/>
        </w:rPr>
        <w:t>4</w:t>
      </w:r>
      <w:r w:rsidR="0007047F">
        <w:rPr>
          <w:rFonts w:eastAsia="Times New Roman"/>
          <w:highlight w:val="yellow"/>
        </w:rPr>
        <w:fldChar w:fldCharType="end"/>
      </w:r>
      <w:r w:rsidR="0007047F">
        <w:rPr>
          <w:rFonts w:eastAsia="Times New Roman"/>
        </w:rPr>
        <w:t xml:space="preserve"> </w:t>
      </w:r>
      <w:r>
        <w:rPr>
          <w:rFonts w:eastAsia="Times New Roman"/>
        </w:rPr>
        <w:t xml:space="preserve">jednu razinu konkurentskih uvjeta čine geografske jedinice u kojima nije zadovoljen niti jedan ili samo prvi kriterij (nekonkurentna područja </w:t>
      </w:r>
      <w:r w:rsidR="00CD66D1">
        <w:rPr>
          <w:rFonts w:eastAsia="Times New Roman"/>
        </w:rPr>
        <w:t>-</w:t>
      </w:r>
      <w:r>
        <w:rPr>
          <w:rFonts w:eastAsia="Times New Roman"/>
        </w:rPr>
        <w:t xml:space="preserve"> </w:t>
      </w:r>
      <w:r w:rsidR="00CD66D1">
        <w:rPr>
          <w:rFonts w:eastAsia="Times New Roman"/>
        </w:rPr>
        <w:t>Klaster</w:t>
      </w:r>
      <w:r>
        <w:rPr>
          <w:rFonts w:eastAsia="Times New Roman"/>
        </w:rPr>
        <w:t xml:space="preserve"> A), dok drugu razinu konkurentnih uvjeta čine geografske jedinice u kojima su zadovoljena prva dva kriterija uz poštivanje određenih iznimaka koja su detaljno opisana u tom poglavlju (nekonkurentna područja</w:t>
      </w:r>
      <w:r w:rsidR="00CD66D1">
        <w:rPr>
          <w:rFonts w:eastAsia="Times New Roman"/>
        </w:rPr>
        <w:t xml:space="preserve">- </w:t>
      </w:r>
      <w:r w:rsidR="002D636E">
        <w:rPr>
          <w:rFonts w:eastAsia="Times New Roman"/>
        </w:rPr>
        <w:t>Klas</w:t>
      </w:r>
      <w:r w:rsidR="00CD66D1">
        <w:rPr>
          <w:rFonts w:eastAsia="Times New Roman"/>
        </w:rPr>
        <w:t>ter</w:t>
      </w:r>
      <w:r>
        <w:rPr>
          <w:rFonts w:eastAsia="Times New Roman"/>
        </w:rPr>
        <w:t xml:space="preserve"> B) dok treću razinu konkurentskih uvjeta čine geografske jedinice u kojima su zadovoljena sva tri kriterija (konkurentna područja). </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S obzirom da je HAKOM Test tri mjerila na tržištu velikog kapaciteta provodio za konkurentna područja, HAKOM će na tržištu velikog kapaciteta provoditi procjenu postojanja operatora sa značajnom tržišnom snagom</w:t>
      </w:r>
      <w:r>
        <w:rPr>
          <w:rStyle w:val="FootnoteReference"/>
          <w:rFonts w:eastAsia="Times New Roman"/>
        </w:rPr>
        <w:footnoteReference w:id="48"/>
      </w:r>
      <w:r>
        <w:rPr>
          <w:rFonts w:eastAsia="Times New Roman"/>
        </w:rPr>
        <w:t xml:space="preserve"> samo za nekonkurentna područja uzevši u obzir kako konkurentna područja nisu podložna prethodnoj regulaciji, odnosno nije zadovoljen Test tri mjerila. </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HAKOM je analizirajući svaku od </w:t>
      </w:r>
      <w:r w:rsidRPr="00FF08A5">
        <w:rPr>
          <w:rFonts w:eastAsia="Times New Roman"/>
        </w:rPr>
        <w:t>572 g</w:t>
      </w:r>
      <w:r>
        <w:rPr>
          <w:rFonts w:eastAsia="Times New Roman"/>
        </w:rPr>
        <w:t xml:space="preserve">eografske jedinice došao do zaključka kako u 47 geografskih jedinica najveću pokrivenost VHCN infrastrukturom i najveći tržišni udio na maloprodajnoj razini u toj geografskoj jedinici ima jedan od alternativnih operatora. Usprkos navedenoj činjenici, HAKOM je mišljenja kako alternativni operatori ne bi trebali biti određeni operatorima sa značajnom tržišnom snagom. </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Naime, uzevši u obzir kako alternativni operatori nude na komercijalnoj osnovi pristup svojoj VHCN infrastrukturi (veleprodajna usluga FA-PON, FTTH Bitstream) odnosno omogućili su pristup svojoj VHCN infrastrukturi za sve ostale postojeće i potencijalne operatore na tržištu, HAKOM je mišljenja kako zbog navedenog nisu stvoreni uvjeti da alternativni operatori, usprkos činjenici da imaju najveću pokrivenost i/ili tržišni udio na maloprodajnoj razini u nekoj od geografskih jedinica, budu određeni operatorom sa značajnom tržišnom snagom. Nadalje, na područjima na kojoj alternativni operator i ima najveću pokrivenost VHCN infrastrukturom i/ili najveći tržišni udio na maloprodajnoj razini u toj geografskoj jedinici, to područje nema pokriveno (povijesnom) bakrenom infrastrukturom iz čega proizlazi kako ne može koristiti određene prednosti u migraciji krajnjih korisnika s usluge širokopojasnog pristupa malog kapaciteta na tu istu uslugu velikog kapaciteta, a što bi bio slučaj da ima bakrenu infrastrukturu. </w:t>
      </w:r>
    </w:p>
    <w:p w:rsidR="008921B7" w:rsidRDefault="008921B7" w:rsidP="008921B7">
      <w:pPr>
        <w:jc w:val="both"/>
        <w:rPr>
          <w:rFonts w:eastAsia="Times New Roman"/>
        </w:rPr>
      </w:pPr>
    </w:p>
    <w:p w:rsidR="008921B7" w:rsidRDefault="008921B7" w:rsidP="008921B7">
      <w:pPr>
        <w:jc w:val="both"/>
        <w:rPr>
          <w:i/>
        </w:rPr>
      </w:pPr>
      <w:r>
        <w:rPr>
          <w:rFonts w:eastAsia="Times New Roman"/>
        </w:rPr>
        <w:t xml:space="preserve">Dodatno, po mišljenju HAKOM-a, alternativni operatori usprkos činjenici da u određenim geografskim jedinicama imaju najveću pokrivenost VHCN infrastrukturom i/ili najveći tržišni udio na maloprodajnoj razini nisu, zbog nedovoljne tržišne snage, u odsustvu prethodne regulacije, u mogućnosti u toj geografskoj jedinici onemogućiti ulazak HT-a odnosno povijesnog operatora. </w:t>
      </w:r>
      <w:r w:rsidR="005208E8">
        <w:rPr>
          <w:rFonts w:eastAsia="Times New Roman"/>
        </w:rPr>
        <w:t>T</w:t>
      </w:r>
      <w:r>
        <w:rPr>
          <w:rFonts w:eastAsia="Times New Roman"/>
        </w:rPr>
        <w:t xml:space="preserve">akve izazove tržišnog natjecanja moguće je riješiti kroz simetričnu regulaciju. Naime, </w:t>
      </w:r>
      <w:r>
        <w:t xml:space="preserve">prema odredbama članka 93. stavka 5. ZEK-a HAKOM </w:t>
      </w:r>
      <w:r w:rsidRPr="00604F20">
        <w:rPr>
          <w:i/>
        </w:rPr>
        <w:t>može odrediti obveze omogućivanja pristupa, na razuman zahtjev, žičnim instalacijama i kabelima te povezanoj opremi unutar zgrada, ili do prve sabirne ili razdjelne točke, na način koji utvrdi Agencija, kada je ta točka smještena izvan zgrade</w:t>
      </w:r>
      <w:r>
        <w:t xml:space="preserve">, odnosno prema članku 93. stavku 8. ZEK-a može „… </w:t>
      </w:r>
      <w:r w:rsidRPr="006C3F24">
        <w:rPr>
          <w:i/>
        </w:rPr>
        <w:t>proširiti određivanje takvih obveza pristupa iza prve sabirne ili razdjelne točke, i to sve do točke za koju utvrdi da je najbliža krajnjim korisnicima, a u koju se može smjestiti dostatan broj veza krajnjih korisnika kako bi se učinkovitim tražiteljima pristupa omogućila tržišna održivost</w:t>
      </w:r>
      <w:r>
        <w:rPr>
          <w:i/>
        </w:rPr>
        <w:t xml:space="preserve">…“.  </w:t>
      </w:r>
    </w:p>
    <w:p w:rsidR="008921B7" w:rsidRPr="00963727" w:rsidRDefault="008921B7" w:rsidP="008921B7">
      <w:pPr>
        <w:jc w:val="both"/>
        <w:rPr>
          <w:rFonts w:eastAsia="Times New Roman"/>
        </w:rPr>
      </w:pPr>
    </w:p>
    <w:p w:rsidR="008921B7" w:rsidRDefault="008921B7" w:rsidP="008921B7">
      <w:pPr>
        <w:jc w:val="both"/>
        <w:rPr>
          <w:rFonts w:eastAsia="Times New Roman"/>
        </w:rPr>
      </w:pPr>
      <w:r>
        <w:rPr>
          <w:rFonts w:eastAsia="Times New Roman"/>
        </w:rPr>
        <w:t>Isto tako, važno je napomenuti daj je Europska komisija, između ostalih, u češkom slučaju</w:t>
      </w:r>
      <w:r>
        <w:rPr>
          <w:rStyle w:val="FootnoteReference"/>
          <w:rFonts w:eastAsia="Times New Roman"/>
        </w:rPr>
        <w:footnoteReference w:id="49"/>
      </w:r>
      <w:r>
        <w:rPr>
          <w:rFonts w:eastAsia="Times New Roman"/>
        </w:rPr>
        <w:t xml:space="preserve"> navela kako regulatorna tijela trebaju isto tako voditi računa da status operatora sa značajnom tržišnom snagom ne bude određeni oblik kazne za alternativne operatore koji su u određenim geografskim jedinicama uspješno uložili u gradnju i </w:t>
      </w:r>
      <w:proofErr w:type="spellStart"/>
      <w:r>
        <w:rPr>
          <w:rFonts w:eastAsia="Times New Roman"/>
        </w:rPr>
        <w:t>utilizaciju</w:t>
      </w:r>
      <w:proofErr w:type="spellEnd"/>
      <w:r>
        <w:rPr>
          <w:rFonts w:eastAsia="Times New Roman"/>
        </w:rPr>
        <w:t xml:space="preserve"> VHCN mreža. </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Nastavno na navedeno, HAKOM će procjenu postojanja operatora sa značajnom tržišnom snagom u nekonkurentnim područjima promatrati isključivo u odnosu na HT kao povijesnog operatora. </w:t>
      </w:r>
    </w:p>
    <w:p w:rsidR="008921B7" w:rsidRPr="0045742A" w:rsidRDefault="008921B7" w:rsidP="008921B7"/>
    <w:p w:rsidR="008921B7" w:rsidRPr="00E970CD" w:rsidRDefault="008921B7" w:rsidP="00E970CD">
      <w:pPr>
        <w:pStyle w:val="Heading3"/>
      </w:pPr>
      <w:bookmarkStart w:id="425" w:name="_Toc124928628"/>
      <w:bookmarkStart w:id="426" w:name="_Toc124946970"/>
      <w:bookmarkStart w:id="427" w:name="_Toc124948880"/>
      <w:bookmarkStart w:id="428" w:name="_Toc124951775"/>
      <w:bookmarkStart w:id="429" w:name="_Toc125644923"/>
      <w:r w:rsidRPr="00E970CD">
        <w:t>Mjerila za određivanje postojanja operatora sa značajnom tržišnom snagom na nekonkurentnim područjima</w:t>
      </w:r>
      <w:bookmarkEnd w:id="425"/>
      <w:bookmarkEnd w:id="426"/>
      <w:bookmarkEnd w:id="427"/>
      <w:bookmarkEnd w:id="428"/>
      <w:bookmarkEnd w:id="429"/>
    </w:p>
    <w:p w:rsidR="008921B7" w:rsidRDefault="008921B7" w:rsidP="008921B7">
      <w:pPr>
        <w:jc w:val="both"/>
      </w:pPr>
    </w:p>
    <w:p w:rsidR="008921B7" w:rsidRDefault="008921B7" w:rsidP="008921B7">
      <w:pPr>
        <w:jc w:val="both"/>
      </w:pPr>
      <w:r w:rsidRPr="00D6246B">
        <w:t xml:space="preserve">U procjenjivanju pojedinačne značajne tržišne snage operatora na </w:t>
      </w:r>
      <w:r>
        <w:t>tržištu velikog kapaciteta za nekonkurentna područja HAKOM će primijeniti ista mjerila kao kod tržišta malog kapaciteta</w:t>
      </w:r>
      <w:r>
        <w:rPr>
          <w:rStyle w:val="FootnoteReference"/>
        </w:rPr>
        <w:footnoteReference w:id="50"/>
      </w:r>
      <w:r>
        <w:t>:</w:t>
      </w:r>
    </w:p>
    <w:p w:rsidR="008921B7" w:rsidRDefault="008921B7" w:rsidP="008921B7">
      <w:pPr>
        <w:jc w:val="both"/>
      </w:pPr>
    </w:p>
    <w:p w:rsidR="008921B7" w:rsidRDefault="008921B7" w:rsidP="008921B7">
      <w:pPr>
        <w:jc w:val="both"/>
      </w:pPr>
      <w:r w:rsidRPr="00D6246B">
        <w:t>- tržišni udjel operatora na mjerodavnom tržištu</w:t>
      </w:r>
      <w:r>
        <w:t>,</w:t>
      </w:r>
      <w:r w:rsidRPr="00D6246B">
        <w:t xml:space="preserve"> </w:t>
      </w:r>
    </w:p>
    <w:p w:rsidR="008921B7" w:rsidRDefault="008921B7" w:rsidP="008921B7">
      <w:pPr>
        <w:jc w:val="both"/>
      </w:pPr>
      <w:r w:rsidRPr="00D6246B">
        <w:t>- nadzor infrastrukture kod koje postoje velike zapreke razvoju infrastrukturne konkurencije</w:t>
      </w:r>
      <w:r>
        <w:t>,</w:t>
      </w:r>
    </w:p>
    <w:p w:rsidR="008921B7" w:rsidRDefault="008921B7" w:rsidP="008921B7">
      <w:pPr>
        <w:jc w:val="both"/>
      </w:pPr>
      <w:r>
        <w:t>- ekonomije razmjera,</w:t>
      </w:r>
    </w:p>
    <w:p w:rsidR="008921B7" w:rsidRDefault="008921B7" w:rsidP="008921B7">
      <w:pPr>
        <w:jc w:val="both"/>
      </w:pPr>
      <w:r>
        <w:t>- ekonomije opsega,</w:t>
      </w:r>
    </w:p>
    <w:p w:rsidR="008921B7" w:rsidRDefault="008921B7" w:rsidP="008921B7">
      <w:pPr>
        <w:jc w:val="both"/>
      </w:pPr>
      <w:r w:rsidRPr="00D6246B">
        <w:t>- stupanj vertikalne integracij</w:t>
      </w:r>
      <w:r>
        <w:t>e.</w:t>
      </w:r>
    </w:p>
    <w:p w:rsidR="008921B7" w:rsidRDefault="008921B7" w:rsidP="008921B7"/>
    <w:p w:rsidR="00F50595" w:rsidRPr="00650E30" w:rsidRDefault="00F50595" w:rsidP="008921B7"/>
    <w:p w:rsidR="008921B7" w:rsidRPr="00E970CD" w:rsidRDefault="008921B7" w:rsidP="00E970CD">
      <w:pPr>
        <w:pStyle w:val="Heading3"/>
      </w:pPr>
      <w:bookmarkStart w:id="430" w:name="_Toc124928629"/>
      <w:bookmarkStart w:id="431" w:name="_Toc124946971"/>
      <w:bookmarkStart w:id="432" w:name="_Toc124948881"/>
      <w:bookmarkStart w:id="433" w:name="_Toc124951776"/>
      <w:bookmarkStart w:id="434" w:name="_Toc125644924"/>
      <w:r w:rsidRPr="00E970CD">
        <w:t>Tržišni udjel operatora na mjerodavnom tržištu</w:t>
      </w:r>
      <w:bookmarkEnd w:id="430"/>
      <w:bookmarkEnd w:id="431"/>
      <w:bookmarkEnd w:id="432"/>
      <w:bookmarkEnd w:id="433"/>
      <w:bookmarkEnd w:id="434"/>
    </w:p>
    <w:p w:rsidR="008921B7" w:rsidRPr="005A3F60" w:rsidRDefault="008921B7" w:rsidP="008921B7"/>
    <w:p w:rsidR="008921B7" w:rsidRDefault="008921B7" w:rsidP="008921B7">
      <w:pPr>
        <w:jc w:val="both"/>
      </w:pPr>
      <w:r>
        <w:t xml:space="preserve">U ovo tržište, kako je </w:t>
      </w:r>
      <w:r w:rsidRPr="00CC4386">
        <w:t>HAKOM već naveo u poglavlju</w:t>
      </w:r>
      <w:r w:rsidR="0007047F" w:rsidRPr="00CC4386">
        <w:t xml:space="preserve"> </w:t>
      </w:r>
      <w:r w:rsidR="0007047F" w:rsidRPr="00CC4386">
        <w:fldChar w:fldCharType="begin"/>
      </w:r>
      <w:r w:rsidR="0007047F" w:rsidRPr="00CC4386">
        <w:instrText xml:space="preserve"> REF _Ref125566143 \r \h </w:instrText>
      </w:r>
      <w:r w:rsidR="00CC4386" w:rsidRPr="00CC4386">
        <w:instrText xml:space="preserve"> \* MERGEFORMAT </w:instrText>
      </w:r>
      <w:r w:rsidR="0007047F" w:rsidRPr="00CC4386">
        <w:fldChar w:fldCharType="separate"/>
      </w:r>
      <w:r w:rsidR="0007047F" w:rsidRPr="00CC4386">
        <w:t>3.4.2.2</w:t>
      </w:r>
      <w:r w:rsidR="0007047F" w:rsidRPr="00CC4386">
        <w:fldChar w:fldCharType="end"/>
      </w:r>
      <w:r w:rsidR="0007047F" w:rsidRPr="00CC4386">
        <w:t xml:space="preserve"> </w:t>
      </w:r>
      <w:r w:rsidRPr="00CC4386">
        <w:t>ovog dokumenta, ulaze usluge širokopojasnog pristupa koje se pružaju putem VHCN infrastruktura (svjetlovod i kabel). U geografskoj dimenziji HAKOM je ovo tržište podijelio na općine i gradove te gradske četvrti Grada Zagreba, s čime je tržište podijeljeno na ukupno 572 geografske jedinice.</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Kao što je već navedeno u prethodnim poglavljima,</w:t>
      </w:r>
      <w:r w:rsidRPr="00BA7276">
        <w:rPr>
          <w:rFonts w:eastAsiaTheme="minorEastAsia"/>
        </w:rPr>
        <w:t xml:space="preserve"> </w:t>
      </w:r>
      <w:r w:rsidRPr="00BA7276">
        <w:rPr>
          <w:rFonts w:eastAsia="Times New Roman"/>
        </w:rPr>
        <w:t>nekonkurentna VHCN područja čine geografske jedinice (općine/gradovi i gradske četvrti grada Zagreba) u kojima nisu ispunjena kumulativno sva tri kriterija konkurentnosti</w:t>
      </w:r>
      <w:r>
        <w:rPr>
          <w:rFonts w:eastAsia="Times New Roman"/>
        </w:rPr>
        <w:t>. Naime, u</w:t>
      </w:r>
      <w:r w:rsidRPr="002A21DF">
        <w:rPr>
          <w:rFonts w:eastAsia="Times New Roman"/>
        </w:rPr>
        <w:t>kupna pokrivenost korisničkih jedinica na nekonkurentnim područjima VHCN mrežama na kraju drugog tromjesečj</w:t>
      </w:r>
      <w:r>
        <w:rPr>
          <w:rFonts w:eastAsia="Times New Roman"/>
        </w:rPr>
        <w:t>a</w:t>
      </w:r>
      <w:r w:rsidRPr="002A21DF">
        <w:rPr>
          <w:rFonts w:eastAsia="Times New Roman"/>
        </w:rPr>
        <w:t xml:space="preserve"> 2022. je 16,71</w:t>
      </w:r>
      <w:r>
        <w:rPr>
          <w:rFonts w:eastAsia="Times New Roman"/>
        </w:rPr>
        <w:t xml:space="preserve"> posto</w:t>
      </w:r>
      <w:r w:rsidRPr="002A21DF">
        <w:rPr>
          <w:rFonts w:eastAsia="Times New Roman"/>
        </w:rPr>
        <w:t>. Pri tome HT grupa svojom VHCN mrežom pokriva 12,12</w:t>
      </w:r>
      <w:r>
        <w:rPr>
          <w:rFonts w:eastAsia="Times New Roman"/>
        </w:rPr>
        <w:t xml:space="preserve"> posto</w:t>
      </w:r>
      <w:r w:rsidRPr="002A21DF">
        <w:rPr>
          <w:rFonts w:eastAsia="Times New Roman"/>
        </w:rPr>
        <w:t xml:space="preserve"> korisničkih jedinica.</w:t>
      </w:r>
    </w:p>
    <w:p w:rsidR="008921B7" w:rsidRPr="00CD38D2" w:rsidRDefault="008921B7" w:rsidP="008921B7">
      <w:pPr>
        <w:jc w:val="both"/>
        <w:rPr>
          <w:i/>
          <w:iCs/>
          <w:color w:val="44546A" w:themeColor="text2"/>
          <w:sz w:val="18"/>
          <w:szCs w:val="18"/>
        </w:rPr>
      </w:pPr>
    </w:p>
    <w:p w:rsidR="008921B7" w:rsidRPr="00CD38D2" w:rsidRDefault="00CD38D2" w:rsidP="006A29BC">
      <w:pPr>
        <w:pStyle w:val="Caption"/>
        <w:spacing w:after="0"/>
      </w:pPr>
      <w:r>
        <w:t xml:space="preserve">Slika </w:t>
      </w:r>
      <w:r w:rsidR="00C60C6F">
        <w:fldChar w:fldCharType="begin"/>
      </w:r>
      <w:r w:rsidR="00C60C6F">
        <w:instrText xml:space="preserve"> SEQ Slika \* ARABIC </w:instrText>
      </w:r>
      <w:r w:rsidR="00C60C6F">
        <w:fldChar w:fldCharType="separate"/>
      </w:r>
      <w:r w:rsidR="006A29BC">
        <w:rPr>
          <w:noProof/>
        </w:rPr>
        <w:t>24</w:t>
      </w:r>
      <w:r w:rsidR="00C60C6F">
        <w:rPr>
          <w:noProof/>
        </w:rPr>
        <w:fldChar w:fldCharType="end"/>
      </w:r>
      <w:r>
        <w:t xml:space="preserve"> </w:t>
      </w:r>
      <w:r w:rsidR="008921B7" w:rsidRPr="00CD38D2">
        <w:t>Broj VHCN priključaka i pokrivenost na nekonkurentnim područjima Q2 2022.</w:t>
      </w:r>
    </w:p>
    <w:p w:rsidR="008921B7" w:rsidRDefault="006C59F9" w:rsidP="008921B7">
      <w:pPr>
        <w:jc w:val="both"/>
        <w:rPr>
          <w:rFonts w:eastAsia="Times New Roman"/>
        </w:rPr>
      </w:pPr>
      <w:r>
        <w:rPr>
          <w:rFonts w:eastAsia="Times New Roman"/>
          <w:noProof/>
          <w:lang w:val="en-US"/>
        </w:rPr>
        <w:drawing>
          <wp:inline distT="0" distB="0" distL="0" distR="0" wp14:anchorId="24E45E01" wp14:editId="7B8AFAEF">
            <wp:extent cx="4785995" cy="2377440"/>
            <wp:effectExtent l="0" t="0" r="0" b="381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85995" cy="2377440"/>
                    </a:xfrm>
                    <a:prstGeom prst="rect">
                      <a:avLst/>
                    </a:prstGeom>
                    <a:noFill/>
                  </pic:spPr>
                </pic:pic>
              </a:graphicData>
            </a:graphic>
          </wp:inline>
        </w:drawing>
      </w:r>
    </w:p>
    <w:p w:rsidR="008921B7" w:rsidRDefault="008921B7" w:rsidP="008921B7">
      <w:pPr>
        <w:jc w:val="both"/>
        <w:rPr>
          <w:rFonts w:eastAsia="Times New Roman"/>
        </w:rPr>
      </w:pPr>
      <w:r w:rsidRPr="002D3D5B">
        <w:rPr>
          <w:rFonts w:eastAsia="Times New Roman"/>
        </w:rPr>
        <w:t>Iz donjeg dijagrama (</w:t>
      </w:r>
      <w:r w:rsidR="00D91CE1">
        <w:rPr>
          <w:rFonts w:eastAsia="Times New Roman"/>
        </w:rPr>
        <w:fldChar w:fldCharType="begin"/>
      </w:r>
      <w:r w:rsidR="00D91CE1">
        <w:rPr>
          <w:rFonts w:eastAsia="Times New Roman"/>
        </w:rPr>
        <w:instrText xml:space="preserve"> REF _Ref124401419 \h </w:instrText>
      </w:r>
      <w:r w:rsidR="00D91CE1">
        <w:rPr>
          <w:rFonts w:eastAsia="Times New Roman"/>
        </w:rPr>
      </w:r>
      <w:r w:rsidR="00D91CE1">
        <w:rPr>
          <w:rFonts w:eastAsia="Times New Roman"/>
        </w:rPr>
        <w:fldChar w:fldCharType="separate"/>
      </w:r>
      <w:r w:rsidR="00D91CE1">
        <w:t xml:space="preserve">Slika </w:t>
      </w:r>
      <w:r w:rsidR="00D91CE1">
        <w:rPr>
          <w:noProof/>
        </w:rPr>
        <w:t>25</w:t>
      </w:r>
      <w:r w:rsidR="00D91CE1">
        <w:rPr>
          <w:rFonts w:eastAsia="Times New Roman"/>
        </w:rPr>
        <w:fldChar w:fldCharType="end"/>
      </w:r>
      <w:r w:rsidRPr="002D3D5B">
        <w:rPr>
          <w:rFonts w:eastAsia="Times New Roman"/>
        </w:rPr>
        <w:t>), koji prikazuje udjele broja korisnika ko</w:t>
      </w:r>
      <w:r>
        <w:rPr>
          <w:rFonts w:eastAsia="Times New Roman"/>
        </w:rPr>
        <w:t xml:space="preserve">ji koristi usluge </w:t>
      </w:r>
      <w:r w:rsidRPr="002D3D5B">
        <w:rPr>
          <w:rFonts w:eastAsia="Times New Roman"/>
        </w:rPr>
        <w:t>širokopojasnog pristupa velikog kapaciteta na nekonkurentnim područjima po vrsti mreže, vidljivo je da se na kraju drugog tromjesečja 2022</w:t>
      </w:r>
      <w:r>
        <w:rPr>
          <w:rFonts w:eastAsia="Times New Roman"/>
        </w:rPr>
        <w:t>.,</w:t>
      </w:r>
      <w:r w:rsidRPr="002D3D5B">
        <w:rPr>
          <w:rFonts w:eastAsia="Times New Roman"/>
        </w:rPr>
        <w:t xml:space="preserve"> najveći d</w:t>
      </w:r>
      <w:r>
        <w:rPr>
          <w:rFonts w:eastAsia="Times New Roman"/>
        </w:rPr>
        <w:t>io od 57,98 posto</w:t>
      </w:r>
      <w:r w:rsidRPr="002D3D5B">
        <w:rPr>
          <w:rFonts w:eastAsia="Times New Roman"/>
        </w:rPr>
        <w:t xml:space="preserve"> </w:t>
      </w:r>
      <w:r>
        <w:rPr>
          <w:rFonts w:eastAsia="Times New Roman"/>
        </w:rPr>
        <w:t>su korisnici spojeni</w:t>
      </w:r>
      <w:r w:rsidRPr="002D3D5B">
        <w:rPr>
          <w:rFonts w:eastAsia="Times New Roman"/>
        </w:rPr>
        <w:t xml:space="preserve"> putem svjetlovodne </w:t>
      </w:r>
      <w:r>
        <w:rPr>
          <w:rFonts w:eastAsia="Times New Roman"/>
        </w:rPr>
        <w:t>infrastrukture HT-a, dok je 20,57 posto</w:t>
      </w:r>
      <w:r w:rsidRPr="002D3D5B">
        <w:rPr>
          <w:rFonts w:eastAsia="Times New Roman"/>
        </w:rPr>
        <w:t xml:space="preserve"> korisnika priključeno na svjetlovodne mreže alternativnih operatora.</w:t>
      </w:r>
    </w:p>
    <w:p w:rsidR="00CD66D1" w:rsidRDefault="00CD66D1" w:rsidP="008921B7">
      <w:pPr>
        <w:jc w:val="both"/>
        <w:rPr>
          <w:rFonts w:eastAsia="Times New Roman"/>
        </w:rPr>
      </w:pPr>
    </w:p>
    <w:p w:rsidR="008921B7" w:rsidRPr="00CD38D2" w:rsidRDefault="00CD38D2" w:rsidP="006A29BC">
      <w:pPr>
        <w:pStyle w:val="Caption"/>
        <w:spacing w:after="0"/>
      </w:pPr>
      <w:bookmarkStart w:id="435" w:name="_Ref124401419"/>
      <w:bookmarkStart w:id="436" w:name="_Ref124402893"/>
      <w:r>
        <w:t xml:space="preserve">Slika </w:t>
      </w:r>
      <w:r w:rsidR="00C60C6F">
        <w:fldChar w:fldCharType="begin"/>
      </w:r>
      <w:r w:rsidR="00C60C6F">
        <w:instrText xml:space="preserve"> SEQ Slika \* ARABIC </w:instrText>
      </w:r>
      <w:r w:rsidR="00C60C6F">
        <w:fldChar w:fldCharType="separate"/>
      </w:r>
      <w:r w:rsidR="006A29BC">
        <w:rPr>
          <w:noProof/>
        </w:rPr>
        <w:t>25</w:t>
      </w:r>
      <w:r w:rsidR="00C60C6F">
        <w:rPr>
          <w:noProof/>
        </w:rPr>
        <w:fldChar w:fldCharType="end"/>
      </w:r>
      <w:bookmarkEnd w:id="435"/>
      <w:bookmarkEnd w:id="436"/>
      <w:r>
        <w:t xml:space="preserve"> </w:t>
      </w:r>
      <w:r w:rsidR="008921B7" w:rsidRPr="00CD38D2">
        <w:t>Udjeli VHCN priključaka prema operatoru na nekonkurentnim područjima</w:t>
      </w:r>
    </w:p>
    <w:p w:rsidR="008921B7" w:rsidRPr="002D3D5B" w:rsidRDefault="006C59F9" w:rsidP="008921B7">
      <w:r>
        <w:rPr>
          <w:noProof/>
          <w:lang w:val="en-US"/>
        </w:rPr>
        <w:drawing>
          <wp:inline distT="0" distB="0" distL="0" distR="0" wp14:anchorId="434478E2" wp14:editId="6D12D47E">
            <wp:extent cx="4785995" cy="200596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85995" cy="2005965"/>
                    </a:xfrm>
                    <a:prstGeom prst="rect">
                      <a:avLst/>
                    </a:prstGeom>
                    <a:noFill/>
                  </pic:spPr>
                </pic:pic>
              </a:graphicData>
            </a:graphic>
          </wp:inline>
        </w:drawing>
      </w:r>
    </w:p>
    <w:p w:rsidR="00F50595" w:rsidRDefault="00F50595" w:rsidP="008921B7">
      <w:pPr>
        <w:jc w:val="both"/>
        <w:rPr>
          <w:rFonts w:eastAsia="Times New Roman"/>
        </w:rPr>
      </w:pPr>
    </w:p>
    <w:p w:rsidR="008921B7" w:rsidRPr="002A21DF" w:rsidRDefault="008921B7" w:rsidP="008921B7">
      <w:pPr>
        <w:jc w:val="both"/>
        <w:rPr>
          <w:rFonts w:eastAsia="Times New Roman"/>
        </w:rPr>
      </w:pPr>
      <w:r>
        <w:rPr>
          <w:rFonts w:eastAsia="Times New Roman"/>
        </w:rPr>
        <w:t xml:space="preserve">Međutim, kako je ranije navedeno, u </w:t>
      </w:r>
      <w:r w:rsidRPr="002A21DF">
        <w:rPr>
          <w:rFonts w:eastAsia="Times New Roman"/>
        </w:rPr>
        <w:t xml:space="preserve">nekonkurentna VHCN područja </w:t>
      </w:r>
      <w:r>
        <w:rPr>
          <w:rFonts w:eastAsia="Times New Roman"/>
        </w:rPr>
        <w:t>ulaze</w:t>
      </w:r>
      <w:r w:rsidRPr="002A21DF">
        <w:rPr>
          <w:rFonts w:eastAsia="Times New Roman"/>
        </w:rPr>
        <w:t xml:space="preserve"> i područja gdje su </w:t>
      </w:r>
      <w:r>
        <w:rPr>
          <w:rFonts w:eastAsia="Times New Roman"/>
        </w:rPr>
        <w:t xml:space="preserve">kumulativno zadovoljena i prva dva kriterija iz čega proizlazi kako ulaze i područja kod kojih može postojati </w:t>
      </w:r>
      <w:r w:rsidRPr="002A21DF">
        <w:rPr>
          <w:rFonts w:eastAsia="Times New Roman"/>
        </w:rPr>
        <w:t>ekonomska isplativost ulaska na tržište i gradnje vlastite svjetlovodne mreže</w:t>
      </w:r>
      <w:r>
        <w:rPr>
          <w:rFonts w:eastAsia="Times New Roman"/>
        </w:rPr>
        <w:t xml:space="preserve">, stoga je ovo područje dodatno podijeljeno na </w:t>
      </w:r>
      <w:r w:rsidR="002D636E">
        <w:rPr>
          <w:rFonts w:eastAsia="Times New Roman"/>
        </w:rPr>
        <w:t>Klaster</w:t>
      </w:r>
      <w:r>
        <w:rPr>
          <w:rFonts w:eastAsia="Times New Roman"/>
        </w:rPr>
        <w:t xml:space="preserve"> A i </w:t>
      </w:r>
      <w:r w:rsidR="002D636E">
        <w:rPr>
          <w:rFonts w:eastAsia="Times New Roman"/>
        </w:rPr>
        <w:t>Klaster</w:t>
      </w:r>
      <w:r>
        <w:rPr>
          <w:rFonts w:eastAsia="Times New Roman"/>
        </w:rPr>
        <w:t xml:space="preserve"> B. </w:t>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Naime, u nekonkurentna područja </w:t>
      </w:r>
      <w:r w:rsidR="002D636E">
        <w:rPr>
          <w:rFonts w:eastAsia="Times New Roman"/>
        </w:rPr>
        <w:t>Klastera</w:t>
      </w:r>
      <w:r>
        <w:rPr>
          <w:rFonts w:eastAsia="Times New Roman"/>
        </w:rPr>
        <w:t xml:space="preserve"> A ulazi </w:t>
      </w:r>
      <w:r w:rsidRPr="0022344B">
        <w:rPr>
          <w:rFonts w:eastAsia="Times New Roman"/>
        </w:rPr>
        <w:t>471</w:t>
      </w:r>
      <w:r>
        <w:rPr>
          <w:rFonts w:eastAsia="Times New Roman"/>
        </w:rPr>
        <w:t xml:space="preserve"> geografskih jedinica i to na način da je pokrivenost korisničkih jedinica s VHCN infrastrukturom u ovom području 11,57 posto</w:t>
      </w:r>
      <w:r>
        <w:rPr>
          <w:rStyle w:val="FootnoteReference"/>
          <w:rFonts w:eastAsia="Times New Roman"/>
        </w:rPr>
        <w:footnoteReference w:id="51"/>
      </w:r>
      <w:r>
        <w:rPr>
          <w:rFonts w:eastAsia="Times New Roman"/>
        </w:rPr>
        <w:t xml:space="preserve">,dok u nekonkurentna područja </w:t>
      </w:r>
      <w:r w:rsidR="002D636E">
        <w:rPr>
          <w:rFonts w:eastAsia="Times New Roman"/>
        </w:rPr>
        <w:t>Klastera</w:t>
      </w:r>
      <w:r>
        <w:rPr>
          <w:rFonts w:eastAsia="Times New Roman"/>
        </w:rPr>
        <w:t xml:space="preserve"> B ulazi </w:t>
      </w:r>
      <w:r w:rsidRPr="00BB7EFC">
        <w:rPr>
          <w:rFonts w:eastAsia="Times New Roman"/>
        </w:rPr>
        <w:t>22</w:t>
      </w:r>
      <w:r>
        <w:rPr>
          <w:rFonts w:eastAsia="Times New Roman"/>
        </w:rPr>
        <w:t xml:space="preserve"> geografskih područja i to na način da je ukupna pokrivenost korisničkih jedinica s VHCN infrastrukturom u ovom području </w:t>
      </w:r>
      <w:r w:rsidRPr="00BB7EFC">
        <w:rPr>
          <w:rFonts w:eastAsia="Times New Roman"/>
        </w:rPr>
        <w:t>61,41</w:t>
      </w:r>
      <w:r>
        <w:rPr>
          <w:rFonts w:eastAsia="Times New Roman"/>
        </w:rPr>
        <w:t xml:space="preserve"> posto.</w:t>
      </w:r>
      <w:r>
        <w:rPr>
          <w:rStyle w:val="FootnoteReference"/>
          <w:rFonts w:eastAsia="Times New Roman"/>
        </w:rPr>
        <w:footnoteReference w:id="52"/>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Naime, gledajući pokrivenost korisničkih jedinica s VHCN infrastrukturom u </w:t>
      </w:r>
      <w:proofErr w:type="spellStart"/>
      <w:r w:rsidR="002D636E">
        <w:rPr>
          <w:rFonts w:eastAsia="Times New Roman"/>
        </w:rPr>
        <w:t>Klasteru</w:t>
      </w:r>
      <w:proofErr w:type="spellEnd"/>
      <w:r>
        <w:rPr>
          <w:rFonts w:eastAsia="Times New Roman"/>
        </w:rPr>
        <w:t xml:space="preserve"> A, najveću pokrivenost korisničkih jedinica ima HT Grupa u iznosu od 7,05 posto.</w:t>
      </w:r>
    </w:p>
    <w:p w:rsidR="008921B7" w:rsidRDefault="008921B7" w:rsidP="008921B7">
      <w:pPr>
        <w:jc w:val="both"/>
        <w:rPr>
          <w:rFonts w:eastAsia="Times New Roman"/>
          <w:color w:val="00B0F0"/>
          <w:sz w:val="20"/>
          <w:szCs w:val="20"/>
        </w:rPr>
      </w:pPr>
    </w:p>
    <w:p w:rsidR="008921B7" w:rsidRPr="006A29BC" w:rsidRDefault="006A29BC" w:rsidP="006A29BC">
      <w:pPr>
        <w:pStyle w:val="Caption"/>
        <w:spacing w:after="0"/>
      </w:pPr>
      <w:r>
        <w:t xml:space="preserve">Slika </w:t>
      </w:r>
      <w:r w:rsidR="00C60C6F">
        <w:fldChar w:fldCharType="begin"/>
      </w:r>
      <w:r w:rsidR="00C60C6F">
        <w:instrText xml:space="preserve"> SEQ Slika \* ARABIC </w:instrText>
      </w:r>
      <w:r w:rsidR="00C60C6F">
        <w:fldChar w:fldCharType="separate"/>
      </w:r>
      <w:r>
        <w:rPr>
          <w:noProof/>
        </w:rPr>
        <w:t>26</w:t>
      </w:r>
      <w:r w:rsidR="00C60C6F">
        <w:rPr>
          <w:noProof/>
        </w:rPr>
        <w:fldChar w:fldCharType="end"/>
      </w:r>
      <w:r>
        <w:t xml:space="preserve"> </w:t>
      </w:r>
      <w:r w:rsidR="008921B7" w:rsidRPr="00CD66D1">
        <w:rPr>
          <w:rFonts w:eastAsia="Times New Roman"/>
          <w:b/>
          <w:color w:val="4F81BD"/>
        </w:rPr>
        <w:t xml:space="preserve"> </w:t>
      </w:r>
      <w:r w:rsidR="008921B7" w:rsidRPr="006A29BC">
        <w:t xml:space="preserve">Broj pokrivenih korisničkih jedinica s VHCN u </w:t>
      </w:r>
      <w:proofErr w:type="spellStart"/>
      <w:r w:rsidR="002D636E" w:rsidRPr="006A29BC">
        <w:t>Klasteru</w:t>
      </w:r>
      <w:proofErr w:type="spellEnd"/>
      <w:r w:rsidR="002D636E" w:rsidRPr="006A29BC">
        <w:t xml:space="preserve"> A</w:t>
      </w:r>
    </w:p>
    <w:p w:rsidR="008921B7" w:rsidRDefault="006C59F9" w:rsidP="008921B7">
      <w:pPr>
        <w:jc w:val="both"/>
        <w:rPr>
          <w:rFonts w:eastAsia="Times New Roman"/>
        </w:rPr>
      </w:pPr>
      <w:r>
        <w:rPr>
          <w:rFonts w:eastAsia="Times New Roman"/>
          <w:noProof/>
          <w:lang w:val="en-US"/>
        </w:rPr>
        <w:drawing>
          <wp:inline distT="0" distB="0" distL="0" distR="0" wp14:anchorId="1A1E4D61" wp14:editId="669808DD">
            <wp:extent cx="4785995" cy="1731645"/>
            <wp:effectExtent l="0" t="0" r="0" b="190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85995" cy="1731645"/>
                    </a:xfrm>
                    <a:prstGeom prst="rect">
                      <a:avLst/>
                    </a:prstGeom>
                    <a:noFill/>
                  </pic:spPr>
                </pic:pic>
              </a:graphicData>
            </a:graphic>
          </wp:inline>
        </w:drawing>
      </w:r>
    </w:p>
    <w:p w:rsidR="008921B7" w:rsidRDefault="008921B7" w:rsidP="008921B7">
      <w:pPr>
        <w:jc w:val="both"/>
        <w:rPr>
          <w:rFonts w:eastAsia="Times New Roman"/>
        </w:rPr>
      </w:pPr>
      <w:r w:rsidRPr="005C4A1D">
        <w:rPr>
          <w:rFonts w:eastAsia="Times New Roman"/>
        </w:rPr>
        <w:t>Obzirom na najveću pojedinačnu pokrivenost, tržišni udio HT Grupe na maloprodajnoj razini u ovom području</w:t>
      </w:r>
      <w:r>
        <w:rPr>
          <w:rFonts w:eastAsia="Times New Roman"/>
        </w:rPr>
        <w:t xml:space="preserve"> je visok te iznosi</w:t>
      </w:r>
      <w:r w:rsidRPr="005C4A1D">
        <w:rPr>
          <w:rFonts w:eastAsia="Times New Roman"/>
        </w:rPr>
        <w:t xml:space="preserve"> 60,01 posto (</w:t>
      </w:r>
      <w:r w:rsidR="00D91CE1">
        <w:rPr>
          <w:rFonts w:eastAsia="Times New Roman"/>
        </w:rPr>
        <w:fldChar w:fldCharType="begin"/>
      </w:r>
      <w:r w:rsidR="00D91CE1">
        <w:rPr>
          <w:rFonts w:eastAsia="Times New Roman"/>
        </w:rPr>
        <w:instrText xml:space="preserve"> REF _Ref125573281 \h </w:instrText>
      </w:r>
      <w:r w:rsidR="00D91CE1">
        <w:rPr>
          <w:rFonts w:eastAsia="Times New Roman"/>
        </w:rPr>
      </w:r>
      <w:r w:rsidR="00D91CE1">
        <w:rPr>
          <w:rFonts w:eastAsia="Times New Roman"/>
        </w:rPr>
        <w:fldChar w:fldCharType="separate"/>
      </w:r>
      <w:r w:rsidR="00D91CE1">
        <w:t xml:space="preserve">Slika </w:t>
      </w:r>
      <w:r w:rsidR="00D91CE1">
        <w:rPr>
          <w:noProof/>
        </w:rPr>
        <w:t>27</w:t>
      </w:r>
      <w:r w:rsidR="00D91CE1">
        <w:rPr>
          <w:rFonts w:eastAsia="Times New Roman"/>
        </w:rPr>
        <w:fldChar w:fldCharType="end"/>
      </w:r>
      <w:r w:rsidRPr="005C4A1D">
        <w:rPr>
          <w:rFonts w:eastAsia="Times New Roman"/>
        </w:rPr>
        <w:t>).</w:t>
      </w:r>
    </w:p>
    <w:p w:rsidR="008921B7" w:rsidRPr="00204F76" w:rsidRDefault="008921B7" w:rsidP="008921B7">
      <w:pPr>
        <w:jc w:val="both"/>
        <w:rPr>
          <w:rFonts w:eastAsia="Times New Roman"/>
        </w:rPr>
      </w:pPr>
    </w:p>
    <w:p w:rsidR="008921B7" w:rsidRPr="006A29BC" w:rsidRDefault="006A29BC" w:rsidP="006A29BC">
      <w:pPr>
        <w:pStyle w:val="Caption"/>
        <w:keepNext/>
        <w:spacing w:after="0"/>
        <w:jc w:val="both"/>
      </w:pPr>
      <w:bookmarkStart w:id="437" w:name="_Ref125573281"/>
      <w:r>
        <w:t xml:space="preserve">Slika </w:t>
      </w:r>
      <w:r w:rsidR="00C60C6F">
        <w:fldChar w:fldCharType="begin"/>
      </w:r>
      <w:r w:rsidR="00C60C6F">
        <w:instrText xml:space="preserve"> SEQ Slika \* ARABIC </w:instrText>
      </w:r>
      <w:r w:rsidR="00C60C6F">
        <w:fldChar w:fldCharType="separate"/>
      </w:r>
      <w:r>
        <w:rPr>
          <w:noProof/>
        </w:rPr>
        <w:t>27</w:t>
      </w:r>
      <w:r w:rsidR="00C60C6F">
        <w:rPr>
          <w:noProof/>
        </w:rPr>
        <w:fldChar w:fldCharType="end"/>
      </w:r>
      <w:bookmarkEnd w:id="437"/>
      <w:r w:rsidR="008921B7" w:rsidRPr="00CD66D1">
        <w:rPr>
          <w:rFonts w:eastAsia="Times New Roman"/>
          <w:b/>
          <w:bCs/>
          <w:iCs w:val="0"/>
          <w:noProof/>
          <w:color w:val="4F81BD"/>
        </w:rPr>
        <w:t xml:space="preserve"> </w:t>
      </w:r>
      <w:r w:rsidR="008921B7" w:rsidRPr="006A29BC">
        <w:t xml:space="preserve">Tržišni udio HT Grupe na </w:t>
      </w:r>
      <w:r w:rsidR="00CD66D1" w:rsidRPr="006A29BC">
        <w:t>Tržištu velikog kapaciteta - nekonkurentna područja</w:t>
      </w:r>
      <w:r w:rsidR="008921B7" w:rsidRPr="006A29BC">
        <w:t xml:space="preserve"> </w:t>
      </w:r>
      <w:r w:rsidR="002D636E" w:rsidRPr="006A29BC">
        <w:t>Klaster A</w:t>
      </w:r>
    </w:p>
    <w:p w:rsidR="008921B7" w:rsidRDefault="006C59F9" w:rsidP="008921B7">
      <w:pPr>
        <w:jc w:val="both"/>
        <w:rPr>
          <w:rFonts w:eastAsia="Times New Roman"/>
        </w:rPr>
      </w:pPr>
      <w:r>
        <w:rPr>
          <w:rFonts w:eastAsia="Times New Roman"/>
          <w:noProof/>
          <w:lang w:val="en-US"/>
        </w:rPr>
        <w:drawing>
          <wp:inline distT="0" distB="0" distL="0" distR="0" wp14:anchorId="3F73A5A1" wp14:editId="20A4AC41">
            <wp:extent cx="4840605" cy="179832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40605" cy="1798320"/>
                    </a:xfrm>
                    <a:prstGeom prst="rect">
                      <a:avLst/>
                    </a:prstGeom>
                    <a:noFill/>
                  </pic:spPr>
                </pic:pic>
              </a:graphicData>
            </a:graphic>
          </wp:inline>
        </w:drawing>
      </w:r>
    </w:p>
    <w:p w:rsidR="008921B7" w:rsidRDefault="008921B7" w:rsidP="008921B7">
      <w:pPr>
        <w:jc w:val="both"/>
        <w:rPr>
          <w:rFonts w:eastAsia="Times New Roman"/>
        </w:rPr>
      </w:pPr>
    </w:p>
    <w:p w:rsidR="008921B7" w:rsidRDefault="008921B7" w:rsidP="008921B7">
      <w:pPr>
        <w:jc w:val="both"/>
        <w:rPr>
          <w:rFonts w:eastAsia="Times New Roman"/>
        </w:rPr>
      </w:pPr>
      <w:r>
        <w:rPr>
          <w:rFonts w:eastAsia="Times New Roman"/>
        </w:rPr>
        <w:t xml:space="preserve">Nadalje, gledajući pokrivenost korisničkih jedinica u </w:t>
      </w:r>
      <w:proofErr w:type="spellStart"/>
      <w:r w:rsidR="002D636E">
        <w:rPr>
          <w:rFonts w:eastAsia="Times New Roman"/>
        </w:rPr>
        <w:t>Klasteru</w:t>
      </w:r>
      <w:proofErr w:type="spellEnd"/>
      <w:r>
        <w:rPr>
          <w:rFonts w:eastAsia="Times New Roman"/>
        </w:rPr>
        <w:t xml:space="preserve"> B, situacija je drugačija, odnosno u ovom području, najveću pokrivenost korisničkih jedinica ima alternativna VHCN infrastruktura u iznosu od 47,88 posto</w:t>
      </w:r>
      <w:r w:rsidR="00742E0B">
        <w:rPr>
          <w:rFonts w:eastAsia="Times New Roman"/>
        </w:rPr>
        <w:t xml:space="preserve"> (</w:t>
      </w:r>
      <w:r w:rsidR="00742E0B">
        <w:rPr>
          <w:rFonts w:eastAsia="Times New Roman"/>
        </w:rPr>
        <w:fldChar w:fldCharType="begin"/>
      </w:r>
      <w:r w:rsidR="00742E0B">
        <w:rPr>
          <w:rFonts w:eastAsia="Times New Roman"/>
        </w:rPr>
        <w:instrText xml:space="preserve"> REF _Ref125614916 \h </w:instrText>
      </w:r>
      <w:r w:rsidR="00742E0B">
        <w:rPr>
          <w:rFonts w:eastAsia="Times New Roman"/>
        </w:rPr>
      </w:r>
      <w:r w:rsidR="00742E0B">
        <w:rPr>
          <w:rFonts w:eastAsia="Times New Roman"/>
        </w:rPr>
        <w:fldChar w:fldCharType="separate"/>
      </w:r>
      <w:r w:rsidR="00742E0B">
        <w:t xml:space="preserve">Slika </w:t>
      </w:r>
      <w:r w:rsidR="00742E0B">
        <w:rPr>
          <w:noProof/>
        </w:rPr>
        <w:t>28</w:t>
      </w:r>
      <w:r w:rsidR="00742E0B">
        <w:rPr>
          <w:rFonts w:eastAsia="Times New Roman"/>
        </w:rPr>
        <w:fldChar w:fldCharType="end"/>
      </w:r>
      <w:r w:rsidR="00742E0B">
        <w:rPr>
          <w:rFonts w:eastAsia="Times New Roman"/>
        </w:rPr>
        <w:t>)</w:t>
      </w:r>
      <w:r>
        <w:rPr>
          <w:rFonts w:eastAsia="Times New Roman"/>
        </w:rPr>
        <w:t>.</w:t>
      </w:r>
    </w:p>
    <w:p w:rsidR="008921B7" w:rsidRDefault="008921B7" w:rsidP="008921B7">
      <w:pPr>
        <w:jc w:val="both"/>
        <w:rPr>
          <w:rFonts w:eastAsia="Times New Roman"/>
        </w:rPr>
      </w:pPr>
    </w:p>
    <w:p w:rsidR="006A29BC" w:rsidRDefault="006A29BC" w:rsidP="006A29BC">
      <w:pPr>
        <w:pStyle w:val="Caption"/>
      </w:pPr>
    </w:p>
    <w:p w:rsidR="006A29BC" w:rsidRDefault="006A29BC" w:rsidP="006A29BC">
      <w:pPr>
        <w:pStyle w:val="Caption"/>
      </w:pPr>
    </w:p>
    <w:p w:rsidR="006A29BC" w:rsidRDefault="006A29BC" w:rsidP="006A29BC">
      <w:pPr>
        <w:pStyle w:val="Caption"/>
      </w:pPr>
    </w:p>
    <w:p w:rsidR="006A29BC" w:rsidRDefault="006A29BC" w:rsidP="006A29BC"/>
    <w:p w:rsidR="008921B7" w:rsidRPr="006A29BC" w:rsidRDefault="006A29BC" w:rsidP="006A29BC">
      <w:pPr>
        <w:pStyle w:val="Caption"/>
        <w:spacing w:after="0"/>
      </w:pPr>
      <w:bookmarkStart w:id="438" w:name="_Ref125614916"/>
      <w:r>
        <w:t xml:space="preserve">Slika </w:t>
      </w:r>
      <w:r w:rsidR="00C60C6F">
        <w:fldChar w:fldCharType="begin"/>
      </w:r>
      <w:r w:rsidR="00C60C6F">
        <w:instrText xml:space="preserve"> SEQ Slika \* ARABIC </w:instrText>
      </w:r>
      <w:r w:rsidR="00C60C6F">
        <w:fldChar w:fldCharType="separate"/>
      </w:r>
      <w:r>
        <w:rPr>
          <w:noProof/>
        </w:rPr>
        <w:t>28</w:t>
      </w:r>
      <w:r w:rsidR="00C60C6F">
        <w:rPr>
          <w:noProof/>
        </w:rPr>
        <w:fldChar w:fldCharType="end"/>
      </w:r>
      <w:bookmarkEnd w:id="438"/>
      <w:r>
        <w:t xml:space="preserve"> </w:t>
      </w:r>
      <w:r w:rsidR="008921B7" w:rsidRPr="006A29BC">
        <w:t xml:space="preserve">Broj pokrivenih korisničkih jedinica s VHCN u </w:t>
      </w:r>
      <w:proofErr w:type="spellStart"/>
      <w:r w:rsidR="002D636E" w:rsidRPr="006A29BC">
        <w:t>Klasteru</w:t>
      </w:r>
      <w:proofErr w:type="spellEnd"/>
      <w:r w:rsidR="002D636E" w:rsidRPr="006A29BC">
        <w:t xml:space="preserve"> B</w:t>
      </w:r>
    </w:p>
    <w:p w:rsidR="008921B7" w:rsidRDefault="006C59F9" w:rsidP="008921B7">
      <w:pPr>
        <w:jc w:val="both"/>
      </w:pPr>
      <w:r>
        <w:rPr>
          <w:noProof/>
          <w:lang w:val="en-US"/>
        </w:rPr>
        <w:drawing>
          <wp:inline distT="0" distB="0" distL="0" distR="0" wp14:anchorId="6B57A110" wp14:editId="2890A0B3">
            <wp:extent cx="4798060" cy="2438400"/>
            <wp:effectExtent l="0" t="0" r="254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98060" cy="2438400"/>
                    </a:xfrm>
                    <a:prstGeom prst="rect">
                      <a:avLst/>
                    </a:prstGeom>
                    <a:noFill/>
                  </pic:spPr>
                </pic:pic>
              </a:graphicData>
            </a:graphic>
          </wp:inline>
        </w:drawing>
      </w:r>
    </w:p>
    <w:p w:rsidR="008921B7" w:rsidRDefault="008921B7" w:rsidP="008921B7">
      <w:pPr>
        <w:jc w:val="both"/>
      </w:pPr>
    </w:p>
    <w:p w:rsidR="008921B7" w:rsidRDefault="008921B7" w:rsidP="008921B7">
      <w:pPr>
        <w:jc w:val="both"/>
        <w:rPr>
          <w:rFonts w:eastAsia="Times New Roman"/>
        </w:rPr>
      </w:pPr>
      <w:r>
        <w:rPr>
          <w:rFonts w:eastAsia="Times New Roman"/>
        </w:rPr>
        <w:t>Međutim, uzimajući u obzir broj korisnika u ovom području, tržišni udio HT Grupe na maloprodajnoj razini ostaje najveći te iznosi 63,46 posto (</w:t>
      </w:r>
      <w:r w:rsidR="00EC1C48">
        <w:rPr>
          <w:rFonts w:eastAsia="Times New Roman"/>
        </w:rPr>
        <w:fldChar w:fldCharType="begin"/>
      </w:r>
      <w:r w:rsidR="00EC1C48">
        <w:rPr>
          <w:rFonts w:eastAsia="Times New Roman"/>
        </w:rPr>
        <w:instrText xml:space="preserve"> REF _Ref125573339 \h </w:instrText>
      </w:r>
      <w:r w:rsidR="00EC1C48">
        <w:rPr>
          <w:rFonts w:eastAsia="Times New Roman"/>
        </w:rPr>
      </w:r>
      <w:r w:rsidR="00EC1C48">
        <w:rPr>
          <w:rFonts w:eastAsia="Times New Roman"/>
        </w:rPr>
        <w:fldChar w:fldCharType="separate"/>
      </w:r>
      <w:r w:rsidR="00EC1C48">
        <w:t xml:space="preserve">Slika </w:t>
      </w:r>
      <w:r w:rsidR="00EC1C48">
        <w:rPr>
          <w:noProof/>
        </w:rPr>
        <w:t>29</w:t>
      </w:r>
      <w:r w:rsidR="00EC1C48">
        <w:rPr>
          <w:rFonts w:eastAsia="Times New Roman"/>
        </w:rPr>
        <w:fldChar w:fldCharType="end"/>
      </w:r>
      <w:r>
        <w:rPr>
          <w:rFonts w:eastAsia="Times New Roman"/>
        </w:rPr>
        <w:t>).</w:t>
      </w:r>
    </w:p>
    <w:p w:rsidR="008921B7" w:rsidRPr="00E64F8A" w:rsidRDefault="008921B7" w:rsidP="008921B7">
      <w:pPr>
        <w:jc w:val="both"/>
        <w:rPr>
          <w:rFonts w:eastAsia="Times New Roman"/>
        </w:rPr>
      </w:pPr>
    </w:p>
    <w:p w:rsidR="008921B7" w:rsidRPr="00CD66D1" w:rsidRDefault="006A29BC" w:rsidP="000C3571">
      <w:pPr>
        <w:pStyle w:val="Caption"/>
        <w:spacing w:after="0"/>
        <w:rPr>
          <w:rFonts w:eastAsia="Times New Roman"/>
          <w:b/>
          <w:color w:val="4F81BD"/>
        </w:rPr>
      </w:pPr>
      <w:bookmarkStart w:id="439" w:name="_Ref125573339"/>
      <w:r>
        <w:t xml:space="preserve">Slika </w:t>
      </w:r>
      <w:r w:rsidR="00C60C6F">
        <w:fldChar w:fldCharType="begin"/>
      </w:r>
      <w:r w:rsidR="00C60C6F">
        <w:instrText xml:space="preserve"> SEQ Slika \* ARABIC </w:instrText>
      </w:r>
      <w:r w:rsidR="00C60C6F">
        <w:fldChar w:fldCharType="separate"/>
      </w:r>
      <w:r>
        <w:rPr>
          <w:noProof/>
        </w:rPr>
        <w:t>29</w:t>
      </w:r>
      <w:r w:rsidR="00C60C6F">
        <w:rPr>
          <w:noProof/>
        </w:rPr>
        <w:fldChar w:fldCharType="end"/>
      </w:r>
      <w:bookmarkEnd w:id="439"/>
      <w:r>
        <w:t xml:space="preserve"> </w:t>
      </w:r>
      <w:r w:rsidR="008921B7" w:rsidRPr="006A29BC">
        <w:t>Tržišni udio HT Grupe na</w:t>
      </w:r>
      <w:r w:rsidR="00CD66D1" w:rsidRPr="006A29BC">
        <w:t xml:space="preserve"> Tržištu velikog kapaciteta - nekonkurentna </w:t>
      </w:r>
      <w:proofErr w:type="spellStart"/>
      <w:r w:rsidR="00CD66D1" w:rsidRPr="006A29BC">
        <w:t>područj</w:t>
      </w:r>
      <w:proofErr w:type="spellEnd"/>
      <w:r w:rsidR="008921B7" w:rsidRPr="006A29BC">
        <w:t xml:space="preserve"> </w:t>
      </w:r>
      <w:r w:rsidR="002D636E" w:rsidRPr="006A29BC">
        <w:t>Klaster B</w:t>
      </w:r>
    </w:p>
    <w:p w:rsidR="008921B7" w:rsidRDefault="006C59F9" w:rsidP="008921B7">
      <w:pPr>
        <w:jc w:val="both"/>
      </w:pPr>
      <w:r>
        <w:rPr>
          <w:noProof/>
          <w:lang w:val="en-US"/>
        </w:rPr>
        <w:drawing>
          <wp:inline distT="0" distB="0" distL="0" distR="0" wp14:anchorId="01B3C9AA" wp14:editId="64040E0B">
            <wp:extent cx="4755515" cy="2042160"/>
            <wp:effectExtent l="0" t="0" r="698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55515" cy="2042160"/>
                    </a:xfrm>
                    <a:prstGeom prst="rect">
                      <a:avLst/>
                    </a:prstGeom>
                    <a:noFill/>
                  </pic:spPr>
                </pic:pic>
              </a:graphicData>
            </a:graphic>
          </wp:inline>
        </w:drawing>
      </w:r>
    </w:p>
    <w:p w:rsidR="00CD66D1" w:rsidRDefault="00CD66D1" w:rsidP="008921B7">
      <w:pPr>
        <w:jc w:val="both"/>
        <w:rPr>
          <w:rFonts w:eastAsia="Times New Roman"/>
        </w:rPr>
      </w:pPr>
    </w:p>
    <w:p w:rsidR="008921B7" w:rsidRPr="00204F76" w:rsidRDefault="008921B7" w:rsidP="008921B7">
      <w:pPr>
        <w:jc w:val="both"/>
        <w:rPr>
          <w:rFonts w:eastAsia="Times New Roman"/>
        </w:rPr>
      </w:pPr>
      <w:r w:rsidRPr="00204F76">
        <w:rPr>
          <w:rFonts w:eastAsia="Times New Roman"/>
        </w:rPr>
        <w:t xml:space="preserve">Iz navedenog je vidljivo kako HT Grupa u nekonkurentnim područjima </w:t>
      </w:r>
      <w:r w:rsidR="002D636E">
        <w:rPr>
          <w:rFonts w:eastAsia="Times New Roman"/>
        </w:rPr>
        <w:t>Klastera</w:t>
      </w:r>
      <w:r w:rsidRPr="00204F76">
        <w:rPr>
          <w:rFonts w:eastAsia="Times New Roman"/>
        </w:rPr>
        <w:t xml:space="preserve"> B</w:t>
      </w:r>
      <w:r>
        <w:rPr>
          <w:rFonts w:eastAsia="Times New Roman"/>
        </w:rPr>
        <w:t xml:space="preserve">, za razliku od nekonkurentnih područja </w:t>
      </w:r>
      <w:r w:rsidR="002D636E">
        <w:rPr>
          <w:rFonts w:eastAsia="Times New Roman"/>
        </w:rPr>
        <w:t>Klastera</w:t>
      </w:r>
      <w:r>
        <w:rPr>
          <w:rFonts w:eastAsia="Times New Roman"/>
        </w:rPr>
        <w:t xml:space="preserve"> A,</w:t>
      </w:r>
      <w:r w:rsidRPr="00204F76">
        <w:rPr>
          <w:rFonts w:eastAsia="Times New Roman"/>
        </w:rPr>
        <w:t xml:space="preserve"> nema najveću pokrivenost VHCN infrastrukturom, ali neovisno o tome </w:t>
      </w:r>
      <w:r>
        <w:rPr>
          <w:rFonts w:eastAsia="Times New Roman"/>
        </w:rPr>
        <w:t>zadržava</w:t>
      </w:r>
      <w:r w:rsidRPr="00204F76">
        <w:rPr>
          <w:rFonts w:eastAsia="Times New Roman"/>
        </w:rPr>
        <w:t xml:space="preserve"> najveći maloprodajni tržišni udio. </w:t>
      </w:r>
      <w:r>
        <w:rPr>
          <w:rFonts w:eastAsia="Times New Roman"/>
        </w:rPr>
        <w:t xml:space="preserve">Iz navedenog proizlazi kako </w:t>
      </w:r>
      <w:r w:rsidRPr="00204F76">
        <w:rPr>
          <w:rFonts w:eastAsia="Times New Roman"/>
        </w:rPr>
        <w:t xml:space="preserve">dominanta pozicija HT Grupe </w:t>
      </w:r>
      <w:r>
        <w:rPr>
          <w:rFonts w:eastAsia="Times New Roman"/>
        </w:rPr>
        <w:t xml:space="preserve">i dalje postoji, ali </w:t>
      </w:r>
      <w:r w:rsidRPr="00204F76">
        <w:rPr>
          <w:rFonts w:eastAsia="Times New Roman"/>
        </w:rPr>
        <w:t xml:space="preserve">je manja nego što je slučaj kod nekonkurentnih područja </w:t>
      </w:r>
      <w:r w:rsidR="002D636E">
        <w:rPr>
          <w:rFonts w:eastAsia="Times New Roman"/>
        </w:rPr>
        <w:t>Klastera</w:t>
      </w:r>
      <w:r w:rsidRPr="00204F76">
        <w:rPr>
          <w:rFonts w:eastAsia="Times New Roman"/>
        </w:rPr>
        <w:t xml:space="preserve"> A. </w:t>
      </w:r>
    </w:p>
    <w:p w:rsidR="008921B7" w:rsidRDefault="008921B7" w:rsidP="008921B7">
      <w:pPr>
        <w:jc w:val="both"/>
      </w:pPr>
    </w:p>
    <w:p w:rsidR="008921B7" w:rsidRDefault="008921B7" w:rsidP="008921B7">
      <w:pPr>
        <w:jc w:val="both"/>
      </w:pPr>
      <w:r>
        <w:t>Nadalje, alternativni operatori isključivo grade VHCN mreže tako da je njihova veleprodajna usluga zamjenska usluga HT-ovoj FA-PON ili VULA usluzi. Uzevši u obzir kako je ekonomski isplativo graditi VHCN mreže iz razloga što iste mogu zadovoljiti potrebe krajnjih korisnika za velikim kapacitetima, moguće je očekivati kako će u razdoblju na koje se odnosi ova analiza alternativni operatori u ovim područjima graditi VHCN mreže odnosno povećavati pokrivenost tih geografskih jedinica svojom VHCN mrežom te posljedično i svoj udio na tržištu.</w:t>
      </w:r>
    </w:p>
    <w:p w:rsidR="008921B7" w:rsidRDefault="008921B7" w:rsidP="008921B7">
      <w:pPr>
        <w:jc w:val="both"/>
      </w:pPr>
    </w:p>
    <w:p w:rsidR="008921B7" w:rsidRDefault="008921B7" w:rsidP="008921B7">
      <w:pPr>
        <w:jc w:val="both"/>
      </w:pPr>
      <w:r>
        <w:t xml:space="preserve">Međutim, za nekonkurentna područja HAKOM je mišljenja kako bez prethodne regulacije daljnji razvoj tržišnog natjecanja </w:t>
      </w:r>
      <w:r w:rsidRPr="00FD0D2E">
        <w:t>neće biti moguć</w:t>
      </w:r>
      <w:r>
        <w:t xml:space="preserve"> ili će biti otežan. Naime, bez prethodne regulacije HT bi, s obzirom da već ima najveću pokrivenost VHCN mrežom i/ili najveći tržišni udio na maloprodajnoj razini, mogao ograničiti daljnji razvoj djelotvornog tržišnog natjecanja na tim područjima (</w:t>
      </w:r>
      <w:r w:rsidR="002D636E">
        <w:t>Klaster</w:t>
      </w:r>
      <w:r>
        <w:t xml:space="preserve"> B) ili istisnuti konkurenciju s tržišta (</w:t>
      </w:r>
      <w:r w:rsidR="002D636E">
        <w:t>Klaster</w:t>
      </w:r>
      <w:r>
        <w:t xml:space="preserve"> A). </w:t>
      </w:r>
    </w:p>
    <w:p w:rsidR="008921B7" w:rsidRDefault="008921B7" w:rsidP="008921B7">
      <w:pPr>
        <w:jc w:val="both"/>
      </w:pPr>
    </w:p>
    <w:p w:rsidR="008921B7" w:rsidRDefault="008921B7" w:rsidP="008921B7">
      <w:pPr>
        <w:jc w:val="both"/>
      </w:pPr>
      <w:r>
        <w:t xml:space="preserve">Naime, na kraju 2021. prihodi HT Grupe su bili na razini 5,9 milijardi kuna, A1 Hrvatska oko 3,4 milijardi kuna, </w:t>
      </w:r>
      <w:proofErr w:type="spellStart"/>
      <w:r>
        <w:t>Telemach</w:t>
      </w:r>
      <w:proofErr w:type="spellEnd"/>
      <w:r>
        <w:t xml:space="preserve"> Hrvatske</w:t>
      </w:r>
      <w:r>
        <w:rPr>
          <w:rStyle w:val="FootnoteReference"/>
        </w:rPr>
        <w:footnoteReference w:id="53"/>
      </w:r>
      <w:r>
        <w:t xml:space="preserve"> oko 1,9 milijardi kuna dok su prihodi svih ostalih dionika tržišta usluge širokopojasnog pristupa velikog kapaciteta bili oko 0,5 milijardi kuna. Navedeno po mišljenju HAKOM-a samo potvrđuje kako bi HT na nekonkurentnim područjima mogao iskoristiti i svoju financijsku snagu da ugrozi daljnji razvoj tržišnog natjecanja i/ili istisne konkurenciju s tržišta.  </w:t>
      </w:r>
    </w:p>
    <w:p w:rsidR="008921B7" w:rsidRDefault="008921B7" w:rsidP="008921B7">
      <w:pPr>
        <w:jc w:val="both"/>
      </w:pPr>
    </w:p>
    <w:p w:rsidR="008921B7" w:rsidRDefault="008921B7" w:rsidP="008921B7">
      <w:pPr>
        <w:jc w:val="both"/>
      </w:pPr>
      <w:r>
        <w:t xml:space="preserve">Nastavno na sve prethodno navedeno, HAKOM zaključuje kako bi HT na nekonkurentnim područjima u odsustvu prethodne regulacije bio u mogućnosti usporiti alternativne operatore u pokrivanju tih područja vlastitom VHCN mrežom te bi mogao održavati </w:t>
      </w:r>
      <w:r w:rsidRPr="00873763">
        <w:t>visoki tržišni udio</w:t>
      </w:r>
      <w:r>
        <w:t xml:space="preserve"> na maloprodajnoj razini koji bi ostao stabilan u razdoblju na koji se odnosi ova analiza. Navedena mogućnost, zbog najveće rasprostranjenosti VHCN infrastrukturom je više izražena u nekonkurentnim područjima </w:t>
      </w:r>
      <w:r w:rsidR="002D636E">
        <w:t>Klastera</w:t>
      </w:r>
      <w:r>
        <w:t xml:space="preserve"> A.  </w:t>
      </w:r>
    </w:p>
    <w:p w:rsidR="008921B7" w:rsidRDefault="008921B7" w:rsidP="008921B7">
      <w:pPr>
        <w:jc w:val="both"/>
        <w:rPr>
          <w:rFonts w:eastAsia="Times New Roman"/>
        </w:rPr>
      </w:pPr>
    </w:p>
    <w:p w:rsidR="008921B7" w:rsidRPr="00E970CD" w:rsidRDefault="008921B7" w:rsidP="00E970CD">
      <w:pPr>
        <w:pStyle w:val="Heading3"/>
      </w:pPr>
      <w:bookmarkStart w:id="440" w:name="_Toc124928630"/>
      <w:bookmarkStart w:id="441" w:name="_Toc124946972"/>
      <w:bookmarkStart w:id="442" w:name="_Toc124948882"/>
      <w:bookmarkStart w:id="443" w:name="_Toc124951777"/>
      <w:bookmarkStart w:id="444" w:name="_Toc125644925"/>
      <w:r w:rsidRPr="00E970CD">
        <w:t>Nadzor infrastrukture kod koje postoje velike zapreke razvoju infrastrukturne konkurencije</w:t>
      </w:r>
      <w:bookmarkEnd w:id="440"/>
      <w:bookmarkEnd w:id="441"/>
      <w:bookmarkEnd w:id="442"/>
      <w:bookmarkEnd w:id="443"/>
      <w:bookmarkEnd w:id="444"/>
    </w:p>
    <w:p w:rsidR="008921B7" w:rsidRDefault="008921B7" w:rsidP="008921B7">
      <w:pPr>
        <w:jc w:val="both"/>
      </w:pPr>
    </w:p>
    <w:p w:rsidR="008921B7" w:rsidRDefault="008921B7" w:rsidP="008921B7">
      <w:pPr>
        <w:jc w:val="both"/>
      </w:pPr>
      <w:r>
        <w:t xml:space="preserve">Kao što je već rečeno, alternativnim operatorima je gradnja vlastite VHCN infrastrukture ekonomski isplativa i dostatna za pružanje krajnjim korisnicima usluge širokopojasnog pristupa velikog kapaciteta. Naime, potrebe krajnjih korisnika u razdoblju na koje se odnosi ova analiza isključivo će se odnositi na potrebe za velikim kapacitetima koje mogu omogućiti VHCN mreže. </w:t>
      </w:r>
    </w:p>
    <w:p w:rsidR="008921B7" w:rsidRDefault="008921B7" w:rsidP="008921B7">
      <w:pPr>
        <w:jc w:val="both"/>
      </w:pPr>
    </w:p>
    <w:p w:rsidR="008921B7" w:rsidRDefault="008921B7" w:rsidP="008921B7">
      <w:pPr>
        <w:jc w:val="both"/>
      </w:pPr>
      <w:r w:rsidRPr="00BA5DDF">
        <w:t xml:space="preserve">HAKOM smatra da će ulaganjima u pristupnu </w:t>
      </w:r>
      <w:r>
        <w:t>VHCN (</w:t>
      </w:r>
      <w:r w:rsidRPr="00BA5DDF">
        <w:t>svjetlovodnu</w:t>
      </w:r>
      <w:r>
        <w:t>)</w:t>
      </w:r>
      <w:r w:rsidRPr="00BA5DDF">
        <w:t xml:space="preserve"> mrežu HT jačati svoj tržišni položaj, s obzirom da u većini slučajeva već ima izgrađenu elektroničku komunikacijsku infrastrukturu koju može iskoristiti za postavljanje pristupne mreže na temelju svjetlovodnog kabela</w:t>
      </w:r>
      <w:r>
        <w:t xml:space="preserve">. Navedeno daje HT-u </w:t>
      </w:r>
      <w:r w:rsidRPr="00BA5DDF">
        <w:t>prednost nad novim operatorima koji ulažu u svjetlovodnu infrastrukturu</w:t>
      </w:r>
      <w:r>
        <w:t xml:space="preserve"> te</w:t>
      </w:r>
      <w:r w:rsidRPr="00BA5DDF">
        <w:t>, za razliku od HT-a</w:t>
      </w:r>
      <w:r>
        <w:t>,</w:t>
      </w:r>
      <w:r w:rsidRPr="00BA5DDF">
        <w:t xml:space="preserve"> nemaju </w:t>
      </w:r>
      <w:r>
        <w:t>geografski</w:t>
      </w:r>
      <w:r w:rsidRPr="00BA5DDF">
        <w:t xml:space="preserve"> rasprostranjenu elektroničku komunikacijsku infrastrukturu.</w:t>
      </w:r>
      <w:r>
        <w:t xml:space="preserve"> Po mišljenju HAKOM-a, HT-ovo jačanje tržišnog položaja, temeljem prethodno navedenog, vrlo je izgledno u odsustvu regulacije za nekonkurentna područja na kojima HT ionako već ima dominantu poziciju. </w:t>
      </w:r>
    </w:p>
    <w:p w:rsidR="008921B7" w:rsidRDefault="008921B7" w:rsidP="008921B7">
      <w:pPr>
        <w:jc w:val="both"/>
      </w:pPr>
    </w:p>
    <w:p w:rsidR="008921B7" w:rsidRDefault="008921B7" w:rsidP="008921B7">
      <w:pPr>
        <w:jc w:val="both"/>
      </w:pPr>
      <w:r>
        <w:t xml:space="preserve">Dodatno, iako HT nema monopol nad VHCN infrastrukturom, koja je potrebna da bi se krajnjim korisnicima pružala usluga širokopojasnog pristupa velikog kapaciteta, HT bi u odsustvu regulacije u nekonkurentnim područjima </w:t>
      </w:r>
      <w:r w:rsidRPr="00873763">
        <w:t xml:space="preserve">imao snagu </w:t>
      </w:r>
      <w:r>
        <w:t xml:space="preserve">otežati daljnji razvoj tržišnog natjecanja ili pokušati istisnuti konkurenciju s tržišta iz razloga što jedini ima bakrenu pristupnu mrežu. Naime, bakrenom mrežom su gotovo u potpunosti pokrivena sva geografska područja tako da HT u postupku migracije korisnika s usluge širokopojasnog pristupa malog kapaciteta na tu istu uslugu velikog kapaciteta ima prednost nad svim ostalim operatorima. Ta prednost je prvenstveno izražena u nekonkurentnim područjima </w:t>
      </w:r>
      <w:r w:rsidR="002D636E">
        <w:t>Klastera</w:t>
      </w:r>
      <w:r>
        <w:t xml:space="preserve"> A te u manjem obujmu i na nekonkurentnim područjima </w:t>
      </w:r>
      <w:r w:rsidR="002D636E">
        <w:t>Klastera</w:t>
      </w:r>
      <w:r>
        <w:t xml:space="preserve"> B. </w:t>
      </w:r>
    </w:p>
    <w:p w:rsidR="008921B7" w:rsidRDefault="008921B7" w:rsidP="008921B7">
      <w:pPr>
        <w:jc w:val="both"/>
      </w:pPr>
    </w:p>
    <w:p w:rsidR="008921B7" w:rsidRPr="00E970CD" w:rsidRDefault="008921B7" w:rsidP="00E970CD">
      <w:pPr>
        <w:pStyle w:val="Heading3"/>
      </w:pPr>
      <w:bookmarkStart w:id="445" w:name="_Toc124928631"/>
      <w:bookmarkStart w:id="446" w:name="_Toc124946973"/>
      <w:bookmarkStart w:id="447" w:name="_Toc124948883"/>
      <w:bookmarkStart w:id="448" w:name="_Toc124951778"/>
      <w:bookmarkStart w:id="449" w:name="_Toc125644926"/>
      <w:r w:rsidRPr="00E970CD">
        <w:t>Ekonomije razmjera</w:t>
      </w:r>
      <w:bookmarkEnd w:id="445"/>
      <w:bookmarkEnd w:id="446"/>
      <w:bookmarkEnd w:id="447"/>
      <w:bookmarkEnd w:id="448"/>
      <w:bookmarkEnd w:id="449"/>
    </w:p>
    <w:p w:rsidR="008921B7" w:rsidRDefault="008921B7" w:rsidP="008921B7">
      <w:pPr>
        <w:jc w:val="both"/>
      </w:pPr>
    </w:p>
    <w:p w:rsidR="008921B7" w:rsidRDefault="008921B7" w:rsidP="008921B7">
      <w:pPr>
        <w:jc w:val="both"/>
      </w:pPr>
      <w:r>
        <w:t xml:space="preserve">Kroz prethodna dva mjerila HAKOM je obrazložio prednosti koje bi HT u nekonkurentnim područjima uživao u odsustvu prethodne regulacije. Pored tih prednosti treba uzeti u obzir i prednosti koje proizlaze i iz ekonomija razmjera. </w:t>
      </w:r>
    </w:p>
    <w:p w:rsidR="008921B7" w:rsidRDefault="008921B7" w:rsidP="008921B7">
      <w:pPr>
        <w:jc w:val="both"/>
      </w:pPr>
    </w:p>
    <w:p w:rsidR="008921B7" w:rsidRPr="00A820F8" w:rsidRDefault="008921B7" w:rsidP="008921B7">
      <w:pPr>
        <w:jc w:val="both"/>
      </w:pPr>
      <w:r>
        <w:t xml:space="preserve">Naime, </w:t>
      </w:r>
      <w:r w:rsidRPr="00A820F8">
        <w:t>HT je trenutno, a tako će ostati i u bud</w:t>
      </w:r>
      <w:r>
        <w:t xml:space="preserve">ućem razdoblju, operator ili s najvećom pokrivenošću VHCN mrežom i/li s najvećim maloprodajnim tržišnim udjelom te će kao takav, zbog najveće korisničke baze koja proizlazi iz najvećeg tržišnog udjela na maloprodajnoj razini, uživati prednosti ekonomije razmjera pružajući usluge širokopojasnog pristupa velikog kapaciteta. </w:t>
      </w:r>
      <w:r w:rsidRPr="00A820F8">
        <w:t xml:space="preserve">Iz navedenog slijedi kako je jedinični trošak HT-a za pružanje navedenih usluga puno niži od troška koji će za istu uslugu imati </w:t>
      </w:r>
      <w:r>
        <w:t xml:space="preserve">alternativni </w:t>
      </w:r>
      <w:r w:rsidRPr="00A820F8">
        <w:t>operator</w:t>
      </w:r>
      <w:r>
        <w:t>i</w:t>
      </w:r>
      <w:r w:rsidRPr="00A820F8">
        <w:t xml:space="preserve"> koji </w:t>
      </w:r>
      <w:r>
        <w:t>tek ulaze na ovo tržište.</w:t>
      </w:r>
      <w:r w:rsidRPr="00A820F8">
        <w:t xml:space="preserve"> </w:t>
      </w:r>
    </w:p>
    <w:p w:rsidR="008921B7" w:rsidRDefault="008921B7" w:rsidP="008921B7">
      <w:pPr>
        <w:jc w:val="both"/>
      </w:pPr>
    </w:p>
    <w:p w:rsidR="008921B7" w:rsidRDefault="008921B7" w:rsidP="008921B7">
      <w:pPr>
        <w:jc w:val="both"/>
      </w:pPr>
      <w:r w:rsidRPr="00E33EC2">
        <w:t>Naime, trošak usluge pristupa javnoj komunikacijskoj mreži na fiksnoj lokaciji operatora koji koriste veleprodajnu uslugu je po broju pristupa uvijek isti, bez obzira koliko ima korisnika. Za razliku od ostalih operatora, u slučaju HT-a, ukupni trošak usluge po jedinici pružanja usluge pada u odnosu na ostvareni broj pristupa.</w:t>
      </w:r>
      <w:r>
        <w:t xml:space="preserve"> Drugim riječima, s obzirom da alternativni operatori tek ulaze na ovo tržište i da imaju, u određenim područjima, manju rasprostranjenost vlastitom VHCN mrežom, </w:t>
      </w:r>
      <w:r w:rsidRPr="00A21AD7">
        <w:t>a u svim</w:t>
      </w:r>
      <w:r>
        <w:t xml:space="preserve"> nekonkurentnim</w:t>
      </w:r>
      <w:r w:rsidRPr="00A21AD7">
        <w:t xml:space="preserve"> područjima manji maloprodajni tržišni udio </w:t>
      </w:r>
      <w:r>
        <w:t xml:space="preserve">u odnosu na HT, </w:t>
      </w:r>
      <w:r w:rsidRPr="00195BDF">
        <w:t>može se zaključiti da je HT u poziciji u kojoj može ili koristiti prednosti ekonomije razmjera dok kod ostalih operatora to nije slučaj ili HT ove prednosti može koristiti u većem obujmu od alternativnih operatora</w:t>
      </w:r>
      <w:r>
        <w:t xml:space="preserve">. Razlika postoji radi li se o nekonkurentnim područjima </w:t>
      </w:r>
      <w:r w:rsidR="002D636E">
        <w:t>Klastera</w:t>
      </w:r>
      <w:r>
        <w:t xml:space="preserve"> A ili nekonkurentnim područjima </w:t>
      </w:r>
      <w:r w:rsidR="002D636E">
        <w:t>Klastera</w:t>
      </w:r>
      <w:r>
        <w:t xml:space="preserve"> B.</w:t>
      </w:r>
    </w:p>
    <w:p w:rsidR="008921B7" w:rsidRDefault="008921B7" w:rsidP="008921B7">
      <w:pPr>
        <w:jc w:val="both"/>
      </w:pPr>
    </w:p>
    <w:p w:rsidR="008921B7" w:rsidRPr="00E970CD" w:rsidRDefault="008921B7" w:rsidP="00E970CD">
      <w:pPr>
        <w:pStyle w:val="Heading3"/>
      </w:pPr>
      <w:bookmarkStart w:id="450" w:name="_Toc124928632"/>
      <w:bookmarkStart w:id="451" w:name="_Toc124946974"/>
      <w:bookmarkStart w:id="452" w:name="_Toc124948884"/>
      <w:bookmarkStart w:id="453" w:name="_Toc124951779"/>
      <w:bookmarkStart w:id="454" w:name="_Toc125644927"/>
      <w:r w:rsidRPr="00E970CD">
        <w:t>Ekonomije opsega</w:t>
      </w:r>
      <w:bookmarkEnd w:id="450"/>
      <w:bookmarkEnd w:id="451"/>
      <w:bookmarkEnd w:id="452"/>
      <w:bookmarkEnd w:id="453"/>
      <w:bookmarkEnd w:id="454"/>
    </w:p>
    <w:p w:rsidR="008921B7" w:rsidRDefault="008921B7" w:rsidP="008921B7">
      <w:pPr>
        <w:jc w:val="both"/>
      </w:pPr>
    </w:p>
    <w:p w:rsidR="008921B7" w:rsidRDefault="008921B7" w:rsidP="008921B7">
      <w:pPr>
        <w:jc w:val="both"/>
      </w:pPr>
      <w:r w:rsidRPr="009B1B75">
        <w:t xml:space="preserve">Alternativni operatori imaju u </w:t>
      </w:r>
      <w:r>
        <w:t>velikoj</w:t>
      </w:r>
      <w:r w:rsidRPr="009B1B75">
        <w:t xml:space="preserve"> mjeri razvijenu distributivnu m</w:t>
      </w:r>
      <w:r>
        <w:t>režu u smislu da na maloprodajnoj</w:t>
      </w:r>
      <w:r w:rsidRPr="009B1B75">
        <w:t xml:space="preserve"> razini </w:t>
      </w:r>
      <w:r>
        <w:t xml:space="preserve">krajnjim </w:t>
      </w:r>
      <w:r w:rsidRPr="009B1B75">
        <w:t xml:space="preserve">korisnicima mogu pružati i pružaju iste usluge koje pruža i HT. </w:t>
      </w:r>
      <w:r>
        <w:t xml:space="preserve">Međutim, alternativni operatori na nekonkurentnim područjima imaju i manju rasprostranjenu VHCN mrežu i manji maloprodajni tržišni udio ili samo manji maloprodajni tržišni udio, ovisno radi li se o nekonkurentnim područjima </w:t>
      </w:r>
      <w:r w:rsidR="002D636E">
        <w:t>Klastera</w:t>
      </w:r>
      <w:r>
        <w:t xml:space="preserve"> A ili nekonkurentnim područjima </w:t>
      </w:r>
      <w:r w:rsidR="002D636E">
        <w:t>Klastera</w:t>
      </w:r>
      <w:r>
        <w:t xml:space="preserve"> B, čime na veleprodajnoj razini </w:t>
      </w:r>
      <w:r w:rsidRPr="009B1B75">
        <w:t>(također dio ekonomije opsega) ne mogu, na isti način kao i HT, pružati</w:t>
      </w:r>
      <w:r>
        <w:t xml:space="preserve"> uslugu širokopojasnog pristupa velikog kapaciteta.</w:t>
      </w:r>
      <w:r w:rsidRPr="009B1B75">
        <w:t xml:space="preserve"> </w:t>
      </w:r>
    </w:p>
    <w:p w:rsidR="008921B7" w:rsidRDefault="008921B7" w:rsidP="008921B7">
      <w:pPr>
        <w:jc w:val="both"/>
      </w:pPr>
    </w:p>
    <w:p w:rsidR="008921B7" w:rsidRPr="00A212CA" w:rsidRDefault="008921B7" w:rsidP="008921B7">
      <w:pPr>
        <w:jc w:val="both"/>
      </w:pPr>
      <w:r w:rsidRPr="009B1B75">
        <w:t xml:space="preserve">Drugim riječima, svojom </w:t>
      </w:r>
      <w:r>
        <w:t xml:space="preserve">snažnijom </w:t>
      </w:r>
      <w:r w:rsidRPr="009B1B75">
        <w:t xml:space="preserve">prisutnošću na </w:t>
      </w:r>
      <w:r>
        <w:t>veleprodajnom</w:t>
      </w:r>
      <w:r w:rsidRPr="009B1B75">
        <w:t xml:space="preserve"> i ma</w:t>
      </w:r>
      <w:r>
        <w:t>loprodajnom tržištu</w:t>
      </w:r>
      <w:r w:rsidRPr="009B1B75">
        <w:t>, HT koristi prednosti ekonomije opsega u većoj mjeri od ostalih operatora. Sukladno tome, ostali operatori, da bi konkurirali HT-u na način da i sami uživ</w:t>
      </w:r>
      <w:r>
        <w:t>aju koristi od ekonomija opsega,</w:t>
      </w:r>
      <w:r w:rsidRPr="009B1B75">
        <w:t xml:space="preserve"> trebaju </w:t>
      </w:r>
      <w:r>
        <w:t xml:space="preserve">snažnije </w:t>
      </w:r>
      <w:r w:rsidRPr="009B1B75">
        <w:t xml:space="preserve">istodobno ući na </w:t>
      </w:r>
      <w:r>
        <w:t xml:space="preserve">veleprodajno i maloprodajno tržište, a to nije u potpunosti ekonomski isplativo za nekonkurentna područja </w:t>
      </w:r>
      <w:r w:rsidR="002D636E">
        <w:t>Klastera A</w:t>
      </w:r>
      <w:r>
        <w:t xml:space="preserve">. Slijedom navedenog, vidljivo je da HT uživa prednosti ekonomije opsega za nekonkurentna područja </w:t>
      </w:r>
      <w:r w:rsidRPr="00A212CA">
        <w:t xml:space="preserve">iako u manjem opsegu na nekonkurentnim područjima </w:t>
      </w:r>
      <w:r w:rsidR="002D636E">
        <w:t>Klastera</w:t>
      </w:r>
      <w:r w:rsidRPr="00A212CA">
        <w:t xml:space="preserve"> B, nego što je slučaj za nekonkurentna područja </w:t>
      </w:r>
      <w:r w:rsidR="002D636E">
        <w:t>Klastera</w:t>
      </w:r>
      <w:r w:rsidRPr="00A212CA">
        <w:t xml:space="preserve"> A.</w:t>
      </w:r>
    </w:p>
    <w:p w:rsidR="008921B7" w:rsidRDefault="008921B7" w:rsidP="008921B7">
      <w:pPr>
        <w:jc w:val="both"/>
        <w:rPr>
          <w:color w:val="FF0000"/>
        </w:rPr>
      </w:pPr>
    </w:p>
    <w:p w:rsidR="008921B7" w:rsidRPr="006F36D0" w:rsidRDefault="008921B7" w:rsidP="008921B7">
      <w:pPr>
        <w:jc w:val="both"/>
        <w:rPr>
          <w:color w:val="FF0000"/>
        </w:rPr>
      </w:pPr>
      <w:r>
        <w:t xml:space="preserve">Naime, i kod nekonkurentnih područja </w:t>
      </w:r>
      <w:r w:rsidR="002D636E">
        <w:t>Klastera</w:t>
      </w:r>
      <w:r>
        <w:t xml:space="preserve"> B </w:t>
      </w:r>
      <w:r w:rsidRPr="009B1B75">
        <w:t xml:space="preserve">svojom </w:t>
      </w:r>
      <w:r>
        <w:t xml:space="preserve">snažnijom </w:t>
      </w:r>
      <w:r w:rsidRPr="009B1B75">
        <w:t xml:space="preserve">prisutnošću na </w:t>
      </w:r>
      <w:r>
        <w:t>veleprodajnom</w:t>
      </w:r>
      <w:r w:rsidRPr="009B1B75">
        <w:t xml:space="preserve"> i ma</w:t>
      </w:r>
      <w:r>
        <w:t>loprodajnom tržištu</w:t>
      </w:r>
      <w:r w:rsidRPr="009B1B75">
        <w:t>, HT koristi prednosti ekonomije opsega u većoj mjeri od ostalih operatora. Sukladno tome, ostali operatori, da bi konkurirali HT-u na način da i sami uživ</w:t>
      </w:r>
      <w:r>
        <w:t>aju koristi od ekonomija opsega,</w:t>
      </w:r>
      <w:r w:rsidRPr="009B1B75">
        <w:t xml:space="preserve"> trebaju </w:t>
      </w:r>
      <w:r>
        <w:t xml:space="preserve">snažnije </w:t>
      </w:r>
      <w:r w:rsidRPr="009B1B75">
        <w:t xml:space="preserve">istodobno ući na </w:t>
      </w:r>
      <w:r>
        <w:t xml:space="preserve">veleprodajno i maloprodajno tržište. </w:t>
      </w:r>
      <w:r w:rsidRPr="002F7FD4">
        <w:t xml:space="preserve">Navedeno se može očekivati s obzirom da je kod nekonkurentnih područja </w:t>
      </w:r>
      <w:r w:rsidR="002D636E">
        <w:t>Klastera</w:t>
      </w:r>
      <w:r w:rsidRPr="002F7FD4">
        <w:t xml:space="preserve"> B ekonomska isplativost veća nego što je slučaj za nekonkurentna područja </w:t>
      </w:r>
      <w:r w:rsidR="002D636E">
        <w:t>Klastera</w:t>
      </w:r>
      <w:r w:rsidRPr="002F7FD4">
        <w:t xml:space="preserve"> A. </w:t>
      </w:r>
    </w:p>
    <w:p w:rsidR="008921B7" w:rsidRDefault="008921B7" w:rsidP="008921B7">
      <w:pPr>
        <w:jc w:val="both"/>
      </w:pPr>
    </w:p>
    <w:p w:rsidR="008921B7" w:rsidRPr="00A212CA" w:rsidRDefault="008921B7" w:rsidP="008921B7">
      <w:pPr>
        <w:jc w:val="both"/>
      </w:pPr>
      <w:r>
        <w:t xml:space="preserve">Slijedom navedenog, vidljivo je da HT uživa prednosti ekonomije opsega na nekonkurentnim područjima </w:t>
      </w:r>
      <w:r w:rsidR="002D636E">
        <w:t>Klastera</w:t>
      </w:r>
      <w:r>
        <w:t xml:space="preserve"> A </w:t>
      </w:r>
      <w:r w:rsidRPr="00A212CA">
        <w:t>iako u manjem opsegu nego što je slučaj za n</w:t>
      </w:r>
      <w:r>
        <w:t xml:space="preserve">ekonkurentna područja </w:t>
      </w:r>
      <w:r w:rsidR="002D636E">
        <w:t>Klastera</w:t>
      </w:r>
      <w:r>
        <w:t xml:space="preserve"> B</w:t>
      </w:r>
      <w:r w:rsidRPr="00A212CA">
        <w:t>.</w:t>
      </w:r>
    </w:p>
    <w:p w:rsidR="008921B7" w:rsidRPr="002F7FD4" w:rsidRDefault="008921B7" w:rsidP="008921B7">
      <w:pPr>
        <w:jc w:val="both"/>
        <w:rPr>
          <w:color w:val="FF0000"/>
        </w:rPr>
      </w:pPr>
    </w:p>
    <w:p w:rsidR="008921B7" w:rsidRPr="00E970CD" w:rsidRDefault="008921B7" w:rsidP="00E970CD">
      <w:pPr>
        <w:pStyle w:val="Heading3"/>
      </w:pPr>
      <w:bookmarkStart w:id="455" w:name="_Toc124928633"/>
      <w:bookmarkStart w:id="456" w:name="_Toc124946975"/>
      <w:bookmarkStart w:id="457" w:name="_Toc124948885"/>
      <w:bookmarkStart w:id="458" w:name="_Toc124951780"/>
      <w:bookmarkStart w:id="459" w:name="_Toc125644928"/>
      <w:r w:rsidRPr="00E970CD">
        <w:t>Stupanj vertikalne integracije</w:t>
      </w:r>
      <w:bookmarkEnd w:id="455"/>
      <w:bookmarkEnd w:id="456"/>
      <w:bookmarkEnd w:id="457"/>
      <w:bookmarkEnd w:id="458"/>
      <w:bookmarkEnd w:id="459"/>
    </w:p>
    <w:p w:rsidR="008921B7" w:rsidRDefault="008921B7" w:rsidP="008921B7"/>
    <w:p w:rsidR="008921B7" w:rsidRDefault="008921B7" w:rsidP="008921B7">
      <w:pPr>
        <w:jc w:val="both"/>
      </w:pPr>
      <w:r w:rsidRPr="005B6616">
        <w:t>HT je vertikalno integrirani operator koji</w:t>
      </w:r>
      <w:r>
        <w:t>, poput ostalih operatora koji su prisutni na tržištu,</w:t>
      </w:r>
      <w:r w:rsidRPr="005B6616">
        <w:t xml:space="preserve"> djeluje i na tržištu veleprodajnog </w:t>
      </w:r>
      <w:r>
        <w:t>lokalnog</w:t>
      </w:r>
      <w:r w:rsidRPr="005B6616">
        <w:t xml:space="preserve"> pristupa koji se pruža na fiksnoj lokaciji gdje nudi uslugu</w:t>
      </w:r>
      <w:r>
        <w:t xml:space="preserve"> širokopojasnog pristupa velikog kapaciteta putem veleprodajnih usluga (FA-PON i VULA) </w:t>
      </w:r>
      <w:r w:rsidRPr="005B6616">
        <w:t>te na maloprodajnom tržištu širokopojasnog pristupa gdje krajnjim korisnicima nudi uslugu š</w:t>
      </w:r>
      <w:r>
        <w:t>irokopojasnog pristupa velikog kapaciteta</w:t>
      </w:r>
      <w:r w:rsidRPr="005B6616">
        <w:t xml:space="preserve">. </w:t>
      </w:r>
    </w:p>
    <w:p w:rsidR="008921B7" w:rsidRDefault="008921B7" w:rsidP="008921B7">
      <w:pPr>
        <w:jc w:val="both"/>
      </w:pPr>
    </w:p>
    <w:p w:rsidR="008921B7" w:rsidRDefault="008921B7" w:rsidP="008921B7">
      <w:pPr>
        <w:jc w:val="both"/>
      </w:pPr>
      <w:r w:rsidRPr="005B6616">
        <w:t xml:space="preserve">Također, na maloprodajnom tržištu širokopojasnog pristupa </w:t>
      </w:r>
      <w:r>
        <w:t>velikog kapaciteta djeluje</w:t>
      </w:r>
      <w:r w:rsidRPr="005B6616">
        <w:t xml:space="preserve"> i </w:t>
      </w:r>
      <w:r>
        <w:t>Iskon kao društvo pod nadzorom HT-a.</w:t>
      </w:r>
      <w:r w:rsidRPr="005B6616">
        <w:t xml:space="preserve"> Na taj način, a uzimajući u obzir da HT </w:t>
      </w:r>
      <w:r>
        <w:t xml:space="preserve">na nekonkurentnim područjima </w:t>
      </w:r>
      <w:r w:rsidR="002D636E">
        <w:t>Klastera</w:t>
      </w:r>
      <w:r>
        <w:t xml:space="preserve"> A </w:t>
      </w:r>
      <w:r w:rsidRPr="005B6616">
        <w:t>raspolaže</w:t>
      </w:r>
      <w:r>
        <w:t xml:space="preserve"> i s najrasprostranjenijom VHCN infrastrukturom, vertikalna integracija uz</w:t>
      </w:r>
      <w:r w:rsidRPr="005B6616">
        <w:t xml:space="preserve"> </w:t>
      </w:r>
      <w:r>
        <w:t xml:space="preserve">najrasprostranjeniju VHCN infrastrukturu na nekonkurentnim područjima </w:t>
      </w:r>
      <w:r w:rsidR="002D636E">
        <w:t>Klastera</w:t>
      </w:r>
      <w:r>
        <w:t xml:space="preserve"> A pruža</w:t>
      </w:r>
      <w:r w:rsidRPr="005B6616">
        <w:t xml:space="preserve"> mu ključnu prednost u odnosu na druge operatore na maloprodajnom tržištu, a osobito </w:t>
      </w:r>
      <w:r>
        <w:t>u odnosu na one koji nude uslugu širokopojasnog pristupa velikog kapaciteta</w:t>
      </w:r>
      <w:r w:rsidRPr="005B6616">
        <w:t xml:space="preserve"> na maloprodajnom tržištu na temelju </w:t>
      </w:r>
      <w:r>
        <w:t xml:space="preserve">HT-ove veleprodajne usluge FA-PON. Spomenuta situacija omogućava HT-u da u odsustvu regulacije na veleprodajnom tržištu iskorištava značajnu tržišnu snagu. </w:t>
      </w:r>
    </w:p>
    <w:p w:rsidR="008921B7" w:rsidRDefault="008921B7" w:rsidP="008921B7">
      <w:pPr>
        <w:jc w:val="both"/>
      </w:pPr>
    </w:p>
    <w:p w:rsidR="008921B7" w:rsidRDefault="008921B7" w:rsidP="008921B7">
      <w:pPr>
        <w:jc w:val="both"/>
      </w:pPr>
      <w:r>
        <w:t xml:space="preserve">Drugim riječima, </w:t>
      </w:r>
      <w:r w:rsidRPr="005B6616">
        <w:t xml:space="preserve">HT otežavanjem veleprodajnog pristupa može onemogućiti </w:t>
      </w:r>
      <w:r>
        <w:t xml:space="preserve">alternativne </w:t>
      </w:r>
      <w:r w:rsidRPr="005B6616">
        <w:t>operatore pri pružanju konkurentne maloprodajne usluge</w:t>
      </w:r>
      <w:r>
        <w:t xml:space="preserve"> širokopojasnog pristupa velikog kapaciteta</w:t>
      </w:r>
      <w:r w:rsidRPr="005B6616">
        <w:t xml:space="preserve"> što posljedično uzrokuje pad njihove prodaje</w:t>
      </w:r>
      <w:r>
        <w:t xml:space="preserve">, </w:t>
      </w:r>
      <w:r w:rsidRPr="005B6616">
        <w:t xml:space="preserve">prihoda kao i slabljenje njihova tržišnog položaja. Nadalje, vertikalna integracija i kontrola nad </w:t>
      </w:r>
      <w:r>
        <w:t xml:space="preserve">najrasprostranjenijom VHCN </w:t>
      </w:r>
      <w:r w:rsidRPr="005B6616">
        <w:t>infrastrukturom</w:t>
      </w:r>
      <w:r>
        <w:t xml:space="preserve"> u nekonkurentnim područjima </w:t>
      </w:r>
      <w:r w:rsidR="002D636E">
        <w:t>Klastera</w:t>
      </w:r>
      <w:r>
        <w:t xml:space="preserve"> A</w:t>
      </w:r>
      <w:r w:rsidRPr="005B6616">
        <w:t xml:space="preserve">, u odsustvu regulacije, omogućile bi </w:t>
      </w:r>
      <w:r>
        <w:t xml:space="preserve"> </w:t>
      </w:r>
      <w:r w:rsidRPr="005B6616">
        <w:t xml:space="preserve">HT-u primjenjivanje diskriminacije cijenama i istiskivanje marže. </w:t>
      </w:r>
    </w:p>
    <w:p w:rsidR="008921B7" w:rsidRDefault="008921B7" w:rsidP="008921B7">
      <w:pPr>
        <w:jc w:val="both"/>
      </w:pPr>
    </w:p>
    <w:p w:rsidR="008921B7" w:rsidRDefault="008921B7" w:rsidP="008921B7">
      <w:pPr>
        <w:jc w:val="both"/>
      </w:pPr>
      <w:r w:rsidRPr="005B6616">
        <w:t>S obzirom na sve navedeno</w:t>
      </w:r>
      <w:r>
        <w:t>,</w:t>
      </w:r>
      <w:r w:rsidRPr="005B6616">
        <w:t xml:space="preserve"> </w:t>
      </w:r>
      <w:r>
        <w:t xml:space="preserve">alternativni </w:t>
      </w:r>
      <w:r w:rsidRPr="005B6616">
        <w:t>operatori su u ponudi svojih usluga</w:t>
      </w:r>
      <w:r>
        <w:t xml:space="preserve"> širokopojasnog pristupa velikog kapaciteta</w:t>
      </w:r>
      <w:r w:rsidRPr="005B6616">
        <w:t xml:space="preserve"> </w:t>
      </w:r>
      <w:r>
        <w:t xml:space="preserve">na ovim područjima uvelike </w:t>
      </w:r>
      <w:r w:rsidRPr="005B6616">
        <w:t>ovisni o HT-u koji im omogućuje pristup do krajnjih korisnika. Slijedom svega navedenog, visoki stupanj vertikalne integracije dod</w:t>
      </w:r>
      <w:r>
        <w:t xml:space="preserve">atno jača tržišnu poziciju HT-a na nekonkurentnim područjima </w:t>
      </w:r>
      <w:r w:rsidR="002D636E">
        <w:t>Klastera</w:t>
      </w:r>
      <w:r>
        <w:t xml:space="preserve"> A ovog tržišta.</w:t>
      </w:r>
    </w:p>
    <w:p w:rsidR="008921B7" w:rsidRDefault="008921B7" w:rsidP="008921B7">
      <w:pPr>
        <w:jc w:val="both"/>
      </w:pPr>
    </w:p>
    <w:p w:rsidR="008921B7" w:rsidRDefault="008921B7" w:rsidP="008921B7">
      <w:pPr>
        <w:jc w:val="both"/>
      </w:pPr>
      <w:r>
        <w:t xml:space="preserve">Iako na nekonkurentnim područjima </w:t>
      </w:r>
      <w:r w:rsidR="002D636E">
        <w:t>Klastera</w:t>
      </w:r>
      <w:r>
        <w:t xml:space="preserve"> B HT nema najrasprostranjeniju VHCN infrastrukturu, ima najveći maloprodajni tržišni udio tako da bi zbog vertikalne integracije</w:t>
      </w:r>
      <w:r w:rsidRPr="005B6616">
        <w:t xml:space="preserve"> u odsustvu regulacije, </w:t>
      </w:r>
      <w:r>
        <w:t xml:space="preserve">HT i ovdje mogao primjenjivati diskriminaciju cijenama i istiskivati maržu. </w:t>
      </w:r>
      <w:r w:rsidRPr="005B6616">
        <w:t xml:space="preserve"> </w:t>
      </w:r>
    </w:p>
    <w:p w:rsidR="008921B7" w:rsidRDefault="008921B7" w:rsidP="008921B7">
      <w:pPr>
        <w:jc w:val="both"/>
      </w:pPr>
    </w:p>
    <w:p w:rsidR="008921B7" w:rsidRDefault="008921B7" w:rsidP="008921B7">
      <w:pPr>
        <w:jc w:val="both"/>
      </w:pPr>
      <w:r w:rsidRPr="005B6616">
        <w:t>S obzirom na navedeno</w:t>
      </w:r>
      <w:r>
        <w:t>,</w:t>
      </w:r>
      <w:r w:rsidRPr="005B6616">
        <w:t xml:space="preserve"> </w:t>
      </w:r>
      <w:r>
        <w:t xml:space="preserve">alternativni </w:t>
      </w:r>
      <w:r w:rsidRPr="005B6616">
        <w:t>operatori su u ponudi svojih usluga</w:t>
      </w:r>
      <w:r>
        <w:t xml:space="preserve"> širokopojasnog pristupa velikog kapaciteta</w:t>
      </w:r>
      <w:r w:rsidRPr="005B6616">
        <w:t xml:space="preserve"> </w:t>
      </w:r>
      <w:r>
        <w:t xml:space="preserve">i na ovim nekonkurentnim područjima i dalje </w:t>
      </w:r>
      <w:r w:rsidRPr="005B6616">
        <w:t>ovisni o HT-u koji im omogućuje pristup do krajnjih korisnika. Slijedom svega navedenog, visoki stupanj vertikalne integracije dod</w:t>
      </w:r>
      <w:r>
        <w:t xml:space="preserve">atno jača, iako u manjem obujmu, tržišnu poziciju HT-a i na nekonkurentnim  područjima </w:t>
      </w:r>
      <w:r w:rsidR="002D636E">
        <w:t>Klastera</w:t>
      </w:r>
      <w:r>
        <w:t xml:space="preserve"> B. </w:t>
      </w:r>
    </w:p>
    <w:p w:rsidR="008921B7" w:rsidRDefault="008921B7" w:rsidP="008921B7">
      <w:pPr>
        <w:jc w:val="both"/>
      </w:pPr>
    </w:p>
    <w:p w:rsidR="008921B7" w:rsidRPr="00E970CD" w:rsidRDefault="008921B7" w:rsidP="00E970CD">
      <w:pPr>
        <w:pStyle w:val="Heading3"/>
      </w:pPr>
      <w:bookmarkStart w:id="460" w:name="_Toc124928634"/>
      <w:bookmarkStart w:id="461" w:name="_Toc124946976"/>
      <w:bookmarkStart w:id="462" w:name="_Toc124948886"/>
      <w:bookmarkStart w:id="463" w:name="_Toc124951781"/>
      <w:bookmarkStart w:id="464" w:name="_Toc125644929"/>
      <w:r w:rsidRPr="00E970CD">
        <w:t>Zaključak o procjeni postojanja operatora sa značajnom tržišnom snagom i ocjena djelotvornosti tržišnog natjecanja na tržištu velikog kapaciteta za nekonkurentna područja</w:t>
      </w:r>
      <w:bookmarkEnd w:id="460"/>
      <w:bookmarkEnd w:id="461"/>
      <w:bookmarkEnd w:id="462"/>
      <w:bookmarkEnd w:id="463"/>
      <w:bookmarkEnd w:id="464"/>
      <w:r w:rsidRPr="00E970CD">
        <w:t xml:space="preserve"> </w:t>
      </w:r>
    </w:p>
    <w:p w:rsidR="008921B7" w:rsidRPr="0071297C" w:rsidRDefault="008921B7" w:rsidP="008921B7">
      <w:pPr>
        <w:jc w:val="both"/>
      </w:pPr>
    </w:p>
    <w:p w:rsidR="008921B7" w:rsidRDefault="008921B7" w:rsidP="008921B7">
      <w:pPr>
        <w:jc w:val="both"/>
      </w:pPr>
      <w:r w:rsidRPr="0071297C">
        <w:t>HAKOM je postojanje značajne tržišne sn</w:t>
      </w:r>
      <w:r>
        <w:t>age HT-a na nekonkurentnim područjima utvrdio na temelju što su zadovoljena sva mjerila koja je HAKOM promatrao odnosno na temelju visokog i stabilnog</w:t>
      </w:r>
      <w:r w:rsidRPr="0071297C">
        <w:t xml:space="preserve"> tržišnog udjel</w:t>
      </w:r>
      <w:r>
        <w:t xml:space="preserve">a te ostalih mjerila koje HAKOM može koristiti na temelju članka 96.       ZEK-a kao što su: </w:t>
      </w:r>
      <w:r w:rsidRPr="0071297C">
        <w:t xml:space="preserve">nadzor infrastrukture kod koje postoje velike zapreke razvoju infrastrukturne konkurencije, ekonomije razmjera, ekonomije opsega te stupanj vertikalne integracije. </w:t>
      </w:r>
    </w:p>
    <w:p w:rsidR="008921B7" w:rsidRDefault="008921B7" w:rsidP="008921B7">
      <w:pPr>
        <w:jc w:val="both"/>
      </w:pPr>
    </w:p>
    <w:p w:rsidR="008921B7" w:rsidRDefault="008921B7" w:rsidP="008921B7">
      <w:pPr>
        <w:jc w:val="both"/>
      </w:pPr>
      <w:r w:rsidRPr="0071297C">
        <w:t>HAKOM smatra da analiza drugih mjerila nije potrebna, odnosno da druga mjerila, pored gore analiziranih, ne bi dovela do zaključka da HT nema zna</w:t>
      </w:r>
      <w:r>
        <w:t xml:space="preserve">čajnu tržišnu snagu na tržištu velikog kapaciteta za nekonkurentna područja. </w:t>
      </w:r>
    </w:p>
    <w:p w:rsidR="008921B7" w:rsidRDefault="008921B7" w:rsidP="008921B7">
      <w:pPr>
        <w:jc w:val="both"/>
      </w:pPr>
    </w:p>
    <w:p w:rsidR="008921B7" w:rsidRDefault="008921B7" w:rsidP="008921B7">
      <w:pPr>
        <w:jc w:val="both"/>
      </w:pPr>
      <w:r>
        <w:t>S obzirom da je HAKOM utvrdio kako HT ima dominantan položaj na ovom tržištu, ali ne u mjeri kao na tržištu malog kapaciteta, HAKOM će u nastavku dokumenta na temelju prepoznatih prepreka odrediti odgovarajuće regulatorne obveze.</w:t>
      </w:r>
    </w:p>
    <w:p w:rsidR="008921B7" w:rsidRDefault="008921B7" w:rsidP="008921B7">
      <w:pPr>
        <w:jc w:val="both"/>
      </w:pPr>
    </w:p>
    <w:p w:rsidR="008921B7" w:rsidRPr="00F50595" w:rsidRDefault="008921B7" w:rsidP="00F50595">
      <w:pPr>
        <w:jc w:val="both"/>
      </w:pPr>
      <w:r>
        <w:t xml:space="preserve">Dodatno, HAKOM je, na temelju svih pet analiziranih mjerila utvrdio kako HT na nekonkurentnim područjima ima dominantan položaj. Međutim, isto tako je utvrđeno kako navedena mjerila potvrđuju da dominantna pozicija HT-a nije ista radi li se o nekonkurentnim područjima </w:t>
      </w:r>
      <w:r w:rsidR="002D636E">
        <w:t>Klastera</w:t>
      </w:r>
      <w:r>
        <w:t xml:space="preserve"> A ili nekonkurentnim područjima </w:t>
      </w:r>
      <w:r w:rsidR="002D636E">
        <w:t>Klastera B</w:t>
      </w:r>
      <w:r>
        <w:t xml:space="preserve">. HAKOM će o istome voditi računa u poglavlju prepoznavanja prepreka razvoju djelotvornog tržišnog natjecanja na temelju kojih se određuju regulatorne obveze SMP operatoru. </w:t>
      </w:r>
    </w:p>
    <w:p w:rsidR="0002586D" w:rsidRDefault="0002586D">
      <w:pPr>
        <w:rPr>
          <w:rFonts w:ascii="Segoe UI Semibold" w:eastAsiaTheme="majorEastAsia" w:hAnsi="Segoe UI Semibold" w:cstheme="majorBidi"/>
          <w:color w:val="1F3864" w:themeColor="accent1" w:themeShade="80"/>
          <w:sz w:val="32"/>
          <w:szCs w:val="32"/>
        </w:rPr>
      </w:pPr>
      <w:r>
        <w:br w:type="page"/>
      </w:r>
    </w:p>
    <w:p w:rsidR="002B62CE" w:rsidRPr="00E970CD" w:rsidRDefault="002B62CE" w:rsidP="00E970CD">
      <w:pPr>
        <w:pStyle w:val="Heading1"/>
      </w:pPr>
      <w:bookmarkStart w:id="465" w:name="_Toc124459110"/>
      <w:bookmarkStart w:id="466" w:name="_Toc124459284"/>
      <w:bookmarkStart w:id="467" w:name="_Toc124460005"/>
      <w:bookmarkStart w:id="468" w:name="_Toc124462604"/>
      <w:bookmarkStart w:id="469" w:name="_Toc124462714"/>
      <w:bookmarkStart w:id="470" w:name="_Toc353364050"/>
      <w:bookmarkStart w:id="471" w:name="_Toc414013821"/>
      <w:bookmarkStart w:id="472" w:name="_Toc420665684"/>
      <w:bookmarkStart w:id="473" w:name="_Toc11833537"/>
      <w:bookmarkStart w:id="474" w:name="_Toc124852019"/>
      <w:bookmarkStart w:id="475" w:name="_Toc124852580"/>
      <w:bookmarkStart w:id="476" w:name="_Toc124859649"/>
      <w:bookmarkStart w:id="477" w:name="_Toc124928635"/>
      <w:bookmarkStart w:id="478" w:name="_Toc124946977"/>
      <w:bookmarkStart w:id="479" w:name="_Toc124948887"/>
      <w:bookmarkStart w:id="480" w:name="_Toc124951782"/>
      <w:bookmarkStart w:id="481" w:name="_Ref125566293"/>
      <w:bookmarkStart w:id="482" w:name="_Toc125644930"/>
      <w:bookmarkEnd w:id="465"/>
      <w:bookmarkEnd w:id="466"/>
      <w:bookmarkEnd w:id="467"/>
      <w:bookmarkEnd w:id="468"/>
      <w:bookmarkEnd w:id="469"/>
      <w:r w:rsidRPr="00E970CD">
        <w:t xml:space="preserve">Prepreke razvoju tržišnog natjecanja na tržištima veleprodajnog </w:t>
      </w:r>
      <w:r w:rsidR="00FA7700" w:rsidRPr="00E970CD">
        <w:t>lokalnog</w:t>
      </w:r>
      <w:r w:rsidRPr="00E970CD">
        <w:t xml:space="preserve"> pristupa </w:t>
      </w:r>
      <w:bookmarkEnd w:id="470"/>
      <w:r w:rsidRPr="00E970CD">
        <w:t>koji se pruža na fiksnoj lokaciji</w:t>
      </w:r>
      <w:bookmarkEnd w:id="471"/>
      <w:bookmarkEnd w:id="472"/>
      <w:bookmarkEnd w:id="473"/>
      <w:bookmarkEnd w:id="474"/>
      <w:bookmarkEnd w:id="475"/>
      <w:bookmarkEnd w:id="476"/>
      <w:bookmarkEnd w:id="477"/>
      <w:bookmarkEnd w:id="478"/>
      <w:bookmarkEnd w:id="479"/>
      <w:bookmarkEnd w:id="480"/>
      <w:bookmarkEnd w:id="481"/>
      <w:bookmarkEnd w:id="482"/>
    </w:p>
    <w:p w:rsidR="00566882" w:rsidRDefault="00566882" w:rsidP="00566882">
      <w:pPr>
        <w:rPr>
          <w:lang w:eastAsia="hr-HR"/>
        </w:rPr>
      </w:pPr>
    </w:p>
    <w:p w:rsidR="00566882" w:rsidRPr="00566882" w:rsidRDefault="00566882" w:rsidP="00566882">
      <w:pPr>
        <w:jc w:val="both"/>
        <w:rPr>
          <w:rFonts w:eastAsia="Times New Roman" w:cs="Calibri"/>
          <w:lang w:eastAsia="hr-HR"/>
        </w:rPr>
      </w:pPr>
      <w:bookmarkStart w:id="483" w:name="_Toc353364051"/>
      <w:bookmarkStart w:id="484" w:name="_Toc414013822"/>
      <w:bookmarkStart w:id="485" w:name="_Toc420665685"/>
      <w:r w:rsidRPr="00566882">
        <w:rPr>
          <w:rFonts w:eastAsia="Times New Roman" w:cs="Calibri"/>
          <w:lang w:eastAsia="hr-HR"/>
        </w:rPr>
        <w:t xml:space="preserve">U ovom poglavlju HAKOM analizira moguće prepreke razvoju tržišnog natjecanja koje se u odsustvu regulacije, a u razdoblju na koje se odnosi analiza, mogu pojaviti na mjerodavnom tržištu malog kapaciteta i na mjerodavnom tržištu velikog kapaciteta – nekonkurentna područja. </w:t>
      </w:r>
    </w:p>
    <w:p w:rsidR="00566882" w:rsidRPr="00566882" w:rsidRDefault="00566882" w:rsidP="00566882">
      <w:pPr>
        <w:jc w:val="both"/>
        <w:rPr>
          <w:rFonts w:eastAsia="Times New Roman" w:cs="Calibri"/>
          <w:lang w:eastAsia="hr-HR"/>
        </w:rPr>
      </w:pPr>
    </w:p>
    <w:p w:rsidR="00566882" w:rsidRPr="00566882" w:rsidRDefault="00566882" w:rsidP="00566882">
      <w:pPr>
        <w:jc w:val="both"/>
        <w:rPr>
          <w:rFonts w:eastAsia="Times New Roman" w:cs="Calibri"/>
          <w:lang w:eastAsia="hr-HR"/>
        </w:rPr>
      </w:pPr>
      <w:r w:rsidRPr="00566882">
        <w:rPr>
          <w:rFonts w:eastAsia="Times New Roman" w:cs="Calibri"/>
          <w:lang w:eastAsia="hr-HR"/>
        </w:rPr>
        <w:t>Prepreke razvoju tržišnog natjecanja mogu proizaći iz sposobnosti ili namjere operatora da na tržištu iskoristi svoj visoki tržišni udjel, odnosno vladajući položaj.</w:t>
      </w:r>
    </w:p>
    <w:p w:rsidR="00566882" w:rsidRPr="00566882" w:rsidRDefault="00566882" w:rsidP="00566882">
      <w:pPr>
        <w:jc w:val="both"/>
        <w:rPr>
          <w:rFonts w:eastAsia="Times New Roman" w:cs="Calibri"/>
          <w:lang w:eastAsia="hr-HR"/>
        </w:rPr>
      </w:pPr>
    </w:p>
    <w:p w:rsidR="00566882" w:rsidRPr="00566882" w:rsidRDefault="00566882" w:rsidP="00566882">
      <w:pPr>
        <w:spacing w:after="120"/>
        <w:jc w:val="both"/>
        <w:rPr>
          <w:rFonts w:eastAsia="Times New Roman" w:cs="Calibri"/>
          <w:lang w:eastAsia="hr-HR"/>
        </w:rPr>
      </w:pPr>
      <w:r w:rsidRPr="00566882">
        <w:rPr>
          <w:rFonts w:eastAsia="Times New Roman" w:cs="Calibri"/>
          <w:lang w:eastAsia="hr-HR"/>
        </w:rPr>
        <w:t>Postoje tri strategije vertikalnog prenošenja značajne tržišne snage</w:t>
      </w:r>
      <w:r w:rsidRPr="00566882">
        <w:rPr>
          <w:rFonts w:eastAsia="Times New Roman" w:cs="Calibri"/>
          <w:vertAlign w:val="superscript"/>
        </w:rPr>
        <w:footnoteReference w:id="54"/>
      </w:r>
      <w:r w:rsidRPr="00566882">
        <w:rPr>
          <w:rFonts w:eastAsia="Times New Roman" w:cs="Calibri"/>
          <w:lang w:eastAsia="hr-HR"/>
        </w:rPr>
        <w:t>:</w:t>
      </w:r>
    </w:p>
    <w:p w:rsidR="00566882" w:rsidRPr="00566882" w:rsidRDefault="00566882" w:rsidP="00566882">
      <w:pPr>
        <w:ind w:firstLine="709"/>
        <w:jc w:val="both"/>
        <w:rPr>
          <w:rFonts w:eastAsia="Times New Roman" w:cs="Calibri"/>
          <w:lang w:eastAsia="hr-HR"/>
        </w:rPr>
      </w:pPr>
      <w:r w:rsidRPr="00566882">
        <w:rPr>
          <w:rFonts w:eastAsia="Times New Roman" w:cs="Calibri"/>
          <w:lang w:eastAsia="hr-HR"/>
        </w:rPr>
        <w:t>•</w:t>
      </w:r>
      <w:r w:rsidRPr="00566882">
        <w:rPr>
          <w:rFonts w:eastAsia="Times New Roman" w:cs="Calibri"/>
          <w:lang w:eastAsia="hr-HR"/>
        </w:rPr>
        <w:tab/>
        <w:t>odbijanje dogovora/uskraćivanje pristupa,</w:t>
      </w:r>
    </w:p>
    <w:p w:rsidR="00566882" w:rsidRPr="00566882" w:rsidRDefault="00566882" w:rsidP="00566882">
      <w:pPr>
        <w:ind w:firstLine="709"/>
        <w:jc w:val="both"/>
        <w:rPr>
          <w:rFonts w:eastAsia="Times New Roman" w:cs="Calibri"/>
          <w:lang w:eastAsia="hr-HR"/>
        </w:rPr>
      </w:pPr>
      <w:r w:rsidRPr="00566882">
        <w:rPr>
          <w:rFonts w:eastAsia="Times New Roman" w:cs="Calibri"/>
          <w:lang w:eastAsia="hr-HR"/>
        </w:rPr>
        <w:t>•</w:t>
      </w:r>
      <w:r w:rsidRPr="00566882">
        <w:rPr>
          <w:rFonts w:eastAsia="Times New Roman" w:cs="Calibri"/>
          <w:lang w:eastAsia="hr-HR"/>
        </w:rPr>
        <w:tab/>
        <w:t>prenošenje značajne tržišne snage na osnovama koje nisu povezane s cijenama,</w:t>
      </w:r>
    </w:p>
    <w:p w:rsidR="00566882" w:rsidRPr="00566882" w:rsidRDefault="00566882" w:rsidP="00566882">
      <w:pPr>
        <w:ind w:firstLine="709"/>
        <w:jc w:val="both"/>
        <w:rPr>
          <w:rFonts w:eastAsia="Times New Roman" w:cs="Calibri"/>
          <w:lang w:eastAsia="hr-HR"/>
        </w:rPr>
      </w:pPr>
      <w:r w:rsidRPr="00566882">
        <w:rPr>
          <w:rFonts w:eastAsia="Times New Roman" w:cs="Calibri"/>
          <w:lang w:eastAsia="hr-HR"/>
        </w:rPr>
        <w:t>•</w:t>
      </w:r>
      <w:r w:rsidRPr="00566882">
        <w:rPr>
          <w:rFonts w:eastAsia="Times New Roman" w:cs="Calibri"/>
          <w:lang w:eastAsia="hr-HR"/>
        </w:rPr>
        <w:tab/>
        <w:t>prenošenje značajne tržišne snage na osnovama vezanim uz cijene.</w:t>
      </w:r>
    </w:p>
    <w:p w:rsidR="00566882" w:rsidRPr="00566882" w:rsidRDefault="00566882" w:rsidP="00566882">
      <w:pPr>
        <w:jc w:val="both"/>
        <w:rPr>
          <w:rFonts w:eastAsia="Times New Roman" w:cs="Calibri"/>
          <w:lang w:eastAsia="hr-HR"/>
        </w:rPr>
      </w:pPr>
    </w:p>
    <w:p w:rsidR="00566882" w:rsidRPr="00566882" w:rsidRDefault="00566882" w:rsidP="00566882">
      <w:pPr>
        <w:jc w:val="both"/>
        <w:rPr>
          <w:rFonts w:eastAsia="Times New Roman" w:cs="TT15Ct00"/>
          <w:lang w:eastAsia="hr-HR"/>
        </w:rPr>
      </w:pPr>
      <w:r w:rsidRPr="00566882">
        <w:rPr>
          <w:rFonts w:eastAsia="Times New Roman" w:cs="Calibri"/>
          <w:lang w:eastAsia="hr-HR"/>
        </w:rPr>
        <w:t>Stoga je, sukladno navedenoj podjeli, HAKOM u nastavku opisao prepreke razvoju tržišnog natjecanja na mjerodavnim tržištima za koje smatra da su moguće u odsustvu regulacije. Uzevši u obzir da je HAKOM prepoznao uglavnom iste prepreke na oba tržišta, nije ih razdvajao u posebna poglavlja, već je u tekstu naglašeno ukoliko je određena prepreka izraženija ili vjerojatnija na pojedinom tržištu.</w:t>
      </w:r>
    </w:p>
    <w:p w:rsidR="00566882" w:rsidRPr="00E970CD" w:rsidRDefault="00566882" w:rsidP="00E970CD">
      <w:pPr>
        <w:pStyle w:val="Heading2"/>
      </w:pPr>
      <w:bookmarkStart w:id="486" w:name="_Toc532295813"/>
      <w:bookmarkStart w:id="487" w:name="_Toc532298011"/>
      <w:bookmarkStart w:id="488" w:name="_Toc11833538"/>
      <w:bookmarkStart w:id="489" w:name="_Toc124852020"/>
      <w:bookmarkStart w:id="490" w:name="_Toc124852581"/>
      <w:bookmarkStart w:id="491" w:name="_Toc124860057"/>
      <w:bookmarkStart w:id="492" w:name="_Toc124937968"/>
      <w:bookmarkStart w:id="493" w:name="_Toc124939016"/>
      <w:bookmarkStart w:id="494" w:name="_Toc124945848"/>
      <w:bookmarkStart w:id="495" w:name="_Ref125566339"/>
      <w:bookmarkStart w:id="496" w:name="_Ref125566365"/>
      <w:bookmarkStart w:id="497" w:name="_Ref125566398"/>
      <w:bookmarkStart w:id="498" w:name="_Toc125644931"/>
      <w:bookmarkEnd w:id="486"/>
      <w:bookmarkEnd w:id="487"/>
      <w:r w:rsidRPr="00E970CD">
        <w:t>Odbijanje dogovora/uskraćivanje pristupa</w:t>
      </w:r>
      <w:bookmarkEnd w:id="483"/>
      <w:bookmarkEnd w:id="484"/>
      <w:bookmarkEnd w:id="485"/>
      <w:bookmarkEnd w:id="488"/>
      <w:bookmarkEnd w:id="489"/>
      <w:bookmarkEnd w:id="490"/>
      <w:bookmarkEnd w:id="491"/>
      <w:bookmarkEnd w:id="492"/>
      <w:bookmarkEnd w:id="493"/>
      <w:bookmarkEnd w:id="494"/>
      <w:bookmarkEnd w:id="495"/>
      <w:bookmarkEnd w:id="496"/>
      <w:bookmarkEnd w:id="497"/>
      <w:bookmarkEnd w:id="498"/>
    </w:p>
    <w:p w:rsidR="00566882" w:rsidRPr="00566882" w:rsidRDefault="00566882" w:rsidP="00566882">
      <w:pPr>
        <w:jc w:val="both"/>
        <w:rPr>
          <w:rFonts w:eastAsia="Times New Roman" w:cs="Calibri"/>
        </w:rPr>
      </w:pPr>
      <w:r w:rsidRPr="00566882">
        <w:rPr>
          <w:rFonts w:eastAsia="Times New Roman" w:cs="Calibri"/>
        </w:rPr>
        <w:t>Operator sa značajnom tržišnom snagom na određenom veleprodajnom tržištu može prenijeti svoju tržišnu snagu na maloprodajnu razinu na način da odbije dogovor ili uskrati pristup operatorima koji se na maloprodajnoj razini natječu s njegovim maloprodajnim dijelom ili društvima pod njegovim nadzorom. Takvo ponašanje posebno predstavlja prepreke razvoju tržišnog natjecanja u slučajevima kada operator sa značajnom tržišnom snagom na veleprodajnoj razini pruža uslugu koja je neophodna drugim operatorima pri pružanju usluge krajnjim korisnicima na povezanom maloprodajnom tržištu.</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HAKOM smatra da bi, u odsustvu regulacije, operator sa značajnom tržišnom snagom na analiziranim mjerodavnim tržištima, mogao imati, u svrhu prenošenja svoje tržišne snage na maloprodajnu razinu, snažan poticaj uskratiti pristup svojoj mreži te odbiti pregovore s postojećim ili potencijalnim konkurentima, koji tu veleprodajnu uslugu koriste/žele koristiti kako bi nudili usluge na povezanom maloprodajnom tržištu. Naime, vertikalno integrirani operator sa značajnom tržišnom snagom na navedenim mjerodavnim tržištima mogao bi, u odsustvu regulacije, uskratiti pristup uslugama koje ulaze u dimenziju tržišta ili ih ponuditi po nepovoljnijim uvjetima, a što bi dovelo do pada tržišnog udjela postojećih operatora korisnika koji na temelju veleprodajne usluge operatora sa značajnom tržišnom snagom nude usluge na maloprodajnoj razini te spriječilo ulazak novih operatora.</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Kako je HAKOM u poglavlju </w:t>
      </w:r>
      <w:r w:rsidR="0007047F">
        <w:rPr>
          <w:rFonts w:eastAsia="Times New Roman" w:cs="Calibri"/>
        </w:rPr>
        <w:fldChar w:fldCharType="begin"/>
      </w:r>
      <w:r w:rsidR="0007047F">
        <w:rPr>
          <w:rFonts w:eastAsia="Times New Roman" w:cs="Calibri"/>
        </w:rPr>
        <w:instrText xml:space="preserve"> REF _Ref125566198 \r \h </w:instrText>
      </w:r>
      <w:r w:rsidR="0007047F">
        <w:rPr>
          <w:rFonts w:eastAsia="Times New Roman" w:cs="Calibri"/>
        </w:rPr>
      </w:r>
      <w:r w:rsidR="0007047F">
        <w:rPr>
          <w:rFonts w:eastAsia="Times New Roman" w:cs="Calibri"/>
        </w:rPr>
        <w:fldChar w:fldCharType="separate"/>
      </w:r>
      <w:r w:rsidR="0007047F">
        <w:rPr>
          <w:rFonts w:eastAsia="Times New Roman" w:cs="Calibri"/>
        </w:rPr>
        <w:t>6</w:t>
      </w:r>
      <w:r w:rsidR="0007047F">
        <w:rPr>
          <w:rFonts w:eastAsia="Times New Roman" w:cs="Calibri"/>
        </w:rPr>
        <w:fldChar w:fldCharType="end"/>
      </w:r>
      <w:r w:rsidRPr="00566882">
        <w:rPr>
          <w:rFonts w:eastAsia="Times New Roman" w:cs="Calibri"/>
        </w:rPr>
        <w:t xml:space="preserve"> ovog dokumenta utvrdio da je u RH HT operator sa značajnom tržišnom snagom na oba mjerodavna tržišta te da je vertikalno integrirani operator, HAKOM smatra da bi HT, u odsustvu regulacije, mogao imati interes da operatorima ne pruža veleprodajnu uslugu bitstream pristupa pod razumnim uvjetima ili da čak uopće ne ponudi uslugu bitstream pristupa. </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Na taj način, HT bi bio u mogućnosti prenijeti svoju značajnu tržišnu snagu na povezana maloprodajna tržišta što bi dovelo do jačanja tržišne pozicije HT-a na maloprodajnoj razini, s obzirom da operatori koji trenutno koriste uslugu bitstream pristupa, ne bi mogli konkurirati HT-u pri pružanju usluge širokopojasnog pristupa i generičkih usluga (npr. VOIP, IPTV, </w:t>
      </w:r>
      <w:proofErr w:type="spellStart"/>
      <w:r w:rsidRPr="00566882">
        <w:rPr>
          <w:rFonts w:eastAsia="Times New Roman" w:cs="Calibri"/>
        </w:rPr>
        <w:t>VoD</w:t>
      </w:r>
      <w:proofErr w:type="spellEnd"/>
      <w:r w:rsidRPr="00566882">
        <w:rPr>
          <w:rFonts w:eastAsia="Times New Roman" w:cs="Calibri"/>
        </w:rPr>
        <w:t xml:space="preserve">). </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Naime, na tržištu malog kapaciteta operatori svoje usluge mogu pružati krajnjim korisnicima samo na temelju HT-ove bakrene infrastrukture i odgovarajućih veleprodajnih usluga budući da replikacija takve pristupne mreže nije ekonomski opravdana niti izgledna. </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S druge strane, izgradnja VHCN mreža na tržištu velikog kapaciteta predstavlja ekonomski isplativu investiciju za operatore. Stoga su i njihova ulaganja u izgradnju vlastitih VHCN mreža pojačana u razdoblju od analize tržišta iz 2019. te usluge s tržišta velikog kapaciteta mogu pružati putem vlastite infrastrukture ili putem HT-ovih veleprodajnih usluga. Uzevši u obzir da je HAKOM prepoznao kako HT ima status operatora sa značajnom tržišnom snagom na Tržištu velikog kapaciteta – nekonkurentna područja (i u </w:t>
      </w:r>
      <w:proofErr w:type="spellStart"/>
      <w:r w:rsidRPr="00566882">
        <w:rPr>
          <w:rFonts w:eastAsia="Times New Roman" w:cs="Calibri"/>
        </w:rPr>
        <w:t>Klasteru</w:t>
      </w:r>
      <w:proofErr w:type="spellEnd"/>
      <w:r w:rsidRPr="00566882">
        <w:rPr>
          <w:rFonts w:eastAsia="Times New Roman" w:cs="Calibri"/>
        </w:rPr>
        <w:t xml:space="preserve"> A i u </w:t>
      </w:r>
      <w:proofErr w:type="spellStart"/>
      <w:r w:rsidRPr="00566882">
        <w:rPr>
          <w:rFonts w:eastAsia="Times New Roman" w:cs="Calibri"/>
        </w:rPr>
        <w:t>Klasteru</w:t>
      </w:r>
      <w:proofErr w:type="spellEnd"/>
      <w:r w:rsidRPr="00566882">
        <w:rPr>
          <w:rFonts w:eastAsia="Times New Roman" w:cs="Calibri"/>
        </w:rPr>
        <w:t xml:space="preserve"> B), jasno je kako infrastruktura alternativnih operatora na istima nije prisutna u dovoljnoj mjeri da bi alternativni operatori mogli </w:t>
      </w:r>
      <w:r w:rsidR="00661CAE">
        <w:rPr>
          <w:rFonts w:eastAsia="Times New Roman" w:cs="Calibri"/>
        </w:rPr>
        <w:t>pružati</w:t>
      </w:r>
      <w:r w:rsidRPr="00566882">
        <w:rPr>
          <w:rFonts w:eastAsia="Times New Roman" w:cs="Calibri"/>
        </w:rPr>
        <w:t xml:space="preserve"> svoje usluge neovisno o dostupnosti odgovarajućih HT-ovih veleprodajnih usluga.  </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Zbog prethodno navedenog, HAKOM smatra kako bi </w:t>
      </w:r>
      <w:proofErr w:type="spellStart"/>
      <w:r w:rsidRPr="00566882">
        <w:rPr>
          <w:rFonts w:eastAsia="Times New Roman" w:cs="Calibri"/>
        </w:rPr>
        <w:t>nepružanje</w:t>
      </w:r>
      <w:proofErr w:type="spellEnd"/>
      <w:r w:rsidRPr="00566882">
        <w:rPr>
          <w:rFonts w:eastAsia="Times New Roman" w:cs="Calibri"/>
        </w:rPr>
        <w:t xml:space="preserve"> veleprodajne usluge </w:t>
      </w:r>
      <w:r w:rsidR="005A37F3">
        <w:rPr>
          <w:rFonts w:eastAsia="Times New Roman" w:cs="Calibri"/>
        </w:rPr>
        <w:t>lokalnog</w:t>
      </w:r>
      <w:r w:rsidR="005A37F3" w:rsidRPr="00566882">
        <w:rPr>
          <w:rFonts w:eastAsia="Times New Roman" w:cs="Calibri"/>
        </w:rPr>
        <w:t xml:space="preserve"> </w:t>
      </w:r>
      <w:r w:rsidRPr="00566882">
        <w:rPr>
          <w:rFonts w:eastAsia="Times New Roman" w:cs="Calibri"/>
        </w:rPr>
        <w:t xml:space="preserve">pristupa uopće ili pod razumnim uvjetima od strane HT-a, negativno utjecalo na operatore korisnike navedene veleprodajne usluge te na tržišno natjecanje koje bi nedvojbeno bilo narušeno. </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Slijedom navedenog, u odsustvu regulacije usluge </w:t>
      </w:r>
      <w:r w:rsidR="005A37F3">
        <w:rPr>
          <w:rFonts w:eastAsia="Times New Roman" w:cs="Calibri"/>
        </w:rPr>
        <w:t>lokalnog</w:t>
      </w:r>
      <w:r w:rsidR="005A37F3" w:rsidRPr="00566882">
        <w:rPr>
          <w:rFonts w:eastAsia="Times New Roman" w:cs="Calibri"/>
        </w:rPr>
        <w:t xml:space="preserve"> </w:t>
      </w:r>
      <w:r w:rsidRPr="00566882">
        <w:rPr>
          <w:rFonts w:eastAsia="Times New Roman" w:cs="Calibri"/>
        </w:rPr>
        <w:t>pristupa neovisno o primijenjenoj tehnologiji i točki pristupa, postojeći i potencijalni konkurenti ne bi mogli pružati usluge širokopojasnog pristupa i generičke usluge na maloprodajnoj razini. Naime, HAKOM smatra kako postojeći i potencijalni konkurenti nemaju dovoljnu pregovaračku moć kako bi dogovorili s HT-om pružanje usluge pristupa pod razumnim komercijalnim uvjetima</w:t>
      </w:r>
      <w:r w:rsidRPr="00566882">
        <w:rPr>
          <w:rFonts w:eastAsia="Times New Roman"/>
        </w:rPr>
        <w:t xml:space="preserve"> ili da uopće pruža pristup uslugama koje ulaze u definiciju mjerodavnog tržišta.</w:t>
      </w:r>
    </w:p>
    <w:p w:rsidR="00566882" w:rsidRPr="00566882" w:rsidRDefault="00566882" w:rsidP="00566882">
      <w:pPr>
        <w:jc w:val="both"/>
        <w:rPr>
          <w:rFonts w:eastAsia="Times New Roman" w:cs="Calibri"/>
        </w:rPr>
      </w:pPr>
    </w:p>
    <w:p w:rsidR="00566882" w:rsidRPr="00566882" w:rsidRDefault="00602078" w:rsidP="00566882">
      <w:pPr>
        <w:jc w:val="both"/>
        <w:rPr>
          <w:rFonts w:eastAsia="Times New Roman"/>
        </w:rPr>
      </w:pPr>
      <w:r>
        <w:rPr>
          <w:rFonts w:eastAsia="Times New Roman"/>
        </w:rPr>
        <w:t>Stoga</w:t>
      </w:r>
      <w:r w:rsidR="00566882" w:rsidRPr="00566882">
        <w:rPr>
          <w:rFonts w:eastAsia="Times New Roman"/>
        </w:rPr>
        <w:t xml:space="preserve">, odbijanje pregovora i/ili pružanja usluge </w:t>
      </w:r>
      <w:r w:rsidR="005A37F3">
        <w:rPr>
          <w:rFonts w:eastAsia="Times New Roman"/>
        </w:rPr>
        <w:t xml:space="preserve">lokalnog </w:t>
      </w:r>
      <w:r w:rsidR="00566882" w:rsidRPr="00566882">
        <w:rPr>
          <w:rFonts w:eastAsia="Times New Roman"/>
        </w:rPr>
        <w:t>pristupa utjecalo bi na podizanje troškova drugih operatora i nemogućnost efikasnog tržišnog natjecanja s maloprodajnim dijelom HT-a i društvima pod njegovim nadzorom, prenošenje značajne tržišne snage HT-a na maloprodajno tržište te, u konačnici, dovelo do napuštanja tržišta operatora koji koriste navedenu veleprodajnu uslugu.</w:t>
      </w:r>
    </w:p>
    <w:p w:rsidR="00566882" w:rsidRPr="00566882" w:rsidRDefault="00566882" w:rsidP="00566882">
      <w:pPr>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 xml:space="preserve">Zaključno, potrebno je naglasiti da bi, u slučaju kada operatori ne bi bili u mogućnosti ponuditi na maloprodajnoj razini uslugu na temelju usluge </w:t>
      </w:r>
      <w:r w:rsidR="005A37F3">
        <w:rPr>
          <w:rFonts w:eastAsia="Times New Roman" w:cs="Calibri"/>
        </w:rPr>
        <w:t>lokalnog</w:t>
      </w:r>
      <w:r w:rsidR="005A37F3" w:rsidRPr="00566882">
        <w:rPr>
          <w:rFonts w:eastAsia="Times New Roman" w:cs="Calibri"/>
        </w:rPr>
        <w:t xml:space="preserve"> </w:t>
      </w:r>
      <w:r w:rsidRPr="00566882">
        <w:rPr>
          <w:rFonts w:eastAsia="Times New Roman" w:cs="Calibri"/>
        </w:rPr>
        <w:t>pristupa, navedeno negativno utjecalo i na krajnje korisnike koji više ne bi imali različite mogućnosti izbora u smislu usluga koje im se nude i po kojim cijenama.</w:t>
      </w:r>
    </w:p>
    <w:p w:rsidR="00566882" w:rsidRPr="00E970CD" w:rsidRDefault="00566882" w:rsidP="00E970CD">
      <w:pPr>
        <w:pStyle w:val="Heading2"/>
      </w:pPr>
      <w:bookmarkStart w:id="499" w:name="_Toc353364052"/>
      <w:bookmarkStart w:id="500" w:name="_Toc414013823"/>
      <w:bookmarkStart w:id="501" w:name="_Toc420665686"/>
      <w:bookmarkStart w:id="502" w:name="_Toc11833539"/>
      <w:bookmarkStart w:id="503" w:name="_Toc124852021"/>
      <w:bookmarkStart w:id="504" w:name="_Toc124852582"/>
      <w:bookmarkStart w:id="505" w:name="_Toc124860058"/>
      <w:bookmarkStart w:id="506" w:name="_Toc124937969"/>
      <w:bookmarkStart w:id="507" w:name="_Toc124939017"/>
      <w:bookmarkStart w:id="508" w:name="_Toc124945849"/>
      <w:bookmarkStart w:id="509" w:name="_Ref125566459"/>
      <w:bookmarkStart w:id="510" w:name="_Ref125566465"/>
      <w:bookmarkStart w:id="511" w:name="_Ref125566499"/>
      <w:bookmarkStart w:id="512" w:name="_Ref125566530"/>
      <w:bookmarkStart w:id="513" w:name="_Ref125566577"/>
      <w:bookmarkStart w:id="514" w:name="_Ref125566625"/>
      <w:bookmarkStart w:id="515" w:name="_Ref125566651"/>
      <w:bookmarkStart w:id="516" w:name="_Ref125566772"/>
      <w:bookmarkStart w:id="517" w:name="_Ref125566791"/>
      <w:bookmarkStart w:id="518" w:name="_Ref125566843"/>
      <w:bookmarkStart w:id="519" w:name="_Toc125644932"/>
      <w:r w:rsidRPr="00E970CD">
        <w:t>Prenošenje značajne tržišne snage na osnovama koje nisu povezane s cijenama</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rsidR="00566882" w:rsidRPr="00E970CD" w:rsidRDefault="00566882" w:rsidP="00E970CD">
      <w:pPr>
        <w:pStyle w:val="Heading3"/>
      </w:pPr>
      <w:bookmarkStart w:id="520" w:name="_Toc353364053"/>
      <w:bookmarkStart w:id="521" w:name="_Toc414013824"/>
      <w:bookmarkStart w:id="522" w:name="_Toc420665687"/>
      <w:bookmarkStart w:id="523" w:name="_Toc11833540"/>
      <w:bookmarkStart w:id="524" w:name="_Toc124852022"/>
      <w:bookmarkStart w:id="525" w:name="_Toc124852583"/>
      <w:bookmarkStart w:id="526" w:name="_Toc124860059"/>
      <w:bookmarkStart w:id="527" w:name="_Toc124937970"/>
      <w:bookmarkStart w:id="528" w:name="_Toc124939018"/>
      <w:bookmarkStart w:id="529" w:name="_Toc124945850"/>
      <w:bookmarkStart w:id="530" w:name="_Toc125644933"/>
      <w:r w:rsidRPr="00E970CD">
        <w:t>Diskriminirajuće korištenje informacija ili uskraćivanje informacija</w:t>
      </w:r>
      <w:bookmarkEnd w:id="520"/>
      <w:bookmarkEnd w:id="521"/>
      <w:bookmarkEnd w:id="522"/>
      <w:bookmarkEnd w:id="523"/>
      <w:bookmarkEnd w:id="524"/>
      <w:bookmarkEnd w:id="525"/>
      <w:bookmarkEnd w:id="526"/>
      <w:bookmarkEnd w:id="527"/>
      <w:bookmarkEnd w:id="528"/>
      <w:bookmarkEnd w:id="529"/>
      <w:bookmarkEnd w:id="530"/>
    </w:p>
    <w:p w:rsidR="00566882" w:rsidRPr="00566882" w:rsidRDefault="00566882" w:rsidP="00566882">
      <w:pPr>
        <w:rPr>
          <w:lang w:eastAsia="hr-HR"/>
        </w:rPr>
      </w:pPr>
    </w:p>
    <w:p w:rsidR="00566882" w:rsidRPr="00566882" w:rsidRDefault="00566882" w:rsidP="00566882">
      <w:pPr>
        <w:jc w:val="both"/>
        <w:rPr>
          <w:rFonts w:eastAsia="Times New Roman" w:cs="Calibri"/>
        </w:rPr>
      </w:pPr>
      <w:bookmarkStart w:id="531" w:name="_Toc353364054"/>
      <w:bookmarkStart w:id="532" w:name="_Toc414013825"/>
      <w:bookmarkStart w:id="533" w:name="_Toc420665688"/>
      <w:r w:rsidRPr="00566882">
        <w:rPr>
          <w:rFonts w:eastAsia="Times New Roman" w:cs="Calibri"/>
        </w:rPr>
        <w:t xml:space="preserve">Diskriminirajuće korištenje informacija ili uskraćivanje informacija predstavlja situaciju u kojoj operator sa značajnom tržišnom snagom na veleprodajnom tržištu svome maloprodajnom dijelu ili društvima </w:t>
      </w:r>
      <w:r w:rsidRPr="00566882">
        <w:t>pod njegovim nadzorom</w:t>
      </w:r>
      <w:r w:rsidRPr="00566882" w:rsidDel="00371590">
        <w:rPr>
          <w:rFonts w:eastAsia="Times New Roman" w:cs="Calibri"/>
        </w:rPr>
        <w:t xml:space="preserve"> </w:t>
      </w:r>
      <w:r w:rsidRPr="00566882">
        <w:rPr>
          <w:rFonts w:eastAsia="Times New Roman" w:cs="Calibri"/>
        </w:rPr>
        <w:t>pruža informacije važne za pružanje usluga na maloprodajnom tržištu, a iste ne pruža operatorima koji koriste ili namjeravaju koristiti njegovu veleprodajnu uslugu za pružanje konkurentnih usluga na tom maloprodajnom tržištu. Takvim ponašanjem, operator sa značajnom tržišnom snagom prenosi svoj vladajući položaj na maloprodajnu razinu, na način da dovodi operatore korisnike veleprodajne usluge u nepovoljan položaj u odnosu na vlastiti maloprodajni dio, odnosno društva pod njegovim nadzorom.</w:t>
      </w:r>
      <w:r w:rsidRPr="00566882" w:rsidDel="00DC7912">
        <w:rPr>
          <w:rFonts w:eastAsia="Times New Roman" w:cs="Calibri"/>
        </w:rPr>
        <w:t xml:space="preserve"> </w:t>
      </w:r>
    </w:p>
    <w:p w:rsidR="00566882" w:rsidRPr="00566882" w:rsidRDefault="00566882" w:rsidP="00566882">
      <w:pPr>
        <w:ind w:left="360"/>
        <w:jc w:val="both"/>
        <w:rPr>
          <w:rFonts w:eastAsia="Times New Roman" w:cs="Calibri"/>
        </w:rPr>
      </w:pPr>
    </w:p>
    <w:p w:rsidR="00566882" w:rsidRPr="00566882" w:rsidRDefault="00566882" w:rsidP="00566882">
      <w:pPr>
        <w:jc w:val="both"/>
        <w:rPr>
          <w:rFonts w:eastAsia="Times New Roman" w:cs="Calibri"/>
        </w:rPr>
      </w:pPr>
      <w:r w:rsidRPr="00566882">
        <w:rPr>
          <w:rFonts w:eastAsia="Times New Roman" w:cs="Calibri"/>
        </w:rPr>
        <w:t>HAKOM smatra da bi HT mogao, u odsustvu regulacije, svojim postojećim i potencijalnim konkurentima uskratiti detaljne i pravodobne informacije o planiranim promjenama u mreži,</w:t>
      </w:r>
      <w:r w:rsidRPr="00566882">
        <w:rPr>
          <w:rFonts w:eastAsia="Times New Roman"/>
        </w:rPr>
        <w:t xml:space="preserve"> </w:t>
      </w:r>
      <w:r w:rsidRPr="00566882">
        <w:rPr>
          <w:rFonts w:eastAsia="Times New Roman" w:cs="Calibri"/>
        </w:rPr>
        <w:t>na način da istima ne bi pružao jednake informacije kao i svom maloprodajnom dijelu ili društvima pod njegovim nadzorom. Naime, radi ulaganja u VHCN mreže, dolazi do otvaranja novih pristupnih točaka. Neraspolaganje odgovarajućim informacijama negativno bi utjecalo na poslovne planove i ulaganja operatora korisnika, s obzirom da ne bi mogli pravovremeno ocijeniti utjecaj takvih promjena i razmotriti različite mogućnosti ulaganja u vlastitu mrežu, te pravovremeno reagirati na maloprodajnoj razini. Na taj način, HT bi mogao iskoristiti prednosti prvog ulaska, te dovesti vlastiti maloprodajni dio i društva pod njegovim nadzorom u povoljniji položaj na povezanom maloprodajnom tržištu od postojećih i potencijalnih konkurenata, odnosno prenijeti svoju značajnu tržišnu snagu na povezano maloprodajno tržište, a što za posljedicu ima jačanje tržišnog položaja HT-a te nepovoljan utjecaj na učinkovito tržišno natjecanje na maloprodajnoj razini.</w:t>
      </w:r>
    </w:p>
    <w:p w:rsidR="00566882" w:rsidRPr="00566882" w:rsidRDefault="00566882" w:rsidP="00566882">
      <w:pPr>
        <w:jc w:val="both"/>
        <w:rPr>
          <w:rFonts w:eastAsia="Times New Roman" w:cs="Calibri"/>
        </w:rPr>
      </w:pPr>
    </w:p>
    <w:p w:rsidR="00566882" w:rsidRPr="00E970CD" w:rsidRDefault="00566882" w:rsidP="00E970CD">
      <w:pPr>
        <w:pStyle w:val="Heading3"/>
      </w:pPr>
      <w:bookmarkStart w:id="534" w:name="_Toc11833541"/>
      <w:bookmarkStart w:id="535" w:name="_Toc124852023"/>
      <w:bookmarkStart w:id="536" w:name="_Toc124852584"/>
      <w:bookmarkStart w:id="537" w:name="_Toc124860060"/>
      <w:bookmarkStart w:id="538" w:name="_Toc124937971"/>
      <w:bookmarkStart w:id="539" w:name="_Toc124939019"/>
      <w:bookmarkStart w:id="540" w:name="_Toc124945851"/>
      <w:bookmarkStart w:id="541" w:name="_Ref125566379"/>
      <w:bookmarkStart w:id="542" w:name="_Toc125644934"/>
      <w:r w:rsidRPr="00E970CD">
        <w:t>Taktike odgađanja</w:t>
      </w:r>
      <w:bookmarkEnd w:id="531"/>
      <w:bookmarkEnd w:id="532"/>
      <w:bookmarkEnd w:id="533"/>
      <w:bookmarkEnd w:id="534"/>
      <w:bookmarkEnd w:id="535"/>
      <w:bookmarkEnd w:id="536"/>
      <w:bookmarkEnd w:id="537"/>
      <w:bookmarkEnd w:id="538"/>
      <w:bookmarkEnd w:id="539"/>
      <w:bookmarkEnd w:id="540"/>
      <w:bookmarkEnd w:id="541"/>
      <w:bookmarkEnd w:id="542"/>
    </w:p>
    <w:p w:rsidR="00566882" w:rsidRPr="00566882" w:rsidRDefault="00566882" w:rsidP="00566882">
      <w:pPr>
        <w:rPr>
          <w:lang w:eastAsia="hr-HR"/>
        </w:rPr>
      </w:pPr>
    </w:p>
    <w:p w:rsidR="00566882" w:rsidRPr="00566882" w:rsidRDefault="00566882" w:rsidP="00566882">
      <w:pPr>
        <w:jc w:val="both"/>
        <w:rPr>
          <w:rFonts w:eastAsia="Times New Roman" w:cs="Calibri"/>
        </w:rPr>
      </w:pPr>
      <w:r w:rsidRPr="00566882">
        <w:rPr>
          <w:rFonts w:eastAsia="Times New Roman" w:cs="Calibri"/>
        </w:rPr>
        <w:t>Taktike odgađanja se odnose na situacije u kojima operator sa značajnom tržišnom snagom ne odbija pružanje pripadajuće veleprodajne usluge, ali istu pruža sa zakašnjenjem u odnosu na svoj maloprodajni dio (za vlastite potrebe) ili društva pod njegovim nadzorom, te na taj način dovodi postojeće i potencijalne konkurente u neravnopravan položaj na vertikalno povezanom veleprodajnom i maloprodajnom tržištu budući da im je ta veleprodajna usluga, uzevši u obzir potrebe krajnjih korisnika, neophodna za pružanje usluga istima. Ova taktika odgađanja može se odnositi na sve faze u pružanju veleprodajnih usluga, uključujući fazu pregovora.</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cs="Calibri"/>
        </w:rPr>
        <w:t>HAKOM smatra da bi HT, kao operator sa značajnom tržišnom snagom na tržištu malog kapaciteta i na mjerodavnom tržištu velikog kapaciteta – nekonkurentna područja te ujedno i vertikalno integrirani operator, u odsustvu regulacije, mogao imati interes pružati odgovarajuću veleprodajnu uslugu postojećim i potencijalnim konkurentima na povezanom maloprodajnom tržištu u rokovima duljim od onih u kojima tu istu uslugu pruža vlastitom maloprodajnom dijelu ili društvima pod njegovim nadzorom.</w:t>
      </w:r>
      <w:r w:rsidRPr="00566882">
        <w:rPr>
          <w:rFonts w:eastAsia="Times New Roman"/>
        </w:rPr>
        <w:t xml:space="preserve"> </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Na taj način HT bi mogao jačati svoj tržišni položaj pri pružanju širokopojasnog pristupa te pristupa nepokretnoj mreži na maloprodajnoj razini, s obzirom da je HT-ov maloprodajni dio ili društvo pod nadzorom HT-a, u mogućnosti ponuditi krajnjim korisnicima uslugu širokopojasnog pristupa i generičkih usluga, odnosno pristup nepokretnoj mreži u kraćem roku, u usporedbi s operatorima na koje utječe ponašanje HT-a na veleprodajnoj razini. Primjenom taktika odgađanja na mjerodavnom veleprodajnom tržištu, HT bi bio u mogućnosti što dulje održavati svoj tržišni udjel na povezanom maloprodajnom tržištu, odnosno pri pružanju usluga širokopojasnog pristupa i pristupa nepokretnoj mreži. HAKOM smatra kako bi HT imao jači poticaj raznim taktikama odgađanja prolongirati rokove aktivacije usluge ili otklona kvara za krajnje korisnike operatora korisnika veleprodajne usluge HT-a na tržištu velikog kapaciteta – nekonkurentn</w:t>
      </w:r>
      <w:r w:rsidR="000B4D54">
        <w:rPr>
          <w:rFonts w:eastAsia="Times New Roman"/>
        </w:rPr>
        <w:t>a</w:t>
      </w:r>
      <w:r w:rsidRPr="00566882">
        <w:rPr>
          <w:rFonts w:eastAsia="Times New Roman"/>
        </w:rPr>
        <w:t xml:space="preserve"> područja. Naime, u takvim situacijama radi se o korisnicima za čije su potrebe neophodne usluge koje se pružaju putem VHCN mreža za koje je povrat ulaganja lakše ostvariti pružanjem usluga vlastitim maloprodajnim korisnicima i prihodima od istih nego pružajući usluge na veleprodajnoj razini. S obzirom da je riječ o korisnicima osjetljivima na parametre kvalitete širokopojasnog pristupa, rokovi realizacije i/ili uklanjanja mogućih kvarova duži od dogovorenih mogu odvratiti korisnika od ugovaranja usluga s operatorom koji ovisi o HT-ovoj veleprodajnoj usluzi.</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Isto tako, razvojem VHCN mreža i novih tehnoloških rješenja, HT bi mogao, u odsustvu regulacije, primjenjivati taktike odgađanja na način da pravovremeno ne pruži odgovarajuću veleprodajnu uslugu dok istovremeno na maloprodajnoj razini nudi usluge na temelju VHCN mreža. Na taj način, HT bi bio u mogućnosti na maloprodajnoj razini, do uvođenja odgovarajućih veleprodajnih usluga, koristiti prednosti prvog ulaska s obzirom da bi jedini bio u mogućnosti širem broju korisnika nuditi naprednije usluge bolje kakvoće. U tom slučaju HT bi mogao prenijeti značajnu tržišnu snagu s mjerodavnog veleprodajnog tržišta na povezano maloprodajno tržište i jačati svoj tržišni položaj na povezanom maloprodajnom tržištu, a što bi u konačnici moglo dovesti i do ponovne uspostave monopola.</w:t>
      </w:r>
    </w:p>
    <w:p w:rsidR="00566882" w:rsidRPr="00566882" w:rsidRDefault="00566882" w:rsidP="00566882">
      <w:pPr>
        <w:jc w:val="both"/>
        <w:rPr>
          <w:rFonts w:eastAsia="Times New Roman"/>
        </w:rPr>
      </w:pPr>
    </w:p>
    <w:p w:rsidR="00566882" w:rsidRPr="00E970CD" w:rsidRDefault="00566882" w:rsidP="00E970CD">
      <w:pPr>
        <w:pStyle w:val="Heading3"/>
      </w:pPr>
      <w:bookmarkStart w:id="543" w:name="_Toc353364055"/>
      <w:bookmarkStart w:id="544" w:name="_Toc414013826"/>
      <w:bookmarkStart w:id="545" w:name="_Toc420665689"/>
      <w:bookmarkStart w:id="546" w:name="_Toc11833542"/>
      <w:bookmarkStart w:id="547" w:name="_Toc124852024"/>
      <w:bookmarkStart w:id="548" w:name="_Toc124852585"/>
      <w:bookmarkStart w:id="549" w:name="_Toc124860061"/>
      <w:bookmarkStart w:id="550" w:name="_Toc124937972"/>
      <w:bookmarkStart w:id="551" w:name="_Toc124939020"/>
      <w:bookmarkStart w:id="552" w:name="_Toc124945852"/>
      <w:bookmarkStart w:id="553" w:name="_Toc125644935"/>
      <w:r w:rsidRPr="00E970CD">
        <w:t>Neopravdani zahtjevi</w:t>
      </w:r>
      <w:bookmarkEnd w:id="543"/>
      <w:bookmarkEnd w:id="544"/>
      <w:bookmarkEnd w:id="545"/>
      <w:bookmarkEnd w:id="546"/>
      <w:bookmarkEnd w:id="547"/>
      <w:bookmarkEnd w:id="548"/>
      <w:bookmarkEnd w:id="549"/>
      <w:bookmarkEnd w:id="550"/>
      <w:bookmarkEnd w:id="551"/>
      <w:bookmarkEnd w:id="552"/>
      <w:bookmarkEnd w:id="553"/>
    </w:p>
    <w:p w:rsidR="00566882" w:rsidRPr="00566882" w:rsidRDefault="00566882" w:rsidP="00566882">
      <w:pPr>
        <w:rPr>
          <w:lang w:eastAsia="hr-HR"/>
        </w:rPr>
      </w:pPr>
    </w:p>
    <w:p w:rsidR="00566882" w:rsidRPr="00566882" w:rsidRDefault="00566882" w:rsidP="00566882">
      <w:pPr>
        <w:jc w:val="both"/>
        <w:rPr>
          <w:rFonts w:eastAsia="Times New Roman" w:cs="Calibri"/>
        </w:rPr>
      </w:pPr>
      <w:r w:rsidRPr="00566882">
        <w:rPr>
          <w:rFonts w:eastAsia="Times New Roman" w:cs="Calibri"/>
        </w:rPr>
        <w:t>Neopravdani zahtjevi su svi zahtjevi, odnosno uvjeti koji nisu neophodni za pružanje veleprodajne usluge, pri čemu mogu povećati troškove i utrošeno vrijeme postojećih i potencijalnih konkurenata na veleprodajnom i maloprodajnom tržištu.</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Nadalje, HAKOM smatra da bi HT, u odsustvu regulacije, operatorima koji koriste ili namjeravaju koristiti mjerodavnu veleprodajnu uslugu HT-a za pružanje usluga na povezanoj maloprodajnoj razini gdje se natječu s HT-ovim maloprodajnim dijelom i društvima pod njegovim nadzorom, mogao nametnuti razne oblike neopravdanih instrumenata osiguranja plaćanja, s obzirom na rokove, uvjete i iznos.</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 xml:space="preserve">Isto tako, HT bi mogao neopravdano poticati korištenje skupljih tehnologija i materijala (npr. vrstu kabela) za pružanje veleprodajne usluge ili bi mogao nametati izbor vanjskih izvođača pri realizaciji </w:t>
      </w:r>
      <w:proofErr w:type="spellStart"/>
      <w:r w:rsidRPr="00566882">
        <w:rPr>
          <w:rFonts w:eastAsia="Times New Roman"/>
        </w:rPr>
        <w:t>kolokacijskog</w:t>
      </w:r>
      <w:proofErr w:type="spellEnd"/>
      <w:r w:rsidRPr="00566882">
        <w:rPr>
          <w:rFonts w:eastAsia="Times New Roman"/>
        </w:rPr>
        <w:t xml:space="preserve"> prostora, sve u svrhu povećanja troškova postojećih i potencijalnih konkurenata, a što bi dovelo do prenošenja značajne tržišne snage HT-a na povezano maloprodajno tržište. Isto tako, HT bi mogao tražiti informacije potrebne za pružanje veleprodajne usluge, kao što su npr. informacije o ciljanim krajnjim korisnicima, iznad razine koja je potrebna, odnosno ekonomski i tehnički opravdana pri pružanju veleprodajne usluge. Takve informacije o krajnjim korisnicima HT bi mogao iskoristiti kako bi za tog istog krajnjeg korisnika mogao kreirati uslugu koja bi odgovarala tom krajnjem korisniku s ciljem da pridobije istog, a što bi opet dovelo do prenošenja značajne tržišne snage i jačanja njegovog tržišnog položaja na povezanoj maloprodajnoj razini. HAKOM smatra kako bi HT imao veći interes tražiti informacije koje nisu potrebne za pružanje veleprodajnih usluga od operatora korisnika na tržištu velikog kapaciteta – nekonkurentnim područjima. Zahtjevom za takvim informacijama HT bi utjecao na duže rokove realizacije usluge krajnjem korisniku zbog potrebe za ponavljanjem zahtjeva od strane operatora korisnika. Istovremeno, sam bi HT mogao poduzeti aktivnosti usmjerene na pridobivanje krajnjeg korisnika za kojeg je od operatora korisnika zatražio nepotrebne informacije.</w:t>
      </w:r>
    </w:p>
    <w:p w:rsidR="00566882" w:rsidRPr="00566882" w:rsidRDefault="00566882" w:rsidP="00566882">
      <w:pPr>
        <w:jc w:val="both"/>
        <w:rPr>
          <w:rFonts w:eastAsia="Times New Roman"/>
        </w:rPr>
      </w:pPr>
    </w:p>
    <w:p w:rsidR="00566882" w:rsidRPr="00E970CD" w:rsidRDefault="00566882" w:rsidP="00E970CD">
      <w:pPr>
        <w:pStyle w:val="Heading3"/>
      </w:pPr>
      <w:bookmarkStart w:id="554" w:name="_Toc353364056"/>
      <w:bookmarkStart w:id="555" w:name="_Toc414013827"/>
      <w:bookmarkStart w:id="556" w:name="_Toc420665690"/>
      <w:bookmarkStart w:id="557" w:name="_Toc11833543"/>
      <w:bookmarkStart w:id="558" w:name="_Toc124852025"/>
      <w:bookmarkStart w:id="559" w:name="_Toc124852586"/>
      <w:bookmarkStart w:id="560" w:name="_Toc124860062"/>
      <w:bookmarkStart w:id="561" w:name="_Toc124937973"/>
      <w:bookmarkStart w:id="562" w:name="_Toc124939021"/>
      <w:bookmarkStart w:id="563" w:name="_Toc124945853"/>
      <w:bookmarkStart w:id="564" w:name="_Toc125644936"/>
      <w:r w:rsidRPr="00E970CD">
        <w:t>Neopravdano korištenje informacija o konkurentima</w:t>
      </w:r>
      <w:bookmarkEnd w:id="554"/>
      <w:bookmarkEnd w:id="555"/>
      <w:bookmarkEnd w:id="556"/>
      <w:bookmarkEnd w:id="557"/>
      <w:bookmarkEnd w:id="558"/>
      <w:bookmarkEnd w:id="559"/>
      <w:bookmarkEnd w:id="560"/>
      <w:bookmarkEnd w:id="561"/>
      <w:bookmarkEnd w:id="562"/>
      <w:bookmarkEnd w:id="563"/>
      <w:bookmarkEnd w:id="564"/>
    </w:p>
    <w:p w:rsidR="00566882" w:rsidRPr="00566882" w:rsidRDefault="00566882" w:rsidP="00566882">
      <w:pPr>
        <w:rPr>
          <w:lang w:eastAsia="hr-HR"/>
        </w:rPr>
      </w:pPr>
    </w:p>
    <w:p w:rsidR="00566882" w:rsidRPr="00566882" w:rsidRDefault="00566882" w:rsidP="00566882">
      <w:pPr>
        <w:jc w:val="both"/>
        <w:rPr>
          <w:rFonts w:eastAsia="Times New Roman" w:cs="Calibri"/>
          <w:lang w:eastAsia="hr-HR"/>
        </w:rPr>
      </w:pPr>
      <w:r w:rsidRPr="00566882">
        <w:rPr>
          <w:rFonts w:eastAsia="Times New Roman" w:cs="Calibri"/>
          <w:lang w:eastAsia="hr-HR"/>
        </w:rPr>
        <w:t>Navedena prepreka može biti povezana s prethodnom preprekom, odnosno s nerazumnim/neopravdanim zahtjevima. Naime, u ovom slučaju riječ je o postupcima operatora sa značajnom tržišnom snagom u kojima koristi podatke koje mu za potrebe pružanja veleprodajne usluge daju postojeći ili novi operatori na tržištu pri čemu ih koristi s ciljem podizanja troškova konkurenciji i/ili ograničavanja njihovog djelovanja na pripadajućem maloprodajnom tržištu.</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U odsustvu regulacije, HT bi mogao od potencijalnih i sadašnjih konkurenata na maloprodajnom tržištu zatražiti određene informacije koje bi mogao koristiti za potrebe svog maloprodajnog dijela ili potrebe društava pod njegovim nadzorom. Na temelju takvih informacija, HT bi mogao ponuditi posebne uvjete za pojedine krajnje korisnike kako bi ih motivirao da ne promijene operatora, što bi moglo dovesti do smanjenja maloprodajnih prihoda konkurenata na način da krajnji korisnici odustanu od prelaska ili do povećanja troškova konkurenata (npr. dodatni marketinški troškovi za privlačenje korisnika).</w:t>
      </w:r>
    </w:p>
    <w:p w:rsidR="00566882" w:rsidRPr="00566882" w:rsidRDefault="00566882" w:rsidP="00566882">
      <w:pPr>
        <w:jc w:val="both"/>
        <w:rPr>
          <w:rFonts w:eastAsia="Times New Roman"/>
          <w:highlight w:val="yellow"/>
        </w:rPr>
      </w:pPr>
    </w:p>
    <w:p w:rsidR="00566882" w:rsidRPr="00566882" w:rsidRDefault="00566882" w:rsidP="00566882">
      <w:pPr>
        <w:jc w:val="both"/>
        <w:rPr>
          <w:rFonts w:eastAsia="Times New Roman"/>
        </w:rPr>
      </w:pPr>
      <w:r w:rsidRPr="00566882">
        <w:rPr>
          <w:rFonts w:eastAsia="Times New Roman"/>
        </w:rPr>
        <w:t>Na navedeni način HT bi ostvario prednosti pred ostalim konkurentima i to tako što bi iskoristio svoju značajnu tržišnu snagu na veleprodajnim tržištima koja su predmet ovog dokumenta i istu prenio na pripadajuće maloprodajno tržište te na taj način, u konačnici, doveo po povećanja troškova ostalih operatora, problema u poslovanju i vjerojatnog izlaska s tržišta.</w:t>
      </w:r>
    </w:p>
    <w:p w:rsidR="00566882" w:rsidRPr="00566882" w:rsidRDefault="00566882" w:rsidP="00566882">
      <w:pPr>
        <w:jc w:val="both"/>
        <w:rPr>
          <w:rFonts w:eastAsia="Times New Roman"/>
          <w:b/>
        </w:rPr>
      </w:pPr>
    </w:p>
    <w:p w:rsidR="00566882" w:rsidRPr="00E970CD" w:rsidRDefault="00566882" w:rsidP="00E970CD">
      <w:pPr>
        <w:pStyle w:val="Heading3"/>
      </w:pPr>
      <w:bookmarkStart w:id="565" w:name="_Toc353364057"/>
      <w:bookmarkStart w:id="566" w:name="_Toc414013828"/>
      <w:bookmarkStart w:id="567" w:name="_Toc420665691"/>
      <w:bookmarkStart w:id="568" w:name="_Toc11833544"/>
      <w:bookmarkStart w:id="569" w:name="_Toc124852026"/>
      <w:bookmarkStart w:id="570" w:name="_Toc124852587"/>
      <w:bookmarkStart w:id="571" w:name="_Toc124860063"/>
      <w:bookmarkStart w:id="572" w:name="_Toc124937974"/>
      <w:bookmarkStart w:id="573" w:name="_Toc124939022"/>
      <w:bookmarkStart w:id="574" w:name="_Toc124945854"/>
      <w:bookmarkStart w:id="575" w:name="_Toc125644937"/>
      <w:r w:rsidRPr="00E970CD">
        <w:t>Diskriminacija kakvoćom usluge</w:t>
      </w:r>
      <w:bookmarkEnd w:id="565"/>
      <w:bookmarkEnd w:id="566"/>
      <w:bookmarkEnd w:id="567"/>
      <w:bookmarkEnd w:id="568"/>
      <w:bookmarkEnd w:id="569"/>
      <w:bookmarkEnd w:id="570"/>
      <w:bookmarkEnd w:id="571"/>
      <w:bookmarkEnd w:id="572"/>
      <w:bookmarkEnd w:id="573"/>
      <w:bookmarkEnd w:id="574"/>
      <w:bookmarkEnd w:id="575"/>
    </w:p>
    <w:p w:rsidR="00566882" w:rsidRPr="00566882" w:rsidRDefault="00566882" w:rsidP="00566882">
      <w:pPr>
        <w:rPr>
          <w:lang w:eastAsia="hr-HR"/>
        </w:rPr>
      </w:pPr>
    </w:p>
    <w:p w:rsidR="00566882" w:rsidRPr="00566882" w:rsidRDefault="00566882" w:rsidP="00566882">
      <w:pPr>
        <w:jc w:val="both"/>
        <w:rPr>
          <w:rFonts w:eastAsia="Times New Roman"/>
        </w:rPr>
      </w:pPr>
      <w:r w:rsidRPr="00566882">
        <w:rPr>
          <w:rFonts w:eastAsia="Times New Roman"/>
        </w:rPr>
        <w:t xml:space="preserve">Diskriminacija kakvoćom usluge moguća je kada operator sa značajnom tržišnom snagom utječe na povećanje troškova postojećih ili potencijalnih konkurenata ili na smanjivanje zarade na maloprodajnoj razini na način da ih dovede u neravnopravan položaj kakvoćom pružanja usluge. </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 xml:space="preserve">Naime, u odsustvu regulacije, operator sa značajnom tržišnom snagom bi mogao pružati veleprodajnu uslugu s parametrima kakvoće lošijim od usluge koju nudi svome maloprodajnom dijelu ili društvima pod njegovim nadzorom. Na taj način operator sa značajnom tržišnom snagom ima izravan utjecaj na kakvoću usluge koja se pruža krajnjem korisniku, a na što je korisnik posebno osjetljiv, što dovodi do nezadovoljstva i gubitka povjerenja krajnjih korisnika operatora koji im nudi uslugu. </w:t>
      </w:r>
    </w:p>
    <w:p w:rsidR="00566882" w:rsidRPr="00566882" w:rsidRDefault="00566882" w:rsidP="00566882">
      <w:pPr>
        <w:jc w:val="both"/>
        <w:rPr>
          <w:rFonts w:eastAsia="Times New Roman"/>
        </w:rPr>
      </w:pPr>
    </w:p>
    <w:p w:rsidR="00566882" w:rsidRPr="00566882" w:rsidRDefault="00566882" w:rsidP="00566882">
      <w:pPr>
        <w:jc w:val="both"/>
        <w:rPr>
          <w:rFonts w:eastAsia="Times New Roman" w:cs="Calibri"/>
        </w:rPr>
      </w:pPr>
      <w:r w:rsidRPr="00566882">
        <w:rPr>
          <w:rFonts w:eastAsia="Times New Roman" w:cs="Calibri"/>
        </w:rPr>
        <w:t xml:space="preserve">HAKOM smatra da bi HT, u odsustvu regulacije, mogao na različite načine utjecati na kakvoću te uklanjanje mogućih kvarova pri pružanju odgovarajuće veleprodajne usluge i povezanih sadržaja. Tako bi HT mogao otklanjati kvarove, odnosno smetnje pri pružanju usluge </w:t>
      </w:r>
      <w:r w:rsidR="00602078" w:rsidRPr="007F7FCF">
        <w:rPr>
          <w:rFonts w:eastAsia="Times New Roman" w:cs="Calibri"/>
        </w:rPr>
        <w:t>lokalnog</w:t>
      </w:r>
      <w:r w:rsidR="00602078" w:rsidRPr="00602078">
        <w:rPr>
          <w:rFonts w:eastAsia="Times New Roman" w:cs="Calibri"/>
        </w:rPr>
        <w:t xml:space="preserve"> </w:t>
      </w:r>
      <w:r w:rsidRPr="00566882">
        <w:rPr>
          <w:rFonts w:eastAsia="Times New Roman" w:cs="Calibri"/>
        </w:rPr>
        <w:t xml:space="preserve">pristupa u duljem vremenskom roku nego kad se radi o njegovim vlastitim korisnicima ili korisnicima društva pod njegovim nadzorom. Nadalje, u slučaju problema u mreži, HT bi mogao dati prioritet vlastitom podatkovnom prometu, odnosno vlastitim širokopojasnim uslugama koje nudi na maloprodajnoj razini (VOIP, IPTV, </w:t>
      </w:r>
      <w:proofErr w:type="spellStart"/>
      <w:r w:rsidRPr="00566882">
        <w:rPr>
          <w:rFonts w:eastAsia="Times New Roman" w:cs="Calibri"/>
        </w:rPr>
        <w:t>VoD</w:t>
      </w:r>
      <w:proofErr w:type="spellEnd"/>
      <w:r w:rsidRPr="00566882">
        <w:rPr>
          <w:rFonts w:eastAsia="Times New Roman" w:cs="Calibri"/>
        </w:rPr>
        <w:t>) na štetu širokopojasnih usluga ostalih operatora.</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Takvo postupanje dovodi do sljedećih posljedica. Naime, u opisanim situacijama postojeći ili potencijalni konkurenti HT-a gube povjerenje krajnjih korisnika, što iziskuje dodatni angažman u radu korisničkih službi ili tehničara i na taj način utječe na povećanje troškova postojećih ili potencijalnih konkurenata HT-a. Osim toga, navedene situacije mogu rezultirati prestankom korištenja usluge operatora od strane krajnjih korisnika, a time i nižim zaradama operatora na maloprodajnom tržištu. Slijedom navedenog, HT bi mogao prenijeti svoju značajnu tržišnu snagu i jačati svoj tržišni položaj na vertikalno povezanom maloprodajnom tržištu, a što bi dovelo do neučinkovitog tržišnog natjecanja na štetu krajnjih korisnika.</w:t>
      </w:r>
    </w:p>
    <w:p w:rsidR="00566882" w:rsidRPr="00566882" w:rsidRDefault="00566882" w:rsidP="00566882">
      <w:pPr>
        <w:jc w:val="both"/>
        <w:rPr>
          <w:rFonts w:eastAsia="Times New Roman"/>
        </w:rPr>
      </w:pPr>
    </w:p>
    <w:p w:rsidR="00566882" w:rsidRPr="00E970CD" w:rsidRDefault="00566882" w:rsidP="00E970CD">
      <w:pPr>
        <w:pStyle w:val="Heading2"/>
      </w:pPr>
      <w:bookmarkStart w:id="576" w:name="_Toc353364058"/>
      <w:bookmarkStart w:id="577" w:name="_Toc414013829"/>
      <w:bookmarkStart w:id="578" w:name="_Toc420665692"/>
      <w:bookmarkStart w:id="579" w:name="_Toc11833545"/>
      <w:bookmarkStart w:id="580" w:name="_Toc124852027"/>
      <w:bookmarkStart w:id="581" w:name="_Toc124852588"/>
      <w:bookmarkStart w:id="582" w:name="_Toc124860064"/>
      <w:bookmarkStart w:id="583" w:name="_Toc124937975"/>
      <w:bookmarkStart w:id="584" w:name="_Toc124939023"/>
      <w:bookmarkStart w:id="585" w:name="_Toc124945855"/>
      <w:bookmarkStart w:id="586" w:name="_Ref125566481"/>
      <w:bookmarkStart w:id="587" w:name="_Ref125566511"/>
      <w:bookmarkStart w:id="588" w:name="_Ref125566550"/>
      <w:bookmarkStart w:id="589" w:name="_Ref125566596"/>
      <w:bookmarkStart w:id="590" w:name="_Ref125566634"/>
      <w:bookmarkStart w:id="591" w:name="_Ref125566662"/>
      <w:bookmarkStart w:id="592" w:name="_Ref125566768"/>
      <w:bookmarkStart w:id="593" w:name="_Ref125566809"/>
      <w:bookmarkStart w:id="594" w:name="_Ref125566861"/>
      <w:bookmarkStart w:id="595" w:name="_Ref125566890"/>
      <w:bookmarkStart w:id="596" w:name="_Toc125644938"/>
      <w:r w:rsidRPr="00E970CD">
        <w:t>Prenošenje značajne tržišne snage na osnovama vezanim uz cijene</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p>
    <w:p w:rsidR="00566882" w:rsidRPr="00E970CD" w:rsidRDefault="00566882" w:rsidP="00E970CD">
      <w:pPr>
        <w:pStyle w:val="Heading3"/>
      </w:pPr>
      <w:bookmarkStart w:id="597" w:name="_Toc353364059"/>
      <w:bookmarkStart w:id="598" w:name="_Toc414013830"/>
      <w:bookmarkStart w:id="599" w:name="_Toc420665693"/>
      <w:bookmarkStart w:id="600" w:name="_Toc11833546"/>
      <w:bookmarkStart w:id="601" w:name="_Toc124852028"/>
      <w:bookmarkStart w:id="602" w:name="_Toc124852589"/>
      <w:bookmarkStart w:id="603" w:name="_Toc124860065"/>
      <w:bookmarkStart w:id="604" w:name="_Toc124937976"/>
      <w:bookmarkStart w:id="605" w:name="_Toc124939024"/>
      <w:bookmarkStart w:id="606" w:name="_Toc124945856"/>
      <w:bookmarkStart w:id="607" w:name="_Toc125644939"/>
      <w:r w:rsidRPr="00E970CD">
        <w:t>Diskriminacija na osnovi cijena</w:t>
      </w:r>
      <w:bookmarkEnd w:id="597"/>
      <w:bookmarkEnd w:id="598"/>
      <w:bookmarkEnd w:id="599"/>
      <w:bookmarkEnd w:id="600"/>
      <w:bookmarkEnd w:id="601"/>
      <w:bookmarkEnd w:id="602"/>
      <w:bookmarkEnd w:id="603"/>
      <w:bookmarkEnd w:id="604"/>
      <w:bookmarkEnd w:id="605"/>
      <w:bookmarkEnd w:id="606"/>
      <w:bookmarkEnd w:id="607"/>
    </w:p>
    <w:p w:rsidR="00566882" w:rsidRPr="00566882" w:rsidRDefault="00566882" w:rsidP="00566882">
      <w:pPr>
        <w:rPr>
          <w:lang w:eastAsia="hr-HR"/>
        </w:rPr>
      </w:pPr>
    </w:p>
    <w:p w:rsidR="00566882" w:rsidRPr="00566882" w:rsidRDefault="00566882" w:rsidP="00566882">
      <w:pPr>
        <w:jc w:val="both"/>
        <w:rPr>
          <w:rFonts w:eastAsia="Times New Roman" w:cs="Calibri"/>
        </w:rPr>
      </w:pPr>
      <w:r w:rsidRPr="00566882">
        <w:rPr>
          <w:rFonts w:eastAsia="Times New Roman" w:cs="Calibri"/>
          <w:lang w:eastAsia="hr-HR"/>
        </w:rPr>
        <w:t xml:space="preserve">Diskriminacija na cjenovnoj osnovi predstavlja prepreku razvoju tržišnog natjecanja koja se odnosi na situaciju u kojoj operator sa značajnom tržišnom snagom nudi različite cijene veleprodajne usluge </w:t>
      </w:r>
      <w:r w:rsidRPr="00566882">
        <w:rPr>
          <w:rFonts w:eastAsia="Times New Roman" w:cs="Calibri"/>
        </w:rPr>
        <w:t>koja je nužna za pružanje određene maloprodajne usluge, svom maloprodajnom dijelu (vlastite potrebe) i društvima pod njegovim nadzorom u odnosu na postojeće i potencijalne konkurente na pripadajućem veleprodajnom i maloprodajnom tržištu.</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cs="Calibri"/>
        </w:rPr>
        <w:t xml:space="preserve">HAKOM smatra da bi HT, u odsustvu regulacije, mogao primjenom diskriminacije na osnovi cijena nuditi veleprodajnu uslugu </w:t>
      </w:r>
      <w:r w:rsidR="00602078">
        <w:rPr>
          <w:rFonts w:eastAsia="Times New Roman" w:cs="Calibri"/>
        </w:rPr>
        <w:t xml:space="preserve">lokalnog </w:t>
      </w:r>
      <w:r w:rsidRPr="00566882">
        <w:rPr>
          <w:rFonts w:eastAsia="Times New Roman" w:cs="Calibri"/>
        </w:rPr>
        <w:t>pristupa operatorima s kojima se natječe na povezanom maloprodajnom tržištu po cijenama višim od onih po kojima tu istu uslugu pruža svom maloprodajnom dijelu ili društvima pod njegovim nadzorom. Takvim ponašanjem HT bi mogao utjecati na poslovne rezultate ostalih operatora koji koriste navedenu veleprodajnu uslugu kako bi na povezanom maloprodajnom tržištu pružali usluge širokopojasnog pristupa  i usko povezane usluge.</w:t>
      </w:r>
      <w:r w:rsidRPr="00566882">
        <w:rPr>
          <w:rFonts w:eastAsia="Times New Roman"/>
        </w:rPr>
        <w:t xml:space="preserve"> </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 xml:space="preserve">Postavljanjem veleprodajne cijene iznad cijene po kojoj tu istu uslugu nudi svom maloprodajnom dijelu ili društvima pod njegovim nadzorom, HT bi mogao prenijeti svoju tržišnu snagu na vertikalno povezano maloprodajno tržište. Naime, HT bi kroz svoj maloprodajni dio, odnosno kroz društva pod njegovim nadzorom, mogao nuditi krajnjim korisnicima uslugu po određenim maloprodajnim cijenama. Drugi operatori, da bi bili konkurentni, morali bi ponuditi uslugu pod istim, pa i nižim cijenama, pri čemu ne bi mogli ostvariti zaradu, pa bi čak i u određenim slučajevima maloprodajni prihod bio nedovoljan za pokrivanje svih troškova. Drugim riječima, razina maloprodajnih cijena s kojima bi se morali natjecati ostali operatori u kombinaciji s postavljenim veleprodajnim cijenama, dovela bi do istiskivanja marže, odnosno, dugoročno, do neučinkovitog tržišnog natjecanja i izlaska drugih operatora s tržišta. </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 xml:space="preserve">HAKOM smatra kako je vjerojatnost opisane prepreke veća na tržištu malog kapaciteta i na Tržištu velikog kapaciteta – nekonkurentna područja u Klastera A, nego na Tržištu velikog kapaciteta – nekonkurentna područja u </w:t>
      </w:r>
      <w:proofErr w:type="spellStart"/>
      <w:r w:rsidRPr="00566882">
        <w:rPr>
          <w:rFonts w:eastAsia="Times New Roman"/>
        </w:rPr>
        <w:t>Klasteru</w:t>
      </w:r>
      <w:proofErr w:type="spellEnd"/>
      <w:r w:rsidRPr="00566882">
        <w:rPr>
          <w:rFonts w:eastAsia="Times New Roman"/>
        </w:rPr>
        <w:t xml:space="preserve"> B iz razloga što je na područjima iz Klastera B HAKOM utvrdio postojanje određenog stupnja infrastrukturne konkurencije uslijed kojeg je za očekivati da bi veleprodajne ponude alternativnih operatora bile u mogućnosti stvoriti konkurentski pritisak na veleprodajne cijene HT-ovih usluga.</w:t>
      </w:r>
    </w:p>
    <w:p w:rsidR="00566882" w:rsidRPr="00566882" w:rsidRDefault="00566882" w:rsidP="00566882">
      <w:pPr>
        <w:jc w:val="both"/>
        <w:rPr>
          <w:rFonts w:eastAsia="Times New Roman"/>
        </w:rPr>
      </w:pPr>
    </w:p>
    <w:p w:rsidR="00566882" w:rsidRPr="00E970CD" w:rsidRDefault="00566882" w:rsidP="00E970CD">
      <w:pPr>
        <w:pStyle w:val="Heading3"/>
      </w:pPr>
      <w:bookmarkStart w:id="608" w:name="_Toc353364060"/>
      <w:bookmarkStart w:id="609" w:name="_Toc414013831"/>
      <w:bookmarkStart w:id="610" w:name="_Toc420665694"/>
      <w:bookmarkStart w:id="611" w:name="_Toc11833547"/>
      <w:bookmarkStart w:id="612" w:name="_Toc124852029"/>
      <w:bookmarkStart w:id="613" w:name="_Toc124852590"/>
      <w:bookmarkStart w:id="614" w:name="_Toc124860066"/>
      <w:bookmarkStart w:id="615" w:name="_Toc124937977"/>
      <w:bookmarkStart w:id="616" w:name="_Toc124939025"/>
      <w:bookmarkStart w:id="617" w:name="_Toc124945857"/>
      <w:bookmarkStart w:id="618" w:name="_Toc125644940"/>
      <w:proofErr w:type="spellStart"/>
      <w:r w:rsidRPr="00E970CD">
        <w:t>Unakrižno</w:t>
      </w:r>
      <w:proofErr w:type="spellEnd"/>
      <w:r w:rsidRPr="00E970CD">
        <w:t xml:space="preserve"> subvencioniranje</w:t>
      </w:r>
      <w:bookmarkEnd w:id="608"/>
      <w:bookmarkEnd w:id="609"/>
      <w:bookmarkEnd w:id="610"/>
      <w:bookmarkEnd w:id="611"/>
      <w:bookmarkEnd w:id="612"/>
      <w:bookmarkEnd w:id="613"/>
      <w:bookmarkEnd w:id="614"/>
      <w:bookmarkEnd w:id="615"/>
      <w:bookmarkEnd w:id="616"/>
      <w:bookmarkEnd w:id="617"/>
      <w:bookmarkEnd w:id="618"/>
    </w:p>
    <w:p w:rsidR="00566882" w:rsidRPr="00566882" w:rsidRDefault="00566882" w:rsidP="00566882">
      <w:pPr>
        <w:rPr>
          <w:lang w:eastAsia="hr-HR"/>
        </w:rPr>
      </w:pPr>
    </w:p>
    <w:p w:rsidR="00566882" w:rsidRPr="00566882" w:rsidRDefault="00566882" w:rsidP="00566882">
      <w:pPr>
        <w:jc w:val="both"/>
        <w:rPr>
          <w:rFonts w:eastAsia="Times New Roman"/>
        </w:rPr>
      </w:pPr>
      <w:proofErr w:type="spellStart"/>
      <w:r w:rsidRPr="00566882">
        <w:rPr>
          <w:rFonts w:eastAsia="Times New Roman"/>
        </w:rPr>
        <w:t>Unakrižno</w:t>
      </w:r>
      <w:proofErr w:type="spellEnd"/>
      <w:r w:rsidRPr="00566882">
        <w:rPr>
          <w:rFonts w:eastAsia="Times New Roman"/>
        </w:rPr>
        <w:t xml:space="preserve"> subvencioniranje se odnosi na situaciju u kojoj postoje dva različita tržišta i dvije različite cijene na navedenim tržištima. Operator sa značajnom tržišnom snagom na određenom veleprodajnom tržištu mogao bi, u odsustvu regulacije, naplaćivati cijenu iznad troška, a na povezanom maloprodajnom tržištu ispod troškova, što bi dovelo do istiskivanja cijena. Na taj način mogao bi prenijeti značajnu tržišnu snagu s veleprodajnog tržišta na povezano maloprodajno tržište.</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 xml:space="preserve">HAKOM smatra da bi HT, u odsustvu regulacije, mogao nuditi veleprodajnu uslugu </w:t>
      </w:r>
      <w:r w:rsidR="00602078">
        <w:rPr>
          <w:rFonts w:eastAsia="Times New Roman"/>
        </w:rPr>
        <w:t xml:space="preserve">lokalnog </w:t>
      </w:r>
      <w:r w:rsidRPr="00566882">
        <w:rPr>
          <w:rFonts w:eastAsia="Times New Roman"/>
        </w:rPr>
        <w:t xml:space="preserve">pristupa iznad troška, te na taj način povisiti troškove operatora koji koriste navedenu uslugu, a u isto vrijeme nuditi maloprodajnu uslugu širokopojasnog pristupa i usko povezanu IPTV uslugu putem svog maloprodajnog dijela i/ili društava koja su pod njegovim nadzorom po cijenama koje su ispod troška. </w:t>
      </w:r>
    </w:p>
    <w:p w:rsidR="00566882" w:rsidRPr="00566882" w:rsidRDefault="00566882" w:rsidP="00566882">
      <w:pPr>
        <w:jc w:val="both"/>
        <w:rPr>
          <w:rFonts w:eastAsia="Times New Roman"/>
        </w:rPr>
      </w:pPr>
    </w:p>
    <w:p w:rsidR="00566882" w:rsidRPr="00566882" w:rsidRDefault="00566882" w:rsidP="00566882">
      <w:pPr>
        <w:jc w:val="both"/>
        <w:rPr>
          <w:rFonts w:eastAsia="Times New Roman"/>
        </w:rPr>
      </w:pPr>
      <w:r w:rsidRPr="00566882">
        <w:rPr>
          <w:rFonts w:eastAsia="Times New Roman"/>
        </w:rPr>
        <w:t>Takvo postupanje HT-a dovelo bi do istiskivanja marže, te bi natjeralo operatore koji koriste odgovarajuću veleprodajnu uslugu da trpe gubitke, što bi ih u konačnici natjeralo da napuste tržište. S druge strane, HT bi bio u mogućnosti, kroz svoj maloprodajni dio i/ili društva pod njegovim nadzorom, prenijeti značajnu tržišnu snagu s mjerodavnog veleprodajnog tržišta na povezana maloprodajna tržišta i jačati svoj tržišni položaj, što bi imalo negativne učinke na učinkovito tržišno natjecanje.</w:t>
      </w:r>
    </w:p>
    <w:p w:rsidR="00566882" w:rsidRPr="00566882" w:rsidRDefault="00566882" w:rsidP="00566882">
      <w:pPr>
        <w:jc w:val="both"/>
        <w:rPr>
          <w:rFonts w:eastAsia="Times New Roman"/>
        </w:rPr>
      </w:pPr>
    </w:p>
    <w:p w:rsidR="009259D0" w:rsidRPr="00E970CD" w:rsidRDefault="009259D0" w:rsidP="00E970CD">
      <w:pPr>
        <w:pStyle w:val="Heading3"/>
      </w:pPr>
      <w:bookmarkStart w:id="619" w:name="_Toc125644941"/>
      <w:r w:rsidRPr="00E970CD">
        <w:t>Predatorske cijene</w:t>
      </w:r>
      <w:bookmarkEnd w:id="619"/>
    </w:p>
    <w:p w:rsidR="009259D0" w:rsidRPr="009259D0" w:rsidRDefault="009259D0" w:rsidP="009259D0"/>
    <w:p w:rsidR="009259D0" w:rsidRPr="009259D0" w:rsidRDefault="009259D0" w:rsidP="009259D0">
      <w:pPr>
        <w:jc w:val="both"/>
      </w:pPr>
      <w:r w:rsidRPr="009259D0">
        <w:t xml:space="preserve">Predatorsko određivanje cijena se događa kada dominantna tvrtka prodaje robu ili uslugu ispod troškova tijekom određenog vremenskog razdoblja, s namjerom odvraćanja ulaska ili uklanjanja konkurencije s tržišta, kako bi dodatno povećala svoj tržišni udio i kasnije akumulirane profite. Prema ekonomskoj analizi, predatorsko određivanje cijena ima sljedeće karakteristike: (i) naplaćena cijena je ispod troškova, (ii) konkurenti su ili istisnuti s tržišta ili isključeni, i (iii) poduzeće može nadoknaditi svoje gubitke. </w:t>
      </w:r>
      <w:proofErr w:type="spellStart"/>
      <w:r w:rsidRPr="009259D0">
        <w:t>Predatorstvo</w:t>
      </w:r>
      <w:proofErr w:type="spellEnd"/>
      <w:r w:rsidRPr="009259D0">
        <w:t xml:space="preserve"> stoga uključuje kompromis za predatora između kratkoročnog i dugoročnog pri čemu je u kratkom roku predator spreman trpjeti gubike da bi u dugom roku mogao ostvarivati ekstra profite. Potrošači će kratkoročno imati koristi od niskih cijena, ali će se dugoročno suočiti s eliminacijom konkurencije i povećanjem cijena.</w:t>
      </w:r>
    </w:p>
    <w:p w:rsidR="009D7726" w:rsidRPr="009259D0" w:rsidRDefault="009D7726" w:rsidP="009259D0">
      <w:pPr>
        <w:jc w:val="both"/>
      </w:pPr>
    </w:p>
    <w:p w:rsidR="009259D0" w:rsidRPr="009259D0" w:rsidRDefault="009259D0" w:rsidP="009259D0">
      <w:pPr>
        <w:jc w:val="both"/>
      </w:pPr>
      <w:r w:rsidRPr="009259D0">
        <w:t>Vertikalno integrirano poduzeće sa značajnom tržišnom snagom na veleprodajnom tržišnom koje svojim konkurentima na maloprodaji pruža potreban veleprodajni ulazni proizvod moglo bi određivati predatorske cijene na maloprodajnoj razini kako bi svoje konkurente izložilo pritisku na maržu, ograničilo njihovu prodaju i uklonilo ih s tržišta.</w:t>
      </w:r>
    </w:p>
    <w:p w:rsidR="00A64445" w:rsidRPr="009259D0" w:rsidRDefault="00A64445" w:rsidP="009259D0">
      <w:pPr>
        <w:jc w:val="both"/>
      </w:pPr>
    </w:p>
    <w:p w:rsidR="009259D0" w:rsidRPr="009259D0" w:rsidRDefault="009259D0" w:rsidP="009259D0">
      <w:pPr>
        <w:jc w:val="both"/>
      </w:pPr>
      <w:r w:rsidRPr="009259D0">
        <w:t xml:space="preserve">Kada su cijene pristupa regulirane, postoji mogućnost da operator koji ima značajnu tržišnu snagu na veleprodajnom tržištu nametne pritisak na marže svojim konkurentima na maloprodajnoj razini naplaćivanjem niske maloprodajne cijene. Ako dominantno poduzeće posluje s gubitkom tijekom razdoblja </w:t>
      </w:r>
      <w:proofErr w:type="spellStart"/>
      <w:r w:rsidRPr="009259D0">
        <w:t>predatorstva</w:t>
      </w:r>
      <w:proofErr w:type="spellEnd"/>
      <w:r w:rsidRPr="009259D0">
        <w:t xml:space="preserve">, </w:t>
      </w:r>
      <w:proofErr w:type="spellStart"/>
      <w:r w:rsidRPr="009259D0">
        <w:t>predatorstvo</w:t>
      </w:r>
      <w:proofErr w:type="spellEnd"/>
      <w:r w:rsidRPr="009259D0">
        <w:t xml:space="preserve"> će se isplatiti samo ako, nakon što konkurenti napuste tržište, maloprodajna cijena može biti ponovno povećana uz zadržavanje prepreka ulasku.</w:t>
      </w:r>
    </w:p>
    <w:p w:rsidR="009D7726" w:rsidRPr="009259D0" w:rsidRDefault="009D7726" w:rsidP="009259D0">
      <w:pPr>
        <w:jc w:val="both"/>
      </w:pPr>
    </w:p>
    <w:p w:rsidR="0072199D" w:rsidRDefault="009259D0" w:rsidP="007F7FCF">
      <w:pPr>
        <w:jc w:val="both"/>
      </w:pPr>
      <w:r w:rsidRPr="009259D0">
        <w:t>HAKOM smatra da bi HT u odsustvu regulacije bio u mogućnosti preniskim maloprodajnim cijenama istiskivati konkurenciju s maloprodajnog tržišta budući da je vertikalno integrirani operator koji ima dominantan položaj na tržištu i financijsku snagu koja mu može omogućiti da podnosi gubitke u kratkom roku da bi dugoročno eliminirao konkurenciju s ciljem jačanja postojećeg vladajućeg položaja i ostvarivanja budućih ekstra profita.</w:t>
      </w:r>
      <w:r w:rsidR="0072199D">
        <w:br w:type="page"/>
      </w:r>
    </w:p>
    <w:p w:rsidR="00B82EB2" w:rsidRPr="00E970CD" w:rsidRDefault="00B82EB2" w:rsidP="00E970CD">
      <w:pPr>
        <w:pStyle w:val="Heading1"/>
      </w:pPr>
      <w:bookmarkStart w:id="620" w:name="_Toc124928636"/>
      <w:bookmarkStart w:id="621" w:name="_Toc124946978"/>
      <w:bookmarkStart w:id="622" w:name="_Toc124948888"/>
      <w:bookmarkStart w:id="623" w:name="_Toc124951783"/>
      <w:bookmarkStart w:id="624" w:name="_Toc125644942"/>
      <w:bookmarkStart w:id="625" w:name="_Toc353364062"/>
      <w:bookmarkStart w:id="626" w:name="_Toc414013833"/>
      <w:bookmarkStart w:id="627" w:name="_Toc420665696"/>
      <w:bookmarkStart w:id="628" w:name="_Toc11834478"/>
      <w:r w:rsidRPr="00E970CD">
        <w:t>Regulatorne obveze operatora sa značajnom tržišnom snagom</w:t>
      </w:r>
      <w:bookmarkEnd w:id="620"/>
      <w:bookmarkEnd w:id="621"/>
      <w:bookmarkEnd w:id="622"/>
      <w:bookmarkEnd w:id="623"/>
      <w:bookmarkEnd w:id="624"/>
      <w:r w:rsidRPr="00E970CD">
        <w:t xml:space="preserve"> </w:t>
      </w:r>
      <w:bookmarkEnd w:id="625"/>
      <w:bookmarkEnd w:id="626"/>
      <w:bookmarkEnd w:id="627"/>
      <w:bookmarkEnd w:id="628"/>
    </w:p>
    <w:p w:rsidR="00B82EB2" w:rsidRPr="00346832" w:rsidRDefault="00B82EB2" w:rsidP="00B82EB2">
      <w:pPr>
        <w:rPr>
          <w:lang w:eastAsia="hr-HR"/>
        </w:rPr>
      </w:pPr>
    </w:p>
    <w:p w:rsidR="00B82EB2" w:rsidRPr="001A3291" w:rsidRDefault="00B82EB2" w:rsidP="00B82EB2">
      <w:pPr>
        <w:jc w:val="both"/>
      </w:pPr>
      <w:r w:rsidRPr="001B1B69">
        <w:t xml:space="preserve">HAKOM je, kao što je navedeno u </w:t>
      </w:r>
      <w:r w:rsidRPr="00D646C8">
        <w:t xml:space="preserve">poglavlju </w:t>
      </w:r>
      <w:r w:rsidR="0007047F">
        <w:fldChar w:fldCharType="begin"/>
      </w:r>
      <w:r w:rsidR="0007047F">
        <w:instrText xml:space="preserve"> REF _Ref125566253 \r \h </w:instrText>
      </w:r>
      <w:r w:rsidR="0007047F">
        <w:fldChar w:fldCharType="separate"/>
      </w:r>
      <w:r w:rsidR="0007047F">
        <w:t>3.4</w:t>
      </w:r>
      <w:r w:rsidR="0007047F">
        <w:fldChar w:fldCharType="end"/>
      </w:r>
      <w:r w:rsidR="0007047F">
        <w:t xml:space="preserve"> </w:t>
      </w:r>
      <w:r w:rsidRPr="001B1B69">
        <w:t xml:space="preserve">ovog dokumenta, tržište u dimenziji usluga podijelio na tržište </w:t>
      </w:r>
      <w:r>
        <w:t>malog kapaciteta i t</w:t>
      </w:r>
      <w:r w:rsidRPr="001B1B69">
        <w:t xml:space="preserve">ržište </w:t>
      </w:r>
      <w:r>
        <w:t>velikog kapaciteta</w:t>
      </w:r>
      <w:r w:rsidRPr="001B1B69">
        <w:t>.</w:t>
      </w:r>
    </w:p>
    <w:p w:rsidR="00B82EB2" w:rsidRPr="007F7FCF" w:rsidRDefault="00B82EB2" w:rsidP="00B82EB2">
      <w:pPr>
        <w:ind w:left="720"/>
        <w:jc w:val="both"/>
      </w:pPr>
    </w:p>
    <w:p w:rsidR="00B82EB2" w:rsidRPr="001B1B69" w:rsidRDefault="00B82EB2" w:rsidP="00B82EB2">
      <w:pPr>
        <w:jc w:val="both"/>
      </w:pPr>
      <w:r w:rsidRPr="001B1B69">
        <w:t xml:space="preserve">Tržište malog kapaciteta je u opsegu utvrđeno kao nacionalno te je HT određen kao operator sa značajnom tržišnom snagom na navedenom mjerodavnom tržištu. </w:t>
      </w:r>
    </w:p>
    <w:p w:rsidR="00B82EB2" w:rsidRPr="001B1B69" w:rsidRDefault="00B82EB2" w:rsidP="00B82EB2">
      <w:pPr>
        <w:jc w:val="both"/>
      </w:pPr>
    </w:p>
    <w:p w:rsidR="00B82EB2" w:rsidRPr="00052D2B" w:rsidRDefault="00B82EB2" w:rsidP="00B82EB2">
      <w:pPr>
        <w:jc w:val="both"/>
      </w:pPr>
      <w:r w:rsidRPr="001B1B69">
        <w:t>Tržište velikog kapaciteta je podijeljeno na konkurentna i nekonkurentna područja. Na nekonkurentnim područjima HT je određen kao operator sa značajnom tržišnom snagom. S druge strane, na konkurentnim područjima je utvrđeno da test tri mjerila nije zadovoljen, što posljedično znači da ne postoji operator sa značajnom tržišnom snagom, te se HT-u na tim područjima ukidaju sve dosadašnje regulatorne obveze</w:t>
      </w:r>
      <w:r>
        <w:t xml:space="preserve"> i ne određuju nove</w:t>
      </w:r>
      <w:r w:rsidRPr="001B1B69">
        <w:t xml:space="preserve">. </w:t>
      </w:r>
    </w:p>
    <w:p w:rsidR="00B82EB2" w:rsidRDefault="00B82EB2" w:rsidP="00B82EB2">
      <w:pPr>
        <w:jc w:val="both"/>
      </w:pPr>
    </w:p>
    <w:p w:rsidR="00B82EB2" w:rsidRDefault="00B82EB2" w:rsidP="00B82EB2">
      <w:pPr>
        <w:jc w:val="both"/>
      </w:pPr>
      <w:r>
        <w:t>Sukladno članku 7. stavku 4. ZEK-a, u</w:t>
      </w:r>
      <w:r w:rsidRPr="00B05448">
        <w:t xml:space="preserve"> obavljanju regulatornih pos</w:t>
      </w:r>
      <w:r>
        <w:t>lova HAKOM poduzima mjere radi, između ostalog,</w:t>
      </w:r>
      <w:r w:rsidRPr="00B05448">
        <w:t xml:space="preserve"> promicanja povezivosti i pristupa mrežama vrlo velikog kapaciteta, </w:t>
      </w:r>
      <w:r>
        <w:t xml:space="preserve">promicanja tržišnog natjecanja, </w:t>
      </w:r>
      <w:r w:rsidRPr="00B05448">
        <w:t xml:space="preserve">doprinosa razvoju unutarnjeg tržišta Europske unije </w:t>
      </w:r>
      <w:r>
        <w:t xml:space="preserve">i </w:t>
      </w:r>
      <w:r w:rsidRPr="00B05448">
        <w:t>promicanja interesa građana</w:t>
      </w:r>
      <w:r>
        <w:t>.</w:t>
      </w:r>
      <w:r w:rsidRPr="00B05448">
        <w:t xml:space="preserve"> </w:t>
      </w:r>
      <w:r>
        <w:t>K</w:t>
      </w:r>
      <w:r w:rsidRPr="00B05448">
        <w:t>ako bi ostvario navedene ciljeve, HAKOM u svom postupanju treba promicati djelotvorna ulaganja i inovacije u novu i naprednu infrastrukturu te uzimati u obzir različitosti uvjeta vezanih uz infrastrukturu, tržišno natjecanje i krajnje korisnike u različitim zemljopisnim područjima, a određivati prethodne regulatorne obveze samo u mjeri potrebnoj za osiguranje učinkovitog i održivog tržišnog natjecanja u interesu krajnjih korisnika.</w:t>
      </w:r>
    </w:p>
    <w:p w:rsidR="00B82EB2" w:rsidRDefault="00B82EB2" w:rsidP="00B82EB2">
      <w:pPr>
        <w:jc w:val="both"/>
      </w:pPr>
    </w:p>
    <w:p w:rsidR="00B82EB2" w:rsidRDefault="00B82EB2" w:rsidP="00B82EB2">
      <w:pPr>
        <w:jc w:val="both"/>
      </w:pPr>
      <w:r>
        <w:t>HAKOM</w:t>
      </w:r>
      <w:r w:rsidRPr="00105352">
        <w:t xml:space="preserve"> je </w:t>
      </w:r>
      <w:r>
        <w:t>u</w:t>
      </w:r>
      <w:r w:rsidRPr="00105352">
        <w:t xml:space="preserve"> analiz</w:t>
      </w:r>
      <w:r>
        <w:t>i</w:t>
      </w:r>
      <w:r w:rsidRPr="00105352">
        <w:t xml:space="preserve"> </w:t>
      </w:r>
      <w:r>
        <w:t xml:space="preserve">mjerodavnog </w:t>
      </w:r>
      <w:r w:rsidRPr="00105352">
        <w:t xml:space="preserve">tržišta </w:t>
      </w:r>
      <w:r>
        <w:t xml:space="preserve">iz 2019. </w:t>
      </w:r>
      <w:r w:rsidRPr="00105352">
        <w:t>prepozna</w:t>
      </w:r>
      <w:r>
        <w:t>o</w:t>
      </w:r>
      <w:r w:rsidRPr="00105352">
        <w:t xml:space="preserve"> prepreke razvoju tržišnog natjecanja na tržištu veleprodajnog </w:t>
      </w:r>
      <w:r>
        <w:t xml:space="preserve">lokalnog </w:t>
      </w:r>
      <w:r w:rsidRPr="00105352">
        <w:t xml:space="preserve">pristupa </w:t>
      </w:r>
      <w:r>
        <w:t xml:space="preserve">koji se pruža na fiksnoj lokaciji </w:t>
      </w:r>
      <w:r w:rsidRPr="00105352">
        <w:t>te je prema uočenim preprekama HT-u kao operatoru sa značajnom tržišnom snagom odredi</w:t>
      </w:r>
      <w:r>
        <w:t>o</w:t>
      </w:r>
      <w:r w:rsidRPr="00105352">
        <w:t xml:space="preserve"> sljedeće regulatorne obveze</w:t>
      </w:r>
      <w:r>
        <w:t>:</w:t>
      </w:r>
    </w:p>
    <w:p w:rsidR="00B82EB2" w:rsidRPr="00105352" w:rsidRDefault="00B82EB2" w:rsidP="00B82EB2">
      <w:pPr>
        <w:jc w:val="both"/>
      </w:pPr>
    </w:p>
    <w:p w:rsidR="00B82EB2" w:rsidRPr="00105352" w:rsidRDefault="00B82EB2" w:rsidP="00766501">
      <w:pPr>
        <w:numPr>
          <w:ilvl w:val="0"/>
          <w:numId w:val="28"/>
        </w:numPr>
        <w:jc w:val="both"/>
      </w:pPr>
      <w:r w:rsidRPr="00105352">
        <w:t>obvezu pristupa i korištenja posebnih dijelova mreže</w:t>
      </w:r>
    </w:p>
    <w:p w:rsidR="00B82EB2" w:rsidRPr="00105352" w:rsidRDefault="00B82EB2" w:rsidP="00766501">
      <w:pPr>
        <w:numPr>
          <w:ilvl w:val="0"/>
          <w:numId w:val="28"/>
        </w:numPr>
        <w:jc w:val="both"/>
      </w:pPr>
      <w:r w:rsidRPr="00105352">
        <w:t>obvezu nediskriminacije</w:t>
      </w:r>
    </w:p>
    <w:p w:rsidR="00B82EB2" w:rsidRPr="00105352" w:rsidRDefault="00B82EB2" w:rsidP="00766501">
      <w:pPr>
        <w:numPr>
          <w:ilvl w:val="0"/>
          <w:numId w:val="28"/>
        </w:numPr>
        <w:jc w:val="both"/>
      </w:pPr>
      <w:r w:rsidRPr="00105352">
        <w:t xml:space="preserve">obvezu transparentnosti uz obvezu objave standardne ponude </w:t>
      </w:r>
    </w:p>
    <w:p w:rsidR="00B82EB2" w:rsidRPr="00105352" w:rsidRDefault="00B82EB2" w:rsidP="00766501">
      <w:pPr>
        <w:numPr>
          <w:ilvl w:val="0"/>
          <w:numId w:val="28"/>
        </w:numPr>
        <w:jc w:val="both"/>
      </w:pPr>
      <w:r w:rsidRPr="00105352">
        <w:t>obvezu nadzora cijena i vođenja troškovnog računovodstva</w:t>
      </w:r>
    </w:p>
    <w:p w:rsidR="00B82EB2" w:rsidRPr="00105352" w:rsidRDefault="00B82EB2" w:rsidP="00766501">
      <w:pPr>
        <w:numPr>
          <w:ilvl w:val="0"/>
          <w:numId w:val="28"/>
        </w:numPr>
        <w:jc w:val="both"/>
      </w:pPr>
      <w:r w:rsidRPr="00105352">
        <w:t>obvezu računovodstvenog razdvajanja.</w:t>
      </w:r>
    </w:p>
    <w:p w:rsidR="00B82EB2" w:rsidRDefault="00B82EB2" w:rsidP="00B82EB2">
      <w:pPr>
        <w:tabs>
          <w:tab w:val="left" w:pos="0"/>
        </w:tabs>
        <w:jc w:val="both"/>
      </w:pPr>
    </w:p>
    <w:p w:rsidR="00B82EB2" w:rsidRPr="00346832" w:rsidRDefault="00B82EB2" w:rsidP="00B82EB2">
      <w:pPr>
        <w:tabs>
          <w:tab w:val="left" w:pos="0"/>
        </w:tabs>
        <w:jc w:val="both"/>
      </w:pPr>
      <w:r w:rsidRPr="00346832">
        <w:t>Analizom mjerodavnog tržišta iz 2019. mjerodavno tržište u zemljopisnoj dimenziji bilo je određeno kao nacionalno, te su HT-u kao SMP operatoru bile određene jednake regulatorne obveze za cijeli teritorij RH.</w:t>
      </w:r>
    </w:p>
    <w:p w:rsidR="00B82EB2" w:rsidRPr="00346832" w:rsidRDefault="00B82EB2" w:rsidP="00B82EB2">
      <w:pPr>
        <w:tabs>
          <w:tab w:val="left" w:pos="0"/>
        </w:tabs>
        <w:jc w:val="both"/>
      </w:pPr>
    </w:p>
    <w:p w:rsidR="00B82EB2" w:rsidRDefault="00B82EB2" w:rsidP="00B82EB2">
      <w:pPr>
        <w:tabs>
          <w:tab w:val="left" w:pos="0"/>
        </w:tabs>
        <w:jc w:val="both"/>
      </w:pPr>
      <w:r w:rsidRPr="00346832">
        <w:t xml:space="preserve">Uzevši u obzir prepoznate prepreke razvoju tržišnog natjecanja navedene u poglavlju </w:t>
      </w:r>
      <w:r w:rsidR="0007047F">
        <w:fldChar w:fldCharType="begin"/>
      </w:r>
      <w:r w:rsidR="0007047F">
        <w:instrText xml:space="preserve"> REF _Ref125566293 \r \h </w:instrText>
      </w:r>
      <w:r w:rsidR="0007047F">
        <w:fldChar w:fldCharType="separate"/>
      </w:r>
      <w:r w:rsidR="0007047F">
        <w:t>7</w:t>
      </w:r>
      <w:r w:rsidR="0007047F">
        <w:fldChar w:fldCharType="end"/>
      </w:r>
      <w:r w:rsidRPr="00346832">
        <w:t>., HAKOM smatra da je neophodna regulacija tržišta malog kapaciteta i tržišta velikog kapaciteta – nekonkurentna područja.</w:t>
      </w:r>
    </w:p>
    <w:p w:rsidR="00B82EB2" w:rsidRDefault="00B82EB2" w:rsidP="00B82EB2">
      <w:pPr>
        <w:tabs>
          <w:tab w:val="left" w:pos="0"/>
        </w:tabs>
        <w:jc w:val="both"/>
      </w:pPr>
    </w:p>
    <w:p w:rsidR="00B82EB2" w:rsidRDefault="00B82EB2" w:rsidP="00B82EB2">
      <w:pPr>
        <w:jc w:val="both"/>
        <w:rPr>
          <w:rFonts w:asciiTheme="minorHAnsi" w:hAnsiTheme="minorHAnsi" w:cstheme="minorHAnsi"/>
        </w:rPr>
      </w:pPr>
      <w:r w:rsidRPr="002545F6">
        <w:rPr>
          <w:rFonts w:asciiTheme="minorHAnsi" w:hAnsiTheme="minorHAnsi" w:cstheme="minorHAnsi"/>
        </w:rPr>
        <w:t xml:space="preserve">Sukladno odredbi članka 106. stavak 7. ZEK-a pri donošenju odluke, u skladu s člankom 101. ZEK-a, o određivanju obveza na temelju članka 105. ZEK-a ili na temelju članka 106. ZEK-a HAKOM najprije ocjenjuje bi li određivanje obveza samo na temelju članka 105. ZEK-a (pristup fizičkoj infrastrukturi) bilo razmjerno sredstvo za promicanje tržišnog natjecanja i interesa krajnjih korisnika. </w:t>
      </w:r>
    </w:p>
    <w:p w:rsidR="00B82EB2" w:rsidRDefault="00B82EB2" w:rsidP="00B82EB2">
      <w:pPr>
        <w:jc w:val="both"/>
        <w:rPr>
          <w:rFonts w:asciiTheme="minorHAnsi" w:hAnsiTheme="minorHAnsi" w:cstheme="minorHAnsi"/>
        </w:rPr>
      </w:pPr>
    </w:p>
    <w:p w:rsidR="00B82EB2" w:rsidRDefault="00D646C8" w:rsidP="00B82EB2">
      <w:pPr>
        <w:jc w:val="both"/>
        <w:rPr>
          <w:rFonts w:asciiTheme="minorHAnsi" w:hAnsiTheme="minorHAnsi" w:cstheme="minorHAnsi"/>
        </w:rPr>
      </w:pPr>
      <w:r>
        <w:rPr>
          <w:rFonts w:asciiTheme="minorHAnsi" w:hAnsiTheme="minorHAnsi" w:cstheme="minorHAnsi"/>
        </w:rPr>
        <w:t>Prema dostupnim</w:t>
      </w:r>
      <w:r w:rsidR="00B82EB2" w:rsidRPr="002545F6">
        <w:rPr>
          <w:rFonts w:asciiTheme="minorHAnsi" w:hAnsiTheme="minorHAnsi" w:cstheme="minorHAnsi"/>
        </w:rPr>
        <w:t xml:space="preserve"> podacima, </w:t>
      </w:r>
      <w:r>
        <w:rPr>
          <w:rFonts w:asciiTheme="minorHAnsi" w:hAnsiTheme="minorHAnsi" w:cstheme="minorHAnsi"/>
        </w:rPr>
        <w:t>HT je</w:t>
      </w:r>
      <w:r w:rsidR="00B82EB2" w:rsidRPr="002545F6">
        <w:rPr>
          <w:rFonts w:asciiTheme="minorHAnsi" w:hAnsiTheme="minorHAnsi" w:cstheme="minorHAnsi"/>
        </w:rPr>
        <w:t xml:space="preserve"> operator koji ima uvjerljivo najrasprostranjeniju fizičku infrastrukturu, odnosno elektroničku komunikacijsku infrastrukturu i povezanu opremu. Omogućavanje pristupa fizičkoj infrastrukturi HT-a je neophodno za zaštitu tržišnog natjecanja na tržištu velikog kapaciteta jer je alternativnim operatorima postavljanje vlastite mreže vrlo velikog kapaciteta u određenim područjima Republike Hrvatske isplativo jedino ako je osiguran pristup fizičkoj infrastrukturi. Naime, ukoliko pristup fizičkoj infrastrukturi ne bi bio osiguran, alternativni operatori bi u većini slučajeva, da bi mogli postavljati vlastitu mrežu vrlo velikog kapaciteta, morali graditi vlastitu fizičku infrastruktur</w:t>
      </w:r>
      <w:r w:rsidR="00B82EB2">
        <w:rPr>
          <w:rFonts w:asciiTheme="minorHAnsi" w:hAnsiTheme="minorHAnsi" w:cstheme="minorHAnsi"/>
        </w:rPr>
        <w:t>u</w:t>
      </w:r>
      <w:r w:rsidR="00B82EB2" w:rsidRPr="002545F6">
        <w:rPr>
          <w:rFonts w:asciiTheme="minorHAnsi" w:hAnsiTheme="minorHAnsi" w:cstheme="minorHAnsi"/>
        </w:rPr>
        <w:t xml:space="preserve"> što je dugotrajan i vrlo skup postupak i što bi postavljanje vlastite mreže vrlo velikog kapaciteta činilo potpuno neisplativim. Dakle, u određenim geografskim područjima Republike Hrvatske omogućavanje pristupa HT-ovoj fizičkoj infrastrukturi čini alternativnim operatorima postavljanje vlastite mreže vrlo velikog kapaciteta isplativim što dovodi do postojanja infrastrukturne konkurencije u tim geografskim područjima. Detaljnija geografska analiza postojanja infrastrukturne konkurentnosti </w:t>
      </w:r>
      <w:r w:rsidR="00B82EB2" w:rsidRPr="00D646C8">
        <w:rPr>
          <w:rFonts w:asciiTheme="minorHAnsi" w:hAnsiTheme="minorHAnsi" w:cstheme="minorHAnsi"/>
        </w:rPr>
        <w:t xml:space="preserve">dana je u poglavlju </w:t>
      </w:r>
      <w:r w:rsidR="0007047F">
        <w:rPr>
          <w:rFonts w:asciiTheme="minorHAnsi" w:hAnsiTheme="minorHAnsi" w:cstheme="minorHAnsi"/>
        </w:rPr>
        <w:fldChar w:fldCharType="begin"/>
      </w:r>
      <w:r w:rsidR="0007047F">
        <w:rPr>
          <w:rFonts w:asciiTheme="minorHAnsi" w:hAnsiTheme="minorHAnsi" w:cstheme="minorHAnsi"/>
        </w:rPr>
        <w:instrText xml:space="preserve"> REF _Ref125566314 \r \h </w:instrText>
      </w:r>
      <w:r w:rsidR="0007047F">
        <w:rPr>
          <w:rFonts w:asciiTheme="minorHAnsi" w:hAnsiTheme="minorHAnsi" w:cstheme="minorHAnsi"/>
        </w:rPr>
      </w:r>
      <w:r w:rsidR="0007047F">
        <w:rPr>
          <w:rFonts w:asciiTheme="minorHAnsi" w:hAnsiTheme="minorHAnsi" w:cstheme="minorHAnsi"/>
        </w:rPr>
        <w:fldChar w:fldCharType="separate"/>
      </w:r>
      <w:r w:rsidR="0007047F">
        <w:rPr>
          <w:rFonts w:asciiTheme="minorHAnsi" w:hAnsiTheme="minorHAnsi" w:cstheme="minorHAnsi"/>
        </w:rPr>
        <w:t>4</w:t>
      </w:r>
      <w:r w:rsidR="0007047F">
        <w:rPr>
          <w:rFonts w:asciiTheme="minorHAnsi" w:hAnsiTheme="minorHAnsi" w:cstheme="minorHAnsi"/>
        </w:rPr>
        <w:fldChar w:fldCharType="end"/>
      </w:r>
      <w:r w:rsidR="00B82EB2" w:rsidRPr="002545F6">
        <w:rPr>
          <w:rFonts w:asciiTheme="minorHAnsi" w:hAnsiTheme="minorHAnsi" w:cstheme="minorHAnsi"/>
        </w:rPr>
        <w:t>. Na osnovu postojanja dovoljne razine infrastrukturne konkurentnosti prema mišljenju HAKOM-a stekli su se uvjeti za deregulaciju takvih područja. Isto tako, na područjima koja će ostati regulirana, obveza udovoljavanja razumnim zahtjevima za pristup i korištenje fizičke infrastrukture će alternativnim operatorima omogućiti daljnja ulaganja u vlastite mreže vrlo velikog kapaciteta i daljnje povećanje razine tržišnog natjecanja koje se temelji na infrastrukturnoj konkurenciji</w:t>
      </w:r>
      <w:r w:rsidR="00B82EB2" w:rsidRPr="00602078">
        <w:rPr>
          <w:rFonts w:asciiTheme="minorHAnsi" w:hAnsiTheme="minorHAnsi" w:cstheme="minorHAnsi"/>
        </w:rPr>
        <w:t>.</w:t>
      </w:r>
    </w:p>
    <w:p w:rsidR="00B82EB2" w:rsidRPr="002545F6" w:rsidRDefault="00B82EB2" w:rsidP="00B82EB2">
      <w:pPr>
        <w:jc w:val="both"/>
        <w:rPr>
          <w:rFonts w:asciiTheme="minorHAnsi" w:hAnsiTheme="minorHAnsi" w:cstheme="minorHAnsi"/>
          <w:i/>
          <w:iCs/>
        </w:rPr>
      </w:pPr>
    </w:p>
    <w:p w:rsidR="00B82EB2" w:rsidRDefault="00B82EB2" w:rsidP="00B82EB2">
      <w:pPr>
        <w:jc w:val="both"/>
        <w:rPr>
          <w:rFonts w:asciiTheme="minorHAnsi" w:hAnsiTheme="minorHAnsi" w:cstheme="minorHAnsi"/>
        </w:rPr>
      </w:pPr>
      <w:r w:rsidRPr="002545F6">
        <w:rPr>
          <w:rFonts w:asciiTheme="minorHAnsi" w:hAnsiTheme="minorHAnsi" w:cstheme="minorHAnsi"/>
        </w:rPr>
        <w:t xml:space="preserve">Zbog svega navedenog te uzimajući u obzir činjenicu da je HT-ova fizička infrastruktura uvjerljivo najrasprostranjenija i da je prikladna za postavljanje mreža vrlo velikog kapaciteta, HAKOM je mišljenja da obveza udovoljavanja razumnim zahtjevima za pristup i korištenje HT-ove fizičke infrastrukture izravno doprinosi ostvarenju regulatornih ciljeva iz članka 7. ZEK-a jer izravno doprinosi ulaganjima u mreže vrlo velikog kapaciteta, razvoju infrastrukturne konkurencije, što u konačnici dovodi do izravnih i neizravnih koristi za krajnje korisnike (povećanje dostupnosti mreža vrlo velikog kapaciteta i najnaprednijih usluga te nižih cijena tih usluga do kojih dovodi povećana razina tržišnog natjecanja). </w:t>
      </w:r>
    </w:p>
    <w:p w:rsidR="00B82EB2" w:rsidRDefault="00B82EB2" w:rsidP="00B82EB2">
      <w:pPr>
        <w:jc w:val="both"/>
        <w:rPr>
          <w:rFonts w:asciiTheme="minorHAnsi" w:hAnsiTheme="minorHAnsi" w:cstheme="minorHAnsi"/>
        </w:rPr>
      </w:pPr>
    </w:p>
    <w:p w:rsidR="00B82EB2" w:rsidRDefault="00B82EB2" w:rsidP="00B82EB2">
      <w:pPr>
        <w:jc w:val="both"/>
        <w:rPr>
          <w:rFonts w:asciiTheme="minorHAnsi" w:hAnsiTheme="minorHAnsi" w:cstheme="minorHAnsi"/>
        </w:rPr>
      </w:pPr>
      <w:r w:rsidRPr="002545F6">
        <w:rPr>
          <w:rFonts w:asciiTheme="minorHAnsi" w:hAnsiTheme="minorHAnsi" w:cstheme="minorHAnsi"/>
        </w:rPr>
        <w:t xml:space="preserve">U slučaju kada ne bi postojala ova obveza tada se alternativnim operatorima ne bi (barem ne u istoj mjeri) isplatilo postavljanje vlastitih mreža vrlo velikog kapaciteta što bi značilo manje ulaganja, nižu razinu dostupnosti mreža vrlo velikog kapaciteta te nižu razinu infrastrukturnog natjecanja. Na taj način krajnji korisnici ne bi osjetili koristi od infrastrukturne konkurencije, poput veće dostupnosti mreža vrlo velikog kapaciteta i najnaprednijih usluga te nižih cijena tih usluga. </w:t>
      </w:r>
    </w:p>
    <w:p w:rsidR="00B82EB2" w:rsidRDefault="00B82EB2" w:rsidP="00B82EB2">
      <w:pPr>
        <w:jc w:val="both"/>
        <w:rPr>
          <w:rFonts w:asciiTheme="minorHAnsi" w:hAnsiTheme="minorHAnsi" w:cstheme="minorHAnsi"/>
        </w:rPr>
      </w:pPr>
    </w:p>
    <w:p w:rsidR="00B82EB2" w:rsidRDefault="00B82EB2" w:rsidP="00B82EB2">
      <w:pPr>
        <w:jc w:val="both"/>
        <w:rPr>
          <w:rFonts w:asciiTheme="minorHAnsi" w:hAnsiTheme="minorHAnsi" w:cstheme="minorHAnsi"/>
        </w:rPr>
      </w:pPr>
      <w:r>
        <w:rPr>
          <w:rFonts w:asciiTheme="minorHAnsi" w:hAnsiTheme="minorHAnsi" w:cstheme="minorHAnsi"/>
        </w:rPr>
        <w:t xml:space="preserve">Slijedom navedenog, </w:t>
      </w:r>
      <w:r w:rsidRPr="00972736">
        <w:rPr>
          <w:rFonts w:asciiTheme="minorHAnsi" w:hAnsiTheme="minorHAnsi" w:cstheme="minorHAnsi"/>
        </w:rPr>
        <w:t xml:space="preserve">HAKOM u ovom postupku analize tržišta, HT-u kao operatoru sa značajnom tržišnom snagom </w:t>
      </w:r>
      <w:r>
        <w:rPr>
          <w:rFonts w:asciiTheme="minorHAnsi" w:hAnsiTheme="minorHAnsi" w:cstheme="minorHAnsi"/>
        </w:rPr>
        <w:t xml:space="preserve">određuje </w:t>
      </w:r>
      <w:r w:rsidRPr="00972736">
        <w:rPr>
          <w:rFonts w:asciiTheme="minorHAnsi" w:hAnsiTheme="minorHAnsi" w:cstheme="minorHAnsi"/>
        </w:rPr>
        <w:t>obvezu pristupa fizičkoj infrastrukturi na teritoriju cijele RH, sukladno članku 105. stavku 1. ZEK-a, budući da se prema stavku 3. istog članka ista primjenjuje neovisno o tome na kojem tržištu se nalazi imovina koja je predmet te obveze.</w:t>
      </w:r>
    </w:p>
    <w:p w:rsidR="00B82EB2" w:rsidRDefault="00B82EB2" w:rsidP="00B82EB2">
      <w:pPr>
        <w:tabs>
          <w:tab w:val="left" w:pos="0"/>
        </w:tabs>
        <w:jc w:val="both"/>
      </w:pPr>
    </w:p>
    <w:p w:rsidR="00B82EB2" w:rsidRDefault="00B82EB2" w:rsidP="00B82EB2">
      <w:pPr>
        <w:jc w:val="both"/>
        <w:rPr>
          <w:rFonts w:asciiTheme="minorHAnsi" w:hAnsiTheme="minorHAnsi" w:cstheme="minorHAnsi"/>
        </w:rPr>
      </w:pPr>
      <w:r>
        <w:t xml:space="preserve">Međutim, </w:t>
      </w:r>
      <w:r w:rsidRPr="002545F6">
        <w:rPr>
          <w:rFonts w:asciiTheme="minorHAnsi" w:hAnsiTheme="minorHAnsi" w:cstheme="minorHAnsi"/>
        </w:rPr>
        <w:t xml:space="preserve">na tržištu malog kapaciteta </w:t>
      </w:r>
      <w:r>
        <w:t>i na tržištu velikog kapaciteta – nekonkurentna područja</w:t>
      </w:r>
      <w:r w:rsidRPr="002545F6">
        <w:rPr>
          <w:rFonts w:asciiTheme="minorHAnsi" w:hAnsiTheme="minorHAnsi" w:cstheme="minorHAnsi"/>
        </w:rPr>
        <w:t>, samo obveza pristupa fizičkoj infrastrukturi nije razmjerno sredstvo za promicanje tržišnog natjecanja i interesa krajnjih korisnika.</w:t>
      </w:r>
    </w:p>
    <w:p w:rsidR="00B82EB2" w:rsidRDefault="00B82EB2" w:rsidP="00B82EB2">
      <w:pPr>
        <w:tabs>
          <w:tab w:val="left" w:pos="0"/>
        </w:tabs>
        <w:jc w:val="both"/>
      </w:pPr>
    </w:p>
    <w:p w:rsidR="00B82EB2" w:rsidRPr="00105352" w:rsidRDefault="00B82EB2" w:rsidP="00B82EB2">
      <w:pPr>
        <w:jc w:val="both"/>
      </w:pPr>
      <w:r>
        <w:t>Stoga, HAKOM, sukladno odredbama iz članka 101. ZEK-a, n</w:t>
      </w:r>
      <w:r w:rsidRPr="00105352">
        <w:t xml:space="preserve">a </w:t>
      </w:r>
      <w:r>
        <w:t xml:space="preserve">mjerodavnom </w:t>
      </w:r>
      <w:r w:rsidRPr="00105352">
        <w:t>tržištu</w:t>
      </w:r>
      <w:r>
        <w:t xml:space="preserve"> malog kapaciteta i tržištu velikog kapaciteta – nekonkurentna područja</w:t>
      </w:r>
      <w:r w:rsidRPr="00105352">
        <w:t xml:space="preserve"> </w:t>
      </w:r>
      <w:r>
        <w:t>određuje HT-u</w:t>
      </w:r>
      <w:r w:rsidRPr="00105352">
        <w:t xml:space="preserve"> sljedeće regulatorne obveze:</w:t>
      </w:r>
    </w:p>
    <w:p w:rsidR="00B82EB2" w:rsidRPr="00105352" w:rsidRDefault="00B82EB2" w:rsidP="00B82EB2"/>
    <w:p w:rsidR="00B82EB2" w:rsidRPr="00105352" w:rsidRDefault="00B82EB2" w:rsidP="00766501">
      <w:pPr>
        <w:numPr>
          <w:ilvl w:val="0"/>
          <w:numId w:val="28"/>
        </w:numPr>
        <w:jc w:val="both"/>
      </w:pPr>
      <w:r w:rsidRPr="00105352">
        <w:t xml:space="preserve">obveza pristupa i korištenja </w:t>
      </w:r>
      <w:r w:rsidRPr="00B7569C">
        <w:t xml:space="preserve">posebnih </w:t>
      </w:r>
      <w:r w:rsidRPr="000F756D">
        <w:t>mrežnih sastavnica i povezane opreme</w:t>
      </w:r>
    </w:p>
    <w:p w:rsidR="00B82EB2" w:rsidRPr="00105352" w:rsidRDefault="00B82EB2" w:rsidP="00766501">
      <w:pPr>
        <w:numPr>
          <w:ilvl w:val="0"/>
          <w:numId w:val="28"/>
        </w:numPr>
        <w:jc w:val="both"/>
      </w:pPr>
      <w:r w:rsidRPr="00105352">
        <w:t>obveza nediskriminacije</w:t>
      </w:r>
    </w:p>
    <w:p w:rsidR="00B82EB2" w:rsidRPr="00105352" w:rsidRDefault="00B82EB2" w:rsidP="00766501">
      <w:pPr>
        <w:numPr>
          <w:ilvl w:val="0"/>
          <w:numId w:val="28"/>
        </w:numPr>
        <w:jc w:val="both"/>
      </w:pPr>
      <w:r w:rsidRPr="00105352">
        <w:t>obveza transparentnosti uz obvezu objave standardne ponude</w:t>
      </w:r>
    </w:p>
    <w:p w:rsidR="00B82EB2" w:rsidRPr="00105352" w:rsidRDefault="00B82EB2" w:rsidP="00766501">
      <w:pPr>
        <w:numPr>
          <w:ilvl w:val="0"/>
          <w:numId w:val="28"/>
        </w:numPr>
        <w:jc w:val="both"/>
      </w:pPr>
      <w:r w:rsidRPr="00105352">
        <w:t>obveza nadzora cijena i vođenja troškovnog računovodstva</w:t>
      </w:r>
    </w:p>
    <w:p w:rsidR="00B82EB2" w:rsidRDefault="00B82EB2" w:rsidP="00766501">
      <w:pPr>
        <w:numPr>
          <w:ilvl w:val="0"/>
          <w:numId w:val="28"/>
        </w:numPr>
        <w:jc w:val="both"/>
      </w:pPr>
      <w:r w:rsidRPr="00105352">
        <w:t>obveza računovodstvenog razdvajanja.</w:t>
      </w:r>
    </w:p>
    <w:p w:rsidR="00B82EB2" w:rsidRDefault="00B82EB2" w:rsidP="00B82EB2">
      <w:pPr>
        <w:jc w:val="both"/>
      </w:pPr>
    </w:p>
    <w:p w:rsidR="00B82EB2" w:rsidRPr="005D4790" w:rsidRDefault="00B82EB2" w:rsidP="00B82EB2">
      <w:pPr>
        <w:jc w:val="both"/>
      </w:pPr>
      <w:r w:rsidRPr="005D4790">
        <w:t xml:space="preserve">Također, obveza nadzora cijena nadzora cijena i vođenja troškovnog računovodstva se na odgovarajući način primjenjuje i </w:t>
      </w:r>
      <w:r>
        <w:t>društva</w:t>
      </w:r>
      <w:r w:rsidRPr="005D4790">
        <w:t xml:space="preserve"> pod nadzorom </w:t>
      </w:r>
      <w:r>
        <w:t>HT-a (u trenutku usvajanja ove analize samo Iskon).</w:t>
      </w:r>
    </w:p>
    <w:p w:rsidR="00B82EB2" w:rsidRDefault="00B82EB2" w:rsidP="00B82EB2">
      <w:pPr>
        <w:jc w:val="both"/>
      </w:pPr>
    </w:p>
    <w:p w:rsidR="00B82EB2" w:rsidRDefault="00B82EB2" w:rsidP="00B82EB2">
      <w:pPr>
        <w:jc w:val="both"/>
      </w:pPr>
      <w:r>
        <w:t xml:space="preserve">Gore navedene regulatorne obveze će se u nastavku pobliže definirati, ovisno o identificiranim preprekama i njihovoj izraženosti na različitim tržištima </w:t>
      </w:r>
      <w:r w:rsidRPr="008002C1">
        <w:t>koja su ov</w:t>
      </w:r>
      <w:r>
        <w:t xml:space="preserve">om analizom </w:t>
      </w:r>
      <w:r w:rsidRPr="008002C1">
        <w:t>utvrđena kao tržišta podložna prethodnoj regulaciji</w:t>
      </w:r>
      <w:r>
        <w:t>. HAKOM je pri tome vodio računa o razmjernosti regulatornih obveza.</w:t>
      </w:r>
    </w:p>
    <w:p w:rsidR="00B82EB2" w:rsidRDefault="00B82EB2" w:rsidP="00B82EB2">
      <w:pPr>
        <w:jc w:val="both"/>
      </w:pPr>
    </w:p>
    <w:p w:rsidR="00B82EB2" w:rsidRDefault="00B82EB2" w:rsidP="00B82EB2">
      <w:pPr>
        <w:jc w:val="both"/>
      </w:pPr>
      <w:r w:rsidRPr="001A3291">
        <w:t xml:space="preserve">S obzirom da je HAKOM na tržištu velikog kapaciteta – nekonkurentna područja </w:t>
      </w:r>
      <w:r w:rsidR="002D636E">
        <w:t>Klastera</w:t>
      </w:r>
      <w:r w:rsidRPr="001A3291">
        <w:t xml:space="preserve"> B utvrdio </w:t>
      </w:r>
      <w:r>
        <w:t>da su određene prepreke manje izražene u odnosu na tržište</w:t>
      </w:r>
      <w:r w:rsidRPr="001A3291">
        <w:t xml:space="preserve"> </w:t>
      </w:r>
      <w:r>
        <w:t xml:space="preserve">velikog kapaciteta - </w:t>
      </w:r>
      <w:r w:rsidRPr="001A3291">
        <w:t xml:space="preserve">nekonkurentna područja </w:t>
      </w:r>
      <w:r w:rsidR="002D636E">
        <w:t>Klastera</w:t>
      </w:r>
      <w:r w:rsidRPr="001A3291">
        <w:t xml:space="preserve"> A, HAKOM je u okviru obveze nadzora cijena i vođenja troškovnog računovodstva napravio razliku na način da područja </w:t>
      </w:r>
      <w:r w:rsidR="002D636E">
        <w:t>Klastera</w:t>
      </w:r>
      <w:r w:rsidRPr="001A3291">
        <w:t xml:space="preserve"> B HT-u nije odredio obvezu troškovne usmjerenosti. U ostalim obvezama nije radio razliku između </w:t>
      </w:r>
      <w:r w:rsidR="002D636E">
        <w:t>Klastera</w:t>
      </w:r>
      <w:r>
        <w:t xml:space="preserve"> A i B</w:t>
      </w:r>
      <w:r w:rsidRPr="001A3291">
        <w:t>.</w:t>
      </w:r>
    </w:p>
    <w:p w:rsidR="00B82EB2" w:rsidRDefault="00B82EB2" w:rsidP="00B82EB2">
      <w:pPr>
        <w:jc w:val="both"/>
      </w:pPr>
    </w:p>
    <w:p w:rsidR="00B82EB2" w:rsidRDefault="00B82EB2" w:rsidP="00B82EB2">
      <w:pPr>
        <w:jc w:val="both"/>
      </w:pPr>
      <w:r>
        <w:t xml:space="preserve">U nastavku dokumenta HAKOM nije razdvajao u posebnim poglavljima obveze za tržište malog kapaciteta, odnosno za tržište </w:t>
      </w:r>
      <w:r w:rsidRPr="001A3291">
        <w:t>velikog kapaciteta – nekonkurentna područja</w:t>
      </w:r>
      <w:r>
        <w:t>, s obzirom da se u velikom dijelu primjenjuju iste obveze na oba tržišta, već je u tekstu naglašeno ukoliko se detalji neke obveze primjenjuju samo na pojedino tržište.</w:t>
      </w:r>
    </w:p>
    <w:p w:rsidR="00B82EB2" w:rsidRDefault="00B82EB2" w:rsidP="00B82EB2">
      <w:pPr>
        <w:rPr>
          <w:rFonts w:ascii="Cambria" w:hAnsi="Cambria"/>
          <w:color w:val="4F81BD"/>
          <w:sz w:val="26"/>
          <w:szCs w:val="26"/>
          <w:lang w:eastAsia="hr-HR"/>
        </w:rPr>
      </w:pPr>
      <w:r>
        <w:br w:type="page"/>
      </w:r>
    </w:p>
    <w:p w:rsidR="00B82EB2" w:rsidRPr="00E970CD" w:rsidRDefault="00B82EB2" w:rsidP="00E970CD">
      <w:pPr>
        <w:pStyle w:val="Heading2"/>
      </w:pPr>
      <w:bookmarkStart w:id="629" w:name="_Toc124928637"/>
      <w:bookmarkStart w:id="630" w:name="_Toc124946979"/>
      <w:bookmarkStart w:id="631" w:name="_Toc124948889"/>
      <w:bookmarkStart w:id="632" w:name="_Toc124951784"/>
      <w:bookmarkStart w:id="633" w:name="_Ref125566433"/>
      <w:bookmarkStart w:id="634" w:name="_Toc125644943"/>
      <w:r w:rsidRPr="00E970CD">
        <w:t>Pristup fizičkoj infrastrukturi</w:t>
      </w:r>
      <w:bookmarkEnd w:id="629"/>
      <w:bookmarkEnd w:id="630"/>
      <w:bookmarkEnd w:id="631"/>
      <w:bookmarkEnd w:id="632"/>
      <w:bookmarkEnd w:id="633"/>
      <w:bookmarkEnd w:id="634"/>
    </w:p>
    <w:p w:rsidR="00602078" w:rsidRPr="00972736" w:rsidRDefault="00602078" w:rsidP="00602078">
      <w:pPr>
        <w:jc w:val="both"/>
      </w:pPr>
      <w:r w:rsidRPr="00972736">
        <w:t xml:space="preserve">Sukladno odredbama članka 30. </w:t>
      </w:r>
      <w:r w:rsidRPr="00FF0288">
        <w:t>starog ZEK-a</w:t>
      </w:r>
      <w:r w:rsidRPr="00972736">
        <w:t xml:space="preserve"> i Pravilnika o načinu i uvjetima pristupa i zajedničkog korištenja elektroničke komunikacijske infrastrukture i druge povezane opreme (NN 36/16</w:t>
      </w:r>
      <w:r>
        <w:t xml:space="preserve">; </w:t>
      </w:r>
      <w:r w:rsidRPr="00972736">
        <w:t xml:space="preserve">dalje: Pravilnik o zajedničkom korištenju EKI) infrastrukturni operator mora omogućiti operatoru korisniku, uz naknadu i na temelju sklopljenog ugovora, pristup i zajedničko korištenje svoje elektroničke komunikacijske infrastrukture i povezane opreme ako su ispunjeni odgovarajući uvjeti pristupa i zajedničkog korištenja. Nadalje, temeljem odredbe </w:t>
      </w:r>
      <w:r w:rsidRPr="00FF0288">
        <w:t>članka 30. stavka 5. starog ZEK-a,</w:t>
      </w:r>
      <w:r w:rsidRPr="00972736">
        <w:t xml:space="preserve"> HAKOM je infrastrukturnom operatoru odlukom mogao odrediti sljedeće obveze:</w:t>
      </w:r>
    </w:p>
    <w:p w:rsidR="00602078" w:rsidRDefault="00602078" w:rsidP="00766501">
      <w:pPr>
        <w:pStyle w:val="ListParagraph"/>
        <w:numPr>
          <w:ilvl w:val="0"/>
          <w:numId w:val="62"/>
        </w:numPr>
        <w:jc w:val="both"/>
      </w:pPr>
      <w:r w:rsidRPr="00972736">
        <w:t>primjenu načela nediskriminacije i odobravanja pristupa svim operatorima korisnicima uz jednake uvjete</w:t>
      </w:r>
    </w:p>
    <w:p w:rsidR="00602078" w:rsidRPr="00972736" w:rsidRDefault="00602078" w:rsidP="00766501">
      <w:pPr>
        <w:pStyle w:val="ListParagraph"/>
        <w:numPr>
          <w:ilvl w:val="0"/>
          <w:numId w:val="62"/>
        </w:numPr>
        <w:jc w:val="both"/>
      </w:pPr>
      <w:r w:rsidRPr="00972736">
        <w:t>primjenu načela troškovne usmjerenosti na temelju troškova gradnje i održavanja elektroničke komunikacijske infrastrukture i povezane opreme, uz primje</w:t>
      </w:r>
      <w:r>
        <w:t>renu stopu povrata na ulaganja</w:t>
      </w:r>
    </w:p>
    <w:p w:rsidR="00602078" w:rsidRPr="00972736" w:rsidRDefault="00602078" w:rsidP="00766501">
      <w:pPr>
        <w:pStyle w:val="ListParagraph"/>
        <w:numPr>
          <w:ilvl w:val="0"/>
          <w:numId w:val="62"/>
        </w:numPr>
        <w:jc w:val="both"/>
      </w:pPr>
      <w:r w:rsidRPr="00972736">
        <w:t>izradu i objavu standardne ponude pristupa i obvezu pregovaranja o pristupu s operatorima korisnicima.</w:t>
      </w:r>
    </w:p>
    <w:p w:rsidR="00602078" w:rsidRDefault="00602078" w:rsidP="00602078">
      <w:pPr>
        <w:jc w:val="both"/>
      </w:pPr>
    </w:p>
    <w:p w:rsidR="00602078" w:rsidRPr="00D80462" w:rsidRDefault="00602078" w:rsidP="00602078">
      <w:pPr>
        <w:jc w:val="both"/>
      </w:pPr>
      <w:r w:rsidRPr="00972736">
        <w:t xml:space="preserve">Temeljem navedene odredbe </w:t>
      </w:r>
      <w:r w:rsidRPr="00C371DB">
        <w:t>starog ZEK-a,</w:t>
      </w:r>
      <w:r w:rsidRPr="00972736">
        <w:t xml:space="preserve"> HAKOM je HT-u odlukama odredio sljedeće obveze</w:t>
      </w:r>
      <w:r w:rsidRPr="00D80462">
        <w:t>:</w:t>
      </w:r>
    </w:p>
    <w:p w:rsidR="00602078" w:rsidRPr="00480501" w:rsidRDefault="00602078" w:rsidP="00766501">
      <w:pPr>
        <w:pStyle w:val="ListParagraph"/>
        <w:numPr>
          <w:ilvl w:val="0"/>
          <w:numId w:val="63"/>
        </w:numPr>
        <w:jc w:val="both"/>
      </w:pPr>
      <w:r w:rsidRPr="00480501">
        <w:t>obvezu izrade i objave Standardne ponude o načinu i uvjetima pristupa i zajedničkog korištenja elektroničke komunikacijske infrastrukture i povezane opreme (Odluka KLASA: 344-01/10-01/630, URBROJ: 376-04-10-06 od 22. prosinca 2010.) te obveze njezine izmjene sukladno Odlukama KLASA: 344-01/10-01/630, URBROJ: 376-04/DM-11-18 od 19. kolovoza 2011. i KLASA: UP/I-344-01/18-05/03, URBROJ: 376-05-3-19-16 od 18. travnja 2019.</w:t>
      </w:r>
    </w:p>
    <w:p w:rsidR="00602078" w:rsidRPr="00480501" w:rsidRDefault="00602078" w:rsidP="00766501">
      <w:pPr>
        <w:pStyle w:val="ListParagraph"/>
        <w:numPr>
          <w:ilvl w:val="0"/>
          <w:numId w:val="63"/>
        </w:numPr>
        <w:jc w:val="both"/>
      </w:pPr>
      <w:r w:rsidRPr="00480501">
        <w:t>primjenu načela troškovne usmjerenosti na temelju troškova gradnje i održavanja elektroničke komunikacijske infrastrukture i povezane opreme, uz primjerenu stopu povrata na ulaganja (Odluka KLASA: 344-01/09-01/965, URBROJ: 376-04-10-10 od 05. veljače 2010.)</w:t>
      </w:r>
    </w:p>
    <w:p w:rsidR="00602078" w:rsidRPr="00480501" w:rsidRDefault="00602078" w:rsidP="00602078">
      <w:pPr>
        <w:jc w:val="both"/>
      </w:pPr>
      <w:r w:rsidRPr="00480501">
        <w:t xml:space="preserve">Uvjeti i načini djelotvornog korištenja slobodnog prostora u izgrađenoj kabelskoj kanalizaciji određeni su Pravilnikom o zajedničkom korištenju EKI i jednaki su za sve infrastrukturne operatore. </w:t>
      </w:r>
    </w:p>
    <w:p w:rsidR="00602078" w:rsidRDefault="00602078" w:rsidP="00B82EB2">
      <w:pPr>
        <w:jc w:val="both"/>
        <w:rPr>
          <w:rFonts w:asciiTheme="minorHAnsi" w:hAnsiTheme="minorHAnsi" w:cstheme="minorHAnsi"/>
        </w:rPr>
      </w:pPr>
    </w:p>
    <w:p w:rsidR="00B82EB2" w:rsidRPr="00480501" w:rsidRDefault="00B82EB2" w:rsidP="00B82EB2">
      <w:pPr>
        <w:jc w:val="both"/>
      </w:pPr>
      <w:r w:rsidRPr="00480501">
        <w:t>HAKOM u okviru određivanja obveze pristupa fizičkoj infrastrukturi sukladno članku 105. ZEK-a određuje sljedeće:</w:t>
      </w:r>
    </w:p>
    <w:p w:rsidR="00B82EB2" w:rsidRPr="002545F6" w:rsidRDefault="00B82EB2" w:rsidP="00B82EB2">
      <w:pPr>
        <w:jc w:val="both"/>
        <w:rPr>
          <w:rFonts w:asciiTheme="minorHAnsi" w:hAnsiTheme="minorHAnsi" w:cstheme="minorHAnsi"/>
        </w:rPr>
      </w:pPr>
    </w:p>
    <w:p w:rsidR="00B82EB2" w:rsidRPr="00480501" w:rsidRDefault="00B82EB2" w:rsidP="00766501">
      <w:pPr>
        <w:pStyle w:val="ListParagraph"/>
        <w:numPr>
          <w:ilvl w:val="0"/>
          <w:numId w:val="62"/>
        </w:numPr>
        <w:jc w:val="both"/>
      </w:pPr>
      <w:r w:rsidRPr="00480501">
        <w:t>da trećoj strani pruži pristup slobodnom prostoru u kabelskoj kanalizaciji radi postavljanja kabela mreža vrlo velikog kapaciteta i/ili radi postavljanja kabela putem kojih se pružaju usluge namjenskog kapaciteta na način propisan Pravilnikom o zajedničkom korištenju EKI</w:t>
      </w:r>
    </w:p>
    <w:p w:rsidR="00B82EB2" w:rsidRPr="00480501" w:rsidRDefault="00B82EB2" w:rsidP="00766501">
      <w:pPr>
        <w:pStyle w:val="ListParagraph"/>
        <w:numPr>
          <w:ilvl w:val="0"/>
          <w:numId w:val="62"/>
        </w:numPr>
        <w:jc w:val="both"/>
      </w:pPr>
      <w:r w:rsidRPr="00480501">
        <w:t>da pregovara u dobroj vjeri s drugim operatorima koji traže pristup i, u okviru ove obveze, obvezu odgovora na svaki razuman zahtjev</w:t>
      </w:r>
    </w:p>
    <w:p w:rsidR="00B82EB2" w:rsidRPr="00480501" w:rsidRDefault="00B82EB2" w:rsidP="00766501">
      <w:pPr>
        <w:pStyle w:val="ListParagraph"/>
        <w:numPr>
          <w:ilvl w:val="0"/>
          <w:numId w:val="62"/>
        </w:numPr>
        <w:jc w:val="both"/>
      </w:pPr>
      <w:r w:rsidRPr="00480501">
        <w:t>da ne ukida već odobreni pristup uslugama pristupa fizičkoj infrastrukturi, odnosno elektroničkoj komunikacijskoj infrastrukturi i povezanoj opremi</w:t>
      </w:r>
    </w:p>
    <w:p w:rsidR="00B82EB2" w:rsidRPr="00480501" w:rsidRDefault="00B82EB2" w:rsidP="00766501">
      <w:pPr>
        <w:pStyle w:val="ListParagraph"/>
        <w:numPr>
          <w:ilvl w:val="0"/>
          <w:numId w:val="62"/>
        </w:numPr>
        <w:jc w:val="both"/>
      </w:pPr>
      <w:r w:rsidRPr="00480501">
        <w:t>da omogući pristup sustavima za operativnu potporu ili sličnim programskim sustavima nužnima za osiguravanje pravednoga tržišnog natjecanja u pružanju usluga.</w:t>
      </w:r>
    </w:p>
    <w:p w:rsidR="00B82EB2" w:rsidRDefault="00B82EB2" w:rsidP="00B82EB2">
      <w:pPr>
        <w:jc w:val="both"/>
        <w:rPr>
          <w:rFonts w:ascii="Cambria" w:hAnsi="Cambria"/>
          <w:i/>
          <w:iCs/>
          <w:color w:val="4F81BD"/>
          <w:spacing w:val="15"/>
          <w:lang w:eastAsia="hr-HR"/>
        </w:rPr>
      </w:pPr>
    </w:p>
    <w:p w:rsidR="00B82EB2" w:rsidRPr="00480501" w:rsidRDefault="00B82EB2" w:rsidP="00B82EB2">
      <w:pPr>
        <w:jc w:val="both"/>
        <w:rPr>
          <w:rFonts w:ascii="Cambria" w:hAnsi="Cambria"/>
          <w:i/>
          <w:iCs/>
          <w:color w:val="1F3864" w:themeColor="accent1" w:themeShade="80"/>
          <w:spacing w:val="15"/>
          <w:lang w:eastAsia="hr-HR"/>
        </w:rPr>
      </w:pPr>
      <w:r w:rsidRPr="00480501">
        <w:rPr>
          <w:rFonts w:ascii="Cambria" w:hAnsi="Cambria"/>
          <w:i/>
          <w:iCs/>
          <w:color w:val="1F3864" w:themeColor="accent1" w:themeShade="80"/>
          <w:spacing w:val="15"/>
          <w:lang w:eastAsia="hr-HR"/>
        </w:rPr>
        <w:t>Usluga pristupa i zajedničkog korištenja EKI (kabelske kanalizacije) HT-a</w:t>
      </w:r>
    </w:p>
    <w:p w:rsidR="00B82EB2" w:rsidRPr="002545F6" w:rsidRDefault="00B82EB2" w:rsidP="00B82EB2">
      <w:pPr>
        <w:jc w:val="both"/>
        <w:rPr>
          <w:rFonts w:asciiTheme="minorHAnsi" w:hAnsiTheme="minorHAnsi" w:cstheme="minorHAnsi"/>
        </w:rPr>
      </w:pPr>
    </w:p>
    <w:p w:rsidR="00B82EB2" w:rsidRDefault="00B82EB2" w:rsidP="00B82EB2">
      <w:pPr>
        <w:jc w:val="both"/>
        <w:rPr>
          <w:rFonts w:asciiTheme="minorHAnsi" w:hAnsiTheme="minorHAnsi" w:cstheme="minorHAnsi"/>
        </w:rPr>
      </w:pPr>
      <w:r w:rsidRPr="002545F6">
        <w:rPr>
          <w:rFonts w:asciiTheme="minorHAnsi" w:hAnsiTheme="minorHAnsi" w:cstheme="minorHAnsi"/>
        </w:rPr>
        <w:t>Usluga pristupa i zajedničkog korištenja EKI (kabelske kanalizacije) HT-a podrazumijeva omogućavanje operatoru korisniku da, uz naknadu i na temelju sklopljenog ugovora, ostvari pristup i zajedničko korištenje u dijelu slobodnog prostora kabelske kanalizacije HT-a koji obuhvaća cijevi kabelske kanalizacije, kabelske zdence i kabelske galerije. Definicije slobodnog prostora određene su Pravilnikom o zajedničkom korištenju EKI.</w:t>
      </w:r>
    </w:p>
    <w:p w:rsidR="00B82EB2" w:rsidRDefault="00B82EB2" w:rsidP="00B82EB2">
      <w:pPr>
        <w:jc w:val="both"/>
        <w:rPr>
          <w:rFonts w:asciiTheme="minorHAnsi" w:hAnsiTheme="minorHAnsi" w:cstheme="minorHAnsi"/>
        </w:rPr>
      </w:pPr>
    </w:p>
    <w:p w:rsidR="00B82EB2" w:rsidRPr="00480501" w:rsidRDefault="00B82EB2" w:rsidP="00480501">
      <w:pPr>
        <w:jc w:val="both"/>
        <w:rPr>
          <w:rFonts w:ascii="Cambria" w:hAnsi="Cambria"/>
          <w:i/>
          <w:iCs/>
          <w:color w:val="1F3864" w:themeColor="accent1" w:themeShade="80"/>
          <w:spacing w:val="15"/>
          <w:lang w:eastAsia="hr-HR"/>
        </w:rPr>
      </w:pPr>
      <w:r w:rsidRPr="00480501">
        <w:rPr>
          <w:rFonts w:ascii="Cambria" w:hAnsi="Cambria"/>
          <w:i/>
          <w:iCs/>
          <w:color w:val="1F3864" w:themeColor="accent1" w:themeShade="80"/>
          <w:spacing w:val="15"/>
          <w:lang w:eastAsia="hr-HR"/>
        </w:rPr>
        <w:t>Pristup bazi podataka EKI</w:t>
      </w:r>
    </w:p>
    <w:p w:rsidR="00B82EB2" w:rsidRPr="00D80462" w:rsidRDefault="00B82EB2" w:rsidP="00B82EB2">
      <w:pPr>
        <w:jc w:val="both"/>
        <w:rPr>
          <w:lang w:eastAsia="hr-HR"/>
        </w:rPr>
      </w:pPr>
    </w:p>
    <w:p w:rsidR="00B82EB2" w:rsidRPr="00A36BAD" w:rsidRDefault="00B82EB2" w:rsidP="00B82EB2">
      <w:pPr>
        <w:jc w:val="both"/>
        <w:rPr>
          <w:rFonts w:asciiTheme="minorHAnsi" w:hAnsiTheme="minorHAnsi" w:cstheme="minorHAnsi"/>
        </w:rPr>
      </w:pPr>
      <w:r w:rsidRPr="00A36BAD">
        <w:rPr>
          <w:rFonts w:asciiTheme="minorHAnsi" w:hAnsiTheme="minorHAnsi" w:cstheme="minorHAnsi"/>
        </w:rPr>
        <w:t>HT je obvezan operatorima korisnicima putem odgovarajućeg web servisa osigurati pristup bazi podataka o trasama kabelske kanalizacije, kabelskim zdencima (</w:t>
      </w:r>
      <w:r w:rsidRPr="00836EA7">
        <w:rPr>
          <w:rFonts w:asciiTheme="minorHAnsi" w:hAnsiTheme="minorHAnsi" w:cstheme="minorHAnsi"/>
        </w:rPr>
        <w:t>dalje: baza EKI</w:t>
      </w:r>
      <w:r w:rsidRPr="00A36BAD">
        <w:rPr>
          <w:rFonts w:asciiTheme="minorHAnsi" w:hAnsiTheme="minorHAnsi" w:cstheme="minorHAnsi"/>
        </w:rPr>
        <w:t>) te putem web sučelja baze EKI preuzimanje tehničke dokumentacije postojećeg stanja svake pojedine trase u elektroničkom obliku (primjerice .</w:t>
      </w:r>
      <w:proofErr w:type="spellStart"/>
      <w:r w:rsidRPr="00A36BAD">
        <w:rPr>
          <w:rFonts w:asciiTheme="minorHAnsi" w:hAnsiTheme="minorHAnsi" w:cstheme="minorHAnsi"/>
        </w:rPr>
        <w:t>dwg</w:t>
      </w:r>
      <w:proofErr w:type="spellEnd"/>
      <w:r w:rsidRPr="00A36BAD">
        <w:rPr>
          <w:rFonts w:asciiTheme="minorHAnsi" w:hAnsiTheme="minorHAnsi" w:cstheme="minorHAnsi"/>
        </w:rPr>
        <w:t xml:space="preserve"> format) iz koje će biti jasno vidljiv raspoloživi kapacitet izgrađene kabelske kanalizacije i trenutno zauzeće. Baza podataka mora biti redovito ažurirana, a najmanje 24 sata od promjena. HT ima pravo naplaćivati uslugu pristupa bazi podataka EKI na način da naplati jednokratni trošak pristupa bazi podataka (izradu web sučelja).</w:t>
      </w:r>
    </w:p>
    <w:p w:rsidR="00B82EB2" w:rsidRDefault="00B82EB2" w:rsidP="00B82EB2">
      <w:pPr>
        <w:jc w:val="both"/>
        <w:rPr>
          <w:rFonts w:ascii="Cambria" w:hAnsi="Cambria"/>
          <w:i/>
          <w:iCs/>
          <w:color w:val="4F81BD"/>
          <w:spacing w:val="15"/>
          <w:lang w:eastAsia="hr-HR"/>
        </w:rPr>
      </w:pPr>
    </w:p>
    <w:p w:rsidR="00B82EB2" w:rsidRPr="00480501" w:rsidRDefault="00B82EB2" w:rsidP="00B82EB2">
      <w:pPr>
        <w:jc w:val="both"/>
        <w:rPr>
          <w:rFonts w:ascii="Cambria" w:hAnsi="Cambria"/>
          <w:i/>
          <w:iCs/>
          <w:color w:val="1F3864" w:themeColor="accent1" w:themeShade="80"/>
          <w:spacing w:val="15"/>
          <w:lang w:eastAsia="hr-HR"/>
        </w:rPr>
      </w:pPr>
      <w:r w:rsidRPr="00480501">
        <w:rPr>
          <w:rFonts w:ascii="Cambria" w:hAnsi="Cambria"/>
          <w:i/>
          <w:iCs/>
          <w:color w:val="1F3864" w:themeColor="accent1" w:themeShade="80"/>
          <w:spacing w:val="15"/>
          <w:lang w:eastAsia="hr-HR"/>
        </w:rPr>
        <w:t>B2B pristup</w:t>
      </w:r>
    </w:p>
    <w:p w:rsidR="00B82EB2" w:rsidRPr="00A7593A" w:rsidRDefault="00B82EB2" w:rsidP="00B82EB2">
      <w:pPr>
        <w:autoSpaceDE w:val="0"/>
        <w:autoSpaceDN w:val="0"/>
        <w:adjustRightInd w:val="0"/>
        <w:jc w:val="both"/>
        <w:rPr>
          <w:lang w:eastAsia="hr-HR"/>
        </w:rPr>
      </w:pPr>
    </w:p>
    <w:p w:rsidR="00B82EB2" w:rsidRPr="00A36BAD" w:rsidRDefault="00B82EB2" w:rsidP="00B82EB2">
      <w:pPr>
        <w:jc w:val="both"/>
        <w:rPr>
          <w:rFonts w:asciiTheme="minorHAnsi" w:hAnsiTheme="minorHAnsi" w:cstheme="minorHAnsi"/>
          <w:lang w:eastAsia="hr-HR"/>
        </w:rPr>
      </w:pPr>
      <w:r w:rsidRPr="00A36BAD">
        <w:rPr>
          <w:rFonts w:asciiTheme="minorHAnsi" w:hAnsiTheme="minorHAnsi" w:cstheme="minorHAnsi"/>
          <w:lang w:eastAsia="hr-HR"/>
        </w:rPr>
        <w:t>HT je obvezan temeljem članka 106. stavka 3. alinej</w:t>
      </w:r>
      <w:r w:rsidRPr="00A36BAD">
        <w:rPr>
          <w:rFonts w:cstheme="minorHAnsi"/>
          <w:lang w:eastAsia="hr-HR"/>
        </w:rPr>
        <w:t>e</w:t>
      </w:r>
      <w:r w:rsidRPr="00A36BAD">
        <w:rPr>
          <w:rFonts w:asciiTheme="minorHAnsi" w:hAnsiTheme="minorHAnsi" w:cstheme="minorHAnsi"/>
          <w:lang w:eastAsia="hr-HR"/>
        </w:rPr>
        <w:t xml:space="preserve"> 9. ZEK-a, omogućiti pristup operativnim IT sustavima podrške sukladno međunarodnim standardima putem web aplikacije kao i korištenjem aplikativnih sučelja, koja omogućavaju izravnu računalnu razmjenu podataka između informacijskih sustava - B2B pristup (web servisi), uz obvezu ažuriranja podataka u što je moguće kraćem roku. Vezano uz obvezu pristupa fizičkoj infrastrukturi, HT je na ovaj način obvezan operatorima korisnicima omogućiti pristup:</w:t>
      </w:r>
    </w:p>
    <w:p w:rsidR="00B82EB2" w:rsidRPr="00A36BAD" w:rsidRDefault="00B82EB2" w:rsidP="00B82EB2">
      <w:pPr>
        <w:jc w:val="both"/>
        <w:rPr>
          <w:rFonts w:asciiTheme="minorHAnsi" w:hAnsiTheme="minorHAnsi" w:cstheme="minorHAnsi"/>
          <w:lang w:eastAsia="hr-HR"/>
        </w:rPr>
      </w:pPr>
    </w:p>
    <w:p w:rsidR="00B82EB2" w:rsidRPr="00A36BAD" w:rsidRDefault="00B82EB2" w:rsidP="00766501">
      <w:pPr>
        <w:numPr>
          <w:ilvl w:val="0"/>
          <w:numId w:val="25"/>
        </w:numPr>
        <w:spacing w:after="200"/>
        <w:jc w:val="both"/>
        <w:rPr>
          <w:rFonts w:asciiTheme="minorHAnsi" w:eastAsia="Calibri" w:hAnsiTheme="minorHAnsi" w:cstheme="minorHAnsi"/>
        </w:rPr>
      </w:pPr>
      <w:r w:rsidRPr="00A36BAD">
        <w:rPr>
          <w:rFonts w:asciiTheme="minorHAnsi" w:eastAsia="Calibri" w:hAnsiTheme="minorHAnsi" w:cstheme="minorHAnsi"/>
        </w:rPr>
        <w:t xml:space="preserve">centraliziranom informacijskom sustavu za podnošenje i praćenje zahtjeva operatora korisnika </w:t>
      </w:r>
    </w:p>
    <w:p w:rsidR="00B82EB2" w:rsidRPr="00A36BAD" w:rsidRDefault="00B82EB2" w:rsidP="00766501">
      <w:pPr>
        <w:numPr>
          <w:ilvl w:val="0"/>
          <w:numId w:val="25"/>
        </w:numPr>
        <w:spacing w:after="200"/>
        <w:jc w:val="both"/>
        <w:rPr>
          <w:rFonts w:asciiTheme="minorHAnsi" w:eastAsia="Calibri" w:hAnsiTheme="minorHAnsi" w:cstheme="minorHAnsi"/>
        </w:rPr>
      </w:pPr>
      <w:r w:rsidRPr="00A36BAD">
        <w:rPr>
          <w:rFonts w:asciiTheme="minorHAnsi" w:eastAsia="Calibri" w:hAnsiTheme="minorHAnsi" w:cstheme="minorHAnsi"/>
        </w:rPr>
        <w:t>statusu vezano uz pružanje usluge pristupa slobodnom prostoru u kabelskoj kanalizaciji operatoru korisniku.</w:t>
      </w:r>
    </w:p>
    <w:p w:rsidR="00B82EB2" w:rsidRPr="00A36BAD" w:rsidRDefault="00B82EB2" w:rsidP="00B82EB2">
      <w:pPr>
        <w:autoSpaceDE w:val="0"/>
        <w:autoSpaceDN w:val="0"/>
        <w:adjustRightInd w:val="0"/>
        <w:jc w:val="both"/>
        <w:rPr>
          <w:rFonts w:asciiTheme="minorHAnsi" w:hAnsiTheme="minorHAnsi" w:cstheme="minorHAnsi"/>
        </w:rPr>
      </w:pPr>
      <w:r w:rsidRPr="00A36BAD">
        <w:rPr>
          <w:rFonts w:asciiTheme="minorHAnsi" w:hAnsiTheme="minorHAnsi" w:cstheme="minorHAnsi"/>
        </w:rPr>
        <w:t xml:space="preserve">Međutim, s obzirom da bi pojedinim operatorima korisnicima razmjena podataka isključivo putem B2B servisa predstavljala neopravdano financijsko opterećenje, HT je obvezan tim operatorima korisnicima omogućiti i alternativne načine komunikacije i podnošenja zahtjeva. Naime, HAKOM smatra kako je opravdano nametnuti komunikaciju isključivo putem B2B servisa onim operatorima korisnicima koji u jednoj godini podnesu više od 50 </w:t>
      </w:r>
      <w:r>
        <w:rPr>
          <w:rFonts w:asciiTheme="minorHAnsi" w:hAnsiTheme="minorHAnsi" w:cstheme="minorHAnsi"/>
        </w:rPr>
        <w:t>z</w:t>
      </w:r>
      <w:r w:rsidRPr="00A36BAD">
        <w:rPr>
          <w:rFonts w:asciiTheme="minorHAnsi" w:hAnsiTheme="minorHAnsi" w:cstheme="minorHAnsi"/>
        </w:rPr>
        <w:t xml:space="preserve">ahtjeva za dostavom informacija o trasama EKI i više od 50 </w:t>
      </w:r>
      <w:r>
        <w:rPr>
          <w:rFonts w:asciiTheme="minorHAnsi" w:hAnsiTheme="minorHAnsi" w:cstheme="minorHAnsi"/>
        </w:rPr>
        <w:t>z</w:t>
      </w:r>
      <w:r w:rsidRPr="00A36BAD">
        <w:rPr>
          <w:rFonts w:asciiTheme="minorHAnsi" w:hAnsiTheme="minorHAnsi" w:cstheme="minorHAnsi"/>
        </w:rPr>
        <w:t xml:space="preserve">ahtjeva za ugovaranjem pristupa i zajedničkog korištenja kabelske kanalizacije, pri čemu navedeni uvjeti moraju biti kumulativno ispunjeni. Nužno je naglasiti da jednom kad se prijeđe definirana kvota te nastane obveza komunikacije isključivo putem B2B neće biti relevantno koliko zahtjeva operator korisnik podnosi u narednim godinama, odnosno HT neće biti u obvezi omogućiti alternativne načine komunikacije tom operatoru korisniku. </w:t>
      </w:r>
    </w:p>
    <w:p w:rsidR="00B82EB2" w:rsidRDefault="00B82EB2" w:rsidP="00B82EB2">
      <w:pPr>
        <w:rPr>
          <w:rFonts w:ascii="Cambria" w:hAnsi="Cambria"/>
          <w:color w:val="4F81BD"/>
          <w:sz w:val="26"/>
          <w:szCs w:val="26"/>
          <w:lang w:eastAsia="hr-HR"/>
        </w:rPr>
      </w:pPr>
      <w:bookmarkStart w:id="635" w:name="_Toc532295353"/>
      <w:bookmarkStart w:id="636" w:name="_Toc532295417"/>
      <w:bookmarkStart w:id="637" w:name="_Toc532298091"/>
      <w:bookmarkStart w:id="638" w:name="_Toc353364063"/>
      <w:bookmarkStart w:id="639" w:name="_Toc414013834"/>
      <w:bookmarkStart w:id="640" w:name="_Toc420665697"/>
      <w:bookmarkStart w:id="641" w:name="_Toc11834479"/>
      <w:bookmarkEnd w:id="635"/>
      <w:bookmarkEnd w:id="636"/>
      <w:bookmarkEnd w:id="637"/>
      <w:r>
        <w:br w:type="page"/>
      </w:r>
    </w:p>
    <w:p w:rsidR="00B82EB2" w:rsidRPr="00E970CD" w:rsidRDefault="00B82EB2" w:rsidP="00E970CD">
      <w:pPr>
        <w:pStyle w:val="Heading2"/>
      </w:pPr>
      <w:bookmarkStart w:id="642" w:name="_Toc124928638"/>
      <w:bookmarkStart w:id="643" w:name="_Toc124946980"/>
      <w:bookmarkStart w:id="644" w:name="_Toc124948890"/>
      <w:bookmarkStart w:id="645" w:name="_Toc124951785"/>
      <w:bookmarkStart w:id="646" w:name="_Ref125566709"/>
      <w:bookmarkStart w:id="647" w:name="_Ref125566738"/>
      <w:bookmarkStart w:id="648" w:name="_Toc125644944"/>
      <w:r w:rsidRPr="00E970CD">
        <w:t>Obveza pristupa i korištenje posebnih mrežnih sastavnica i povezane opreme</w:t>
      </w:r>
      <w:bookmarkEnd w:id="638"/>
      <w:bookmarkEnd w:id="639"/>
      <w:bookmarkEnd w:id="640"/>
      <w:bookmarkEnd w:id="641"/>
      <w:bookmarkEnd w:id="642"/>
      <w:bookmarkEnd w:id="643"/>
      <w:bookmarkEnd w:id="644"/>
      <w:bookmarkEnd w:id="645"/>
      <w:bookmarkEnd w:id="646"/>
      <w:bookmarkEnd w:id="647"/>
      <w:bookmarkEnd w:id="648"/>
    </w:p>
    <w:p w:rsidR="00B82EB2" w:rsidRDefault="00B82EB2" w:rsidP="00B82EB2">
      <w:pPr>
        <w:spacing w:after="200"/>
        <w:jc w:val="both"/>
        <w:rPr>
          <w:rFonts w:eastAsia="Calibri"/>
        </w:rPr>
      </w:pPr>
      <w:r>
        <w:rPr>
          <w:rFonts w:eastAsia="Calibri"/>
        </w:rPr>
        <w:t xml:space="preserve">Sukladno odredbama članka 101. i 106. ZEK-a, </w:t>
      </w:r>
      <w:r w:rsidRPr="00B6263A">
        <w:rPr>
          <w:rFonts w:eastAsia="Calibri"/>
        </w:rPr>
        <w:t xml:space="preserve">HAKOM može odrediti operatoru obvezu udovoljavanja opravdanim zahtjevima za pristup i korištenje </w:t>
      </w:r>
      <w:r w:rsidRPr="000F756D">
        <w:rPr>
          <w:rFonts w:eastAsia="Calibri"/>
        </w:rPr>
        <w:t>posebnih mrežn</w:t>
      </w:r>
      <w:r>
        <w:rPr>
          <w:rFonts w:eastAsia="Calibri"/>
        </w:rPr>
        <w:t>ih sastavnica i povezane opreme,</w:t>
      </w:r>
      <w:r w:rsidRPr="00B6263A">
        <w:rPr>
          <w:rFonts w:eastAsia="Calibri"/>
        </w:rPr>
        <w:t xml:space="preserve"> </w:t>
      </w:r>
      <w:r w:rsidRPr="00B7569C">
        <w:rPr>
          <w:rFonts w:eastAsia="Calibri"/>
        </w:rPr>
        <w:t xml:space="preserve">ako smatra </w:t>
      </w:r>
      <w:r w:rsidRPr="000F756D">
        <w:rPr>
          <w:rFonts w:eastAsia="Calibri"/>
        </w:rPr>
        <w:t>da bi uskraćivanje pristupa ili kakvo drugo neprihvatljivo uvjetovanje ili ograničenje sličnoga učinka spriječilo razvoj održivoga tržišnog natjecanja na maloprodajnoj razini te ne bi bilo u interesu krajnjih korisnika.</w:t>
      </w:r>
    </w:p>
    <w:p w:rsidR="00B82EB2" w:rsidRPr="00A36BAD" w:rsidRDefault="00B82EB2" w:rsidP="00B82EB2">
      <w:pPr>
        <w:spacing w:after="200"/>
        <w:jc w:val="both"/>
        <w:rPr>
          <w:rFonts w:eastAsia="Calibri"/>
        </w:rPr>
      </w:pPr>
      <w:r w:rsidRPr="00B6263A">
        <w:rPr>
          <w:rFonts w:eastAsia="Calibri"/>
        </w:rPr>
        <w:t xml:space="preserve">HAKOM smatra, a kao što je </w:t>
      </w:r>
      <w:r w:rsidRPr="00C3612B">
        <w:rPr>
          <w:rFonts w:eastAsia="Calibri"/>
        </w:rPr>
        <w:t xml:space="preserve">opisano u poglavlju </w:t>
      </w:r>
      <w:r w:rsidR="0007047F">
        <w:rPr>
          <w:rFonts w:eastAsia="Calibri"/>
        </w:rPr>
        <w:fldChar w:fldCharType="begin"/>
      </w:r>
      <w:r w:rsidR="0007047F">
        <w:rPr>
          <w:rFonts w:eastAsia="Calibri"/>
        </w:rPr>
        <w:instrText xml:space="preserve"> REF _Ref125566339 \r \h </w:instrText>
      </w:r>
      <w:r w:rsidR="0007047F">
        <w:rPr>
          <w:rFonts w:eastAsia="Calibri"/>
        </w:rPr>
      </w:r>
      <w:r w:rsidR="0007047F">
        <w:rPr>
          <w:rFonts w:eastAsia="Calibri"/>
        </w:rPr>
        <w:fldChar w:fldCharType="separate"/>
      </w:r>
      <w:r w:rsidR="0007047F">
        <w:rPr>
          <w:rFonts w:eastAsia="Calibri"/>
        </w:rPr>
        <w:t>7.1</w:t>
      </w:r>
      <w:r w:rsidR="0007047F">
        <w:rPr>
          <w:rFonts w:eastAsia="Calibri"/>
        </w:rPr>
        <w:fldChar w:fldCharType="end"/>
      </w:r>
      <w:r w:rsidR="0007047F">
        <w:rPr>
          <w:rFonts w:eastAsia="Calibri"/>
        </w:rPr>
        <w:t xml:space="preserve"> </w:t>
      </w:r>
      <w:r w:rsidRPr="00C3612B">
        <w:rPr>
          <w:rFonts w:eastAsia="Calibri"/>
        </w:rPr>
        <w:t>ovog dokumenta,</w:t>
      </w:r>
      <w:r w:rsidRPr="00B6263A">
        <w:rPr>
          <w:rFonts w:eastAsia="Calibri"/>
        </w:rPr>
        <w:t xml:space="preserve"> da bi uskraćivanje pristupa ili bilo koje drugo neprihvatljivo uvjetovanje ili ograničenje sličnog učinka</w:t>
      </w:r>
      <w:r>
        <w:rPr>
          <w:rFonts w:eastAsia="Calibri"/>
        </w:rPr>
        <w:t>,</w:t>
      </w:r>
      <w:r w:rsidRPr="00B6263A">
        <w:rPr>
          <w:rFonts w:eastAsia="Calibri"/>
        </w:rPr>
        <w:t xml:space="preserve"> spriječilo održivo tržišno natjecanje na maloprodajnoj razini te bi bilo protivno interesima krajnjih korisnika usluga.</w:t>
      </w:r>
      <w:r>
        <w:rPr>
          <w:rFonts w:eastAsia="Calibri"/>
        </w:rPr>
        <w:t xml:space="preserve"> </w:t>
      </w:r>
      <w:r w:rsidRPr="00461C81">
        <w:rPr>
          <w:rFonts w:eastAsia="Calibri"/>
        </w:rPr>
        <w:t xml:space="preserve">Stoga, HAKOM je ocijenio potrebnim odrediti regulatornu obvezu pristupa i korištenja posebnih dijelova mreže kako bi se spriječilo narušavanje ili ograničavanje tržišnog natjecanja, odnosno onemogućilo potencijalno uvjetovanje ili uskraćivanje pristupa mreži putem postavljanja </w:t>
      </w:r>
      <w:r w:rsidRPr="00A36BAD">
        <w:rPr>
          <w:rFonts w:eastAsia="Calibri"/>
        </w:rPr>
        <w:t xml:space="preserve">neopravdanih zahtjeva. </w:t>
      </w:r>
    </w:p>
    <w:p w:rsidR="00B82EB2" w:rsidRDefault="00B82EB2" w:rsidP="00B82EB2">
      <w:pPr>
        <w:jc w:val="both"/>
        <w:rPr>
          <w:rFonts w:eastAsia="Calibri"/>
        </w:rPr>
      </w:pPr>
      <w:r w:rsidRPr="00A36BAD">
        <w:t xml:space="preserve">Slijedom navedenog, HAKOM smatra da je regulatorna obveza pristupa i korištenja posebnih mrežnih sastavnica i povezane opreme osnovna regulatorna obveza koju je potrebno odrediti operatoru sa značajnom tržišnom snagom na predmetnim mjerodavnim tržištima. </w:t>
      </w:r>
      <w:r w:rsidRPr="00A36BAD">
        <w:rPr>
          <w:rFonts w:eastAsia="Calibri"/>
        </w:rPr>
        <w:t xml:space="preserve">Naime, </w:t>
      </w:r>
      <w:r w:rsidRPr="00A36BAD">
        <w:rPr>
          <w:rFonts w:eastAsia="Calibri" w:cs="Calibri"/>
        </w:rPr>
        <w:t>HT posjeduje elektroničku komunikacijsku mrežu, koju nije lako replicirati u razdoblju na koje se odnosi analiza te je obveza pristupa potrebna kako bi se onemogućilo HT da prenese svoju značajnu tržišnu moć na povezan</w:t>
      </w:r>
      <w:r>
        <w:rPr>
          <w:rFonts w:eastAsia="Calibri" w:cs="Calibri"/>
        </w:rPr>
        <w:t xml:space="preserve">a </w:t>
      </w:r>
      <w:r w:rsidRPr="00A36BAD">
        <w:rPr>
          <w:rFonts w:eastAsia="Calibri" w:cs="Calibri"/>
        </w:rPr>
        <w:t>maloprodajn</w:t>
      </w:r>
      <w:r>
        <w:rPr>
          <w:rFonts w:eastAsia="Calibri" w:cs="Calibri"/>
        </w:rPr>
        <w:t>a</w:t>
      </w:r>
      <w:r w:rsidRPr="00A36BAD">
        <w:rPr>
          <w:rFonts w:eastAsia="Calibri" w:cs="Calibri"/>
        </w:rPr>
        <w:t xml:space="preserve"> tržišt</w:t>
      </w:r>
      <w:r>
        <w:rPr>
          <w:rFonts w:eastAsia="Calibri" w:cs="Calibri"/>
        </w:rPr>
        <w:t>a</w:t>
      </w:r>
      <w:r w:rsidRPr="00A36BAD">
        <w:rPr>
          <w:rFonts w:eastAsia="Calibri"/>
        </w:rPr>
        <w:t xml:space="preserve">. </w:t>
      </w:r>
      <w:r w:rsidRPr="00A36BAD">
        <w:t>Stoga</w:t>
      </w:r>
      <w:r w:rsidRPr="0071620F">
        <w:t xml:space="preserve">, kako bi se izbjeglo ponašanje operatora sa značajnom tržišnom snagom definirano u poglavlju </w:t>
      </w:r>
      <w:r w:rsidR="0007047F">
        <w:fldChar w:fldCharType="begin"/>
      </w:r>
      <w:r w:rsidR="0007047F">
        <w:instrText xml:space="preserve"> REF _Ref125566365 \r \h </w:instrText>
      </w:r>
      <w:r w:rsidR="0007047F">
        <w:fldChar w:fldCharType="separate"/>
      </w:r>
      <w:r w:rsidR="0007047F">
        <w:t>7.1</w:t>
      </w:r>
      <w:r w:rsidR="0007047F">
        <w:fldChar w:fldCharType="end"/>
      </w:r>
      <w:r w:rsidR="0007047F">
        <w:t xml:space="preserve"> </w:t>
      </w:r>
      <w:r w:rsidRPr="0071620F">
        <w:t xml:space="preserve">i poglavlju </w:t>
      </w:r>
      <w:r w:rsidR="0007047F">
        <w:fldChar w:fldCharType="begin"/>
      </w:r>
      <w:r w:rsidR="0007047F">
        <w:instrText xml:space="preserve"> REF _Ref125566379 \r \h </w:instrText>
      </w:r>
      <w:r w:rsidR="0007047F">
        <w:fldChar w:fldCharType="separate"/>
      </w:r>
      <w:r w:rsidR="0007047F">
        <w:t>7.2.2</w:t>
      </w:r>
      <w:r w:rsidR="0007047F">
        <w:fldChar w:fldCharType="end"/>
      </w:r>
      <w:r w:rsidRPr="0071620F">
        <w:t>. ovog dokumenta</w:t>
      </w:r>
      <w:r w:rsidRPr="0071620F">
        <w:rPr>
          <w:rFonts w:eastAsia="Calibri"/>
        </w:rPr>
        <w:t xml:space="preserve">, HAKOM određuje, odnosno zadržava HT-u regulatornu obvezu pristupa i korištenja posebnih dijelova mreže i pripadajuće infrastrukture. </w:t>
      </w:r>
    </w:p>
    <w:p w:rsidR="00B82EB2" w:rsidRDefault="00B82EB2" w:rsidP="00B82EB2">
      <w:pPr>
        <w:jc w:val="both"/>
        <w:rPr>
          <w:rFonts w:eastAsia="Calibri"/>
        </w:rPr>
      </w:pPr>
    </w:p>
    <w:p w:rsidR="00B82EB2" w:rsidRDefault="00B82EB2" w:rsidP="00B82EB2">
      <w:pPr>
        <w:jc w:val="both"/>
        <w:rPr>
          <w:rFonts w:eastAsia="Calibri"/>
        </w:rPr>
      </w:pPr>
      <w:r w:rsidRPr="00B6263A">
        <w:rPr>
          <w:rFonts w:eastAsia="Calibri"/>
        </w:rPr>
        <w:t xml:space="preserve">U okviru određivanja navedene obveze, a u </w:t>
      </w:r>
      <w:r w:rsidRPr="00C3612B">
        <w:rPr>
          <w:rFonts w:eastAsia="Calibri"/>
        </w:rPr>
        <w:t xml:space="preserve">skladu s člankom </w:t>
      </w:r>
      <w:r>
        <w:rPr>
          <w:rFonts w:eastAsia="Calibri"/>
        </w:rPr>
        <w:t>106</w:t>
      </w:r>
      <w:r w:rsidRPr="00C3612B">
        <w:rPr>
          <w:rFonts w:eastAsia="Calibri"/>
        </w:rPr>
        <w:t>. stavkom 3. ZEK-a, HAKOM</w:t>
      </w:r>
      <w:r w:rsidRPr="00B6263A">
        <w:rPr>
          <w:rFonts w:eastAsia="Calibri"/>
        </w:rPr>
        <w:t xml:space="preserve"> određuje HT-u sljedeće:</w:t>
      </w:r>
    </w:p>
    <w:p w:rsidR="00B82EB2" w:rsidRPr="00B6263A" w:rsidRDefault="00B82EB2" w:rsidP="00B82EB2">
      <w:pPr>
        <w:jc w:val="both"/>
        <w:rPr>
          <w:rFonts w:eastAsia="Calibri"/>
        </w:rPr>
      </w:pPr>
    </w:p>
    <w:p w:rsidR="00B82EB2" w:rsidRDefault="00B82EB2" w:rsidP="00766501">
      <w:pPr>
        <w:numPr>
          <w:ilvl w:val="0"/>
          <w:numId w:val="25"/>
        </w:numPr>
        <w:spacing w:after="200"/>
        <w:jc w:val="both"/>
        <w:rPr>
          <w:rFonts w:eastAsia="Calibri"/>
        </w:rPr>
      </w:pPr>
      <w:r w:rsidRPr="00B6263A">
        <w:rPr>
          <w:rFonts w:eastAsia="Calibri"/>
        </w:rPr>
        <w:t xml:space="preserve">da </w:t>
      </w:r>
      <w:r>
        <w:rPr>
          <w:rFonts w:eastAsia="Calibri"/>
        </w:rPr>
        <w:t>trećim osobama omogući</w:t>
      </w:r>
      <w:r w:rsidRPr="00B6263A">
        <w:rPr>
          <w:rFonts w:eastAsia="Calibri"/>
        </w:rPr>
        <w:t xml:space="preserve"> </w:t>
      </w:r>
    </w:p>
    <w:p w:rsidR="00B82EB2" w:rsidRPr="00374A0C" w:rsidRDefault="00B82EB2" w:rsidP="00766501">
      <w:pPr>
        <w:pStyle w:val="ListParagraph"/>
        <w:numPr>
          <w:ilvl w:val="1"/>
          <w:numId w:val="41"/>
        </w:numPr>
        <w:spacing w:after="200"/>
        <w:contextualSpacing w:val="0"/>
        <w:jc w:val="both"/>
        <w:rPr>
          <w:rFonts w:eastAsia="Calibri"/>
        </w:rPr>
      </w:pPr>
      <w:r w:rsidRPr="00374A0C">
        <w:rPr>
          <w:rFonts w:eastAsia="Calibri"/>
        </w:rPr>
        <w:t xml:space="preserve">izdvojeni pristup lokalnoj petlji na temelju bakrene parice </w:t>
      </w:r>
      <w:r w:rsidRPr="00374A0C">
        <w:t>na tržištu malog kapaciteta</w:t>
      </w:r>
    </w:p>
    <w:p w:rsidR="00B82EB2" w:rsidRPr="00374A0C" w:rsidRDefault="00B82EB2" w:rsidP="00766501">
      <w:pPr>
        <w:pStyle w:val="ListParagraph"/>
        <w:numPr>
          <w:ilvl w:val="1"/>
          <w:numId w:val="41"/>
        </w:numPr>
        <w:spacing w:after="200"/>
        <w:contextualSpacing w:val="0"/>
        <w:jc w:val="both"/>
        <w:rPr>
          <w:rFonts w:eastAsia="Calibri"/>
        </w:rPr>
      </w:pPr>
      <w:r w:rsidRPr="00374A0C">
        <w:rPr>
          <w:rFonts w:eastAsia="Calibri"/>
        </w:rPr>
        <w:t xml:space="preserve">pristup pasivnoj pristupnoj svjetlovodnoj mreži (PON FTTH) </w:t>
      </w:r>
      <w:r w:rsidRPr="00374A0C">
        <w:t>na tržištu velikog kapaciteta – nekonkurentna područja</w:t>
      </w:r>
    </w:p>
    <w:p w:rsidR="00B82EB2" w:rsidRPr="00374A0C" w:rsidRDefault="00B82EB2" w:rsidP="00766501">
      <w:pPr>
        <w:pStyle w:val="ListParagraph"/>
        <w:numPr>
          <w:ilvl w:val="1"/>
          <w:numId w:val="41"/>
        </w:numPr>
        <w:spacing w:after="200"/>
        <w:contextualSpacing w:val="0"/>
        <w:jc w:val="both"/>
        <w:rPr>
          <w:rFonts w:eastAsia="Calibri"/>
        </w:rPr>
      </w:pPr>
      <w:r w:rsidRPr="00374A0C">
        <w:rPr>
          <w:rFonts w:eastAsia="Calibri"/>
        </w:rPr>
        <w:t>izdvojeni pristup lokalnoj petlji na temelju svjetlovodnih niti na način poveznica od točke do točke (P2P FTTH) na tržištu velikog kapaciteta – nekonkurentna područja</w:t>
      </w:r>
    </w:p>
    <w:p w:rsidR="00B82EB2" w:rsidRPr="00374A0C" w:rsidRDefault="00B82EB2" w:rsidP="00766501">
      <w:pPr>
        <w:pStyle w:val="ListParagraph"/>
        <w:numPr>
          <w:ilvl w:val="1"/>
          <w:numId w:val="41"/>
        </w:numPr>
        <w:spacing w:after="200"/>
        <w:contextualSpacing w:val="0"/>
        <w:jc w:val="both"/>
        <w:rPr>
          <w:rFonts w:eastAsia="Calibri"/>
        </w:rPr>
      </w:pPr>
      <w:r w:rsidRPr="00374A0C">
        <w:rPr>
          <w:rFonts w:eastAsia="Calibri"/>
        </w:rPr>
        <w:t xml:space="preserve"> te pristup pripadajućim sadržajima potrebnim za navedene usluge</w:t>
      </w:r>
    </w:p>
    <w:p w:rsidR="00B82EB2" w:rsidRPr="00B7569C" w:rsidRDefault="00B82EB2" w:rsidP="00766501">
      <w:pPr>
        <w:numPr>
          <w:ilvl w:val="0"/>
          <w:numId w:val="25"/>
        </w:numPr>
        <w:spacing w:after="200"/>
        <w:jc w:val="both"/>
        <w:rPr>
          <w:rFonts w:eastAsia="Calibri"/>
        </w:rPr>
      </w:pPr>
      <w:r w:rsidRPr="00D40DB0">
        <w:rPr>
          <w:rFonts w:eastAsia="Calibri"/>
        </w:rPr>
        <w:t xml:space="preserve">da s poduzetnicima koji traže pristup pregovara u dobroj vjeri </w:t>
      </w:r>
      <w:r w:rsidRPr="00B7569C">
        <w:rPr>
          <w:rFonts w:eastAsia="Calibri"/>
        </w:rPr>
        <w:t>i, u okviru ove obveze, obvezu</w:t>
      </w:r>
      <w:r>
        <w:rPr>
          <w:rFonts w:eastAsia="Calibri"/>
        </w:rPr>
        <w:t xml:space="preserve"> </w:t>
      </w:r>
      <w:r w:rsidRPr="00B7569C">
        <w:rPr>
          <w:rFonts w:eastAsia="Calibri"/>
        </w:rPr>
        <w:t>odgovora na svaki razuman zahtjev</w:t>
      </w:r>
    </w:p>
    <w:p w:rsidR="00B82EB2" w:rsidRDefault="00B82EB2" w:rsidP="00766501">
      <w:pPr>
        <w:numPr>
          <w:ilvl w:val="0"/>
          <w:numId w:val="25"/>
        </w:numPr>
        <w:spacing w:after="200"/>
        <w:jc w:val="both"/>
        <w:rPr>
          <w:rFonts w:eastAsia="Calibri"/>
        </w:rPr>
      </w:pPr>
      <w:r w:rsidRPr="007612C7">
        <w:rPr>
          <w:rFonts w:eastAsia="Calibri"/>
        </w:rPr>
        <w:t>da ne ukida već odobreni pristup opremi</w:t>
      </w:r>
    </w:p>
    <w:p w:rsidR="00B82EB2" w:rsidRPr="00B7569C" w:rsidRDefault="00B82EB2" w:rsidP="00766501">
      <w:pPr>
        <w:numPr>
          <w:ilvl w:val="0"/>
          <w:numId w:val="25"/>
        </w:numPr>
        <w:spacing w:after="200"/>
        <w:jc w:val="both"/>
        <w:rPr>
          <w:rFonts w:eastAsia="Calibri"/>
        </w:rPr>
      </w:pPr>
      <w:r w:rsidRPr="00B7569C">
        <w:rPr>
          <w:rFonts w:eastAsia="Calibri"/>
        </w:rPr>
        <w:t xml:space="preserve">da odobri otvoreni pristup tehničkim sučeljima, protokolima ili drugim ključnim tehnologijama koje su nužne za </w:t>
      </w:r>
      <w:proofErr w:type="spellStart"/>
      <w:r w:rsidRPr="007D3852">
        <w:rPr>
          <w:rFonts w:eastAsia="Calibri"/>
        </w:rPr>
        <w:t>interoperabilnost</w:t>
      </w:r>
      <w:proofErr w:type="spellEnd"/>
      <w:r w:rsidRPr="007D3852">
        <w:rPr>
          <w:rFonts w:eastAsia="Calibri"/>
        </w:rPr>
        <w:t xml:space="preserve"> </w:t>
      </w:r>
      <w:r w:rsidRPr="00B7569C">
        <w:rPr>
          <w:rFonts w:eastAsia="Calibri"/>
        </w:rPr>
        <w:t>usluga</w:t>
      </w:r>
    </w:p>
    <w:p w:rsidR="00B82EB2" w:rsidRDefault="00B82EB2" w:rsidP="00766501">
      <w:pPr>
        <w:numPr>
          <w:ilvl w:val="0"/>
          <w:numId w:val="25"/>
        </w:numPr>
        <w:spacing w:after="200"/>
        <w:jc w:val="both"/>
        <w:rPr>
          <w:rFonts w:eastAsia="Calibri"/>
        </w:rPr>
      </w:pPr>
      <w:r w:rsidRPr="00122B3F">
        <w:rPr>
          <w:rFonts w:eastAsia="Calibri"/>
        </w:rPr>
        <w:t xml:space="preserve">da omoguće </w:t>
      </w:r>
      <w:proofErr w:type="spellStart"/>
      <w:r w:rsidRPr="00122B3F">
        <w:rPr>
          <w:rFonts w:eastAsia="Calibri"/>
        </w:rPr>
        <w:t>kolokaciju</w:t>
      </w:r>
      <w:proofErr w:type="spellEnd"/>
      <w:r w:rsidRPr="00122B3F">
        <w:rPr>
          <w:rFonts w:eastAsia="Calibri"/>
        </w:rPr>
        <w:t xml:space="preserve"> ili druge oblike zajedničkog korištenja povezane opreme</w:t>
      </w:r>
    </w:p>
    <w:p w:rsidR="00B82EB2" w:rsidRPr="00B7569C" w:rsidRDefault="00B82EB2" w:rsidP="00766501">
      <w:pPr>
        <w:numPr>
          <w:ilvl w:val="0"/>
          <w:numId w:val="25"/>
        </w:numPr>
        <w:spacing w:after="200"/>
        <w:jc w:val="both"/>
        <w:rPr>
          <w:rFonts w:eastAsia="Calibri"/>
        </w:rPr>
      </w:pPr>
      <w:r w:rsidRPr="00B7569C">
        <w:rPr>
          <w:rFonts w:eastAsia="Calibri"/>
        </w:rPr>
        <w:t xml:space="preserve">da omogući pristup </w:t>
      </w:r>
      <w:r w:rsidRPr="00D40DB0">
        <w:rPr>
          <w:rFonts w:eastAsia="Calibri"/>
        </w:rPr>
        <w:t>sustavima za operativnu potporu ili sličnim programskim sustavima nužnima za osiguravanje pravednoga tržišnog natjecanja u pružanju usluga</w:t>
      </w:r>
      <w:r>
        <w:rPr>
          <w:rFonts w:eastAsia="Calibri"/>
        </w:rPr>
        <w:t>.</w:t>
      </w:r>
    </w:p>
    <w:p w:rsidR="00B82EB2" w:rsidRDefault="00B82EB2" w:rsidP="00B82EB2">
      <w:pPr>
        <w:spacing w:after="200"/>
        <w:jc w:val="both"/>
        <w:rPr>
          <w:rFonts w:eastAsia="Calibri"/>
        </w:rPr>
      </w:pPr>
      <w:r>
        <w:rPr>
          <w:rFonts w:eastAsia="Calibri"/>
        </w:rPr>
        <w:t xml:space="preserve">U nastavku u navedene obveze detaljnije pojašnjene. </w:t>
      </w:r>
      <w:r w:rsidRPr="00C3612B">
        <w:rPr>
          <w:rFonts w:eastAsia="Calibri"/>
        </w:rPr>
        <w:t xml:space="preserve">HAKOM je, pri određivanju obveza iz članka </w:t>
      </w:r>
      <w:r>
        <w:rPr>
          <w:rFonts w:eastAsia="Calibri"/>
        </w:rPr>
        <w:t>106</w:t>
      </w:r>
      <w:r w:rsidRPr="00C3612B">
        <w:rPr>
          <w:rFonts w:eastAsia="Calibri"/>
        </w:rPr>
        <w:t xml:space="preserve">. stavka 3. ZEK-a u okviru obveze pristupa, vodio računa da navedene obveze budu razmjerne regulatornim načelima i ciljevima iz članka </w:t>
      </w:r>
      <w:r>
        <w:rPr>
          <w:rFonts w:eastAsia="Calibri"/>
        </w:rPr>
        <w:t>7</w:t>
      </w:r>
      <w:r w:rsidRPr="00C3612B">
        <w:rPr>
          <w:rFonts w:eastAsia="Calibri"/>
        </w:rPr>
        <w:t>. ZEK-a</w:t>
      </w:r>
      <w:r>
        <w:rPr>
          <w:rFonts w:eastAsia="Calibri"/>
        </w:rPr>
        <w:t>,</w:t>
      </w:r>
      <w:r w:rsidRPr="00C3612B">
        <w:rPr>
          <w:rFonts w:eastAsia="Calibri"/>
        </w:rPr>
        <w:t xml:space="preserve"> odnosno vodio je računa o kriterijima koju su navedeni u članku 61. stavku 5. ZEK-a</w:t>
      </w:r>
      <w:r w:rsidRPr="00755F4F">
        <w:rPr>
          <w:rFonts w:eastAsia="Calibri"/>
        </w:rPr>
        <w:t>. Naime, HAKOM smatra kako su, s obzirom na stupanj razvoja tržišta, veleprodajne usluge i s njima povezane obveze, tehnički i gospodarski u potpunosti izvedive, uzimajući u obzir raspoložive kapacitete pristupnog operatora.</w:t>
      </w:r>
      <w:r w:rsidRPr="00B6263A">
        <w:rPr>
          <w:rFonts w:eastAsia="Calibri"/>
        </w:rPr>
        <w:t xml:space="preserve"> </w:t>
      </w:r>
    </w:p>
    <w:p w:rsidR="00B82EB2" w:rsidRPr="00DA0808" w:rsidRDefault="00B82EB2" w:rsidP="00B82EB2">
      <w:pPr>
        <w:pStyle w:val="NormalWeb"/>
        <w:spacing w:before="0" w:beforeAutospacing="0" w:after="0" w:afterAutospacing="0"/>
        <w:jc w:val="both"/>
        <w:rPr>
          <w:rFonts w:ascii="Calibri" w:hAnsi="Calibri"/>
        </w:rPr>
      </w:pPr>
      <w:r w:rsidRPr="00DA0808">
        <w:rPr>
          <w:rFonts w:ascii="Calibri" w:hAnsi="Calibri"/>
        </w:rPr>
        <w:t xml:space="preserve">U cilju rješavanja problema opisanih u poglavlju </w:t>
      </w:r>
      <w:r w:rsidR="0007047F">
        <w:rPr>
          <w:rFonts w:ascii="Calibri" w:hAnsi="Calibri"/>
        </w:rPr>
        <w:fldChar w:fldCharType="begin"/>
      </w:r>
      <w:r w:rsidR="0007047F">
        <w:rPr>
          <w:rFonts w:ascii="Calibri" w:hAnsi="Calibri"/>
        </w:rPr>
        <w:instrText xml:space="preserve"> REF _Ref125566398 \r \h </w:instrText>
      </w:r>
      <w:r w:rsidR="0007047F">
        <w:rPr>
          <w:rFonts w:ascii="Calibri" w:hAnsi="Calibri"/>
        </w:rPr>
      </w:r>
      <w:r w:rsidR="0007047F">
        <w:rPr>
          <w:rFonts w:ascii="Calibri" w:hAnsi="Calibri"/>
        </w:rPr>
        <w:fldChar w:fldCharType="separate"/>
      </w:r>
      <w:r w:rsidR="0007047F">
        <w:rPr>
          <w:rFonts w:ascii="Calibri" w:hAnsi="Calibri"/>
        </w:rPr>
        <w:t>7.1</w:t>
      </w:r>
      <w:r w:rsidR="0007047F">
        <w:rPr>
          <w:rFonts w:ascii="Calibri" w:hAnsi="Calibri"/>
        </w:rPr>
        <w:fldChar w:fldCharType="end"/>
      </w:r>
      <w:r w:rsidR="0007047F">
        <w:rPr>
          <w:rFonts w:ascii="Calibri" w:hAnsi="Calibri"/>
        </w:rPr>
        <w:t xml:space="preserve"> </w:t>
      </w:r>
      <w:r w:rsidRPr="00DA0808">
        <w:rPr>
          <w:rFonts w:ascii="Calibri" w:hAnsi="Calibri"/>
        </w:rPr>
        <w:t xml:space="preserve">ovog dokumenta, a u skladu s člankom 61. stavkom 3. alinejom 1. ZEK-a, HAKOM određuje HT-u obvezu da drugim operatorima, putem odgovarajućeg tehničkog rješenja, pruža: </w:t>
      </w:r>
    </w:p>
    <w:p w:rsidR="00B82EB2" w:rsidRPr="00DA0808" w:rsidRDefault="00B82EB2" w:rsidP="00B82EB2">
      <w:pPr>
        <w:pStyle w:val="NormalWeb"/>
        <w:spacing w:before="0" w:beforeAutospacing="0" w:after="0" w:afterAutospacing="0"/>
        <w:jc w:val="both"/>
        <w:rPr>
          <w:rFonts w:ascii="Calibri" w:hAnsi="Calibri"/>
        </w:rPr>
      </w:pPr>
    </w:p>
    <w:p w:rsidR="00B82EB2" w:rsidRPr="00DA0808" w:rsidRDefault="00B82EB2" w:rsidP="00766501">
      <w:pPr>
        <w:numPr>
          <w:ilvl w:val="0"/>
          <w:numId w:val="25"/>
        </w:numPr>
        <w:spacing w:after="200"/>
        <w:jc w:val="both"/>
        <w:rPr>
          <w:rFonts w:eastAsia="Calibri"/>
        </w:rPr>
      </w:pPr>
      <w:r w:rsidRPr="00DA0808">
        <w:rPr>
          <w:rFonts w:eastAsia="Calibri"/>
        </w:rPr>
        <w:t xml:space="preserve">izdvojeni pristup lokalnoj petlji na temelju bakrene parice </w:t>
      </w:r>
      <w:r w:rsidRPr="00DA0808">
        <w:t>na tržištu malog kapaciteta</w:t>
      </w:r>
    </w:p>
    <w:p w:rsidR="00B82EB2" w:rsidRPr="00DA0808" w:rsidRDefault="00B82EB2" w:rsidP="00766501">
      <w:pPr>
        <w:numPr>
          <w:ilvl w:val="0"/>
          <w:numId w:val="25"/>
        </w:numPr>
        <w:spacing w:after="200"/>
        <w:jc w:val="both"/>
        <w:rPr>
          <w:rFonts w:eastAsia="Calibri"/>
        </w:rPr>
      </w:pPr>
      <w:r w:rsidRPr="00DA0808">
        <w:rPr>
          <w:rFonts w:eastAsia="Calibri"/>
        </w:rPr>
        <w:t xml:space="preserve">pristup pasivnoj pristupnoj svjetlovodnoj mreži (PON FTTH) </w:t>
      </w:r>
      <w:r w:rsidRPr="00DA0808">
        <w:t>na tržištu velikog kapaciteta – nekonkurentna područja</w:t>
      </w:r>
    </w:p>
    <w:p w:rsidR="00B82EB2" w:rsidRPr="00DA0808" w:rsidRDefault="00B82EB2" w:rsidP="00766501">
      <w:pPr>
        <w:numPr>
          <w:ilvl w:val="0"/>
          <w:numId w:val="25"/>
        </w:numPr>
        <w:spacing w:after="200"/>
        <w:jc w:val="both"/>
        <w:rPr>
          <w:rFonts w:eastAsia="Calibri"/>
        </w:rPr>
      </w:pPr>
      <w:r w:rsidRPr="00DA0808">
        <w:rPr>
          <w:rFonts w:eastAsia="Calibri"/>
        </w:rPr>
        <w:t xml:space="preserve">izdvojeni pristup lokalnoj petlji na temelju svjetlovodnih niti na način poveznica od točke do točke (P2P FTTH) </w:t>
      </w:r>
      <w:r w:rsidRPr="00DA0808">
        <w:t>na tržištu velikog kapaciteta – nekonkurentna područja</w:t>
      </w:r>
      <w:r w:rsidRPr="00DA0808">
        <w:rPr>
          <w:rFonts w:eastAsia="Calibri"/>
        </w:rPr>
        <w:t>.</w:t>
      </w: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 xml:space="preserve">Izdvojeni pristup lokalnoj petlji na temelju bakrene parice </w:t>
      </w:r>
    </w:p>
    <w:p w:rsidR="00B82EB2" w:rsidRPr="00315BDC" w:rsidRDefault="00B82EB2" w:rsidP="00B82EB2">
      <w:pPr>
        <w:pStyle w:val="NormalWeb"/>
        <w:spacing w:before="0" w:beforeAutospacing="0" w:after="0" w:afterAutospacing="0"/>
        <w:jc w:val="both"/>
        <w:rPr>
          <w:rFonts w:ascii="Cambria" w:hAnsi="Cambria"/>
          <w:i/>
          <w:iCs/>
          <w:color w:val="4F81BD"/>
          <w:spacing w:val="15"/>
        </w:rPr>
      </w:pPr>
    </w:p>
    <w:p w:rsidR="00B82EB2" w:rsidRPr="000A6F2B" w:rsidRDefault="00B82EB2" w:rsidP="00B82EB2">
      <w:pPr>
        <w:spacing w:after="200"/>
        <w:jc w:val="both"/>
      </w:pPr>
      <w:r w:rsidRPr="00DE4E72">
        <w:rPr>
          <w:lang w:eastAsia="hr-HR"/>
        </w:rPr>
        <w:t>Izdvojeni pristup lokalnoj petlji na temelju bakrene parice</w:t>
      </w:r>
      <w:r>
        <w:rPr>
          <w:i/>
          <w:lang w:eastAsia="hr-HR"/>
        </w:rPr>
        <w:t xml:space="preserve"> </w:t>
      </w:r>
      <w:r w:rsidRPr="00AF4DAB">
        <w:rPr>
          <w:i/>
          <w:lang w:eastAsia="hr-HR"/>
        </w:rPr>
        <w:t>(</w:t>
      </w:r>
      <w:proofErr w:type="spellStart"/>
      <w:r>
        <w:t>eng</w:t>
      </w:r>
      <w:proofErr w:type="spellEnd"/>
      <w:r w:rsidRPr="00DC7C11">
        <w:rPr>
          <w:i/>
        </w:rPr>
        <w:t xml:space="preserve">. </w:t>
      </w:r>
      <w:proofErr w:type="spellStart"/>
      <w:r w:rsidRPr="00DC7C11">
        <w:rPr>
          <w:i/>
        </w:rPr>
        <w:t>copper</w:t>
      </w:r>
      <w:proofErr w:type="spellEnd"/>
      <w:r w:rsidRPr="00DC7C11">
        <w:rPr>
          <w:i/>
        </w:rPr>
        <w:t xml:space="preserve"> LLU</w:t>
      </w:r>
      <w:r>
        <w:t xml:space="preserve">) </w:t>
      </w:r>
      <w:r w:rsidRPr="000A6F2B">
        <w:t xml:space="preserve">HT mora omogućiti na MDF-u. </w:t>
      </w: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 xml:space="preserve">Pristup pasivnoj pristupnoj svjetlovodnoj mreži (PON FTTH) </w:t>
      </w:r>
    </w:p>
    <w:p w:rsidR="00B82EB2" w:rsidRPr="00315BDC"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pStyle w:val="NormalWeb"/>
        <w:spacing w:before="0" w:beforeAutospacing="0" w:after="0" w:afterAutospacing="0"/>
        <w:jc w:val="both"/>
        <w:rPr>
          <w:rFonts w:ascii="Calibri" w:eastAsia="Calibri" w:hAnsi="Calibri" w:cs="Calibri"/>
        </w:rPr>
      </w:pPr>
      <w:r w:rsidRPr="00D93749">
        <w:rPr>
          <w:rFonts w:ascii="Calibri" w:eastAsia="Calibri" w:hAnsi="Calibri" w:cs="Calibri"/>
        </w:rPr>
        <w:t xml:space="preserve">Pristup pasivnoj pristupnoj svjetlovodnoj mreži (PON FTTH) na OLT-u HT je obvezan omogućiti operatoru primjenom tehnološkog rješenja virtualnog izdvojenog pristupa lokalnoj petlji (VULA). VULA predstavlja uslugu koja </w:t>
      </w:r>
      <w:r>
        <w:rPr>
          <w:rFonts w:ascii="Calibri" w:eastAsia="Calibri" w:hAnsi="Calibri" w:cs="Calibri"/>
        </w:rPr>
        <w:t>odgovara</w:t>
      </w:r>
      <w:r w:rsidRPr="00D93749">
        <w:rPr>
          <w:rFonts w:ascii="Calibri" w:eastAsia="Calibri" w:hAnsi="Calibri" w:cs="Calibri"/>
        </w:rPr>
        <w:t xml:space="preserve"> </w:t>
      </w:r>
      <w:r w:rsidRPr="001120BA">
        <w:rPr>
          <w:rFonts w:ascii="Calibri" w:eastAsia="Calibri" w:hAnsi="Calibri" w:cs="Calibri"/>
          <w:i/>
        </w:rPr>
        <w:t xml:space="preserve">bitstream </w:t>
      </w:r>
      <w:r w:rsidRPr="00D93749">
        <w:rPr>
          <w:rFonts w:ascii="Calibri" w:eastAsia="Calibri" w:hAnsi="Calibri" w:cs="Calibri"/>
        </w:rPr>
        <w:t>usluzi na OLT/DSLAM razini</w:t>
      </w:r>
      <w:r>
        <w:rPr>
          <w:rFonts w:ascii="Calibri" w:eastAsia="Calibri" w:hAnsi="Calibri" w:cs="Calibri"/>
        </w:rPr>
        <w:t xml:space="preserve"> trenutno definiranoj</w:t>
      </w:r>
      <w:r w:rsidRPr="00915637">
        <w:rPr>
          <w:rFonts w:ascii="Calibri" w:eastAsia="Calibri" w:hAnsi="Calibri" w:cs="Calibri"/>
        </w:rPr>
        <w:t xml:space="preserve"> </w:t>
      </w:r>
      <w:r w:rsidRPr="001120BA">
        <w:rPr>
          <w:rFonts w:ascii="Calibri" w:eastAsia="Calibri" w:hAnsi="Calibri" w:cs="Calibri"/>
        </w:rPr>
        <w:t>u Standardnoj ponudi HT-a za uslugu veleprodajnog širokopojasnog pristupa. Isto tako, HAKOM obvezuje HT da mora na razuman zahtjev omogućiti izdvojeni pristup pasivnoj svjetlovodnoj</w:t>
      </w:r>
      <w:r w:rsidRPr="00D93749">
        <w:rPr>
          <w:rFonts w:ascii="Calibri" w:eastAsia="Calibri" w:hAnsi="Calibri" w:cs="Calibri"/>
        </w:rPr>
        <w:t xml:space="preserve"> mreži na lokaciji OLT-a primjenom i drugih tehnoloških rješenja ukoliko ista omogućavaju raspetljavanje lokalne petlje u pasivnoj svjetlovodnoj mreži</w:t>
      </w:r>
      <w:r>
        <w:rPr>
          <w:rFonts w:ascii="Calibri" w:eastAsia="Calibri" w:hAnsi="Calibri" w:cs="Calibri"/>
        </w:rPr>
        <w:t xml:space="preserve">, </w:t>
      </w:r>
      <w:r w:rsidRPr="00D93749">
        <w:rPr>
          <w:rFonts w:ascii="Calibri" w:eastAsia="Calibri" w:hAnsi="Calibri" w:cs="Calibri"/>
        </w:rPr>
        <w:t>primjerice raspetljavanje valnih duljina (</w:t>
      </w:r>
      <w:proofErr w:type="spellStart"/>
      <w:r w:rsidRPr="00A82C32">
        <w:rPr>
          <w:rFonts w:ascii="Calibri" w:eastAsia="Calibri" w:hAnsi="Calibri" w:cs="Calibri"/>
        </w:rPr>
        <w:t>eng</w:t>
      </w:r>
      <w:proofErr w:type="spellEnd"/>
      <w:r w:rsidRPr="009F5DCD">
        <w:rPr>
          <w:rFonts w:ascii="Calibri" w:eastAsia="Calibri" w:hAnsi="Calibri" w:cs="Calibri"/>
          <w:i/>
        </w:rPr>
        <w:t>.</w:t>
      </w:r>
      <w:r w:rsidRPr="00D93749">
        <w:rPr>
          <w:rFonts w:ascii="Calibri" w:eastAsia="Calibri" w:hAnsi="Calibri" w:cs="Calibri"/>
        </w:rPr>
        <w:t xml:space="preserve"> </w:t>
      </w:r>
      <w:proofErr w:type="spellStart"/>
      <w:r w:rsidRPr="003827EF">
        <w:rPr>
          <w:rFonts w:ascii="Calibri" w:eastAsia="Calibri" w:hAnsi="Calibri" w:cs="Calibri"/>
          <w:i/>
        </w:rPr>
        <w:t>wavelength</w:t>
      </w:r>
      <w:proofErr w:type="spellEnd"/>
      <w:r w:rsidRPr="003827EF">
        <w:rPr>
          <w:rFonts w:ascii="Calibri" w:eastAsia="Calibri" w:hAnsi="Calibri" w:cs="Calibri"/>
          <w:i/>
        </w:rPr>
        <w:t xml:space="preserve"> </w:t>
      </w:r>
      <w:proofErr w:type="spellStart"/>
      <w:r w:rsidRPr="003827EF">
        <w:rPr>
          <w:rFonts w:ascii="Calibri" w:eastAsia="Calibri" w:hAnsi="Calibri" w:cs="Calibri"/>
          <w:i/>
        </w:rPr>
        <w:t>unbundling</w:t>
      </w:r>
      <w:proofErr w:type="spellEnd"/>
      <w:r w:rsidRPr="00D93749">
        <w:rPr>
          <w:rFonts w:ascii="Calibri" w:eastAsia="Calibri" w:hAnsi="Calibri" w:cs="Calibri"/>
        </w:rPr>
        <w:t>).</w:t>
      </w:r>
    </w:p>
    <w:p w:rsidR="00B82EB2" w:rsidRPr="00D93749" w:rsidRDefault="00B82EB2" w:rsidP="00B82EB2">
      <w:pPr>
        <w:pStyle w:val="NormalWeb"/>
        <w:spacing w:before="0" w:beforeAutospacing="0" w:after="0" w:afterAutospacing="0"/>
        <w:jc w:val="both"/>
        <w:rPr>
          <w:rFonts w:ascii="Calibri" w:eastAsia="Calibri" w:hAnsi="Calibri" w:cs="Calibri"/>
        </w:rPr>
      </w:pPr>
    </w:p>
    <w:p w:rsidR="00B82EB2" w:rsidRPr="001B67D5" w:rsidRDefault="00B82EB2" w:rsidP="00B82EB2">
      <w:pPr>
        <w:jc w:val="both"/>
        <w:rPr>
          <w:lang w:eastAsia="hr-HR"/>
        </w:rPr>
      </w:pPr>
      <w:r>
        <w:rPr>
          <w:rFonts w:cs="Calibri"/>
        </w:rPr>
        <w:t>Izdvojeni pristup svjetlovodnim nitima HT je obvezan omogućiti u distribucijskom čvoru svjetlovodne distribucijske mreže (</w:t>
      </w:r>
      <w:proofErr w:type="spellStart"/>
      <w:r>
        <w:rPr>
          <w:rFonts w:cs="Calibri"/>
        </w:rPr>
        <w:t>eng</w:t>
      </w:r>
      <w:proofErr w:type="spellEnd"/>
      <w:r>
        <w:rPr>
          <w:rFonts w:cs="Calibri"/>
        </w:rPr>
        <w:t>.</w:t>
      </w:r>
      <w:r>
        <w:rPr>
          <w:rFonts w:cs="Calibri"/>
          <w:i/>
          <w:iCs/>
        </w:rPr>
        <w:t xml:space="preserve"> </w:t>
      </w:r>
      <w:proofErr w:type="spellStart"/>
      <w:r>
        <w:rPr>
          <w:rFonts w:cs="Calibri"/>
          <w:i/>
          <w:iCs/>
        </w:rPr>
        <w:t>fibre</w:t>
      </w:r>
      <w:proofErr w:type="spellEnd"/>
      <w:r>
        <w:rPr>
          <w:rFonts w:cs="Calibri"/>
          <w:i/>
          <w:iCs/>
        </w:rPr>
        <w:t xml:space="preserve"> </w:t>
      </w:r>
      <w:proofErr w:type="spellStart"/>
      <w:r>
        <w:rPr>
          <w:rFonts w:cs="Calibri"/>
          <w:i/>
          <w:iCs/>
        </w:rPr>
        <w:t>access</w:t>
      </w:r>
      <w:proofErr w:type="spellEnd"/>
      <w:r>
        <w:rPr>
          <w:rFonts w:cs="Calibri"/>
          <w:i/>
          <w:iCs/>
        </w:rPr>
        <w:t xml:space="preserve"> – FA)</w:t>
      </w:r>
      <w:r>
        <w:rPr>
          <w:rFonts w:cs="Calibri"/>
        </w:rPr>
        <w:t xml:space="preserve"> za sve svjetlovodne distribucijske mreže </w:t>
      </w:r>
      <w:r w:rsidRPr="001B67D5">
        <w:rPr>
          <w:rFonts w:cs="Calibri"/>
        </w:rPr>
        <w:t>sukladno obvezama propisanim važećim pravilnikom kojim je uređeno pitanje tehničkih i uporabnih uvjeta za svjetlovodne distribucijske mreže</w:t>
      </w:r>
      <w:r w:rsidRPr="001B67D5">
        <w:rPr>
          <w:lang w:eastAsia="hr-HR"/>
        </w:rPr>
        <w:t>.</w:t>
      </w:r>
    </w:p>
    <w:p w:rsidR="00602078" w:rsidRDefault="00602078" w:rsidP="00B82EB2">
      <w:pPr>
        <w:pStyle w:val="NormalWeb"/>
        <w:spacing w:before="0" w:beforeAutospacing="0" w:after="0" w:afterAutospacing="0"/>
        <w:jc w:val="both"/>
        <w:rPr>
          <w:rFonts w:ascii="Cambria" w:hAnsi="Cambria"/>
          <w:i/>
          <w:iCs/>
          <w:color w:val="4F81BD"/>
          <w:spacing w:val="15"/>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Izdvojeni pristup lokalnoj petlji na temelju svjetlovodnih niti na način poveznica od točke do točke (P2P FTTH)</w:t>
      </w:r>
    </w:p>
    <w:p w:rsidR="00B82EB2" w:rsidRPr="00315BDC"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jc w:val="both"/>
        <w:rPr>
          <w:lang w:eastAsia="hr-HR"/>
        </w:rPr>
      </w:pPr>
      <w:r w:rsidRPr="00D93749">
        <w:rPr>
          <w:lang w:eastAsia="hr-HR"/>
        </w:rPr>
        <w:t>Izdvojeni pristup lokalnoj petlji na temelju svjetlovodnih niti (</w:t>
      </w:r>
      <w:proofErr w:type="spellStart"/>
      <w:r w:rsidRPr="00A82C32">
        <w:rPr>
          <w:lang w:eastAsia="hr-HR"/>
        </w:rPr>
        <w:t>eng</w:t>
      </w:r>
      <w:proofErr w:type="spellEnd"/>
      <w:r w:rsidRPr="00A82C32">
        <w:rPr>
          <w:lang w:eastAsia="hr-HR"/>
        </w:rPr>
        <w:t xml:space="preserve">. </w:t>
      </w:r>
      <w:proofErr w:type="spellStart"/>
      <w:r w:rsidRPr="009F5DCD">
        <w:rPr>
          <w:i/>
          <w:lang w:eastAsia="hr-HR"/>
        </w:rPr>
        <w:t>Fibre</w:t>
      </w:r>
      <w:proofErr w:type="spellEnd"/>
      <w:r w:rsidRPr="009F5DCD">
        <w:rPr>
          <w:i/>
          <w:lang w:eastAsia="hr-HR"/>
        </w:rPr>
        <w:t xml:space="preserve"> LLU</w:t>
      </w:r>
      <w:r w:rsidRPr="00D93749">
        <w:rPr>
          <w:lang w:eastAsia="hr-HR"/>
        </w:rPr>
        <w:t xml:space="preserve">) HT mora omogućiti na ODF-u na lokaciji OLT-a (u lokalnoj centrali) ukoliko se svjetlovodna pristupna mreža gradi (postavlja) na principu poveznica od točke do točke (P2P FTTH) te dedicirana nit izravno povezuje centralu tj. OLT i pojedinog krajnjeg korisnika. </w:t>
      </w:r>
    </w:p>
    <w:p w:rsidR="00B82EB2" w:rsidRPr="00D93749" w:rsidRDefault="00B82EB2" w:rsidP="00B82EB2">
      <w:pPr>
        <w:jc w:val="both"/>
        <w:rPr>
          <w:lang w:eastAsia="hr-HR"/>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 xml:space="preserve">Usluga </w:t>
      </w:r>
      <w:proofErr w:type="spellStart"/>
      <w:r w:rsidRPr="00480501">
        <w:rPr>
          <w:rFonts w:ascii="Cambria" w:hAnsi="Cambria"/>
          <w:i/>
          <w:iCs/>
          <w:color w:val="1F3864" w:themeColor="accent1" w:themeShade="80"/>
          <w:spacing w:val="15"/>
        </w:rPr>
        <w:t>kolokacije</w:t>
      </w:r>
      <w:proofErr w:type="spellEnd"/>
      <w:r w:rsidRPr="00480501">
        <w:rPr>
          <w:rFonts w:ascii="Cambria" w:hAnsi="Cambria"/>
          <w:i/>
          <w:iCs/>
          <w:color w:val="1F3864" w:themeColor="accent1" w:themeShade="80"/>
          <w:spacing w:val="15"/>
        </w:rPr>
        <w:t xml:space="preserve"> </w:t>
      </w:r>
    </w:p>
    <w:p w:rsidR="00B82EB2" w:rsidRPr="00315BDC"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pStyle w:val="NormalWeb"/>
        <w:spacing w:before="0" w:beforeAutospacing="0" w:after="0" w:afterAutospacing="0"/>
        <w:jc w:val="both"/>
        <w:rPr>
          <w:rFonts w:ascii="Calibri" w:hAnsi="Calibri"/>
        </w:rPr>
      </w:pPr>
      <w:r w:rsidRPr="006E57C0">
        <w:rPr>
          <w:rFonts w:ascii="Calibri" w:hAnsi="Calibri"/>
        </w:rPr>
        <w:t xml:space="preserve">U skladu s člankom 106. stavkom 3. alinejom 7. ZEK-a, HAKOM određuje HT-u obvezu da mora osigurati </w:t>
      </w:r>
      <w:proofErr w:type="spellStart"/>
      <w:r w:rsidRPr="006E57C0">
        <w:rPr>
          <w:rFonts w:ascii="Calibri" w:hAnsi="Calibri"/>
        </w:rPr>
        <w:t>kolokaciju</w:t>
      </w:r>
      <w:proofErr w:type="spellEnd"/>
      <w:r w:rsidRPr="006E57C0">
        <w:rPr>
          <w:rFonts w:ascii="Calibri" w:hAnsi="Calibri"/>
        </w:rPr>
        <w:t xml:space="preserve"> ili druge oblike zajedničkog korištenja povezane opreme.</w:t>
      </w:r>
    </w:p>
    <w:p w:rsidR="00B82EB2" w:rsidRDefault="00B82EB2" w:rsidP="00B82EB2">
      <w:pPr>
        <w:pStyle w:val="NormalWeb"/>
        <w:spacing w:before="0" w:beforeAutospacing="0" w:after="0" w:afterAutospacing="0"/>
        <w:jc w:val="both"/>
        <w:rPr>
          <w:rFonts w:ascii="Calibri" w:hAnsi="Calibri"/>
        </w:rPr>
      </w:pPr>
    </w:p>
    <w:p w:rsidR="00B82EB2" w:rsidRDefault="00B82EB2" w:rsidP="00B82EB2">
      <w:pPr>
        <w:pStyle w:val="NormalWeb"/>
        <w:spacing w:before="0" w:beforeAutospacing="0" w:after="0" w:afterAutospacing="0"/>
        <w:jc w:val="both"/>
        <w:rPr>
          <w:rFonts w:ascii="Calibri" w:hAnsi="Calibri"/>
        </w:rPr>
      </w:pPr>
      <w:r w:rsidRPr="003A32B4">
        <w:rPr>
          <w:rFonts w:ascii="Calibri" w:hAnsi="Calibri"/>
        </w:rPr>
        <w:t xml:space="preserve">Naime, s obzirom da je usluga </w:t>
      </w:r>
      <w:proofErr w:type="spellStart"/>
      <w:r w:rsidRPr="003A32B4">
        <w:rPr>
          <w:rFonts w:ascii="Calibri" w:hAnsi="Calibri"/>
        </w:rPr>
        <w:t>kolokacije</w:t>
      </w:r>
      <w:proofErr w:type="spellEnd"/>
      <w:r w:rsidRPr="003A32B4">
        <w:rPr>
          <w:rFonts w:ascii="Calibri" w:hAnsi="Calibri"/>
        </w:rPr>
        <w:t xml:space="preserve"> preduvjet za </w:t>
      </w:r>
      <w:r w:rsidRPr="00F26ADA">
        <w:rPr>
          <w:rFonts w:ascii="Calibri" w:hAnsi="Calibri"/>
        </w:rPr>
        <w:t xml:space="preserve">pristup izdvojenoj lokalnoj petlji, </w:t>
      </w:r>
      <w:r>
        <w:rPr>
          <w:rFonts w:ascii="Calibri" w:hAnsi="Calibri"/>
        </w:rPr>
        <w:t>HT je obvezan</w:t>
      </w:r>
      <w:r w:rsidRPr="00F26ADA">
        <w:rPr>
          <w:rFonts w:ascii="Calibri" w:hAnsi="Calibri"/>
        </w:rPr>
        <w:t>, u skladu s važećom Standardnom ponudom HT-a za uslugu izdvojenog pristupa lokalnoj petlji, osigura</w:t>
      </w:r>
      <w:r>
        <w:rPr>
          <w:rFonts w:ascii="Calibri" w:hAnsi="Calibri"/>
        </w:rPr>
        <w:t>ti</w:t>
      </w:r>
      <w:r w:rsidRPr="00F26ADA">
        <w:rPr>
          <w:rFonts w:ascii="Calibri" w:hAnsi="Calibri"/>
        </w:rPr>
        <w:t xml:space="preserve"> zajedničko korištenje prostora (</w:t>
      </w:r>
      <w:proofErr w:type="spellStart"/>
      <w:r w:rsidRPr="00F26ADA">
        <w:rPr>
          <w:rFonts w:ascii="Calibri" w:hAnsi="Calibri"/>
        </w:rPr>
        <w:t>kolokaciju</w:t>
      </w:r>
      <w:proofErr w:type="spellEnd"/>
      <w:r w:rsidRPr="00F26ADA">
        <w:rPr>
          <w:rFonts w:ascii="Calibri" w:hAnsi="Calibri"/>
        </w:rPr>
        <w:t>) i druge kapacitete potrebne za primjerenu instalaciju i povezivanje odgovarajuće opreme koja omogućuje korištenje usluge izdvojenog pristupa lokalnoj petlji.</w:t>
      </w:r>
      <w:r w:rsidRPr="003A32B4">
        <w:rPr>
          <w:rFonts w:ascii="Calibri" w:hAnsi="Calibri"/>
        </w:rPr>
        <w:t xml:space="preserve"> </w:t>
      </w:r>
    </w:p>
    <w:p w:rsidR="00B82EB2" w:rsidRDefault="00B82EB2" w:rsidP="00B82EB2">
      <w:pPr>
        <w:pStyle w:val="NormalWeb"/>
        <w:spacing w:before="0" w:beforeAutospacing="0" w:after="0" w:afterAutospacing="0"/>
        <w:jc w:val="both"/>
        <w:rPr>
          <w:rFonts w:ascii="Calibri" w:hAnsi="Calibri"/>
        </w:rPr>
      </w:pPr>
    </w:p>
    <w:p w:rsidR="00B82EB2" w:rsidRPr="00B6263A" w:rsidRDefault="00B82EB2" w:rsidP="00B82EB2">
      <w:pPr>
        <w:pStyle w:val="NormalWeb"/>
        <w:spacing w:before="0" w:beforeAutospacing="0" w:after="0" w:afterAutospacing="0"/>
        <w:jc w:val="both"/>
        <w:rPr>
          <w:rFonts w:ascii="Calibri" w:eastAsia="Calibri" w:hAnsi="Calibri"/>
        </w:rPr>
      </w:pPr>
      <w:r w:rsidRPr="003A32B4">
        <w:rPr>
          <w:rFonts w:ascii="Calibri" w:hAnsi="Calibri"/>
        </w:rPr>
        <w:t xml:space="preserve">HT </w:t>
      </w:r>
      <w:r>
        <w:rPr>
          <w:rFonts w:ascii="Calibri" w:hAnsi="Calibri"/>
        </w:rPr>
        <w:t>je obvezan</w:t>
      </w:r>
      <w:r w:rsidRPr="003A32B4">
        <w:rPr>
          <w:rFonts w:ascii="Calibri" w:hAnsi="Calibri"/>
        </w:rPr>
        <w:t xml:space="preserve"> operatoru osigurati fizičku, udaljenu ili virtualnu </w:t>
      </w:r>
      <w:proofErr w:type="spellStart"/>
      <w:r w:rsidRPr="003A32B4">
        <w:rPr>
          <w:rFonts w:ascii="Calibri" w:hAnsi="Calibri"/>
        </w:rPr>
        <w:t>kolokaciju</w:t>
      </w:r>
      <w:proofErr w:type="spellEnd"/>
      <w:r w:rsidRPr="003A32B4">
        <w:rPr>
          <w:rFonts w:ascii="Calibri" w:hAnsi="Calibri"/>
        </w:rPr>
        <w:t>.</w:t>
      </w:r>
      <w:r>
        <w:rPr>
          <w:rFonts w:ascii="Calibri" w:hAnsi="Calibri"/>
        </w:rPr>
        <w:t xml:space="preserve"> </w:t>
      </w:r>
      <w:r w:rsidRPr="001317D9">
        <w:rPr>
          <w:rFonts w:ascii="Calibri" w:eastAsia="Calibri" w:hAnsi="Calibri"/>
        </w:rPr>
        <w:t xml:space="preserve">HT je obvezan operatorima ponuditi najmanji prostor za fizičku i virtualnu </w:t>
      </w:r>
      <w:proofErr w:type="spellStart"/>
      <w:r w:rsidRPr="001317D9">
        <w:rPr>
          <w:rFonts w:ascii="Calibri" w:eastAsia="Calibri" w:hAnsi="Calibri"/>
        </w:rPr>
        <w:t>kolok</w:t>
      </w:r>
      <w:r>
        <w:rPr>
          <w:rFonts w:ascii="Calibri" w:eastAsia="Calibri" w:hAnsi="Calibri"/>
        </w:rPr>
        <w:t>aciju</w:t>
      </w:r>
      <w:proofErr w:type="spellEnd"/>
      <w:r w:rsidRPr="001317D9">
        <w:rPr>
          <w:rFonts w:ascii="Calibri" w:eastAsia="Calibri" w:hAnsi="Calibri"/>
        </w:rPr>
        <w:t xml:space="preserve"> koji je primjeren za odgovarajuću instalaciju uređaja koje, s obzirom na svoj zahtjev, operator treba. </w:t>
      </w:r>
      <w:r>
        <w:rPr>
          <w:rFonts w:ascii="Calibri" w:eastAsia="Calibri" w:hAnsi="Calibri"/>
        </w:rPr>
        <w:t>Na taj način spriječit će se</w:t>
      </w:r>
      <w:r w:rsidRPr="001317D9">
        <w:rPr>
          <w:rFonts w:ascii="Calibri" w:eastAsia="Calibri" w:hAnsi="Calibri"/>
        </w:rPr>
        <w:t xml:space="preserve"> plaćanje nepotrebnih troškova zbog korištenja većeg prostora nego što je operatoru uistinu potrebno.</w:t>
      </w:r>
      <w:r>
        <w:rPr>
          <w:rFonts w:ascii="Calibri" w:eastAsia="Calibri" w:hAnsi="Calibri"/>
        </w:rPr>
        <w:t xml:space="preserve"> </w:t>
      </w:r>
      <w:r w:rsidRPr="00B6263A">
        <w:rPr>
          <w:rFonts w:ascii="Calibri" w:eastAsia="Calibri" w:hAnsi="Calibri"/>
        </w:rPr>
        <w:t xml:space="preserve">U slučaju da na zatraženoj lokaciji nije moguća fizička ili virtualna </w:t>
      </w:r>
      <w:proofErr w:type="spellStart"/>
      <w:r w:rsidRPr="00B6263A">
        <w:rPr>
          <w:rFonts w:ascii="Calibri" w:eastAsia="Calibri" w:hAnsi="Calibri"/>
        </w:rPr>
        <w:t>kolokacija</w:t>
      </w:r>
      <w:proofErr w:type="spellEnd"/>
      <w:r w:rsidRPr="00B6263A">
        <w:rPr>
          <w:rFonts w:ascii="Calibri" w:eastAsia="Calibri" w:hAnsi="Calibri"/>
        </w:rPr>
        <w:t xml:space="preserve">, HT može odbiti zahtjev operatora za fizičkom ili virtualnom </w:t>
      </w:r>
      <w:proofErr w:type="spellStart"/>
      <w:r w:rsidRPr="00B6263A">
        <w:rPr>
          <w:rFonts w:ascii="Calibri" w:eastAsia="Calibri" w:hAnsi="Calibri"/>
        </w:rPr>
        <w:t>kolokacijom</w:t>
      </w:r>
      <w:proofErr w:type="spellEnd"/>
      <w:r w:rsidRPr="00B6263A">
        <w:rPr>
          <w:rFonts w:ascii="Calibri" w:eastAsia="Calibri" w:hAnsi="Calibri"/>
        </w:rPr>
        <w:t xml:space="preserve">, ali je obvezan operatoru omogućiti korištenje udaljene </w:t>
      </w:r>
      <w:proofErr w:type="spellStart"/>
      <w:r w:rsidRPr="00B6263A">
        <w:rPr>
          <w:rFonts w:ascii="Calibri" w:eastAsia="Calibri" w:hAnsi="Calibri"/>
        </w:rPr>
        <w:t>kolokacije</w:t>
      </w:r>
      <w:proofErr w:type="spellEnd"/>
      <w:r>
        <w:rPr>
          <w:rStyle w:val="FootnoteReference"/>
          <w:rFonts w:ascii="Calibri" w:eastAsia="Calibri" w:hAnsi="Calibri"/>
        </w:rPr>
        <w:footnoteReference w:id="55"/>
      </w:r>
      <w:r w:rsidRPr="00B6263A">
        <w:rPr>
          <w:rFonts w:ascii="Calibri" w:eastAsia="Calibri" w:hAnsi="Calibri"/>
        </w:rPr>
        <w:t xml:space="preserve">. </w:t>
      </w:r>
    </w:p>
    <w:p w:rsidR="00B82EB2" w:rsidRPr="00B6263A" w:rsidRDefault="00B82EB2" w:rsidP="00B82EB2">
      <w:pPr>
        <w:pStyle w:val="NormalWeb"/>
        <w:spacing w:before="0" w:beforeAutospacing="0" w:after="0" w:afterAutospacing="0"/>
        <w:jc w:val="both"/>
        <w:rPr>
          <w:rFonts w:ascii="Calibri" w:eastAsia="Calibri" w:hAnsi="Calibri"/>
        </w:rPr>
      </w:pPr>
    </w:p>
    <w:p w:rsidR="00B82EB2" w:rsidRDefault="00B82EB2" w:rsidP="00B82EB2">
      <w:pPr>
        <w:pStyle w:val="NormalWeb"/>
        <w:spacing w:before="0" w:beforeAutospacing="0" w:after="0" w:afterAutospacing="0"/>
        <w:jc w:val="both"/>
        <w:rPr>
          <w:rFonts w:ascii="Calibri" w:hAnsi="Calibri"/>
        </w:rPr>
      </w:pPr>
      <w:r w:rsidRPr="00D91839">
        <w:rPr>
          <w:rFonts w:ascii="Calibri" w:hAnsi="Calibri"/>
        </w:rPr>
        <w:t xml:space="preserve">HT je obvezan omogućiti uslugu </w:t>
      </w:r>
      <w:proofErr w:type="spellStart"/>
      <w:r w:rsidRPr="00D91839">
        <w:rPr>
          <w:rFonts w:ascii="Calibri" w:hAnsi="Calibri"/>
        </w:rPr>
        <w:t>kolokacije</w:t>
      </w:r>
      <w:proofErr w:type="spellEnd"/>
      <w:r w:rsidRPr="00D91839">
        <w:rPr>
          <w:rFonts w:ascii="Calibri" w:hAnsi="Calibri"/>
        </w:rPr>
        <w:t xml:space="preserve"> za sve usluge veleprodajnog lokalnog pristupa koji se pruža na fiksnoj lokaciji </w:t>
      </w:r>
      <w:r w:rsidRPr="00A866C6">
        <w:rPr>
          <w:rFonts w:ascii="Calibri" w:hAnsi="Calibri"/>
        </w:rPr>
        <w:t>za koje je HT-u određena obveza pristupa, osim za uslugu virtualnog izdvojenog pristupa lokalnoj petlji.</w:t>
      </w:r>
      <w:r w:rsidRPr="0066560E">
        <w:rPr>
          <w:rFonts w:ascii="Calibri" w:hAnsi="Calibri"/>
        </w:rPr>
        <w:t xml:space="preserve"> </w:t>
      </w:r>
    </w:p>
    <w:p w:rsidR="00B82EB2" w:rsidRDefault="00B82EB2" w:rsidP="00B82EB2">
      <w:pPr>
        <w:pStyle w:val="NormalWeb"/>
        <w:spacing w:before="0" w:beforeAutospacing="0" w:after="0" w:afterAutospacing="0"/>
        <w:jc w:val="both"/>
        <w:rPr>
          <w:rFonts w:ascii="Calibri" w:hAnsi="Calibri"/>
        </w:rPr>
      </w:pPr>
    </w:p>
    <w:p w:rsidR="00B82EB2" w:rsidRDefault="00B82EB2" w:rsidP="00B82EB2">
      <w:pPr>
        <w:pStyle w:val="NormalWeb"/>
        <w:spacing w:before="0" w:beforeAutospacing="0" w:after="0" w:afterAutospacing="0"/>
        <w:jc w:val="both"/>
        <w:rPr>
          <w:rFonts w:ascii="Calibri" w:hAnsi="Calibri"/>
        </w:rPr>
      </w:pPr>
      <w:r w:rsidRPr="001317D9">
        <w:rPr>
          <w:rFonts w:ascii="Calibri" w:hAnsi="Calibri"/>
        </w:rPr>
        <w:t xml:space="preserve">HT </w:t>
      </w:r>
      <w:r>
        <w:rPr>
          <w:rFonts w:ascii="Calibri" w:hAnsi="Calibri"/>
        </w:rPr>
        <w:t>je obvezan</w:t>
      </w:r>
      <w:r w:rsidRPr="001317D9">
        <w:rPr>
          <w:rFonts w:ascii="Calibri" w:hAnsi="Calibri"/>
        </w:rPr>
        <w:t xml:space="preserve"> omogućiti </w:t>
      </w:r>
      <w:r>
        <w:rPr>
          <w:rFonts w:ascii="Calibri" w:hAnsi="Calibri"/>
        </w:rPr>
        <w:t xml:space="preserve">operatorima korisnicima </w:t>
      </w:r>
      <w:r w:rsidRPr="001317D9">
        <w:rPr>
          <w:rFonts w:ascii="Calibri" w:hAnsi="Calibri"/>
        </w:rPr>
        <w:t xml:space="preserve">pristup </w:t>
      </w:r>
      <w:r>
        <w:rPr>
          <w:rFonts w:ascii="Calibri" w:hAnsi="Calibri"/>
        </w:rPr>
        <w:t xml:space="preserve">do pristupnih točaka </w:t>
      </w:r>
      <w:r w:rsidRPr="001317D9">
        <w:rPr>
          <w:rFonts w:ascii="Calibri" w:hAnsi="Calibri"/>
        </w:rPr>
        <w:t xml:space="preserve">primjenom </w:t>
      </w:r>
      <w:r>
        <w:rPr>
          <w:rFonts w:ascii="Calibri" w:hAnsi="Calibri"/>
        </w:rPr>
        <w:t>dostupnih</w:t>
      </w:r>
      <w:r w:rsidRPr="001317D9">
        <w:rPr>
          <w:rFonts w:ascii="Calibri" w:hAnsi="Calibri"/>
        </w:rPr>
        <w:t xml:space="preserve"> tehničkih rješenja, ovisno o izboru operatora korisnika:</w:t>
      </w:r>
    </w:p>
    <w:p w:rsidR="00B82EB2" w:rsidRPr="001317D9" w:rsidRDefault="00B82EB2" w:rsidP="00B82EB2">
      <w:pPr>
        <w:pStyle w:val="NormalWeb"/>
        <w:spacing w:before="0" w:beforeAutospacing="0" w:after="0" w:afterAutospacing="0"/>
        <w:jc w:val="both"/>
        <w:rPr>
          <w:rFonts w:ascii="Calibri" w:hAnsi="Calibri"/>
        </w:rPr>
      </w:pPr>
    </w:p>
    <w:p w:rsidR="00B82EB2" w:rsidRPr="00915637" w:rsidRDefault="00B82EB2" w:rsidP="00766501">
      <w:pPr>
        <w:numPr>
          <w:ilvl w:val="0"/>
          <w:numId w:val="25"/>
        </w:numPr>
        <w:spacing w:after="200"/>
        <w:jc w:val="both"/>
        <w:rPr>
          <w:rFonts w:eastAsia="Calibri"/>
        </w:rPr>
      </w:pPr>
      <w:r w:rsidRPr="004039C9">
        <w:rPr>
          <w:rFonts w:eastAsia="Calibri"/>
        </w:rPr>
        <w:t>HT mora operatorima korisnicima omogućiti pristup i zajedničko korištenje kabelske kanalizacije do pristupnih točaka u skladu s obvez</w:t>
      </w:r>
      <w:r>
        <w:rPr>
          <w:rFonts w:eastAsia="Calibri"/>
        </w:rPr>
        <w:t>om pristupa</w:t>
      </w:r>
      <w:r w:rsidRPr="004039C9">
        <w:rPr>
          <w:rFonts w:eastAsia="Calibri"/>
        </w:rPr>
        <w:t xml:space="preserve"> </w:t>
      </w:r>
      <w:r>
        <w:rPr>
          <w:rFonts w:eastAsia="Calibri"/>
        </w:rPr>
        <w:t xml:space="preserve">fizičkoj infrastrukturi koja je definirana u </w:t>
      </w:r>
      <w:r w:rsidRPr="00915637">
        <w:rPr>
          <w:rFonts w:eastAsia="Calibri"/>
        </w:rPr>
        <w:t xml:space="preserve">poglavlju </w:t>
      </w:r>
      <w:r w:rsidR="0007047F">
        <w:rPr>
          <w:rFonts w:eastAsia="Calibri"/>
        </w:rPr>
        <w:fldChar w:fldCharType="begin"/>
      </w:r>
      <w:r w:rsidR="0007047F">
        <w:rPr>
          <w:rFonts w:eastAsia="Calibri"/>
        </w:rPr>
        <w:instrText xml:space="preserve"> REF _Ref125566433 \r \h </w:instrText>
      </w:r>
      <w:r w:rsidR="0007047F">
        <w:rPr>
          <w:rFonts w:eastAsia="Calibri"/>
        </w:rPr>
      </w:r>
      <w:r w:rsidR="0007047F">
        <w:rPr>
          <w:rFonts w:eastAsia="Calibri"/>
        </w:rPr>
        <w:fldChar w:fldCharType="separate"/>
      </w:r>
      <w:r w:rsidR="0007047F">
        <w:rPr>
          <w:rFonts w:eastAsia="Calibri"/>
        </w:rPr>
        <w:t>8.1</w:t>
      </w:r>
      <w:r w:rsidR="0007047F">
        <w:rPr>
          <w:rFonts w:eastAsia="Calibri"/>
        </w:rPr>
        <w:fldChar w:fldCharType="end"/>
      </w:r>
      <w:r w:rsidR="0007047F">
        <w:rPr>
          <w:rFonts w:eastAsia="Calibri"/>
        </w:rPr>
        <w:t xml:space="preserve"> </w:t>
      </w:r>
      <w:r w:rsidRPr="00915637">
        <w:rPr>
          <w:rFonts w:eastAsia="Calibri"/>
        </w:rPr>
        <w:t>ovog dokumenta</w:t>
      </w:r>
    </w:p>
    <w:p w:rsidR="00B82EB2" w:rsidRPr="004039C9" w:rsidRDefault="00B82EB2" w:rsidP="00766501">
      <w:pPr>
        <w:numPr>
          <w:ilvl w:val="0"/>
          <w:numId w:val="25"/>
        </w:numPr>
        <w:spacing w:after="200"/>
        <w:jc w:val="both"/>
        <w:rPr>
          <w:rFonts w:eastAsia="Calibri"/>
        </w:rPr>
      </w:pPr>
      <w:r w:rsidRPr="004039C9">
        <w:rPr>
          <w:rFonts w:eastAsia="Calibri"/>
        </w:rPr>
        <w:t>HT mora operatorima korisnicima iznajmiti svjetlovodnu nit/svjetlovodne niti bez prijenosne opreme (</w:t>
      </w:r>
      <w:proofErr w:type="spellStart"/>
      <w:r w:rsidRPr="004039C9">
        <w:rPr>
          <w:rFonts w:eastAsia="Calibri"/>
        </w:rPr>
        <w:t>eng</w:t>
      </w:r>
      <w:proofErr w:type="spellEnd"/>
      <w:r w:rsidRPr="004039C9">
        <w:rPr>
          <w:rFonts w:eastAsia="Calibri"/>
        </w:rPr>
        <w:t xml:space="preserve">. </w:t>
      </w:r>
      <w:proofErr w:type="spellStart"/>
      <w:r w:rsidRPr="004039C9">
        <w:rPr>
          <w:rFonts w:eastAsia="Calibri"/>
          <w:i/>
        </w:rPr>
        <w:t>dark</w:t>
      </w:r>
      <w:proofErr w:type="spellEnd"/>
      <w:r w:rsidRPr="004039C9">
        <w:rPr>
          <w:rFonts w:eastAsia="Calibri"/>
          <w:i/>
        </w:rPr>
        <w:t xml:space="preserve"> </w:t>
      </w:r>
      <w:proofErr w:type="spellStart"/>
      <w:r w:rsidRPr="004039C9">
        <w:rPr>
          <w:rFonts w:eastAsia="Calibri"/>
          <w:i/>
        </w:rPr>
        <w:t>fibre</w:t>
      </w:r>
      <w:proofErr w:type="spellEnd"/>
      <w:r w:rsidRPr="004039C9">
        <w:rPr>
          <w:rFonts w:eastAsia="Calibri"/>
        </w:rPr>
        <w:t>)</w:t>
      </w:r>
    </w:p>
    <w:p w:rsidR="00B82EB2" w:rsidRDefault="00B82EB2" w:rsidP="00766501">
      <w:pPr>
        <w:pStyle w:val="ListParagraph"/>
        <w:numPr>
          <w:ilvl w:val="0"/>
          <w:numId w:val="25"/>
        </w:numPr>
        <w:spacing w:after="200"/>
        <w:contextualSpacing w:val="0"/>
        <w:jc w:val="both"/>
        <w:rPr>
          <w:rFonts w:eastAsia="Calibri" w:cs="Calibri"/>
        </w:rPr>
      </w:pPr>
      <w:r w:rsidRPr="00E36FEC">
        <w:rPr>
          <w:rFonts w:eastAsia="Calibri" w:cs="Calibri"/>
        </w:rPr>
        <w:t xml:space="preserve">HT mora operatorima korisnicima pružiti uslugu iznajmljenog voda (koja se temelji na </w:t>
      </w:r>
      <w:proofErr w:type="spellStart"/>
      <w:r w:rsidRPr="00E36FEC">
        <w:rPr>
          <w:rFonts w:eastAsia="Calibri" w:cs="Calibri"/>
        </w:rPr>
        <w:t>xWDM</w:t>
      </w:r>
      <w:proofErr w:type="spellEnd"/>
      <w:r w:rsidRPr="00E36FEC">
        <w:rPr>
          <w:rFonts w:eastAsia="Calibri" w:cs="Calibri"/>
        </w:rPr>
        <w:t xml:space="preserve"> ili </w:t>
      </w:r>
      <w:proofErr w:type="spellStart"/>
      <w:r w:rsidRPr="00E36FEC">
        <w:rPr>
          <w:rFonts w:eastAsia="Calibri" w:cs="Calibri"/>
        </w:rPr>
        <w:t>Ethernet</w:t>
      </w:r>
      <w:proofErr w:type="spellEnd"/>
      <w:r w:rsidRPr="00E36FEC">
        <w:rPr>
          <w:rFonts w:eastAsia="Calibri" w:cs="Calibri"/>
        </w:rPr>
        <w:t xml:space="preserve"> tehnologiji) </w:t>
      </w:r>
    </w:p>
    <w:p w:rsidR="00B82EB2" w:rsidRDefault="00B82EB2" w:rsidP="00B82EB2">
      <w:pPr>
        <w:spacing w:after="200"/>
        <w:jc w:val="both"/>
      </w:pPr>
      <w:r w:rsidRPr="008438E6">
        <w:t>Radi izbjegavanja dvojbi, HT mora omogućiti navedena tehnička rješenja ovisno o dostupnosti. Ukoliko su istovremeno dostupna sva tri tehnička rješenja, operator korisnik može odabrati koje rješenje želi koristiti.</w:t>
      </w:r>
      <w:r>
        <w:t xml:space="preserve"> P</w:t>
      </w:r>
      <w:r w:rsidRPr="001F1041">
        <w:rPr>
          <w:rFonts w:eastAsia="Calibri" w:cs="Calibri"/>
        </w:rPr>
        <w:t>otrebno je naglasiti da usluge iznajmljivanja svjetlovodne niti bez prijenosne opreme (</w:t>
      </w:r>
      <w:proofErr w:type="spellStart"/>
      <w:r w:rsidRPr="001F1041">
        <w:rPr>
          <w:rFonts w:eastAsia="Calibri" w:cs="Calibri"/>
        </w:rPr>
        <w:t>dark</w:t>
      </w:r>
      <w:proofErr w:type="spellEnd"/>
      <w:r w:rsidRPr="001F1041">
        <w:rPr>
          <w:rFonts w:eastAsia="Calibri" w:cs="Calibri"/>
        </w:rPr>
        <w:t xml:space="preserve"> </w:t>
      </w:r>
      <w:proofErr w:type="spellStart"/>
      <w:r w:rsidRPr="001F1041">
        <w:rPr>
          <w:rFonts w:eastAsia="Calibri" w:cs="Calibri"/>
        </w:rPr>
        <w:t>fiber</w:t>
      </w:r>
      <w:proofErr w:type="spellEnd"/>
      <w:r w:rsidRPr="001F1041">
        <w:rPr>
          <w:rFonts w:eastAsia="Calibri" w:cs="Calibri"/>
        </w:rPr>
        <w:t>) i iznajmljenog voda do pristup</w:t>
      </w:r>
      <w:r>
        <w:rPr>
          <w:rFonts w:eastAsia="Calibri" w:cs="Calibri"/>
        </w:rPr>
        <w:t>n</w:t>
      </w:r>
      <w:r w:rsidRPr="001F1041">
        <w:rPr>
          <w:rFonts w:eastAsia="Calibri" w:cs="Calibri"/>
        </w:rPr>
        <w:t xml:space="preserve">ih točaka nisu sastavni dio </w:t>
      </w:r>
      <w:r w:rsidRPr="00EE38F5">
        <w:rPr>
          <w:rFonts w:eastAsia="Calibri" w:cs="Calibri"/>
        </w:rPr>
        <w:t>mjerodavnog tržišta koje je predmet ove analize tržišta nego drugih mjerodavnih tržišta</w:t>
      </w:r>
      <w:r w:rsidRPr="00EE38F5">
        <w:rPr>
          <w:rStyle w:val="FootnoteReference"/>
          <w:rFonts w:eastAsia="Calibri" w:cs="Calibri"/>
        </w:rPr>
        <w:footnoteReference w:id="56"/>
      </w:r>
      <w:r w:rsidRPr="00EE38F5">
        <w:rPr>
          <w:rFonts w:eastAsia="Calibri" w:cs="Calibri"/>
        </w:rPr>
        <w:t xml:space="preserve"> i obveze njihovog pružanja se HT-u određuju neovisno o utvrđenom SMP statusu na mjerodavnim tržištima u koja su uključene navedene usluge.</w:t>
      </w:r>
      <w:r w:rsidRPr="001F1041">
        <w:rPr>
          <w:rFonts w:eastAsia="Calibri" w:cs="Calibri"/>
        </w:rPr>
        <w:t xml:space="preserve"> Naime, HAKOM ovu obvezu </w:t>
      </w:r>
      <w:r w:rsidRPr="00EE38F5">
        <w:rPr>
          <w:rFonts w:eastAsia="Calibri" w:cs="Calibri"/>
        </w:rPr>
        <w:t xml:space="preserve">pristupa do pristupnih točaka </w:t>
      </w:r>
      <w:r w:rsidRPr="001F1041">
        <w:rPr>
          <w:rFonts w:eastAsia="Calibri" w:cs="Calibri"/>
        </w:rPr>
        <w:t>određuje HT-u kao tzv. pomoćnu uslugu koja poboljšava i čini učinkovitijom osnovnu obvezu pristupa.</w:t>
      </w:r>
    </w:p>
    <w:p w:rsidR="00B82EB2" w:rsidRDefault="00B82EB2" w:rsidP="00B82EB2">
      <w:pPr>
        <w:pStyle w:val="NormalWeb"/>
        <w:autoSpaceDE w:val="0"/>
        <w:autoSpaceDN w:val="0"/>
        <w:adjustRightInd w:val="0"/>
        <w:spacing w:before="0" w:beforeAutospacing="0" w:after="0" w:afterAutospacing="0"/>
        <w:jc w:val="both"/>
        <w:rPr>
          <w:rFonts w:ascii="Calibri" w:hAnsi="Calibri"/>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B2B pristup</w:t>
      </w:r>
    </w:p>
    <w:p w:rsidR="00B82EB2" w:rsidRDefault="00B82EB2" w:rsidP="00B82EB2">
      <w:pPr>
        <w:pStyle w:val="NormalWeb"/>
        <w:autoSpaceDE w:val="0"/>
        <w:autoSpaceDN w:val="0"/>
        <w:adjustRightInd w:val="0"/>
        <w:spacing w:before="0" w:beforeAutospacing="0" w:after="0" w:afterAutospacing="0"/>
        <w:jc w:val="both"/>
        <w:rPr>
          <w:rFonts w:ascii="Calibri" w:hAnsi="Calibri"/>
        </w:rPr>
      </w:pPr>
    </w:p>
    <w:p w:rsidR="00B82EB2" w:rsidRDefault="00B82EB2" w:rsidP="00B82EB2">
      <w:pPr>
        <w:pStyle w:val="NormalWeb"/>
        <w:spacing w:before="0" w:beforeAutospacing="0" w:after="0" w:afterAutospacing="0"/>
        <w:jc w:val="both"/>
        <w:rPr>
          <w:rFonts w:ascii="Calibri" w:hAnsi="Calibri"/>
        </w:rPr>
      </w:pPr>
      <w:r>
        <w:rPr>
          <w:rFonts w:ascii="Calibri" w:eastAsia="Calibri" w:hAnsi="Calibri" w:cs="Calibri"/>
        </w:rPr>
        <w:t xml:space="preserve">HT je obvezan </w:t>
      </w:r>
      <w:r w:rsidRPr="00B7569C">
        <w:rPr>
          <w:rFonts w:ascii="Calibri" w:eastAsia="Calibri" w:hAnsi="Calibri" w:cs="Calibri"/>
        </w:rPr>
        <w:t>temeljem članka</w:t>
      </w:r>
      <w:r>
        <w:rPr>
          <w:rFonts w:ascii="Calibri" w:eastAsia="Calibri" w:hAnsi="Calibri" w:cs="Calibri"/>
        </w:rPr>
        <w:t xml:space="preserve"> 106. stavka 3. alinejom 9. ZEK-a, </w:t>
      </w:r>
      <w:r w:rsidRPr="00B7569C">
        <w:rPr>
          <w:rFonts w:ascii="Calibri" w:eastAsia="Calibri" w:hAnsi="Calibri" w:cs="Calibri"/>
        </w:rPr>
        <w:t xml:space="preserve">omogućiti pristup sustavima </w:t>
      </w:r>
      <w:r>
        <w:rPr>
          <w:rFonts w:ascii="Calibri" w:eastAsia="Calibri" w:hAnsi="Calibri" w:cs="Calibri"/>
        </w:rPr>
        <w:t xml:space="preserve">za operativnu potporu ili sličnim programskim sustavima nužnima za osiguravanje pravednoga tržišnog natjecanja u pružanju usluga. Stoga se HT-u određuje obveza osigurati </w:t>
      </w:r>
      <w:r w:rsidRPr="00B7569C">
        <w:rPr>
          <w:rFonts w:ascii="Calibri" w:eastAsia="Calibri" w:hAnsi="Calibri" w:cs="Calibri"/>
        </w:rPr>
        <w:t>podršk</w:t>
      </w:r>
      <w:r>
        <w:rPr>
          <w:rFonts w:ascii="Calibri" w:eastAsia="Calibri" w:hAnsi="Calibri" w:cs="Calibri"/>
        </w:rPr>
        <w:t>u</w:t>
      </w:r>
      <w:r w:rsidRPr="00B7569C">
        <w:rPr>
          <w:rFonts w:ascii="Calibri" w:eastAsia="Calibri" w:hAnsi="Calibri" w:cs="Calibri"/>
        </w:rPr>
        <w:t xml:space="preserve"> </w:t>
      </w:r>
      <w:r w:rsidRPr="001317D9">
        <w:rPr>
          <w:rFonts w:ascii="Calibri" w:hAnsi="Calibri"/>
        </w:rPr>
        <w:t>sukladno međunarodnim standardima putem web</w:t>
      </w:r>
      <w:r>
        <w:rPr>
          <w:rFonts w:ascii="Calibri" w:hAnsi="Calibri"/>
        </w:rPr>
        <w:t xml:space="preserve"> </w:t>
      </w:r>
      <w:r w:rsidRPr="001317D9">
        <w:rPr>
          <w:rFonts w:ascii="Calibri" w:hAnsi="Calibri"/>
        </w:rPr>
        <w:t xml:space="preserve">aplikacije kao i korištenjem aplikativnih sučelja, koja omogućavaju </w:t>
      </w:r>
      <w:r>
        <w:rPr>
          <w:rFonts w:ascii="Calibri" w:hAnsi="Calibri"/>
        </w:rPr>
        <w:t>izravnu</w:t>
      </w:r>
      <w:r w:rsidRPr="001317D9">
        <w:rPr>
          <w:rFonts w:ascii="Calibri" w:hAnsi="Calibri"/>
        </w:rPr>
        <w:t xml:space="preserve"> računalnu razmjenu podataka između informacijskih sustava - B2B pristup (web</w:t>
      </w:r>
      <w:r>
        <w:rPr>
          <w:rFonts w:ascii="Calibri" w:hAnsi="Calibri"/>
        </w:rPr>
        <w:t xml:space="preserve"> </w:t>
      </w:r>
      <w:r w:rsidRPr="001317D9">
        <w:rPr>
          <w:rFonts w:ascii="Calibri" w:hAnsi="Calibri"/>
        </w:rPr>
        <w:t>servisi), uz obvezu ažuriranja podataka u što je moguće kraćem roku</w:t>
      </w:r>
      <w:r>
        <w:rPr>
          <w:rFonts w:ascii="Calibri" w:hAnsi="Calibri"/>
        </w:rPr>
        <w:t>.</w:t>
      </w:r>
      <w:r w:rsidRPr="001317D9">
        <w:rPr>
          <w:rFonts w:ascii="Calibri" w:hAnsi="Calibri"/>
        </w:rPr>
        <w:t xml:space="preserve"> HT je na ovaj način obvezan operatorima korisnicima omogućiti </w:t>
      </w:r>
      <w:r>
        <w:rPr>
          <w:rFonts w:ascii="Calibri" w:hAnsi="Calibri"/>
        </w:rPr>
        <w:t>pristup</w:t>
      </w:r>
      <w:r w:rsidRPr="001317D9">
        <w:rPr>
          <w:rFonts w:ascii="Calibri" w:hAnsi="Calibri"/>
        </w:rPr>
        <w:t>:</w:t>
      </w:r>
    </w:p>
    <w:p w:rsidR="00B82EB2" w:rsidRPr="001317D9" w:rsidRDefault="00B82EB2" w:rsidP="00B82EB2">
      <w:pPr>
        <w:pStyle w:val="NormalWeb"/>
        <w:spacing w:before="0" w:beforeAutospacing="0" w:after="0" w:afterAutospacing="0"/>
        <w:jc w:val="both"/>
        <w:rPr>
          <w:rFonts w:ascii="Calibri" w:hAnsi="Calibri"/>
        </w:rPr>
      </w:pPr>
    </w:p>
    <w:p w:rsidR="00B82EB2" w:rsidRPr="00B6263A" w:rsidRDefault="00B82EB2" w:rsidP="00766501">
      <w:pPr>
        <w:numPr>
          <w:ilvl w:val="0"/>
          <w:numId w:val="25"/>
        </w:numPr>
        <w:spacing w:after="200"/>
        <w:jc w:val="both"/>
        <w:rPr>
          <w:rFonts w:eastAsia="Calibri"/>
        </w:rPr>
      </w:pPr>
      <w:r w:rsidRPr="00B6263A">
        <w:rPr>
          <w:rFonts w:eastAsia="Calibri"/>
        </w:rPr>
        <w:t xml:space="preserve">informacijskom sustavu praćenja zahtjeva operatora korisnika </w:t>
      </w:r>
    </w:p>
    <w:p w:rsidR="00B82EB2" w:rsidRPr="00B6263A" w:rsidRDefault="00B82EB2" w:rsidP="00766501">
      <w:pPr>
        <w:numPr>
          <w:ilvl w:val="0"/>
          <w:numId w:val="25"/>
        </w:numPr>
        <w:spacing w:after="200"/>
        <w:jc w:val="both"/>
        <w:rPr>
          <w:rFonts w:eastAsia="Calibri"/>
        </w:rPr>
      </w:pPr>
      <w:r w:rsidRPr="00B6263A">
        <w:rPr>
          <w:rFonts w:eastAsia="Calibri"/>
        </w:rPr>
        <w:t xml:space="preserve">zahtjevima operatora korisnika za popravak kvara, </w:t>
      </w:r>
      <w:r>
        <w:rPr>
          <w:rFonts w:eastAsia="Calibri"/>
        </w:rPr>
        <w:t xml:space="preserve">pristup informacijama o </w:t>
      </w:r>
      <w:r w:rsidRPr="00B6263A">
        <w:rPr>
          <w:rFonts w:eastAsia="Calibri"/>
        </w:rPr>
        <w:t>statusu i stanju eskalacije popravka kvara operatora korisnika</w:t>
      </w:r>
    </w:p>
    <w:p w:rsidR="00B82EB2" w:rsidRDefault="00B82EB2" w:rsidP="00766501">
      <w:pPr>
        <w:numPr>
          <w:ilvl w:val="0"/>
          <w:numId w:val="25"/>
        </w:numPr>
        <w:spacing w:after="200"/>
        <w:jc w:val="both"/>
        <w:rPr>
          <w:rFonts w:eastAsia="Calibri"/>
        </w:rPr>
      </w:pPr>
      <w:r w:rsidRPr="00B6263A">
        <w:rPr>
          <w:rFonts w:eastAsia="Calibri"/>
        </w:rPr>
        <w:t xml:space="preserve">statusu </w:t>
      </w:r>
      <w:r>
        <w:rPr>
          <w:rFonts w:eastAsia="Calibri"/>
        </w:rPr>
        <w:t>vezano uz</w:t>
      </w:r>
      <w:r w:rsidRPr="00B6263A">
        <w:rPr>
          <w:rFonts w:eastAsia="Calibri"/>
        </w:rPr>
        <w:t xml:space="preserve"> pružanj</w:t>
      </w:r>
      <w:r>
        <w:rPr>
          <w:rFonts w:eastAsia="Calibri"/>
        </w:rPr>
        <w:t xml:space="preserve">e </w:t>
      </w:r>
      <w:r w:rsidRPr="00B6263A">
        <w:rPr>
          <w:rFonts w:eastAsia="Calibri"/>
        </w:rPr>
        <w:t xml:space="preserve">usluge </w:t>
      </w:r>
      <w:proofErr w:type="spellStart"/>
      <w:r w:rsidRPr="00B6263A">
        <w:rPr>
          <w:rFonts w:eastAsia="Calibri"/>
        </w:rPr>
        <w:t>kolokacije</w:t>
      </w:r>
      <w:proofErr w:type="spellEnd"/>
      <w:r w:rsidRPr="00B6263A">
        <w:rPr>
          <w:rFonts w:eastAsia="Calibri"/>
        </w:rPr>
        <w:t xml:space="preserve"> operatoru korisniku</w:t>
      </w:r>
    </w:p>
    <w:p w:rsidR="00B82EB2" w:rsidRPr="00105352" w:rsidRDefault="00B82EB2" w:rsidP="00766501">
      <w:pPr>
        <w:numPr>
          <w:ilvl w:val="0"/>
          <w:numId w:val="25"/>
        </w:numPr>
        <w:jc w:val="both"/>
        <w:rPr>
          <w:shd w:val="clear" w:color="auto" w:fill="C0C0C0"/>
        </w:rPr>
      </w:pPr>
      <w:r w:rsidRPr="00105352">
        <w:t xml:space="preserve">informacije o topologiji mreže s lokacijama </w:t>
      </w:r>
      <w:r>
        <w:t>MDF-a/ODF-a</w:t>
      </w:r>
      <w:r w:rsidRPr="00105352">
        <w:t>, broj parica</w:t>
      </w:r>
      <w:r>
        <w:t>/svjetlovodnih niti</w:t>
      </w:r>
      <w:r w:rsidRPr="00105352">
        <w:t xml:space="preserve"> privedenih na </w:t>
      </w:r>
      <w:r>
        <w:t>MDF/</w:t>
      </w:r>
      <w:r w:rsidRPr="00105352">
        <w:t xml:space="preserve"> </w:t>
      </w:r>
      <w:r>
        <w:t>ODF</w:t>
      </w:r>
      <w:r w:rsidRPr="00105352">
        <w:t xml:space="preserve"> i broj izvedenih parica</w:t>
      </w:r>
      <w:r>
        <w:t>/svjetlovodnih niti</w:t>
      </w:r>
      <w:r w:rsidRPr="00105352">
        <w:t xml:space="preserve"> u pristupnoj mreži</w:t>
      </w:r>
    </w:p>
    <w:p w:rsidR="00B82EB2" w:rsidRDefault="00B82EB2" w:rsidP="00B82EB2">
      <w:pPr>
        <w:ind w:left="720"/>
        <w:jc w:val="both"/>
      </w:pPr>
    </w:p>
    <w:p w:rsidR="00B82EB2" w:rsidRDefault="00B82EB2" w:rsidP="00766501">
      <w:pPr>
        <w:numPr>
          <w:ilvl w:val="0"/>
          <w:numId w:val="25"/>
        </w:numPr>
        <w:jc w:val="both"/>
      </w:pPr>
      <w:r w:rsidRPr="00105352">
        <w:t xml:space="preserve">podatke o zemljopisnoj pokrivenosti po pojedinom </w:t>
      </w:r>
      <w:r>
        <w:t>MDF-a/ODF-a</w:t>
      </w:r>
      <w:r w:rsidRPr="00105352">
        <w:t xml:space="preserve"> HT-a ili drugoj odgovarajućoj opremi u nepokretnoj </w:t>
      </w:r>
      <w:r>
        <w:t>elektroničkoj komunikacijskoj</w:t>
      </w:r>
      <w:r w:rsidRPr="00105352">
        <w:t xml:space="preserve"> mreži, u obliku zemljopisnih karata ili popisu ulica koje su pokrivene pojedinim glavnim razdjelnikom HT-a ili s drugom odgovarajućom opremom u nepokretnoj </w:t>
      </w:r>
      <w:r>
        <w:t>elektroničkoj komunikacijskoj</w:t>
      </w:r>
      <w:r w:rsidRPr="00105352">
        <w:t xml:space="preserve"> mreži</w:t>
      </w:r>
    </w:p>
    <w:p w:rsidR="00B82EB2" w:rsidRPr="00105352" w:rsidRDefault="00B82EB2" w:rsidP="00B82EB2">
      <w:pPr>
        <w:jc w:val="both"/>
      </w:pPr>
    </w:p>
    <w:p w:rsidR="00B82EB2" w:rsidRPr="00B6263A" w:rsidRDefault="00B82EB2" w:rsidP="00766501">
      <w:pPr>
        <w:numPr>
          <w:ilvl w:val="0"/>
          <w:numId w:val="25"/>
        </w:numPr>
        <w:spacing w:after="200"/>
        <w:jc w:val="both"/>
        <w:rPr>
          <w:rFonts w:eastAsia="Calibri"/>
        </w:rPr>
      </w:pPr>
      <w:r w:rsidRPr="00105352">
        <w:t>informacije o planiranim promjenama u mreži i nacrtima modernizacije svoje mreže</w:t>
      </w:r>
    </w:p>
    <w:p w:rsidR="00B82EB2" w:rsidRPr="00005BEC" w:rsidRDefault="00B82EB2" w:rsidP="00766501">
      <w:pPr>
        <w:numPr>
          <w:ilvl w:val="0"/>
          <w:numId w:val="25"/>
        </w:numPr>
        <w:spacing w:after="200"/>
        <w:jc w:val="both"/>
        <w:rPr>
          <w:rFonts w:eastAsia="Calibri"/>
        </w:rPr>
      </w:pPr>
      <w:r w:rsidRPr="00B6263A">
        <w:rPr>
          <w:rFonts w:eastAsia="Calibri"/>
        </w:rPr>
        <w:t>informacijama o postojanju sekundarne opreme za višestruko korištenje parice u pristupnoj mreži HT-a (informacija je li pojedina parica realizirana aktivnom opremom ili ne)</w:t>
      </w:r>
      <w:r w:rsidRPr="00005BEC">
        <w:t xml:space="preserve"> </w:t>
      </w:r>
    </w:p>
    <w:p w:rsidR="00B82EB2" w:rsidRDefault="00B82EB2" w:rsidP="00766501">
      <w:pPr>
        <w:numPr>
          <w:ilvl w:val="0"/>
          <w:numId w:val="25"/>
        </w:numPr>
        <w:autoSpaceDE w:val="0"/>
        <w:autoSpaceDN w:val="0"/>
        <w:adjustRightInd w:val="0"/>
        <w:jc w:val="both"/>
        <w:rPr>
          <w:rFonts w:eastAsia="Calibri"/>
        </w:rPr>
      </w:pPr>
      <w:r w:rsidRPr="00F0406F">
        <w:rPr>
          <w:rFonts w:eastAsia="Calibri"/>
        </w:rPr>
        <w:t>informacijama o statusu dostupnosti i procijenjenim brzinama za korisnike koje HT mora omogućiti putem parametra „ID usluge“ koji predstavlja jedinstvenu oznaku parice ili svjetlovodne niti.</w:t>
      </w:r>
    </w:p>
    <w:p w:rsidR="00B82EB2" w:rsidRDefault="00B82EB2" w:rsidP="00B82EB2">
      <w:pPr>
        <w:autoSpaceDE w:val="0"/>
        <w:autoSpaceDN w:val="0"/>
        <w:adjustRightInd w:val="0"/>
        <w:ind w:left="720"/>
        <w:jc w:val="both"/>
        <w:rPr>
          <w:rFonts w:eastAsia="Calibri"/>
        </w:rPr>
      </w:pPr>
    </w:p>
    <w:p w:rsidR="00B82EB2" w:rsidRDefault="00B82EB2" w:rsidP="00766501">
      <w:pPr>
        <w:numPr>
          <w:ilvl w:val="0"/>
          <w:numId w:val="25"/>
        </w:numPr>
        <w:autoSpaceDE w:val="0"/>
        <w:autoSpaceDN w:val="0"/>
        <w:adjustRightInd w:val="0"/>
        <w:jc w:val="both"/>
        <w:rPr>
          <w:rFonts w:eastAsia="Calibri"/>
        </w:rPr>
      </w:pPr>
      <w:r>
        <w:rPr>
          <w:rFonts w:eastAsia="Calibri"/>
        </w:rPr>
        <w:t>te druge informacije za koje se pokaže potreba od strane operatora korisnika.</w:t>
      </w:r>
    </w:p>
    <w:p w:rsidR="00B82EB2" w:rsidRDefault="00B82EB2" w:rsidP="00B82EB2">
      <w:pPr>
        <w:autoSpaceDE w:val="0"/>
        <w:autoSpaceDN w:val="0"/>
        <w:adjustRightInd w:val="0"/>
        <w:jc w:val="both"/>
      </w:pPr>
      <w:r w:rsidRPr="00F0406F">
        <w:t xml:space="preserve">Informacije o </w:t>
      </w:r>
      <w:r>
        <w:t xml:space="preserve">obračunu </w:t>
      </w:r>
      <w:r w:rsidRPr="00F0406F">
        <w:t xml:space="preserve">usluga iz </w:t>
      </w:r>
      <w:r>
        <w:t>s</w:t>
      </w:r>
      <w:r w:rsidRPr="00F0406F">
        <w:t>tandardne ponude HT je obvezan, zbog njihove veličine, dostavljati putem web portala uz notifikaciju putem elektroničke pošte.</w:t>
      </w:r>
    </w:p>
    <w:p w:rsidR="00B82EB2" w:rsidRDefault="00B82EB2" w:rsidP="00B82EB2">
      <w:pPr>
        <w:autoSpaceDE w:val="0"/>
        <w:autoSpaceDN w:val="0"/>
        <w:adjustRightInd w:val="0"/>
        <w:jc w:val="both"/>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Ugovori o razini usluge</w:t>
      </w:r>
    </w:p>
    <w:p w:rsidR="00B82EB2" w:rsidRDefault="00B82EB2" w:rsidP="00B82EB2">
      <w:pPr>
        <w:autoSpaceDE w:val="0"/>
        <w:autoSpaceDN w:val="0"/>
        <w:adjustRightInd w:val="0"/>
        <w:jc w:val="both"/>
      </w:pPr>
    </w:p>
    <w:p w:rsidR="00B82EB2" w:rsidRDefault="00B82EB2" w:rsidP="00B82EB2">
      <w:pPr>
        <w:pStyle w:val="NormalWeb"/>
        <w:autoSpaceDE w:val="0"/>
        <w:autoSpaceDN w:val="0"/>
        <w:adjustRightInd w:val="0"/>
        <w:spacing w:before="0" w:beforeAutospacing="0" w:after="0" w:afterAutospacing="0"/>
        <w:jc w:val="both"/>
        <w:rPr>
          <w:rFonts w:ascii="Calibri" w:hAnsi="Calibri"/>
        </w:rPr>
      </w:pPr>
      <w:r w:rsidRPr="00702F5C">
        <w:rPr>
          <w:rFonts w:ascii="Calibri" w:hAnsi="Calibri"/>
        </w:rPr>
        <w:t xml:space="preserve">HAKOM, u skladu s člankom </w:t>
      </w:r>
      <w:r>
        <w:rPr>
          <w:rFonts w:ascii="Calibri" w:hAnsi="Calibri"/>
        </w:rPr>
        <w:t>106</w:t>
      </w:r>
      <w:r w:rsidRPr="00702F5C">
        <w:rPr>
          <w:rFonts w:ascii="Calibri" w:hAnsi="Calibri"/>
        </w:rPr>
        <w:t xml:space="preserve">. stavkom 4. ZEK-a, u pogledu naloženih obveza određuje HT-u i dodatne uvjete koji se odnose na ispunjavanje načela </w:t>
      </w:r>
      <w:r w:rsidRPr="00B13552">
        <w:rPr>
          <w:rFonts w:ascii="Calibri" w:hAnsi="Calibri"/>
        </w:rPr>
        <w:t xml:space="preserve">pravičnosti, </w:t>
      </w:r>
      <w:r>
        <w:rPr>
          <w:rFonts w:ascii="Calibri" w:hAnsi="Calibri"/>
        </w:rPr>
        <w:t>razumnosti</w:t>
      </w:r>
      <w:r w:rsidRPr="00B13552">
        <w:rPr>
          <w:rFonts w:ascii="Calibri" w:hAnsi="Calibri"/>
        </w:rPr>
        <w:t xml:space="preserve"> i pravodobnosti</w:t>
      </w:r>
      <w:r>
        <w:rPr>
          <w:rFonts w:ascii="Calibri" w:hAnsi="Calibri"/>
        </w:rPr>
        <w:t xml:space="preserve"> na način da je HT obvezan pružiti ugovorenu razinu usluge </w:t>
      </w:r>
      <w:r w:rsidRPr="00702F5C">
        <w:rPr>
          <w:rFonts w:ascii="Calibri" w:hAnsi="Calibri"/>
        </w:rPr>
        <w:t>(</w:t>
      </w:r>
      <w:proofErr w:type="spellStart"/>
      <w:r w:rsidRPr="00702F5C">
        <w:rPr>
          <w:rFonts w:ascii="Calibri" w:hAnsi="Calibri"/>
        </w:rPr>
        <w:t>eng</w:t>
      </w:r>
      <w:proofErr w:type="spellEnd"/>
      <w:r w:rsidRPr="00702F5C">
        <w:rPr>
          <w:rFonts w:ascii="Calibri" w:hAnsi="Calibri"/>
        </w:rPr>
        <w:t xml:space="preserve">. </w:t>
      </w:r>
      <w:r w:rsidRPr="00702F5C">
        <w:rPr>
          <w:rFonts w:ascii="Calibri" w:hAnsi="Calibri"/>
          <w:i/>
        </w:rPr>
        <w:t xml:space="preserve">Service </w:t>
      </w:r>
      <w:proofErr w:type="spellStart"/>
      <w:r w:rsidRPr="00702F5C">
        <w:rPr>
          <w:rFonts w:ascii="Calibri" w:hAnsi="Calibri"/>
          <w:i/>
        </w:rPr>
        <w:t>Level</w:t>
      </w:r>
      <w:proofErr w:type="spellEnd"/>
      <w:r w:rsidRPr="00702F5C">
        <w:rPr>
          <w:rFonts w:ascii="Calibri" w:hAnsi="Calibri"/>
          <w:i/>
        </w:rPr>
        <w:t xml:space="preserve"> </w:t>
      </w:r>
      <w:proofErr w:type="spellStart"/>
      <w:r w:rsidRPr="00702F5C">
        <w:rPr>
          <w:rFonts w:ascii="Calibri" w:hAnsi="Calibri"/>
          <w:i/>
        </w:rPr>
        <w:t>Agreements</w:t>
      </w:r>
      <w:proofErr w:type="spellEnd"/>
      <w:r w:rsidRPr="00702F5C">
        <w:rPr>
          <w:rFonts w:ascii="Calibri" w:hAnsi="Calibri"/>
        </w:rPr>
        <w:t xml:space="preserve"> – SLA)</w:t>
      </w:r>
      <w:r>
        <w:rPr>
          <w:rFonts w:ascii="Calibri" w:hAnsi="Calibri"/>
        </w:rPr>
        <w:t xml:space="preserve">. SLA se definira standardnim ponudama koje proizlaze iz obveza određenih na ovom mjerodavnom tržištu, i obuhvaća, između ostalog, </w:t>
      </w:r>
      <w:r w:rsidRPr="00714C36">
        <w:rPr>
          <w:rFonts w:ascii="Calibri" w:hAnsi="Calibri"/>
        </w:rPr>
        <w:t>vrijeme odgovora na zahtjev, rokove realizacije usluga, maksimalno vrijeme otklona kvara/smetnji i naknade za nepoštivanje rokova.</w:t>
      </w:r>
      <w:r w:rsidRPr="00702F5C" w:rsidDel="00D91358">
        <w:rPr>
          <w:rFonts w:ascii="Calibri" w:hAnsi="Calibri"/>
        </w:rPr>
        <w:t xml:space="preserve"> </w:t>
      </w:r>
    </w:p>
    <w:p w:rsidR="00B82EB2" w:rsidRDefault="00B82EB2" w:rsidP="00B82EB2">
      <w:pPr>
        <w:pStyle w:val="NormalWeb"/>
        <w:autoSpaceDE w:val="0"/>
        <w:autoSpaceDN w:val="0"/>
        <w:adjustRightInd w:val="0"/>
        <w:spacing w:before="0" w:beforeAutospacing="0" w:after="0" w:afterAutospacing="0"/>
        <w:jc w:val="both"/>
        <w:rPr>
          <w:rFonts w:ascii="Calibri" w:hAnsi="Calibri"/>
        </w:rPr>
      </w:pPr>
    </w:p>
    <w:p w:rsidR="00B82EB2" w:rsidRDefault="00B82EB2" w:rsidP="00B82EB2">
      <w:pPr>
        <w:pStyle w:val="NormalWeb"/>
        <w:autoSpaceDE w:val="0"/>
        <w:autoSpaceDN w:val="0"/>
        <w:adjustRightInd w:val="0"/>
        <w:spacing w:before="0" w:beforeAutospacing="0" w:after="0" w:afterAutospacing="0"/>
        <w:jc w:val="both"/>
        <w:rPr>
          <w:rFonts w:ascii="Calibri" w:hAnsi="Calibri"/>
        </w:rPr>
      </w:pPr>
      <w:r>
        <w:rPr>
          <w:rFonts w:ascii="Calibri" w:hAnsi="Calibri"/>
        </w:rPr>
        <w:t>U slučaju izdvojenog pristupa lokalnoj petlji na temelju bakrene parice, z</w:t>
      </w:r>
      <w:r w:rsidRPr="00E12EC4">
        <w:rPr>
          <w:rFonts w:ascii="Calibri" w:hAnsi="Calibri"/>
        </w:rPr>
        <w:t>ahtjev za o</w:t>
      </w:r>
      <w:r>
        <w:rPr>
          <w:rFonts w:ascii="Calibri" w:hAnsi="Calibri"/>
        </w:rPr>
        <w:t xml:space="preserve">tklon kvara/smetnje za širokopojasnu uslugu </w:t>
      </w:r>
      <w:r w:rsidRPr="00E12EC4">
        <w:rPr>
          <w:rFonts w:ascii="Calibri" w:hAnsi="Calibri"/>
        </w:rPr>
        <w:t>u slučaju petlji duljih od 4000 metara</w:t>
      </w:r>
      <w:r>
        <w:rPr>
          <w:rFonts w:ascii="Calibri" w:hAnsi="Calibri"/>
        </w:rPr>
        <w:t xml:space="preserve">, </w:t>
      </w:r>
      <w:r w:rsidRPr="00E12EC4">
        <w:rPr>
          <w:rFonts w:ascii="Calibri" w:hAnsi="Calibri"/>
        </w:rPr>
        <w:t xml:space="preserve">HT može zatvoriti </w:t>
      </w:r>
      <w:r>
        <w:rPr>
          <w:rFonts w:ascii="Calibri" w:hAnsi="Calibri"/>
        </w:rPr>
        <w:t xml:space="preserve">porukom </w:t>
      </w:r>
      <w:r w:rsidRPr="00E12EC4">
        <w:rPr>
          <w:rFonts w:ascii="Calibri" w:hAnsi="Calibri"/>
        </w:rPr>
        <w:t>da kvar nije u njegovoj odgovornosti, s obzirom da se ne preporuča da se na paricama dulji</w:t>
      </w:r>
      <w:r>
        <w:rPr>
          <w:rFonts w:ascii="Calibri" w:hAnsi="Calibri"/>
        </w:rPr>
        <w:t>m</w:t>
      </w:r>
      <w:r w:rsidRPr="00E12EC4">
        <w:rPr>
          <w:rFonts w:ascii="Calibri" w:hAnsi="Calibri"/>
        </w:rPr>
        <w:t xml:space="preserve"> od 4000 metara pruža širokopojasna usluga.</w:t>
      </w:r>
    </w:p>
    <w:p w:rsidR="00B82EB2" w:rsidRPr="00FF6EDD" w:rsidRDefault="00B82EB2" w:rsidP="00B82EB2">
      <w:pPr>
        <w:pStyle w:val="NormalWeb"/>
        <w:spacing w:before="0" w:beforeAutospacing="0" w:after="0" w:afterAutospacing="0"/>
        <w:jc w:val="both"/>
        <w:rPr>
          <w:rFonts w:ascii="Calibri" w:hAnsi="Calibri"/>
        </w:rPr>
      </w:pPr>
    </w:p>
    <w:p w:rsidR="00B82EB2" w:rsidRDefault="00B82EB2" w:rsidP="00B82EB2">
      <w:pPr>
        <w:pStyle w:val="NormalWeb"/>
        <w:spacing w:before="0" w:beforeAutospacing="0" w:after="0" w:afterAutospacing="0"/>
        <w:jc w:val="both"/>
        <w:rPr>
          <w:rFonts w:ascii="Calibri" w:hAnsi="Calibri"/>
        </w:rPr>
      </w:pPr>
      <w:r w:rsidRPr="00B13552">
        <w:rPr>
          <w:rFonts w:ascii="Calibri" w:hAnsi="Calibri"/>
        </w:rPr>
        <w:t>HT mora u skladu s obvezom nediskriminacije obavijestiti HAKOM o svim boljim uvjetima SLA (</w:t>
      </w:r>
      <w:proofErr w:type="spellStart"/>
      <w:r w:rsidRPr="00B13552">
        <w:rPr>
          <w:rFonts w:ascii="Calibri" w:hAnsi="Calibri"/>
          <w:i/>
        </w:rPr>
        <w:t>advanced</w:t>
      </w:r>
      <w:proofErr w:type="spellEnd"/>
      <w:r w:rsidRPr="00B13552">
        <w:rPr>
          <w:rFonts w:ascii="Calibri" w:hAnsi="Calibri"/>
        </w:rPr>
        <w:t xml:space="preserve"> </w:t>
      </w:r>
      <w:r w:rsidRPr="00A82C32">
        <w:rPr>
          <w:rFonts w:ascii="Calibri" w:hAnsi="Calibri"/>
          <w:i/>
        </w:rPr>
        <w:t>SLA</w:t>
      </w:r>
      <w:r w:rsidRPr="00B13552">
        <w:rPr>
          <w:rFonts w:ascii="Calibri" w:hAnsi="Calibri"/>
        </w:rPr>
        <w:t>) koje HT možda pruža drugim operatorima na temelju komercijalnih dogovora ili za potrebe vlastite maloprodaje ili društava pod njegov</w:t>
      </w:r>
      <w:r>
        <w:rPr>
          <w:rFonts w:ascii="Calibri" w:hAnsi="Calibri"/>
        </w:rPr>
        <w:t>i</w:t>
      </w:r>
      <w:r w:rsidRPr="00B13552">
        <w:rPr>
          <w:rFonts w:ascii="Calibri" w:hAnsi="Calibri"/>
        </w:rPr>
        <w:t xml:space="preserve">m </w:t>
      </w:r>
      <w:r>
        <w:rPr>
          <w:rFonts w:ascii="Calibri" w:hAnsi="Calibri"/>
        </w:rPr>
        <w:t>nadzorom</w:t>
      </w:r>
      <w:r w:rsidRPr="00B13552">
        <w:rPr>
          <w:rFonts w:ascii="Calibri" w:hAnsi="Calibri"/>
        </w:rPr>
        <w:t>. Naime, na taj način HAKOM želi utvrditi osigurava li HT istovjetne uvjete u istovjetnim okolnostima za druge operatore koji pružaju istovjetne usluge, odnosno pruža li HT, u slučaju boljih uvjeta SLA, svim operatorima istu razinu SLA uz istu cijenu.</w:t>
      </w:r>
      <w:r>
        <w:rPr>
          <w:rFonts w:ascii="Calibri" w:hAnsi="Calibri"/>
        </w:rPr>
        <w:t xml:space="preserve"> </w:t>
      </w:r>
    </w:p>
    <w:p w:rsidR="00B82EB2" w:rsidRDefault="00B82EB2" w:rsidP="00B82EB2">
      <w:pPr>
        <w:pStyle w:val="NormalWeb"/>
        <w:spacing w:before="0" w:beforeAutospacing="0" w:after="0" w:afterAutospacing="0"/>
        <w:jc w:val="both"/>
        <w:rPr>
          <w:rFonts w:ascii="Calibri" w:hAnsi="Calibri"/>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Migracijske procedure između veleprodajnih usluga</w:t>
      </w:r>
    </w:p>
    <w:p w:rsidR="00B82EB2" w:rsidRDefault="00B82EB2" w:rsidP="00B82EB2">
      <w:pPr>
        <w:pStyle w:val="NormalWeb"/>
        <w:spacing w:before="0" w:beforeAutospacing="0" w:after="0" w:afterAutospacing="0"/>
        <w:jc w:val="both"/>
        <w:rPr>
          <w:rFonts w:ascii="Calibri" w:hAnsi="Calibri"/>
        </w:rPr>
      </w:pPr>
    </w:p>
    <w:p w:rsidR="00B82EB2" w:rsidRPr="007322E9" w:rsidRDefault="00B82EB2" w:rsidP="00B82EB2">
      <w:pPr>
        <w:spacing w:after="120"/>
        <w:jc w:val="both"/>
        <w:rPr>
          <w:rFonts w:eastAsia="Calibri" w:cs="Calibri"/>
        </w:rPr>
      </w:pPr>
      <w:r w:rsidRPr="007322E9">
        <w:rPr>
          <w:rFonts w:eastAsia="Calibri" w:cs="Calibri"/>
        </w:rPr>
        <w:t xml:space="preserve">Nadalje, HAKOM </w:t>
      </w:r>
      <w:r>
        <w:rPr>
          <w:rFonts w:eastAsia="Calibri" w:cs="Calibri"/>
        </w:rPr>
        <w:t>određuje</w:t>
      </w:r>
      <w:r w:rsidRPr="007322E9">
        <w:rPr>
          <w:rFonts w:eastAsia="Calibri" w:cs="Calibri"/>
        </w:rPr>
        <w:t xml:space="preserve"> HT-u obvez</w:t>
      </w:r>
      <w:r>
        <w:rPr>
          <w:rFonts w:eastAsia="Calibri" w:cs="Calibri"/>
        </w:rPr>
        <w:t>u</w:t>
      </w:r>
      <w:r w:rsidRPr="007322E9">
        <w:rPr>
          <w:rFonts w:eastAsia="Calibri" w:cs="Calibri"/>
        </w:rPr>
        <w:t xml:space="preserve"> </w:t>
      </w:r>
      <w:r>
        <w:rPr>
          <w:rFonts w:eastAsia="Calibri" w:cs="Calibri"/>
        </w:rPr>
        <w:t xml:space="preserve">omogućiti migraciju između svih veleprodajnih </w:t>
      </w:r>
      <w:r w:rsidRPr="007322E9">
        <w:rPr>
          <w:rFonts w:eastAsia="Calibri" w:cs="Calibri"/>
        </w:rPr>
        <w:t>usluga</w:t>
      </w:r>
      <w:r>
        <w:rPr>
          <w:rFonts w:eastAsia="Calibri" w:cs="Calibri"/>
        </w:rPr>
        <w:t xml:space="preserve">. </w:t>
      </w:r>
      <w:r w:rsidRPr="007322E9">
        <w:rPr>
          <w:rFonts w:eastAsia="Calibri" w:cs="Calibri"/>
        </w:rPr>
        <w:t>Procedure te pripadajući troškovi procesa migracije trebaju biti sastavni dio standardn</w:t>
      </w:r>
      <w:r>
        <w:rPr>
          <w:rFonts w:eastAsia="Calibri" w:cs="Calibri"/>
        </w:rPr>
        <w:t>ih</w:t>
      </w:r>
      <w:r w:rsidRPr="007322E9">
        <w:rPr>
          <w:rFonts w:eastAsia="Calibri" w:cs="Calibri"/>
        </w:rPr>
        <w:t xml:space="preserve"> ponud</w:t>
      </w:r>
      <w:r>
        <w:rPr>
          <w:rFonts w:eastAsia="Calibri" w:cs="Calibri"/>
        </w:rPr>
        <w:t>a</w:t>
      </w:r>
      <w:r w:rsidRPr="007322E9">
        <w:rPr>
          <w:rFonts w:eastAsia="Calibri" w:cs="Calibri"/>
        </w:rPr>
        <w:t>. Procedure migracije trebaju minimalno sadržavati:</w:t>
      </w:r>
    </w:p>
    <w:p w:rsidR="00B82EB2" w:rsidRPr="007322E9" w:rsidRDefault="00B82EB2" w:rsidP="00766501">
      <w:pPr>
        <w:numPr>
          <w:ilvl w:val="0"/>
          <w:numId w:val="38"/>
        </w:numPr>
        <w:spacing w:after="200"/>
        <w:jc w:val="both"/>
        <w:rPr>
          <w:rFonts w:eastAsia="Calibri"/>
        </w:rPr>
      </w:pPr>
      <w:r w:rsidRPr="007322E9">
        <w:rPr>
          <w:rFonts w:eastAsia="Calibri"/>
        </w:rPr>
        <w:t xml:space="preserve">vrijeme potrebno za provođenje migracije korisnika s pripadajućim maksimalnim volumenom izvršenih zahtjeva </w:t>
      </w:r>
    </w:p>
    <w:p w:rsidR="00B82EB2" w:rsidRPr="00AC50FC" w:rsidRDefault="00B82EB2" w:rsidP="00766501">
      <w:pPr>
        <w:numPr>
          <w:ilvl w:val="0"/>
          <w:numId w:val="38"/>
        </w:numPr>
        <w:spacing w:after="200"/>
        <w:jc w:val="both"/>
        <w:rPr>
          <w:rFonts w:eastAsia="Calibri"/>
        </w:rPr>
      </w:pPr>
      <w:r w:rsidRPr="00AC50FC">
        <w:rPr>
          <w:rFonts w:eastAsia="Calibri"/>
        </w:rPr>
        <w:t>vrijeme u kojem će korisnici biti bez usluge (s obzirom da je migracijski proces pokrenut od strane operatora i da je isti u potpunosti neprimjetan krajnjem korisniku</w:t>
      </w:r>
      <w:r>
        <w:rPr>
          <w:rFonts w:eastAsia="Calibri"/>
        </w:rPr>
        <w:t xml:space="preserve">, </w:t>
      </w:r>
      <w:r w:rsidRPr="00AC50FC">
        <w:rPr>
          <w:rFonts w:eastAsia="Calibri"/>
        </w:rPr>
        <w:t xml:space="preserve">navedeni prekid usluge mora biti sveden na minimum) </w:t>
      </w:r>
    </w:p>
    <w:p w:rsidR="00B82EB2" w:rsidRPr="00315BDC" w:rsidRDefault="00B82EB2" w:rsidP="00766501">
      <w:pPr>
        <w:numPr>
          <w:ilvl w:val="0"/>
          <w:numId w:val="38"/>
        </w:numPr>
        <w:spacing w:after="200"/>
        <w:jc w:val="both"/>
        <w:rPr>
          <w:rFonts w:eastAsia="Calibri"/>
        </w:rPr>
      </w:pPr>
      <w:r w:rsidRPr="007322E9">
        <w:rPr>
          <w:rFonts w:eastAsia="Calibri"/>
        </w:rPr>
        <w:t>SLA uvjete.</w:t>
      </w: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Ostale odredbe</w:t>
      </w:r>
    </w:p>
    <w:p w:rsidR="00B82EB2" w:rsidRPr="00315BDC"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pStyle w:val="NormalWeb"/>
        <w:spacing w:before="0" w:beforeAutospacing="0" w:after="200" w:afterAutospacing="0"/>
        <w:jc w:val="both"/>
        <w:rPr>
          <w:rFonts w:ascii="Calibri" w:eastAsia="Calibri" w:hAnsi="Calibri"/>
        </w:rPr>
      </w:pPr>
      <w:r w:rsidRPr="002E791C">
        <w:rPr>
          <w:rFonts w:ascii="Calibri" w:hAnsi="Calibri"/>
        </w:rPr>
        <w:t xml:space="preserve">U skladu s člankom </w:t>
      </w:r>
      <w:r>
        <w:rPr>
          <w:rFonts w:ascii="Calibri" w:hAnsi="Calibri"/>
        </w:rPr>
        <w:t>106. stavkom 3. alinejom 3. ZEK-a</w:t>
      </w:r>
      <w:r w:rsidRPr="002E791C">
        <w:rPr>
          <w:rFonts w:ascii="Calibri" w:hAnsi="Calibri"/>
        </w:rPr>
        <w:t>,</w:t>
      </w:r>
      <w:r>
        <w:rPr>
          <w:rFonts w:ascii="Calibri" w:hAnsi="Calibri"/>
        </w:rPr>
        <w:t xml:space="preserve"> </w:t>
      </w:r>
      <w:r w:rsidRPr="002E791C">
        <w:rPr>
          <w:rFonts w:ascii="Calibri" w:hAnsi="Calibri"/>
        </w:rPr>
        <w:t>HT</w:t>
      </w:r>
      <w:r>
        <w:rPr>
          <w:rFonts w:ascii="Calibri" w:hAnsi="Calibri"/>
        </w:rPr>
        <w:t xml:space="preserve"> je</w:t>
      </w:r>
      <w:r w:rsidRPr="002E791C">
        <w:rPr>
          <w:rFonts w:ascii="Calibri" w:hAnsi="Calibri"/>
        </w:rPr>
        <w:t xml:space="preserve"> obvez</w:t>
      </w:r>
      <w:r>
        <w:rPr>
          <w:rFonts w:ascii="Calibri" w:hAnsi="Calibri"/>
        </w:rPr>
        <w:t>an</w:t>
      </w:r>
      <w:r w:rsidRPr="002E791C">
        <w:rPr>
          <w:rFonts w:ascii="Calibri" w:hAnsi="Calibri"/>
        </w:rPr>
        <w:t xml:space="preserve"> pregova</w:t>
      </w:r>
      <w:r>
        <w:rPr>
          <w:rFonts w:ascii="Calibri" w:hAnsi="Calibri"/>
        </w:rPr>
        <w:t>rati u dobroj vjeri</w:t>
      </w:r>
      <w:r w:rsidRPr="002E791C">
        <w:rPr>
          <w:rFonts w:ascii="Calibri" w:hAnsi="Calibri"/>
        </w:rPr>
        <w:t xml:space="preserve"> s </w:t>
      </w:r>
      <w:r>
        <w:rPr>
          <w:rFonts w:ascii="Calibri" w:hAnsi="Calibri"/>
        </w:rPr>
        <w:t>poduzetnicima</w:t>
      </w:r>
      <w:r w:rsidRPr="002E791C">
        <w:rPr>
          <w:rFonts w:ascii="Calibri" w:hAnsi="Calibri"/>
        </w:rPr>
        <w:t xml:space="preserve"> koji traže pristup, na način da </w:t>
      </w:r>
      <w:r>
        <w:rPr>
          <w:rFonts w:ascii="Calibri" w:hAnsi="Calibri"/>
        </w:rPr>
        <w:t xml:space="preserve">pravodobno </w:t>
      </w:r>
      <w:r w:rsidRPr="002E791C">
        <w:rPr>
          <w:rFonts w:ascii="Calibri" w:hAnsi="Calibri"/>
        </w:rPr>
        <w:t xml:space="preserve">mora odgovoriti na svaki razuman zahtjev. </w:t>
      </w:r>
      <w:r w:rsidRPr="00B6263A">
        <w:rPr>
          <w:rFonts w:ascii="Calibri" w:eastAsia="Calibri" w:hAnsi="Calibri"/>
        </w:rPr>
        <w:t xml:space="preserve">HT je ocjenjivanje razumnog zahtjeva obvezan provoditi u skladu s obvezom nediskriminacije koja mu je određena i tehničkim mogućnostima vlastite mreže. </w:t>
      </w:r>
    </w:p>
    <w:p w:rsidR="00B82EB2" w:rsidRDefault="00B82EB2" w:rsidP="00B82EB2">
      <w:pPr>
        <w:spacing w:after="200"/>
        <w:jc w:val="both"/>
      </w:pPr>
      <w:r>
        <w:t>HT je u skladu s člankom 114. ZEK-a, obvezan</w:t>
      </w:r>
      <w:r w:rsidRPr="00DA268A">
        <w:t xml:space="preserve"> unaprijed i pravodobno, obavijestiti </w:t>
      </w:r>
      <w:r>
        <w:t>HAKOM</w:t>
      </w:r>
      <w:r w:rsidRPr="00DA268A">
        <w:t xml:space="preserve"> o namjeri stavljanja dijelova mreže izvan uporabe ili zamjene novom infrastrukturom, uključujući povijesnu infrastrukturu potrebnu za rad bakrene mreže.</w:t>
      </w:r>
      <w:r>
        <w:t xml:space="preserve"> Po primitku navedene obavijesti, HAKOM će ocijeniti osigurava li</w:t>
      </w:r>
      <w:r w:rsidRPr="00DA268A">
        <w:t xml:space="preserve"> postupak prelaska dostatnu zaštitu tržišnog natjecanja i prava krajnjih korisnika</w:t>
      </w:r>
      <w:r>
        <w:t xml:space="preserve">, pri čemu će svoju ocjenu temeljiti i na mišljenjima koje će prikupiti od dionika na tržištu. Stoga, vezano uz potpunu zamjenu bakrene infrastrukture svjetlovodnom infrastrukturom (gašenje bakrene infrastrukture), HAKOM će po obavijesti HT-a u skladu s člankom 114. ZEK-a, provesti postupak opisan u ovom odlomku. </w:t>
      </w:r>
    </w:p>
    <w:p w:rsidR="00B82EB2" w:rsidRPr="00E07E63" w:rsidRDefault="00B82EB2" w:rsidP="00B82EB2">
      <w:pPr>
        <w:spacing w:after="200"/>
        <w:jc w:val="both"/>
      </w:pPr>
      <w:r w:rsidRPr="004E20C9">
        <w:t xml:space="preserve">Vezano uz </w:t>
      </w:r>
      <w:proofErr w:type="spellStart"/>
      <w:r w:rsidRPr="004E20C9">
        <w:t>rekonfiguracije</w:t>
      </w:r>
      <w:proofErr w:type="spellEnd"/>
      <w:r w:rsidRPr="004E20C9">
        <w:t xml:space="preserve"> u pristupnoj mreži u skladu s FTTN i FTTC konceptom, HT-u su već prethodnim analizama utvrđeni rokovi i uvjeti te su isti i određeni u okviru obveze transparentnosti i ovom analizom. Nadalje, kao što je već prethodnom analizom bilo utvrđeno, HAKOM određuje da HT može ukinuti već odobreni pristup u roku od šest mjeseci od dana slanja obavijesti operatorima korisnicima o preusmjeravanju dijela mreže na novi nezavisni čvor (FTTN koncept) ukoliko se radi o rekonstrukciji petlji čije slabljenje na frekvenciji od 1 MHz iznosi više od 52 dB (što je ekvivalent fizičkoj duljini parice od 2 km za vodiča pr</w:t>
      </w:r>
      <w:r w:rsidRPr="00E07E63">
        <w:t>omjer 0.4 mm). U tom slučaju, HT će operatorima korisnicima Standardne ponude HT-a za uslugu izdvojenog pristupa lokalnoj petlji ponuditi uslugu veleprodajnog širokopojasnog pristupa sukladno Standardnoj ponudi HT-a za uslugu veleprodajnog širokopojasnog pristupa, po cijeni usluge izdvojenog pristupa lokalnoj petlji za sve krajnje korisnike koji bi zbog promjena u arhitekturi mreže ostali bez usluga koje im je dotada operator korisnik Standardne ponude HT-a za uslugu izdvojenog pristupa lokalnoj petlji pružao i to u trajanju od dvije godine nakon ukidanja pristupa. Postojeća usluga izdvojenog pristupa lokalnoj petlji zamijenit će se bitstream rješenjem koje će sa strane krajnjeg korisnika zadržati karakteristike usluge izdvojenog pristupa lokalnoj petlji.</w:t>
      </w:r>
    </w:p>
    <w:p w:rsidR="00B82EB2" w:rsidRPr="00FF6EDD" w:rsidRDefault="00B82EB2" w:rsidP="00B82EB2">
      <w:pPr>
        <w:pStyle w:val="NormalWeb"/>
        <w:spacing w:before="120" w:beforeAutospacing="0" w:after="120" w:afterAutospacing="0"/>
        <w:jc w:val="center"/>
        <w:rPr>
          <w:rFonts w:ascii="Calibri" w:hAnsi="Calibri"/>
        </w:rPr>
      </w:pPr>
      <w:r w:rsidRPr="00FF6EDD">
        <w:rPr>
          <w:rFonts w:ascii="Calibri" w:hAnsi="Calibri"/>
        </w:rPr>
        <w:t>***</w:t>
      </w:r>
    </w:p>
    <w:p w:rsidR="00B82EB2" w:rsidRPr="00105352" w:rsidRDefault="00B82EB2" w:rsidP="00B82EB2">
      <w:pPr>
        <w:pStyle w:val="NormalWeb"/>
        <w:spacing w:before="0" w:beforeAutospacing="0" w:after="0" w:afterAutospacing="0"/>
        <w:jc w:val="both"/>
        <w:rPr>
          <w:rFonts w:ascii="Calibri" w:hAnsi="Calibri"/>
        </w:rPr>
      </w:pPr>
      <w:r w:rsidRPr="00542BCC">
        <w:rPr>
          <w:rFonts w:ascii="Calibri" w:eastAsia="Calibri" w:hAnsi="Calibri" w:cs="Calibri"/>
        </w:rPr>
        <w:t xml:space="preserve">Iako je HAKOM odredio obvezu pristupa i korištenja posebnih mrežnih sastavnica i povezane opreme, HT i dalje kao operator sa značajnom tržišnom snagom može zlorabiti svoju poziciju, postaviti prepreke razvoju tržišnog natjecanja koje su prepoznate </w:t>
      </w:r>
      <w:r w:rsidRPr="00A17EA8">
        <w:rPr>
          <w:rFonts w:ascii="Calibri" w:eastAsia="Calibri" w:hAnsi="Calibri" w:cs="Calibri"/>
          <w:shd w:val="clear" w:color="auto" w:fill="FFFFFF" w:themeFill="background1"/>
        </w:rPr>
        <w:t xml:space="preserve">u poglavljima </w:t>
      </w:r>
      <w:r w:rsidR="0007047F">
        <w:rPr>
          <w:rFonts w:ascii="Calibri" w:eastAsia="Calibri" w:hAnsi="Calibri" w:cs="Calibri"/>
          <w:shd w:val="clear" w:color="auto" w:fill="FFFFFF" w:themeFill="background1"/>
        </w:rPr>
        <w:fldChar w:fldCharType="begin"/>
      </w:r>
      <w:r w:rsidR="0007047F">
        <w:rPr>
          <w:rFonts w:ascii="Calibri" w:eastAsia="Calibri" w:hAnsi="Calibri" w:cs="Calibri"/>
          <w:shd w:val="clear" w:color="auto" w:fill="FFFFFF" w:themeFill="background1"/>
        </w:rPr>
        <w:instrText xml:space="preserve"> REF _Ref125566459 \r \h </w:instrText>
      </w:r>
      <w:r w:rsidR="0007047F">
        <w:rPr>
          <w:rFonts w:ascii="Calibri" w:eastAsia="Calibri" w:hAnsi="Calibri" w:cs="Calibri"/>
          <w:shd w:val="clear" w:color="auto" w:fill="FFFFFF" w:themeFill="background1"/>
        </w:rPr>
      </w:r>
      <w:r w:rsidR="0007047F">
        <w:rPr>
          <w:rFonts w:ascii="Calibri" w:eastAsia="Calibri" w:hAnsi="Calibri" w:cs="Calibri"/>
          <w:shd w:val="clear" w:color="auto" w:fill="FFFFFF" w:themeFill="background1"/>
        </w:rPr>
        <w:fldChar w:fldCharType="separate"/>
      </w:r>
      <w:r w:rsidR="0007047F">
        <w:rPr>
          <w:rFonts w:ascii="Calibri" w:eastAsia="Calibri" w:hAnsi="Calibri" w:cs="Calibri"/>
          <w:shd w:val="clear" w:color="auto" w:fill="FFFFFF" w:themeFill="background1"/>
        </w:rPr>
        <w:t>7.2</w:t>
      </w:r>
      <w:r w:rsidR="0007047F">
        <w:rPr>
          <w:rFonts w:ascii="Calibri" w:eastAsia="Calibri" w:hAnsi="Calibri" w:cs="Calibri"/>
          <w:shd w:val="clear" w:color="auto" w:fill="FFFFFF" w:themeFill="background1"/>
        </w:rPr>
        <w:fldChar w:fldCharType="end"/>
      </w:r>
      <w:r w:rsidR="0007047F">
        <w:rPr>
          <w:rFonts w:ascii="Calibri" w:eastAsia="Calibri" w:hAnsi="Calibri" w:cs="Calibri"/>
          <w:shd w:val="clear" w:color="auto" w:fill="FFFFFF" w:themeFill="background1"/>
        </w:rPr>
        <w:t xml:space="preserve"> </w:t>
      </w:r>
      <w:r w:rsidRPr="00A17EA8">
        <w:rPr>
          <w:rFonts w:ascii="Calibri" w:eastAsia="Calibri" w:hAnsi="Calibri" w:cs="Calibri"/>
          <w:shd w:val="clear" w:color="auto" w:fill="FFFFFF" w:themeFill="background1"/>
        </w:rPr>
        <w:t xml:space="preserve">i </w:t>
      </w:r>
      <w:r w:rsidR="0007047F">
        <w:rPr>
          <w:rFonts w:ascii="Calibri" w:eastAsia="Calibri" w:hAnsi="Calibri" w:cs="Calibri"/>
          <w:shd w:val="clear" w:color="auto" w:fill="FFFFFF" w:themeFill="background1"/>
        </w:rPr>
        <w:fldChar w:fldCharType="begin"/>
      </w:r>
      <w:r w:rsidR="0007047F">
        <w:rPr>
          <w:rFonts w:ascii="Calibri" w:eastAsia="Calibri" w:hAnsi="Calibri" w:cs="Calibri"/>
          <w:shd w:val="clear" w:color="auto" w:fill="FFFFFF" w:themeFill="background1"/>
        </w:rPr>
        <w:instrText xml:space="preserve"> REF _Ref125566481 \r \h </w:instrText>
      </w:r>
      <w:r w:rsidR="0007047F">
        <w:rPr>
          <w:rFonts w:ascii="Calibri" w:eastAsia="Calibri" w:hAnsi="Calibri" w:cs="Calibri"/>
          <w:shd w:val="clear" w:color="auto" w:fill="FFFFFF" w:themeFill="background1"/>
        </w:rPr>
      </w:r>
      <w:r w:rsidR="0007047F">
        <w:rPr>
          <w:rFonts w:ascii="Calibri" w:eastAsia="Calibri" w:hAnsi="Calibri" w:cs="Calibri"/>
          <w:shd w:val="clear" w:color="auto" w:fill="FFFFFF" w:themeFill="background1"/>
        </w:rPr>
        <w:fldChar w:fldCharType="separate"/>
      </w:r>
      <w:r w:rsidR="0007047F">
        <w:rPr>
          <w:rFonts w:ascii="Calibri" w:eastAsia="Calibri" w:hAnsi="Calibri" w:cs="Calibri"/>
          <w:shd w:val="clear" w:color="auto" w:fill="FFFFFF" w:themeFill="background1"/>
        </w:rPr>
        <w:t>7.3</w:t>
      </w:r>
      <w:r w:rsidR="0007047F">
        <w:rPr>
          <w:rFonts w:ascii="Calibri" w:eastAsia="Calibri" w:hAnsi="Calibri" w:cs="Calibri"/>
          <w:shd w:val="clear" w:color="auto" w:fill="FFFFFF" w:themeFill="background1"/>
        </w:rPr>
        <w:fldChar w:fldCharType="end"/>
      </w:r>
      <w:r w:rsidR="0007047F">
        <w:rPr>
          <w:rFonts w:ascii="Calibri" w:eastAsia="Calibri" w:hAnsi="Calibri" w:cs="Calibri"/>
          <w:shd w:val="clear" w:color="auto" w:fill="FFFFFF" w:themeFill="background1"/>
        </w:rPr>
        <w:t xml:space="preserve"> </w:t>
      </w:r>
      <w:r w:rsidRPr="00A17EA8">
        <w:rPr>
          <w:rFonts w:ascii="Calibri" w:eastAsia="Calibri" w:hAnsi="Calibri" w:cs="Calibri"/>
          <w:shd w:val="clear" w:color="auto" w:fill="FFFFFF" w:themeFill="background1"/>
        </w:rPr>
        <w:t>ovog dokumenta</w:t>
      </w:r>
      <w:r w:rsidRPr="00542BCC">
        <w:rPr>
          <w:rFonts w:ascii="Calibri" w:eastAsia="Calibri" w:hAnsi="Calibri" w:cs="Calibri"/>
        </w:rPr>
        <w:t xml:space="preserve"> te učiniti tu regulatornu obvezu neučinkovitom. Primjerice, HT može uskraćivati bitne informacije vezano uz pristup mreži, može imati nejednake uvjete pristupa mreži za svoju maloprodaju ili društva pod njegovim nadzorom u odnosu na ostale operatore. Također, HT može odrediti previsoke cijene pristupa mrežnim sastavnicama i povezanoj opremi. Nastavno na navedeno, </w:t>
      </w:r>
      <w:r w:rsidRPr="00542BCC">
        <w:rPr>
          <w:rFonts w:ascii="Calibri" w:hAnsi="Calibri"/>
        </w:rPr>
        <w:t xml:space="preserve">HAKOM smatra da regulatorna obveza pristupa i korištenja posebnih dijelova mreže, bez određivanja drugih regulatornih obveza, ne može riješiti prepreke razvoju tržišnog natjecanja prepoznate u poglavljima </w:t>
      </w:r>
      <w:r w:rsidR="0007047F">
        <w:rPr>
          <w:rFonts w:ascii="Calibri" w:hAnsi="Calibri"/>
        </w:rPr>
        <w:fldChar w:fldCharType="begin"/>
      </w:r>
      <w:r w:rsidR="0007047F">
        <w:rPr>
          <w:rFonts w:ascii="Calibri" w:hAnsi="Calibri"/>
        </w:rPr>
        <w:instrText xml:space="preserve"> REF _Ref125566499 \r \h </w:instrText>
      </w:r>
      <w:r w:rsidR="0007047F">
        <w:rPr>
          <w:rFonts w:ascii="Calibri" w:hAnsi="Calibri"/>
        </w:rPr>
      </w:r>
      <w:r w:rsidR="0007047F">
        <w:rPr>
          <w:rFonts w:ascii="Calibri" w:hAnsi="Calibri"/>
        </w:rPr>
        <w:fldChar w:fldCharType="separate"/>
      </w:r>
      <w:r w:rsidR="0007047F">
        <w:rPr>
          <w:rFonts w:ascii="Calibri" w:hAnsi="Calibri"/>
        </w:rPr>
        <w:t>7.2</w:t>
      </w:r>
      <w:r w:rsidR="0007047F">
        <w:rPr>
          <w:rFonts w:ascii="Calibri" w:hAnsi="Calibri"/>
        </w:rPr>
        <w:fldChar w:fldCharType="end"/>
      </w:r>
      <w:r w:rsidR="0007047F">
        <w:rPr>
          <w:rFonts w:ascii="Calibri" w:hAnsi="Calibri"/>
        </w:rPr>
        <w:t xml:space="preserve"> </w:t>
      </w:r>
      <w:r w:rsidRPr="00542BCC">
        <w:rPr>
          <w:rFonts w:ascii="Calibri" w:hAnsi="Calibri"/>
        </w:rPr>
        <w:t xml:space="preserve">i </w:t>
      </w:r>
      <w:r w:rsidR="0007047F">
        <w:rPr>
          <w:rFonts w:ascii="Calibri" w:hAnsi="Calibri"/>
        </w:rPr>
        <w:fldChar w:fldCharType="begin"/>
      </w:r>
      <w:r w:rsidR="0007047F">
        <w:rPr>
          <w:rFonts w:ascii="Calibri" w:hAnsi="Calibri"/>
        </w:rPr>
        <w:instrText xml:space="preserve"> REF _Ref125566511 \r \h </w:instrText>
      </w:r>
      <w:r w:rsidR="0007047F">
        <w:rPr>
          <w:rFonts w:ascii="Calibri" w:hAnsi="Calibri"/>
        </w:rPr>
      </w:r>
      <w:r w:rsidR="0007047F">
        <w:rPr>
          <w:rFonts w:ascii="Calibri" w:hAnsi="Calibri"/>
        </w:rPr>
        <w:fldChar w:fldCharType="separate"/>
      </w:r>
      <w:r w:rsidR="0007047F">
        <w:rPr>
          <w:rFonts w:ascii="Calibri" w:hAnsi="Calibri"/>
        </w:rPr>
        <w:t>7.3</w:t>
      </w:r>
      <w:r w:rsidR="0007047F">
        <w:rPr>
          <w:rFonts w:ascii="Calibri" w:hAnsi="Calibri"/>
        </w:rPr>
        <w:fldChar w:fldCharType="end"/>
      </w:r>
      <w:r w:rsidR="0007047F">
        <w:rPr>
          <w:rFonts w:ascii="Calibri" w:hAnsi="Calibri"/>
        </w:rPr>
        <w:t xml:space="preserve"> </w:t>
      </w:r>
      <w:r w:rsidRPr="00542BCC">
        <w:rPr>
          <w:rFonts w:ascii="Calibri" w:hAnsi="Calibri"/>
        </w:rPr>
        <w:t>ovog dokumenta, te stoga HAKOM smatra da je potrebno navedenu obvezu dopuniti drugim obvezama.</w:t>
      </w:r>
    </w:p>
    <w:p w:rsidR="00B82EB2" w:rsidRDefault="00B82EB2" w:rsidP="00B82EB2">
      <w:pPr>
        <w:pStyle w:val="NormalWeb"/>
        <w:spacing w:before="0" w:beforeAutospacing="0" w:after="0" w:afterAutospacing="0"/>
        <w:jc w:val="both"/>
        <w:rPr>
          <w:rFonts w:ascii="Calibri" w:hAnsi="Calibri"/>
        </w:rPr>
      </w:pPr>
    </w:p>
    <w:p w:rsidR="00B82EB2" w:rsidRPr="00E970CD" w:rsidRDefault="00B82EB2" w:rsidP="00E970CD">
      <w:pPr>
        <w:pStyle w:val="Heading2"/>
      </w:pPr>
      <w:r>
        <w:br w:type="page"/>
      </w:r>
      <w:bookmarkStart w:id="649" w:name="_Toc353364064"/>
      <w:bookmarkStart w:id="650" w:name="_Toc414013835"/>
      <w:bookmarkStart w:id="651" w:name="_Toc420665698"/>
      <w:bookmarkStart w:id="652" w:name="_Toc11834480"/>
      <w:bookmarkStart w:id="653" w:name="_Toc124928639"/>
      <w:bookmarkStart w:id="654" w:name="_Toc124946981"/>
      <w:bookmarkStart w:id="655" w:name="_Toc124948891"/>
      <w:bookmarkStart w:id="656" w:name="_Toc124951786"/>
      <w:bookmarkStart w:id="657" w:name="_Toc125644945"/>
      <w:r w:rsidRPr="00E970CD">
        <w:t>Obveza nediskriminacije</w:t>
      </w:r>
      <w:bookmarkEnd w:id="649"/>
      <w:bookmarkEnd w:id="650"/>
      <w:bookmarkEnd w:id="651"/>
      <w:bookmarkEnd w:id="652"/>
      <w:bookmarkEnd w:id="653"/>
      <w:bookmarkEnd w:id="654"/>
      <w:bookmarkEnd w:id="655"/>
      <w:bookmarkEnd w:id="656"/>
      <w:bookmarkEnd w:id="657"/>
    </w:p>
    <w:p w:rsidR="00B82EB2" w:rsidRDefault="00B82EB2" w:rsidP="00B82EB2">
      <w:pPr>
        <w:pStyle w:val="NormalWeb"/>
        <w:spacing w:before="0" w:beforeAutospacing="0" w:after="0" w:afterAutospacing="0"/>
        <w:jc w:val="both"/>
        <w:rPr>
          <w:rFonts w:ascii="Calibri" w:hAnsi="Calibri"/>
        </w:rPr>
      </w:pPr>
      <w:r w:rsidRPr="00105352">
        <w:rPr>
          <w:rFonts w:ascii="Calibri" w:hAnsi="Calibri"/>
        </w:rPr>
        <w:t xml:space="preserve">Operator kojemu je određena obveza nediskriminacije, prema članku </w:t>
      </w:r>
      <w:r>
        <w:rPr>
          <w:rFonts w:ascii="Calibri" w:hAnsi="Calibri"/>
        </w:rPr>
        <w:t>103</w:t>
      </w:r>
      <w:r w:rsidRPr="00105352">
        <w:rPr>
          <w:rFonts w:ascii="Calibri" w:hAnsi="Calibri"/>
        </w:rPr>
        <w:t xml:space="preserve">.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w:t>
      </w:r>
      <w:r>
        <w:rPr>
          <w:rFonts w:ascii="Calibri" w:hAnsi="Calibri"/>
        </w:rPr>
        <w:t>društava pod njegovim nadzorom</w:t>
      </w:r>
      <w:r w:rsidRPr="00105352">
        <w:rPr>
          <w:rFonts w:ascii="Calibri" w:hAnsi="Calibri"/>
        </w:rPr>
        <w:t>.</w:t>
      </w:r>
    </w:p>
    <w:p w:rsidR="00B82EB2" w:rsidRPr="00105352" w:rsidRDefault="00B82EB2" w:rsidP="00B82EB2">
      <w:pPr>
        <w:pStyle w:val="NormalWeb"/>
        <w:spacing w:before="0" w:beforeAutospacing="0" w:after="0" w:afterAutospacing="0"/>
        <w:jc w:val="both"/>
        <w:rPr>
          <w:rFonts w:ascii="Calibri" w:hAnsi="Calibri"/>
        </w:rPr>
      </w:pPr>
    </w:p>
    <w:p w:rsidR="00B82EB2" w:rsidRDefault="00B82EB2" w:rsidP="00B82EB2">
      <w:pPr>
        <w:pStyle w:val="NormalWeb"/>
        <w:spacing w:before="0" w:beforeAutospacing="0" w:after="0" w:afterAutospacing="0"/>
        <w:jc w:val="both"/>
        <w:rPr>
          <w:rFonts w:ascii="Calibri" w:hAnsi="Calibri"/>
        </w:rPr>
      </w:pPr>
      <w:r w:rsidRPr="00F37B66">
        <w:rPr>
          <w:rFonts w:ascii="Calibri" w:hAnsi="Calibri"/>
        </w:rPr>
        <w:t>Drugim riječima, operator sa značajnom tržišnom snagom bi, u odsustvu ove regulatorne obveze, mogao diskriminirati ostale postojeće ili nove operatore</w:t>
      </w:r>
      <w:r>
        <w:rPr>
          <w:rFonts w:ascii="Calibri" w:hAnsi="Calibri"/>
        </w:rPr>
        <w:t>, između ostalog,</w:t>
      </w:r>
      <w:r w:rsidRPr="00F37B66">
        <w:rPr>
          <w:rFonts w:ascii="Calibri" w:hAnsi="Calibri"/>
        </w:rPr>
        <w:t xml:space="preserve"> nuđenjem usluga slabije kvalitete ili nuđenjem usluga po višoj cijeni</w:t>
      </w:r>
      <w:r>
        <w:rPr>
          <w:rFonts w:ascii="Calibri" w:hAnsi="Calibri"/>
        </w:rPr>
        <w:t>,</w:t>
      </w:r>
      <w:r w:rsidRPr="00F37B66">
        <w:rPr>
          <w:rFonts w:ascii="Calibri" w:hAnsi="Calibri"/>
        </w:rPr>
        <w:t xml:space="preserve"> nego što i</w:t>
      </w:r>
      <w:r>
        <w:rPr>
          <w:rFonts w:ascii="Calibri" w:hAnsi="Calibri"/>
        </w:rPr>
        <w:t>h</w:t>
      </w:r>
      <w:r w:rsidRPr="00F37B66">
        <w:rPr>
          <w:rFonts w:ascii="Calibri" w:hAnsi="Calibri"/>
        </w:rPr>
        <w:t xml:space="preserve"> nud</w:t>
      </w:r>
      <w:r>
        <w:rPr>
          <w:rFonts w:ascii="Calibri" w:hAnsi="Calibri"/>
        </w:rPr>
        <w:t>i</w:t>
      </w:r>
      <w:r w:rsidRPr="00F37B66">
        <w:rPr>
          <w:rFonts w:ascii="Calibri" w:hAnsi="Calibri"/>
        </w:rPr>
        <w:t xml:space="preserve"> svom maloprodajnom dijelu (za vlastite potrebe) ili </w:t>
      </w:r>
      <w:r>
        <w:rPr>
          <w:rFonts w:ascii="Calibri" w:hAnsi="Calibri"/>
        </w:rPr>
        <w:t>društvima pod njegovom nadzorom</w:t>
      </w:r>
      <w:r w:rsidRPr="00F37B66">
        <w:rPr>
          <w:rFonts w:ascii="Calibri" w:hAnsi="Calibri"/>
        </w:rPr>
        <w:t>. Svako ponašanje, koje bi bilo u smjeru gore navedenog, dovelo bi do otežanog ulaska novih operatora na tržište, a samim time i do manje konkurencije na maloprodajnom tržištu, a što bi u konačnici najviše pogodilo krajnje korisnike.</w:t>
      </w:r>
    </w:p>
    <w:p w:rsidR="00B82EB2" w:rsidRPr="00105352" w:rsidRDefault="00B82EB2" w:rsidP="00B82EB2">
      <w:pPr>
        <w:pStyle w:val="NormalWeb"/>
        <w:spacing w:before="0" w:beforeAutospacing="0" w:after="0" w:afterAutospacing="0"/>
        <w:jc w:val="both"/>
        <w:rPr>
          <w:rFonts w:ascii="Calibri" w:hAnsi="Calibri"/>
        </w:rPr>
      </w:pPr>
    </w:p>
    <w:p w:rsidR="00B82EB2" w:rsidRPr="00105352" w:rsidRDefault="00B82EB2" w:rsidP="00B82EB2">
      <w:pPr>
        <w:jc w:val="both"/>
      </w:pPr>
      <w:r w:rsidRPr="00105352">
        <w:t xml:space="preserve">Slijedom svega navedenog, HAKOM </w:t>
      </w:r>
      <w:r>
        <w:t xml:space="preserve">određuje </w:t>
      </w:r>
      <w:r w:rsidRPr="00105352">
        <w:t xml:space="preserve">HT-u, kao operatoru sa značajnom tržišnom snagom na mjerodavnom tržištu </w:t>
      </w:r>
      <w:r w:rsidRPr="00D21CC3">
        <w:rPr>
          <w:rFonts w:cs="Calibri"/>
        </w:rPr>
        <w:t>malog kapaciteta</w:t>
      </w:r>
      <w:r>
        <w:rPr>
          <w:rFonts w:cs="Calibri"/>
        </w:rPr>
        <w:t xml:space="preserve"> i na </w:t>
      </w:r>
      <w:r w:rsidRPr="00D21CC3">
        <w:rPr>
          <w:rFonts w:cs="Calibri"/>
        </w:rPr>
        <w:t>tržištu velikog kapaciteta – nekonkurentna područja</w:t>
      </w:r>
      <w:r w:rsidRPr="00105352">
        <w:t>, regulatornu obvezu nediskriminacije te je u skladu s navedenom regulatornom obvezom HT obvezan:</w:t>
      </w:r>
    </w:p>
    <w:p w:rsidR="00B82EB2" w:rsidRPr="00105352" w:rsidRDefault="00B82EB2" w:rsidP="00B82EB2">
      <w:pPr>
        <w:jc w:val="both"/>
      </w:pPr>
    </w:p>
    <w:p w:rsidR="00B82EB2" w:rsidRPr="00105352" w:rsidRDefault="00B82EB2" w:rsidP="00766501">
      <w:pPr>
        <w:numPr>
          <w:ilvl w:val="0"/>
          <w:numId w:val="24"/>
        </w:numPr>
        <w:jc w:val="both"/>
      </w:pPr>
      <w:r w:rsidRPr="00105352">
        <w:t>osigurati jednake uvjete</w:t>
      </w:r>
      <w:r>
        <w:rPr>
          <w:rStyle w:val="FootnoteReference"/>
        </w:rPr>
        <w:footnoteReference w:id="57"/>
      </w:r>
      <w:r w:rsidRPr="00105352">
        <w:t xml:space="preserve"> u istovjetnim okolnostima za druge operatore koji pružaju istovjetne usluge</w:t>
      </w:r>
    </w:p>
    <w:p w:rsidR="00B82EB2" w:rsidRPr="00105352" w:rsidRDefault="00B82EB2" w:rsidP="00766501">
      <w:pPr>
        <w:numPr>
          <w:ilvl w:val="0"/>
          <w:numId w:val="24"/>
        </w:numPr>
        <w:jc w:val="both"/>
      </w:pPr>
      <w:r w:rsidRPr="00105352">
        <w:t xml:space="preserve">pružati usluge i podatke drugim operatorima uz jednake uvjete i razinu kakvoće usluge koju osigurava za svoje vlastite usluge ili za potrebe </w:t>
      </w:r>
      <w:r>
        <w:t>društava pod njegovim nadzorom</w:t>
      </w:r>
    </w:p>
    <w:p w:rsidR="00B82EB2" w:rsidRPr="00105352" w:rsidRDefault="00B82EB2" w:rsidP="00766501">
      <w:pPr>
        <w:numPr>
          <w:ilvl w:val="0"/>
          <w:numId w:val="24"/>
        </w:numPr>
        <w:jc w:val="both"/>
      </w:pPr>
      <w:r w:rsidRPr="00105352">
        <w:t>dostaviti HAKOM-u ugovore sklopljene na temelju standardn</w:t>
      </w:r>
      <w:r>
        <w:t>ih</w:t>
      </w:r>
      <w:r w:rsidRPr="00105352">
        <w:t xml:space="preserve"> </w:t>
      </w:r>
      <w:r>
        <w:t xml:space="preserve">ponuda </w:t>
      </w:r>
      <w:r w:rsidRPr="00105352">
        <w:t>u roku od 15 dana od dana sklapanja istih.</w:t>
      </w:r>
    </w:p>
    <w:p w:rsidR="00B82EB2" w:rsidRPr="00105352" w:rsidRDefault="00B82EB2" w:rsidP="00B82EB2">
      <w:pPr>
        <w:pStyle w:val="NormalWeb"/>
        <w:spacing w:before="0" w:beforeAutospacing="0" w:after="0" w:afterAutospacing="0"/>
        <w:jc w:val="both"/>
        <w:rPr>
          <w:rFonts w:ascii="Calibri" w:hAnsi="Calibri"/>
        </w:rPr>
      </w:pPr>
    </w:p>
    <w:p w:rsidR="00B82EB2" w:rsidRPr="00105352" w:rsidRDefault="00B82EB2" w:rsidP="00B82EB2">
      <w:pPr>
        <w:pStyle w:val="NormalWeb"/>
        <w:spacing w:before="0" w:beforeAutospacing="0" w:after="0" w:afterAutospacing="0"/>
        <w:jc w:val="both"/>
        <w:rPr>
          <w:rFonts w:ascii="Calibri" w:hAnsi="Calibri"/>
        </w:rPr>
      </w:pPr>
      <w:r w:rsidRPr="00105352">
        <w:rPr>
          <w:rFonts w:ascii="Calibri" w:hAnsi="Calibri"/>
        </w:rPr>
        <w:t>Regulatornom obvezom nediskriminacije djelomično se uklanja mogućnost pojav</w:t>
      </w:r>
      <w:r>
        <w:rPr>
          <w:rFonts w:ascii="Calibri" w:hAnsi="Calibri"/>
        </w:rPr>
        <w:t>e</w:t>
      </w:r>
      <w:r w:rsidRPr="00105352">
        <w:rPr>
          <w:rFonts w:ascii="Calibri" w:hAnsi="Calibri"/>
        </w:rPr>
        <w:t xml:space="preserve"> svih prepreka razvoju tržišnog natjecanja koje su definirane u </w:t>
      </w:r>
      <w:r w:rsidRPr="00A00A90">
        <w:rPr>
          <w:rFonts w:ascii="Calibri" w:hAnsi="Calibri"/>
        </w:rPr>
        <w:t xml:space="preserve">poglavljima </w:t>
      </w:r>
      <w:r w:rsidR="0007047F">
        <w:rPr>
          <w:rFonts w:ascii="Calibri" w:hAnsi="Calibri"/>
        </w:rPr>
        <w:fldChar w:fldCharType="begin"/>
      </w:r>
      <w:r w:rsidR="0007047F">
        <w:rPr>
          <w:rFonts w:ascii="Calibri" w:hAnsi="Calibri"/>
        </w:rPr>
        <w:instrText xml:space="preserve"> REF _Ref125566530 \r \h </w:instrText>
      </w:r>
      <w:r w:rsidR="0007047F">
        <w:rPr>
          <w:rFonts w:ascii="Calibri" w:hAnsi="Calibri"/>
        </w:rPr>
      </w:r>
      <w:r w:rsidR="0007047F">
        <w:rPr>
          <w:rFonts w:ascii="Calibri" w:hAnsi="Calibri"/>
        </w:rPr>
        <w:fldChar w:fldCharType="separate"/>
      </w:r>
      <w:r w:rsidR="0007047F">
        <w:rPr>
          <w:rFonts w:ascii="Calibri" w:hAnsi="Calibri"/>
        </w:rPr>
        <w:t>7.2</w:t>
      </w:r>
      <w:r w:rsidR="0007047F">
        <w:rPr>
          <w:rFonts w:ascii="Calibri" w:hAnsi="Calibri"/>
        </w:rPr>
        <w:fldChar w:fldCharType="end"/>
      </w:r>
      <w:r w:rsidR="0007047F">
        <w:rPr>
          <w:rFonts w:ascii="Calibri" w:hAnsi="Calibri"/>
        </w:rPr>
        <w:t xml:space="preserve"> </w:t>
      </w:r>
      <w:r w:rsidRPr="00A00A90">
        <w:rPr>
          <w:rFonts w:ascii="Calibri" w:hAnsi="Calibri"/>
        </w:rPr>
        <w:t xml:space="preserve">i </w:t>
      </w:r>
      <w:r w:rsidR="0007047F">
        <w:rPr>
          <w:rFonts w:ascii="Calibri" w:hAnsi="Calibri"/>
        </w:rPr>
        <w:fldChar w:fldCharType="begin"/>
      </w:r>
      <w:r w:rsidR="0007047F">
        <w:rPr>
          <w:rFonts w:ascii="Calibri" w:hAnsi="Calibri"/>
        </w:rPr>
        <w:instrText xml:space="preserve"> REF _Ref125566550 \r \h </w:instrText>
      </w:r>
      <w:r w:rsidR="0007047F">
        <w:rPr>
          <w:rFonts w:ascii="Calibri" w:hAnsi="Calibri"/>
        </w:rPr>
      </w:r>
      <w:r w:rsidR="0007047F">
        <w:rPr>
          <w:rFonts w:ascii="Calibri" w:hAnsi="Calibri"/>
        </w:rPr>
        <w:fldChar w:fldCharType="separate"/>
      </w:r>
      <w:r w:rsidR="0007047F">
        <w:rPr>
          <w:rFonts w:ascii="Calibri" w:hAnsi="Calibri"/>
        </w:rPr>
        <w:t>7.3</w:t>
      </w:r>
      <w:r w:rsidR="0007047F">
        <w:rPr>
          <w:rFonts w:ascii="Calibri" w:hAnsi="Calibri"/>
        </w:rPr>
        <w:fldChar w:fldCharType="end"/>
      </w:r>
      <w:r w:rsidRPr="00A00A90">
        <w:rPr>
          <w:rFonts w:ascii="Calibri" w:hAnsi="Calibri"/>
        </w:rPr>
        <w:t xml:space="preserve"> ovog</w:t>
      </w:r>
      <w:r w:rsidRPr="00105352">
        <w:rPr>
          <w:rFonts w:ascii="Calibri" w:hAnsi="Calibri"/>
        </w:rPr>
        <w:t xml:space="preserve"> dokumenta, i svih sličnih prepreka koje nisu </w:t>
      </w:r>
      <w:r>
        <w:rPr>
          <w:rFonts w:ascii="Calibri" w:hAnsi="Calibri"/>
        </w:rPr>
        <w:t>izravno</w:t>
      </w:r>
      <w:r w:rsidRPr="00105352">
        <w:rPr>
          <w:rFonts w:ascii="Calibri" w:hAnsi="Calibri"/>
        </w:rPr>
        <w:t xml:space="preserve"> definirane, a mogle </w:t>
      </w:r>
      <w:r>
        <w:rPr>
          <w:rFonts w:ascii="Calibri" w:hAnsi="Calibri"/>
        </w:rPr>
        <w:t xml:space="preserve">bi </w:t>
      </w:r>
      <w:r w:rsidRPr="00105352">
        <w:rPr>
          <w:rFonts w:ascii="Calibri" w:hAnsi="Calibri"/>
        </w:rPr>
        <w:t xml:space="preserve">dovesti do istih posljedica na tržištu. Navedenom regulatornom obvezom rješavaju se prepreke razvoju tržišnog natjecanja koje </w:t>
      </w:r>
      <w:r>
        <w:rPr>
          <w:rFonts w:ascii="Calibri" w:hAnsi="Calibri"/>
        </w:rPr>
        <w:t xml:space="preserve">su </w:t>
      </w:r>
      <w:r w:rsidRPr="00105352">
        <w:rPr>
          <w:rFonts w:ascii="Calibri" w:hAnsi="Calibri"/>
        </w:rPr>
        <w:t xml:space="preserve">vezane uz diskriminaciju na cjenovnoj osnovi i diskriminaciju koja nije na cjenovnoj osnovi, a koje će HAKOM dodatno </w:t>
      </w:r>
      <w:r>
        <w:rPr>
          <w:rFonts w:ascii="Calibri" w:hAnsi="Calibri"/>
        </w:rPr>
        <w:t xml:space="preserve">regulirati </w:t>
      </w:r>
      <w:r w:rsidRPr="00105352">
        <w:rPr>
          <w:rFonts w:ascii="Calibri" w:hAnsi="Calibri"/>
        </w:rPr>
        <w:t>i određivanjem regulatorne obveze transparentnosti.</w:t>
      </w:r>
    </w:p>
    <w:p w:rsidR="00B82EB2" w:rsidRPr="00105352" w:rsidRDefault="00B82EB2" w:rsidP="00B82EB2">
      <w:pPr>
        <w:pStyle w:val="NormalWeb"/>
        <w:spacing w:before="0" w:beforeAutospacing="0" w:after="0" w:afterAutospacing="0"/>
        <w:jc w:val="both"/>
        <w:rPr>
          <w:rFonts w:ascii="Calibri" w:hAnsi="Calibri"/>
        </w:rPr>
      </w:pPr>
    </w:p>
    <w:p w:rsidR="00B82EB2" w:rsidRPr="00105352" w:rsidRDefault="00B82EB2" w:rsidP="00B82EB2">
      <w:pPr>
        <w:pStyle w:val="NormalWeb"/>
        <w:spacing w:before="0" w:beforeAutospacing="0" w:after="0" w:afterAutospacing="0"/>
        <w:jc w:val="both"/>
        <w:rPr>
          <w:rFonts w:ascii="Calibri" w:hAnsi="Calibri"/>
        </w:rPr>
      </w:pPr>
      <w:r w:rsidRPr="00105352">
        <w:rPr>
          <w:rFonts w:ascii="Calibri" w:hAnsi="Calibri"/>
        </w:rPr>
        <w:t>Obvezom nediskriminacije osigura</w:t>
      </w:r>
      <w:r>
        <w:rPr>
          <w:rFonts w:ascii="Calibri" w:hAnsi="Calibri"/>
        </w:rPr>
        <w:t>va se</w:t>
      </w:r>
      <w:r w:rsidRPr="00105352">
        <w:rPr>
          <w:rFonts w:ascii="Calibri" w:hAnsi="Calibri"/>
        </w:rPr>
        <w:t xml:space="preserve"> da operatori imaju pravo na jednake uvjete uslug</w:t>
      </w:r>
      <w:r>
        <w:rPr>
          <w:rFonts w:ascii="Calibri" w:hAnsi="Calibri"/>
        </w:rPr>
        <w:t>e</w:t>
      </w:r>
      <w:r w:rsidRPr="00105352">
        <w:rPr>
          <w:rFonts w:ascii="Calibri" w:hAnsi="Calibri"/>
        </w:rPr>
        <w:t xml:space="preserve"> </w:t>
      </w:r>
      <w:r>
        <w:rPr>
          <w:rFonts w:ascii="Calibri" w:hAnsi="Calibri"/>
        </w:rPr>
        <w:t xml:space="preserve">veleprodajnog lokalnog pristupa koji se pruža na fiksnoj lokaciji </w:t>
      </w:r>
      <w:r w:rsidRPr="00105352">
        <w:rPr>
          <w:rFonts w:ascii="Calibri" w:hAnsi="Calibri"/>
        </w:rPr>
        <w:t xml:space="preserve">u jednakim okolnostima, na jednake naknade za istu veleprodajnu uslugu koje ima maloprodajni dio HT-a, te na usluge i informacije iste kvalitete kao što ih HT omogućuje svom maloprodajnom dijelu i </w:t>
      </w:r>
      <w:r>
        <w:rPr>
          <w:rFonts w:ascii="Calibri" w:hAnsi="Calibri"/>
        </w:rPr>
        <w:t>društvima pod njegovim nadzorom</w:t>
      </w:r>
      <w:r w:rsidRPr="00105352">
        <w:rPr>
          <w:rFonts w:ascii="Calibri" w:hAnsi="Calibri"/>
        </w:rPr>
        <w:t xml:space="preserve">. </w:t>
      </w:r>
    </w:p>
    <w:p w:rsidR="00B82EB2" w:rsidRPr="00105352" w:rsidRDefault="00B82EB2" w:rsidP="00B82EB2">
      <w:pPr>
        <w:jc w:val="both"/>
      </w:pPr>
    </w:p>
    <w:p w:rsidR="00B82EB2" w:rsidRDefault="00B82EB2" w:rsidP="00B82EB2">
      <w:pPr>
        <w:jc w:val="both"/>
      </w:pPr>
      <w:r w:rsidRPr="00105352">
        <w:t xml:space="preserve">Pri tome informacije moraju biti predane u jednakim vremenskim rokovima i s istom razinom kvalitete kao što ih pruža svom maloprodajnom dijelu i </w:t>
      </w:r>
      <w:r>
        <w:t>društvima pod njegovim nadzorom.</w:t>
      </w:r>
      <w:r w:rsidRPr="00105352">
        <w:t xml:space="preserve"> </w:t>
      </w:r>
    </w:p>
    <w:p w:rsidR="00B82EB2" w:rsidRPr="007322E9" w:rsidRDefault="00B82EB2" w:rsidP="00B82EB2">
      <w:pPr>
        <w:pStyle w:val="NormalWeb"/>
        <w:spacing w:before="0" w:beforeAutospacing="0" w:after="0" w:afterAutospacing="0"/>
        <w:jc w:val="both"/>
        <w:rPr>
          <w:rFonts w:ascii="Calibri" w:hAnsi="Calibri" w:cs="Calibri"/>
        </w:rPr>
      </w:pPr>
      <w:r w:rsidRPr="007322E9">
        <w:rPr>
          <w:rFonts w:ascii="Calibri" w:hAnsi="Calibri" w:cs="Calibri"/>
        </w:rPr>
        <w:t>Stoga, prilikom pružanja veleprodajne usluge ne bi smjelo doći do nerazumnih kašnjenja, grupiranja usluga ili sadržaja (osim ako postoje opravdani tehnički razlozi) te neopravdanih ugovornih uvjeta i rokova.</w:t>
      </w:r>
    </w:p>
    <w:p w:rsidR="00B82EB2" w:rsidRDefault="00B82EB2" w:rsidP="00B82EB2">
      <w:pPr>
        <w:jc w:val="both"/>
      </w:pPr>
    </w:p>
    <w:p w:rsidR="00B82EB2" w:rsidRDefault="00B82EB2" w:rsidP="00B82EB2">
      <w:pPr>
        <w:jc w:val="both"/>
      </w:pPr>
      <w:r w:rsidRPr="00105352">
        <w:t xml:space="preserve">HT je obvezan pravovremeno obavještavati sve operatore s kojima ima sklopljen ugovor o </w:t>
      </w:r>
      <w:r>
        <w:t>korištenju veleprodajne usluge,</w:t>
      </w:r>
      <w:r w:rsidRPr="00105352">
        <w:t xml:space="preserve"> o svim planiranim promjenama o mreži, odnosno o svim planovima modernizacije svoje mreže, </w:t>
      </w:r>
      <w:r>
        <w:t xml:space="preserve">pri čemu je obvezan dostavljati informacije </w:t>
      </w:r>
      <w:r w:rsidRPr="00105352">
        <w:t xml:space="preserve">na isti način i iste kvalitete kao što ih HT omogućuje svom maloprodajnom dijelu i </w:t>
      </w:r>
      <w:r>
        <w:t>društvima pod njegovim nadzorom</w:t>
      </w:r>
      <w:r w:rsidRPr="00105352">
        <w:t xml:space="preserve">. </w:t>
      </w:r>
    </w:p>
    <w:p w:rsidR="00B82EB2" w:rsidRDefault="00B82EB2" w:rsidP="00B82EB2">
      <w:pPr>
        <w:pStyle w:val="NormalWeb"/>
        <w:spacing w:before="0" w:beforeAutospacing="0" w:after="0" w:afterAutospacing="0"/>
        <w:jc w:val="both"/>
        <w:rPr>
          <w:rFonts w:ascii="Cambria" w:hAnsi="Cambria"/>
          <w:i/>
          <w:iCs/>
          <w:color w:val="4F81BD"/>
          <w:spacing w:val="15"/>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Informacije o planiranim promjenama u mreži</w:t>
      </w:r>
    </w:p>
    <w:p w:rsidR="00B82EB2"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pStyle w:val="NormalWeb"/>
        <w:spacing w:before="0" w:beforeAutospacing="0" w:after="0" w:afterAutospacing="0"/>
        <w:jc w:val="both"/>
        <w:rPr>
          <w:rFonts w:ascii="Calibri" w:hAnsi="Calibri"/>
        </w:rPr>
      </w:pPr>
      <w:r>
        <w:rPr>
          <w:rFonts w:ascii="Calibri" w:hAnsi="Calibri"/>
        </w:rPr>
        <w:t xml:space="preserve">Kao što je već određeno u obvezi pristupa, </w:t>
      </w:r>
      <w:r w:rsidRPr="00B13552">
        <w:rPr>
          <w:rFonts w:ascii="Calibri" w:hAnsi="Calibri"/>
        </w:rPr>
        <w:t xml:space="preserve">HT je obvezan pružati sve neophodne informacije o planiranim promjenama u mreži kako bi operatori korisnici bili u mogućnosti pravovremeno reagirati i prilagoditi se nastalim promjenama, a time i pravovremeno reagirati na maloprodajnoj razini. </w:t>
      </w:r>
    </w:p>
    <w:p w:rsidR="00B82EB2" w:rsidRDefault="00B82EB2" w:rsidP="00B82EB2">
      <w:pPr>
        <w:pStyle w:val="NormalWeb"/>
        <w:spacing w:before="0" w:beforeAutospacing="0" w:after="0" w:afterAutospacing="0"/>
        <w:jc w:val="both"/>
        <w:rPr>
          <w:rFonts w:ascii="Calibri" w:hAnsi="Calibri"/>
        </w:rPr>
      </w:pPr>
    </w:p>
    <w:p w:rsidR="00B82EB2" w:rsidRPr="00B13552" w:rsidRDefault="00B82EB2" w:rsidP="00B82EB2">
      <w:pPr>
        <w:pStyle w:val="NormalWeb"/>
        <w:spacing w:before="0" w:beforeAutospacing="0" w:after="0" w:afterAutospacing="0"/>
        <w:jc w:val="both"/>
        <w:rPr>
          <w:rFonts w:ascii="Calibri" w:hAnsi="Calibri"/>
        </w:rPr>
      </w:pPr>
      <w:r w:rsidRPr="0057023A">
        <w:rPr>
          <w:rFonts w:ascii="Calibri" w:hAnsi="Calibri"/>
        </w:rPr>
        <w:t xml:space="preserve">Vezano uz </w:t>
      </w:r>
      <w:proofErr w:type="spellStart"/>
      <w:r w:rsidRPr="0057023A">
        <w:rPr>
          <w:rFonts w:ascii="Calibri" w:hAnsi="Calibri"/>
        </w:rPr>
        <w:t>rekonfiguracije</w:t>
      </w:r>
      <w:proofErr w:type="spellEnd"/>
      <w:r w:rsidRPr="0057023A">
        <w:rPr>
          <w:rFonts w:ascii="Calibri" w:hAnsi="Calibri"/>
        </w:rPr>
        <w:t xml:space="preserve"> u pristupnoj mreži, HAKOM na tržištu malog kapaciteta određuje da HT mora unaprijed obavještavati operatore o planiranim </w:t>
      </w:r>
      <w:proofErr w:type="spellStart"/>
      <w:r w:rsidRPr="0057023A">
        <w:rPr>
          <w:rFonts w:ascii="Calibri" w:hAnsi="Calibri"/>
        </w:rPr>
        <w:t>rekonfiguracijama</w:t>
      </w:r>
      <w:proofErr w:type="spellEnd"/>
      <w:r w:rsidRPr="0057023A">
        <w:rPr>
          <w:rFonts w:ascii="Calibri" w:hAnsi="Calibri"/>
        </w:rPr>
        <w:t xml:space="preserve"> u pristupnoj mreži, i to</w:t>
      </w:r>
      <w:r w:rsidRPr="00B13552">
        <w:rPr>
          <w:rFonts w:ascii="Calibri" w:hAnsi="Calibri"/>
        </w:rPr>
        <w:t>:</w:t>
      </w:r>
    </w:p>
    <w:p w:rsidR="00B82EB2" w:rsidRPr="00B13552" w:rsidRDefault="00B82EB2" w:rsidP="00B82EB2">
      <w:pPr>
        <w:jc w:val="both"/>
      </w:pPr>
    </w:p>
    <w:p w:rsidR="00B82EB2" w:rsidRPr="00B13552" w:rsidRDefault="00B82EB2" w:rsidP="00766501">
      <w:pPr>
        <w:numPr>
          <w:ilvl w:val="0"/>
          <w:numId w:val="31"/>
        </w:numPr>
        <w:jc w:val="both"/>
      </w:pPr>
      <w:r w:rsidRPr="00B13552">
        <w:t xml:space="preserve">5 godina unaprijed kod preusmjeravanja dijela mreže na novi nezavisni čvor (FTTN koncept) ukoliko se radi o rekonstrukciji čvora na kojem postoji </w:t>
      </w:r>
      <w:proofErr w:type="spellStart"/>
      <w:r w:rsidRPr="00B13552">
        <w:t>kolokacija</w:t>
      </w:r>
      <w:proofErr w:type="spellEnd"/>
      <w:r w:rsidRPr="00B13552">
        <w:t xml:space="preserve"> drugog operatora</w:t>
      </w:r>
    </w:p>
    <w:p w:rsidR="00B82EB2" w:rsidRPr="00B13552" w:rsidRDefault="00B82EB2" w:rsidP="00766501">
      <w:pPr>
        <w:numPr>
          <w:ilvl w:val="0"/>
          <w:numId w:val="31"/>
        </w:numPr>
        <w:jc w:val="both"/>
      </w:pPr>
      <w:r w:rsidRPr="00B13552">
        <w:t xml:space="preserve">6 mjeseci unaprijed kod preusmjeravanja dijela mreže na novi nezavisni čvor (FTTN koncept) ukoliko se radi o rekonstrukciji čvora na kojem ne postoji </w:t>
      </w:r>
      <w:proofErr w:type="spellStart"/>
      <w:r w:rsidRPr="00B13552">
        <w:t>kolokacija</w:t>
      </w:r>
      <w:proofErr w:type="spellEnd"/>
      <w:r w:rsidRPr="00B13552">
        <w:t xml:space="preserve"> drugog operatora </w:t>
      </w:r>
    </w:p>
    <w:p w:rsidR="00B82EB2" w:rsidRPr="00B13552" w:rsidRDefault="00B82EB2" w:rsidP="00766501">
      <w:pPr>
        <w:numPr>
          <w:ilvl w:val="0"/>
          <w:numId w:val="31"/>
        </w:numPr>
        <w:jc w:val="both"/>
      </w:pPr>
      <w:r w:rsidRPr="00B13552">
        <w:t>6 mjeseci unaprijed kod otvaranja novog zavisnog čvora (FTTC koncept).</w:t>
      </w:r>
    </w:p>
    <w:p w:rsidR="00B82EB2" w:rsidRPr="00B13552" w:rsidRDefault="00B82EB2" w:rsidP="00B82EB2">
      <w:pPr>
        <w:ind w:left="720"/>
        <w:jc w:val="both"/>
      </w:pPr>
    </w:p>
    <w:p w:rsidR="00B82EB2" w:rsidRPr="00B13552" w:rsidRDefault="00B82EB2" w:rsidP="00B82EB2">
      <w:pPr>
        <w:jc w:val="both"/>
      </w:pPr>
      <w:r w:rsidRPr="00B13552">
        <w:t>Operatori korisnici, neovisno o tome imaju li krajnje korisnike na navedenom području, moraju imati potpune informacije o gore navedenim promjenama u mreži kako bi mogli donijeti odluku o ulaganjima na novoj pristupnoj lokaciji. Obavijest operatorima mora sadržavati najmanje sljedeće informacije:</w:t>
      </w:r>
    </w:p>
    <w:p w:rsidR="00B82EB2" w:rsidRPr="00B13552" w:rsidRDefault="00B82EB2" w:rsidP="00B82EB2">
      <w:pPr>
        <w:jc w:val="both"/>
      </w:pPr>
    </w:p>
    <w:p w:rsidR="00B82EB2" w:rsidRPr="00B13552" w:rsidRDefault="00B82EB2" w:rsidP="00766501">
      <w:pPr>
        <w:numPr>
          <w:ilvl w:val="0"/>
          <w:numId w:val="32"/>
        </w:numPr>
        <w:spacing w:after="200"/>
        <w:ind w:left="567" w:hanging="283"/>
        <w:contextualSpacing/>
        <w:jc w:val="both"/>
        <w:rPr>
          <w:rFonts w:eastAsia="Calibri"/>
          <w:b/>
        </w:rPr>
      </w:pPr>
      <w:r w:rsidRPr="00B13552">
        <w:rPr>
          <w:rFonts w:eastAsia="Calibri"/>
        </w:rPr>
        <w:t>ukupan broj parica koje će biti završene na razdjelniku u kabinetu ili novom nezavisnom čvoru kao i broj slobodnih parica</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tipovi, konstrukcije i električne karakteristike kabela (opisno najmanje sljedeći podaci: promjer žile, tip izolacije, radni kapacitet parice) koji će biti u novoformiranoj pristupnoj mreži</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korisnike putem izdvojenog pristupa lokalnoj petlji svakog pojedinog operatora korisnika s njegovim pripadajućim jedinstvenim identifikatorom (ID-om)</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 xml:space="preserve">podatak je li novouvedeni čvor pristupne mreže lociran tik na postojeći primarni kabel ili od njegove lokacije od postojećeg kabela postoji određena udaljenost, te kolika je udaljenost (izraženo u metrima) i kojim tipom kabela će biti realiziran taj </w:t>
      </w:r>
      <w:proofErr w:type="spellStart"/>
      <w:r w:rsidRPr="00B13552">
        <w:rPr>
          <w:rFonts w:eastAsia="Calibri"/>
        </w:rPr>
        <w:t>privod</w:t>
      </w:r>
      <w:proofErr w:type="spellEnd"/>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podatak o vlastitom slabljenju na frekvenciji od 1 MHz (ili duljine po segmentima kabela različitih električnih karakteristika) na dionici postojeći čvor pristupne mreže -novi čvor</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podatak o vlastitom slabljenju na frekvenciji od 1 MHz (ili duljine po segmentima kabela različitih električnih karakteristika) najdulje pretplatničke petlje novo uvedenog čvora</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podatak o kabelskoj kanalizaciji i odgovarajućem slobodnom prostoru u istoj na relaciji postojeći čvor pristupne mreže - novi čvor</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 xml:space="preserve">tip </w:t>
      </w:r>
      <w:proofErr w:type="spellStart"/>
      <w:r w:rsidRPr="00B13552">
        <w:rPr>
          <w:rFonts w:eastAsia="Calibri"/>
        </w:rPr>
        <w:t>kolokacije</w:t>
      </w:r>
      <w:proofErr w:type="spellEnd"/>
      <w:r w:rsidRPr="00B13552">
        <w:rPr>
          <w:rFonts w:eastAsia="Calibri"/>
        </w:rPr>
        <w:t xml:space="preserve"> koju HT nudi na novoj lokaciji (prostor u kabinetu, unutrašnja </w:t>
      </w:r>
      <w:proofErr w:type="spellStart"/>
      <w:r w:rsidRPr="00B13552">
        <w:rPr>
          <w:rFonts w:eastAsia="Calibri"/>
        </w:rPr>
        <w:t>kolokacija</w:t>
      </w:r>
      <w:proofErr w:type="spellEnd"/>
      <w:r w:rsidRPr="00B13552">
        <w:rPr>
          <w:rFonts w:eastAsia="Calibri"/>
        </w:rPr>
        <w:t xml:space="preserve"> i sl.) </w:t>
      </w:r>
    </w:p>
    <w:p w:rsidR="00B82EB2" w:rsidRPr="00B13552" w:rsidRDefault="00B82EB2" w:rsidP="00766501">
      <w:pPr>
        <w:numPr>
          <w:ilvl w:val="0"/>
          <w:numId w:val="32"/>
        </w:numPr>
        <w:spacing w:after="200"/>
        <w:ind w:left="567" w:hanging="283"/>
        <w:contextualSpacing/>
        <w:jc w:val="both"/>
        <w:rPr>
          <w:rFonts w:eastAsia="Calibri"/>
        </w:rPr>
      </w:pPr>
      <w:r w:rsidRPr="00B13552">
        <w:rPr>
          <w:rFonts w:eastAsia="Calibri"/>
        </w:rPr>
        <w:t>funkciju raspodjele broja pretplatnika (kumulativno) u ovisnosti o vlastitom slabljenju na referentnoj frekvenciji od 1 MHz (odnosno duljini petlje) za novi pristupni čvor koji se planira uvesti</w:t>
      </w:r>
    </w:p>
    <w:p w:rsidR="00B82EB2" w:rsidRPr="00B13552" w:rsidRDefault="00B82EB2" w:rsidP="00766501">
      <w:pPr>
        <w:numPr>
          <w:ilvl w:val="0"/>
          <w:numId w:val="32"/>
        </w:numPr>
        <w:spacing w:after="200"/>
        <w:ind w:left="567" w:hanging="425"/>
        <w:contextualSpacing/>
        <w:jc w:val="both"/>
        <w:rPr>
          <w:rFonts w:eastAsia="Calibri"/>
        </w:rPr>
      </w:pPr>
      <w:r w:rsidRPr="00B13552">
        <w:rPr>
          <w:rFonts w:eastAsia="Calibri"/>
        </w:rPr>
        <w:t>na mjerodavnoj karti mjerila 1:5000 ucrtano područje prekrivanja pristupne mreže i lokaciju novouvedenog čvora</w:t>
      </w:r>
    </w:p>
    <w:p w:rsidR="00B82EB2" w:rsidRPr="00B13552" w:rsidRDefault="00B82EB2" w:rsidP="00766501">
      <w:pPr>
        <w:numPr>
          <w:ilvl w:val="0"/>
          <w:numId w:val="32"/>
        </w:numPr>
        <w:spacing w:after="200"/>
        <w:ind w:left="567" w:hanging="425"/>
        <w:contextualSpacing/>
        <w:jc w:val="both"/>
        <w:rPr>
          <w:rFonts w:eastAsia="Calibri"/>
        </w:rPr>
      </w:pPr>
      <w:r w:rsidRPr="00B13552">
        <w:rPr>
          <w:rFonts w:eastAsia="Calibri"/>
        </w:rPr>
        <w:t>popis adresa (naziv ulica i kućni broj) koje će biti preusmjerene s postojećeg čvora na novi čvor pristupne mreže.</w:t>
      </w:r>
    </w:p>
    <w:p w:rsidR="00B82EB2" w:rsidRDefault="00B82EB2" w:rsidP="00B82EB2">
      <w:pPr>
        <w:jc w:val="both"/>
      </w:pPr>
    </w:p>
    <w:p w:rsidR="00B82EB2" w:rsidRDefault="00B82EB2" w:rsidP="00B82EB2">
      <w:pPr>
        <w:jc w:val="both"/>
      </w:pPr>
      <w:r w:rsidRPr="004A78D6">
        <w:t>O informacijama navedenim pod rednim brojevima 1., 3</w:t>
      </w:r>
      <w:r>
        <w:t xml:space="preserve">., 8., 10. i 11., HT ima obvezu </w:t>
      </w:r>
      <w:r w:rsidRPr="004A78D6">
        <w:t xml:space="preserve">obavijestiti operatore korisnike u trenutku najave planiranih promjena u mreži. O informacijama pod rednim brojevima 2., 4., 5., 6. i 9. HT ima obvezu obavijestiti operatore korisnike nakon izrade projektne dokumentacije od strane HT-a, a kada operator korisnik iskaže interes da na lokaciji novog čvora montira </w:t>
      </w:r>
      <w:proofErr w:type="spellStart"/>
      <w:r w:rsidRPr="004A78D6">
        <w:t>kolok</w:t>
      </w:r>
      <w:r>
        <w:t>acijsku</w:t>
      </w:r>
      <w:proofErr w:type="spellEnd"/>
      <w:r>
        <w:t xml:space="preserve"> opremu. Informaciju pod </w:t>
      </w:r>
      <w:r w:rsidRPr="004A78D6">
        <w:t>rednim brojem 7. HT dostavlja samo onim operatorima kor</w:t>
      </w:r>
      <w:r>
        <w:t xml:space="preserve">isnicima koji iskažu interes za </w:t>
      </w:r>
      <w:r w:rsidRPr="004A78D6">
        <w:t>uspostavu vlastitog spojnog puta navedenom trasom.</w:t>
      </w:r>
    </w:p>
    <w:p w:rsidR="00B82EB2" w:rsidRPr="00105352" w:rsidRDefault="00B82EB2" w:rsidP="00B82EB2">
      <w:pPr>
        <w:jc w:val="both"/>
      </w:pPr>
    </w:p>
    <w:p w:rsidR="00B82EB2" w:rsidRPr="00B13552" w:rsidRDefault="00B82EB2" w:rsidP="00B82EB2">
      <w:pPr>
        <w:jc w:val="both"/>
      </w:pPr>
      <w:r w:rsidRPr="00B13552">
        <w:t xml:space="preserve">Ukoliko će HT u trenutku slanja obavijesti imati saznanja da će na predmetnoj lokaciji novog pristupnog čvora koristiti </w:t>
      </w:r>
      <w:proofErr w:type="spellStart"/>
      <w:r w:rsidRPr="00B13552">
        <w:t>vektorizirani</w:t>
      </w:r>
      <w:proofErr w:type="spellEnd"/>
      <w:r w:rsidRPr="00B13552">
        <w:t xml:space="preserve"> </w:t>
      </w:r>
      <w:proofErr w:type="spellStart"/>
      <w:r w:rsidRPr="00B13552">
        <w:t>xDSL</w:t>
      </w:r>
      <w:proofErr w:type="spellEnd"/>
      <w:r w:rsidRPr="00B13552">
        <w:t>, obvezan je o istome obavijestiti operatore korisnike.</w:t>
      </w:r>
    </w:p>
    <w:p w:rsidR="00B82EB2" w:rsidRDefault="00B82EB2" w:rsidP="00B82EB2">
      <w:pPr>
        <w:jc w:val="both"/>
      </w:pPr>
    </w:p>
    <w:p w:rsidR="00B82EB2" w:rsidRPr="00B13552" w:rsidRDefault="00B82EB2" w:rsidP="00B82EB2">
      <w:pPr>
        <w:spacing w:after="120"/>
        <w:jc w:val="both"/>
        <w:rPr>
          <w:noProof/>
        </w:rPr>
      </w:pPr>
      <w:r w:rsidRPr="00B13552">
        <w:rPr>
          <w:noProof/>
        </w:rPr>
        <w:t>U slučaju otvaranja novog FTTN čvora kada operator korisnik mora</w:t>
      </w:r>
      <w:r w:rsidRPr="00B13552">
        <w:rPr>
          <w:rFonts w:eastAsia="Calibri"/>
          <w:noProof/>
        </w:rPr>
        <w:t xml:space="preserve"> zamijeniti postojeću uslugu izdvojenog pristupa lokalnoj petlji </w:t>
      </w:r>
      <w:r w:rsidRPr="00B13552">
        <w:rPr>
          <w:rFonts w:eastAsia="Calibri"/>
          <w:i/>
          <w:noProof/>
        </w:rPr>
        <w:t>bitstream</w:t>
      </w:r>
      <w:r w:rsidRPr="00B13552">
        <w:rPr>
          <w:rFonts w:eastAsia="Calibri"/>
          <w:noProof/>
        </w:rPr>
        <w:t xml:space="preserve"> rješenjem kako je definirano u obvezi pristupa</w:t>
      </w:r>
      <w:r w:rsidRPr="00B13552">
        <w:rPr>
          <w:noProof/>
        </w:rPr>
        <w:t>, HT mora dodatno obavijestiti operatora korisnika na sljedeći način:</w:t>
      </w:r>
    </w:p>
    <w:p w:rsidR="00B82EB2" w:rsidRDefault="00B82EB2" w:rsidP="00766501">
      <w:pPr>
        <w:pStyle w:val="ListParagraph"/>
        <w:numPr>
          <w:ilvl w:val="0"/>
          <w:numId w:val="34"/>
        </w:numPr>
        <w:contextualSpacing w:val="0"/>
        <w:jc w:val="both"/>
        <w:rPr>
          <w:noProof/>
        </w:rPr>
      </w:pPr>
      <w:r w:rsidRPr="00B13552">
        <w:rPr>
          <w:noProof/>
        </w:rPr>
        <w:t xml:space="preserve">120 dana prije prespajanja HT je obvezan poslati točan obuhvat projekta s popisom ULL usluga u tom trenutku i vremenski okvir u kojem će se prespajanje dogoditi. Vremenski okvir može biti u rasponu od 2-4 tjedna u ovisnosti o kompleksnosti prespajanja (veličini obuhvata, broju korisnika, broju nastavaka u kojima se izvode aktivnosti). </w:t>
      </w:r>
    </w:p>
    <w:p w:rsidR="00B82EB2" w:rsidRPr="00B13552" w:rsidRDefault="00B82EB2" w:rsidP="00B82EB2">
      <w:pPr>
        <w:pStyle w:val="ListParagraph"/>
        <w:jc w:val="both"/>
        <w:rPr>
          <w:noProof/>
        </w:rPr>
      </w:pPr>
    </w:p>
    <w:p w:rsidR="00B82EB2" w:rsidRPr="00222A38" w:rsidRDefault="00B82EB2" w:rsidP="00B82EB2">
      <w:pPr>
        <w:jc w:val="both"/>
        <w:rPr>
          <w:noProof/>
        </w:rPr>
      </w:pPr>
      <w:r w:rsidRPr="00B13552">
        <w:rPr>
          <w:noProof/>
        </w:rPr>
        <w:t>Za sve ostale slučajeve, HT je obvezan navedene informacije dostaviti 45 dana prije prespajanja.</w:t>
      </w:r>
    </w:p>
    <w:p w:rsidR="00B82EB2" w:rsidRDefault="00B82EB2" w:rsidP="00B82EB2">
      <w:pPr>
        <w:pStyle w:val="ListParagraph"/>
        <w:jc w:val="both"/>
        <w:rPr>
          <w:noProof/>
        </w:rPr>
      </w:pPr>
    </w:p>
    <w:p w:rsidR="00B82EB2" w:rsidRDefault="00B82EB2" w:rsidP="00B82EB2">
      <w:pPr>
        <w:spacing w:after="120"/>
        <w:jc w:val="both"/>
        <w:rPr>
          <w:noProof/>
        </w:rPr>
      </w:pPr>
      <w:r>
        <w:rPr>
          <w:noProof/>
        </w:rPr>
        <w:t>Nadalje, za sve tipove rekonstrukcije mreže HT je obvezan:</w:t>
      </w:r>
    </w:p>
    <w:p w:rsidR="00B82EB2" w:rsidRPr="005A3D27" w:rsidRDefault="00B82EB2" w:rsidP="00766501">
      <w:pPr>
        <w:pStyle w:val="ListParagraph"/>
        <w:numPr>
          <w:ilvl w:val="0"/>
          <w:numId w:val="34"/>
        </w:numPr>
        <w:contextualSpacing w:val="0"/>
        <w:jc w:val="both"/>
        <w:rPr>
          <w:noProof/>
        </w:rPr>
      </w:pPr>
      <w:r w:rsidRPr="005A3D27">
        <w:rPr>
          <w:noProof/>
        </w:rPr>
        <w:t xml:space="preserve">20 dana prije prespajanja </w:t>
      </w:r>
      <w:r>
        <w:rPr>
          <w:noProof/>
        </w:rPr>
        <w:t xml:space="preserve">definirati </w:t>
      </w:r>
      <w:r w:rsidRPr="005A3D27">
        <w:rPr>
          <w:noProof/>
        </w:rPr>
        <w:t xml:space="preserve">vremenski interval unutar kojega će se izvršiti prespajanje pretplatničkog kabela </w:t>
      </w:r>
      <w:r>
        <w:rPr>
          <w:noProof/>
        </w:rPr>
        <w:t>(</w:t>
      </w:r>
      <w:r w:rsidRPr="005A3D27">
        <w:rPr>
          <w:noProof/>
        </w:rPr>
        <w:t>između 5 i 10 radnih dana</w:t>
      </w:r>
      <w:r>
        <w:rPr>
          <w:noProof/>
        </w:rPr>
        <w:t>)</w:t>
      </w:r>
      <w:r w:rsidRPr="00807A09">
        <w:rPr>
          <w:noProof/>
        </w:rPr>
        <w:t xml:space="preserve"> </w:t>
      </w:r>
      <w:r>
        <w:rPr>
          <w:noProof/>
        </w:rPr>
        <w:t>od kojeg HT</w:t>
      </w:r>
      <w:r w:rsidRPr="005A3D27">
        <w:rPr>
          <w:noProof/>
        </w:rPr>
        <w:t xml:space="preserve"> </w:t>
      </w:r>
      <w:r>
        <w:rPr>
          <w:noProof/>
        </w:rPr>
        <w:t xml:space="preserve">ne smije </w:t>
      </w:r>
      <w:r w:rsidRPr="005A3D27">
        <w:rPr>
          <w:noProof/>
        </w:rPr>
        <w:t xml:space="preserve">odstupati. Dnevna dinamika </w:t>
      </w:r>
      <w:r>
        <w:rPr>
          <w:noProof/>
        </w:rPr>
        <w:t xml:space="preserve">mora se </w:t>
      </w:r>
      <w:r w:rsidRPr="005A3D27">
        <w:rPr>
          <w:noProof/>
        </w:rPr>
        <w:t>koordinirat</w:t>
      </w:r>
      <w:r>
        <w:rPr>
          <w:noProof/>
        </w:rPr>
        <w:t>i</w:t>
      </w:r>
      <w:r w:rsidRPr="005A3D27">
        <w:rPr>
          <w:noProof/>
        </w:rPr>
        <w:t xml:space="preserve"> na dnevnoj bazi između HT-ovog voditelja radova na terenu i kontakt osoba od strane operatora</w:t>
      </w:r>
      <w:r>
        <w:rPr>
          <w:noProof/>
        </w:rPr>
        <w:t xml:space="preserve"> korisnika</w:t>
      </w:r>
      <w:r w:rsidRPr="005A3D27">
        <w:rPr>
          <w:noProof/>
        </w:rPr>
        <w:t>.</w:t>
      </w:r>
    </w:p>
    <w:p w:rsidR="00B82EB2" w:rsidRPr="005A3D27" w:rsidRDefault="00B82EB2" w:rsidP="00B82EB2">
      <w:pPr>
        <w:pStyle w:val="ListParagraph"/>
        <w:jc w:val="both"/>
        <w:rPr>
          <w:noProof/>
        </w:rPr>
      </w:pPr>
    </w:p>
    <w:p w:rsidR="00B82EB2" w:rsidRPr="005A3D27" w:rsidRDefault="00B82EB2" w:rsidP="00B82EB2">
      <w:pPr>
        <w:spacing w:after="120"/>
        <w:jc w:val="both"/>
        <w:rPr>
          <w:noProof/>
        </w:rPr>
      </w:pPr>
      <w:r w:rsidRPr="005A3D27">
        <w:rPr>
          <w:noProof/>
        </w:rPr>
        <w:t xml:space="preserve">U slučaju da HT iz bilo kojih razloga nije u stanju izvršiti rekonfiguraciju u planiranom </w:t>
      </w:r>
      <w:r>
        <w:rPr>
          <w:noProof/>
        </w:rPr>
        <w:t>vremenskom okviru</w:t>
      </w:r>
      <w:r w:rsidRPr="005A3D27">
        <w:rPr>
          <w:noProof/>
        </w:rPr>
        <w:t>, HT će odmah obavijestiti o tome sve druge operatore te:</w:t>
      </w:r>
    </w:p>
    <w:p w:rsidR="00B82EB2" w:rsidRPr="005A3D27" w:rsidRDefault="00B82EB2" w:rsidP="00766501">
      <w:pPr>
        <w:pStyle w:val="ListParagraph"/>
        <w:numPr>
          <w:ilvl w:val="0"/>
          <w:numId w:val="34"/>
        </w:numPr>
        <w:contextualSpacing w:val="0"/>
        <w:jc w:val="both"/>
      </w:pPr>
      <w:r w:rsidRPr="005A3D27">
        <w:t xml:space="preserve">ponuditi operatorima kojima se otkazuje ULL usluga novi najraniji mogući termin </w:t>
      </w:r>
      <w:proofErr w:type="spellStart"/>
      <w:r w:rsidRPr="005A3D27">
        <w:t>prespajanja</w:t>
      </w:r>
      <w:proofErr w:type="spellEnd"/>
    </w:p>
    <w:p w:rsidR="00B82EB2" w:rsidRPr="00004E18" w:rsidRDefault="00B82EB2" w:rsidP="00766501">
      <w:pPr>
        <w:pStyle w:val="ListParagraph"/>
        <w:numPr>
          <w:ilvl w:val="0"/>
          <w:numId w:val="34"/>
        </w:numPr>
        <w:contextualSpacing w:val="0"/>
        <w:jc w:val="both"/>
      </w:pPr>
      <w:r w:rsidRPr="00004E18">
        <w:t xml:space="preserve">u slučaju da dolazi do vremenskog pomaka duljeg od 30 dana ili značajne promjene u obuhvatu u odnosu na broj korisnika, HT će </w:t>
      </w:r>
      <w:r>
        <w:t>ponoviti gore navedene</w:t>
      </w:r>
      <w:r w:rsidRPr="00004E18">
        <w:t xml:space="preserve"> procedure</w:t>
      </w:r>
      <w:r w:rsidRPr="00B56B09">
        <w:t>, osim ukoliko postoji dogovor s operatorima korisnicima.</w:t>
      </w:r>
    </w:p>
    <w:p w:rsidR="00B82EB2" w:rsidRDefault="00B82EB2" w:rsidP="00B82EB2">
      <w:pPr>
        <w:jc w:val="both"/>
      </w:pPr>
    </w:p>
    <w:p w:rsidR="00B82EB2" w:rsidRDefault="00B82EB2" w:rsidP="00B82EB2">
      <w:pPr>
        <w:jc w:val="both"/>
      </w:pPr>
      <w:r>
        <w:t xml:space="preserve">Sve prethodno navedene obavijesti HT je obvezan pružati operatorima korisnicima putem web portala uz slanje notifikacije putem elektroničke pošte. </w:t>
      </w:r>
    </w:p>
    <w:p w:rsidR="00B82EB2" w:rsidRDefault="00B82EB2" w:rsidP="00B82EB2">
      <w:pPr>
        <w:jc w:val="both"/>
      </w:pPr>
    </w:p>
    <w:p w:rsidR="00B82EB2" w:rsidRDefault="00B82EB2" w:rsidP="00B82EB2">
      <w:pPr>
        <w:jc w:val="both"/>
      </w:pPr>
      <w:r>
        <w:t>HAKOM može u zasebnom postupku detaljnije raspisati način obavještavanja vezano uz promjene u mreži ovisno o iskustvima u postupcima rekonstrukcije mreže.</w:t>
      </w:r>
    </w:p>
    <w:p w:rsidR="00B82EB2" w:rsidRDefault="00B82EB2" w:rsidP="00B82EB2">
      <w:pPr>
        <w:jc w:val="both"/>
      </w:pPr>
    </w:p>
    <w:p w:rsidR="00B82EB2" w:rsidRDefault="00B82EB2" w:rsidP="00B82EB2">
      <w:pPr>
        <w:jc w:val="both"/>
      </w:pPr>
      <w:r w:rsidRPr="00105352">
        <w:t>Modernizacija pristupne mreže infrastrukturnog operatora mora se izvoditi na način da postojeće usluge koje operatori pružaju svojim korisnicima ne budu ni u kojem slučaju ugrožene</w:t>
      </w:r>
      <w:r>
        <w:t>,</w:t>
      </w:r>
      <w:r w:rsidRPr="00105352">
        <w:t xml:space="preserve"> </w:t>
      </w:r>
      <w:r>
        <w:t>npr.</w:t>
      </w:r>
      <w:r w:rsidRPr="00105352">
        <w:t xml:space="preserve"> moraju biti u potpunosti poštovana načela spektralne kompatibilnosti u pristupnoj mreži. </w:t>
      </w:r>
    </w:p>
    <w:p w:rsidR="00B82EB2" w:rsidRDefault="00B82EB2" w:rsidP="00B82EB2">
      <w:pPr>
        <w:jc w:val="both"/>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Tehnička i ekonomska replikacija maloprodajnih usluga</w:t>
      </w:r>
    </w:p>
    <w:p w:rsidR="00B82EB2" w:rsidRDefault="00B82EB2" w:rsidP="00B82EB2">
      <w:pPr>
        <w:pStyle w:val="NormalWeb"/>
        <w:spacing w:before="0" w:beforeAutospacing="0" w:after="0" w:afterAutospacing="0"/>
        <w:jc w:val="both"/>
        <w:rPr>
          <w:rFonts w:ascii="Calibri" w:hAnsi="Calibri"/>
        </w:rPr>
      </w:pPr>
    </w:p>
    <w:p w:rsidR="00B82EB2" w:rsidRPr="0047747C" w:rsidRDefault="00B82EB2" w:rsidP="00B82EB2">
      <w:pPr>
        <w:pStyle w:val="NormalWeb"/>
        <w:jc w:val="both"/>
        <w:rPr>
          <w:rFonts w:ascii="Calibri" w:hAnsi="Calibri"/>
        </w:rPr>
      </w:pPr>
      <w:r>
        <w:rPr>
          <w:rFonts w:ascii="Calibri" w:hAnsi="Calibri"/>
        </w:rPr>
        <w:t xml:space="preserve">U </w:t>
      </w:r>
      <w:r w:rsidRPr="00DC5090">
        <w:rPr>
          <w:rFonts w:ascii="Calibri" w:hAnsi="Calibri"/>
        </w:rPr>
        <w:t xml:space="preserve">slučaju da, u razdoblju na koje se odnosi ova analiza, HT želi početi pružati maloprodajne usluge čija djelotvorna tehnička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tehnička i ekonomska replikacija navedene maloprodajne usluge. </w:t>
      </w:r>
      <w:r>
        <w:rPr>
          <w:rFonts w:ascii="Calibri" w:hAnsi="Calibri"/>
        </w:rPr>
        <w:t xml:space="preserve">Navedeno je u skladu s </w:t>
      </w:r>
      <w:r w:rsidRPr="00B13552">
        <w:rPr>
          <w:rFonts w:ascii="Calibri" w:hAnsi="Calibri"/>
        </w:rPr>
        <w:t>Preporukom Europske komisije od 11. rujna 2013. o jedinstvenim obvezama nediskriminacije i troškovnim metodologijama (2013/466/EU)</w:t>
      </w:r>
      <w:r w:rsidRPr="00DC5090">
        <w:rPr>
          <w:rFonts w:ascii="Calibri" w:hAnsi="Calibri"/>
        </w:rPr>
        <w:t>.</w:t>
      </w:r>
      <w:r>
        <w:rPr>
          <w:rFonts w:ascii="Calibri" w:hAnsi="Calibri"/>
        </w:rPr>
        <w:t xml:space="preserve"> </w:t>
      </w:r>
      <w:r w:rsidRPr="0047747C">
        <w:rPr>
          <w:rFonts w:ascii="Calibri" w:hAnsi="Calibri"/>
        </w:rPr>
        <w:t>Ovakva izmjena Standardne ponude učinjena od strane HT-a ne podliježe postupku iz članka 102. stavka 3. ZEK-a.</w:t>
      </w:r>
    </w:p>
    <w:p w:rsidR="00B82EB2" w:rsidRPr="0047747C" w:rsidRDefault="00B82EB2" w:rsidP="00B82EB2">
      <w:pPr>
        <w:pStyle w:val="NormalWeb"/>
        <w:jc w:val="both"/>
        <w:rPr>
          <w:rFonts w:ascii="Calibri" w:hAnsi="Calibri"/>
        </w:rPr>
      </w:pPr>
      <w:r w:rsidRPr="0047747C">
        <w:rPr>
          <w:rFonts w:ascii="Calibri" w:hAnsi="Calibri"/>
        </w:rPr>
        <w:t>S pružanjem maloprodajnih usluga HT može započeti tek kad je omogućio djelotvornu tehničku replikaciju, odnosno osigurao uvjete da potencijalni operator korisnik započne s pružanjem vlastitih maloprodajnih usluga temeljenih na tim veleprodajnim uvjetima.</w:t>
      </w:r>
    </w:p>
    <w:p w:rsidR="00B82EB2" w:rsidRDefault="00B82EB2" w:rsidP="00B82EB2">
      <w:pPr>
        <w:pStyle w:val="NormalWeb"/>
        <w:spacing w:before="0" w:beforeAutospacing="0" w:after="0" w:afterAutospacing="0"/>
        <w:jc w:val="both"/>
        <w:rPr>
          <w:rFonts w:ascii="Calibri" w:hAnsi="Calibri"/>
        </w:rPr>
      </w:pPr>
      <w:r w:rsidRPr="0047747C">
        <w:rPr>
          <w:rFonts w:ascii="Calibri" w:hAnsi="Calibri"/>
        </w:rPr>
        <w:t>Naime, HT ne može početi pružati nove usluge na maloprodajnoj razini prije početka primjene novih veleprodajnih uvjeta. Na taj način želi se operatorima korisnicima osigurati mogućnost pravovremenog (istovremenog) početka nuđenja vlastite maloprodajne usluge i time konkuriranja HT-u te onemogućiti HT-u prednost u obliku prednosti prvog ulaska (</w:t>
      </w:r>
      <w:proofErr w:type="spellStart"/>
      <w:r w:rsidRPr="0047747C">
        <w:rPr>
          <w:rFonts w:ascii="Calibri" w:hAnsi="Calibri"/>
        </w:rPr>
        <w:t>eng</w:t>
      </w:r>
      <w:proofErr w:type="spellEnd"/>
      <w:r w:rsidRPr="0047747C">
        <w:rPr>
          <w:rFonts w:ascii="Calibri" w:hAnsi="Calibri"/>
        </w:rPr>
        <w:t xml:space="preserve">. </w:t>
      </w:r>
      <w:proofErr w:type="spellStart"/>
      <w:r w:rsidRPr="0047747C">
        <w:rPr>
          <w:rFonts w:ascii="Calibri" w:hAnsi="Calibri"/>
          <w:i/>
        </w:rPr>
        <w:t>first</w:t>
      </w:r>
      <w:proofErr w:type="spellEnd"/>
      <w:r w:rsidRPr="0047747C">
        <w:rPr>
          <w:rFonts w:ascii="Calibri" w:hAnsi="Calibri"/>
          <w:i/>
        </w:rPr>
        <w:t xml:space="preserve"> </w:t>
      </w:r>
      <w:proofErr w:type="spellStart"/>
      <w:r w:rsidRPr="0047747C">
        <w:rPr>
          <w:rFonts w:ascii="Calibri" w:hAnsi="Calibri"/>
          <w:i/>
        </w:rPr>
        <w:t>mover</w:t>
      </w:r>
      <w:proofErr w:type="spellEnd"/>
      <w:r w:rsidRPr="0047747C">
        <w:rPr>
          <w:rFonts w:ascii="Calibri" w:hAnsi="Calibri"/>
          <w:i/>
        </w:rPr>
        <w:t xml:space="preserve"> </w:t>
      </w:r>
      <w:proofErr w:type="spellStart"/>
      <w:r w:rsidRPr="0047747C">
        <w:rPr>
          <w:rFonts w:ascii="Calibri" w:hAnsi="Calibri"/>
          <w:i/>
        </w:rPr>
        <w:t>advantage</w:t>
      </w:r>
      <w:proofErr w:type="spellEnd"/>
      <w:r w:rsidRPr="0047747C">
        <w:rPr>
          <w:rFonts w:ascii="Calibri" w:hAnsi="Calibri"/>
        </w:rPr>
        <w:t>).</w:t>
      </w:r>
    </w:p>
    <w:p w:rsidR="00B82EB2" w:rsidRDefault="00B82EB2" w:rsidP="00B82EB2">
      <w:pPr>
        <w:pStyle w:val="NormalWeb"/>
        <w:spacing w:before="0" w:beforeAutospacing="0" w:after="0" w:afterAutospacing="0"/>
        <w:jc w:val="both"/>
        <w:rPr>
          <w:rFonts w:ascii="Calibri" w:hAnsi="Calibri"/>
        </w:rPr>
      </w:pPr>
    </w:p>
    <w:p w:rsidR="00B82EB2" w:rsidRPr="00480501" w:rsidRDefault="00B82EB2" w:rsidP="00B82EB2">
      <w:pPr>
        <w:pStyle w:val="NormalWeb"/>
        <w:spacing w:before="0" w:beforeAutospacing="0" w:after="0" w:afterAutospacing="0"/>
        <w:jc w:val="both"/>
        <w:rPr>
          <w:rFonts w:ascii="Calibri" w:hAnsi="Calibri"/>
          <w:color w:val="1F3864" w:themeColor="accent1" w:themeShade="80"/>
        </w:rPr>
      </w:pPr>
      <w:r w:rsidRPr="00480501">
        <w:rPr>
          <w:rFonts w:ascii="Cambria" w:hAnsi="Cambria"/>
          <w:i/>
          <w:iCs/>
          <w:color w:val="1F3864" w:themeColor="accent1" w:themeShade="80"/>
          <w:spacing w:val="15"/>
        </w:rPr>
        <w:t>Dostava ugovora sklopljenih na temelju standardnih ponuda</w:t>
      </w:r>
    </w:p>
    <w:p w:rsidR="00B82EB2" w:rsidRDefault="00B82EB2" w:rsidP="00B82EB2">
      <w:pPr>
        <w:pStyle w:val="NormalWeb"/>
        <w:spacing w:before="0" w:beforeAutospacing="0" w:after="0" w:afterAutospacing="0"/>
        <w:jc w:val="both"/>
        <w:rPr>
          <w:rFonts w:ascii="Calibri" w:hAnsi="Calibri"/>
        </w:rPr>
      </w:pPr>
    </w:p>
    <w:p w:rsidR="00B82EB2" w:rsidRDefault="00B82EB2" w:rsidP="00B82EB2">
      <w:pPr>
        <w:pStyle w:val="NormalWeb"/>
        <w:spacing w:before="0" w:beforeAutospacing="0" w:after="0" w:afterAutospacing="0"/>
        <w:jc w:val="both"/>
        <w:rPr>
          <w:rFonts w:ascii="Calibri" w:hAnsi="Calibri"/>
        </w:rPr>
      </w:pPr>
      <w:r w:rsidRPr="00105352">
        <w:rPr>
          <w:rFonts w:ascii="Calibri" w:hAnsi="Calibri"/>
        </w:rPr>
        <w:t xml:space="preserve">Nadalje, HT </w:t>
      </w:r>
      <w:r>
        <w:rPr>
          <w:rFonts w:ascii="Calibri" w:hAnsi="Calibri"/>
        </w:rPr>
        <w:t>je obvezan</w:t>
      </w:r>
      <w:r w:rsidRPr="00105352">
        <w:rPr>
          <w:rFonts w:ascii="Calibri" w:hAnsi="Calibri"/>
        </w:rPr>
        <w:t xml:space="preserve"> dostaviti HAKOM-u ugovore sklopljene na temelju standardn</w:t>
      </w:r>
      <w:r>
        <w:rPr>
          <w:rFonts w:ascii="Calibri" w:hAnsi="Calibri"/>
        </w:rPr>
        <w:t>ih</w:t>
      </w:r>
      <w:r w:rsidRPr="00105352">
        <w:rPr>
          <w:rFonts w:ascii="Calibri" w:hAnsi="Calibri"/>
        </w:rPr>
        <w:t xml:space="preserve"> ponud</w:t>
      </w:r>
      <w:r>
        <w:rPr>
          <w:rFonts w:ascii="Calibri" w:hAnsi="Calibri"/>
        </w:rPr>
        <w:t xml:space="preserve">a koje proizlaze iz obveza određenih na ovom mjerodavnom tržištu, </w:t>
      </w:r>
      <w:r>
        <w:rPr>
          <w:rFonts w:ascii="Calibri" w:hAnsi="Calibri" w:cs="Calibri"/>
        </w:rPr>
        <w:t>kao i sve izmjene navedenih ugovora, i to</w:t>
      </w:r>
      <w:r w:rsidRPr="00105352">
        <w:rPr>
          <w:rFonts w:ascii="Calibri" w:hAnsi="Calibri"/>
        </w:rPr>
        <w:t xml:space="preserve"> u roku od 15 dana od dana sklapanja istih. Naime, </w:t>
      </w:r>
      <w:r w:rsidRPr="00E1201C">
        <w:rPr>
          <w:rFonts w:ascii="Calibri" w:hAnsi="Calibri"/>
        </w:rPr>
        <w:t>dostava navedenih ugovora potrebna je iz razloga provjere poštivanja obveze nediskriminacije. HAKOM bi stoga u slučaju nepoštivanja prethodno spomenute obveze, mogao pravovremeno reagirati.</w:t>
      </w:r>
    </w:p>
    <w:p w:rsidR="00B82EB2" w:rsidRDefault="00B82EB2" w:rsidP="00B82EB2">
      <w:pPr>
        <w:jc w:val="both"/>
      </w:pPr>
    </w:p>
    <w:p w:rsidR="00B82EB2" w:rsidRPr="00B13552" w:rsidRDefault="00B82EB2" w:rsidP="00B82EB2">
      <w:pPr>
        <w:jc w:val="both"/>
      </w:pPr>
      <w:r w:rsidRPr="00105352">
        <w:t xml:space="preserve">HAKOM smatra da je regulatorna obveza nediskriminacije neophodna kako bi se na tržištu spriječila sva moguća diskriminacijska ponašanja operatora sa značajnom tržišnom snagom koja su opisana u </w:t>
      </w:r>
      <w:r w:rsidRPr="00C6735A">
        <w:t xml:space="preserve">poglavljima </w:t>
      </w:r>
      <w:r w:rsidR="0007047F">
        <w:fldChar w:fldCharType="begin"/>
      </w:r>
      <w:r w:rsidR="0007047F">
        <w:instrText xml:space="preserve"> REF _Ref125566577 \r \h </w:instrText>
      </w:r>
      <w:r w:rsidR="0007047F">
        <w:fldChar w:fldCharType="separate"/>
      </w:r>
      <w:r w:rsidR="0007047F">
        <w:t>7.2</w:t>
      </w:r>
      <w:r w:rsidR="0007047F">
        <w:fldChar w:fldCharType="end"/>
      </w:r>
      <w:r w:rsidRPr="00C6735A">
        <w:t xml:space="preserve"> i </w:t>
      </w:r>
      <w:r w:rsidR="0007047F">
        <w:fldChar w:fldCharType="begin"/>
      </w:r>
      <w:r w:rsidR="0007047F">
        <w:instrText xml:space="preserve"> REF _Ref125566596 \r \h </w:instrText>
      </w:r>
      <w:r w:rsidR="0007047F">
        <w:fldChar w:fldCharType="separate"/>
      </w:r>
      <w:r w:rsidR="0007047F">
        <w:t>7.3</w:t>
      </w:r>
      <w:r w:rsidR="0007047F">
        <w:fldChar w:fldCharType="end"/>
      </w:r>
      <w:r w:rsidRPr="00C6735A">
        <w:t xml:space="preserve"> ovog dokumenta</w:t>
      </w:r>
      <w:r w:rsidRPr="00105352">
        <w:t>, a koja bi, u slučaju da se dogode, najviše štete nanijela krajnjim korisnicima. Spr</w:t>
      </w:r>
      <w:r>
        <w:t>j</w:t>
      </w:r>
      <w:r w:rsidRPr="00105352">
        <w:t xml:space="preserve">ečavanjem svih diskriminacijskih ponašanja stvaraju se uvjeti u kojima je olakšan ulazak na tržište svim novim operatorima, a što je u cilju povećanja konkurencije na maloprodajnom tržištu. Ova regulatorna obveza omogućuje svakom operatoru na tržištu jednake informacije, rokove, uvjete, kvalitetu i cijene usluge kao što ih ima i maloprodajni dio operatora sa značajnom tržišnom snagom koji nudi predmetnu </w:t>
      </w:r>
      <w:r w:rsidRPr="00B13552">
        <w:t>uslugu i društva pod njegov</w:t>
      </w:r>
      <w:r>
        <w:t>i</w:t>
      </w:r>
      <w:r w:rsidRPr="00B13552">
        <w:t xml:space="preserve">m </w:t>
      </w:r>
      <w:r>
        <w:t>nadzorom</w:t>
      </w:r>
      <w:r w:rsidRPr="00B13552">
        <w:t>.</w:t>
      </w:r>
    </w:p>
    <w:p w:rsidR="00B82EB2" w:rsidRDefault="00B82EB2" w:rsidP="00B82EB2">
      <w:pPr>
        <w:pStyle w:val="NormalWeb"/>
        <w:spacing w:before="0" w:beforeAutospacing="0" w:after="0" w:afterAutospacing="0"/>
        <w:jc w:val="both"/>
        <w:rPr>
          <w:rFonts w:ascii="Calibri" w:hAnsi="Calibri"/>
        </w:rPr>
      </w:pPr>
    </w:p>
    <w:p w:rsidR="00B82EB2" w:rsidRDefault="00B82EB2" w:rsidP="00B82EB2">
      <w:pPr>
        <w:jc w:val="both"/>
      </w:pPr>
      <w:r w:rsidRPr="00B13552">
        <w:t>S ciljem ispunjenja obveze nediskriminacije, HAKOM smatra da je uz nju potrebno odrediti i primjenu obveze transparentnosti kao i obvez</w:t>
      </w:r>
      <w:r>
        <w:t>e</w:t>
      </w:r>
      <w:r w:rsidRPr="00B13552">
        <w:t xml:space="preserve"> računovodstvenog razdvajanja kako bi se pratila učinkovitost same obveze nediskriminacije.</w:t>
      </w:r>
      <w:r w:rsidRPr="00105352">
        <w:t xml:space="preserve"> </w:t>
      </w:r>
    </w:p>
    <w:p w:rsidR="00B82EB2" w:rsidRDefault="00B82EB2" w:rsidP="00B82EB2">
      <w:pPr>
        <w:jc w:val="both"/>
      </w:pPr>
    </w:p>
    <w:p w:rsidR="00B82EB2" w:rsidRPr="00105352" w:rsidRDefault="00B82EB2" w:rsidP="00B82EB2">
      <w:pPr>
        <w:jc w:val="center"/>
      </w:pPr>
      <w:r>
        <w:t>***</w:t>
      </w:r>
    </w:p>
    <w:p w:rsidR="00B82EB2" w:rsidRPr="00480501" w:rsidRDefault="00B82EB2" w:rsidP="00B82EB2">
      <w:pPr>
        <w:pStyle w:val="NormalWeb"/>
        <w:spacing w:before="0" w:beforeAutospacing="0" w:after="0" w:afterAutospacing="0"/>
        <w:jc w:val="both"/>
        <w:rPr>
          <w:i/>
          <w:iCs/>
          <w:color w:val="1F3864" w:themeColor="accent1" w:themeShade="80"/>
          <w:spacing w:val="15"/>
        </w:rPr>
      </w:pPr>
      <w:r w:rsidRPr="00480501">
        <w:rPr>
          <w:rFonts w:ascii="Cambria" w:hAnsi="Cambria"/>
          <w:i/>
          <w:iCs/>
          <w:color w:val="1F3864" w:themeColor="accent1" w:themeShade="80"/>
          <w:spacing w:val="15"/>
        </w:rPr>
        <w:t>Model istovjetnih ulaznih proizvoda (</w:t>
      </w:r>
      <w:proofErr w:type="spellStart"/>
      <w:r w:rsidRPr="00480501">
        <w:rPr>
          <w:rFonts w:ascii="Cambria" w:hAnsi="Cambria"/>
          <w:i/>
          <w:iCs/>
          <w:color w:val="1F3864" w:themeColor="accent1" w:themeShade="80"/>
          <w:spacing w:val="15"/>
        </w:rPr>
        <w:t>Equivalence</w:t>
      </w:r>
      <w:proofErr w:type="spellEnd"/>
      <w:r w:rsidRPr="00480501">
        <w:rPr>
          <w:rFonts w:ascii="Cambria" w:hAnsi="Cambria"/>
          <w:i/>
          <w:iCs/>
          <w:color w:val="1F3864" w:themeColor="accent1" w:themeShade="80"/>
          <w:spacing w:val="15"/>
        </w:rPr>
        <w:t xml:space="preserve"> </w:t>
      </w:r>
      <w:proofErr w:type="spellStart"/>
      <w:r w:rsidRPr="00480501">
        <w:rPr>
          <w:rFonts w:ascii="Cambria" w:hAnsi="Cambria"/>
          <w:i/>
          <w:iCs/>
          <w:color w:val="1F3864" w:themeColor="accent1" w:themeShade="80"/>
          <w:spacing w:val="15"/>
        </w:rPr>
        <w:t>of</w:t>
      </w:r>
      <w:proofErr w:type="spellEnd"/>
      <w:r w:rsidRPr="00480501">
        <w:rPr>
          <w:rFonts w:ascii="Cambria" w:hAnsi="Cambria"/>
          <w:i/>
          <w:iCs/>
          <w:color w:val="1F3864" w:themeColor="accent1" w:themeShade="80"/>
          <w:spacing w:val="15"/>
        </w:rPr>
        <w:t xml:space="preserve"> input)</w:t>
      </w:r>
    </w:p>
    <w:p w:rsidR="00B82EB2" w:rsidRPr="00B13552" w:rsidRDefault="00B82EB2" w:rsidP="00B82EB2">
      <w:pPr>
        <w:jc w:val="both"/>
      </w:pPr>
    </w:p>
    <w:p w:rsidR="00B82EB2" w:rsidRPr="00930D8B" w:rsidRDefault="00B82EB2" w:rsidP="00B82EB2">
      <w:pPr>
        <w:jc w:val="both"/>
      </w:pPr>
      <w:r w:rsidRPr="00930D8B">
        <w:t>HAKOM je, kao i u prethodnoj analizi, razmatrao uvođenje modela istovjetnosti ulaznih proizvoda u skladu s Preporukom Europske komisije o jedinstvenim obvezama nediskriminacije i troškovnim metodologijama. HAKOM je prethodnom i ovom analizom utvrdio niz mjera koje bi trebali spriječiti diskriminaciju, pri čemu navedene mjere nisu propisane samo u poglavlju u kojem je definirana obveza nediskriminacije.</w:t>
      </w:r>
    </w:p>
    <w:p w:rsidR="00B82EB2" w:rsidRPr="00930D8B" w:rsidRDefault="00B82EB2" w:rsidP="00B82EB2">
      <w:pPr>
        <w:jc w:val="both"/>
      </w:pPr>
    </w:p>
    <w:p w:rsidR="00B82EB2" w:rsidRPr="00930D8B" w:rsidRDefault="00B82EB2" w:rsidP="00B82EB2">
      <w:pPr>
        <w:jc w:val="both"/>
      </w:pPr>
      <w:r w:rsidRPr="00930D8B">
        <w:t xml:space="preserve">Tako je HAKOM unutar obveze nediskriminacije detaljno propisao koje informacije HT mora pružati operatorima u slučaju rekonstrukcije pristupne mreže (FTTC i FTTN koncept), a sve s ciljem kako bi se HT-u onemogućila prednost prvog ulaska i omogućilo ravnopravno tržišno natjecanje. </w:t>
      </w:r>
    </w:p>
    <w:p w:rsidR="00B82EB2" w:rsidRPr="00930D8B" w:rsidRDefault="00B82EB2" w:rsidP="00B82EB2">
      <w:pPr>
        <w:jc w:val="both"/>
      </w:pPr>
    </w:p>
    <w:p w:rsidR="00B82EB2" w:rsidRPr="00930D8B" w:rsidRDefault="00B82EB2" w:rsidP="00B82EB2">
      <w:pPr>
        <w:jc w:val="both"/>
      </w:pPr>
      <w:r w:rsidRPr="00930D8B">
        <w:t xml:space="preserve">HAKOM je definirao razdoblje u kojem HT mora unaprijed obavještavati operatore korisnike (neovisno na kojoj točki pristupa su prisutni i imaju li krajnje korisnike na navedenom području) o planiranim </w:t>
      </w:r>
      <w:proofErr w:type="spellStart"/>
      <w:r w:rsidRPr="00930D8B">
        <w:t>rekonfiguracijama</w:t>
      </w:r>
      <w:proofErr w:type="spellEnd"/>
      <w:r w:rsidRPr="00930D8B">
        <w:t xml:space="preserve"> u pristupnoj mreži. Nadalje, unutar obveze pristupa je određena obveza davanja informacija o statusu dostupnosti usluga i mogućim brzinama. </w:t>
      </w:r>
    </w:p>
    <w:p w:rsidR="00B82EB2" w:rsidRPr="00930D8B" w:rsidRDefault="00B82EB2" w:rsidP="00B82EB2">
      <w:pPr>
        <w:jc w:val="both"/>
      </w:pPr>
    </w:p>
    <w:p w:rsidR="00B82EB2" w:rsidRPr="00930D8B" w:rsidRDefault="00B82EB2" w:rsidP="00B82EB2">
      <w:pPr>
        <w:jc w:val="both"/>
      </w:pPr>
      <w:r w:rsidRPr="00930D8B">
        <w:t xml:space="preserve">Unutar obveze pristupa HT-u je određena i obveza tehničke replikacije koja HT-u onemogućava pružanje maloprodajnih usluga ukoliko za iste ne postoji odgovarajuća veleprodajna usluga (implementirana u standardnoj ponudi) koja alternativnim operatorima omogućava ravnopravno tržišno natjecanje. </w:t>
      </w:r>
    </w:p>
    <w:p w:rsidR="00B82EB2" w:rsidRPr="00930D8B" w:rsidRDefault="00B82EB2" w:rsidP="00B82EB2">
      <w:pPr>
        <w:jc w:val="both"/>
      </w:pPr>
    </w:p>
    <w:p w:rsidR="00B82EB2" w:rsidRPr="00930D8B" w:rsidRDefault="00B82EB2" w:rsidP="00B82EB2">
      <w:pPr>
        <w:jc w:val="both"/>
      </w:pPr>
      <w:r w:rsidRPr="00930D8B">
        <w:t>HAKOM je odredio i druge mjere kako bi se osigurali standardi kvalitete usluga. Ove mjere se sastoje od definiranja najmanje ugovorene razine usluge i jamstava za ugovorenu razinu usluge te praćenja glavnih pokazatelja učinkovitosti. HT je obvezan operatorima objaviti glavne pokazatelje učinkovitosti što omogućava usporedbu razine kvalitete usluge koju HT pruža za potrebe svoje maloprodaje i društava pod njegovim nadzorom u odnosu na ostale operatore. Ukoliko se pokaže potreba, HAKOM može izmijeniti listu glavnih pokazatelja učinkovitosti.</w:t>
      </w:r>
    </w:p>
    <w:p w:rsidR="00B82EB2" w:rsidRPr="00930D8B" w:rsidRDefault="00B82EB2" w:rsidP="00B82EB2">
      <w:pPr>
        <w:jc w:val="both"/>
      </w:pPr>
    </w:p>
    <w:p w:rsidR="00B82EB2" w:rsidRPr="00930D8B" w:rsidRDefault="00B82EB2" w:rsidP="00B82EB2">
      <w:pPr>
        <w:jc w:val="both"/>
      </w:pPr>
      <w:r w:rsidRPr="00AA09E0">
        <w:t xml:space="preserve">Alternativni operatori zahtjeve za veleprodajnim uslugama kao i zahtjeve za otklon kvara ili smetnje podnose putem informacijskih sustava (B2B sustav) koji je u primjeni od 2012. godine te se od tada konstantno razvija. </w:t>
      </w:r>
      <w:r w:rsidRPr="00930D8B">
        <w:t xml:space="preserve"> </w:t>
      </w:r>
    </w:p>
    <w:p w:rsidR="00B82EB2" w:rsidRPr="00930D8B" w:rsidRDefault="00B82EB2" w:rsidP="00B82EB2">
      <w:pPr>
        <w:jc w:val="both"/>
      </w:pPr>
    </w:p>
    <w:p w:rsidR="00B82EB2" w:rsidRPr="00930D8B" w:rsidRDefault="00B82EB2" w:rsidP="00B82EB2">
      <w:pPr>
        <w:jc w:val="both"/>
      </w:pPr>
      <w:r w:rsidRPr="00930D8B">
        <w:t>Ugovorena razina ostvarivanja usluge zajedno s odgovarajućim naknadama u slučaju neispunjavanja usluge ili nepravovremene isporuke usluge su definirane u važećoj standardnoj ponudi. Također, propisan je postupak koji se primjenjuje u slučaju obračuna i naplate naknada za nepravovremenu isporuku usluge ili neispunjavanja usluge.</w:t>
      </w:r>
    </w:p>
    <w:p w:rsidR="00B82EB2" w:rsidRPr="00930D8B" w:rsidRDefault="00B82EB2" w:rsidP="00B82EB2">
      <w:pPr>
        <w:jc w:val="both"/>
      </w:pPr>
    </w:p>
    <w:p w:rsidR="00B82EB2" w:rsidRPr="00930D8B" w:rsidRDefault="00B82EB2" w:rsidP="00B82EB2">
      <w:pPr>
        <w:jc w:val="both"/>
      </w:pPr>
      <w:r w:rsidRPr="00930D8B">
        <w:t>Zbog svega navedenog te uzevši u obzir činjenicu da se radi o tržištu na kojem su procesi već duži niz godina uspostavljeni, HAKOM je mišljenja kako su mjere propisane analizom tržišta te odgovarajućom standardnom ponudom dovoljne na tržištu malog kapaciteta te da  onemogućavaju diskriminaciju na tržištu.</w:t>
      </w:r>
    </w:p>
    <w:p w:rsidR="00B82EB2" w:rsidRPr="00930D8B" w:rsidRDefault="00B82EB2" w:rsidP="00B82EB2">
      <w:pPr>
        <w:jc w:val="both"/>
      </w:pPr>
    </w:p>
    <w:p w:rsidR="00B34167" w:rsidRDefault="00B82EB2" w:rsidP="00B82EB2">
      <w:pPr>
        <w:jc w:val="both"/>
      </w:pPr>
      <w:r w:rsidRPr="00930D8B">
        <w:t>S druge strane, HAKOM smatra opravdanim odrediti HT-u obvezu uvođenja EOI modela na tržištu velikog kapaciteta – nekonkurentna područja iz sljedećih razloga:</w:t>
      </w:r>
    </w:p>
    <w:p w:rsidR="00B34167" w:rsidRPr="00930D8B" w:rsidRDefault="00B34167" w:rsidP="00B82EB2">
      <w:pPr>
        <w:jc w:val="both"/>
      </w:pPr>
    </w:p>
    <w:p w:rsidR="00B82EB2" w:rsidRDefault="00B82EB2" w:rsidP="00B82EB2">
      <w:pPr>
        <w:jc w:val="both"/>
      </w:pPr>
      <w:r w:rsidRPr="00930D8B">
        <w:t>•</w:t>
      </w:r>
      <w:r w:rsidRPr="00930D8B">
        <w:tab/>
        <w:t xml:space="preserve">veleprodajne usluge na tržištu velikog kapaciteta – nekonkurentna područja se tek počinju značajnije koristiti pa je za očekivati da će se i procesi u narednom razdoblju češće prilagođavati potrebama tržišta, pri čemu je važno da se operatori ne stavljaju u nepovoljniji položaj u odnosu na maloprodaju HT-a i društva pod njegovim nadzorom, te da im se iz neosnovanih razloga odbijaju zahtjevi za uslugama. </w:t>
      </w:r>
    </w:p>
    <w:p w:rsidR="00B34167" w:rsidRPr="00930D8B" w:rsidRDefault="00B34167" w:rsidP="00B82EB2">
      <w:pPr>
        <w:jc w:val="both"/>
      </w:pPr>
    </w:p>
    <w:p w:rsidR="00B82EB2" w:rsidRDefault="00B82EB2" w:rsidP="00B82EB2">
      <w:pPr>
        <w:jc w:val="both"/>
      </w:pPr>
      <w:r w:rsidRPr="00930D8B">
        <w:t>•</w:t>
      </w:r>
      <w:r w:rsidRPr="00930D8B">
        <w:tab/>
        <w:t>HAKOM je ovom analizom utvrdio područja s različitim pravilima regulacije, uključujući i područja na kojima će se u narednom razdoblju HT-u ukinuti sve regulatorne obveze, pri čemu će se nakon dvije godine provesti provjer</w:t>
      </w:r>
      <w:r>
        <w:t>a</w:t>
      </w:r>
      <w:r w:rsidRPr="00930D8B">
        <w:t xml:space="preserve"> statusa geografskih jedinica u cilju utvrđivanja mijenjaju li pojedine geografske jedinice status pripadanja konkurentnim, odnosno nekonkurentnim područjima kao i </w:t>
      </w:r>
      <w:proofErr w:type="spellStart"/>
      <w:r w:rsidRPr="00930D8B">
        <w:t>klasterima</w:t>
      </w:r>
      <w:proofErr w:type="spellEnd"/>
      <w:r w:rsidRPr="00930D8B">
        <w:t xml:space="preserve">. Stoga je važno da u sustavu putem kojeg maloprodajna jedinica HT-a i društva pod njegovim nadzorom, odnosno veleprodajni korisnici, podnose zahtjeve za aktivaciju/otklon kvara i sl. budu istovremeno ažurirane adrese koje pripadaju područjima za koje se primjenjuje regulacija s ciljem da HT pruža usluge i podatke drugim operatorima uz jednake uvjete i razinu kakvoće usluge koju osigurava za svoje vlastite usluge ili za potrebe društava pod njegovim nadzorom. </w:t>
      </w:r>
    </w:p>
    <w:p w:rsidR="00B34167" w:rsidRPr="00930D8B" w:rsidRDefault="00B34167" w:rsidP="00B82EB2">
      <w:pPr>
        <w:jc w:val="both"/>
      </w:pPr>
    </w:p>
    <w:p w:rsidR="00B82EB2" w:rsidRPr="00930D8B" w:rsidRDefault="00B82EB2" w:rsidP="00B82EB2">
      <w:pPr>
        <w:jc w:val="both"/>
      </w:pPr>
      <w:r w:rsidRPr="00930D8B">
        <w:t>•</w:t>
      </w:r>
      <w:r w:rsidRPr="00930D8B">
        <w:tab/>
        <w:t>HAKOM će na ovaj način bolje moći pratiti provedbu obveze nediskriminacije.</w:t>
      </w:r>
    </w:p>
    <w:p w:rsidR="00B82EB2" w:rsidRPr="00930D8B" w:rsidRDefault="00B82EB2" w:rsidP="00B82EB2">
      <w:pPr>
        <w:jc w:val="both"/>
      </w:pPr>
      <w:r w:rsidRPr="00930D8B">
        <w:t xml:space="preserve">Iako će uvođenje modela EOI iziskivati od strane HT-a troškove implementacije, s obzirom na koristi za djelotvorno tržišno natjecanje koje će se osigurati kroz jednake uvjete i razinu kakvoće usluge koja će biti omogućena veleprodajnim operatorima u odnosu na maloprodaju HT-a i društva pod njegovim  nadzorom, a što će pozitivno utjecati na </w:t>
      </w:r>
      <w:proofErr w:type="spellStart"/>
      <w:r w:rsidRPr="00930D8B">
        <w:t>utilizaciju</w:t>
      </w:r>
      <w:proofErr w:type="spellEnd"/>
      <w:r w:rsidRPr="00930D8B">
        <w:t xml:space="preserve"> mreže HT-a i u konačnici na dobrobit krajnjih korisnika, HAKOM smatra da je uvođenje ove obveze na tržištu velikog kapaciteta – nekonkurentna područja razmjerno.</w:t>
      </w:r>
    </w:p>
    <w:p w:rsidR="00B82EB2" w:rsidRPr="00930D8B" w:rsidRDefault="00B82EB2" w:rsidP="00B82EB2">
      <w:pPr>
        <w:jc w:val="both"/>
      </w:pPr>
    </w:p>
    <w:p w:rsidR="00B82EB2" w:rsidRPr="00930D8B" w:rsidRDefault="00B82EB2" w:rsidP="00B82EB2">
      <w:pPr>
        <w:jc w:val="both"/>
      </w:pPr>
      <w:r w:rsidRPr="00930D8B">
        <w:t>Stoga je HAKOM utvrdio kako je obvezu nediskriminacije na tržištu velikog kapaciteta – nekonkurentna područja potrebno u budućem razdoblju nadopuniti mjerom uvođenja modela istovjetnih ulaznih proizvoda (</w:t>
      </w:r>
      <w:proofErr w:type="spellStart"/>
      <w:r w:rsidRPr="00930D8B">
        <w:t>eng</w:t>
      </w:r>
      <w:proofErr w:type="spellEnd"/>
      <w:r w:rsidRPr="00930D8B">
        <w:t xml:space="preserve">. </w:t>
      </w:r>
      <w:proofErr w:type="spellStart"/>
      <w:r w:rsidRPr="00930D8B">
        <w:t>Equivalence</w:t>
      </w:r>
      <w:proofErr w:type="spellEnd"/>
      <w:r w:rsidRPr="00930D8B">
        <w:t xml:space="preserve"> </w:t>
      </w:r>
      <w:proofErr w:type="spellStart"/>
      <w:r w:rsidRPr="00930D8B">
        <w:t>of</w:t>
      </w:r>
      <w:proofErr w:type="spellEnd"/>
      <w:r w:rsidRPr="00930D8B">
        <w:t xml:space="preserve"> input), odnosno da za navedene usluge maloprodajna jedinica HT-a i društva pod njegovim nadzorom moraju koristiti iste sustave i procese kao i operatori korisnici veleprodajne usluge. </w:t>
      </w:r>
    </w:p>
    <w:p w:rsidR="00B82EB2" w:rsidRPr="00B13552" w:rsidRDefault="00B82EB2" w:rsidP="00B82EB2">
      <w:pPr>
        <w:jc w:val="both"/>
      </w:pPr>
      <w:r w:rsidRPr="00930D8B">
        <w:t xml:space="preserve">HT je u roku od </w:t>
      </w:r>
      <w:r>
        <w:t>45 dana</w:t>
      </w:r>
      <w:r w:rsidRPr="00930D8B">
        <w:t xml:space="preserve"> od usvajanja ove analize obvezan dostaviti HAKOM-u detaljan plan kojim se utvrđuju ključne točke potrebne za potpunu provedbu modela </w:t>
      </w:r>
      <w:proofErr w:type="spellStart"/>
      <w:r w:rsidRPr="00930D8B">
        <w:t>EoI</w:t>
      </w:r>
      <w:proofErr w:type="spellEnd"/>
      <w:r w:rsidRPr="00930D8B">
        <w:t xml:space="preserve"> zajedno s rokovima za njihovu provedbu. Detaljan plan za provedbu modela EOI će HAKOM usvojiti u zasebnom postupku nakon provedenog javnog savjetovanja.</w:t>
      </w:r>
    </w:p>
    <w:p w:rsidR="00B82EB2" w:rsidRPr="00B13552" w:rsidRDefault="00B82EB2" w:rsidP="00B82EB2">
      <w:pPr>
        <w:jc w:val="both"/>
      </w:pPr>
    </w:p>
    <w:p w:rsidR="00B82EB2" w:rsidRPr="00E970CD" w:rsidRDefault="00B82EB2" w:rsidP="00E970CD">
      <w:pPr>
        <w:pStyle w:val="Heading2"/>
      </w:pPr>
      <w:r>
        <w:br w:type="page"/>
      </w:r>
      <w:bookmarkStart w:id="658" w:name="_Toc353364065"/>
      <w:bookmarkStart w:id="659" w:name="_Toc414013836"/>
      <w:bookmarkStart w:id="660" w:name="_Toc420665699"/>
      <w:bookmarkStart w:id="661" w:name="_Toc11834481"/>
      <w:bookmarkStart w:id="662" w:name="_Toc124928640"/>
      <w:bookmarkStart w:id="663" w:name="_Toc124946982"/>
      <w:bookmarkStart w:id="664" w:name="_Toc124948892"/>
      <w:bookmarkStart w:id="665" w:name="_Toc124951787"/>
      <w:bookmarkStart w:id="666" w:name="_Toc125644946"/>
      <w:r w:rsidRPr="00E970CD">
        <w:t>Obveza transparentnosti</w:t>
      </w:r>
      <w:bookmarkEnd w:id="658"/>
      <w:bookmarkEnd w:id="659"/>
      <w:bookmarkEnd w:id="660"/>
      <w:bookmarkEnd w:id="661"/>
      <w:bookmarkEnd w:id="662"/>
      <w:bookmarkEnd w:id="663"/>
      <w:bookmarkEnd w:id="664"/>
      <w:bookmarkEnd w:id="665"/>
      <w:bookmarkEnd w:id="666"/>
    </w:p>
    <w:p w:rsidR="00B82EB2" w:rsidRPr="00105352" w:rsidRDefault="00B82EB2" w:rsidP="00B82EB2">
      <w:pPr>
        <w:jc w:val="both"/>
      </w:pPr>
      <w:r w:rsidRPr="00105352">
        <w:t>HAKOM može odrediti operatorima obvezu transparentnosti u vezi s međupovezivanjem i/ili pristupom, na način da učine javno dostupnima određene podatke, kao što su osobito sljedeći podaci:</w:t>
      </w:r>
    </w:p>
    <w:p w:rsidR="00B82EB2" w:rsidRPr="00B7569C" w:rsidRDefault="00B82EB2" w:rsidP="00766501">
      <w:pPr>
        <w:pStyle w:val="NormalWeb"/>
        <w:numPr>
          <w:ilvl w:val="0"/>
          <w:numId w:val="29"/>
        </w:numPr>
        <w:spacing w:before="0" w:beforeAutospacing="0" w:after="0" w:afterAutospacing="0"/>
        <w:jc w:val="both"/>
        <w:rPr>
          <w:rFonts w:ascii="Calibri" w:hAnsi="Calibri" w:cs="Calibri"/>
        </w:rPr>
      </w:pPr>
      <w:r w:rsidRPr="00B7569C">
        <w:rPr>
          <w:rFonts w:ascii="Calibri" w:hAnsi="Calibri" w:cs="Calibri"/>
        </w:rPr>
        <w:t>računovodstveni podaci</w:t>
      </w:r>
    </w:p>
    <w:p w:rsidR="00B82EB2" w:rsidRDefault="00B82EB2" w:rsidP="00766501">
      <w:pPr>
        <w:pStyle w:val="NormalWeb"/>
        <w:numPr>
          <w:ilvl w:val="0"/>
          <w:numId w:val="29"/>
        </w:numPr>
        <w:spacing w:before="0" w:beforeAutospacing="0" w:after="0" w:afterAutospacing="0"/>
        <w:jc w:val="both"/>
        <w:rPr>
          <w:rFonts w:ascii="Calibri" w:hAnsi="Calibri" w:cs="Calibri"/>
        </w:rPr>
      </w:pPr>
      <w:r w:rsidRPr="00B7569C">
        <w:rPr>
          <w:rFonts w:ascii="Calibri" w:hAnsi="Calibri" w:cs="Calibri"/>
        </w:rPr>
        <w:t xml:space="preserve">cijene </w:t>
      </w:r>
    </w:p>
    <w:p w:rsidR="00B82EB2" w:rsidRPr="00B7569C" w:rsidRDefault="00B82EB2" w:rsidP="00766501">
      <w:pPr>
        <w:pStyle w:val="NormalWeb"/>
        <w:numPr>
          <w:ilvl w:val="0"/>
          <w:numId w:val="29"/>
        </w:numPr>
        <w:spacing w:before="0" w:beforeAutospacing="0" w:after="0" w:afterAutospacing="0"/>
        <w:jc w:val="both"/>
        <w:rPr>
          <w:rFonts w:ascii="Calibri" w:hAnsi="Calibri" w:cs="Calibri"/>
        </w:rPr>
      </w:pPr>
      <w:r w:rsidRPr="00B7569C">
        <w:rPr>
          <w:rFonts w:ascii="Calibri" w:hAnsi="Calibri" w:cs="Calibri"/>
        </w:rPr>
        <w:t>tehničke specifikacije</w:t>
      </w:r>
    </w:p>
    <w:p w:rsidR="00B82EB2" w:rsidRPr="00B7569C" w:rsidRDefault="00B82EB2" w:rsidP="00766501">
      <w:pPr>
        <w:pStyle w:val="NormalWeb"/>
        <w:numPr>
          <w:ilvl w:val="0"/>
          <w:numId w:val="29"/>
        </w:numPr>
        <w:spacing w:before="0" w:beforeAutospacing="0" w:after="0" w:afterAutospacing="0"/>
        <w:jc w:val="both"/>
        <w:rPr>
          <w:rFonts w:ascii="Calibri" w:hAnsi="Calibri" w:cs="Calibri"/>
        </w:rPr>
      </w:pPr>
      <w:r w:rsidRPr="00B7569C">
        <w:rPr>
          <w:rFonts w:ascii="Calibri" w:hAnsi="Calibri" w:cs="Calibri"/>
        </w:rPr>
        <w:t>mrežne značajke</w:t>
      </w:r>
      <w:r>
        <w:rPr>
          <w:rFonts w:ascii="Calibri" w:hAnsi="Calibri" w:cs="Calibri"/>
        </w:rPr>
        <w:t xml:space="preserve"> i očekivani razvoj mreže</w:t>
      </w:r>
    </w:p>
    <w:p w:rsidR="00B82EB2" w:rsidRPr="00315BD3" w:rsidRDefault="00B82EB2" w:rsidP="00766501">
      <w:pPr>
        <w:pStyle w:val="NormalWeb"/>
        <w:numPr>
          <w:ilvl w:val="0"/>
          <w:numId w:val="29"/>
        </w:numPr>
        <w:spacing w:before="0" w:beforeAutospacing="0" w:after="0" w:afterAutospacing="0"/>
        <w:jc w:val="both"/>
        <w:rPr>
          <w:rFonts w:ascii="Calibri" w:hAnsi="Calibri" w:cs="Calibri"/>
        </w:rPr>
      </w:pPr>
      <w:r w:rsidRPr="00315BD3">
        <w:rPr>
          <w:rFonts w:ascii="Calibri" w:hAnsi="Calibri" w:cs="Calibri"/>
        </w:rPr>
        <w:t>rokovi i uvjeti ponude i uporabe, uključujući sve uvjete kojima se mijenja pristup i/ili uporaba usluga i aplikacija</w:t>
      </w:r>
    </w:p>
    <w:p w:rsidR="00B82EB2" w:rsidRPr="00B7569C" w:rsidRDefault="00B82EB2" w:rsidP="00766501">
      <w:pPr>
        <w:pStyle w:val="NormalWeb"/>
        <w:numPr>
          <w:ilvl w:val="0"/>
          <w:numId w:val="29"/>
        </w:numPr>
        <w:spacing w:before="0" w:beforeAutospacing="0" w:after="0" w:afterAutospacing="0"/>
        <w:jc w:val="both"/>
        <w:rPr>
          <w:rFonts w:ascii="Calibri" w:hAnsi="Calibri" w:cs="Calibri"/>
        </w:rPr>
      </w:pPr>
      <w:r w:rsidRPr="00315BD3">
        <w:rPr>
          <w:rFonts w:ascii="Calibri" w:hAnsi="Calibri" w:cs="Calibri"/>
        </w:rPr>
        <w:t>uvjeti prelaska (migracije) s povijesne infrastrukture.</w:t>
      </w:r>
    </w:p>
    <w:p w:rsidR="00B82EB2" w:rsidRPr="00105352" w:rsidRDefault="00B82EB2" w:rsidP="00B82EB2">
      <w:pPr>
        <w:pStyle w:val="NormalWeb"/>
        <w:spacing w:before="0" w:beforeAutospacing="0" w:after="0" w:afterAutospacing="0"/>
        <w:jc w:val="both"/>
        <w:rPr>
          <w:rFonts w:ascii="Calibri" w:hAnsi="Calibri"/>
        </w:rPr>
      </w:pPr>
    </w:p>
    <w:p w:rsidR="00B82EB2" w:rsidRPr="00105352" w:rsidRDefault="00B82EB2" w:rsidP="00B82EB2">
      <w:pPr>
        <w:jc w:val="both"/>
      </w:pPr>
      <w:r w:rsidRPr="00105352">
        <w:t>Isto tako,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rsidR="00B82EB2" w:rsidRPr="00105352" w:rsidRDefault="00B82EB2" w:rsidP="00B82EB2">
      <w:pPr>
        <w:jc w:val="both"/>
      </w:pPr>
    </w:p>
    <w:p w:rsidR="00B82EB2" w:rsidRPr="00105352" w:rsidRDefault="00B82EB2" w:rsidP="00B82EB2">
      <w:pPr>
        <w:jc w:val="both"/>
      </w:pPr>
      <w:r w:rsidRPr="00105352">
        <w:t>Uzevši u obzir prepreke razvoju tržišnog natjecanj</w:t>
      </w:r>
      <w:r>
        <w:t>a</w:t>
      </w:r>
      <w:r w:rsidRPr="00105352">
        <w:t xml:space="preserve"> koje su detaljn</w:t>
      </w:r>
      <w:r>
        <w:t xml:space="preserve">o objašnjenje u poglavljima </w:t>
      </w:r>
      <w:r w:rsidR="00B630B6">
        <w:t xml:space="preserve"> </w:t>
      </w:r>
      <w:r w:rsidR="00B630B6">
        <w:fldChar w:fldCharType="begin"/>
      </w:r>
      <w:r w:rsidR="00B630B6">
        <w:instrText xml:space="preserve"> REF _Ref125566625 \r \h </w:instrText>
      </w:r>
      <w:r w:rsidR="00B630B6">
        <w:fldChar w:fldCharType="separate"/>
      </w:r>
      <w:r w:rsidR="00B630B6">
        <w:t>7.2</w:t>
      </w:r>
      <w:r w:rsidR="00B630B6">
        <w:fldChar w:fldCharType="end"/>
      </w:r>
      <w:r w:rsidR="00B630B6">
        <w:t xml:space="preserve"> </w:t>
      </w:r>
      <w:r>
        <w:t xml:space="preserve">i </w:t>
      </w:r>
      <w:r w:rsidR="00B630B6">
        <w:fldChar w:fldCharType="begin"/>
      </w:r>
      <w:r w:rsidR="00B630B6">
        <w:instrText xml:space="preserve"> REF _Ref125566634 \r \h </w:instrText>
      </w:r>
      <w:r w:rsidR="00B630B6">
        <w:fldChar w:fldCharType="separate"/>
      </w:r>
      <w:r w:rsidR="00B630B6">
        <w:t>7.3</w:t>
      </w:r>
      <w:r w:rsidR="00B630B6">
        <w:fldChar w:fldCharType="end"/>
      </w:r>
      <w:r w:rsidRPr="00105352">
        <w:t xml:space="preserve"> ovog dokumenta, HAKOM </w:t>
      </w:r>
      <w:r>
        <w:t>zadržava</w:t>
      </w:r>
      <w:r w:rsidRPr="00105352">
        <w:t xml:space="preserve"> HT-u, kao operatoru sa značajnom tržišnom snagom na </w:t>
      </w:r>
      <w:r w:rsidRPr="004C78E2">
        <w:t xml:space="preserve">tržištu veleprodajnog </w:t>
      </w:r>
      <w:r>
        <w:t xml:space="preserve">lokalnog </w:t>
      </w:r>
      <w:r w:rsidRPr="004C78E2">
        <w:t>pristupa</w:t>
      </w:r>
      <w:r>
        <w:t xml:space="preserve"> koji se pruža na fiksnoj lokaciji</w:t>
      </w:r>
      <w:r w:rsidRPr="004C78E2">
        <w:t>, obvezu transparentnosti u vezi s pristupom.</w:t>
      </w:r>
    </w:p>
    <w:p w:rsidR="00B82EB2" w:rsidRPr="00105352" w:rsidRDefault="00B82EB2" w:rsidP="00B82EB2">
      <w:pPr>
        <w:jc w:val="both"/>
      </w:pPr>
    </w:p>
    <w:p w:rsidR="00B82EB2" w:rsidRPr="00105352" w:rsidRDefault="00B82EB2" w:rsidP="00B82EB2">
      <w:pPr>
        <w:jc w:val="both"/>
        <w:rPr>
          <w:highlight w:val="yellow"/>
        </w:rPr>
      </w:pPr>
      <w:r w:rsidRPr="00105352">
        <w:t>HAKOM je odredio HT-u obvezu transparentnosti s obzirom da smatra da će navedena obveza riješiti prepreke razvoju tržišnog natjecanja koje su defi</w:t>
      </w:r>
      <w:r>
        <w:t xml:space="preserve">nirane u </w:t>
      </w:r>
      <w:r w:rsidRPr="0099036D">
        <w:t xml:space="preserve">poglavlju </w:t>
      </w:r>
      <w:r w:rsidR="00B630B6">
        <w:fldChar w:fldCharType="begin"/>
      </w:r>
      <w:r w:rsidR="00B630B6">
        <w:instrText xml:space="preserve"> REF _Ref125566651 \r \h </w:instrText>
      </w:r>
      <w:r w:rsidR="00B630B6">
        <w:fldChar w:fldCharType="separate"/>
      </w:r>
      <w:r w:rsidR="00B630B6">
        <w:t>7.2</w:t>
      </w:r>
      <w:r w:rsidR="00B630B6">
        <w:fldChar w:fldCharType="end"/>
      </w:r>
      <w:r w:rsidRPr="0099036D">
        <w:t xml:space="preserve"> i </w:t>
      </w:r>
      <w:r w:rsidR="00B630B6">
        <w:fldChar w:fldCharType="begin"/>
      </w:r>
      <w:r w:rsidR="00B630B6">
        <w:instrText xml:space="preserve"> REF _Ref125566662 \r \h </w:instrText>
      </w:r>
      <w:r w:rsidR="00B630B6">
        <w:fldChar w:fldCharType="separate"/>
      </w:r>
      <w:r w:rsidR="00B630B6">
        <w:t>7.3</w:t>
      </w:r>
      <w:r w:rsidR="00B630B6">
        <w:fldChar w:fldCharType="end"/>
      </w:r>
      <w:r w:rsidRPr="0099036D">
        <w:t xml:space="preserve"> ovog</w:t>
      </w:r>
      <w:r w:rsidRPr="00105352">
        <w:t xml:space="preserve"> dokumenta i slične prepreke koje nisu izravno definirane, a mogle bi dovesti do istih problema na tržištu. Navedena regulatorna obveza je i dodatna obveza usmjer</w:t>
      </w:r>
      <w:r>
        <w:t>ena</w:t>
      </w:r>
      <w:r w:rsidRPr="00105352">
        <w:t xml:space="preserve"> rješavanj</w:t>
      </w:r>
      <w:r>
        <w:t>u</w:t>
      </w:r>
      <w:r w:rsidRPr="00105352">
        <w:t xml:space="preserve"> svih prepreka razvoju tržišnog natjecanja koje su vezane uz diskriminaciju na cjenovnoj osnovi i diskriminaciju koja nije na cjenovnoj osnovi budući da je moguće utvrditi sve oblike diskriminacijskog ponašanja</w:t>
      </w:r>
      <w:r>
        <w:t>,</w:t>
      </w:r>
      <w:r w:rsidRPr="00105352">
        <w:t xml:space="preserve">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rsidR="00B82EB2" w:rsidRPr="00105352" w:rsidRDefault="00B82EB2" w:rsidP="00B82EB2">
      <w:pPr>
        <w:jc w:val="both"/>
        <w:rPr>
          <w:highlight w:val="yellow"/>
        </w:rPr>
      </w:pPr>
    </w:p>
    <w:p w:rsidR="00B82EB2" w:rsidRPr="00105352" w:rsidRDefault="00B82EB2" w:rsidP="00B82EB2">
      <w:pPr>
        <w:jc w:val="both"/>
      </w:pPr>
      <w:r w:rsidRPr="00105352">
        <w:t>Ist</w:t>
      </w:r>
      <w:r>
        <w:t xml:space="preserve">o tako, iako </w:t>
      </w:r>
      <w:r w:rsidRPr="00427DFE">
        <w:rPr>
          <w:shd w:val="clear" w:color="auto" w:fill="FFFFFF" w:themeFill="background1"/>
        </w:rPr>
        <w:t xml:space="preserve">je u poglavlju </w:t>
      </w:r>
      <w:r w:rsidR="00B630B6" w:rsidRPr="00742E0B">
        <w:rPr>
          <w:shd w:val="clear" w:color="auto" w:fill="FFFFFF" w:themeFill="background1"/>
        </w:rPr>
        <w:fldChar w:fldCharType="begin"/>
      </w:r>
      <w:r w:rsidR="00B630B6" w:rsidRPr="00742E0B">
        <w:rPr>
          <w:shd w:val="clear" w:color="auto" w:fill="FFFFFF" w:themeFill="background1"/>
        </w:rPr>
        <w:instrText xml:space="preserve"> REF _Ref125566709 \r \h  \* MERGEFORMAT </w:instrText>
      </w:r>
      <w:r w:rsidR="00B630B6" w:rsidRPr="00742E0B">
        <w:rPr>
          <w:shd w:val="clear" w:color="auto" w:fill="FFFFFF" w:themeFill="background1"/>
        </w:rPr>
      </w:r>
      <w:r w:rsidR="00B630B6" w:rsidRPr="00742E0B">
        <w:rPr>
          <w:shd w:val="clear" w:color="auto" w:fill="FFFFFF" w:themeFill="background1"/>
        </w:rPr>
        <w:fldChar w:fldCharType="separate"/>
      </w:r>
      <w:r w:rsidR="00B630B6" w:rsidRPr="00742E0B">
        <w:rPr>
          <w:shd w:val="clear" w:color="auto" w:fill="FFFFFF" w:themeFill="background1"/>
        </w:rPr>
        <w:t>8.2</w:t>
      </w:r>
      <w:r w:rsidR="00B630B6" w:rsidRPr="00742E0B">
        <w:rPr>
          <w:shd w:val="clear" w:color="auto" w:fill="FFFFFF" w:themeFill="background1"/>
        </w:rPr>
        <w:fldChar w:fldCharType="end"/>
      </w:r>
      <w:r w:rsidRPr="00742E0B">
        <w:rPr>
          <w:shd w:val="clear" w:color="auto" w:fill="FFFFFF" w:themeFill="background1"/>
        </w:rPr>
        <w:t xml:space="preserve"> ovog</w:t>
      </w:r>
      <w:r w:rsidRPr="00427DFE">
        <w:rPr>
          <w:shd w:val="clear" w:color="auto" w:fill="FFFFFF" w:themeFill="background1"/>
        </w:rPr>
        <w:t xml:space="preserve"> dokumenta</w:t>
      </w:r>
      <w:r w:rsidRPr="00105352">
        <w:t xml:space="preserve"> HT-u određena regulatorna obveza pristupa, ista se ne bi mogla kvalitetno provoditi ukoliko se ne bi odredilo HT-u da, kao operator sa značajnom tržišnom snagom kojem je određena regulatorna obveza pristupa, objavi sve uvjete za korištenje usluge </w:t>
      </w:r>
      <w:r>
        <w:t>definirane u obvezi pristupa</w:t>
      </w:r>
      <w:r w:rsidRPr="00105352">
        <w:t>. Sukladno navedenom, regulatorna obveza transparentnosti određena je HT-u kao dopunska obveza uz obvezu pristupa, odnosno određivanjem ove regulatorne obveze, kao i obveze nediskriminacije, osigurat će se kvalitetno provođenje regulatorne obveze pristupa.</w:t>
      </w:r>
    </w:p>
    <w:p w:rsidR="00B82EB2" w:rsidRPr="00105352" w:rsidRDefault="00B82EB2" w:rsidP="00B82EB2">
      <w:pPr>
        <w:ind w:left="360"/>
        <w:jc w:val="both"/>
      </w:pPr>
    </w:p>
    <w:p w:rsidR="00B82EB2" w:rsidRPr="00105352" w:rsidRDefault="00B82EB2" w:rsidP="00B82EB2">
      <w:pPr>
        <w:pStyle w:val="NormalWeb"/>
        <w:spacing w:before="0" w:beforeAutospacing="0" w:after="0" w:afterAutospacing="0"/>
        <w:jc w:val="both"/>
        <w:rPr>
          <w:rFonts w:ascii="Calibri" w:hAnsi="Calibri"/>
        </w:rPr>
      </w:pPr>
      <w:r w:rsidRPr="00105352">
        <w:rPr>
          <w:rFonts w:ascii="Calibri" w:hAnsi="Calibri"/>
        </w:rPr>
        <w:t>Svrha obveze transparentnosti je da svi operatori na mjerodavnom tržištu imaju mogućnost uvida u uvjete za korištenje uslug</w:t>
      </w:r>
      <w:r>
        <w:rPr>
          <w:rFonts w:ascii="Calibri" w:hAnsi="Calibri"/>
        </w:rPr>
        <w:t>a</w:t>
      </w:r>
      <w:r w:rsidRPr="00105352">
        <w:rPr>
          <w:rFonts w:ascii="Calibri" w:hAnsi="Calibri"/>
        </w:rPr>
        <w:t xml:space="preserve"> </w:t>
      </w:r>
      <w:r>
        <w:rPr>
          <w:rFonts w:ascii="Calibri" w:hAnsi="Calibri"/>
        </w:rPr>
        <w:t>za koje je određena obveza pristupa</w:t>
      </w:r>
      <w:r w:rsidRPr="00105352">
        <w:rPr>
          <w:rFonts w:ascii="Calibri" w:hAnsi="Calibri"/>
        </w:rPr>
        <w:t>. Obveza transparentnosti se u potpunosti nadopunjuje s prethodno određenom obvezom nediskriminacije, te je nužna iz razloga što su</w:t>
      </w:r>
      <w:r>
        <w:rPr>
          <w:rFonts w:ascii="Calibri" w:hAnsi="Calibri"/>
        </w:rPr>
        <w:t xml:space="preserve"> predmetne</w:t>
      </w:r>
      <w:r w:rsidRPr="00105352">
        <w:rPr>
          <w:rFonts w:ascii="Calibri" w:hAnsi="Calibri"/>
        </w:rPr>
        <w:t xml:space="preserve"> </w:t>
      </w:r>
      <w:r>
        <w:rPr>
          <w:rFonts w:ascii="Calibri" w:hAnsi="Calibri"/>
        </w:rPr>
        <w:t xml:space="preserve">usluge </w:t>
      </w:r>
      <w:r w:rsidRPr="00105352">
        <w:rPr>
          <w:rFonts w:ascii="Calibri" w:hAnsi="Calibri"/>
        </w:rPr>
        <w:t xml:space="preserve">tehnički zahtjevne. Stoga je provođenje obveze nediskriminacije moguće samo u slučaju transparentnog prikaza svih informacija i uvjeta </w:t>
      </w:r>
      <w:r>
        <w:rPr>
          <w:rFonts w:ascii="Calibri" w:hAnsi="Calibri"/>
        </w:rPr>
        <w:t>vezano uz navedene usluge</w:t>
      </w:r>
      <w:r w:rsidRPr="00105352">
        <w:rPr>
          <w:rFonts w:ascii="Calibri" w:hAnsi="Calibri"/>
        </w:rPr>
        <w:t xml:space="preserve">. </w:t>
      </w:r>
    </w:p>
    <w:p w:rsidR="00B82EB2" w:rsidRPr="00105352" w:rsidRDefault="00B82EB2" w:rsidP="00B82EB2">
      <w:pPr>
        <w:jc w:val="both"/>
      </w:pPr>
    </w:p>
    <w:p w:rsidR="00B82EB2" w:rsidRPr="00105352" w:rsidRDefault="00B82EB2" w:rsidP="00B82EB2">
      <w:pPr>
        <w:jc w:val="both"/>
      </w:pPr>
      <w:r w:rsidRPr="00105352">
        <w:t>Slijedom svega navedenog, HT-u</w:t>
      </w:r>
      <w:r>
        <w:t xml:space="preserve"> se </w:t>
      </w:r>
      <w:r w:rsidRPr="00105352">
        <w:t>kao operatoru sa značajnom tržišnom snagom na tržištu koje je predmet ovog dokumenta</w:t>
      </w:r>
      <w:r>
        <w:t xml:space="preserve"> određuje</w:t>
      </w:r>
      <w:r w:rsidRPr="00105352">
        <w:t xml:space="preserve"> regulatorn</w:t>
      </w:r>
      <w:r>
        <w:t>a</w:t>
      </w:r>
      <w:r w:rsidRPr="00105352">
        <w:t xml:space="preserve"> obvez</w:t>
      </w:r>
      <w:r>
        <w:t>a</w:t>
      </w:r>
      <w:r w:rsidRPr="00105352">
        <w:t xml:space="preserve"> transparentnosti i to kako slijedi:</w:t>
      </w:r>
    </w:p>
    <w:p w:rsidR="00B82EB2" w:rsidRPr="00105352" w:rsidRDefault="00B82EB2" w:rsidP="00B82EB2">
      <w:pPr>
        <w:jc w:val="both"/>
      </w:pPr>
    </w:p>
    <w:p w:rsidR="00B82EB2" w:rsidRPr="00105352" w:rsidRDefault="00B82EB2" w:rsidP="00766501">
      <w:pPr>
        <w:numPr>
          <w:ilvl w:val="0"/>
          <w:numId w:val="26"/>
        </w:numPr>
        <w:jc w:val="both"/>
      </w:pPr>
      <w:r w:rsidRPr="00105352">
        <w:t xml:space="preserve">HT mora objaviti standardnu ponudu za sve </w:t>
      </w:r>
      <w:r>
        <w:t xml:space="preserve">veleprodajne </w:t>
      </w:r>
      <w:r w:rsidRPr="00105352">
        <w:t xml:space="preserve">usluge </w:t>
      </w:r>
      <w:r w:rsidRPr="007E1EE9">
        <w:rPr>
          <w:rFonts w:eastAsia="Calibri"/>
        </w:rPr>
        <w:t>za koje mora omogućiti pristup</w:t>
      </w:r>
      <w:r>
        <w:rPr>
          <w:rFonts w:eastAsia="Calibri"/>
        </w:rPr>
        <w:t xml:space="preserve"> kako je definirano u obvezi pristupa </w:t>
      </w:r>
      <w:r w:rsidRPr="00265C76">
        <w:rPr>
          <w:rFonts w:eastAsia="Calibri"/>
        </w:rPr>
        <w:t xml:space="preserve">u </w:t>
      </w:r>
      <w:r w:rsidRPr="00742E0B">
        <w:rPr>
          <w:rFonts w:eastAsia="Calibri"/>
        </w:rPr>
        <w:t xml:space="preserve">poglavlju </w:t>
      </w:r>
      <w:r w:rsidR="00B630B6" w:rsidRPr="00742E0B">
        <w:rPr>
          <w:rFonts w:eastAsia="Calibri"/>
        </w:rPr>
        <w:fldChar w:fldCharType="begin"/>
      </w:r>
      <w:r w:rsidR="00B630B6" w:rsidRPr="00742E0B">
        <w:rPr>
          <w:rFonts w:eastAsia="Calibri"/>
        </w:rPr>
        <w:instrText xml:space="preserve"> REF _Ref125566738 \r \h  \* MERGEFORMAT </w:instrText>
      </w:r>
      <w:r w:rsidR="00B630B6" w:rsidRPr="00742E0B">
        <w:rPr>
          <w:rFonts w:eastAsia="Calibri"/>
        </w:rPr>
      </w:r>
      <w:r w:rsidR="00B630B6" w:rsidRPr="00742E0B">
        <w:rPr>
          <w:rFonts w:eastAsia="Calibri"/>
        </w:rPr>
        <w:fldChar w:fldCharType="separate"/>
      </w:r>
      <w:r w:rsidR="00B630B6" w:rsidRPr="00742E0B">
        <w:rPr>
          <w:rFonts w:eastAsia="Calibri"/>
        </w:rPr>
        <w:t>8.2</w:t>
      </w:r>
      <w:r w:rsidR="00B630B6" w:rsidRPr="00742E0B">
        <w:rPr>
          <w:rFonts w:eastAsia="Calibri"/>
        </w:rPr>
        <w:fldChar w:fldCharType="end"/>
      </w:r>
      <w:r w:rsidR="00B630B6" w:rsidRPr="00742E0B">
        <w:rPr>
          <w:rFonts w:eastAsia="Calibri"/>
        </w:rPr>
        <w:t xml:space="preserve"> </w:t>
      </w:r>
      <w:r w:rsidRPr="00742E0B">
        <w:rPr>
          <w:rFonts w:eastAsia="Calibri"/>
        </w:rPr>
        <w:t>ovog</w:t>
      </w:r>
      <w:r w:rsidRPr="00265C76">
        <w:rPr>
          <w:rFonts w:eastAsia="Calibri"/>
        </w:rPr>
        <w:t xml:space="preserve"> dokumenta</w:t>
      </w:r>
      <w:r>
        <w:t xml:space="preserve">, </w:t>
      </w:r>
      <w:r w:rsidRPr="00105352">
        <w:t>na temelju koje drugi operatori neće biti obvezni plaćati dodatne troškove, koji nisu nužni za pružanje zatražene usluge</w:t>
      </w:r>
    </w:p>
    <w:p w:rsidR="00B82EB2" w:rsidRPr="00105352" w:rsidRDefault="00B82EB2" w:rsidP="00766501">
      <w:pPr>
        <w:numPr>
          <w:ilvl w:val="0"/>
          <w:numId w:val="26"/>
        </w:numPr>
        <w:jc w:val="both"/>
      </w:pPr>
      <w:r w:rsidRPr="00105352">
        <w:t>standardna ponuda mora biti podrobno raščlanjena u skladu s potrebama tržišta te mora sadržavati pripadajuće rokove, uvjete i cijene usluga</w:t>
      </w:r>
    </w:p>
    <w:p w:rsidR="00B82EB2" w:rsidRPr="00105352" w:rsidRDefault="00B82EB2" w:rsidP="00766501">
      <w:pPr>
        <w:numPr>
          <w:ilvl w:val="0"/>
          <w:numId w:val="26"/>
        </w:numPr>
        <w:jc w:val="both"/>
      </w:pPr>
      <w:r w:rsidRPr="00105352">
        <w:t>standardna ponuda mora sadržavati i dio u kojem će se definirati uvjeti korištenja zajedničkog prostora (</w:t>
      </w:r>
      <w:proofErr w:type="spellStart"/>
      <w:r w:rsidRPr="00105352">
        <w:t>kolokacija</w:t>
      </w:r>
      <w:proofErr w:type="spellEnd"/>
      <w:r w:rsidRPr="00105352">
        <w:t>) zajedno s rokovima, uvjetima i cijenama pružanja usluge</w:t>
      </w:r>
    </w:p>
    <w:p w:rsidR="00B82EB2" w:rsidRPr="00105352" w:rsidRDefault="00B82EB2" w:rsidP="00766501">
      <w:pPr>
        <w:numPr>
          <w:ilvl w:val="0"/>
          <w:numId w:val="26"/>
        </w:numPr>
        <w:jc w:val="both"/>
      </w:pPr>
      <w:r w:rsidRPr="00105352">
        <w:t>HT mora omogućiti HAKOM-u pristup sustavu/bazi podataka koji se koristi za računanje i pohranu glavnih pokazatelja učinkovitosti - KPI (</w:t>
      </w:r>
      <w:proofErr w:type="spellStart"/>
      <w:r w:rsidRPr="00105352">
        <w:t>eng</w:t>
      </w:r>
      <w:proofErr w:type="spellEnd"/>
      <w:r w:rsidRPr="00105352">
        <w:t xml:space="preserve">. </w:t>
      </w:r>
      <w:proofErr w:type="spellStart"/>
      <w:r w:rsidRPr="00105352">
        <w:rPr>
          <w:i/>
        </w:rPr>
        <w:t>Key</w:t>
      </w:r>
      <w:proofErr w:type="spellEnd"/>
      <w:r w:rsidRPr="00105352">
        <w:rPr>
          <w:i/>
        </w:rPr>
        <w:t xml:space="preserve"> </w:t>
      </w:r>
      <w:proofErr w:type="spellStart"/>
      <w:r w:rsidRPr="00105352">
        <w:rPr>
          <w:i/>
        </w:rPr>
        <w:t>Performance</w:t>
      </w:r>
      <w:proofErr w:type="spellEnd"/>
      <w:r w:rsidRPr="00105352">
        <w:rPr>
          <w:i/>
        </w:rPr>
        <w:t xml:space="preserve"> </w:t>
      </w:r>
      <w:proofErr w:type="spellStart"/>
      <w:r w:rsidRPr="00105352">
        <w:rPr>
          <w:i/>
        </w:rPr>
        <w:t>Indicators</w:t>
      </w:r>
      <w:proofErr w:type="spellEnd"/>
      <w:r w:rsidRPr="00105352">
        <w:t>)</w:t>
      </w:r>
    </w:p>
    <w:p w:rsidR="00B82EB2" w:rsidRPr="00105352" w:rsidRDefault="00B82EB2" w:rsidP="00766501">
      <w:pPr>
        <w:numPr>
          <w:ilvl w:val="0"/>
          <w:numId w:val="26"/>
        </w:numPr>
        <w:jc w:val="both"/>
      </w:pPr>
      <w:r w:rsidRPr="00105352">
        <w:t>HT mora HAKOM-u dostavljati izvješća sa svim relevantnim pokazateljima učinkovitosti (</w:t>
      </w:r>
      <w:proofErr w:type="spellStart"/>
      <w:r w:rsidRPr="00105352">
        <w:t>eng</w:t>
      </w:r>
      <w:proofErr w:type="spellEnd"/>
      <w:r w:rsidRPr="00105352">
        <w:t xml:space="preserve">. </w:t>
      </w:r>
      <w:proofErr w:type="spellStart"/>
      <w:r w:rsidRPr="004C78E2">
        <w:rPr>
          <w:i/>
        </w:rPr>
        <w:t>performance</w:t>
      </w:r>
      <w:proofErr w:type="spellEnd"/>
      <w:r w:rsidRPr="004C78E2">
        <w:rPr>
          <w:i/>
        </w:rPr>
        <w:t xml:space="preserve"> </w:t>
      </w:r>
      <w:proofErr w:type="spellStart"/>
      <w:r w:rsidRPr="004C78E2">
        <w:rPr>
          <w:i/>
        </w:rPr>
        <w:t>indicators</w:t>
      </w:r>
      <w:proofErr w:type="spellEnd"/>
      <w:r w:rsidRPr="00105352">
        <w:t>)</w:t>
      </w:r>
    </w:p>
    <w:p w:rsidR="00B82EB2" w:rsidRPr="00105352" w:rsidRDefault="00B82EB2" w:rsidP="00766501">
      <w:pPr>
        <w:numPr>
          <w:ilvl w:val="0"/>
          <w:numId w:val="26"/>
        </w:numPr>
        <w:jc w:val="both"/>
      </w:pPr>
      <w:r w:rsidRPr="00105352">
        <w:t xml:space="preserve">HT mora na tromjesečnoj razini putem B2B servisa omogućiti operatorima korisnicima </w:t>
      </w:r>
      <w:r>
        <w:t xml:space="preserve">pristup </w:t>
      </w:r>
      <w:r w:rsidRPr="00105352">
        <w:t>rezultat</w:t>
      </w:r>
      <w:r>
        <w:t>ima</w:t>
      </w:r>
      <w:r w:rsidRPr="00105352">
        <w:t xml:space="preserve"> glavnih pokazatelja učinkovitosti prosječno za sve operatore korisnike</w:t>
      </w:r>
      <w:r>
        <w:t xml:space="preserve">, </w:t>
      </w:r>
      <w:r w:rsidRPr="00105352">
        <w:t>zasebno za maloprodajni dio HT-a</w:t>
      </w:r>
      <w:r>
        <w:t xml:space="preserve"> i zasebno za društv</w:t>
      </w:r>
      <w:r w:rsidDel="00EB53FE">
        <w:t>a</w:t>
      </w:r>
      <w:r>
        <w:t xml:space="preserve"> pod njegovim nadzorom</w:t>
      </w:r>
      <w:r w:rsidRPr="00105352">
        <w:t xml:space="preserve">. </w:t>
      </w:r>
    </w:p>
    <w:p w:rsidR="00B82EB2" w:rsidRDefault="00B82EB2" w:rsidP="00B82EB2">
      <w:pPr>
        <w:pStyle w:val="NormalWeb"/>
        <w:spacing w:before="0" w:beforeAutospacing="0" w:after="0" w:afterAutospacing="0"/>
        <w:jc w:val="both"/>
        <w:rPr>
          <w:rFonts w:ascii="Calibri" w:hAnsi="Calibri"/>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Obveza objave standardne ponude</w:t>
      </w:r>
    </w:p>
    <w:p w:rsidR="00B82EB2" w:rsidRPr="00D24709"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pStyle w:val="NormalWeb"/>
        <w:tabs>
          <w:tab w:val="left" w:pos="709"/>
        </w:tabs>
        <w:autoSpaceDE w:val="0"/>
        <w:autoSpaceDN w:val="0"/>
        <w:adjustRightInd w:val="0"/>
        <w:spacing w:before="0" w:beforeAutospacing="0" w:after="0" w:afterAutospacing="0"/>
        <w:jc w:val="both"/>
        <w:rPr>
          <w:rFonts w:ascii="Calibri" w:hAnsi="Calibri"/>
        </w:rPr>
      </w:pPr>
      <w:r w:rsidRPr="00105352">
        <w:rPr>
          <w:rFonts w:ascii="Calibri" w:hAnsi="Calibri"/>
        </w:rPr>
        <w:t xml:space="preserve">HAKOM smatra da, s obzirom na tehničku složenost </w:t>
      </w:r>
      <w:r>
        <w:rPr>
          <w:rFonts w:ascii="Calibri" w:hAnsi="Calibri"/>
        </w:rPr>
        <w:t xml:space="preserve">veleprodajnih </w:t>
      </w:r>
      <w:r w:rsidRPr="00105352">
        <w:rPr>
          <w:rFonts w:ascii="Calibri" w:hAnsi="Calibri"/>
        </w:rPr>
        <w:t>uslug</w:t>
      </w:r>
      <w:r>
        <w:rPr>
          <w:rFonts w:ascii="Calibri" w:hAnsi="Calibri"/>
        </w:rPr>
        <w:t>a</w:t>
      </w:r>
      <w:r w:rsidRPr="00105352">
        <w:rPr>
          <w:rFonts w:ascii="Calibri" w:hAnsi="Calibri"/>
        </w:rPr>
        <w:t xml:space="preserve"> </w:t>
      </w:r>
      <w:r>
        <w:rPr>
          <w:rFonts w:ascii="Calibri" w:hAnsi="Calibri"/>
        </w:rPr>
        <w:t>koje su predmet ovog mjerodavnog tržišta</w:t>
      </w:r>
      <w:r w:rsidRPr="00105352">
        <w:rPr>
          <w:rFonts w:ascii="Calibri" w:hAnsi="Calibri"/>
        </w:rPr>
        <w:t xml:space="preserve">, pristup potrebnim informacijama sam po sebi ne bi bio dovoljan te je potrebno HT-u odrediti obvezu objave standardne ponude na temelju koje drugi operatori neće biti obvezni plaćati dodatne troškove, koji nisu nužni za pružanje zatražene usluge. </w:t>
      </w:r>
    </w:p>
    <w:p w:rsidR="00B82EB2" w:rsidRDefault="00B82EB2" w:rsidP="00B82EB2">
      <w:pPr>
        <w:pStyle w:val="NormalWeb"/>
        <w:autoSpaceDE w:val="0"/>
        <w:autoSpaceDN w:val="0"/>
        <w:adjustRightInd w:val="0"/>
        <w:spacing w:before="0" w:beforeAutospacing="0" w:after="0" w:afterAutospacing="0"/>
        <w:jc w:val="both"/>
        <w:rPr>
          <w:rFonts w:ascii="Calibri" w:hAnsi="Calibri"/>
        </w:rPr>
      </w:pPr>
    </w:p>
    <w:p w:rsidR="00B82EB2" w:rsidRDefault="00B82EB2" w:rsidP="00B82EB2">
      <w:pPr>
        <w:pStyle w:val="NormalWeb"/>
        <w:autoSpaceDE w:val="0"/>
        <w:autoSpaceDN w:val="0"/>
        <w:adjustRightInd w:val="0"/>
        <w:spacing w:before="0" w:beforeAutospacing="0" w:after="120" w:afterAutospacing="0"/>
        <w:jc w:val="both"/>
        <w:rPr>
          <w:rFonts w:ascii="Calibri" w:hAnsi="Calibri"/>
        </w:rPr>
      </w:pPr>
      <w:r>
        <w:rPr>
          <w:rFonts w:ascii="Calibri" w:hAnsi="Calibri"/>
        </w:rPr>
        <w:t>HAKOM određuje HT-u obvezu objave:</w:t>
      </w:r>
    </w:p>
    <w:p w:rsidR="00B82EB2" w:rsidRDefault="00B82EB2" w:rsidP="00766501">
      <w:pPr>
        <w:pStyle w:val="NormalWeb"/>
        <w:numPr>
          <w:ilvl w:val="0"/>
          <w:numId w:val="36"/>
        </w:numPr>
        <w:autoSpaceDE w:val="0"/>
        <w:autoSpaceDN w:val="0"/>
        <w:adjustRightInd w:val="0"/>
        <w:spacing w:before="0" w:beforeAutospacing="0" w:after="0" w:afterAutospacing="0"/>
        <w:ind w:left="567" w:hanging="283"/>
        <w:jc w:val="both"/>
        <w:rPr>
          <w:rFonts w:ascii="Calibri" w:hAnsi="Calibri"/>
        </w:rPr>
      </w:pPr>
      <w:r>
        <w:rPr>
          <w:rFonts w:ascii="Calibri" w:hAnsi="Calibri"/>
        </w:rPr>
        <w:t>standardne ponude u kojoj će biti definirani uvjeti za uslugu izdvojenog pristupa lokalnoj petlji na temelju bakrene parice (</w:t>
      </w:r>
      <w:proofErr w:type="spellStart"/>
      <w:r>
        <w:rPr>
          <w:rFonts w:ascii="Calibri" w:hAnsi="Calibri"/>
        </w:rPr>
        <w:t>eng</w:t>
      </w:r>
      <w:proofErr w:type="spellEnd"/>
      <w:r>
        <w:rPr>
          <w:rFonts w:ascii="Calibri" w:hAnsi="Calibri"/>
        </w:rPr>
        <w:t xml:space="preserve">. </w:t>
      </w:r>
      <w:proofErr w:type="spellStart"/>
      <w:r w:rsidRPr="007B72D8">
        <w:rPr>
          <w:rFonts w:ascii="Calibri" w:hAnsi="Calibri"/>
          <w:i/>
        </w:rPr>
        <w:t>copper</w:t>
      </w:r>
      <w:proofErr w:type="spellEnd"/>
      <w:r>
        <w:rPr>
          <w:rFonts w:ascii="Calibri" w:hAnsi="Calibri"/>
        </w:rPr>
        <w:t xml:space="preserve"> LLU)</w:t>
      </w:r>
    </w:p>
    <w:p w:rsidR="00B82EB2" w:rsidRDefault="00B82EB2" w:rsidP="00766501">
      <w:pPr>
        <w:pStyle w:val="NormalWeb"/>
        <w:numPr>
          <w:ilvl w:val="0"/>
          <w:numId w:val="36"/>
        </w:numPr>
        <w:autoSpaceDE w:val="0"/>
        <w:autoSpaceDN w:val="0"/>
        <w:adjustRightInd w:val="0"/>
        <w:spacing w:before="0" w:beforeAutospacing="0" w:after="0" w:afterAutospacing="0"/>
        <w:ind w:left="567" w:hanging="207"/>
        <w:jc w:val="both"/>
        <w:rPr>
          <w:rFonts w:ascii="Calibri" w:hAnsi="Calibri"/>
        </w:rPr>
      </w:pPr>
      <w:r>
        <w:rPr>
          <w:rFonts w:ascii="Calibri" w:hAnsi="Calibri"/>
        </w:rPr>
        <w:t>standardne ponude za uslugu izdvojenog pristupa lokalnoj petlji na temelju svjetlovodne niti (</w:t>
      </w:r>
      <w:proofErr w:type="spellStart"/>
      <w:r>
        <w:rPr>
          <w:rFonts w:ascii="Calibri" w:hAnsi="Calibri"/>
        </w:rPr>
        <w:t>eng</w:t>
      </w:r>
      <w:proofErr w:type="spellEnd"/>
      <w:r>
        <w:rPr>
          <w:rFonts w:ascii="Calibri" w:hAnsi="Calibri"/>
        </w:rPr>
        <w:t>. FTTH P2P i FA PON)</w:t>
      </w:r>
    </w:p>
    <w:p w:rsidR="00B82EB2" w:rsidRDefault="00B82EB2" w:rsidP="00766501">
      <w:pPr>
        <w:pStyle w:val="NormalWeb"/>
        <w:numPr>
          <w:ilvl w:val="0"/>
          <w:numId w:val="36"/>
        </w:numPr>
        <w:autoSpaceDE w:val="0"/>
        <w:autoSpaceDN w:val="0"/>
        <w:adjustRightInd w:val="0"/>
        <w:spacing w:before="0" w:beforeAutospacing="0" w:after="0" w:afterAutospacing="0"/>
        <w:ind w:left="567" w:hanging="207"/>
        <w:jc w:val="both"/>
        <w:rPr>
          <w:rFonts w:ascii="Calibri" w:hAnsi="Calibri"/>
        </w:rPr>
      </w:pPr>
      <w:r>
        <w:rPr>
          <w:rFonts w:ascii="Calibri" w:hAnsi="Calibri"/>
        </w:rPr>
        <w:t xml:space="preserve">standardne ponude u kojoj su definirani uvjeti za uslugu </w:t>
      </w:r>
      <w:r w:rsidRPr="00D93749">
        <w:rPr>
          <w:rFonts w:ascii="Calibri" w:eastAsia="Calibri" w:hAnsi="Calibri" w:cs="Calibri"/>
        </w:rPr>
        <w:t xml:space="preserve">virtualnog izdvojenog </w:t>
      </w:r>
      <w:r>
        <w:rPr>
          <w:rFonts w:ascii="Calibri" w:eastAsia="Calibri" w:hAnsi="Calibri" w:cs="Calibri"/>
        </w:rPr>
        <w:t>pristupa lokalnoj petlji (VULA)</w:t>
      </w:r>
    </w:p>
    <w:p w:rsidR="00B82EB2" w:rsidRDefault="00B82EB2" w:rsidP="00766501">
      <w:pPr>
        <w:pStyle w:val="NormalWeb"/>
        <w:numPr>
          <w:ilvl w:val="0"/>
          <w:numId w:val="36"/>
        </w:numPr>
        <w:autoSpaceDE w:val="0"/>
        <w:autoSpaceDN w:val="0"/>
        <w:adjustRightInd w:val="0"/>
        <w:spacing w:before="0" w:beforeAutospacing="0" w:after="0" w:afterAutospacing="0"/>
        <w:ind w:left="567" w:hanging="207"/>
        <w:jc w:val="both"/>
        <w:rPr>
          <w:rFonts w:ascii="Calibri" w:hAnsi="Calibri"/>
        </w:rPr>
      </w:pPr>
      <w:r w:rsidRPr="00341376">
        <w:rPr>
          <w:rFonts w:ascii="Calibri" w:hAnsi="Calibri"/>
        </w:rPr>
        <w:t>standardn</w:t>
      </w:r>
      <w:r>
        <w:rPr>
          <w:rFonts w:ascii="Calibri" w:hAnsi="Calibri"/>
        </w:rPr>
        <w:t>e</w:t>
      </w:r>
      <w:r w:rsidRPr="00341376">
        <w:rPr>
          <w:rFonts w:ascii="Calibri" w:hAnsi="Calibri"/>
        </w:rPr>
        <w:t xml:space="preserve"> ponud</w:t>
      </w:r>
      <w:r>
        <w:rPr>
          <w:rFonts w:ascii="Calibri" w:hAnsi="Calibri"/>
        </w:rPr>
        <w:t>e</w:t>
      </w:r>
      <w:r w:rsidRPr="00341376">
        <w:rPr>
          <w:rFonts w:ascii="Calibri" w:hAnsi="Calibri"/>
        </w:rPr>
        <w:t xml:space="preserve"> za </w:t>
      </w:r>
      <w:r>
        <w:rPr>
          <w:rFonts w:ascii="Calibri" w:hAnsi="Calibri"/>
        </w:rPr>
        <w:t xml:space="preserve">uslugu </w:t>
      </w:r>
      <w:r w:rsidRPr="00341376">
        <w:rPr>
          <w:rFonts w:ascii="Calibri" w:hAnsi="Calibri"/>
        </w:rPr>
        <w:t xml:space="preserve">pristupa i zajedničkog korištenja </w:t>
      </w:r>
      <w:r>
        <w:rPr>
          <w:rFonts w:ascii="Calibri" w:hAnsi="Calibri"/>
        </w:rPr>
        <w:t>elektroničke komunikacijske infrastrukture i povezane opreme.</w:t>
      </w:r>
    </w:p>
    <w:p w:rsidR="00B82EB2" w:rsidRDefault="00B82EB2" w:rsidP="00B82EB2">
      <w:pPr>
        <w:pStyle w:val="NormalWeb"/>
        <w:autoSpaceDE w:val="0"/>
        <w:autoSpaceDN w:val="0"/>
        <w:adjustRightInd w:val="0"/>
        <w:spacing w:before="0" w:beforeAutospacing="0" w:after="0" w:afterAutospacing="0"/>
        <w:ind w:left="567"/>
        <w:jc w:val="both"/>
        <w:rPr>
          <w:rFonts w:ascii="Calibri" w:hAnsi="Calibri"/>
        </w:rPr>
      </w:pPr>
    </w:p>
    <w:p w:rsidR="00B82EB2" w:rsidRDefault="00B82EB2" w:rsidP="00B82EB2">
      <w:pPr>
        <w:pStyle w:val="NormalWeb"/>
        <w:autoSpaceDE w:val="0"/>
        <w:autoSpaceDN w:val="0"/>
        <w:adjustRightInd w:val="0"/>
        <w:spacing w:before="0" w:beforeAutospacing="0" w:after="0" w:afterAutospacing="0"/>
        <w:jc w:val="both"/>
        <w:rPr>
          <w:rFonts w:ascii="Calibri" w:hAnsi="Calibri"/>
        </w:rPr>
      </w:pPr>
      <w:r w:rsidRPr="0094364F">
        <w:rPr>
          <w:rFonts w:ascii="Calibri" w:hAnsi="Calibri"/>
        </w:rPr>
        <w:t xml:space="preserve">Standardna ponuda mora osobito sadržavati podatke utvrđene smjernicama BEREC-a o minimalnim mjerilima za standardnu ponudu. U standardnim ponudama moraju biti opisane usluge koje HT nudi u vezi s pojedinom veleprodajnom uslugom, te ista mora biti podrobno raščlanjena u skladu s tržišnim potrebama i s njima povezanim uvjetima, uključujući cijene, razumno određene rokove i naknade u slučaju kašnjenja, sve u skladu s obvezama određenim odlukom iz članka 100. stavka 7. ZEK-a. Uvjeti za </w:t>
      </w:r>
      <w:proofErr w:type="spellStart"/>
      <w:r w:rsidRPr="0094364F">
        <w:rPr>
          <w:rFonts w:ascii="Calibri" w:hAnsi="Calibri"/>
        </w:rPr>
        <w:t>kolokaciju</w:t>
      </w:r>
      <w:proofErr w:type="spellEnd"/>
      <w:r w:rsidRPr="0094364F">
        <w:rPr>
          <w:rFonts w:ascii="Calibri" w:hAnsi="Calibri"/>
        </w:rPr>
        <w:t xml:space="preserve"> su sastavni dio Standardne ponude HT-a za uslugu izdvojenog pristupa lokalnoj petlji, a primjenjuju se na jednak način i za druge veleprodajne usluge obuhvaćene ovim dokumentom za koje je potrebna </w:t>
      </w:r>
      <w:proofErr w:type="spellStart"/>
      <w:r w:rsidRPr="0094364F">
        <w:rPr>
          <w:rFonts w:ascii="Calibri" w:hAnsi="Calibri"/>
        </w:rPr>
        <w:t>kolokacija</w:t>
      </w:r>
      <w:proofErr w:type="spellEnd"/>
      <w:r w:rsidRPr="0094364F">
        <w:rPr>
          <w:rFonts w:ascii="Calibri" w:hAnsi="Calibri"/>
        </w:rPr>
        <w:t xml:space="preserve">. </w:t>
      </w:r>
    </w:p>
    <w:p w:rsidR="00B82EB2" w:rsidRDefault="00B82EB2" w:rsidP="00B82EB2">
      <w:pPr>
        <w:pStyle w:val="NormalWeb"/>
        <w:autoSpaceDE w:val="0"/>
        <w:autoSpaceDN w:val="0"/>
        <w:adjustRightInd w:val="0"/>
        <w:spacing w:before="0" w:beforeAutospacing="0" w:after="0" w:afterAutospacing="0"/>
        <w:jc w:val="both"/>
        <w:rPr>
          <w:rFonts w:ascii="Calibri" w:hAnsi="Calibri"/>
        </w:rPr>
      </w:pPr>
    </w:p>
    <w:p w:rsidR="00B82EB2" w:rsidRDefault="00B82EB2" w:rsidP="00B82EB2">
      <w:pPr>
        <w:tabs>
          <w:tab w:val="left" w:pos="4606"/>
        </w:tabs>
        <w:jc w:val="both"/>
        <w:rPr>
          <w:rFonts w:cs="Calibri"/>
        </w:rPr>
      </w:pPr>
      <w:r>
        <w:rPr>
          <w:rFonts w:cs="Calibri"/>
        </w:rPr>
        <w:t>S obzirom da HT već ima objavljene standardne ponude, postojeće s</w:t>
      </w:r>
      <w:r w:rsidRPr="007A3567">
        <w:rPr>
          <w:rFonts w:cs="Calibri"/>
        </w:rPr>
        <w:t>tandardn</w:t>
      </w:r>
      <w:r>
        <w:rPr>
          <w:rFonts w:cs="Calibri"/>
        </w:rPr>
        <w:t>e</w:t>
      </w:r>
      <w:r w:rsidRPr="007A3567">
        <w:rPr>
          <w:rFonts w:cs="Calibri"/>
        </w:rPr>
        <w:t xml:space="preserve"> ponud</w:t>
      </w:r>
      <w:r>
        <w:rPr>
          <w:rFonts w:cs="Calibri"/>
        </w:rPr>
        <w:t xml:space="preserve">e </w:t>
      </w:r>
      <w:r w:rsidRPr="007A3567">
        <w:rPr>
          <w:rFonts w:cs="Calibri"/>
        </w:rPr>
        <w:t>ostaj</w:t>
      </w:r>
      <w:r>
        <w:rPr>
          <w:rFonts w:cs="Calibri"/>
        </w:rPr>
        <w:t>u</w:t>
      </w:r>
      <w:r w:rsidRPr="007A3567">
        <w:rPr>
          <w:rFonts w:cs="Calibri"/>
        </w:rPr>
        <w:t xml:space="preserve"> nepromijenjen</w:t>
      </w:r>
      <w:r>
        <w:rPr>
          <w:rFonts w:cs="Calibri"/>
        </w:rPr>
        <w:t>e</w:t>
      </w:r>
      <w:r w:rsidRPr="007A3567">
        <w:rPr>
          <w:rFonts w:cs="Calibri"/>
        </w:rPr>
        <w:t xml:space="preserve"> u svim onim dijelovima koji nisu promijenjeni ovom odlukom. </w:t>
      </w:r>
      <w:r>
        <w:rPr>
          <w:rFonts w:cs="Calibri"/>
        </w:rPr>
        <w:t xml:space="preserve">Naime, iako je HAKOM odlukom ukinuo regulatorne obveze određene prethodnom analizom te propisao nove regulatorne obveze, radi interesa pravne sigurnosti sudionika na tržištu, opravdano je postojeće standardne ponude ostaviti u primjeni te ih uskladiti s novim regulatornim obvezama. </w:t>
      </w:r>
      <w:r w:rsidRPr="007A3567">
        <w:rPr>
          <w:rFonts w:cs="Calibri"/>
        </w:rPr>
        <w:t>U slučaju da HAKOM u</w:t>
      </w:r>
      <w:r>
        <w:rPr>
          <w:rFonts w:cs="Calibri"/>
        </w:rPr>
        <w:t xml:space="preserve">tvrdi da su </w:t>
      </w:r>
      <w:r w:rsidRPr="007A3567">
        <w:rPr>
          <w:rFonts w:cs="Calibri"/>
        </w:rPr>
        <w:t>objavljen</w:t>
      </w:r>
      <w:r>
        <w:rPr>
          <w:rFonts w:cs="Calibri"/>
        </w:rPr>
        <w:t>e</w:t>
      </w:r>
      <w:r w:rsidRPr="007A3567">
        <w:rPr>
          <w:rFonts w:cs="Calibri"/>
        </w:rPr>
        <w:t xml:space="preserve"> standardn</w:t>
      </w:r>
      <w:r>
        <w:rPr>
          <w:rFonts w:cs="Calibri"/>
        </w:rPr>
        <w:t>e</w:t>
      </w:r>
      <w:r w:rsidRPr="007A3567">
        <w:rPr>
          <w:rFonts w:cs="Calibri"/>
        </w:rPr>
        <w:t xml:space="preserve"> ponud</w:t>
      </w:r>
      <w:r>
        <w:rPr>
          <w:rFonts w:cs="Calibri"/>
        </w:rPr>
        <w:t>e</w:t>
      </w:r>
      <w:r w:rsidRPr="007A3567">
        <w:rPr>
          <w:rFonts w:cs="Calibri"/>
        </w:rPr>
        <w:t xml:space="preserve"> u suprotnosti s naloženim obvezama ili da ist</w:t>
      </w:r>
      <w:r>
        <w:rPr>
          <w:rFonts w:cs="Calibri"/>
        </w:rPr>
        <w:t>e</w:t>
      </w:r>
      <w:r w:rsidRPr="007A3567">
        <w:rPr>
          <w:rFonts w:cs="Calibri"/>
        </w:rPr>
        <w:t xml:space="preserve"> ni</w:t>
      </w:r>
      <w:r>
        <w:rPr>
          <w:rFonts w:cs="Calibri"/>
        </w:rPr>
        <w:t>su</w:t>
      </w:r>
      <w:r w:rsidRPr="007A3567">
        <w:rPr>
          <w:rFonts w:cs="Calibri"/>
        </w:rPr>
        <w:t xml:space="preserve"> u skladu s odredbama ZEK-a, HAKOM može zatražiti izmjenu ist</w:t>
      </w:r>
      <w:r>
        <w:rPr>
          <w:rFonts w:cs="Calibri"/>
        </w:rPr>
        <w:t>ih.</w:t>
      </w:r>
    </w:p>
    <w:p w:rsidR="00B82EB2" w:rsidRPr="00105352" w:rsidRDefault="00B82EB2" w:rsidP="00B82EB2">
      <w:pPr>
        <w:pStyle w:val="NormalWeb"/>
        <w:spacing w:before="0" w:beforeAutospacing="0" w:after="0" w:afterAutospacing="0"/>
        <w:jc w:val="both"/>
        <w:rPr>
          <w:rFonts w:ascii="Calibri" w:hAnsi="Calibri"/>
        </w:rPr>
      </w:pPr>
    </w:p>
    <w:p w:rsidR="00B82EB2" w:rsidRPr="00B13552" w:rsidRDefault="00B82EB2" w:rsidP="00B82EB2">
      <w:pPr>
        <w:pStyle w:val="NormalWeb"/>
        <w:tabs>
          <w:tab w:val="left" w:pos="709"/>
        </w:tabs>
        <w:autoSpaceDE w:val="0"/>
        <w:autoSpaceDN w:val="0"/>
        <w:adjustRightInd w:val="0"/>
        <w:spacing w:before="0" w:beforeAutospacing="0" w:after="0" w:afterAutospacing="0"/>
        <w:jc w:val="both"/>
        <w:rPr>
          <w:rFonts w:ascii="Calibri" w:hAnsi="Calibri"/>
        </w:rPr>
      </w:pPr>
      <w:r w:rsidRPr="00B13552">
        <w:rPr>
          <w:rFonts w:ascii="Calibri" w:hAnsi="Calibri"/>
        </w:rPr>
        <w:t>HAKOM određuje HT-u sljedeće rokove vezano uz objavu standardne ponude, ovisno o uslugama koje su definirane u pojedinoj standardnoj ponudi:</w:t>
      </w:r>
    </w:p>
    <w:p w:rsidR="00B82EB2" w:rsidRPr="00B13552" w:rsidRDefault="00B82EB2" w:rsidP="00B82EB2">
      <w:pPr>
        <w:pStyle w:val="NormalWeb"/>
        <w:tabs>
          <w:tab w:val="left" w:pos="709"/>
        </w:tabs>
        <w:spacing w:before="0" w:beforeAutospacing="0" w:after="0" w:afterAutospacing="0"/>
        <w:rPr>
          <w:rFonts w:ascii="Calibri" w:hAnsi="Calibri"/>
        </w:rPr>
      </w:pPr>
    </w:p>
    <w:p w:rsidR="00B82EB2" w:rsidRPr="00B13552" w:rsidRDefault="00B82EB2" w:rsidP="00766501">
      <w:pPr>
        <w:numPr>
          <w:ilvl w:val="0"/>
          <w:numId w:val="27"/>
        </w:numPr>
        <w:ind w:hanging="720"/>
        <w:jc w:val="both"/>
        <w:rPr>
          <w:rStyle w:val="IntenseEmphasis"/>
        </w:rPr>
      </w:pPr>
      <w:r w:rsidRPr="00480501">
        <w:rPr>
          <w:rStyle w:val="IntenseEmphasis"/>
          <w:color w:val="1F3864" w:themeColor="accent1" w:themeShade="80"/>
        </w:rPr>
        <w:t>Usluga izdvojenog pristupa lokalnoj petlji na temelju bakrene parice</w:t>
      </w:r>
    </w:p>
    <w:p w:rsidR="00B82EB2" w:rsidRDefault="00B82EB2" w:rsidP="00B82EB2">
      <w:pPr>
        <w:pStyle w:val="NormalWeb"/>
        <w:spacing w:before="0" w:beforeAutospacing="0" w:after="0" w:afterAutospacing="0"/>
        <w:jc w:val="both"/>
        <w:rPr>
          <w:rFonts w:ascii="Calibri" w:hAnsi="Calibri" w:cs="Calibri"/>
          <w:highlight w:val="yellow"/>
        </w:rPr>
      </w:pPr>
    </w:p>
    <w:p w:rsidR="00B82EB2" w:rsidRDefault="00B82EB2" w:rsidP="00B82EB2">
      <w:pPr>
        <w:jc w:val="both"/>
        <w:rPr>
          <w:rFonts w:cs="Calibri"/>
        </w:rPr>
      </w:pPr>
      <w:r w:rsidRPr="00F962FC">
        <w:rPr>
          <w:rFonts w:cs="Calibri"/>
        </w:rPr>
        <w:t xml:space="preserve">HT je obvezan najkasnije 60 dana od stupanja na snagu ove analize početi primjenjivati Standardnu ponudu </w:t>
      </w:r>
      <w:r>
        <w:rPr>
          <w:rFonts w:cs="Calibri"/>
        </w:rPr>
        <w:t xml:space="preserve">za uslugu izdvojenog pristupa lokalnoj petlji </w:t>
      </w:r>
      <w:r w:rsidRPr="00F962FC">
        <w:rPr>
          <w:rFonts w:cs="Calibri"/>
        </w:rPr>
        <w:t>u skladu s regulatornim obvezama koje su određene ovim dokumentom. HT je obvezan najkasnije do 30 dana prije primjene Standardne ponude, istu objaviti na svojim internetskim stranicama i dostaviti HAKOM-u na uvid</w:t>
      </w:r>
      <w:r w:rsidRPr="00F962FC">
        <w:rPr>
          <w:rStyle w:val="FootnoteReference"/>
          <w:rFonts w:cs="Calibri"/>
        </w:rPr>
        <w:footnoteReference w:id="58"/>
      </w:r>
      <w:r w:rsidRPr="00F962FC">
        <w:rPr>
          <w:rFonts w:cs="Calibri"/>
        </w:rPr>
        <w:t>. HAKOM smatra da je navedeni rok dovoljan s obzirom na izmjene definirane ovim dokumentom</w:t>
      </w:r>
      <w:r w:rsidRPr="00CB5D84">
        <w:rPr>
          <w:rFonts w:cs="Calibri"/>
        </w:rPr>
        <w:t>.</w:t>
      </w:r>
    </w:p>
    <w:p w:rsidR="00B82EB2" w:rsidRPr="00480501" w:rsidRDefault="00B82EB2" w:rsidP="00766501">
      <w:pPr>
        <w:numPr>
          <w:ilvl w:val="0"/>
          <w:numId w:val="27"/>
        </w:numPr>
        <w:spacing w:before="240" w:after="200"/>
        <w:ind w:hanging="720"/>
        <w:jc w:val="both"/>
        <w:rPr>
          <w:rStyle w:val="IntenseEmphasis"/>
          <w:color w:val="1F3864" w:themeColor="accent1" w:themeShade="80"/>
        </w:rPr>
      </w:pPr>
      <w:r w:rsidRPr="00480501">
        <w:rPr>
          <w:rStyle w:val="IntenseEmphasis"/>
          <w:color w:val="1F3864" w:themeColor="accent1" w:themeShade="80"/>
        </w:rPr>
        <w:t>Usluga izdvojenog pristupa lokalnoj petlji na temelju svjetlovodne niti (FTTH P2P, FA PON)</w:t>
      </w:r>
    </w:p>
    <w:p w:rsidR="00B82EB2" w:rsidRPr="00D6445D" w:rsidRDefault="00B82EB2" w:rsidP="00B82EB2">
      <w:pPr>
        <w:spacing w:after="120" w:line="259" w:lineRule="auto"/>
        <w:jc w:val="both"/>
        <w:rPr>
          <w:rFonts w:cstheme="minorBidi"/>
        </w:rPr>
      </w:pPr>
      <w:r>
        <w:rPr>
          <w:rFonts w:cstheme="minorBidi"/>
        </w:rPr>
        <w:t xml:space="preserve">HT je obvezan najkasnije 60 dana od stupanja na snagu ove analize početi primjenjivati </w:t>
      </w:r>
      <w:r w:rsidRPr="00C0296F">
        <w:rPr>
          <w:rFonts w:cstheme="minorBidi"/>
        </w:rPr>
        <w:t>Standardn</w:t>
      </w:r>
      <w:r>
        <w:rPr>
          <w:rFonts w:cstheme="minorBidi"/>
        </w:rPr>
        <w:t>u</w:t>
      </w:r>
      <w:r w:rsidRPr="00C0296F">
        <w:rPr>
          <w:rFonts w:cstheme="minorBidi"/>
        </w:rPr>
        <w:t xml:space="preserve"> ponud</w:t>
      </w:r>
      <w:r>
        <w:rPr>
          <w:rFonts w:cstheme="minorBidi"/>
        </w:rPr>
        <w:t>u</w:t>
      </w:r>
      <w:r w:rsidRPr="00C0296F">
        <w:rPr>
          <w:rFonts w:cstheme="minorBidi"/>
        </w:rPr>
        <w:t xml:space="preserve"> </w:t>
      </w:r>
      <w:r>
        <w:rPr>
          <w:rFonts w:cstheme="minorBidi"/>
        </w:rPr>
        <w:t>u</w:t>
      </w:r>
      <w:r w:rsidRPr="00C0296F">
        <w:rPr>
          <w:rFonts w:cstheme="minorBidi"/>
        </w:rPr>
        <w:t xml:space="preserve"> za uslugu pristupa pasivnoj pristupnoj svjetlovodnoj mreži na lokaciji distribucijskog čvora za svjetlovodne distribucijske mreže (FA-PON)</w:t>
      </w:r>
      <w:r>
        <w:rPr>
          <w:rFonts w:cstheme="minorBidi"/>
        </w:rPr>
        <w:t xml:space="preserve"> u</w:t>
      </w:r>
      <w:r w:rsidRPr="0096563A">
        <w:rPr>
          <w:rFonts w:cstheme="minorBidi"/>
        </w:rPr>
        <w:t xml:space="preserve"> skladu s </w:t>
      </w:r>
      <w:r>
        <w:rPr>
          <w:rFonts w:cstheme="minorBidi"/>
        </w:rPr>
        <w:t>regulatornim obvezama koje su određene ovim dokumentom.</w:t>
      </w:r>
      <w:r w:rsidRPr="0096563A">
        <w:rPr>
          <w:rFonts w:cstheme="minorBidi"/>
        </w:rPr>
        <w:t xml:space="preserve"> HT je obvezan </w:t>
      </w:r>
      <w:r w:rsidRPr="00D6445D">
        <w:rPr>
          <w:rFonts w:cstheme="minorBidi"/>
        </w:rPr>
        <w:t>do 30 dana prije primjene Standardne ponude, istu objaviti na svojim internetskim stranicama i dostaviti HAKOM-u na uvid</w:t>
      </w:r>
      <w:r w:rsidRPr="00D6445D">
        <w:rPr>
          <w:rFonts w:cstheme="minorBidi"/>
          <w:vertAlign w:val="superscript"/>
        </w:rPr>
        <w:footnoteReference w:id="59"/>
      </w:r>
      <w:r w:rsidRPr="00D6445D">
        <w:rPr>
          <w:rFonts w:cstheme="minorBidi"/>
        </w:rPr>
        <w:t>. HAKOM smatra da je navedeni rok dovoljan s obzirom na izmjene definirane ovim dokumentom.</w:t>
      </w:r>
    </w:p>
    <w:p w:rsidR="00B82EB2" w:rsidRDefault="00B82EB2" w:rsidP="00B82EB2">
      <w:pPr>
        <w:spacing w:after="100" w:afterAutospacing="1" w:line="259" w:lineRule="auto"/>
        <w:jc w:val="both"/>
        <w:rPr>
          <w:rFonts w:cstheme="minorBidi"/>
        </w:rPr>
      </w:pPr>
      <w:r w:rsidRPr="0096563A">
        <w:rPr>
          <w:rFonts w:cstheme="minorBidi"/>
        </w:rPr>
        <w:t xml:space="preserve">Ukoliko pristup izdvojenoj lokalnoj petlji u pasivnoj svjetlovodnoj mreži bude moguć i putem nekog drugog tehnološkog rješenja, HT je obvezan, u roku od 90 dana od zaprimanja razumnog zahtjeva za novu uslugu, ugraditi cijene u </w:t>
      </w:r>
      <w:r>
        <w:rPr>
          <w:rFonts w:cstheme="minorBidi"/>
        </w:rPr>
        <w:t xml:space="preserve">predmetnu </w:t>
      </w:r>
      <w:r w:rsidRPr="0096563A">
        <w:rPr>
          <w:rFonts w:cstheme="minorBidi"/>
        </w:rPr>
        <w:t>standardnu ponudu.</w:t>
      </w:r>
      <w:r>
        <w:rPr>
          <w:rFonts w:cstheme="minorBidi"/>
        </w:rPr>
        <w:t xml:space="preserve"> </w:t>
      </w:r>
    </w:p>
    <w:p w:rsidR="00B82EB2" w:rsidRDefault="00B82EB2" w:rsidP="00B82EB2">
      <w:pPr>
        <w:spacing w:after="100" w:afterAutospacing="1" w:line="259" w:lineRule="auto"/>
        <w:jc w:val="both"/>
      </w:pPr>
      <w:r>
        <w:rPr>
          <w:rFonts w:cstheme="minorBidi"/>
        </w:rPr>
        <w:t xml:space="preserve">HT je obvezan </w:t>
      </w:r>
      <w:r w:rsidRPr="0096563A">
        <w:rPr>
          <w:rFonts w:cstheme="minorBidi"/>
        </w:rPr>
        <w:t xml:space="preserve">u roku od 90 dana od zaprimanja razumnog zahtjeva, u standardnu ponudu </w:t>
      </w:r>
      <w:r>
        <w:t>za uslugu izdvojenog pristupa lokalnoj petlji na temelju svjetlovodne niti</w:t>
      </w:r>
      <w:r w:rsidRPr="0096563A">
        <w:rPr>
          <w:rFonts w:cstheme="minorBidi"/>
        </w:rPr>
        <w:t xml:space="preserve"> ugraditi </w:t>
      </w:r>
      <w:r>
        <w:t xml:space="preserve">uvjete, rokove </w:t>
      </w:r>
      <w:r w:rsidRPr="00143E74">
        <w:t xml:space="preserve">i cijene </w:t>
      </w:r>
      <w:r w:rsidRPr="00143E74">
        <w:rPr>
          <w:rFonts w:cstheme="minorBidi"/>
        </w:rPr>
        <w:t>za</w:t>
      </w:r>
      <w:r>
        <w:rPr>
          <w:rFonts w:cstheme="minorBidi"/>
        </w:rPr>
        <w:t xml:space="preserve"> </w:t>
      </w:r>
      <w:r w:rsidRPr="0096563A">
        <w:rPr>
          <w:rFonts w:cstheme="minorBidi"/>
        </w:rPr>
        <w:t>uslugu izdvojenog pristupa lokalnoj petlji na temelju svjetlovodne niti na način poveznica od točke do točke (FTTH P2P)</w:t>
      </w:r>
      <w:r>
        <w:rPr>
          <w:rFonts w:cstheme="minorBidi"/>
        </w:rPr>
        <w:t>.</w:t>
      </w:r>
      <w:r w:rsidRPr="000D6393">
        <w:t xml:space="preserve"> </w:t>
      </w:r>
      <w:r w:rsidRPr="00B13552">
        <w:t xml:space="preserve">HT je obvezan objaviti </w:t>
      </w:r>
      <w:r>
        <w:t>uvjete unutar zasebne</w:t>
      </w:r>
      <w:r w:rsidRPr="00B13552">
        <w:t xml:space="preserve"> standardne ponude 30 dana prije primjene izmijenjene standardne ponude kako bi se utvrdilo jesu li uvjeti u standardnoj ponudi u skladu s obvezama određenim analizom tržišta.</w:t>
      </w:r>
    </w:p>
    <w:p w:rsidR="00B82EB2" w:rsidRPr="00480501" w:rsidRDefault="00B82EB2" w:rsidP="00766501">
      <w:pPr>
        <w:numPr>
          <w:ilvl w:val="0"/>
          <w:numId w:val="27"/>
        </w:numPr>
        <w:spacing w:before="240" w:after="200"/>
        <w:ind w:hanging="720"/>
        <w:jc w:val="both"/>
        <w:rPr>
          <w:rStyle w:val="IntenseEmphasis"/>
          <w:color w:val="1F3864" w:themeColor="accent1" w:themeShade="80"/>
        </w:rPr>
      </w:pPr>
      <w:r w:rsidRPr="00480501">
        <w:rPr>
          <w:rStyle w:val="IntenseEmphasis"/>
          <w:color w:val="1F3864" w:themeColor="accent1" w:themeShade="80"/>
        </w:rPr>
        <w:t>Usluga izdvojenog pristupa virtualnog izdvojenog pristupa lokalnoj petlji (VULA)</w:t>
      </w:r>
    </w:p>
    <w:p w:rsidR="00B82EB2" w:rsidRPr="00596836" w:rsidRDefault="00B82EB2" w:rsidP="00B82EB2">
      <w:pPr>
        <w:spacing w:after="100" w:afterAutospacing="1" w:line="259" w:lineRule="auto"/>
        <w:jc w:val="both"/>
        <w:rPr>
          <w:rFonts w:cstheme="minorBidi"/>
        </w:rPr>
      </w:pPr>
      <w:r w:rsidRPr="00ED1C39">
        <w:rPr>
          <w:rFonts w:cstheme="minorBidi"/>
        </w:rPr>
        <w:t>HT je obvezan najkasnije 60 dana od stupanja na snagu ove analize početi primjenjivati standardnu ponudu u kojoj su definirani uvjeti za uslugu izdvojenog pristupa virtualnog izdvojenog pristupa lokalnoj petlji (VULA) u skladu s regulatornim obvezama koje su određene ovim dokumentom</w:t>
      </w:r>
      <w:r w:rsidRPr="00ED1C39">
        <w:rPr>
          <w:rStyle w:val="FootnoteReference"/>
          <w:rFonts w:cstheme="minorBidi"/>
        </w:rPr>
        <w:footnoteReference w:id="60"/>
      </w:r>
      <w:r w:rsidRPr="00ED1C39">
        <w:rPr>
          <w:rFonts w:cstheme="minorBidi"/>
        </w:rPr>
        <w:t>. HT je obvezan najkasnije do 30 dana prije primjene standardne ponude, istu objaviti na svojim internetskim stranicama i dostaviti HAKOM-u na uvid</w:t>
      </w:r>
      <w:r w:rsidRPr="00ED1C39">
        <w:rPr>
          <w:rStyle w:val="FootnoteReference"/>
          <w:rFonts w:cs="Calibri"/>
        </w:rPr>
        <w:footnoteReference w:id="61"/>
      </w:r>
      <w:r w:rsidRPr="00ED1C39">
        <w:rPr>
          <w:rFonts w:cstheme="minorBidi"/>
        </w:rPr>
        <w:t>. HAKOM smatra da je navedeni rok dovoljan s obzirom na izmjene definirane ovim dokumentom.</w:t>
      </w:r>
    </w:p>
    <w:p w:rsidR="00B82EB2" w:rsidRPr="00480501" w:rsidRDefault="00B82EB2" w:rsidP="00766501">
      <w:pPr>
        <w:numPr>
          <w:ilvl w:val="0"/>
          <w:numId w:val="27"/>
        </w:numPr>
        <w:spacing w:before="240" w:after="200"/>
        <w:ind w:hanging="720"/>
        <w:jc w:val="both"/>
        <w:rPr>
          <w:rStyle w:val="IntenseEmphasis"/>
          <w:color w:val="1F3864" w:themeColor="accent1" w:themeShade="80"/>
        </w:rPr>
      </w:pPr>
      <w:r w:rsidRPr="00480501">
        <w:rPr>
          <w:rStyle w:val="IntenseEmphasis"/>
          <w:color w:val="1F3864" w:themeColor="accent1" w:themeShade="80"/>
        </w:rPr>
        <w:t>Usluga povezivanje mreže operatora korisnika i pristupnih točaka (</w:t>
      </w:r>
      <w:proofErr w:type="spellStart"/>
      <w:r w:rsidRPr="00480501">
        <w:rPr>
          <w:rStyle w:val="IntenseEmphasis"/>
          <w:color w:val="1F3864" w:themeColor="accent1" w:themeShade="80"/>
        </w:rPr>
        <w:t>backhaul</w:t>
      </w:r>
      <w:proofErr w:type="spellEnd"/>
      <w:r w:rsidRPr="00480501">
        <w:rPr>
          <w:rStyle w:val="IntenseEmphasis"/>
          <w:color w:val="1F3864" w:themeColor="accent1" w:themeShade="80"/>
        </w:rPr>
        <w:t>)</w:t>
      </w:r>
    </w:p>
    <w:p w:rsidR="00B82EB2" w:rsidRPr="00051E49" w:rsidRDefault="00B82EB2" w:rsidP="00B82EB2">
      <w:pPr>
        <w:jc w:val="both"/>
      </w:pPr>
      <w:r w:rsidRPr="00105352">
        <w:t xml:space="preserve">HT je obvezan u roku od </w:t>
      </w:r>
      <w:r>
        <w:t>6</w:t>
      </w:r>
      <w:r w:rsidRPr="00105352">
        <w:t xml:space="preserve">0 dana od </w:t>
      </w:r>
      <w:r>
        <w:t xml:space="preserve">stupanja na snagu ove analize </w:t>
      </w:r>
      <w:r w:rsidRPr="00105352">
        <w:t xml:space="preserve">unutar </w:t>
      </w:r>
      <w:r>
        <w:t>S</w:t>
      </w:r>
      <w:r w:rsidRPr="00105352">
        <w:t>tandardne ponude</w:t>
      </w:r>
      <w:r>
        <w:t xml:space="preserve"> za uslugu izdvojenog pristupa lokalnoj petlji,</w:t>
      </w:r>
      <w:r w:rsidRPr="00105352">
        <w:t xml:space="preserve"> odrediti uvjete, rokove i cijene vezano </w:t>
      </w:r>
      <w:r>
        <w:t xml:space="preserve">za </w:t>
      </w:r>
      <w:r w:rsidRPr="00051E49">
        <w:t>pružanj</w:t>
      </w:r>
      <w:r>
        <w:t>e usluge iznajmljivanja neosvijetljene niti (</w:t>
      </w:r>
      <w:proofErr w:type="spellStart"/>
      <w:r>
        <w:t>dark</w:t>
      </w:r>
      <w:proofErr w:type="spellEnd"/>
      <w:r>
        <w:t xml:space="preserve"> </w:t>
      </w:r>
      <w:proofErr w:type="spellStart"/>
      <w:r>
        <w:t>fibre</w:t>
      </w:r>
      <w:proofErr w:type="spellEnd"/>
      <w:r>
        <w:t>)</w:t>
      </w:r>
      <w:r w:rsidRPr="00051E49">
        <w:t xml:space="preserve"> </w:t>
      </w:r>
    </w:p>
    <w:p w:rsidR="00B82EB2" w:rsidRPr="00105352" w:rsidRDefault="00B82EB2" w:rsidP="00B82EB2">
      <w:pPr>
        <w:jc w:val="both"/>
      </w:pPr>
    </w:p>
    <w:p w:rsidR="00B82EB2" w:rsidRDefault="00B82EB2" w:rsidP="00B82EB2">
      <w:pPr>
        <w:pStyle w:val="NormalWeb"/>
        <w:spacing w:before="0" w:beforeAutospacing="0" w:after="0" w:afterAutospacing="0"/>
        <w:jc w:val="both"/>
        <w:rPr>
          <w:rFonts w:ascii="Calibri" w:hAnsi="Calibri"/>
        </w:rPr>
      </w:pPr>
      <w:r w:rsidRPr="00105352">
        <w:rPr>
          <w:rFonts w:ascii="Calibri" w:hAnsi="Calibri"/>
        </w:rPr>
        <w:t xml:space="preserve">HT je obvezan objaviti standardnu ponudu </w:t>
      </w:r>
      <w:r>
        <w:rPr>
          <w:rFonts w:ascii="Calibri" w:hAnsi="Calibri"/>
        </w:rPr>
        <w:t>30</w:t>
      </w:r>
      <w:r w:rsidRPr="00105352">
        <w:rPr>
          <w:rFonts w:ascii="Calibri" w:hAnsi="Calibri"/>
        </w:rPr>
        <w:t xml:space="preserve"> dana prije primjene izmijenjene standardne ponude kako bi se utvrdilo jesu li uvjeti u standardnoj ponudi u skladu s obvezama određenim analizom tržišta.</w:t>
      </w:r>
    </w:p>
    <w:p w:rsidR="00B82EB2" w:rsidRPr="00480501" w:rsidRDefault="00B82EB2" w:rsidP="00766501">
      <w:pPr>
        <w:numPr>
          <w:ilvl w:val="0"/>
          <w:numId w:val="27"/>
        </w:numPr>
        <w:spacing w:before="240" w:after="200"/>
        <w:ind w:hanging="720"/>
        <w:jc w:val="both"/>
        <w:rPr>
          <w:rStyle w:val="IntenseEmphasis"/>
          <w:color w:val="1F3864" w:themeColor="accent1" w:themeShade="80"/>
        </w:rPr>
      </w:pPr>
      <w:r w:rsidRPr="00480501">
        <w:rPr>
          <w:rStyle w:val="IntenseEmphasis"/>
          <w:color w:val="1F3864" w:themeColor="accent1" w:themeShade="80"/>
        </w:rPr>
        <w:t>Usluga pristupa i zajedničkog korištenja elektroničke komunikacijske infrastrukture i povezane opreme</w:t>
      </w:r>
    </w:p>
    <w:p w:rsidR="00B82EB2" w:rsidRDefault="00B82EB2" w:rsidP="00B82EB2">
      <w:pPr>
        <w:pStyle w:val="NormalWeb"/>
        <w:spacing w:before="0" w:beforeAutospacing="0" w:after="0" w:afterAutospacing="0"/>
        <w:jc w:val="both"/>
        <w:rPr>
          <w:rFonts w:ascii="Calibri" w:hAnsi="Calibri"/>
        </w:rPr>
      </w:pPr>
      <w:r w:rsidRPr="009E3F5B">
        <w:rPr>
          <w:rFonts w:ascii="Calibri" w:hAnsi="Calibri"/>
        </w:rPr>
        <w:t>HT je obvezan najkasnije 60 dana od stupanja na snagu ove analize početi primjenjivati Standardnu ponudu za uslugu pristupa i zajedničkog korištenja EKI (kabelske kanalizacije) u skladu s regulatornim obvezama koje su određene ovim dokumentom. HT je obvezan najkasnije do 30 dana prije primjene standardne ponude, istu objaviti na svojim internetskim stranicama i dostaviti HAKOM-u na uvid</w:t>
      </w:r>
      <w:r>
        <w:rPr>
          <w:rStyle w:val="FootnoteReference"/>
          <w:rFonts w:ascii="Calibri" w:hAnsi="Calibri"/>
        </w:rPr>
        <w:footnoteReference w:id="62"/>
      </w:r>
      <w:r w:rsidRPr="009E3F5B">
        <w:rPr>
          <w:rFonts w:ascii="Calibri" w:hAnsi="Calibri"/>
        </w:rPr>
        <w:t>. HAKOM smatra da je navedeni rok dovoljan s obzirom na izmjene definirane ovim dokumentom.</w:t>
      </w:r>
    </w:p>
    <w:p w:rsidR="00B82EB2" w:rsidRDefault="00B82EB2" w:rsidP="00B82EB2">
      <w:pPr>
        <w:pStyle w:val="NormalWeb"/>
        <w:spacing w:before="0" w:beforeAutospacing="0" w:after="0" w:afterAutospacing="0"/>
        <w:jc w:val="both"/>
        <w:rPr>
          <w:rFonts w:ascii="Calibri" w:hAnsi="Calibri"/>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Zajedničke odredbe standardnih ponuda</w:t>
      </w:r>
    </w:p>
    <w:p w:rsidR="00B82EB2" w:rsidRDefault="00B82EB2" w:rsidP="00B82EB2">
      <w:pPr>
        <w:jc w:val="both"/>
      </w:pPr>
    </w:p>
    <w:p w:rsidR="00B82EB2" w:rsidRPr="00105352" w:rsidRDefault="00B82EB2" w:rsidP="00B82EB2">
      <w:pPr>
        <w:jc w:val="both"/>
      </w:pPr>
      <w:r>
        <w:t>S</w:t>
      </w:r>
      <w:r w:rsidRPr="00105352">
        <w:t xml:space="preserve"> ciljem harmoniziranja standardnih ponuda koje su obvezni objaviti operatori koji na mjerodavnim tržištima imaju status operatora sa značajnom tržišnom snagom te kako bi se omogućili transparentni uvjeti poslovanja operatora sa značajnom tržišnom snagom i operatora korisnika standardne ponude</w:t>
      </w:r>
      <w:r>
        <w:t>,</w:t>
      </w:r>
      <w:r w:rsidRPr="00105352">
        <w:t xml:space="preserve"> odnosno kako bi se onemogućilo HT da iskorištava svoj položaj operatora sa značajnom tržišnom snagom, a sve u svrhu sprječavanja narušavanja i ograničavanja tržišnog natjecanja u području elektroničkih komunikacija</w:t>
      </w:r>
      <w:r w:rsidRPr="00DA730B">
        <w:t>, HT je obvezan u sve standardne ponude koje proizlaze iz obveze transparentnosti na ovom mjerodavnom tržištu,</w:t>
      </w:r>
      <w:r>
        <w:t xml:space="preserve"> </w:t>
      </w:r>
      <w:r w:rsidRPr="00105352">
        <w:t>ugraditi sljedeće:</w:t>
      </w:r>
    </w:p>
    <w:p w:rsidR="00B82EB2" w:rsidRDefault="00B82EB2" w:rsidP="00B82EB2">
      <w:pPr>
        <w:pStyle w:val="NormalWeb"/>
        <w:spacing w:before="0" w:beforeAutospacing="0" w:after="0" w:afterAutospacing="0"/>
        <w:jc w:val="both"/>
        <w:rPr>
          <w:rFonts w:ascii="Calibri" w:hAnsi="Calibri"/>
        </w:rPr>
      </w:pPr>
    </w:p>
    <w:p w:rsidR="00B82EB2" w:rsidRPr="00B13552" w:rsidRDefault="00B82EB2" w:rsidP="00766501">
      <w:pPr>
        <w:numPr>
          <w:ilvl w:val="0"/>
          <w:numId w:val="37"/>
        </w:numPr>
        <w:tabs>
          <w:tab w:val="left" w:pos="709"/>
        </w:tabs>
        <w:spacing w:after="200"/>
        <w:contextualSpacing/>
        <w:jc w:val="both"/>
      </w:pPr>
      <w:r w:rsidRPr="00B13552">
        <w:t xml:space="preserve">jedan od instrumenata osiguranja plaćanja koje će HT utvrditi unutar Standardne ponude veleprodajnog pristupa mrežnoj infrastrukturi mora biti javnobilježnički </w:t>
      </w:r>
      <w:proofErr w:type="spellStart"/>
      <w:r w:rsidRPr="00B13552">
        <w:t>solemnizirana</w:t>
      </w:r>
      <w:proofErr w:type="spellEnd"/>
      <w:r w:rsidRPr="00B13552">
        <w:t xml:space="preserve"> (potvrđena) bjanko zadužnica </w:t>
      </w:r>
    </w:p>
    <w:p w:rsidR="00B82EB2" w:rsidRPr="00B13552" w:rsidRDefault="00B82EB2" w:rsidP="00766501">
      <w:pPr>
        <w:numPr>
          <w:ilvl w:val="0"/>
          <w:numId w:val="37"/>
        </w:numPr>
        <w:tabs>
          <w:tab w:val="left" w:pos="709"/>
        </w:tabs>
        <w:spacing w:after="200"/>
        <w:contextualSpacing/>
        <w:jc w:val="both"/>
      </w:pPr>
      <w:r w:rsidRPr="00B13552">
        <w:t xml:space="preserve">ukoliko operator u razdoblju od jedne godine od dana sklapanja ugovora o korištenju usluge veleprodajnog pristupa uredno, u roku dospijeća, podmiruje svoje obveze, nakon jedne godine nije obvezan dostavljati instrumente osiguranja plaćanja </w:t>
      </w:r>
    </w:p>
    <w:p w:rsidR="00B82EB2" w:rsidRPr="00B13552" w:rsidRDefault="00B82EB2" w:rsidP="00766501">
      <w:pPr>
        <w:numPr>
          <w:ilvl w:val="0"/>
          <w:numId w:val="37"/>
        </w:numPr>
        <w:tabs>
          <w:tab w:val="left" w:pos="709"/>
        </w:tabs>
        <w:spacing w:after="200"/>
        <w:contextualSpacing/>
        <w:jc w:val="both"/>
      </w:pPr>
      <w:r w:rsidRPr="00B13552">
        <w:t>naknade po osnovi nepravovremene (prijevremene ili zakašnjele) realizacije/otklona kvara veleprodajne usluge, koje je HT obvezan isplaćivati operatoru korisniku, potrebno je obračunavati na mjesečnoj osnovi</w:t>
      </w:r>
    </w:p>
    <w:p w:rsidR="00B82EB2" w:rsidRPr="00B13552" w:rsidRDefault="00B82EB2" w:rsidP="00766501">
      <w:pPr>
        <w:numPr>
          <w:ilvl w:val="0"/>
          <w:numId w:val="37"/>
        </w:numPr>
        <w:tabs>
          <w:tab w:val="left" w:pos="709"/>
        </w:tabs>
        <w:spacing w:after="200"/>
        <w:contextualSpacing/>
        <w:jc w:val="both"/>
      </w:pPr>
      <w:r w:rsidRPr="00B13552">
        <w:t>HT će, na temelju zahtjeva operatora korisnika, koji sadrži specifikaciju potraživanja naknada po osnovi nepravovremene realizacije/otklona kvara veleprodajne usluge, a koji je HT zaprimio najkasnije posljednji dan u tekućem mjesecu za nepravovremenu (prijevremenu/zakašnjelu) realizaciju/otklon kvara u prethodnom obračunskom razdoblju (uključujući kašnjenja koja prelaze iz jednog kalendarskog mjeseca, obračunskog razdoblja, u drugi), operatoru korisniku isplatiti utvrđenu naknadu u roku od 30 dana od dana zaprimanja zahtjeva operatora korisnika</w:t>
      </w:r>
    </w:p>
    <w:p w:rsidR="00B82EB2" w:rsidRPr="00B13552" w:rsidRDefault="00B82EB2" w:rsidP="00766501">
      <w:pPr>
        <w:numPr>
          <w:ilvl w:val="0"/>
          <w:numId w:val="37"/>
        </w:numPr>
        <w:tabs>
          <w:tab w:val="left" w:pos="709"/>
        </w:tabs>
        <w:spacing w:after="200"/>
        <w:contextualSpacing/>
        <w:jc w:val="both"/>
      </w:pPr>
      <w:r w:rsidRPr="00B13552">
        <w:t>specifikacija koju operator korisnik dostavlja uz zahtjev za isplatu naknade za nepravovremenu (preuranjenu/zakašnjelu) realizaciju/otklon kvara mora osobito sadržavati: ID usluge te po istom: datum podnošenja i datum odbijanja/realizacije zahtjeva, odnosno datum prijave i datum otklona kvara, broj dana kašnjenja, osnovicu prema kojoj se računa potraživanje po osnovi naknada za nepravovremenu (preuranjenu/zakašnjelu) realizaciju/otklon kvara, iznos potraživanja po osnovi naknada za nepravovremenu (preuranjenu/zakašnjelu) realizaciju/otklon kvara za konkretan ID usluge</w:t>
      </w:r>
    </w:p>
    <w:p w:rsidR="00B82EB2" w:rsidRPr="00B13552" w:rsidRDefault="00B82EB2" w:rsidP="00766501">
      <w:pPr>
        <w:numPr>
          <w:ilvl w:val="0"/>
          <w:numId w:val="37"/>
        </w:numPr>
        <w:tabs>
          <w:tab w:val="left" w:pos="709"/>
        </w:tabs>
        <w:spacing w:after="200"/>
        <w:contextualSpacing/>
        <w:jc w:val="both"/>
      </w:pPr>
      <w:r w:rsidRPr="00B13552">
        <w:t>ukoliko HT i operator korisnik nisu suglasni oko ukupnog iznosa naknade koju je HT obvezan isplatiti operatoru korisniku po osnovi nepravovremene realizacije/otklona kvara veleprodajne usluge, isti će utvrditi neosp</w:t>
      </w:r>
      <w:r>
        <w:t>orni</w:t>
      </w:r>
      <w:r w:rsidRPr="00B13552">
        <w:t xml:space="preserve"> iznos koji je HT obvezan isplatiti u roku od 30 dana od dana utvrđenja neospornog iznosa </w:t>
      </w:r>
    </w:p>
    <w:p w:rsidR="00B82EB2" w:rsidRPr="00B13552" w:rsidRDefault="00B82EB2" w:rsidP="00766501">
      <w:pPr>
        <w:numPr>
          <w:ilvl w:val="0"/>
          <w:numId w:val="37"/>
        </w:numPr>
        <w:tabs>
          <w:tab w:val="left" w:pos="709"/>
        </w:tabs>
        <w:spacing w:after="200"/>
        <w:contextualSpacing/>
        <w:jc w:val="both"/>
      </w:pPr>
      <w:r w:rsidRPr="00B13552">
        <w:t xml:space="preserve">u pogledu spornog dijela operatori mogu pokrenuti spor pred HAKOM-om </w:t>
      </w:r>
    </w:p>
    <w:p w:rsidR="00B82EB2" w:rsidRPr="00B13552" w:rsidRDefault="00B82EB2" w:rsidP="00766501">
      <w:pPr>
        <w:numPr>
          <w:ilvl w:val="0"/>
          <w:numId w:val="37"/>
        </w:numPr>
        <w:tabs>
          <w:tab w:val="left" w:pos="709"/>
        </w:tabs>
        <w:spacing w:after="200"/>
        <w:contextualSpacing/>
        <w:jc w:val="both"/>
      </w:pPr>
      <w:r w:rsidRPr="00B13552">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B82EB2" w:rsidRPr="00B13552" w:rsidRDefault="00B82EB2" w:rsidP="00766501">
      <w:pPr>
        <w:numPr>
          <w:ilvl w:val="0"/>
          <w:numId w:val="37"/>
        </w:numPr>
        <w:tabs>
          <w:tab w:val="left" w:pos="709"/>
        </w:tabs>
        <w:spacing w:after="200"/>
        <w:contextualSpacing/>
        <w:jc w:val="both"/>
      </w:pPr>
      <w:r w:rsidRPr="00B13552">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ne i ona za koja je nastupilo samo dospijeće. Isto tako, prilikom namirenja, HT je obvezan najprije zatvoriti obveze s najstarijim dospijećem</w:t>
      </w:r>
    </w:p>
    <w:p w:rsidR="00B82EB2" w:rsidRPr="00B13552" w:rsidRDefault="00B82EB2" w:rsidP="00766501">
      <w:pPr>
        <w:numPr>
          <w:ilvl w:val="0"/>
          <w:numId w:val="37"/>
        </w:numPr>
        <w:tabs>
          <w:tab w:val="left" w:pos="709"/>
        </w:tabs>
        <w:spacing w:after="200"/>
        <w:contextualSpacing/>
        <w:jc w:val="both"/>
      </w:pPr>
      <w:r w:rsidRPr="00B13552">
        <w:t>ukoliko se HT ne može naplatiti iz instrumenta osiguranja plaćanja, HT može operatoru koji ne podmiri svoja dospjela i nesporna dugovanja, privremeno obustaviti pružanje usluge</w:t>
      </w:r>
    </w:p>
    <w:p w:rsidR="00B82EB2" w:rsidRPr="00B13552" w:rsidRDefault="00B82EB2" w:rsidP="00766501">
      <w:pPr>
        <w:numPr>
          <w:ilvl w:val="0"/>
          <w:numId w:val="37"/>
        </w:numPr>
        <w:tabs>
          <w:tab w:val="left" w:pos="709"/>
        </w:tabs>
        <w:spacing w:after="200"/>
        <w:contextualSpacing/>
        <w:jc w:val="both"/>
      </w:pPr>
      <w:r w:rsidRPr="00B13552">
        <w:t>ukoliko se radi o dugovanju operatora koji nije obvezan dostavljati instrumente osiguranja plaćanja, HT može istome privremeno obustaviti pružanje usluge u roku od 30 dana od dospijeća</w:t>
      </w:r>
    </w:p>
    <w:p w:rsidR="00B82EB2" w:rsidRPr="00B13552" w:rsidRDefault="00B82EB2" w:rsidP="00766501">
      <w:pPr>
        <w:numPr>
          <w:ilvl w:val="0"/>
          <w:numId w:val="37"/>
        </w:numPr>
        <w:tabs>
          <w:tab w:val="left" w:pos="709"/>
        </w:tabs>
        <w:spacing w:after="200"/>
        <w:contextualSpacing/>
        <w:jc w:val="both"/>
      </w:pPr>
      <w:r w:rsidRPr="00B13552">
        <w:t>u slučajevima kada je HT predao na naplatu instrumente osiguranja plaćanja, operator je obvezan dostaviti novi odgovarajući instrument osiguranja plaćanja odmah, a najkasnije u roku 15 dana od trenutka kada je HT predao instrument osiguranja plaćanja na naplatu.</w:t>
      </w:r>
    </w:p>
    <w:p w:rsidR="00B82EB2" w:rsidRPr="00B13552" w:rsidRDefault="00B82EB2" w:rsidP="00B82EB2">
      <w:pPr>
        <w:spacing w:after="200"/>
        <w:contextualSpacing/>
        <w:jc w:val="both"/>
      </w:pPr>
    </w:p>
    <w:p w:rsidR="00B82EB2" w:rsidRDefault="00B82EB2" w:rsidP="00B82EB2">
      <w:pPr>
        <w:spacing w:after="200"/>
        <w:contextualSpacing/>
        <w:jc w:val="both"/>
      </w:pPr>
      <w:r w:rsidRPr="00B13552">
        <w:t xml:space="preserve">Nadalje, u slučaju kada je u odnosu na operatora korisnika otvoren postupak </w:t>
      </w:r>
      <w:proofErr w:type="spellStart"/>
      <w:r w:rsidRPr="00B13552">
        <w:t>predstečajne</w:t>
      </w:r>
      <w:proofErr w:type="spellEnd"/>
      <w:r w:rsidRPr="00B13552">
        <w:t xml:space="preserve"> nagodbe u pogledu plaćanja dospjelih i nespornih dugovanja</w:t>
      </w:r>
      <w:r>
        <w:t>,</w:t>
      </w:r>
      <w:r w:rsidRPr="00B13552">
        <w:t xml:space="preserve"> na odgovarajući način primjenjuju se odredbe zakona kojim je uređen postupak </w:t>
      </w:r>
      <w:proofErr w:type="spellStart"/>
      <w:r w:rsidRPr="00B13552">
        <w:t>predstečajne</w:t>
      </w:r>
      <w:proofErr w:type="spellEnd"/>
      <w:r w:rsidRPr="00B13552">
        <w:t xml:space="preserve"> nagodbe. U vezi s tim, HT ne smije operatoru korisniku koji se nalazi u postupku </w:t>
      </w:r>
      <w:proofErr w:type="spellStart"/>
      <w:r w:rsidRPr="00B13552">
        <w:t>predstečajne</w:t>
      </w:r>
      <w:proofErr w:type="spellEnd"/>
      <w:r w:rsidRPr="00B13552">
        <w:t xml:space="preserve"> nagodbe, obustaviti pružanje postojećih usluga, kao ni odbiti zahtjev za novom uslugom lokalnog pristupa. U slučajevima kada je operator korisnik koji se nalazi u postupku </w:t>
      </w:r>
      <w:proofErr w:type="spellStart"/>
      <w:r w:rsidRPr="00B13552">
        <w:t>predstečajne</w:t>
      </w:r>
      <w:proofErr w:type="spellEnd"/>
      <w:r w:rsidRPr="00B13552">
        <w:t xml:space="preserve"> nagodbe, podnio zahtjev za novim uslugama, primjenjivat će se odredbe standardne ponude, uključujući i odredbe koje se odnose na isplatu naknada za nepravovremenu realizaciju usluga, odnosno otklon kvara od strane HT-a.</w:t>
      </w: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Izmjene Standardne ponude</w:t>
      </w:r>
    </w:p>
    <w:p w:rsidR="00B82EB2" w:rsidRPr="00D24709" w:rsidRDefault="00B82EB2" w:rsidP="00B82EB2">
      <w:pPr>
        <w:pStyle w:val="NormalWeb"/>
        <w:spacing w:before="0" w:beforeAutospacing="0" w:after="0" w:afterAutospacing="0"/>
        <w:jc w:val="both"/>
        <w:rPr>
          <w:rFonts w:ascii="Cambria" w:hAnsi="Cambria"/>
          <w:i/>
          <w:iCs/>
          <w:color w:val="4F81BD"/>
          <w:spacing w:val="15"/>
        </w:rPr>
      </w:pPr>
    </w:p>
    <w:p w:rsidR="00B82EB2" w:rsidRDefault="00B82EB2" w:rsidP="00B82EB2">
      <w:pPr>
        <w:pStyle w:val="NormalWeb"/>
        <w:autoSpaceDE w:val="0"/>
        <w:autoSpaceDN w:val="0"/>
        <w:adjustRightInd w:val="0"/>
        <w:spacing w:before="0" w:beforeAutospacing="0" w:after="0" w:afterAutospacing="0"/>
        <w:jc w:val="both"/>
        <w:rPr>
          <w:rFonts w:ascii="Calibri" w:hAnsi="Calibri"/>
        </w:rPr>
      </w:pPr>
      <w:r w:rsidRPr="00226383">
        <w:rPr>
          <w:rFonts w:ascii="Calibri" w:hAnsi="Calibri"/>
        </w:rPr>
        <w:t>HAKOM može, ako ocijeni potrebnim, provesti postupak izmjene standardne ponude u svrhu provedbe regulatornih obveza koje određuje u skladu s odredbama ZEK-a. U slučaju da operator sa značajnom tržišnom snagom ili neki drugi operator želi pokrenuti postupak izmjene standardn</w:t>
      </w:r>
      <w:r>
        <w:rPr>
          <w:rFonts w:ascii="Calibri" w:hAnsi="Calibri"/>
        </w:rPr>
        <w:t>ih</w:t>
      </w:r>
      <w:r w:rsidRPr="00226383">
        <w:rPr>
          <w:rFonts w:ascii="Calibri" w:hAnsi="Calibri"/>
        </w:rPr>
        <w:t xml:space="preserve"> ponud</w:t>
      </w:r>
      <w:r>
        <w:rPr>
          <w:rFonts w:ascii="Calibri" w:hAnsi="Calibri"/>
        </w:rPr>
        <w:t>a</w:t>
      </w:r>
      <w:r w:rsidRPr="00226383">
        <w:rPr>
          <w:rFonts w:ascii="Calibri" w:hAnsi="Calibri"/>
        </w:rPr>
        <w:t xml:space="preserve">, obvezan je o tome obavijestiti HAKOM koji će, u slučaju da zahtjev operatora smatra opravdanim, prema članku 102. stavku 3. ZEK-a pokrenuti postupak izmjene standardne ponude. U slučaju izmjene standardne ponude, HT je obvezan objaviti novi tekst standardne ponude u roku koji je određen odlukom HAKOM-a kojom je završio </w:t>
      </w:r>
      <w:r>
        <w:rPr>
          <w:rFonts w:ascii="Calibri" w:hAnsi="Calibri"/>
        </w:rPr>
        <w:t>p</w:t>
      </w:r>
      <w:r w:rsidRPr="00226383">
        <w:rPr>
          <w:rFonts w:ascii="Calibri" w:hAnsi="Calibri"/>
        </w:rPr>
        <w:t>ostupak započet sukladno članku 102. stavku 3. ZEK-a.</w:t>
      </w:r>
    </w:p>
    <w:p w:rsidR="00B82EB2" w:rsidRDefault="00B82EB2" w:rsidP="00B82EB2">
      <w:pPr>
        <w:pStyle w:val="NormalWeb"/>
        <w:autoSpaceDE w:val="0"/>
        <w:autoSpaceDN w:val="0"/>
        <w:adjustRightInd w:val="0"/>
        <w:spacing w:before="0" w:beforeAutospacing="0" w:after="0" w:afterAutospacing="0"/>
        <w:jc w:val="both"/>
        <w:rPr>
          <w:rFonts w:ascii="Calibri" w:hAnsi="Calibri"/>
        </w:rPr>
      </w:pP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Glavni pokazatelji učinkovitosti (</w:t>
      </w:r>
      <w:proofErr w:type="spellStart"/>
      <w:r w:rsidRPr="00480501">
        <w:rPr>
          <w:rFonts w:ascii="Cambria" w:hAnsi="Cambria"/>
          <w:i/>
          <w:iCs/>
          <w:color w:val="1F3864" w:themeColor="accent1" w:themeShade="80"/>
          <w:spacing w:val="15"/>
        </w:rPr>
        <w:t>KPIs</w:t>
      </w:r>
      <w:proofErr w:type="spellEnd"/>
      <w:r w:rsidRPr="00480501">
        <w:rPr>
          <w:rFonts w:ascii="Cambria" w:hAnsi="Cambria"/>
          <w:i/>
          <w:iCs/>
          <w:color w:val="1F3864" w:themeColor="accent1" w:themeShade="80"/>
          <w:spacing w:val="15"/>
        </w:rPr>
        <w:t>)</w:t>
      </w:r>
    </w:p>
    <w:p w:rsidR="00B82EB2" w:rsidRDefault="00B82EB2" w:rsidP="00B82EB2">
      <w:pPr>
        <w:pStyle w:val="NormalWeb"/>
        <w:tabs>
          <w:tab w:val="left" w:pos="709"/>
        </w:tabs>
        <w:autoSpaceDE w:val="0"/>
        <w:autoSpaceDN w:val="0"/>
        <w:adjustRightInd w:val="0"/>
        <w:spacing w:before="0" w:beforeAutospacing="0" w:after="0" w:afterAutospacing="0"/>
        <w:jc w:val="both"/>
      </w:pPr>
    </w:p>
    <w:p w:rsidR="00B82EB2" w:rsidRDefault="00B82EB2" w:rsidP="00B82EB2">
      <w:pPr>
        <w:jc w:val="both"/>
        <w:rPr>
          <w:rFonts w:cs="Calibri"/>
        </w:rPr>
      </w:pPr>
      <w:r w:rsidRPr="002C734B">
        <w:rPr>
          <w:rFonts w:cs="Calibri"/>
        </w:rPr>
        <w:t>HT je obvezan pratiti relevantne pokazatelje učinkovitosti te HAKOM-u dostavljati detaljna izvješća sa svim relevantnim pokazateljima učinkovitosti i to na tromjesečnoj razini ili po potrebi na zahtjev HAKOM-a.</w:t>
      </w:r>
    </w:p>
    <w:p w:rsidR="00B82EB2" w:rsidRDefault="00B82EB2" w:rsidP="00B82EB2">
      <w:pPr>
        <w:jc w:val="both"/>
        <w:rPr>
          <w:rFonts w:cs="Calibri"/>
        </w:rPr>
      </w:pPr>
    </w:p>
    <w:p w:rsidR="00B82EB2" w:rsidRDefault="00B82EB2" w:rsidP="00B82EB2">
      <w:pPr>
        <w:jc w:val="both"/>
        <w:rPr>
          <w:rFonts w:cs="Calibri"/>
        </w:rPr>
      </w:pPr>
      <w:r w:rsidRPr="002C734B">
        <w:rPr>
          <w:rFonts w:cs="Calibri"/>
        </w:rPr>
        <w:t xml:space="preserve">HT je obvezan za potrebe HAKOM-a dostaviti cjelokupno izvješće na tromjesečnoj razini zajedno s povjerljivim podacima, kako bi HAKOM mogao pratiti i u slučaju potrebe spriječiti bilo kakvo diskriminirajuće ponašanje prema drugim operatorima. </w:t>
      </w:r>
    </w:p>
    <w:p w:rsidR="00B82EB2" w:rsidRDefault="00B82EB2" w:rsidP="00B82EB2">
      <w:pPr>
        <w:jc w:val="both"/>
        <w:rPr>
          <w:rFonts w:cs="Calibri"/>
        </w:rPr>
      </w:pPr>
    </w:p>
    <w:p w:rsidR="00B82EB2" w:rsidRPr="00713316" w:rsidRDefault="00B82EB2" w:rsidP="00B82EB2">
      <w:pPr>
        <w:jc w:val="both"/>
        <w:rPr>
          <w:rFonts w:cs="Calibri"/>
        </w:rPr>
      </w:pPr>
      <w:r w:rsidRPr="002C734B">
        <w:rPr>
          <w:rFonts w:cs="Calibri"/>
        </w:rPr>
        <w:t>HAKOM smatra da izvješće o KPI vrijednostima mora sadržavati osobito sljedeće:</w:t>
      </w:r>
      <w:r w:rsidRPr="00713316">
        <w:rPr>
          <w:rFonts w:cs="Calibri"/>
        </w:rPr>
        <w:t xml:space="preserve"> </w:t>
      </w:r>
    </w:p>
    <w:p w:rsidR="00B82EB2" w:rsidRPr="00B13552" w:rsidRDefault="00B82EB2" w:rsidP="00B82EB2">
      <w:pPr>
        <w:rPr>
          <w:sz w:val="16"/>
          <w:szCs w:val="16"/>
        </w:rPr>
      </w:pPr>
    </w:p>
    <w:p w:rsidR="00B82EB2" w:rsidRPr="00B13552" w:rsidRDefault="00B82EB2" w:rsidP="00766501">
      <w:pPr>
        <w:numPr>
          <w:ilvl w:val="0"/>
          <w:numId w:val="30"/>
        </w:numPr>
        <w:jc w:val="both"/>
      </w:pPr>
      <w:r w:rsidRPr="00B13552">
        <w:t xml:space="preserve">broj zaprimljenih/odbijenih/realiziranih zahtjeva </w:t>
      </w:r>
    </w:p>
    <w:p w:rsidR="00B82EB2" w:rsidRPr="00B13552" w:rsidRDefault="00B82EB2" w:rsidP="00766501">
      <w:pPr>
        <w:numPr>
          <w:ilvl w:val="0"/>
          <w:numId w:val="30"/>
        </w:numPr>
        <w:jc w:val="both"/>
      </w:pPr>
      <w:r w:rsidRPr="00B13552">
        <w:t>broj prihvaćenih, pa naknadno odbijenih zahtjeva, odvojeno za nove i postojeće korisnike</w:t>
      </w:r>
    </w:p>
    <w:p w:rsidR="00B82EB2" w:rsidRPr="00B13552" w:rsidRDefault="00B82EB2" w:rsidP="00766501">
      <w:pPr>
        <w:numPr>
          <w:ilvl w:val="0"/>
          <w:numId w:val="30"/>
        </w:numPr>
        <w:jc w:val="both"/>
      </w:pPr>
      <w:r w:rsidRPr="00B13552">
        <w:t xml:space="preserve">prosječno vrijeme realizacije zahtjeva odvojeno za nove i postojeće korisnike </w:t>
      </w:r>
    </w:p>
    <w:p w:rsidR="00B82EB2" w:rsidRPr="00B13552" w:rsidRDefault="00B82EB2" w:rsidP="00766501">
      <w:pPr>
        <w:numPr>
          <w:ilvl w:val="0"/>
          <w:numId w:val="30"/>
        </w:numPr>
        <w:jc w:val="both"/>
      </w:pPr>
      <w:r w:rsidRPr="00B13552">
        <w:t xml:space="preserve">broj nepravovremenih (zakašnjelih/preuranjenih) realizacija zahtjeva </w:t>
      </w:r>
    </w:p>
    <w:p w:rsidR="00B82EB2" w:rsidRPr="00B13552" w:rsidRDefault="00B82EB2" w:rsidP="00766501">
      <w:pPr>
        <w:numPr>
          <w:ilvl w:val="0"/>
          <w:numId w:val="30"/>
        </w:numPr>
        <w:jc w:val="both"/>
        <w:rPr>
          <w:rFonts w:cs="Calibri"/>
        </w:rPr>
      </w:pPr>
      <w:r w:rsidRPr="00B13552">
        <w:rPr>
          <w:rFonts w:cs="Calibri"/>
        </w:rPr>
        <w:t>postotak zahtjeva realiziranih u željenom ili predviđenom roku, odvojeno za nove i postojeće korisnike</w:t>
      </w:r>
    </w:p>
    <w:p w:rsidR="00B82EB2" w:rsidRPr="00B13552" w:rsidRDefault="00B82EB2" w:rsidP="00766501">
      <w:pPr>
        <w:numPr>
          <w:ilvl w:val="0"/>
          <w:numId w:val="30"/>
        </w:numPr>
        <w:jc w:val="both"/>
        <w:rPr>
          <w:rFonts w:cs="Calibri"/>
        </w:rPr>
      </w:pPr>
      <w:r w:rsidRPr="00B13552">
        <w:rPr>
          <w:rFonts w:cs="Calibri"/>
        </w:rPr>
        <w:t>broj zahtjeva za koje je prijavljen kvar na strani HT-a u roku do 2 dana, od 2 do 10 dana i od 10 do 30 dana od aktivacije</w:t>
      </w:r>
    </w:p>
    <w:p w:rsidR="00B82EB2" w:rsidRPr="00B13552" w:rsidRDefault="00B82EB2" w:rsidP="00766501">
      <w:pPr>
        <w:numPr>
          <w:ilvl w:val="0"/>
          <w:numId w:val="30"/>
        </w:numPr>
        <w:jc w:val="both"/>
      </w:pPr>
      <w:r w:rsidRPr="00B13552">
        <w:t xml:space="preserve">prosječno vrijeme kašnjenja realizacije zahtjeva </w:t>
      </w:r>
    </w:p>
    <w:p w:rsidR="00B82EB2" w:rsidRPr="00B13552" w:rsidRDefault="00B82EB2" w:rsidP="00766501">
      <w:pPr>
        <w:numPr>
          <w:ilvl w:val="0"/>
          <w:numId w:val="30"/>
        </w:numPr>
        <w:jc w:val="both"/>
      </w:pPr>
      <w:r w:rsidRPr="00B13552">
        <w:t xml:space="preserve">broj zaprimljenih/odbijenih/realiziranih zahtjeva za ponudu </w:t>
      </w:r>
      <w:proofErr w:type="spellStart"/>
      <w:r w:rsidRPr="00B13552">
        <w:t>kolokacije</w:t>
      </w:r>
      <w:proofErr w:type="spellEnd"/>
      <w:r w:rsidRPr="00B13552">
        <w:t xml:space="preserve">/proširenja </w:t>
      </w:r>
      <w:proofErr w:type="spellStart"/>
      <w:r w:rsidRPr="00B13552">
        <w:t>kolokacije</w:t>
      </w:r>
      <w:proofErr w:type="spellEnd"/>
      <w:r w:rsidRPr="00B13552">
        <w:t xml:space="preserve"> po tipu </w:t>
      </w:r>
      <w:proofErr w:type="spellStart"/>
      <w:r w:rsidRPr="00B13552">
        <w:t>kolokacije</w:t>
      </w:r>
      <w:proofErr w:type="spellEnd"/>
      <w:r w:rsidRPr="00B13552">
        <w:t xml:space="preserve"> (fizička unutarnja, fizička vanjska, udaljena ili virtualna) </w:t>
      </w:r>
    </w:p>
    <w:p w:rsidR="00B82EB2" w:rsidRPr="00B13552" w:rsidRDefault="00B82EB2" w:rsidP="00766501">
      <w:pPr>
        <w:numPr>
          <w:ilvl w:val="0"/>
          <w:numId w:val="30"/>
        </w:numPr>
        <w:jc w:val="both"/>
      </w:pPr>
      <w:r w:rsidRPr="00B13552">
        <w:t xml:space="preserve">uspostava </w:t>
      </w:r>
      <w:proofErr w:type="spellStart"/>
      <w:r w:rsidRPr="00B13552">
        <w:t>kolokacije</w:t>
      </w:r>
      <w:proofErr w:type="spellEnd"/>
      <w:r w:rsidRPr="00B13552">
        <w:t xml:space="preserve"> (fizička unutarnja, fizička vanjska, udaljena ili virtualna) - prosječno u danima </w:t>
      </w:r>
    </w:p>
    <w:p w:rsidR="00B82EB2" w:rsidRPr="00B13552" w:rsidRDefault="00B82EB2" w:rsidP="00766501">
      <w:pPr>
        <w:numPr>
          <w:ilvl w:val="0"/>
          <w:numId w:val="30"/>
        </w:numPr>
        <w:jc w:val="both"/>
      </w:pPr>
      <w:r w:rsidRPr="00B13552">
        <w:t xml:space="preserve">prosječan broj realiziranih </w:t>
      </w:r>
      <w:proofErr w:type="spellStart"/>
      <w:r w:rsidRPr="00B13552">
        <w:t>kolokacija</w:t>
      </w:r>
      <w:proofErr w:type="spellEnd"/>
      <w:r w:rsidRPr="00B13552">
        <w:t xml:space="preserve"> (fizička unutarnja, fizička vanjska, udaljena ili virtualna) izvan određenog roka (prosjek)</w:t>
      </w:r>
    </w:p>
    <w:p w:rsidR="00B82EB2" w:rsidRPr="00B13552" w:rsidRDefault="00B82EB2" w:rsidP="00766501">
      <w:pPr>
        <w:numPr>
          <w:ilvl w:val="0"/>
          <w:numId w:val="30"/>
        </w:numPr>
        <w:jc w:val="both"/>
      </w:pPr>
      <w:r w:rsidRPr="00B13552">
        <w:t xml:space="preserve">broj prijavljenih kvarova (smetnji) </w:t>
      </w:r>
    </w:p>
    <w:p w:rsidR="00B82EB2" w:rsidRPr="00B13552" w:rsidRDefault="00B82EB2" w:rsidP="00766501">
      <w:pPr>
        <w:numPr>
          <w:ilvl w:val="0"/>
          <w:numId w:val="30"/>
        </w:numPr>
        <w:jc w:val="both"/>
      </w:pPr>
      <w:r w:rsidRPr="00B13552">
        <w:t>prosječno vrijeme otklona kvara</w:t>
      </w:r>
    </w:p>
    <w:p w:rsidR="00B82EB2" w:rsidRPr="00B13552" w:rsidRDefault="00B82EB2" w:rsidP="00766501">
      <w:pPr>
        <w:numPr>
          <w:ilvl w:val="0"/>
          <w:numId w:val="30"/>
        </w:numPr>
        <w:jc w:val="both"/>
      </w:pPr>
      <w:r w:rsidRPr="00B13552">
        <w:t xml:space="preserve">postotak otklonjenih kvarova izvan definiranog vremena </w:t>
      </w:r>
      <w:r w:rsidRPr="00B13552">
        <w:rPr>
          <w:rFonts w:cs="Calibri"/>
        </w:rPr>
        <w:t>u domeni HT-a zasebno za svako definirano vrijeme otklona kvara</w:t>
      </w:r>
      <w:r>
        <w:rPr>
          <w:rFonts w:cs="Calibri"/>
        </w:rPr>
        <w:t xml:space="preserve"> (zasebno izdvojiti kvarove na kabelu)</w:t>
      </w:r>
    </w:p>
    <w:p w:rsidR="00B82EB2" w:rsidRPr="00B13552" w:rsidRDefault="00B82EB2" w:rsidP="00766501">
      <w:pPr>
        <w:numPr>
          <w:ilvl w:val="0"/>
          <w:numId w:val="30"/>
        </w:numPr>
        <w:jc w:val="both"/>
      </w:pPr>
      <w:r w:rsidRPr="00B13552">
        <w:t>prosječno vrijeme otklona kvara na prijenosnim kabelima</w:t>
      </w:r>
    </w:p>
    <w:p w:rsidR="00B82EB2" w:rsidRPr="00B13552" w:rsidRDefault="00B82EB2" w:rsidP="00766501">
      <w:pPr>
        <w:numPr>
          <w:ilvl w:val="0"/>
          <w:numId w:val="30"/>
        </w:numPr>
        <w:jc w:val="both"/>
      </w:pPr>
      <w:r w:rsidRPr="00B13552">
        <w:t>prosječno vrijeme otklona kvara kod napajanja električnom energijom.</w:t>
      </w:r>
    </w:p>
    <w:p w:rsidR="00B82EB2" w:rsidRDefault="00B82EB2" w:rsidP="00B82EB2">
      <w:pPr>
        <w:jc w:val="both"/>
      </w:pPr>
    </w:p>
    <w:p w:rsidR="00B82EB2" w:rsidRDefault="00B82EB2" w:rsidP="00B82EB2">
      <w:pPr>
        <w:jc w:val="both"/>
      </w:pPr>
      <w:r>
        <w:t>Pokazatelje učinkovitosti pod rednim brojevima od 1. do 7. te 11. do 14. HT je obvezan iskazati odvojeno za bakrenu i za svjetlovodnu pristupnu mrežu.</w:t>
      </w:r>
    </w:p>
    <w:p w:rsidR="00B82EB2" w:rsidRPr="00105352" w:rsidRDefault="00B82EB2" w:rsidP="00B82EB2">
      <w:pPr>
        <w:jc w:val="both"/>
      </w:pPr>
    </w:p>
    <w:p w:rsidR="00B82EB2" w:rsidRDefault="00B82EB2" w:rsidP="00B82EB2">
      <w:pPr>
        <w:pStyle w:val="NormalWeb"/>
        <w:tabs>
          <w:tab w:val="left" w:pos="709"/>
        </w:tabs>
        <w:autoSpaceDE w:val="0"/>
        <w:autoSpaceDN w:val="0"/>
        <w:adjustRightInd w:val="0"/>
        <w:spacing w:before="0" w:beforeAutospacing="0" w:after="0" w:afterAutospacing="0"/>
        <w:jc w:val="both"/>
        <w:rPr>
          <w:rFonts w:ascii="Calibri" w:hAnsi="Calibri"/>
        </w:rPr>
      </w:pPr>
      <w:r w:rsidRPr="009213BA">
        <w:rPr>
          <w:rFonts w:ascii="Calibri" w:hAnsi="Calibri"/>
        </w:rPr>
        <w:t>Rezultati glavnih pokazatelja učinkovitosti moraju biti iskazani na tromjesečnoj razini</w:t>
      </w:r>
      <w:r>
        <w:rPr>
          <w:rFonts w:ascii="Calibri" w:hAnsi="Calibri"/>
        </w:rPr>
        <w:t xml:space="preserve"> na sljedeći način:</w:t>
      </w:r>
    </w:p>
    <w:p w:rsidR="00B82EB2" w:rsidRDefault="00B82EB2" w:rsidP="00766501">
      <w:pPr>
        <w:numPr>
          <w:ilvl w:val="0"/>
          <w:numId w:val="26"/>
        </w:numPr>
        <w:jc w:val="both"/>
      </w:pPr>
      <w:r w:rsidRPr="009213BA">
        <w:t xml:space="preserve">po operatoru korisniku </w:t>
      </w:r>
    </w:p>
    <w:p w:rsidR="00B82EB2" w:rsidRDefault="00B82EB2" w:rsidP="00766501">
      <w:pPr>
        <w:numPr>
          <w:ilvl w:val="0"/>
          <w:numId w:val="26"/>
        </w:numPr>
        <w:jc w:val="both"/>
      </w:pPr>
      <w:r w:rsidRPr="009213BA">
        <w:t>prosječno za sve operatore korisnike</w:t>
      </w:r>
    </w:p>
    <w:p w:rsidR="00B82EB2" w:rsidRDefault="00B82EB2" w:rsidP="00766501">
      <w:pPr>
        <w:numPr>
          <w:ilvl w:val="0"/>
          <w:numId w:val="26"/>
        </w:numPr>
        <w:jc w:val="both"/>
      </w:pPr>
      <w:r w:rsidRPr="009213BA">
        <w:t xml:space="preserve">zasebno za maloprodajni dio HT-a. </w:t>
      </w:r>
    </w:p>
    <w:p w:rsidR="00B82EB2" w:rsidRDefault="00B82EB2" w:rsidP="00B82EB2">
      <w:pPr>
        <w:jc w:val="both"/>
      </w:pPr>
    </w:p>
    <w:p w:rsidR="00B82EB2" w:rsidRDefault="00B82EB2" w:rsidP="00B82EB2">
      <w:pPr>
        <w:pStyle w:val="NormalWeb"/>
        <w:autoSpaceDE w:val="0"/>
        <w:autoSpaceDN w:val="0"/>
        <w:adjustRightInd w:val="0"/>
        <w:spacing w:before="0" w:beforeAutospacing="0" w:after="0" w:afterAutospacing="0"/>
        <w:jc w:val="both"/>
        <w:rPr>
          <w:rFonts w:ascii="Calibri" w:hAnsi="Calibri"/>
        </w:rPr>
      </w:pPr>
      <w:r>
        <w:rPr>
          <w:rFonts w:ascii="Calibri" w:hAnsi="Calibri"/>
        </w:rPr>
        <w:t>R</w:t>
      </w:r>
      <w:r w:rsidRPr="00105352">
        <w:rPr>
          <w:rFonts w:ascii="Calibri" w:hAnsi="Calibri"/>
        </w:rPr>
        <w:t>elevantni pokazatelji učinkovitosti</w:t>
      </w:r>
      <w:r>
        <w:rPr>
          <w:rFonts w:ascii="Calibri" w:hAnsi="Calibri"/>
        </w:rPr>
        <w:t>, po operatoru i prosječno za sve operatore korisnike, trebaju biti na odgovarajući način razdvojeni po uslugama za koje je određena obveza pristupa.</w:t>
      </w:r>
    </w:p>
    <w:p w:rsidR="00B82EB2" w:rsidRDefault="00B82EB2" w:rsidP="00B82EB2">
      <w:pPr>
        <w:jc w:val="both"/>
      </w:pPr>
    </w:p>
    <w:p w:rsidR="00B82EB2" w:rsidRPr="002010AF" w:rsidRDefault="00B82EB2" w:rsidP="00B82EB2">
      <w:pPr>
        <w:jc w:val="both"/>
      </w:pPr>
      <w:r w:rsidRPr="002010AF">
        <w:t xml:space="preserve">HT nije obvezan pokazatelje 8., 9., 10., 14. i 15. dostavljati za svoj maloprodajni dio. </w:t>
      </w:r>
    </w:p>
    <w:p w:rsidR="00B82EB2" w:rsidRDefault="00B82EB2" w:rsidP="00B82EB2">
      <w:pPr>
        <w:jc w:val="both"/>
      </w:pPr>
    </w:p>
    <w:p w:rsidR="00B82EB2" w:rsidRDefault="00B82EB2" w:rsidP="00B82EB2">
      <w:pPr>
        <w:jc w:val="both"/>
      </w:pPr>
      <w:r>
        <w:t>Vezano uz u</w:t>
      </w:r>
      <w:r w:rsidRPr="007868BB">
        <w:t>slug</w:t>
      </w:r>
      <w:r>
        <w:t>u</w:t>
      </w:r>
      <w:r w:rsidRPr="007868BB">
        <w:t xml:space="preserve"> pristupa i zajedničkog korištenja elektroničke komunikacijske infrastrukture i povezane opreme</w:t>
      </w:r>
      <w:r>
        <w:t xml:space="preserve">, koja proizlazi iz obveze pristupa fizičkoj infrastrukturi, </w:t>
      </w:r>
      <w:r w:rsidRPr="00DA7F65">
        <w:t>HT je obvezan voditi redovitu evidenciju (na mjesečnoj razini) o glavnim pokazateljima učinkovitosti (KPI</w:t>
      </w:r>
      <w:r>
        <w:t>)</w:t>
      </w:r>
      <w:r w:rsidRPr="00DA7F65">
        <w:t xml:space="preserve"> osobito o brzini i načinu rješavanja zahtjeva, realizaciji zahtjeva (rokovima i kvaliteti izvedenih radova) i otklonima kvarova na EKI, te omogućiti HAKOM-u i operatorima korisnicima pristup nav</w:t>
      </w:r>
      <w:r>
        <w:t xml:space="preserve">edenoj evidenciji. </w:t>
      </w:r>
      <w:r w:rsidRPr="00DA7F65">
        <w:t xml:space="preserve">HT se obvezuje </w:t>
      </w:r>
      <w:r>
        <w:t xml:space="preserve">omogućiti </w:t>
      </w:r>
      <w:r w:rsidRPr="00DA7F65">
        <w:t xml:space="preserve">pristup evidenciji svakog pojedinog zahtjeva za pristup i zajedničko korištenje fizičke infrastrukture </w:t>
      </w:r>
      <w:r>
        <w:t>koja obavezno sadrži:</w:t>
      </w:r>
    </w:p>
    <w:p w:rsidR="00B82EB2" w:rsidRPr="00DA7F65" w:rsidRDefault="00B82EB2" w:rsidP="00B82EB2">
      <w:pPr>
        <w:jc w:val="both"/>
      </w:pPr>
    </w:p>
    <w:p w:rsidR="00B82EB2" w:rsidRPr="00DA7F65" w:rsidRDefault="00B82EB2" w:rsidP="00766501">
      <w:pPr>
        <w:numPr>
          <w:ilvl w:val="0"/>
          <w:numId w:val="42"/>
        </w:numPr>
        <w:jc w:val="both"/>
      </w:pPr>
      <w:r w:rsidRPr="00DA7F65">
        <w:t>Broj zahtjeva</w:t>
      </w:r>
    </w:p>
    <w:p w:rsidR="00B82EB2" w:rsidRPr="00DA7F65" w:rsidRDefault="00B82EB2" w:rsidP="00766501">
      <w:pPr>
        <w:numPr>
          <w:ilvl w:val="0"/>
          <w:numId w:val="42"/>
        </w:numPr>
        <w:jc w:val="both"/>
      </w:pPr>
      <w:r w:rsidRPr="00DA7F65">
        <w:t>Naziv operatora korisnika</w:t>
      </w:r>
    </w:p>
    <w:p w:rsidR="00B82EB2" w:rsidRPr="00DA7F65" w:rsidRDefault="00B82EB2" w:rsidP="00766501">
      <w:pPr>
        <w:numPr>
          <w:ilvl w:val="0"/>
          <w:numId w:val="42"/>
        </w:numPr>
        <w:jc w:val="both"/>
      </w:pPr>
      <w:r w:rsidRPr="00DA7F65">
        <w:t>Status zahtjeva</w:t>
      </w:r>
    </w:p>
    <w:p w:rsidR="00B82EB2" w:rsidRPr="00DA7F65" w:rsidRDefault="00B82EB2" w:rsidP="00766501">
      <w:pPr>
        <w:numPr>
          <w:ilvl w:val="0"/>
          <w:numId w:val="42"/>
        </w:numPr>
        <w:jc w:val="both"/>
      </w:pPr>
      <w:r w:rsidRPr="00DA7F65">
        <w:t xml:space="preserve"> ID podloge</w:t>
      </w:r>
    </w:p>
    <w:p w:rsidR="00B82EB2" w:rsidRPr="00DA7F65" w:rsidRDefault="00B82EB2" w:rsidP="00766501">
      <w:pPr>
        <w:numPr>
          <w:ilvl w:val="0"/>
          <w:numId w:val="42"/>
        </w:numPr>
        <w:jc w:val="both"/>
      </w:pPr>
      <w:r w:rsidRPr="00DA7F65">
        <w:t>Adresa početne točke trase</w:t>
      </w:r>
    </w:p>
    <w:p w:rsidR="00B82EB2" w:rsidRPr="00DA7F65" w:rsidRDefault="00B82EB2" w:rsidP="00766501">
      <w:pPr>
        <w:numPr>
          <w:ilvl w:val="0"/>
          <w:numId w:val="42"/>
        </w:numPr>
        <w:jc w:val="both"/>
      </w:pPr>
      <w:r w:rsidRPr="00DA7F65">
        <w:t>Adresa završen točke trase</w:t>
      </w:r>
    </w:p>
    <w:p w:rsidR="00B82EB2" w:rsidRPr="00DA7F65" w:rsidRDefault="00B82EB2" w:rsidP="00766501">
      <w:pPr>
        <w:numPr>
          <w:ilvl w:val="0"/>
          <w:numId w:val="42"/>
        </w:numPr>
        <w:jc w:val="both"/>
      </w:pPr>
      <w:r w:rsidRPr="00DA7F65">
        <w:t>Datum zaprimanja zahtjeva</w:t>
      </w:r>
    </w:p>
    <w:p w:rsidR="00B82EB2" w:rsidRPr="00DA7F65" w:rsidRDefault="00B82EB2" w:rsidP="00766501">
      <w:pPr>
        <w:numPr>
          <w:ilvl w:val="0"/>
          <w:numId w:val="42"/>
        </w:numPr>
        <w:jc w:val="both"/>
      </w:pPr>
      <w:r w:rsidRPr="00DA7F65">
        <w:t>Datum dostave podloge</w:t>
      </w:r>
    </w:p>
    <w:p w:rsidR="00B82EB2" w:rsidRPr="00DA7F65" w:rsidRDefault="00B82EB2" w:rsidP="00766501">
      <w:pPr>
        <w:numPr>
          <w:ilvl w:val="0"/>
          <w:numId w:val="42"/>
        </w:numPr>
        <w:jc w:val="both"/>
      </w:pPr>
      <w:r w:rsidRPr="00DA7F65">
        <w:t>Datum storniranja zahtjeva</w:t>
      </w:r>
    </w:p>
    <w:p w:rsidR="00B82EB2" w:rsidRPr="00755F4F" w:rsidRDefault="00B82EB2" w:rsidP="00766501">
      <w:pPr>
        <w:numPr>
          <w:ilvl w:val="0"/>
          <w:numId w:val="42"/>
        </w:numPr>
        <w:jc w:val="both"/>
      </w:pPr>
      <w:r w:rsidRPr="00755F4F">
        <w:t>Datum realizacije</w:t>
      </w:r>
    </w:p>
    <w:p w:rsidR="00B82EB2" w:rsidRDefault="00B82EB2" w:rsidP="00766501">
      <w:pPr>
        <w:pStyle w:val="ListParagraph"/>
        <w:numPr>
          <w:ilvl w:val="0"/>
          <w:numId w:val="43"/>
        </w:numPr>
        <w:contextualSpacing w:val="0"/>
        <w:jc w:val="both"/>
      </w:pPr>
      <w:r>
        <w:t>V</w:t>
      </w:r>
      <w:r w:rsidRPr="004E20C9">
        <w:t>rijeme trajanja rješava</w:t>
      </w:r>
      <w:r w:rsidRPr="007868BB">
        <w:t>nja svakog pojedinog zahtjeva</w:t>
      </w:r>
      <w:r w:rsidRPr="004E20C9">
        <w:t xml:space="preserve"> </w:t>
      </w:r>
    </w:p>
    <w:p w:rsidR="00B82EB2" w:rsidRPr="004E20C9" w:rsidRDefault="00B82EB2" w:rsidP="00766501">
      <w:pPr>
        <w:pStyle w:val="ListParagraph"/>
        <w:numPr>
          <w:ilvl w:val="0"/>
          <w:numId w:val="43"/>
        </w:numPr>
        <w:contextualSpacing w:val="0"/>
        <w:jc w:val="both"/>
      </w:pPr>
      <w:r>
        <w:t>R</w:t>
      </w:r>
      <w:r w:rsidRPr="004E20C9">
        <w:t>ok za rješavanje svakog pojedinog z</w:t>
      </w:r>
      <w:r w:rsidRPr="007868BB">
        <w:t>ahtjeva</w:t>
      </w:r>
      <w:r>
        <w:t>.</w:t>
      </w:r>
    </w:p>
    <w:p w:rsidR="00B82EB2" w:rsidRPr="00DA7F65" w:rsidRDefault="00B82EB2" w:rsidP="00B82EB2">
      <w:pPr>
        <w:jc w:val="both"/>
      </w:pPr>
    </w:p>
    <w:p w:rsidR="00B82EB2" w:rsidRDefault="00B82EB2" w:rsidP="00B82EB2">
      <w:pPr>
        <w:jc w:val="both"/>
      </w:pPr>
      <w:r w:rsidRPr="00DA7F65">
        <w:t xml:space="preserve">Također, </w:t>
      </w:r>
      <w:r>
        <w:t>HT je obvezan omogućiti pristup</w:t>
      </w:r>
      <w:r w:rsidRPr="00DA7F65">
        <w:t xml:space="preserve"> o </w:t>
      </w:r>
      <w:r>
        <w:t>realizaciji zahtjeva za otklon smetnji, odnosno kvarova</w:t>
      </w:r>
      <w:r w:rsidRPr="00DA7F65">
        <w:t xml:space="preserve"> na </w:t>
      </w:r>
      <w:r>
        <w:t xml:space="preserve">elektroničkoj komunikacijskoj </w:t>
      </w:r>
      <w:r w:rsidRPr="00DA7F65">
        <w:t>infrastrukturi</w:t>
      </w:r>
      <w:r>
        <w:t xml:space="preserve"> koja obvezno sadrži:</w:t>
      </w:r>
    </w:p>
    <w:p w:rsidR="00B82EB2" w:rsidRDefault="00B82EB2" w:rsidP="00766501">
      <w:pPr>
        <w:pStyle w:val="ListParagraph"/>
        <w:numPr>
          <w:ilvl w:val="0"/>
          <w:numId w:val="44"/>
        </w:numPr>
        <w:contextualSpacing w:val="0"/>
        <w:jc w:val="both"/>
      </w:pPr>
      <w:r>
        <w:t>Status zahtjeva</w:t>
      </w:r>
    </w:p>
    <w:p w:rsidR="00B82EB2" w:rsidRDefault="00B82EB2" w:rsidP="00766501">
      <w:pPr>
        <w:pStyle w:val="ListParagraph"/>
        <w:numPr>
          <w:ilvl w:val="0"/>
          <w:numId w:val="44"/>
        </w:numPr>
        <w:contextualSpacing w:val="0"/>
        <w:jc w:val="both"/>
      </w:pPr>
      <w:r>
        <w:t>Naziv operatora korisnika koji je prijavio smetnju</w:t>
      </w:r>
    </w:p>
    <w:p w:rsidR="00B82EB2" w:rsidRDefault="00B82EB2" w:rsidP="00766501">
      <w:pPr>
        <w:pStyle w:val="ListParagraph"/>
        <w:numPr>
          <w:ilvl w:val="0"/>
          <w:numId w:val="44"/>
        </w:numPr>
        <w:contextualSpacing w:val="0"/>
        <w:jc w:val="both"/>
      </w:pPr>
      <w:r>
        <w:t>Opis smetnje</w:t>
      </w:r>
    </w:p>
    <w:p w:rsidR="00B82EB2" w:rsidRDefault="00B82EB2" w:rsidP="00766501">
      <w:pPr>
        <w:pStyle w:val="ListParagraph"/>
        <w:numPr>
          <w:ilvl w:val="0"/>
          <w:numId w:val="44"/>
        </w:numPr>
        <w:contextualSpacing w:val="0"/>
        <w:jc w:val="both"/>
      </w:pPr>
      <w:r>
        <w:t>Lokaciju smetnje</w:t>
      </w:r>
    </w:p>
    <w:p w:rsidR="00B82EB2" w:rsidRDefault="00B82EB2" w:rsidP="00766501">
      <w:pPr>
        <w:pStyle w:val="ListParagraph"/>
        <w:numPr>
          <w:ilvl w:val="0"/>
          <w:numId w:val="44"/>
        </w:numPr>
        <w:contextualSpacing w:val="0"/>
        <w:jc w:val="both"/>
      </w:pPr>
      <w:r>
        <w:t>Uzrok smetnje</w:t>
      </w:r>
    </w:p>
    <w:p w:rsidR="00B82EB2" w:rsidRDefault="00B82EB2" w:rsidP="00766501">
      <w:pPr>
        <w:pStyle w:val="ListParagraph"/>
        <w:numPr>
          <w:ilvl w:val="0"/>
          <w:numId w:val="44"/>
        </w:numPr>
        <w:contextualSpacing w:val="0"/>
        <w:jc w:val="both"/>
      </w:pPr>
      <w:r>
        <w:t>Vrijeme početka smetnje</w:t>
      </w:r>
    </w:p>
    <w:p w:rsidR="00B82EB2" w:rsidRDefault="00B82EB2" w:rsidP="00766501">
      <w:pPr>
        <w:pStyle w:val="ListParagraph"/>
        <w:numPr>
          <w:ilvl w:val="0"/>
          <w:numId w:val="44"/>
        </w:numPr>
        <w:contextualSpacing w:val="0"/>
        <w:jc w:val="both"/>
      </w:pPr>
      <w:r>
        <w:t>Vrijeme završetka smetnje</w:t>
      </w:r>
    </w:p>
    <w:p w:rsidR="00B82EB2" w:rsidRDefault="00B82EB2" w:rsidP="00766501">
      <w:pPr>
        <w:pStyle w:val="ListParagraph"/>
        <w:numPr>
          <w:ilvl w:val="0"/>
          <w:numId w:val="44"/>
        </w:numPr>
        <w:contextualSpacing w:val="0"/>
        <w:jc w:val="both"/>
      </w:pPr>
      <w:r>
        <w:t>R</w:t>
      </w:r>
      <w:r w:rsidRPr="004E20C9">
        <w:t>ok za otklon</w:t>
      </w:r>
      <w:r w:rsidRPr="007868BB">
        <w:t xml:space="preserve"> smetnje</w:t>
      </w:r>
    </w:p>
    <w:p w:rsidR="00B82EB2" w:rsidRPr="004E20C9" w:rsidRDefault="00B82EB2" w:rsidP="00766501">
      <w:pPr>
        <w:pStyle w:val="ListParagraph"/>
        <w:numPr>
          <w:ilvl w:val="0"/>
          <w:numId w:val="44"/>
        </w:numPr>
        <w:contextualSpacing w:val="0"/>
        <w:jc w:val="both"/>
      </w:pPr>
      <w:r>
        <w:t>V</w:t>
      </w:r>
      <w:r w:rsidRPr="004E20C9">
        <w:t>rijeme trajanja otklona smetnje.</w:t>
      </w:r>
    </w:p>
    <w:p w:rsidR="00B82EB2" w:rsidRDefault="00B82EB2" w:rsidP="00B82EB2">
      <w:pPr>
        <w:jc w:val="both"/>
      </w:pPr>
    </w:p>
    <w:p w:rsidR="00B82EB2" w:rsidRPr="002010AF" w:rsidRDefault="00B82EB2" w:rsidP="00B82EB2">
      <w:pPr>
        <w:jc w:val="both"/>
      </w:pPr>
      <w:r w:rsidRPr="002010AF">
        <w:t xml:space="preserve">Dodatno, HAKOM može u zasebnom postupku zatražiti praćenje i izvještavanje i za neke druge KPI vrijednosti ovisno o potrebama HAKOM-a i zahtjevima tržišta. </w:t>
      </w:r>
      <w:r>
        <w:t>HT također u izvještaje može dodati i druge KPI vrijednosti osim gore navedenih ukoliko smatra da za iste ima potrebe.</w:t>
      </w:r>
    </w:p>
    <w:p w:rsidR="00B82EB2" w:rsidRPr="002010AF" w:rsidRDefault="00B82EB2" w:rsidP="00B82EB2">
      <w:pPr>
        <w:jc w:val="both"/>
      </w:pPr>
    </w:p>
    <w:p w:rsidR="00B82EB2" w:rsidRPr="00105352" w:rsidRDefault="00B82EB2" w:rsidP="00B82EB2">
      <w:pPr>
        <w:spacing w:after="120"/>
        <w:jc w:val="both"/>
      </w:pPr>
      <w:r w:rsidRPr="00105352">
        <w:t>HT je operatorima korisnicima, putem B2B servisa, obvezan pružati:</w:t>
      </w:r>
    </w:p>
    <w:p w:rsidR="00B82EB2" w:rsidRPr="00105352" w:rsidRDefault="00B82EB2" w:rsidP="00766501">
      <w:pPr>
        <w:numPr>
          <w:ilvl w:val="0"/>
          <w:numId w:val="33"/>
        </w:numPr>
        <w:ind w:left="567" w:hanging="144"/>
        <w:jc w:val="both"/>
      </w:pPr>
      <w:r w:rsidRPr="00105352">
        <w:t>pristup KPI podacima vezanim za njihove aktivnosti</w:t>
      </w:r>
    </w:p>
    <w:p w:rsidR="00B82EB2" w:rsidRPr="00105352" w:rsidRDefault="00B82EB2" w:rsidP="00766501">
      <w:pPr>
        <w:numPr>
          <w:ilvl w:val="0"/>
          <w:numId w:val="33"/>
        </w:numPr>
        <w:ind w:left="567" w:hanging="141"/>
        <w:jc w:val="both"/>
      </w:pPr>
      <w:r w:rsidRPr="00105352">
        <w:t>rezultate glavnih pokazatelja učinkovitosti prosječno za sve operatore korisnike</w:t>
      </w:r>
      <w:r>
        <w:t>,</w:t>
      </w:r>
      <w:r w:rsidRPr="00105352">
        <w:t xml:space="preserve"> zasebno za maloprodajni dio HT-a </w:t>
      </w:r>
      <w:r>
        <w:t>i zasebno za društva pod njegovim nadzorom</w:t>
      </w:r>
      <w:r>
        <w:rPr>
          <w:rStyle w:val="FootnoteReference"/>
        </w:rPr>
        <w:footnoteReference w:id="63"/>
      </w:r>
      <w:r>
        <w:t xml:space="preserve"> </w:t>
      </w:r>
      <w:r w:rsidRPr="00105352">
        <w:t>na tromjesečnoj razini.</w:t>
      </w:r>
    </w:p>
    <w:p w:rsidR="00B82EB2" w:rsidRPr="00105352" w:rsidRDefault="00B82EB2" w:rsidP="00B82EB2">
      <w:pPr>
        <w:jc w:val="both"/>
      </w:pPr>
    </w:p>
    <w:p w:rsidR="00B82EB2" w:rsidRPr="007961B9" w:rsidRDefault="00B82EB2" w:rsidP="00B82EB2">
      <w:pPr>
        <w:jc w:val="both"/>
        <w:rPr>
          <w:rFonts w:asciiTheme="minorHAnsi" w:hAnsiTheme="minorHAnsi"/>
        </w:rPr>
      </w:pPr>
      <w:r w:rsidRPr="002010AF">
        <w:t>Rezultate glavnih pokazatelja učinkovitosti za pojedino tromjesečje HT treba učiniti dostupnim HAKOM-u i operatorima 30 dana nakon proteka tog tromjesečja. Zbog velike količine ovih podataka, HAKOM smatra opravdanim obvezati HT da iste pruža putem web</w:t>
      </w:r>
      <w:r>
        <w:t xml:space="preserve"> </w:t>
      </w:r>
      <w:r w:rsidRPr="002010AF">
        <w:t xml:space="preserve">portala kako se B2B sustav komunikacije ne bi nepotrebno opterećivao. </w:t>
      </w:r>
      <w:r>
        <w:rPr>
          <w:rFonts w:asciiTheme="minorHAnsi" w:hAnsiTheme="minorHAnsi"/>
        </w:rPr>
        <w:t>Za podatke koje HT nije do sada bio obvezan pratiti i izvještavati, HT je obvezan učiniti dostupnim p</w:t>
      </w:r>
      <w:r w:rsidRPr="007961B9">
        <w:rPr>
          <w:rFonts w:asciiTheme="minorHAnsi" w:hAnsiTheme="minorHAnsi"/>
        </w:rPr>
        <w:t xml:space="preserve">očevši s rezultatima za </w:t>
      </w:r>
      <w:r>
        <w:rPr>
          <w:rFonts w:asciiTheme="minorHAnsi" w:hAnsiTheme="minorHAnsi"/>
        </w:rPr>
        <w:t>prvo tromjesečje koje slijedi nakon usvajanja ove analize.</w:t>
      </w:r>
    </w:p>
    <w:p w:rsidR="00B82EB2" w:rsidRDefault="00B82EB2" w:rsidP="00B82EB2">
      <w:pPr>
        <w:jc w:val="both"/>
      </w:pPr>
    </w:p>
    <w:p w:rsidR="00B82EB2" w:rsidRDefault="00B82EB2" w:rsidP="00B82EB2">
      <w:pPr>
        <w:jc w:val="both"/>
      </w:pPr>
      <w:r>
        <w:t>Također, HAKOM će pojedine</w:t>
      </w:r>
      <w:r w:rsidRPr="00EF3F01">
        <w:t xml:space="preserve"> </w:t>
      </w:r>
      <w:r>
        <w:t xml:space="preserve">glavne pokazatelje učinkovitosti </w:t>
      </w:r>
      <w:r w:rsidRPr="00EF3F01">
        <w:t>objaviti na svojim internetskim stranicama</w:t>
      </w:r>
      <w:r>
        <w:t xml:space="preserve"> i to </w:t>
      </w:r>
      <w:r w:rsidRPr="00B7569C">
        <w:t xml:space="preserve">prosječno za sve operatore korisnike, zasebno za maloprodajni dio HT-a i zasebno za </w:t>
      </w:r>
      <w:r>
        <w:t>društva pod njegovim nadzorom.</w:t>
      </w:r>
    </w:p>
    <w:p w:rsidR="00B82EB2" w:rsidRDefault="00B82EB2" w:rsidP="00B82EB2">
      <w:pPr>
        <w:jc w:val="both"/>
      </w:pPr>
    </w:p>
    <w:p w:rsidR="00B82EB2" w:rsidRDefault="00B82EB2" w:rsidP="00B82EB2">
      <w:pPr>
        <w:jc w:val="both"/>
      </w:pPr>
      <w:r w:rsidRPr="00B31D09">
        <w:t>HT je obvezan na web portalu objav</w:t>
      </w:r>
      <w:r>
        <w:t>iti</w:t>
      </w:r>
      <w:r w:rsidRPr="00B31D09">
        <w:t xml:space="preserve"> popratnu dokumentaciju s pojašnjenjem načina izračuna i opisom svakog parametra u izvješću o KPI vrijednostima.</w:t>
      </w:r>
    </w:p>
    <w:p w:rsidR="00B82EB2" w:rsidRPr="00105352" w:rsidRDefault="00B82EB2" w:rsidP="00B82EB2">
      <w:pPr>
        <w:spacing w:before="120" w:after="120"/>
        <w:jc w:val="center"/>
      </w:pPr>
      <w:r w:rsidRPr="00105352">
        <w:t>***</w:t>
      </w:r>
    </w:p>
    <w:p w:rsidR="00B82EB2" w:rsidRPr="00B039CD" w:rsidRDefault="00B82EB2" w:rsidP="00B82EB2">
      <w:pPr>
        <w:jc w:val="both"/>
      </w:pPr>
      <w:r w:rsidRPr="00B039CD">
        <w:t xml:space="preserve">HAKOM smatra da se objavom standardne ponude uklanjanju zapreke ulasku na tržište definirane poglavljima </w:t>
      </w:r>
      <w:r w:rsidR="00B630B6">
        <w:fldChar w:fldCharType="begin"/>
      </w:r>
      <w:r w:rsidR="00B630B6">
        <w:instrText xml:space="preserve"> REF _Ref125566791 \r \h </w:instrText>
      </w:r>
      <w:r w:rsidR="00B630B6">
        <w:fldChar w:fldCharType="separate"/>
      </w:r>
      <w:r w:rsidR="00B630B6">
        <w:t>7.2</w:t>
      </w:r>
      <w:r w:rsidR="00B630B6">
        <w:fldChar w:fldCharType="end"/>
      </w:r>
      <w:r w:rsidRPr="00B039CD">
        <w:t xml:space="preserve"> i</w:t>
      </w:r>
      <w:r w:rsidR="00B630B6">
        <w:t xml:space="preserve"> </w:t>
      </w:r>
      <w:r w:rsidR="00B630B6">
        <w:fldChar w:fldCharType="begin"/>
      </w:r>
      <w:r w:rsidR="00B630B6">
        <w:instrText xml:space="preserve"> REF _Ref125566809 \r \h </w:instrText>
      </w:r>
      <w:r w:rsidR="00B630B6">
        <w:fldChar w:fldCharType="separate"/>
      </w:r>
      <w:r w:rsidR="00B630B6">
        <w:t>7.3</w:t>
      </w:r>
      <w:r w:rsidR="00B630B6">
        <w:fldChar w:fldCharType="end"/>
      </w:r>
      <w:r w:rsidRPr="00B039CD">
        <w:t xml:space="preserve"> ovog dokumenta te se potiče ulazak novih operatora, a što potiče tržišno natjecanje na maloprodajnoj razini. Stoga je HAKOM mišljenja da je navedena obveza primjerena i razmjerna, s obzirom da bi HT, u odsustvu regulacije, mogao netransparentnim uvjetima i cijenama drugim operatorima nuditi različite uvjete i cijene od onih koje pruža svom maloprodajnom dijelu i društvima pod njegovim nadzorom. Dakle, objava standardne ponude je nužna obveza jer omogućuje transparentno djelovanje HT-a, a istovremeno dopunjuje obvezu nediskriminacije.</w:t>
      </w:r>
    </w:p>
    <w:p w:rsidR="00B82EB2" w:rsidRPr="00B039CD" w:rsidRDefault="00B82EB2" w:rsidP="00B82EB2">
      <w:pPr>
        <w:jc w:val="both"/>
      </w:pPr>
    </w:p>
    <w:p w:rsidR="00B82EB2" w:rsidRPr="00105352" w:rsidRDefault="00B82EB2" w:rsidP="00B82EB2">
      <w:pPr>
        <w:jc w:val="both"/>
      </w:pPr>
      <w:r w:rsidRPr="00B039CD">
        <w:t xml:space="preserve">Također, određivanjem ostalih obveza u okviru obveze transparentnosti, nadopunjuje se obveza nediskriminacije, te se uklanjaju sve potencijalne prepreke definirane u poglavljima </w:t>
      </w:r>
      <w:r w:rsidR="00B630B6">
        <w:fldChar w:fldCharType="begin"/>
      </w:r>
      <w:r w:rsidR="00B630B6">
        <w:instrText xml:space="preserve"> REF _Ref125566843 \r \h </w:instrText>
      </w:r>
      <w:r w:rsidR="00B630B6">
        <w:fldChar w:fldCharType="separate"/>
      </w:r>
      <w:r w:rsidR="00B630B6">
        <w:t>7.2</w:t>
      </w:r>
      <w:r w:rsidR="00B630B6">
        <w:fldChar w:fldCharType="end"/>
      </w:r>
      <w:r w:rsidRPr="00B039CD">
        <w:t xml:space="preserve"> i</w:t>
      </w:r>
      <w:r w:rsidR="00B630B6">
        <w:t xml:space="preserve"> </w:t>
      </w:r>
      <w:r w:rsidR="00B630B6">
        <w:fldChar w:fldCharType="begin"/>
      </w:r>
      <w:r w:rsidR="00B630B6">
        <w:instrText xml:space="preserve"> REF _Ref125566861 \r \h </w:instrText>
      </w:r>
      <w:r w:rsidR="00B630B6">
        <w:fldChar w:fldCharType="separate"/>
      </w:r>
      <w:r w:rsidR="00B630B6">
        <w:t>7.3</w:t>
      </w:r>
      <w:r w:rsidR="00B630B6">
        <w:fldChar w:fldCharType="end"/>
      </w:r>
      <w:r w:rsidRPr="00B039CD">
        <w:t xml:space="preserve"> ovog dokumenta i slične koje nisu izravno definirane. </w:t>
      </w:r>
    </w:p>
    <w:p w:rsidR="00B82EB2" w:rsidRDefault="00B82EB2" w:rsidP="00B82EB2">
      <w:pPr>
        <w:jc w:val="both"/>
      </w:pPr>
    </w:p>
    <w:p w:rsidR="00B82EB2" w:rsidRDefault="00B82EB2" w:rsidP="00B82EB2">
      <w:pPr>
        <w:spacing w:after="160" w:line="259" w:lineRule="auto"/>
      </w:pPr>
      <w:r>
        <w:br w:type="page"/>
      </w:r>
    </w:p>
    <w:p w:rsidR="00B82EB2" w:rsidRPr="00E970CD" w:rsidRDefault="00B82EB2" w:rsidP="00E970CD">
      <w:pPr>
        <w:pStyle w:val="Heading2"/>
      </w:pPr>
      <w:bookmarkStart w:id="667" w:name="_Toc11834482"/>
      <w:bookmarkStart w:id="668" w:name="_Toc124928641"/>
      <w:bookmarkStart w:id="669" w:name="_Toc124946983"/>
      <w:bookmarkStart w:id="670" w:name="_Toc124948893"/>
      <w:bookmarkStart w:id="671" w:name="_Toc124951788"/>
      <w:bookmarkStart w:id="672" w:name="_Toc125644947"/>
      <w:bookmarkStart w:id="673" w:name="_Toc353364066"/>
      <w:bookmarkStart w:id="674" w:name="_Toc414013837"/>
      <w:bookmarkStart w:id="675" w:name="_Toc420665700"/>
      <w:r w:rsidRPr="00E970CD">
        <w:t>Obveza nadzora cijena i vođenja troškovnog računovodstva</w:t>
      </w:r>
      <w:bookmarkEnd w:id="667"/>
      <w:bookmarkEnd w:id="668"/>
      <w:bookmarkEnd w:id="669"/>
      <w:bookmarkEnd w:id="670"/>
      <w:bookmarkEnd w:id="671"/>
      <w:bookmarkEnd w:id="672"/>
    </w:p>
    <w:bookmarkEnd w:id="673"/>
    <w:bookmarkEnd w:id="674"/>
    <w:bookmarkEnd w:id="675"/>
    <w:p w:rsidR="00B82EB2" w:rsidRPr="00480501" w:rsidRDefault="00B82EB2" w:rsidP="00480501">
      <w:pPr>
        <w:spacing w:after="120"/>
        <w:jc w:val="both"/>
      </w:pPr>
      <w:r w:rsidRPr="00480501">
        <w:t xml:space="preserve">HAKOM može odrediti operatorima sa značajnom tržišnom snagom regulatorne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 </w:t>
      </w:r>
    </w:p>
    <w:p w:rsidR="00B82EB2" w:rsidRPr="00480501" w:rsidRDefault="00B82EB2" w:rsidP="00480501">
      <w:pPr>
        <w:spacing w:after="120"/>
        <w:jc w:val="both"/>
      </w:pPr>
      <w:r w:rsidRPr="00480501">
        <w:t>HAKOM treba prigodom određivanja ove obveze uzeti u obzir potrebu promicanja tržišnog natjecanja te dugoročne interese krajnjih korisnika u vezi s postavljanjem i korištenjem mreža sljedeće generacije, a osobito mreža vrlo velikog kapaciteta, te treba u svrhu poticanja ulaganja, uključujući i ulaganja u mreže sljedeće generacije, uzeti u obzir ulaganja operatora.</w:t>
      </w:r>
    </w:p>
    <w:p w:rsidR="00B82EB2" w:rsidRPr="00480501" w:rsidRDefault="00B82EB2" w:rsidP="00480501">
      <w:pPr>
        <w:spacing w:after="120"/>
        <w:jc w:val="both"/>
      </w:pPr>
      <w:r w:rsidRPr="00480501">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p>
    <w:p w:rsidR="00B82EB2" w:rsidRPr="00B7569C" w:rsidRDefault="00B82EB2" w:rsidP="00480501">
      <w:pPr>
        <w:spacing w:after="120"/>
        <w:jc w:val="both"/>
      </w:pPr>
      <w:r>
        <w:t>Slijedom navedenog, t</w:t>
      </w:r>
      <w:r w:rsidRPr="00B7569C">
        <w:t xml:space="preserve">ri su glavna HAKOM-ova cilja kod uvođenja mjere troškovno-usmjerenog određivanja cijena: </w:t>
      </w:r>
    </w:p>
    <w:p w:rsidR="00B82EB2" w:rsidRPr="00B222E5" w:rsidRDefault="00B82EB2" w:rsidP="00766501">
      <w:pPr>
        <w:pStyle w:val="ListParagraph"/>
        <w:numPr>
          <w:ilvl w:val="0"/>
          <w:numId w:val="64"/>
        </w:numPr>
        <w:spacing w:after="120"/>
        <w:jc w:val="both"/>
      </w:pPr>
      <w:r w:rsidRPr="00480501">
        <w:t>promicanje uvođenja novih i poboljšanih mreža</w:t>
      </w:r>
    </w:p>
    <w:p w:rsidR="00B82EB2" w:rsidRDefault="00B82EB2" w:rsidP="00766501">
      <w:pPr>
        <w:pStyle w:val="ListParagraph"/>
        <w:numPr>
          <w:ilvl w:val="0"/>
          <w:numId w:val="64"/>
        </w:numPr>
        <w:spacing w:after="120"/>
        <w:jc w:val="both"/>
      </w:pPr>
      <w:r w:rsidRPr="00EA170C">
        <w:t xml:space="preserve">promicanje održivog tržišnog natjecanja </w:t>
      </w:r>
    </w:p>
    <w:p w:rsidR="00B82EB2" w:rsidRDefault="00B82EB2" w:rsidP="00766501">
      <w:pPr>
        <w:pStyle w:val="ListParagraph"/>
        <w:numPr>
          <w:ilvl w:val="0"/>
          <w:numId w:val="64"/>
        </w:numPr>
        <w:spacing w:after="120"/>
        <w:jc w:val="both"/>
      </w:pPr>
      <w:r w:rsidRPr="00EA170C">
        <w:t>osiguravanje najvećih koristi za korisnike.</w:t>
      </w:r>
    </w:p>
    <w:p w:rsidR="00B82EB2" w:rsidRDefault="00B82EB2" w:rsidP="00B82EB2">
      <w:pPr>
        <w:jc w:val="both"/>
      </w:pPr>
    </w:p>
    <w:p w:rsidR="00B82EB2" w:rsidRPr="00EA170C" w:rsidRDefault="00B82EB2" w:rsidP="00B82EB2">
      <w:pPr>
        <w:jc w:val="both"/>
      </w:pPr>
      <w:r w:rsidRPr="00EA170C">
        <w:t>S obzirom na definiciju tržišta i SMP analizu, HAKOM određuje HT-u obvezu nadzora cijena i vođenja troškovnog računovodstva na:</w:t>
      </w:r>
    </w:p>
    <w:p w:rsidR="00B82EB2" w:rsidRPr="004C40AF" w:rsidRDefault="00F721BF" w:rsidP="00766501">
      <w:pPr>
        <w:pStyle w:val="ListParagraph"/>
        <w:numPr>
          <w:ilvl w:val="0"/>
          <w:numId w:val="39"/>
        </w:numPr>
        <w:contextualSpacing w:val="0"/>
        <w:jc w:val="both"/>
      </w:pPr>
      <w:r>
        <w:t>T</w:t>
      </w:r>
      <w:r w:rsidR="00B82EB2" w:rsidRPr="004C40AF">
        <w:t>ržištu malog kapaciteta</w:t>
      </w:r>
    </w:p>
    <w:p w:rsidR="00B82EB2" w:rsidRPr="004C40AF" w:rsidRDefault="00F721BF" w:rsidP="00766501">
      <w:pPr>
        <w:pStyle w:val="ListParagraph"/>
        <w:numPr>
          <w:ilvl w:val="0"/>
          <w:numId w:val="39"/>
        </w:numPr>
        <w:contextualSpacing w:val="0"/>
        <w:jc w:val="both"/>
      </w:pPr>
      <w:r>
        <w:t>T</w:t>
      </w:r>
      <w:r w:rsidR="00B82EB2" w:rsidRPr="004C40AF">
        <w:t>ržištu velikog kapaciteta – nekonkurentn</w:t>
      </w:r>
      <w:r w:rsidR="00B82EB2">
        <w:t>a</w:t>
      </w:r>
      <w:r w:rsidR="00B82EB2" w:rsidRPr="004C40AF">
        <w:t xml:space="preserve"> </w:t>
      </w:r>
      <w:r w:rsidR="00B82EB2">
        <w:t>područja.</w:t>
      </w:r>
    </w:p>
    <w:p w:rsidR="00B82EB2" w:rsidRDefault="00B82EB2" w:rsidP="00B82EB2">
      <w:pPr>
        <w:jc w:val="both"/>
      </w:pPr>
    </w:p>
    <w:p w:rsidR="00B82EB2" w:rsidRDefault="00B82EB2" w:rsidP="00480501">
      <w:pPr>
        <w:spacing w:after="120"/>
        <w:jc w:val="both"/>
      </w:pPr>
      <w:r w:rsidRPr="000F2470">
        <w:t xml:space="preserve">S obzirom da je HAKOM na tržištu velikog kapaciteta – nekonkurentna područja </w:t>
      </w:r>
      <w:r w:rsidR="002D636E">
        <w:t>Klastera</w:t>
      </w:r>
      <w:r w:rsidRPr="000F2470">
        <w:t xml:space="preserve"> B utvrdio kako HT nema </w:t>
      </w:r>
      <w:r>
        <w:t>snažan</w:t>
      </w:r>
      <w:r w:rsidRPr="000F2470">
        <w:t xml:space="preserve"> položaj</w:t>
      </w:r>
      <w:r>
        <w:t xml:space="preserve"> na tržištu</w:t>
      </w:r>
      <w:r w:rsidRPr="000F2470">
        <w:t xml:space="preserve"> </w:t>
      </w:r>
      <w:r w:rsidRPr="008D2715">
        <w:t xml:space="preserve">u istoj mjeri </w:t>
      </w:r>
      <w:r w:rsidRPr="000F2470">
        <w:t xml:space="preserve">kao i na tržištu velikog kapaciteta - nekonkurentna područja </w:t>
      </w:r>
      <w:r w:rsidR="002D636E">
        <w:t>Klastera</w:t>
      </w:r>
      <w:r w:rsidRPr="000F2470">
        <w:t xml:space="preserve"> A, HAKOM HT-u na ovom tržištu nije odredio obvezu troškovne usmjerenosti cijena.</w:t>
      </w:r>
    </w:p>
    <w:p w:rsidR="00B82EB2" w:rsidRDefault="00B82EB2" w:rsidP="00B82EB2">
      <w:pPr>
        <w:jc w:val="both"/>
      </w:pPr>
    </w:p>
    <w:p w:rsidR="00B82EB2" w:rsidRPr="00480501" w:rsidRDefault="00B82EB2" w:rsidP="00B82EB2">
      <w:pPr>
        <w:pStyle w:val="NormalWeb"/>
        <w:spacing w:before="0" w:beforeAutospacing="0" w:after="0" w:afterAutospacing="0"/>
        <w:jc w:val="both"/>
        <w:rPr>
          <w:rFonts w:ascii="Cambria" w:hAnsi="Cambria"/>
          <w:b/>
          <w:i/>
          <w:iCs/>
          <w:color w:val="1F3864" w:themeColor="accent1" w:themeShade="80"/>
          <w:spacing w:val="15"/>
        </w:rPr>
      </w:pPr>
      <w:r w:rsidRPr="00480501">
        <w:rPr>
          <w:rFonts w:ascii="Cambria" w:hAnsi="Cambria"/>
          <w:b/>
          <w:i/>
          <w:iCs/>
          <w:color w:val="1F3864" w:themeColor="accent1" w:themeShade="80"/>
          <w:spacing w:val="15"/>
        </w:rPr>
        <w:t xml:space="preserve">Veleprodajne cijene </w:t>
      </w:r>
    </w:p>
    <w:p w:rsidR="00B82EB2" w:rsidRPr="00480501" w:rsidRDefault="00B82EB2" w:rsidP="00B82EB2">
      <w:pPr>
        <w:pStyle w:val="NormalWeb"/>
        <w:spacing w:before="0" w:beforeAutospacing="0" w:after="0" w:afterAutospacing="0"/>
        <w:jc w:val="both"/>
        <w:rPr>
          <w:rFonts w:ascii="Cambria" w:hAnsi="Cambria"/>
          <w:i/>
          <w:iCs/>
          <w:color w:val="1F3864" w:themeColor="accent1" w:themeShade="80"/>
          <w:spacing w:val="15"/>
        </w:rPr>
      </w:pPr>
    </w:p>
    <w:p w:rsidR="00B82EB2" w:rsidRPr="00480501" w:rsidRDefault="00B82EB2" w:rsidP="00766501">
      <w:pPr>
        <w:pStyle w:val="NormalWeb"/>
        <w:numPr>
          <w:ilvl w:val="0"/>
          <w:numId w:val="40"/>
        </w:numPr>
        <w:spacing w:before="0" w:beforeAutospacing="0" w:after="0" w:afterAutospacing="0"/>
        <w:jc w:val="both"/>
        <w:rPr>
          <w:rFonts w:ascii="Cambria" w:hAnsi="Cambria"/>
          <w:i/>
          <w:color w:val="1F3864" w:themeColor="accent1" w:themeShade="80"/>
          <w:spacing w:val="15"/>
        </w:rPr>
      </w:pPr>
      <w:r w:rsidRPr="00480501">
        <w:rPr>
          <w:rFonts w:ascii="Cambria" w:hAnsi="Cambria"/>
          <w:i/>
          <w:color w:val="1F3864" w:themeColor="accent1" w:themeShade="80"/>
          <w:spacing w:val="15"/>
        </w:rPr>
        <w:t>Usluge lokalnog pristupa</w:t>
      </w:r>
    </w:p>
    <w:p w:rsidR="00B82EB2" w:rsidRDefault="00B82EB2" w:rsidP="00B82EB2">
      <w:pPr>
        <w:pStyle w:val="NormalWeb"/>
        <w:jc w:val="both"/>
        <w:rPr>
          <w:rFonts w:ascii="Calibri" w:hAnsi="Calibri" w:cs="Calibri"/>
        </w:rPr>
      </w:pPr>
      <w:r>
        <w:rPr>
          <w:rFonts w:ascii="Calibri" w:hAnsi="Calibri" w:cs="Calibri"/>
        </w:rPr>
        <w:t>Na tržištu veleprodajnog lokalnog pristupa koji se pruža na fiksnoj lokaciji odlukom HAKOM-a iz veljače 2021.</w:t>
      </w:r>
      <w:r>
        <w:rPr>
          <w:rStyle w:val="FootnoteReference"/>
          <w:rFonts w:ascii="Calibri" w:hAnsi="Calibri" w:cs="Calibri"/>
        </w:rPr>
        <w:footnoteReference w:id="64"/>
      </w:r>
      <w:r>
        <w:rPr>
          <w:rFonts w:ascii="Calibri" w:hAnsi="Calibri" w:cs="Calibri"/>
        </w:rPr>
        <w:t xml:space="preserve"> određene su mjesečne naknade za usluge;</w:t>
      </w:r>
    </w:p>
    <w:p w:rsidR="00B82EB2" w:rsidRPr="00480501" w:rsidRDefault="00B82EB2" w:rsidP="00766501">
      <w:pPr>
        <w:pStyle w:val="ListParagraph"/>
        <w:numPr>
          <w:ilvl w:val="0"/>
          <w:numId w:val="64"/>
        </w:numPr>
        <w:spacing w:after="120"/>
        <w:jc w:val="both"/>
      </w:pPr>
      <w:r w:rsidRPr="00480501">
        <w:t>izdvojenog pristupa lokalnoj petlji na temelju bakrene parice</w:t>
      </w:r>
    </w:p>
    <w:p w:rsidR="00B82EB2" w:rsidRPr="00480501" w:rsidRDefault="00B82EB2" w:rsidP="00766501">
      <w:pPr>
        <w:pStyle w:val="ListParagraph"/>
        <w:numPr>
          <w:ilvl w:val="0"/>
          <w:numId w:val="64"/>
        </w:numPr>
        <w:spacing w:after="120"/>
        <w:jc w:val="both"/>
      </w:pPr>
      <w:r w:rsidRPr="00480501">
        <w:t>pristupa pasivnoj pristupnoj svjetlovodnoj mreži na lokaciji distribucijskog čvora (FA PON) sa svjetlovodnom instalacijom u zgradi</w:t>
      </w:r>
    </w:p>
    <w:p w:rsidR="00B82EB2" w:rsidRPr="00480501" w:rsidRDefault="00B82EB2" w:rsidP="00766501">
      <w:pPr>
        <w:pStyle w:val="ListParagraph"/>
        <w:numPr>
          <w:ilvl w:val="0"/>
          <w:numId w:val="64"/>
        </w:numPr>
        <w:spacing w:after="120"/>
        <w:jc w:val="both"/>
      </w:pPr>
      <w:r w:rsidRPr="00480501">
        <w:t>pristupa pasivnoj pristupnoj svjetlovodnoj mreži na lokaciji distribucijskog čvora (FA PON) bez svjetlovode instalacije u zgradi</w:t>
      </w:r>
    </w:p>
    <w:p w:rsidR="00B82EB2" w:rsidRPr="00480501" w:rsidRDefault="00B82EB2" w:rsidP="00766501">
      <w:pPr>
        <w:pStyle w:val="ListParagraph"/>
        <w:numPr>
          <w:ilvl w:val="0"/>
          <w:numId w:val="64"/>
        </w:numPr>
        <w:spacing w:after="120"/>
        <w:jc w:val="both"/>
      </w:pPr>
      <w:r w:rsidRPr="00480501">
        <w:t>najma kućne svjetlovodne instalacije u prostoru krajnjeg korisnika</w:t>
      </w:r>
    </w:p>
    <w:p w:rsidR="00B82EB2" w:rsidRPr="00480501" w:rsidRDefault="00B82EB2" w:rsidP="00766501">
      <w:pPr>
        <w:pStyle w:val="ListParagraph"/>
        <w:numPr>
          <w:ilvl w:val="0"/>
          <w:numId w:val="64"/>
        </w:numPr>
        <w:spacing w:after="120"/>
        <w:jc w:val="both"/>
      </w:pPr>
      <w:r w:rsidRPr="00480501">
        <w:t>najma svjetlovodne niti bez prijenosne opreme (</w:t>
      </w:r>
      <w:proofErr w:type="spellStart"/>
      <w:r w:rsidRPr="00480501">
        <w:t>eng</w:t>
      </w:r>
      <w:proofErr w:type="spellEnd"/>
      <w:r w:rsidRPr="00480501">
        <w:t xml:space="preserve">. </w:t>
      </w:r>
      <w:proofErr w:type="spellStart"/>
      <w:r w:rsidRPr="00480501">
        <w:t>dark</w:t>
      </w:r>
      <w:proofErr w:type="spellEnd"/>
      <w:r w:rsidRPr="00480501">
        <w:t xml:space="preserve"> </w:t>
      </w:r>
      <w:proofErr w:type="spellStart"/>
      <w:r w:rsidRPr="00480501">
        <w:t>fibre</w:t>
      </w:r>
      <w:proofErr w:type="spellEnd"/>
      <w:r w:rsidRPr="00480501">
        <w:t>) u svrhu omogućavanja pristupa operatorima korisnicima do pristupnih točaka, odnosno povezivanja pristupnih točaka i mreže operatora korisnika.</w:t>
      </w:r>
    </w:p>
    <w:p w:rsidR="00B82EB2" w:rsidRPr="00480501" w:rsidRDefault="00B82EB2" w:rsidP="00480501">
      <w:pPr>
        <w:spacing w:after="120"/>
        <w:jc w:val="both"/>
      </w:pPr>
      <w:r w:rsidRPr="00480501">
        <w:t>Cijene su izračunate na temelju BU-LRIC+ troškovnog modela koji je izrađen prema metodološkim načelima koja slijede Preporuku Europske komisije 2013/466/EU a, kako je opisano u dokumentu „Određivanje cijena veleprodajnih usluga na tržištu veleprodajnog lokalnog pristupa koji se pruža na fiksnoj lokaciji (M3a)“ koji je sastavni dio prethodno spomenute odluke.</w:t>
      </w:r>
    </w:p>
    <w:p w:rsidR="00B82EB2" w:rsidRPr="00480501" w:rsidRDefault="00B82EB2" w:rsidP="00480501">
      <w:pPr>
        <w:spacing w:after="120"/>
        <w:jc w:val="both"/>
      </w:pPr>
      <w:r w:rsidRPr="00480501">
        <w:t>Sve definirane cijene predstavljaju najvišu razinu cijena i vrijede tri godine od datuma početka njihove primjene, odnosno vrijede do 1. travnja 2024. Slijedom navedenog, HAKOM ovom analizom tržišta neće definirati nove cijene koje će vrijediti nakon 1. travnja 2024., već će određivanje navedenih veleprodajnih cijena biti predmet zasebnog postupka.</w:t>
      </w:r>
    </w:p>
    <w:p w:rsidR="00B82EB2" w:rsidRDefault="00B82EB2" w:rsidP="00480501">
      <w:pPr>
        <w:spacing w:after="120"/>
        <w:jc w:val="both"/>
      </w:pPr>
      <w:r>
        <w:t xml:space="preserve">Cijene usluga na tržištu veleprodajnog lokalnog pristupa određene su kao najviša razina cijena te ih HT može mijenjati na način da </w:t>
      </w:r>
      <w:r w:rsidRPr="00523379">
        <w:t xml:space="preserve">90 dana prije primjene </w:t>
      </w:r>
      <w:r>
        <w:t xml:space="preserve">novih </w:t>
      </w:r>
      <w:r w:rsidRPr="00523379">
        <w:t xml:space="preserve">veleprodajnih cijena objavi iste unutar Standardne ponude, pri čemu navedene cijene moraju biti na snazi najmanje 12 mjeseci do sljedeće izmjene cijena. </w:t>
      </w:r>
      <w:r w:rsidRPr="00FE46C8">
        <w:t>Iznimno, u slučajevima kada radi ažuriranja testa istiskivanja marže ili promjene pretpostavki testa istiskivanja marže koje provodi HAKOM postojeće maloprodajne ponude više ne zadovoljavaju test istiskivanja marže, ukoliko HT želi sniziti veleprodajne cijene kako bi postojeće maloprodajne ponude mogle zadovoljiti test istiskivanja marže, HT može izmijeniti veleprodajne cijene i u roku kraćem od 90 dana.</w:t>
      </w:r>
    </w:p>
    <w:p w:rsidR="00B82EB2" w:rsidRPr="00480501" w:rsidRDefault="00B82EB2" w:rsidP="00766501">
      <w:pPr>
        <w:pStyle w:val="NormalWeb"/>
        <w:numPr>
          <w:ilvl w:val="0"/>
          <w:numId w:val="40"/>
        </w:numPr>
        <w:spacing w:before="0" w:beforeAutospacing="0" w:after="0" w:afterAutospacing="0"/>
        <w:jc w:val="both"/>
        <w:rPr>
          <w:rFonts w:ascii="Cambria" w:hAnsi="Cambria"/>
          <w:i/>
          <w:iCs/>
          <w:color w:val="1F3864" w:themeColor="accent1" w:themeShade="80"/>
          <w:spacing w:val="15"/>
        </w:rPr>
      </w:pPr>
      <w:r w:rsidRPr="00480501" w:rsidDel="00CF6CE9">
        <w:rPr>
          <w:rFonts w:ascii="Cambria" w:hAnsi="Cambria"/>
          <w:i/>
          <w:iCs/>
          <w:color w:val="1F3864" w:themeColor="accent1" w:themeShade="80"/>
          <w:spacing w:val="15"/>
        </w:rPr>
        <w:t xml:space="preserve">Usluge </w:t>
      </w:r>
      <w:proofErr w:type="spellStart"/>
      <w:r w:rsidRPr="00480501" w:rsidDel="00CF6CE9">
        <w:rPr>
          <w:rFonts w:ascii="Cambria" w:hAnsi="Cambria"/>
          <w:i/>
          <w:iCs/>
          <w:color w:val="1F3864" w:themeColor="accent1" w:themeShade="80"/>
          <w:spacing w:val="15"/>
        </w:rPr>
        <w:t>kolokacije</w:t>
      </w:r>
      <w:proofErr w:type="spellEnd"/>
    </w:p>
    <w:p w:rsidR="00B82EB2" w:rsidRPr="00436AF4" w:rsidRDefault="00B82EB2" w:rsidP="00B82EB2">
      <w:pPr>
        <w:pStyle w:val="NormalWeb"/>
        <w:spacing w:before="0" w:beforeAutospacing="0" w:after="0" w:afterAutospacing="0"/>
        <w:ind w:left="720"/>
        <w:jc w:val="both"/>
        <w:rPr>
          <w:rFonts w:ascii="Cambria" w:hAnsi="Cambria"/>
          <w:i/>
          <w:iCs/>
          <w:color w:val="4F81BD"/>
          <w:spacing w:val="15"/>
        </w:rPr>
      </w:pPr>
    </w:p>
    <w:p w:rsidR="00B82EB2" w:rsidRPr="00480501" w:rsidRDefault="00B82EB2" w:rsidP="00480501">
      <w:pPr>
        <w:spacing w:after="120"/>
        <w:jc w:val="both"/>
      </w:pPr>
      <w:r w:rsidRPr="00480501">
        <w:t xml:space="preserve">HT je obvezan naplaćivati sve cijene koje se odnose na pružanje usluga </w:t>
      </w:r>
      <w:proofErr w:type="spellStart"/>
      <w:r w:rsidRPr="00480501">
        <w:t>kolokacije</w:t>
      </w:r>
      <w:proofErr w:type="spellEnd"/>
      <w:r w:rsidRPr="00480501">
        <w:t xml:space="preserve"> u skladu s regulatornim obvezama transparentnosti, nediskriminacije i troškovne usmjerenosti. Za dokazivanje utemeljenosti cijena tih usluga na načelima troškovne usmjerenosti odgovoran je HT koji pruža usluge </w:t>
      </w:r>
      <w:proofErr w:type="spellStart"/>
      <w:r w:rsidRPr="00480501">
        <w:t>kolokacije</w:t>
      </w:r>
      <w:proofErr w:type="spellEnd"/>
      <w:r w:rsidRPr="00480501">
        <w:t xml:space="preserve">. Raspodjela troškova kod pripreme i stavljanja na raspolaganje </w:t>
      </w:r>
      <w:proofErr w:type="spellStart"/>
      <w:r w:rsidRPr="00480501">
        <w:t>kolokacijskih</w:t>
      </w:r>
      <w:proofErr w:type="spellEnd"/>
      <w:r w:rsidRPr="00480501">
        <w:t xml:space="preserve"> prostora ostaje vrijediti kako je definirano u Standardnoj ponudi HT-a za uslugu izdvojenog pristupa lokalnoj petlji.</w:t>
      </w:r>
    </w:p>
    <w:p w:rsidR="00B82EB2" w:rsidRPr="00480501" w:rsidRDefault="00B82EB2" w:rsidP="00766501">
      <w:pPr>
        <w:pStyle w:val="NormalWeb"/>
        <w:numPr>
          <w:ilvl w:val="0"/>
          <w:numId w:val="40"/>
        </w:numPr>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Usluga povezivanja mreže operatora korisnika i pristupnih točaka (</w:t>
      </w:r>
      <w:proofErr w:type="spellStart"/>
      <w:r w:rsidRPr="00480501">
        <w:rPr>
          <w:rFonts w:ascii="Cambria" w:hAnsi="Cambria"/>
          <w:i/>
          <w:iCs/>
          <w:color w:val="1F3864" w:themeColor="accent1" w:themeShade="80"/>
          <w:spacing w:val="15"/>
        </w:rPr>
        <w:t>backhaul</w:t>
      </w:r>
      <w:proofErr w:type="spellEnd"/>
      <w:r w:rsidRPr="00480501">
        <w:rPr>
          <w:rFonts w:ascii="Cambria" w:hAnsi="Cambria"/>
          <w:i/>
          <w:iCs/>
          <w:color w:val="1F3864" w:themeColor="accent1" w:themeShade="80"/>
          <w:spacing w:val="15"/>
        </w:rPr>
        <w:t>)</w:t>
      </w:r>
    </w:p>
    <w:p w:rsidR="00B82EB2" w:rsidRPr="004534E7" w:rsidRDefault="00B82EB2" w:rsidP="00B82EB2">
      <w:pPr>
        <w:jc w:val="both"/>
        <w:rPr>
          <w:rFonts w:asciiTheme="minorHAnsi" w:hAnsiTheme="minorHAnsi" w:cstheme="minorHAnsi"/>
        </w:rPr>
      </w:pPr>
    </w:p>
    <w:p w:rsidR="00B82EB2" w:rsidRPr="00480501" w:rsidRDefault="00B82EB2" w:rsidP="00480501">
      <w:pPr>
        <w:spacing w:after="120"/>
        <w:jc w:val="both"/>
      </w:pPr>
      <w:r w:rsidRPr="00480501">
        <w:t>U skladu s regulatornom obvezom pristupa koja je određena ovim dokumentom HT je obvezan u roku od 60 dana od stupanja na snagu ove analize unutar Standardne ponude HT-a za uslugu izdvojenog pristupa lokalnoj petlji i Standardne ponude za uslugu izdvojenog pristupa lokalnoj petlji na temelju svjetlovodne niti ugraditi cijene za navedene usluge koje se odnose na mjesečni najam i sve prateće usluge, pri čemu se cijene za koje je određena obveza troškovne usmjerenosti određuju na temelju rezultata iz troškovnih modela.</w:t>
      </w:r>
    </w:p>
    <w:p w:rsidR="00B82EB2" w:rsidRDefault="00B82EB2" w:rsidP="00B82EB2">
      <w:pPr>
        <w:jc w:val="both"/>
      </w:pPr>
    </w:p>
    <w:p w:rsidR="00B82EB2" w:rsidRPr="00480501" w:rsidRDefault="00B82EB2" w:rsidP="00766501">
      <w:pPr>
        <w:pStyle w:val="NormalWeb"/>
        <w:numPr>
          <w:ilvl w:val="0"/>
          <w:numId w:val="40"/>
        </w:numPr>
        <w:spacing w:before="0" w:beforeAutospacing="0" w:after="0" w:afterAutospacing="0"/>
        <w:jc w:val="both"/>
        <w:rPr>
          <w:rFonts w:ascii="Cambria" w:hAnsi="Cambria"/>
          <w:i/>
          <w:iCs/>
          <w:color w:val="1F3864" w:themeColor="accent1" w:themeShade="80"/>
          <w:spacing w:val="15"/>
        </w:rPr>
      </w:pPr>
      <w:r w:rsidRPr="00480501">
        <w:rPr>
          <w:rFonts w:ascii="Cambria" w:hAnsi="Cambria"/>
          <w:i/>
          <w:iCs/>
          <w:color w:val="1F3864" w:themeColor="accent1" w:themeShade="80"/>
          <w:spacing w:val="15"/>
        </w:rPr>
        <w:t xml:space="preserve">Usluga pristupa i zajedničkog korištenja EKI (kabelske kanalizacije) </w:t>
      </w:r>
    </w:p>
    <w:p w:rsidR="00B82EB2" w:rsidRPr="00C1659A" w:rsidRDefault="00B82EB2" w:rsidP="00B82EB2">
      <w:pPr>
        <w:pStyle w:val="NormalWeb"/>
        <w:spacing w:before="0" w:beforeAutospacing="0" w:after="0" w:afterAutospacing="0"/>
        <w:ind w:left="720"/>
        <w:jc w:val="both"/>
        <w:rPr>
          <w:rFonts w:ascii="Cambria" w:hAnsi="Cambria"/>
          <w:i/>
          <w:iCs/>
          <w:color w:val="4F81BD"/>
          <w:spacing w:val="15"/>
        </w:rPr>
      </w:pPr>
    </w:p>
    <w:p w:rsidR="00B82EB2" w:rsidRDefault="00B82EB2" w:rsidP="00480501">
      <w:pPr>
        <w:spacing w:after="120"/>
        <w:jc w:val="both"/>
      </w:pPr>
      <w:r>
        <w:t>C</w:t>
      </w:r>
      <w:r w:rsidRPr="00E64B3E">
        <w:t xml:space="preserve">ijene usluge pristupa i zajedničkog korištenja EKI (kabelske kanalizacije) HT-a određene su uz primjenu načela troškovne usmjerenosti na temelju troškova gradnje i održavanja elektroničke komunikacijske infrastrukture i povezane opreme, uz primjerenu stopu povrata na ulaganja </w:t>
      </w:r>
      <w:r>
        <w:t>k</w:t>
      </w:r>
      <w:r w:rsidRPr="00E64B3E">
        <w:t>ako je propisano odlukom HAKOM-a KLASA: 344-01/09-01/965, URBROJ: 376-04-10-10 od 05. veljače 2010</w:t>
      </w:r>
      <w:r>
        <w:t>. Kod određivanja navedenih</w:t>
      </w:r>
      <w:r w:rsidRPr="00F71DDA">
        <w:t xml:space="preserve"> cijena HAKOM nije imao izrađen BU-LRIC+ troškovni model</w:t>
      </w:r>
      <w:r>
        <w:t>, stoga</w:t>
      </w:r>
      <w:r w:rsidRPr="00F71DDA">
        <w:t xml:space="preserve"> te cijene nisu određene temeljem rezultata BU-LRIC+ troškovnog modela HAKOM-a.</w:t>
      </w:r>
      <w:r>
        <w:t xml:space="preserve"> U</w:t>
      </w:r>
      <w:r w:rsidRPr="00715F7D">
        <w:t xml:space="preserve"> 2020. </w:t>
      </w:r>
      <w:r>
        <w:t xml:space="preserve">HAKOM je </w:t>
      </w:r>
      <w:r w:rsidRPr="00715F7D">
        <w:t>izradio novi BU-LRIC+ troškovni model koji odražava trenutne realnosti HT-ove mreže nepokretnih komunikacija te koji omogućuje i izračun cijena usluge pristupa i zajedničkog korištenja EKI (kabelske kanalizacije) HT-a. Na temelju rezultata novoga BU-LRIC+ troškovnog modela određene su cijene svih reguliranih usluga u čiji izračun su uključeni troškovi kabelske kanalizacije</w:t>
      </w:r>
      <w:r>
        <w:t>, izuzev</w:t>
      </w:r>
      <w:r w:rsidRPr="00715F7D">
        <w:t xml:space="preserve"> usluge pristupa i zajedničkog korištenja EKI (kabelske kanalizacije) HT-a.</w:t>
      </w:r>
    </w:p>
    <w:p w:rsidR="00B82EB2" w:rsidRDefault="00B82EB2" w:rsidP="00480501">
      <w:pPr>
        <w:spacing w:after="120"/>
        <w:jc w:val="both"/>
      </w:pPr>
      <w:r>
        <w:t xml:space="preserve">Stoga </w:t>
      </w:r>
      <w:r w:rsidRPr="00300A26">
        <w:t xml:space="preserve">HAKOM </w:t>
      </w:r>
      <w:r>
        <w:t>smatra</w:t>
      </w:r>
      <w:r w:rsidRPr="00300A26">
        <w:t xml:space="preserve"> da </w:t>
      </w:r>
      <w:r>
        <w:t xml:space="preserve">je </w:t>
      </w:r>
      <w:r w:rsidRPr="00300A26">
        <w:t>cijene</w:t>
      </w:r>
      <w:r>
        <w:t xml:space="preserve"> </w:t>
      </w:r>
      <w:r w:rsidRPr="00300A26">
        <w:t>usluge pristupa i zajedničkog korištenja EKI (kabelske kanalizacije) HT-</w:t>
      </w:r>
      <w:r>
        <w:t>a također potrebno odrediti</w:t>
      </w:r>
      <w:r w:rsidRPr="00300A26">
        <w:t xml:space="preserve"> </w:t>
      </w:r>
      <w:r>
        <w:t xml:space="preserve">uz primjenu načela troškovne usmjerenosti </w:t>
      </w:r>
      <w:r w:rsidRPr="00300A26">
        <w:t xml:space="preserve">temeljem rezultata BU-LRIC+ troškovnog modela HAKOM-a. </w:t>
      </w:r>
      <w:r>
        <w:t>Obveza</w:t>
      </w:r>
      <w:r w:rsidRPr="00300A26">
        <w:t xml:space="preserve"> troškovne usmjerenosti cijena pristupa i zajedničkog korištenja fizičke infrastrukture </w:t>
      </w:r>
      <w:r>
        <w:t>onemogućit će</w:t>
      </w:r>
      <w:r w:rsidRPr="00300A26">
        <w:t xml:space="preserve"> HT </w:t>
      </w:r>
      <w:r>
        <w:t>da odredi</w:t>
      </w:r>
      <w:r w:rsidRPr="00300A26">
        <w:t xml:space="preserve"> cijene pristupa </w:t>
      </w:r>
      <w:r>
        <w:t xml:space="preserve">na razini koja bi </w:t>
      </w:r>
      <w:r w:rsidRPr="00300A26">
        <w:t>pristup i zajedničko korištenje fizičke infrastrukture alternativnim operatorima činil</w:t>
      </w:r>
      <w:r>
        <w:t>a</w:t>
      </w:r>
      <w:r w:rsidRPr="00300A26">
        <w:t xml:space="preserve"> neisplativim što bi samu obvezu omogućavanja pristupa i zajedničkog korištenja također učinilo neučinkovitom.</w:t>
      </w:r>
    </w:p>
    <w:p w:rsidR="00B82EB2" w:rsidRPr="00300A26" w:rsidRDefault="00B82EB2" w:rsidP="00480501">
      <w:pPr>
        <w:spacing w:after="120"/>
        <w:jc w:val="both"/>
      </w:pPr>
      <w:r w:rsidRPr="00715F7D">
        <w:t>HAKOM će tijekom 2023. ažurirati BU-LRIC+ troškovni model s novim ulaznim podacima kako bi odražavao realnosti HT-ove mreže te će odrediti nove veleprodajne cijene koje će stupiti na snagu tijekom 2024., pri čemu će odrediti i cijene usluge pristupa i zajedničkog korištenja EKI (kabelske kanalizacije) HT-a. Do stupanja na snagu novih cijena usluge pristupa i zajedničkog korištenja EKI (kabelske kanalizacije) HT-a primjenjivat će se cijene objavljene u trenutno važećoj standardnoj ponudi HT-a za uslugu pristupa i zajedničkog korištenja EKI (kabelske kanalizacije) HT-a</w:t>
      </w:r>
      <w:r>
        <w:t>.</w:t>
      </w:r>
      <w:r w:rsidRPr="00715F7D">
        <w:t xml:space="preserve"> </w:t>
      </w:r>
    </w:p>
    <w:p w:rsidR="00B82EB2" w:rsidRDefault="00B82EB2" w:rsidP="00B82EB2">
      <w:pPr>
        <w:jc w:val="both"/>
        <w:rPr>
          <w:lang w:eastAsia="hr-HR"/>
        </w:rPr>
      </w:pPr>
    </w:p>
    <w:p w:rsidR="00B82EB2" w:rsidRPr="00FE46C8" w:rsidRDefault="00B82EB2" w:rsidP="00766501">
      <w:pPr>
        <w:pStyle w:val="NormalWeb"/>
        <w:numPr>
          <w:ilvl w:val="0"/>
          <w:numId w:val="40"/>
        </w:numPr>
        <w:spacing w:before="0" w:beforeAutospacing="0" w:after="0" w:afterAutospacing="0"/>
        <w:jc w:val="both"/>
        <w:rPr>
          <w:rFonts w:ascii="Cambria" w:hAnsi="Cambria"/>
          <w:i/>
          <w:iCs/>
          <w:color w:val="4F81BD"/>
          <w:spacing w:val="15"/>
        </w:rPr>
      </w:pPr>
      <w:r w:rsidRPr="00480501">
        <w:rPr>
          <w:rFonts w:ascii="Cambria" w:hAnsi="Cambria"/>
          <w:i/>
          <w:iCs/>
          <w:color w:val="1F3864" w:themeColor="accent1" w:themeShade="80"/>
          <w:spacing w:val="15"/>
        </w:rPr>
        <w:t>Jednokratne naknade</w:t>
      </w:r>
      <w:r w:rsidRPr="00FE46C8">
        <w:rPr>
          <w:rFonts w:ascii="Cambria" w:hAnsi="Cambria"/>
          <w:i/>
          <w:iCs/>
          <w:color w:val="4F81BD"/>
          <w:spacing w:val="15"/>
        </w:rPr>
        <w:tab/>
      </w:r>
    </w:p>
    <w:p w:rsidR="00B82EB2" w:rsidRPr="00C1659A" w:rsidRDefault="00B82EB2" w:rsidP="00B82EB2">
      <w:pPr>
        <w:pStyle w:val="ListParagraph"/>
        <w:jc w:val="both"/>
        <w:rPr>
          <w:rFonts w:ascii="Cambria" w:hAnsi="Cambria" w:cstheme="minorBidi"/>
          <w:b/>
          <w:bCs/>
          <w:i/>
          <w:color w:val="4F81BD"/>
          <w:szCs w:val="22"/>
        </w:rPr>
      </w:pPr>
    </w:p>
    <w:p w:rsidR="00B82EB2" w:rsidRPr="00C22A1C" w:rsidRDefault="00B82EB2" w:rsidP="00480501">
      <w:pPr>
        <w:spacing w:after="120"/>
        <w:jc w:val="both"/>
      </w:pPr>
      <w:r w:rsidRPr="00C22A1C">
        <w:t xml:space="preserve">Veleprodajne naknade koje se naplaćuju za jednokratne aktivnosti koje HT odrađuje kod pružanja veleprodajnih usluga također se određuju u zasebnom postupku. Jednokratne naknade za usluge na </w:t>
      </w:r>
      <w:r w:rsidR="00F721BF">
        <w:t>T</w:t>
      </w:r>
      <w:r w:rsidRPr="00C22A1C">
        <w:t>ržištu veleprodajnog lokalnog pristupa koji se pruža na fiksnoj lokaciji određene su odlukom HAKOM-a iz prosinca 2022. Izračun cijene jednokratnih naknada HT-a, za razliku od mjesečnih naknada ne temelji se na rezultatima BU-LRIC+ troškovnog modela, nego se sastoji od specifikacije aktivnosti koje su potrebne za realizaciju pojedinog veleprodajnog zahtjeva, specifikacije zadataka koje je potrebno odraditi u mreži HT-a te internog troška sata rada zaposlenika HT-a koji obavljaju potrebne aktivnosti. Tako određene jednokratne naknade primjenjuju se od 1. travnja 2023. godine. Budući da je Europska Komisija u postupku notifikacije odluke o određivanju jednokratnih naknada imala primjedbu da je potrebno pravodobno revidirati regulirane cijene, odnosno pozvala je HAKOM da razmotri novo preispitivanje jednokratnih naknada nakon ažuriranja BU-LRIC+ troškovnog modela u 2023. ako obveza nadzora cijena u trenutačnom obliku ostane opravdana te da u svakom slučaju postupak izmjene jednokratnih naknada provede najkasnije u roku od pet godina,  HAKOM će nakon ažuriranja BU-LRIC+ troškovnog modela koje će se provesti tijekom 2023., preispitati i potrebu za ažuriranjem jednokratnih naknada te će, po potrebi,  pravodobno provesti odgovarajući postupak njihovog ažuriranja.</w:t>
      </w:r>
    </w:p>
    <w:p w:rsidR="00B82EB2" w:rsidRDefault="00B82EB2" w:rsidP="00B82EB2">
      <w:pPr>
        <w:jc w:val="both"/>
        <w:rPr>
          <w:lang w:eastAsia="hr-HR"/>
        </w:rPr>
      </w:pPr>
    </w:p>
    <w:p w:rsidR="00480501" w:rsidRPr="00300A26" w:rsidRDefault="00480501" w:rsidP="00B82EB2">
      <w:pPr>
        <w:jc w:val="both"/>
        <w:rPr>
          <w:lang w:eastAsia="hr-HR"/>
        </w:rPr>
      </w:pPr>
    </w:p>
    <w:p w:rsidR="00B82EB2" w:rsidRPr="00480501" w:rsidRDefault="00B82EB2" w:rsidP="00B82EB2">
      <w:pPr>
        <w:pStyle w:val="NormalWeb"/>
        <w:spacing w:before="0" w:beforeAutospacing="0" w:after="0" w:afterAutospacing="0"/>
        <w:jc w:val="both"/>
        <w:rPr>
          <w:rFonts w:ascii="Cambria" w:hAnsi="Cambria"/>
          <w:b/>
          <w:i/>
          <w:iCs/>
          <w:color w:val="1F3864" w:themeColor="accent1" w:themeShade="80"/>
          <w:spacing w:val="15"/>
        </w:rPr>
      </w:pPr>
      <w:r w:rsidRPr="00480501">
        <w:rPr>
          <w:rFonts w:ascii="Cambria" w:hAnsi="Cambria"/>
          <w:b/>
          <w:i/>
          <w:iCs/>
          <w:color w:val="1F3864" w:themeColor="accent1" w:themeShade="80"/>
          <w:spacing w:val="15"/>
        </w:rPr>
        <w:t>Test istiskivanja marže</w:t>
      </w:r>
    </w:p>
    <w:p w:rsidR="00B82EB2" w:rsidRDefault="00B82EB2" w:rsidP="00B82EB2">
      <w:pPr>
        <w:jc w:val="both"/>
        <w:rPr>
          <w:lang w:eastAsia="hr-HR"/>
        </w:rPr>
      </w:pPr>
    </w:p>
    <w:p w:rsidR="00EA22C2" w:rsidRPr="00480501" w:rsidRDefault="00B82EB2" w:rsidP="00480501">
      <w:pPr>
        <w:spacing w:after="120"/>
        <w:jc w:val="both"/>
      </w:pPr>
      <w:r w:rsidRPr="00480501">
        <w:t xml:space="preserve">S obzirom da obveza troškovne usmjerenosti veleprodajnih cijena koju je HAKOM odredio HT-u na </w:t>
      </w:r>
      <w:r w:rsidR="00F721BF" w:rsidRPr="00480501">
        <w:t>Tržištu</w:t>
      </w:r>
      <w:r w:rsidRPr="00480501">
        <w:t xml:space="preserve"> malog kapaciteta i </w:t>
      </w:r>
      <w:r w:rsidR="00F721BF" w:rsidRPr="00480501">
        <w:t>T</w:t>
      </w:r>
      <w:r w:rsidRPr="00480501">
        <w:t>ržištu velikog kapaciteta – nekonkurentna područja</w:t>
      </w:r>
      <w:r w:rsidR="009236BC" w:rsidRPr="00480501">
        <w:t xml:space="preserve"> u </w:t>
      </w:r>
      <w:proofErr w:type="spellStart"/>
      <w:r w:rsidR="00F721BF" w:rsidRPr="00480501">
        <w:t>Klaster</w:t>
      </w:r>
      <w:r w:rsidR="009236BC" w:rsidRPr="00480501">
        <w:t>u</w:t>
      </w:r>
      <w:proofErr w:type="spellEnd"/>
      <w:r w:rsidRPr="00480501">
        <w:t xml:space="preserve"> A ne može spriječiti HT da sam putem svog maloprodajnog dijela, ili putem Iskona </w:t>
      </w:r>
      <w:r>
        <w:t xml:space="preserve">koji je pod njegovim nadzorom, </w:t>
      </w:r>
      <w:r w:rsidRPr="00480501">
        <w:t xml:space="preserve">narušava tržišno natjecanje na usko povezanoj maloprodajnoj razini istiskivanjem marže, te s obzirom da HAKOM nije odredio HT-u troškovnu usmjerenost veleprodajnih cijena na </w:t>
      </w:r>
      <w:r w:rsidR="00F721BF" w:rsidRPr="00480501">
        <w:t>T</w:t>
      </w:r>
      <w:r w:rsidRPr="00480501">
        <w:t>ržištu velikog kapaciteta – nekonkurentna područja</w:t>
      </w:r>
      <w:r w:rsidR="009236BC" w:rsidRPr="00480501">
        <w:t xml:space="preserve"> u </w:t>
      </w:r>
      <w:proofErr w:type="spellStart"/>
      <w:r w:rsidR="00F721BF" w:rsidRPr="00480501">
        <w:t>Klaster</w:t>
      </w:r>
      <w:r w:rsidR="009236BC" w:rsidRPr="00480501">
        <w:t>u</w:t>
      </w:r>
      <w:proofErr w:type="spellEnd"/>
      <w:r w:rsidRPr="00480501">
        <w:t xml:space="preserve"> B, HAKOM smatra potrebnim uz gore navedene obveze, odrediti HT-u i Iskonu obvezu provođenja testa istiskivanja marže </w:t>
      </w:r>
      <w:r w:rsidRPr="00DC6C2D">
        <w:t>u odnosu na pripadajuće maloprodajne cijene</w:t>
      </w:r>
      <w:r w:rsidRPr="00480501">
        <w:t xml:space="preserve">. </w:t>
      </w:r>
      <w:r w:rsidR="00EA22C2" w:rsidRPr="00480501">
        <w:t>Kako bi se izbjegla situacija da HT putem nižih maloprodajnih cijena društava pod njegovim nadzorom istiskuje druge operatore s tržišta, obveza provođenja MS testa odnosi se na društvo pod nadzorom HT-a neovisno o tome pruža li se maloprodajna usluga putem korištenja reguliranog veleprodajnog proizvoda HT-a ili putem vlastite infrastrukture HT-ovog povezanog društva.</w:t>
      </w:r>
    </w:p>
    <w:p w:rsidR="00B82EB2" w:rsidRDefault="00B82EB2" w:rsidP="00480501">
      <w:pPr>
        <w:spacing w:after="120"/>
        <w:jc w:val="both"/>
      </w:pPr>
      <w:r w:rsidRPr="00F10492">
        <w:t xml:space="preserve">HT i Iskon </w:t>
      </w:r>
      <w:r>
        <w:t>obvezni</w:t>
      </w:r>
      <w:r w:rsidRPr="00F10492">
        <w:t xml:space="preserve"> su test istiskivanja marže za uslugu širokopojasnog pristupa internetu </w:t>
      </w:r>
      <w:r>
        <w:t>i usko povezanu IPTV uslugu,</w:t>
      </w:r>
      <w:r w:rsidRPr="00F10492">
        <w:t xml:space="preserve"> neovisno o tome pruža li se ista samostalno ili kao dio paketa s drugim elektroničkim komunikacijskim uslugama, provoditi u skladu s dokumentom</w:t>
      </w:r>
      <w:r w:rsidRPr="0026566B">
        <w:t xml:space="preserve"> </w:t>
      </w:r>
      <w:r>
        <w:t>koji definira način i uvjete provođenja testa istiskivanja marže</w:t>
      </w:r>
      <w:r w:rsidRPr="00480501">
        <w:footnoteReference w:id="65"/>
      </w:r>
      <w:r w:rsidRPr="00480501">
        <w:t>, kao i svim njegovim naknadnim izmjenama</w:t>
      </w:r>
      <w:r w:rsidRPr="00F10492">
        <w:t>.</w:t>
      </w:r>
      <w:r>
        <w:t xml:space="preserve"> </w:t>
      </w:r>
      <w:r w:rsidRPr="007F78B7">
        <w:t>S obzirom da je HAKOM</w:t>
      </w:r>
      <w:r>
        <w:t xml:space="preserve"> na </w:t>
      </w:r>
      <w:r w:rsidR="00F721BF">
        <w:t>T</w:t>
      </w:r>
      <w:r>
        <w:t>r</w:t>
      </w:r>
      <w:r w:rsidRPr="004A7EBF">
        <w:t>žišt</w:t>
      </w:r>
      <w:r>
        <w:t>u</w:t>
      </w:r>
      <w:r w:rsidRPr="004A7EBF">
        <w:t xml:space="preserve"> velikog </w:t>
      </w:r>
      <w:r w:rsidRPr="00394E58">
        <w:t xml:space="preserve">kapaciteta – nekonkurentna područja utvrdio kako HT nema snažan položaj na tržištu u istoj mjeri kao i na </w:t>
      </w:r>
      <w:r w:rsidR="00F721BF">
        <w:t>T</w:t>
      </w:r>
      <w:r w:rsidRPr="00394E58">
        <w:t>ržištu malog</w:t>
      </w:r>
      <w:r>
        <w:t xml:space="preserve"> kapaciteta</w:t>
      </w:r>
      <w:r w:rsidRPr="007F78B7">
        <w:t xml:space="preserve">, HAKOM </w:t>
      </w:r>
      <w:r>
        <w:t>će u zasebnom postupku razmotriti prilagodbu</w:t>
      </w:r>
      <w:r w:rsidRPr="008B3207">
        <w:t xml:space="preserve"> </w:t>
      </w:r>
      <w:r>
        <w:t>načina i uvjeta provođenja testa istiskivanja marže za pakete na svjetlovodu.</w:t>
      </w:r>
    </w:p>
    <w:p w:rsidR="00B82EB2" w:rsidRPr="00480501" w:rsidRDefault="00B82EB2" w:rsidP="00480501">
      <w:pPr>
        <w:spacing w:after="120"/>
        <w:jc w:val="both"/>
      </w:pPr>
      <w:r w:rsidRPr="00480501">
        <w:t xml:space="preserve">Kako bi HAKOM mogao pravovremeno utvrditi postoji li istiskivanje marže, HT i Iskon obvezni su maloprodajne cijene za navedene usluge, uz podatke potrebne za provođenje testa istiskivanja marže za te cijene, dostaviti HAKOM-u na uvid najkasnije 20 dana prije njihove objave. </w:t>
      </w:r>
    </w:p>
    <w:p w:rsidR="00B82EB2" w:rsidRPr="00A6491C" w:rsidRDefault="00B82EB2" w:rsidP="00480501">
      <w:pPr>
        <w:spacing w:after="120"/>
        <w:jc w:val="both"/>
      </w:pPr>
      <w:r w:rsidRPr="00A6491C">
        <w:t>Cijene gore navedenih usluga koje namjeravaju ponuditi u postupku javne nabave kao i posebne cijene usluga za poslovne korisnike HT</w:t>
      </w:r>
      <w:r>
        <w:t xml:space="preserve"> i </w:t>
      </w:r>
      <w:r w:rsidRPr="00A6491C">
        <w:t xml:space="preserve">Iskon </w:t>
      </w:r>
      <w:r>
        <w:t xml:space="preserve">su </w:t>
      </w:r>
      <w:r w:rsidRPr="00A6491C">
        <w:t>obvezni</w:t>
      </w:r>
      <w:r>
        <w:t>,</w:t>
      </w:r>
      <w:r w:rsidRPr="00A6491C">
        <w:t xml:space="preserve"> uz dokaz da je test istiskivanja marže za navedene cijene zadovoljen, dostaviti HAKOM-u na zahtjev.</w:t>
      </w:r>
    </w:p>
    <w:p w:rsidR="00B82EB2" w:rsidRDefault="00B82EB2" w:rsidP="00480501">
      <w:pPr>
        <w:spacing w:after="120"/>
        <w:jc w:val="both"/>
      </w:pPr>
      <w:r w:rsidRPr="00A6491C">
        <w:t>HT</w:t>
      </w:r>
      <w:r>
        <w:t xml:space="preserve"> i </w:t>
      </w:r>
      <w:r w:rsidRPr="00A6491C">
        <w:t xml:space="preserve">Iskon </w:t>
      </w:r>
      <w:r>
        <w:t>su obvezni</w:t>
      </w:r>
      <w:r w:rsidRPr="00A6491C">
        <w:t xml:space="preserve"> HAKOM-u dostavljati na tromjesečnoj razini listu ponuda ponuđenih u postupcima javnih nabava i posebnih ponuda ponuđenih poslovnim korisnicima unutar tog razdoblja, </w:t>
      </w:r>
      <w:r>
        <w:t xml:space="preserve">i to </w:t>
      </w:r>
      <w:r w:rsidRPr="00A6491C">
        <w:t xml:space="preserve">najkasnije u roku 15 dana od isteka tromjesečja. </w:t>
      </w:r>
    </w:p>
    <w:p w:rsidR="00B82EB2" w:rsidRPr="00F5293C" w:rsidRDefault="00B82EB2" w:rsidP="00480501">
      <w:pPr>
        <w:spacing w:after="120"/>
        <w:jc w:val="both"/>
      </w:pPr>
      <w:r w:rsidRPr="00F5293C">
        <w:t>Ukoliko HAKOM u ostavljenom roku utvrdi da predložene cijene nemaju zadovoljavajuću marg</w:t>
      </w:r>
      <w:r>
        <w:t>inu, o istom će obavijestiti HT i</w:t>
      </w:r>
      <w:r w:rsidRPr="00F5293C">
        <w:t xml:space="preserve"> Iskon, a HT</w:t>
      </w:r>
      <w:r>
        <w:t xml:space="preserve"> i</w:t>
      </w:r>
      <w:r w:rsidRPr="00F5293C">
        <w:t xml:space="preserve"> Iskon su obvezni iste bez odgode korigirati. </w:t>
      </w:r>
    </w:p>
    <w:p w:rsidR="00B82EB2" w:rsidRDefault="00B82EB2" w:rsidP="00480501">
      <w:pPr>
        <w:spacing w:after="120"/>
        <w:jc w:val="both"/>
      </w:pPr>
      <w:r w:rsidRPr="00F5293C">
        <w:t>Maloprodajne cijene usluge širokopojasnog pristupa internetu (osim onih koje se nude u postupcima javnih nabava</w:t>
      </w:r>
      <w:r w:rsidRPr="00480501">
        <w:t>, kao i posebne cijene za poslovne korisnike</w:t>
      </w:r>
      <w:r>
        <w:t>) HT i</w:t>
      </w:r>
      <w:r w:rsidRPr="00F10492">
        <w:t xml:space="preserve"> Iskon </w:t>
      </w:r>
      <w:r>
        <w:t>su</w:t>
      </w:r>
      <w:r w:rsidRPr="00F10492">
        <w:t xml:space="preserve"> obvezni objaviti na svojim internetskim stranicama. </w:t>
      </w:r>
      <w:r>
        <w:br w:type="page"/>
      </w:r>
    </w:p>
    <w:p w:rsidR="00B82EB2" w:rsidRPr="00E970CD" w:rsidRDefault="00B82EB2" w:rsidP="00E970CD">
      <w:pPr>
        <w:pStyle w:val="Heading2"/>
      </w:pPr>
      <w:bookmarkStart w:id="676" w:name="_Toc124928642"/>
      <w:bookmarkStart w:id="677" w:name="_Toc124946984"/>
      <w:bookmarkStart w:id="678" w:name="_Toc124948894"/>
      <w:bookmarkStart w:id="679" w:name="_Toc124951789"/>
      <w:bookmarkStart w:id="680" w:name="_Toc125644948"/>
      <w:r w:rsidRPr="00E970CD">
        <w:t>Obveza raču</w:t>
      </w:r>
      <w:r w:rsidR="00FD6BFE" w:rsidRPr="00E970CD">
        <w:t>n</w:t>
      </w:r>
      <w:r w:rsidRPr="00E970CD">
        <w:t>ovodstvenog razdvajanja</w:t>
      </w:r>
      <w:bookmarkEnd w:id="676"/>
      <w:bookmarkEnd w:id="677"/>
      <w:bookmarkEnd w:id="678"/>
      <w:bookmarkEnd w:id="679"/>
      <w:bookmarkEnd w:id="680"/>
    </w:p>
    <w:p w:rsidR="00B82EB2" w:rsidRPr="00E970CD" w:rsidRDefault="00B82EB2" w:rsidP="00480501">
      <w:pPr>
        <w:spacing w:after="120"/>
        <w:jc w:val="both"/>
      </w:pPr>
      <w:r w:rsidRPr="00E970CD">
        <w:t>HAKOM može odrediti operatorima sa značajnom tržišnom snagom obvezu računovodstvenog razdvajanja određenih djelatnosti u vezi s međupovezivanjem i/ili pristupom</w:t>
      </w:r>
      <w:r w:rsidR="00480501">
        <w:t>.</w:t>
      </w:r>
    </w:p>
    <w:p w:rsidR="00B82EB2" w:rsidRPr="00E970CD" w:rsidRDefault="00B82EB2" w:rsidP="00480501">
      <w:pPr>
        <w:spacing w:after="120"/>
        <w:jc w:val="both"/>
      </w:pPr>
      <w:r w:rsidRPr="00E970CD">
        <w:t>HAKOM osobito može zatražiti od vertikalno integriranog operatora da učini transparentnim svoje veleprodajne cijene i transferne naknade, osobito kako bi se osiguralo ispunjavanje obveze nediskriminacije, ili prema potrebi, spriječilo nepravedno međusob</w:t>
      </w:r>
      <w:r w:rsidR="00480501">
        <w:t>no subvencioniranje.</w:t>
      </w:r>
    </w:p>
    <w:p w:rsidR="00B82EB2" w:rsidRPr="00E970CD" w:rsidRDefault="00B82EB2" w:rsidP="00480501">
      <w:pPr>
        <w:spacing w:after="120"/>
        <w:jc w:val="both"/>
      </w:pPr>
      <w:r w:rsidRPr="00E970CD">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w:t>
      </w:r>
      <w:r w:rsidR="00480501">
        <w:t>a sa značajnom tržišnom snagom.</w:t>
      </w:r>
    </w:p>
    <w:p w:rsidR="00B82EB2" w:rsidRPr="00E970CD" w:rsidRDefault="00B82EB2" w:rsidP="00480501">
      <w:pPr>
        <w:spacing w:after="120"/>
        <w:jc w:val="both"/>
      </w:pPr>
      <w:r w:rsidRPr="00E970CD">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w:t>
      </w:r>
      <w:r w:rsidR="00480501">
        <w:t>zak novih operatora na tržište.</w:t>
      </w:r>
    </w:p>
    <w:p w:rsidR="00B82EB2" w:rsidRPr="00E970CD" w:rsidRDefault="00B82EB2" w:rsidP="00480501">
      <w:pPr>
        <w:spacing w:after="120"/>
        <w:jc w:val="both"/>
      </w:pPr>
      <w:r w:rsidRPr="00E970CD">
        <w:t>Način i postupak vođenja razdvojenog računovodstva mogu se pobliž</w:t>
      </w:r>
      <w:r w:rsidR="00480501">
        <w:t>e utvrditi odlukom HAKOM-a.</w:t>
      </w:r>
    </w:p>
    <w:p w:rsidR="00B82EB2" w:rsidRPr="00E970CD" w:rsidRDefault="00B82EB2" w:rsidP="00480501">
      <w:pPr>
        <w:spacing w:after="120"/>
        <w:jc w:val="both"/>
      </w:pPr>
      <w:r w:rsidRPr="00E970CD">
        <w:t xml:space="preserve">S obzirom da je provedenom analizom utvrđeno da HT može, u odsustvu regulacije, cjenovno diskriminirati operatore u odnosu na svoj maloprodajni dio ili društva pod njegovim nadzorom, kao i </w:t>
      </w:r>
      <w:proofErr w:type="spellStart"/>
      <w:r w:rsidRPr="00E970CD">
        <w:t>unakrižno</w:t>
      </w:r>
      <w:proofErr w:type="spellEnd"/>
      <w:r w:rsidRPr="00E970CD">
        <w:t xml:space="preserve"> subvencionirati usluge na vertikalno povezanim tržištima, i time iskoristiti svoj položaj značajne tržišne snage, HAKOM određuje HT-u regulatornu obvezu računovodstvenog razdvajan</w:t>
      </w:r>
      <w:r w:rsidR="00480501">
        <w:t>ja na ovom mjerodavnom tržištu.</w:t>
      </w:r>
    </w:p>
    <w:p w:rsidR="00B82EB2" w:rsidRPr="00E970CD" w:rsidRDefault="00B82EB2" w:rsidP="00480501">
      <w:pPr>
        <w:spacing w:after="120"/>
        <w:jc w:val="both"/>
      </w:pPr>
      <w:r w:rsidRPr="00E970CD">
        <w:t xml:space="preserve">HAKOM smatra da će se regulatornom obvezom računovodstvenog razdvajanja riješiti prepreke razvoju tržišnog natjecanja koje su definirane u poglavlju </w:t>
      </w:r>
      <w:r w:rsidR="00B630B6">
        <w:fldChar w:fldCharType="begin"/>
      </w:r>
      <w:r w:rsidR="00B630B6">
        <w:instrText xml:space="preserve"> REF _Ref125566890 \r \h </w:instrText>
      </w:r>
      <w:r w:rsidR="00480501">
        <w:instrText xml:space="preserve"> \* MERGEFORMAT </w:instrText>
      </w:r>
      <w:r w:rsidR="00B630B6">
        <w:fldChar w:fldCharType="separate"/>
      </w:r>
      <w:r w:rsidR="00B630B6">
        <w:t>7.3</w:t>
      </w:r>
      <w:r w:rsidR="00B630B6">
        <w:fldChar w:fldCharType="end"/>
      </w:r>
      <w:r w:rsidR="00B630B6">
        <w:t xml:space="preserve"> </w:t>
      </w:r>
      <w:r w:rsidRPr="00E970CD">
        <w:t xml:space="preserve">ovog dokumenta i sve prepreke koje nisu direktno definirane, a mogle bi izazvati iste ili slične posljedice na tržištu. Isto tako, HAKOM smatra da će se direktno riješiti problem </w:t>
      </w:r>
      <w:proofErr w:type="spellStart"/>
      <w:r w:rsidRPr="00E970CD">
        <w:t>unakrižnog</w:t>
      </w:r>
      <w:proofErr w:type="spellEnd"/>
      <w:r w:rsidRPr="00E970CD">
        <w:t xml:space="preserve"> subvencioniranja i to u kombinaciji s već određenim obvezama nedis</w:t>
      </w:r>
      <w:r w:rsidR="00480501">
        <w:t>kriminacije i transparentnosti.</w:t>
      </w:r>
    </w:p>
    <w:p w:rsidR="00B82EB2" w:rsidRPr="00E970CD" w:rsidRDefault="00B82EB2" w:rsidP="00480501">
      <w:pPr>
        <w:spacing w:after="120"/>
        <w:jc w:val="both"/>
      </w:pPr>
      <w:r w:rsidRPr="00E970CD">
        <w:t>Vijeće HAKOM-a je u rujnu 2021. donijelo odluku</w:t>
      </w:r>
      <w:r w:rsidRPr="00E970CD">
        <w:footnoteReference w:id="66"/>
      </w:r>
      <w:r w:rsidRPr="00E970CD">
        <w:t xml:space="preserve">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w:t>
      </w:r>
      <w:r w:rsidR="00480501">
        <w:t>janja sukladno odredbama ZEK-a.</w:t>
      </w:r>
    </w:p>
    <w:p w:rsidR="00B82EB2" w:rsidRPr="00E970CD" w:rsidRDefault="00B82EB2" w:rsidP="00480501">
      <w:pPr>
        <w:spacing w:after="120"/>
        <w:jc w:val="both"/>
      </w:pPr>
      <w:r w:rsidRPr="00E970CD">
        <w:t xml:space="preserve">Kao potvrda provođenja obveza transparentnosti i nediskriminacije u vezi sa cijenama usluga koje su definirane na tržištu malog kapaciteta i na tržištu velikog kapaciteta – nekonkurentna područja, ovom se regulatornom obvezom određuje HT-u vođenje i prikaz računovodstvenih podataka posebno za usluge na tržištu malog kapaciteta i na tržištu velikog kapaciteta – nekonkurentna područja, odvojeno od računovodstvenih podataka za ostale djelatnosti HT-a, a čime će se omogućiti transparentnost svih veleprodajnih cijena po kojima HT svoje usluge pruža ostalim operatorima, kao i unutarnjim transfernim cijenama po kojima HT svoje usluge pruža svome maloprodajnom dijelu i društvima pod njegovim </w:t>
      </w:r>
      <w:r w:rsidR="00480501">
        <w:t xml:space="preserve">nadzorom. </w:t>
      </w:r>
    </w:p>
    <w:p w:rsidR="00B82EB2" w:rsidRPr="00E970CD" w:rsidRDefault="00B82EB2" w:rsidP="00480501">
      <w:pPr>
        <w:spacing w:after="120"/>
        <w:jc w:val="both"/>
      </w:pPr>
      <w:r w:rsidRPr="00E970CD">
        <w:t>Zbog slijeđenja i usporedivosti u regulatornim financijskim izvještajima, sve promjene koje imaju utjecaj na izmjene modela koji omogućavaju provedbu ove obveze, počinju se primjenjivati u regulatornim financijskim izvještajima za 2024. godinu.</w:t>
      </w:r>
    </w:p>
    <w:p w:rsidR="00B82EB2" w:rsidRPr="00E970CD" w:rsidRDefault="00B82EB2" w:rsidP="00480501">
      <w:pPr>
        <w:spacing w:after="120"/>
        <w:jc w:val="both"/>
      </w:pPr>
      <w:r w:rsidRPr="00E970CD">
        <w:t xml:space="preserve">HT je vertikalno integrirani operator zbog čega je vrlo važno imati kontrolu nad unutarnjim transfernim cijenama koje nudi svome maloprodajnom dijelu, a kako ne bi </w:t>
      </w:r>
      <w:proofErr w:type="spellStart"/>
      <w:r w:rsidRPr="00E970CD">
        <w:t>unakrižnim</w:t>
      </w:r>
      <w:proofErr w:type="spellEnd"/>
      <w:r w:rsidRPr="00E970CD">
        <w:t xml:space="preserve"> subvencioniranjem prenio značajnu tržišnu snagu s tržišta veleprodajnog </w:t>
      </w:r>
      <w:r w:rsidR="00DE6B14" w:rsidRPr="00E970CD">
        <w:t xml:space="preserve">lokalnog </w:t>
      </w:r>
      <w:r w:rsidRPr="00E970CD">
        <w:t xml:space="preserve">pristupa koji se pruža na fiksnoj lokaciji na pripadajuće maloprodajno tržište. Budući da se i veleprodajna i maloprodajna usluga nude unutar istog, vertikalno integriranog operatora, računovodstveno razdvajanje je jedini način kontrole kako bi se utvrdilo da operator ne vrši </w:t>
      </w:r>
      <w:proofErr w:type="spellStart"/>
      <w:r w:rsidRPr="00E970CD">
        <w:t>unakrižno</w:t>
      </w:r>
      <w:proofErr w:type="spellEnd"/>
      <w:r w:rsidRPr="00E970CD">
        <w:t xml:space="preserve"> subvencioniranje i time vertikalno prenosi značajnu tržišnu snagu.</w:t>
      </w:r>
    </w:p>
    <w:p w:rsidR="00B82EB2" w:rsidRDefault="00B82EB2" w:rsidP="00E970CD">
      <w:pPr>
        <w:spacing w:after="160" w:line="22" w:lineRule="atLeast"/>
        <w:jc w:val="both"/>
      </w:pPr>
    </w:p>
    <w:p w:rsidR="0002586D" w:rsidRDefault="0002586D">
      <w:pPr>
        <w:rPr>
          <w:rFonts w:ascii="Segoe UI Semibold" w:eastAsiaTheme="majorEastAsia" w:hAnsi="Segoe UI Semibold" w:cstheme="majorBidi"/>
          <w:color w:val="1F3864" w:themeColor="accent1" w:themeShade="80"/>
          <w:sz w:val="32"/>
          <w:szCs w:val="32"/>
        </w:rPr>
      </w:pPr>
      <w:r>
        <w:br w:type="page"/>
      </w:r>
    </w:p>
    <w:p w:rsidR="00B70F27" w:rsidRPr="00E970CD" w:rsidRDefault="00B70F27" w:rsidP="00E970CD">
      <w:pPr>
        <w:pStyle w:val="Heading1"/>
        <w:numPr>
          <w:ilvl w:val="0"/>
          <w:numId w:val="0"/>
        </w:numPr>
        <w:ind w:left="432"/>
      </w:pPr>
      <w:bookmarkStart w:id="681" w:name="_Toc124852036"/>
      <w:bookmarkStart w:id="682" w:name="_Toc124852597"/>
      <w:bookmarkStart w:id="683" w:name="_Toc124859666"/>
      <w:bookmarkStart w:id="684" w:name="_Toc124928643"/>
      <w:bookmarkStart w:id="685" w:name="_Toc124946985"/>
      <w:bookmarkStart w:id="686" w:name="_Toc124948895"/>
      <w:bookmarkStart w:id="687" w:name="_Toc124951790"/>
      <w:bookmarkStart w:id="688" w:name="_Toc125644949"/>
      <w:r w:rsidRPr="00E970CD">
        <w:t xml:space="preserve">Privitak 1 – Popis </w:t>
      </w:r>
      <w:r w:rsidR="00141AEC" w:rsidRPr="00E970CD">
        <w:t>geografskih jedinica koje pripadaju Tržištu velikog kapaciteta - nekonkurentna područja-Klaster</w:t>
      </w:r>
      <w:r w:rsidR="002D636E" w:rsidRPr="00E970CD">
        <w:t xml:space="preserve"> A</w:t>
      </w:r>
      <w:bookmarkEnd w:id="681"/>
      <w:bookmarkEnd w:id="682"/>
      <w:bookmarkEnd w:id="683"/>
      <w:bookmarkEnd w:id="684"/>
      <w:bookmarkEnd w:id="685"/>
      <w:bookmarkEnd w:id="686"/>
      <w:bookmarkEnd w:id="687"/>
      <w:bookmarkEnd w:id="688"/>
    </w:p>
    <w:tbl>
      <w:tblPr>
        <w:tblpPr w:leftFromText="180" w:rightFromText="180" w:vertAnchor="text" w:horzAnchor="margin" w:tblpXSpec="center" w:tblpY="519"/>
        <w:tblW w:w="10660" w:type="dxa"/>
        <w:tblLook w:val="04A0" w:firstRow="1" w:lastRow="0" w:firstColumn="1" w:lastColumn="0" w:noHBand="0" w:noVBand="1"/>
      </w:tblPr>
      <w:tblGrid>
        <w:gridCol w:w="640"/>
        <w:gridCol w:w="2596"/>
        <w:gridCol w:w="1565"/>
        <w:gridCol w:w="1430"/>
        <w:gridCol w:w="1400"/>
        <w:gridCol w:w="1980"/>
        <w:gridCol w:w="1049"/>
      </w:tblGrid>
      <w:tr w:rsidR="00B43299" w:rsidRPr="005177E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Red. Br</w:t>
            </w:r>
          </w:p>
        </w:tc>
        <w:tc>
          <w:tcPr>
            <w:tcW w:w="2596"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Tip jedinice</w:t>
            </w:r>
          </w:p>
        </w:tc>
        <w:tc>
          <w:tcPr>
            <w:tcW w:w="143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Pr="005177E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operatora</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Bedenica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748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Bistra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3.078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97,89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Brckovljani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Brdovec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5.893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Dubrava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2.519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Dubravica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Farkaševac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8</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Ivanić-Grad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6.765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Jakovlje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1.911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Jastrebarsko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8.740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31,74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Klinča Sela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2.475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Kloštar Ivanić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3.670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14</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Kravarsko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Križ</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3.596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17</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Luka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Marija Gorica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19</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Orle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Pisarovina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2.187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21</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Pokupsko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Preseka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Pušća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24</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Rakovec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1.063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25</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Rugvica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26</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Stupnik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2.530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93,44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bl>
    <w:p w:rsidR="00B43299" w:rsidRDefault="00B43299" w:rsidP="00B43299">
      <w:pPr>
        <w:ind w:right="-517"/>
      </w:pPr>
    </w:p>
    <w:tbl>
      <w:tblPr>
        <w:tblpPr w:leftFromText="180" w:rightFromText="180" w:vertAnchor="page" w:horzAnchor="margin" w:tblpXSpec="center" w:tblpY="1351"/>
        <w:tblW w:w="10660" w:type="dxa"/>
        <w:tblLook w:val="04A0" w:firstRow="1" w:lastRow="0" w:firstColumn="1" w:lastColumn="0" w:noHBand="0" w:noVBand="1"/>
      </w:tblPr>
      <w:tblGrid>
        <w:gridCol w:w="640"/>
        <w:gridCol w:w="2595"/>
        <w:gridCol w:w="1565"/>
        <w:gridCol w:w="1431"/>
        <w:gridCol w:w="1400"/>
        <w:gridCol w:w="1980"/>
        <w:gridCol w:w="1049"/>
      </w:tblGrid>
      <w:tr w:rsidR="00B43299" w:rsidRPr="005177E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Red. Br</w:t>
            </w:r>
          </w:p>
        </w:tc>
        <w:tc>
          <w:tcPr>
            <w:tcW w:w="2595"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Tip jedinice</w:t>
            </w:r>
          </w:p>
        </w:tc>
        <w:tc>
          <w:tcPr>
            <w:tcW w:w="1431"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5177E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operatora</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27</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Sveti Ivan Zelina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11.157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28</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Sveta Nedjelja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9.717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Vrbovec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6.277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33,76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30</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Žumberak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31</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Bedekovčina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6.118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0,95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32</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Budinščina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1.692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Desinić</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34</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Donja Stubica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4.722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35</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Đurmanec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2.720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36</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Gornja Stubica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37</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Hrašćina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38</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Hum na Sutli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39</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Jesenje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Klanjec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Konjščina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2.689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Kraljevec</w:t>
            </w:r>
            <w:proofErr w:type="spellEnd"/>
            <w:r w:rsidRPr="005177E6">
              <w:rPr>
                <w:rFonts w:eastAsia="Times New Roman" w:cs="Calibri"/>
                <w:color w:val="000000"/>
                <w:sz w:val="20"/>
                <w:szCs w:val="20"/>
                <w:lang w:eastAsia="hr-HR"/>
              </w:rPr>
              <w:t xml:space="preserve"> na Sutli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43</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Krapinske Toplice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5.334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44</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Kumrovec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1.304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45</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Lobor</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46</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Mače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47</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Marija Bistrica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48</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Mihovljan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1.495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49</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Novi </w:t>
            </w:r>
            <w:proofErr w:type="spellStart"/>
            <w:r w:rsidRPr="005177E6">
              <w:rPr>
                <w:rFonts w:eastAsia="Times New Roman" w:cs="Calibri"/>
                <w:color w:val="000000"/>
                <w:sz w:val="20"/>
                <w:szCs w:val="20"/>
                <w:lang w:eastAsia="hr-HR"/>
              </w:rPr>
              <w:t>Golubovec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690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50</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Oroslavje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5.146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51</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Petrovsko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52</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Pregrada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6.061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bl>
    <w:p w:rsidR="00B43299" w:rsidRDefault="00B43299" w:rsidP="00B43299"/>
    <w:p w:rsidR="00B43299" w:rsidRDefault="00B43299" w:rsidP="00B43299"/>
    <w:p w:rsidR="00B43299" w:rsidRDefault="00B43299" w:rsidP="00B43299"/>
    <w:tbl>
      <w:tblPr>
        <w:tblpPr w:leftFromText="180" w:rightFromText="180" w:vertAnchor="page" w:horzAnchor="margin" w:tblpXSpec="center" w:tblpY="1441"/>
        <w:tblW w:w="10660" w:type="dxa"/>
        <w:tblLook w:val="04A0" w:firstRow="1" w:lastRow="0" w:firstColumn="1" w:lastColumn="0" w:noHBand="0" w:noVBand="1"/>
      </w:tblPr>
      <w:tblGrid>
        <w:gridCol w:w="640"/>
        <w:gridCol w:w="2601"/>
        <w:gridCol w:w="1566"/>
        <w:gridCol w:w="1424"/>
        <w:gridCol w:w="1400"/>
        <w:gridCol w:w="1980"/>
        <w:gridCol w:w="1049"/>
      </w:tblGrid>
      <w:tr w:rsidR="00B43299" w:rsidRPr="005177E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Županija</w:t>
            </w:r>
          </w:p>
        </w:tc>
        <w:tc>
          <w:tcPr>
            <w:tcW w:w="1566"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Tip jedinice</w:t>
            </w:r>
          </w:p>
        </w:tc>
        <w:tc>
          <w:tcPr>
            <w:tcW w:w="1424"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5177E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operatora</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53</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Radoboj</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54</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Stubičke Toplice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55</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Sveti Križ </w:t>
            </w:r>
            <w:proofErr w:type="spellStart"/>
            <w:r w:rsidRPr="005177E6">
              <w:rPr>
                <w:rFonts w:eastAsia="Times New Roman" w:cs="Calibri"/>
                <w:color w:val="000000"/>
                <w:sz w:val="20"/>
                <w:szCs w:val="20"/>
                <w:lang w:eastAsia="hr-HR"/>
              </w:rPr>
              <w:t>Začretje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4.327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56</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Tuhelj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57</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Veliko </w:t>
            </w:r>
            <w:proofErr w:type="spellStart"/>
            <w:r w:rsidRPr="005177E6">
              <w:rPr>
                <w:rFonts w:eastAsia="Times New Roman" w:cs="Calibri"/>
                <w:color w:val="000000"/>
                <w:sz w:val="20"/>
                <w:szCs w:val="20"/>
                <w:lang w:eastAsia="hr-HR"/>
              </w:rPr>
              <w:t>Trgovišće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58</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Zabok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6.873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59</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Zagorska Sela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1.158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60</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Zlatar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5.284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61</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Zlatar Bistrica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62</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Donji </w:t>
            </w:r>
            <w:proofErr w:type="spellStart"/>
            <w:r w:rsidRPr="005177E6">
              <w:rPr>
                <w:rFonts w:eastAsia="Times New Roman" w:cs="Calibri"/>
                <w:color w:val="000000"/>
                <w:sz w:val="20"/>
                <w:szCs w:val="20"/>
                <w:lang w:eastAsia="hr-HR"/>
              </w:rPr>
              <w:t>Kukuruzari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63</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Dvor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4.983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64</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Glina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6.197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65</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Gvozd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2.965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66</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Hrvatska Dubica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67</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Hrvatska Kostajnica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1.629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68</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Jasenovac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69</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Kutina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11.633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70</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Lekenik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71</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Lipovljani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72</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Majur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73</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Martinska</w:t>
            </w:r>
            <w:proofErr w:type="spellEnd"/>
            <w:r w:rsidRPr="005177E6">
              <w:rPr>
                <w:rFonts w:eastAsia="Times New Roman" w:cs="Calibri"/>
                <w:color w:val="000000"/>
                <w:sz w:val="20"/>
                <w:szCs w:val="20"/>
                <w:lang w:eastAsia="hr-HR"/>
              </w:rPr>
              <w:t xml:space="preserve"> </w:t>
            </w:r>
            <w:proofErr w:type="spellStart"/>
            <w:r w:rsidRPr="005177E6">
              <w:rPr>
                <w:rFonts w:eastAsia="Times New Roman" w:cs="Calibri"/>
                <w:color w:val="000000"/>
                <w:sz w:val="20"/>
                <w:szCs w:val="20"/>
                <w:lang w:eastAsia="hr-HR"/>
              </w:rPr>
              <w:t>Ves</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1.725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74</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Petrinja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4,83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75</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Popovača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7.606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76</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Sunja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77</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proofErr w:type="spellStart"/>
            <w:r w:rsidRPr="005177E6">
              <w:rPr>
                <w:rFonts w:eastAsia="Times New Roman" w:cs="Calibri"/>
                <w:color w:val="000000"/>
                <w:sz w:val="20"/>
                <w:szCs w:val="20"/>
                <w:lang w:eastAsia="hr-HR"/>
              </w:rPr>
              <w:t>Topusko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78</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Velika Ludina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bl>
    <w:p w:rsidR="00B43299" w:rsidRDefault="00B43299" w:rsidP="00B43299"/>
    <w:p w:rsidR="00B43299" w:rsidRDefault="00B43299" w:rsidP="00B43299"/>
    <w:p w:rsidR="00B43299" w:rsidRDefault="00B43299" w:rsidP="00B43299"/>
    <w:tbl>
      <w:tblPr>
        <w:tblpPr w:leftFromText="180" w:rightFromText="180" w:vertAnchor="page" w:horzAnchor="margin" w:tblpXSpec="center" w:tblpY="1561"/>
        <w:tblW w:w="10660" w:type="dxa"/>
        <w:tblLook w:val="04A0" w:firstRow="1" w:lastRow="0" w:firstColumn="1" w:lastColumn="0" w:noHBand="0" w:noVBand="1"/>
      </w:tblPr>
      <w:tblGrid>
        <w:gridCol w:w="640"/>
        <w:gridCol w:w="2601"/>
        <w:gridCol w:w="1567"/>
        <w:gridCol w:w="1423"/>
        <w:gridCol w:w="1400"/>
        <w:gridCol w:w="1980"/>
        <w:gridCol w:w="1049"/>
      </w:tblGrid>
      <w:tr w:rsidR="00B43299" w:rsidRPr="00D77FD4"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Županija</w:t>
            </w:r>
          </w:p>
        </w:tc>
        <w:tc>
          <w:tcPr>
            <w:tcW w:w="1567"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Tip jedinice</w:t>
            </w:r>
          </w:p>
        </w:tc>
        <w:tc>
          <w:tcPr>
            <w:tcW w:w="1423"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D77FD4">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Broj operatora</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79</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Barilović</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2.709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0,52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80</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Bosiljevo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81</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Cetingrad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1.252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0,40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82</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Draganić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3.015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83</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Generalski Stol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2.341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84</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Josipdol</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2.202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85</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Kamanje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509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0,59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86</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Krnjak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1.612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87</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Lasinja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88</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Netretić</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2.627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89</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Plaški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90</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Rakovica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2.458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91</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Ribnik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671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92</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Saborsko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93</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Tounj</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94</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Vojnić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3.215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95</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Žakanje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1.798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96</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Duga Resa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5.886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19,84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97</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Ogulin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8.127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22,70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98</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Ozalj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4.631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0,73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99</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proofErr w:type="spellStart"/>
            <w:r w:rsidRPr="00D77FD4">
              <w:rPr>
                <w:rFonts w:eastAsia="Times New Roman" w:cs="Calibri"/>
                <w:color w:val="000000"/>
                <w:sz w:val="20"/>
                <w:szCs w:val="20"/>
                <w:lang w:eastAsia="hr-HR"/>
              </w:rPr>
              <w:t>Žakanje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1.798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100</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Slunj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4.955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101</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Brinje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2.324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102</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Donji </w:t>
            </w:r>
            <w:proofErr w:type="spellStart"/>
            <w:r w:rsidRPr="00D77FD4">
              <w:rPr>
                <w:rFonts w:eastAsia="Times New Roman" w:cs="Calibri"/>
                <w:color w:val="000000"/>
                <w:sz w:val="20"/>
                <w:szCs w:val="20"/>
                <w:lang w:eastAsia="hr-HR"/>
              </w:rPr>
              <w:t>Lapac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1.827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103</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Gospić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10.382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6,58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104</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Karlobag</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2.851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4,35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bl>
    <w:tbl>
      <w:tblPr>
        <w:tblpPr w:leftFromText="180" w:rightFromText="180" w:horzAnchor="margin" w:tblpXSpec="center" w:tblpY="315"/>
        <w:tblW w:w="10660" w:type="dxa"/>
        <w:tblLook w:val="04A0" w:firstRow="1" w:lastRow="0" w:firstColumn="1" w:lastColumn="0" w:noHBand="0" w:noVBand="1"/>
      </w:tblPr>
      <w:tblGrid>
        <w:gridCol w:w="640"/>
        <w:gridCol w:w="2598"/>
        <w:gridCol w:w="1565"/>
        <w:gridCol w:w="1428"/>
        <w:gridCol w:w="1400"/>
        <w:gridCol w:w="1980"/>
        <w:gridCol w:w="1049"/>
      </w:tblGrid>
      <w:tr w:rsidR="00B43299" w:rsidRPr="008038F5"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Red. Br</w:t>
            </w:r>
          </w:p>
        </w:tc>
        <w:tc>
          <w:tcPr>
            <w:tcW w:w="2598"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Tip jedinice</w:t>
            </w:r>
          </w:p>
        </w:tc>
        <w:tc>
          <w:tcPr>
            <w:tcW w:w="1428"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8038F5">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operatora</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105</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Lovinac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106</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Novalja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14.844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107</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Otočac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6.322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108</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Perušić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2.841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109</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Plitvička Jezera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3.215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110</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Senj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7.098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111</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Udbina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2.224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112</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Vrhovine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113</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Bednja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2.815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114</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Beretinec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115</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Breznica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1.126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116</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Breznički Hum</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117</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Cestica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2.950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118</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Donja Voća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119</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Jalžabet</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120</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Klenovnik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121</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Ljubešćica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122</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Lepoglava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4.520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123</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Mali </w:t>
            </w:r>
            <w:proofErr w:type="spellStart"/>
            <w:r w:rsidRPr="008038F5">
              <w:rPr>
                <w:rFonts w:eastAsia="Times New Roman" w:cs="Calibri"/>
                <w:color w:val="000000"/>
                <w:sz w:val="20"/>
                <w:szCs w:val="20"/>
                <w:lang w:eastAsia="hr-HR"/>
              </w:rPr>
              <w:t>Bukovec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124</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Martijanec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125</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Maruševec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126</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Novi Marof</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7.724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127</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Petrijanec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2.369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128</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Sveti </w:t>
            </w:r>
            <w:proofErr w:type="spellStart"/>
            <w:r w:rsidRPr="008038F5">
              <w:rPr>
                <w:rFonts w:eastAsia="Times New Roman" w:cs="Calibri"/>
                <w:color w:val="000000"/>
                <w:sz w:val="20"/>
                <w:szCs w:val="20"/>
                <w:lang w:eastAsia="hr-HR"/>
              </w:rPr>
              <w:t>Đurđ</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129</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Sveti Ilija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130</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Varaždinske Toplice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5.417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245"/>
        <w:tblW w:w="10660" w:type="dxa"/>
        <w:tblLook w:val="04A0" w:firstRow="1" w:lastRow="0" w:firstColumn="1" w:lastColumn="0" w:noHBand="0" w:noVBand="1"/>
      </w:tblPr>
      <w:tblGrid>
        <w:gridCol w:w="640"/>
        <w:gridCol w:w="2592"/>
        <w:gridCol w:w="1560"/>
        <w:gridCol w:w="1439"/>
        <w:gridCol w:w="1400"/>
        <w:gridCol w:w="1980"/>
        <w:gridCol w:w="1049"/>
      </w:tblGrid>
      <w:tr w:rsidR="00B43299" w:rsidRPr="008038F5"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Red. Br</w:t>
            </w:r>
          </w:p>
        </w:tc>
        <w:tc>
          <w:tcPr>
            <w:tcW w:w="2592"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Županija</w:t>
            </w:r>
          </w:p>
        </w:tc>
        <w:tc>
          <w:tcPr>
            <w:tcW w:w="156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Tip jedinice</w:t>
            </w:r>
          </w:p>
        </w:tc>
        <w:tc>
          <w:tcPr>
            <w:tcW w:w="143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8038F5">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operatora</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131</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Veliki </w:t>
            </w:r>
            <w:proofErr w:type="spellStart"/>
            <w:r w:rsidRPr="008038F5">
              <w:rPr>
                <w:rFonts w:eastAsia="Times New Roman" w:cs="Calibri"/>
                <w:color w:val="000000"/>
                <w:sz w:val="20"/>
                <w:szCs w:val="20"/>
                <w:lang w:eastAsia="hr-HR"/>
              </w:rPr>
              <w:t>Bukovec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0,67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132</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Vidovec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133</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Vinica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2.479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134</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Visoko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135</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Đelekovec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799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136</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Ferdinandovac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137</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Gola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138</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Gornja Rijeka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139</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Hlebine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140</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Kalnik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870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141</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Legrad</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142</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Molve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2.105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143</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Novo </w:t>
            </w:r>
            <w:proofErr w:type="spellStart"/>
            <w:r w:rsidRPr="008038F5">
              <w:rPr>
                <w:rFonts w:eastAsia="Times New Roman" w:cs="Calibri"/>
                <w:color w:val="000000"/>
                <w:sz w:val="20"/>
                <w:szCs w:val="20"/>
                <w:lang w:eastAsia="hr-HR"/>
              </w:rPr>
              <w:t>Virje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144</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Peteranec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145</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Podravske Sesvete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146</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Rasinja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2.982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147</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Sokolovac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148</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Sveti Ivan </w:t>
            </w:r>
            <w:proofErr w:type="spellStart"/>
            <w:r w:rsidRPr="008038F5">
              <w:rPr>
                <w:rFonts w:eastAsia="Times New Roman" w:cs="Calibri"/>
                <w:color w:val="000000"/>
                <w:sz w:val="20"/>
                <w:szCs w:val="20"/>
                <w:lang w:eastAsia="hr-HR"/>
              </w:rPr>
              <w:t>Žabno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3.095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149</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Sveti Petar </w:t>
            </w:r>
            <w:proofErr w:type="spellStart"/>
            <w:r w:rsidRPr="008038F5">
              <w:rPr>
                <w:rFonts w:eastAsia="Times New Roman" w:cs="Calibri"/>
                <w:color w:val="000000"/>
                <w:sz w:val="20"/>
                <w:szCs w:val="20"/>
                <w:lang w:eastAsia="hr-HR"/>
              </w:rPr>
              <w:t>Orehovec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2.500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150</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Berek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1.147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151</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23.017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49,05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152</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Čazma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5.254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153</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Dežanovac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1.810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154</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Đulovac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155</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Garešnica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5.335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19,79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156</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Grubišno 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4.187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320"/>
        <w:tblW w:w="10660" w:type="dxa"/>
        <w:tblLook w:val="04A0" w:firstRow="1" w:lastRow="0" w:firstColumn="1" w:lastColumn="0" w:noHBand="0" w:noVBand="1"/>
      </w:tblPr>
      <w:tblGrid>
        <w:gridCol w:w="640"/>
        <w:gridCol w:w="2600"/>
        <w:gridCol w:w="1564"/>
        <w:gridCol w:w="1427"/>
        <w:gridCol w:w="1400"/>
        <w:gridCol w:w="1980"/>
        <w:gridCol w:w="1049"/>
      </w:tblGrid>
      <w:tr w:rsidR="00B43299" w:rsidRPr="008038F5"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Tip jedinice</w:t>
            </w:r>
          </w:p>
        </w:tc>
        <w:tc>
          <w:tcPr>
            <w:tcW w:w="1427"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8038F5">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operatora</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157</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Hercegovac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158</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Ivanska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159</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Kapela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2.566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160</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Končanica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1.518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161</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Nova </w:t>
            </w:r>
            <w:proofErr w:type="spellStart"/>
            <w:r w:rsidRPr="008038F5">
              <w:rPr>
                <w:rFonts w:eastAsia="Times New Roman" w:cs="Calibri"/>
                <w:color w:val="000000"/>
                <w:sz w:val="20"/>
                <w:szCs w:val="20"/>
                <w:lang w:eastAsia="hr-HR"/>
              </w:rPr>
              <w:t>Rača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1.990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162</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Rovišće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3.017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163</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Severin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164</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Sirač</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165</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Šandrovac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166</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Štefanje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167</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Velika Pisanica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985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168</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Velika </w:t>
            </w:r>
            <w:proofErr w:type="spellStart"/>
            <w:r w:rsidRPr="008038F5">
              <w:rPr>
                <w:rFonts w:eastAsia="Times New Roman" w:cs="Calibri"/>
                <w:color w:val="000000"/>
                <w:sz w:val="20"/>
                <w:szCs w:val="20"/>
                <w:lang w:eastAsia="hr-HR"/>
              </w:rPr>
              <w:t>Trnovitica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169</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Veliki </w:t>
            </w:r>
            <w:proofErr w:type="spellStart"/>
            <w:r w:rsidRPr="008038F5">
              <w:rPr>
                <w:rFonts w:eastAsia="Times New Roman" w:cs="Calibri"/>
                <w:color w:val="000000"/>
                <w:sz w:val="20"/>
                <w:szCs w:val="20"/>
                <w:lang w:eastAsia="hr-HR"/>
              </w:rPr>
              <w:t>Grđevac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170</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Veliko Trojstvo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171</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Zrinski Topolovac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172</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Bakar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4.422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3,46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173</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Baška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3.270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174</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Brod </w:t>
            </w:r>
            <w:proofErr w:type="spellStart"/>
            <w:r w:rsidRPr="008038F5">
              <w:rPr>
                <w:rFonts w:eastAsia="Times New Roman" w:cs="Calibri"/>
                <w:color w:val="000000"/>
                <w:sz w:val="20"/>
                <w:szCs w:val="20"/>
                <w:lang w:eastAsia="hr-HR"/>
              </w:rPr>
              <w:t>Moravice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526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175</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Cres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5.060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176</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Čabar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1.771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177</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Dobrinj</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4.889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178</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Krk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8.312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179</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Lopar</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2.485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82,01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180</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Mali Lošinj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25,72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181</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proofErr w:type="spellStart"/>
            <w:r w:rsidRPr="008038F5">
              <w:rPr>
                <w:rFonts w:eastAsia="Times New Roman" w:cs="Calibri"/>
                <w:color w:val="000000"/>
                <w:sz w:val="20"/>
                <w:szCs w:val="20"/>
                <w:lang w:eastAsia="hr-HR"/>
              </w:rPr>
              <w:t>Malinska-Dubašnica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6.081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3,70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182</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Omišalj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3.453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230"/>
        <w:tblW w:w="10660" w:type="dxa"/>
        <w:tblLook w:val="04A0" w:firstRow="1" w:lastRow="0" w:firstColumn="1" w:lastColumn="0" w:noHBand="0" w:noVBand="1"/>
      </w:tblPr>
      <w:tblGrid>
        <w:gridCol w:w="641"/>
        <w:gridCol w:w="2601"/>
        <w:gridCol w:w="1567"/>
        <w:gridCol w:w="1422"/>
        <w:gridCol w:w="1400"/>
        <w:gridCol w:w="1980"/>
        <w:gridCol w:w="1049"/>
      </w:tblGrid>
      <w:tr w:rsidR="00B43299" w:rsidRPr="00AB4756" w:rsidTr="007D14E3">
        <w:trPr>
          <w:trHeight w:val="645"/>
        </w:trPr>
        <w:tc>
          <w:tcPr>
            <w:tcW w:w="641"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7"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2"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Punat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Rab</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11.124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68,64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Viškovo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7.911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36,89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Vrbnik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Crnac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Čačinci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189</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Čađavica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190</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Lukač</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1.763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191</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Mikleuš</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192</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Nova Bukovica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Orahovica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Slatina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7.068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Sopje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Suhopolje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Špišić</w:t>
            </w:r>
            <w:proofErr w:type="spellEnd"/>
            <w:r w:rsidRPr="00AB4756">
              <w:rPr>
                <w:rFonts w:eastAsia="Times New Roman" w:cs="Calibri"/>
                <w:color w:val="000000"/>
                <w:sz w:val="20"/>
                <w:szCs w:val="20"/>
                <w:lang w:eastAsia="hr-HR"/>
              </w:rPr>
              <w:t xml:space="preserve"> Bukovica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Voćin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1.202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199</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Zdenci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200</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Brestovac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3.568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201</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Čaglin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202</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Jakšić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Kaptol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Kutjevo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3.474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Pakrac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5.840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Pleternica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Požega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15.890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57,83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Velika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3.436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p w:rsidR="00B43299" w:rsidRDefault="00B43299" w:rsidP="00B43299"/>
    <w:tbl>
      <w:tblPr>
        <w:tblW w:w="10660" w:type="dxa"/>
        <w:tblInd w:w="-635" w:type="dxa"/>
        <w:tblLook w:val="04A0" w:firstRow="1" w:lastRow="0" w:firstColumn="1" w:lastColumn="0" w:noHBand="0" w:noVBand="1"/>
      </w:tblPr>
      <w:tblGrid>
        <w:gridCol w:w="640"/>
        <w:gridCol w:w="2594"/>
        <w:gridCol w:w="1569"/>
        <w:gridCol w:w="1428"/>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8"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Bebrina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Brodski </w:t>
            </w:r>
            <w:proofErr w:type="spellStart"/>
            <w:r w:rsidRPr="00AB4756">
              <w:rPr>
                <w:rFonts w:eastAsia="Times New Roman" w:cs="Calibri"/>
                <w:color w:val="000000"/>
                <w:sz w:val="20"/>
                <w:szCs w:val="20"/>
                <w:lang w:eastAsia="hr-HR"/>
              </w:rPr>
              <w:t>Stupnik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Bukovlje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Cernik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Davor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4.983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Donji </w:t>
            </w:r>
            <w:proofErr w:type="spellStart"/>
            <w:r w:rsidRPr="00AB4756">
              <w:rPr>
                <w:rFonts w:eastAsia="Times New Roman" w:cs="Calibri"/>
                <w:color w:val="000000"/>
                <w:sz w:val="20"/>
                <w:szCs w:val="20"/>
                <w:lang w:eastAsia="hr-HR"/>
              </w:rPr>
              <w:t>Andrijevci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Dragalić</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Garčin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Gornja Vrba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1.003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Gornji </w:t>
            </w:r>
            <w:proofErr w:type="spellStart"/>
            <w:r w:rsidRPr="00AB4756">
              <w:rPr>
                <w:rFonts w:eastAsia="Times New Roman" w:cs="Calibri"/>
                <w:color w:val="000000"/>
                <w:sz w:val="20"/>
                <w:szCs w:val="20"/>
                <w:lang w:eastAsia="hr-HR"/>
              </w:rPr>
              <w:t>Bogićevci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Gundinci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Klakar</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Nova Gradiška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6.872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23,57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Nova Kapela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Okučani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2.218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Oprisavci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1.067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Oriovac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Podcrkavlje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Rešetari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Sibinj</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Sikirevci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Slavonski Brod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26.896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58,31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Slavonski </w:t>
            </w:r>
            <w:proofErr w:type="spellStart"/>
            <w:r w:rsidRPr="00AB4756">
              <w:rPr>
                <w:rFonts w:eastAsia="Times New Roman" w:cs="Calibri"/>
                <w:color w:val="000000"/>
                <w:sz w:val="20"/>
                <w:szCs w:val="20"/>
                <w:lang w:eastAsia="hr-HR"/>
              </w:rPr>
              <w:t>Šamac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871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Stara Gradiška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Staro Petrovo Selo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Velika Kopanica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p w:rsidR="00B43299" w:rsidRDefault="00B43299" w:rsidP="00B43299"/>
    <w:p w:rsidR="00B43299" w:rsidRDefault="00B43299" w:rsidP="00B43299"/>
    <w:tbl>
      <w:tblPr>
        <w:tblW w:w="10660" w:type="dxa"/>
        <w:tblInd w:w="-635" w:type="dxa"/>
        <w:tblLook w:val="04A0" w:firstRow="1" w:lastRow="0" w:firstColumn="1" w:lastColumn="0" w:noHBand="0" w:noVBand="1"/>
      </w:tblPr>
      <w:tblGrid>
        <w:gridCol w:w="640"/>
        <w:gridCol w:w="2596"/>
        <w:gridCol w:w="1570"/>
        <w:gridCol w:w="1425"/>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6"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7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5"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235</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Vrbje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236</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237</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Benkovac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10.524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238</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Bibinje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239</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Biograd na Moru</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240</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Galovac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612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241</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Gračac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242</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Jasenice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243</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Kali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244</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Kolan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245</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Kukljica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1.647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246</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Lišane</w:t>
            </w:r>
            <w:proofErr w:type="spellEnd"/>
            <w:r w:rsidRPr="00AB4756">
              <w:rPr>
                <w:rFonts w:eastAsia="Times New Roman" w:cs="Calibri"/>
                <w:color w:val="000000"/>
                <w:sz w:val="20"/>
                <w:szCs w:val="20"/>
                <w:lang w:eastAsia="hr-HR"/>
              </w:rPr>
              <w:t xml:space="preserve"> </w:t>
            </w:r>
            <w:proofErr w:type="spellStart"/>
            <w:r w:rsidRPr="00AB4756">
              <w:rPr>
                <w:rFonts w:eastAsia="Times New Roman" w:cs="Calibri"/>
                <w:color w:val="000000"/>
                <w:sz w:val="20"/>
                <w:szCs w:val="20"/>
                <w:lang w:eastAsia="hr-HR"/>
              </w:rPr>
              <w:t>Ostrovičke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247</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4.222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248</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Novigrad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2.363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249</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Obrovac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7.684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250</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Pag</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8.178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15,14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251</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Pakoštane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3.937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252</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Pašman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3.554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253</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Polača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254</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Poličnik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255</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Posedarje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256</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Povljana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257</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Preko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6.185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258</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Privlaka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3.191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259</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Ražanac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5.255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260</w:t>
            </w:r>
          </w:p>
        </w:tc>
        <w:tc>
          <w:tcPr>
            <w:tcW w:w="259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7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Sali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tbl>
      <w:tblPr>
        <w:tblpPr w:leftFromText="180" w:rightFromText="180" w:vertAnchor="text" w:horzAnchor="margin" w:tblpXSpec="center" w:tblpY="365"/>
        <w:tblW w:w="10660" w:type="dxa"/>
        <w:tblLook w:val="04A0" w:firstRow="1" w:lastRow="0" w:firstColumn="1" w:lastColumn="0" w:noHBand="0" w:noVBand="1"/>
      </w:tblPr>
      <w:tblGrid>
        <w:gridCol w:w="640"/>
        <w:gridCol w:w="2594"/>
        <w:gridCol w:w="1567"/>
        <w:gridCol w:w="1430"/>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7"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3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Stankovci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1.713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Starigrad</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6.222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0,79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Sukošan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3.809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Sveti Filip i Jakov</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3.920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Škabrnja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Tkon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Vir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14.154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Vrsi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4.174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Zemunik Donji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Antunovac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1.707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Beli Manastir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4.715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Belišće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4.660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3,77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Bizovac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2.167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Čeminac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Čepin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Darda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Drenje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Donja </w:t>
            </w:r>
            <w:proofErr w:type="spellStart"/>
            <w:r w:rsidRPr="00AB4756">
              <w:rPr>
                <w:rFonts w:eastAsia="Times New Roman" w:cs="Calibri"/>
                <w:color w:val="000000"/>
                <w:sz w:val="20"/>
                <w:szCs w:val="20"/>
                <w:lang w:eastAsia="hr-HR"/>
              </w:rPr>
              <w:t>Motičina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Donji Miholjac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4.306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Draž</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Đakovo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12,95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Đurđenovac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Erdut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11.001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Ernestinovo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Feričanci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365"/>
        <w:tblW w:w="10660" w:type="dxa"/>
        <w:tblLook w:val="04A0" w:firstRow="1" w:lastRow="0" w:firstColumn="1" w:lastColumn="0" w:noHBand="0" w:noVBand="1"/>
      </w:tblPr>
      <w:tblGrid>
        <w:gridCol w:w="640"/>
        <w:gridCol w:w="2595"/>
        <w:gridCol w:w="1560"/>
        <w:gridCol w:w="1436"/>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5"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36"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287</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Gorjani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288</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Jagodnjak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762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289</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Kneževi Vinogradi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290</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1.979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291</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Levanjska</w:t>
            </w:r>
            <w:proofErr w:type="spellEnd"/>
            <w:r w:rsidRPr="00AB4756">
              <w:rPr>
                <w:rFonts w:eastAsia="Times New Roman" w:cs="Calibri"/>
                <w:color w:val="000000"/>
                <w:sz w:val="20"/>
                <w:szCs w:val="20"/>
                <w:lang w:eastAsia="hr-HR"/>
              </w:rPr>
              <w:t xml:space="preserve"> Varoš</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292</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Magadenovac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907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293</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Marijanci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294</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Našice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7.687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295</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Petlovac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296</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Petrijevci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1.794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297</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Podgorač</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298</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Podravska Moslavina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299</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Popovac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300</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Punitovci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301</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Satnica Đakovačka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302</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Semeljci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303</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Strizivojna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304</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Šodolovci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305</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Trnava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914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306</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Valpovo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0,90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307</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Viljevo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308</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Viškovci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309</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Vladislavci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826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310</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Vuka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311</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Blato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312</w:t>
            </w:r>
          </w:p>
        </w:tc>
        <w:tc>
          <w:tcPr>
            <w:tcW w:w="2595"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Dubrovačko primorje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p w:rsidR="00B43299" w:rsidRDefault="00B43299" w:rsidP="00B43299"/>
    <w:tbl>
      <w:tblPr>
        <w:tblW w:w="10660" w:type="dxa"/>
        <w:tblInd w:w="-635" w:type="dxa"/>
        <w:tblLook w:val="04A0" w:firstRow="1" w:lastRow="0" w:firstColumn="1" w:lastColumn="0" w:noHBand="0" w:noVBand="1"/>
      </w:tblPr>
      <w:tblGrid>
        <w:gridCol w:w="640"/>
        <w:gridCol w:w="2601"/>
        <w:gridCol w:w="1564"/>
        <w:gridCol w:w="1426"/>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6"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Dubrovnik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25.369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Janjina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Konavle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6.192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Korčula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6.081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Kula </w:t>
            </w:r>
            <w:proofErr w:type="spellStart"/>
            <w:r w:rsidRPr="00AB4756">
              <w:rPr>
                <w:rFonts w:eastAsia="Times New Roman" w:cs="Calibri"/>
                <w:color w:val="000000"/>
                <w:sz w:val="20"/>
                <w:szCs w:val="20"/>
                <w:lang w:eastAsia="hr-HR"/>
              </w:rPr>
              <w:t>Norinska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Lastovo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319</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Lumbarda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320</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Metković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7.130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321</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Mljet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322</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Opuzen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Orebić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Pojezerje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Slivno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Smokvica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Ston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Trpanj</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329</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Vela Luka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5.409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330</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Zažablje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331</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Župa dubrovačka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5.213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332</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Bilice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Biskupija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Civljane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756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Drniš</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Ervenik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proofErr w:type="spellStart"/>
            <w:r w:rsidRPr="00AB4756">
              <w:rPr>
                <w:rFonts w:eastAsia="Times New Roman" w:cs="Calibri"/>
                <w:color w:val="000000"/>
                <w:sz w:val="20"/>
                <w:szCs w:val="20"/>
                <w:lang w:eastAsia="hr-HR"/>
              </w:rPr>
              <w:t>Kijevo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Kistanje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4.369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tbl>
      <w:tblPr>
        <w:tblW w:w="10660" w:type="dxa"/>
        <w:tblInd w:w="-635" w:type="dxa"/>
        <w:tblLook w:val="04A0" w:firstRow="1" w:lastRow="0" w:firstColumn="1" w:lastColumn="0" w:noHBand="0" w:noVBand="1"/>
      </w:tblPr>
      <w:tblGrid>
        <w:gridCol w:w="640"/>
        <w:gridCol w:w="2599"/>
        <w:gridCol w:w="1564"/>
        <w:gridCol w:w="1428"/>
        <w:gridCol w:w="1400"/>
        <w:gridCol w:w="1980"/>
        <w:gridCol w:w="1049"/>
      </w:tblGrid>
      <w:tr w:rsidR="00B43299" w:rsidRPr="009F57C2"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Red. Br</w:t>
            </w:r>
          </w:p>
        </w:tc>
        <w:tc>
          <w:tcPr>
            <w:tcW w:w="259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Tip jedinice</w:t>
            </w:r>
          </w:p>
        </w:tc>
        <w:tc>
          <w:tcPr>
            <w:tcW w:w="1428"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9F57C2">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operatora</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339</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Knin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11.082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340</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Murter-Kornati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341</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Pirovac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4.930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342</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Primošten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343</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Promina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2.858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344</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Rogoznica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7.915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345</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Ružić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346</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Skradin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4.872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347</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36,59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348</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Tisno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6.715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349</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Tribunj</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3.121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0,64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350</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Unešić</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351</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Vodice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13.566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352</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Andrijaševci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2.101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353</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Babina Greda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1.793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2,57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354</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Bogdanovci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355</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Borovo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356</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Bošnjaci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357</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Cerna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358</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Drenovci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0,83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359</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Gradište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360</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Gunja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361</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Ilok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362</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Ivankovo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Jarmina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364</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Lovas</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860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2,56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365</w:t>
            </w:r>
          </w:p>
        </w:tc>
        <w:tc>
          <w:tcPr>
            <w:tcW w:w="2599"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Markušica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bl>
    <w:p w:rsidR="00B43299" w:rsidRDefault="00B43299" w:rsidP="00B43299"/>
    <w:tbl>
      <w:tblPr>
        <w:tblW w:w="10660" w:type="dxa"/>
        <w:tblInd w:w="-635" w:type="dxa"/>
        <w:tblLook w:val="04A0" w:firstRow="1" w:lastRow="0" w:firstColumn="1" w:lastColumn="0" w:noHBand="0" w:noVBand="1"/>
      </w:tblPr>
      <w:tblGrid>
        <w:gridCol w:w="640"/>
        <w:gridCol w:w="2600"/>
        <w:gridCol w:w="1565"/>
        <w:gridCol w:w="1426"/>
        <w:gridCol w:w="1400"/>
        <w:gridCol w:w="1980"/>
        <w:gridCol w:w="1049"/>
      </w:tblGrid>
      <w:tr w:rsidR="00B43299" w:rsidRPr="009F57C2"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Tip jedinice</w:t>
            </w:r>
          </w:p>
        </w:tc>
        <w:tc>
          <w:tcPr>
            <w:tcW w:w="1426"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9F57C2">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operatora</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Negoslavci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791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Nijemci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3.088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Nuštar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Otok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0,81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Privlaka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1.636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Stari </w:t>
            </w:r>
            <w:proofErr w:type="spellStart"/>
            <w:r w:rsidRPr="009F57C2">
              <w:rPr>
                <w:rFonts w:eastAsia="Times New Roman" w:cs="Calibri"/>
                <w:color w:val="000000"/>
                <w:sz w:val="20"/>
                <w:szCs w:val="20"/>
                <w:lang w:eastAsia="hr-HR"/>
              </w:rPr>
              <w:t>Jankovci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2.883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Stari </w:t>
            </w:r>
            <w:proofErr w:type="spellStart"/>
            <w:r w:rsidRPr="009F57C2">
              <w:rPr>
                <w:rFonts w:eastAsia="Times New Roman" w:cs="Calibri"/>
                <w:color w:val="000000"/>
                <w:sz w:val="20"/>
                <w:szCs w:val="20"/>
                <w:lang w:eastAsia="hr-HR"/>
              </w:rPr>
              <w:t>Mikanovci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1.648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Štitar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Tompojevci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1.138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Tordinci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Tovarnik</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2.293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Trpinja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3.144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Vođinci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Vrbanja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2.575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0,85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Županja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7.636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Baška Voda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3.223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20,88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2.229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Cista Provo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1.900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Dicmo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1.733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Dugi Rat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19,41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Dugopolje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1.994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Hrvace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3.094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Hvar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4.544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Imotski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Jelsa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7.073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Kaštela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20.784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Red. Br</w:t>
            </w:r>
          </w:p>
        </w:tc>
        <w:tc>
          <w:tcPr>
            <w:tcW w:w="2603"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Županija</w:t>
            </w:r>
          </w:p>
        </w:tc>
        <w:tc>
          <w:tcPr>
            <w:tcW w:w="1566"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Tip jedinice</w:t>
            </w:r>
          </w:p>
        </w:tc>
        <w:tc>
          <w:tcPr>
            <w:tcW w:w="1422"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9F57C2">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operatora</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393</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Klis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3.480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394</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Komiža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2.989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395</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Lećevica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396</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Lokvičići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397</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Lovreć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398</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Makarska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10.189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21,96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399</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Marina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6.551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400</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Milna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2.142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0,65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401</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Muć</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3.140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402</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Nerežišća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1.261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403</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Okrug</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6.011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404</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Omiš</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10.537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12,59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405</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Otok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2.995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406</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Podbablje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407</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Podgora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2.469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408</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Podstrana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4.876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409</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Postira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1.555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410</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Prgomet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639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411</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Primorski Dolac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504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0,40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412</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Proložac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1.861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413</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Pučišća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1.775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414</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Runovići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415</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proofErr w:type="spellStart"/>
            <w:r w:rsidRPr="009F57C2">
              <w:rPr>
                <w:rFonts w:eastAsia="Times New Roman" w:cs="Calibri"/>
                <w:color w:val="000000"/>
                <w:sz w:val="20"/>
                <w:szCs w:val="20"/>
                <w:lang w:eastAsia="hr-HR"/>
              </w:rPr>
              <w:t>Seget</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4.438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416</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Selca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2.672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0,67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417</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12.934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418</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Stari 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5.166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419</w:t>
            </w:r>
          </w:p>
        </w:tc>
        <w:tc>
          <w:tcPr>
            <w:tcW w:w="2603"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Sućuraj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bl>
    <w:p w:rsidR="00B43299" w:rsidRDefault="00B43299" w:rsidP="00B43299"/>
    <w:tbl>
      <w:tblPr>
        <w:tblW w:w="10660" w:type="dxa"/>
        <w:tblInd w:w="-635" w:type="dxa"/>
        <w:tblLook w:val="04A0" w:firstRow="1" w:lastRow="0" w:firstColumn="1" w:lastColumn="0" w:noHBand="0" w:noVBand="1"/>
      </w:tblPr>
      <w:tblGrid>
        <w:gridCol w:w="640"/>
        <w:gridCol w:w="2601"/>
        <w:gridCol w:w="1565"/>
        <w:gridCol w:w="1425"/>
        <w:gridCol w:w="1400"/>
        <w:gridCol w:w="1980"/>
        <w:gridCol w:w="1049"/>
      </w:tblGrid>
      <w:tr w:rsidR="00B43299" w:rsidRPr="00F715E4"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Tip jedinice</w:t>
            </w:r>
          </w:p>
        </w:tc>
        <w:tc>
          <w:tcPr>
            <w:tcW w:w="1425"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F715E4">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Broj operatora</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420</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Supetar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4.668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421</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Sutivan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1.831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422</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Šestanovac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2.273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423</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Šolta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2.982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424</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Trilj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5.780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425</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Trogir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9.954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9,24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426</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Vis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4.087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427</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Vrgorac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4.380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428</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Vrlika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1.786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429</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Zadvarje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430</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Zagvozd</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1.646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431</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Zmijavci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1.169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432</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Bale-</w:t>
            </w:r>
            <w:proofErr w:type="spellStart"/>
            <w:r w:rsidRPr="00F715E4">
              <w:rPr>
                <w:rFonts w:eastAsia="Times New Roman" w:cs="Calibri"/>
                <w:color w:val="000000"/>
                <w:sz w:val="20"/>
                <w:szCs w:val="20"/>
                <w:lang w:eastAsia="hr-HR"/>
              </w:rPr>
              <w:t>Valle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1.330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433</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Barban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1.825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434</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Fažana-</w:t>
            </w:r>
            <w:proofErr w:type="spellStart"/>
            <w:r w:rsidRPr="00F715E4">
              <w:rPr>
                <w:rFonts w:eastAsia="Times New Roman" w:cs="Calibri"/>
                <w:color w:val="000000"/>
                <w:sz w:val="20"/>
                <w:szCs w:val="20"/>
                <w:lang w:eastAsia="hr-HR"/>
              </w:rPr>
              <w:t>Fasana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3.033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435</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Funtana</w:t>
            </w:r>
            <w:proofErr w:type="spellEnd"/>
            <w:r w:rsidRPr="00F715E4">
              <w:rPr>
                <w:rFonts w:eastAsia="Times New Roman" w:cs="Calibri"/>
                <w:color w:val="000000"/>
                <w:sz w:val="20"/>
                <w:szCs w:val="20"/>
                <w:lang w:eastAsia="hr-HR"/>
              </w:rPr>
              <w:t>-Fontane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2.606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71,03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436</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Grožnjan-</w:t>
            </w:r>
            <w:proofErr w:type="spellStart"/>
            <w:r w:rsidRPr="00F715E4">
              <w:rPr>
                <w:rFonts w:eastAsia="Times New Roman" w:cs="Calibri"/>
                <w:color w:val="000000"/>
                <w:sz w:val="20"/>
                <w:szCs w:val="20"/>
                <w:lang w:eastAsia="hr-HR"/>
              </w:rPr>
              <w:t>Grisignana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437</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Kanfanar</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1.889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438</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Kaštelir</w:t>
            </w:r>
            <w:proofErr w:type="spellEnd"/>
            <w:r w:rsidRPr="00F715E4">
              <w:rPr>
                <w:rFonts w:eastAsia="Times New Roman" w:cs="Calibri"/>
                <w:color w:val="000000"/>
                <w:sz w:val="20"/>
                <w:szCs w:val="20"/>
                <w:lang w:eastAsia="hr-HR"/>
              </w:rPr>
              <w:t>-Labinci-</w:t>
            </w:r>
            <w:proofErr w:type="spellStart"/>
            <w:r w:rsidRPr="00F715E4">
              <w:rPr>
                <w:rFonts w:eastAsia="Times New Roman" w:cs="Calibri"/>
                <w:color w:val="000000"/>
                <w:sz w:val="20"/>
                <w:szCs w:val="20"/>
                <w:lang w:eastAsia="hr-HR"/>
              </w:rPr>
              <w:t>Castelliere</w:t>
            </w:r>
            <w:proofErr w:type="spellEnd"/>
            <w:r w:rsidRPr="00F715E4">
              <w:rPr>
                <w:rFonts w:eastAsia="Times New Roman" w:cs="Calibri"/>
                <w:color w:val="000000"/>
                <w:sz w:val="20"/>
                <w:szCs w:val="20"/>
                <w:lang w:eastAsia="hr-HR"/>
              </w:rPr>
              <w:t xml:space="preserve">-S. </w:t>
            </w:r>
            <w:proofErr w:type="spellStart"/>
            <w:r w:rsidRPr="00F715E4">
              <w:rPr>
                <w:rFonts w:eastAsia="Times New Roman" w:cs="Calibri"/>
                <w:color w:val="000000"/>
                <w:sz w:val="20"/>
                <w:szCs w:val="20"/>
                <w:lang w:eastAsia="hr-HR"/>
              </w:rPr>
              <w:t>Domenica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1.609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439</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Ližnjan-Lisignano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4.074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440</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proofErr w:type="spellStart"/>
            <w:r w:rsidRPr="00F715E4">
              <w:rPr>
                <w:rFonts w:eastAsia="Times New Roman" w:cs="Calibri"/>
                <w:color w:val="000000"/>
                <w:sz w:val="20"/>
                <w:szCs w:val="20"/>
                <w:lang w:eastAsia="hr-HR"/>
              </w:rPr>
              <w:t>Marčana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7.668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441</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Medulin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12.377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24,51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442</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Novigrad-</w:t>
            </w:r>
            <w:proofErr w:type="spellStart"/>
            <w:r w:rsidRPr="00F715E4">
              <w:rPr>
                <w:rFonts w:eastAsia="Times New Roman" w:cs="Calibri"/>
                <w:color w:val="000000"/>
                <w:sz w:val="20"/>
                <w:szCs w:val="20"/>
                <w:lang w:eastAsia="hr-HR"/>
              </w:rPr>
              <w:t>Cittanova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5.970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63,94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443</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Poreč-</w:t>
            </w:r>
            <w:proofErr w:type="spellStart"/>
            <w:r w:rsidRPr="00F715E4">
              <w:rPr>
                <w:rFonts w:eastAsia="Times New Roman" w:cs="Calibri"/>
                <w:color w:val="000000"/>
                <w:sz w:val="20"/>
                <w:szCs w:val="20"/>
                <w:lang w:eastAsia="hr-HR"/>
              </w:rPr>
              <w:t>Parenzo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22.845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19,91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444</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Rovinj-Rovigno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14.033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36,94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445</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 xml:space="preserve">Sveti </w:t>
            </w:r>
            <w:proofErr w:type="spellStart"/>
            <w:r w:rsidRPr="00F715E4">
              <w:rPr>
                <w:rFonts w:eastAsia="Times New Roman" w:cs="Calibri"/>
                <w:color w:val="000000"/>
                <w:sz w:val="20"/>
                <w:szCs w:val="20"/>
                <w:lang w:eastAsia="hr-HR"/>
              </w:rPr>
              <w:t>Lovreč</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908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bl>
    <w:p w:rsidR="00B43299" w:rsidRDefault="00B43299" w:rsidP="00B43299"/>
    <w:tbl>
      <w:tblPr>
        <w:tblW w:w="10660" w:type="dxa"/>
        <w:tblInd w:w="-635" w:type="dxa"/>
        <w:tblLook w:val="04A0" w:firstRow="1" w:lastRow="0" w:firstColumn="1" w:lastColumn="0" w:noHBand="0" w:noVBand="1"/>
      </w:tblPr>
      <w:tblGrid>
        <w:gridCol w:w="640"/>
        <w:gridCol w:w="2596"/>
        <w:gridCol w:w="1564"/>
        <w:gridCol w:w="1431"/>
        <w:gridCol w:w="1400"/>
        <w:gridCol w:w="1980"/>
        <w:gridCol w:w="1049"/>
      </w:tblGrid>
      <w:tr w:rsidR="00B43299" w:rsidRPr="00A82971"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Red. Br</w:t>
            </w:r>
          </w:p>
        </w:tc>
        <w:tc>
          <w:tcPr>
            <w:tcW w:w="2596"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Tip jedinice</w:t>
            </w:r>
          </w:p>
        </w:tc>
        <w:tc>
          <w:tcPr>
            <w:tcW w:w="1431"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82971">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Broj operatora</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446</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Svetvinčenat</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1.723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447</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Tar-</w:t>
            </w:r>
            <w:proofErr w:type="spellStart"/>
            <w:r w:rsidRPr="00A82971">
              <w:rPr>
                <w:rFonts w:eastAsia="Times New Roman" w:cs="Calibri"/>
                <w:color w:val="000000"/>
                <w:sz w:val="20"/>
                <w:szCs w:val="20"/>
                <w:lang w:eastAsia="hr-HR"/>
              </w:rPr>
              <w:t>Vabriga</w:t>
            </w:r>
            <w:proofErr w:type="spellEnd"/>
            <w:r w:rsidRPr="00A82971">
              <w:rPr>
                <w:rFonts w:eastAsia="Times New Roman" w:cs="Calibri"/>
                <w:color w:val="000000"/>
                <w:sz w:val="20"/>
                <w:szCs w:val="20"/>
                <w:lang w:eastAsia="hr-HR"/>
              </w:rPr>
              <w:t>-</w:t>
            </w:r>
            <w:proofErr w:type="spellStart"/>
            <w:r w:rsidRPr="00A82971">
              <w:rPr>
                <w:rFonts w:eastAsia="Times New Roman" w:cs="Calibri"/>
                <w:color w:val="000000"/>
                <w:sz w:val="20"/>
                <w:szCs w:val="20"/>
                <w:lang w:eastAsia="hr-HR"/>
              </w:rPr>
              <w:t>Torre</w:t>
            </w:r>
            <w:proofErr w:type="spellEnd"/>
            <w:r w:rsidRPr="00A82971">
              <w:rPr>
                <w:rFonts w:eastAsia="Times New Roman" w:cs="Calibri"/>
                <w:color w:val="000000"/>
                <w:sz w:val="20"/>
                <w:szCs w:val="20"/>
                <w:lang w:eastAsia="hr-HR"/>
              </w:rPr>
              <w:t xml:space="preserve"> </w:t>
            </w:r>
            <w:proofErr w:type="spellStart"/>
            <w:r w:rsidRPr="00A82971">
              <w:rPr>
                <w:rFonts w:eastAsia="Times New Roman" w:cs="Calibri"/>
                <w:color w:val="000000"/>
                <w:sz w:val="20"/>
                <w:szCs w:val="20"/>
                <w:lang w:eastAsia="hr-HR"/>
              </w:rPr>
              <w:t>Abrega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2.421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448</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Tinjan</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1.189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449</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Umag-</w:t>
            </w:r>
            <w:proofErr w:type="spellStart"/>
            <w:r w:rsidRPr="00A82971">
              <w:rPr>
                <w:rFonts w:eastAsia="Times New Roman" w:cs="Calibri"/>
                <w:color w:val="000000"/>
                <w:sz w:val="20"/>
                <w:szCs w:val="20"/>
                <w:lang w:eastAsia="hr-HR"/>
              </w:rPr>
              <w:t>Umago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17.345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19,92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450</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Višnjan-Visignano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3.148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451</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Vižinada-Visinada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452</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Vodnjan-</w:t>
            </w:r>
            <w:proofErr w:type="spellStart"/>
            <w:r w:rsidRPr="00A82971">
              <w:rPr>
                <w:rFonts w:eastAsia="Times New Roman" w:cs="Calibri"/>
                <w:color w:val="000000"/>
                <w:sz w:val="20"/>
                <w:szCs w:val="20"/>
                <w:lang w:eastAsia="hr-HR"/>
              </w:rPr>
              <w:t>Dignano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453</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Vrsar-Orsera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2.706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50,15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454</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Žminj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2.728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1,98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455</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Dekanovec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456</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Donja Dubrava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1.828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0,82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457</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Donji </w:t>
            </w:r>
            <w:proofErr w:type="spellStart"/>
            <w:r w:rsidRPr="00A82971">
              <w:rPr>
                <w:rFonts w:eastAsia="Times New Roman" w:cs="Calibri"/>
                <w:color w:val="000000"/>
                <w:sz w:val="20"/>
                <w:szCs w:val="20"/>
                <w:lang w:eastAsia="hr-HR"/>
              </w:rPr>
              <w:t>Kraljevec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3.798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458</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Donji </w:t>
            </w:r>
            <w:proofErr w:type="spellStart"/>
            <w:r w:rsidRPr="00A82971">
              <w:rPr>
                <w:rFonts w:eastAsia="Times New Roman" w:cs="Calibri"/>
                <w:color w:val="000000"/>
                <w:sz w:val="20"/>
                <w:szCs w:val="20"/>
                <w:lang w:eastAsia="hr-HR"/>
              </w:rPr>
              <w:t>Vidovec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1.250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459</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Gornji </w:t>
            </w:r>
            <w:proofErr w:type="spellStart"/>
            <w:r w:rsidRPr="00A82971">
              <w:rPr>
                <w:rFonts w:eastAsia="Times New Roman" w:cs="Calibri"/>
                <w:color w:val="000000"/>
                <w:sz w:val="20"/>
                <w:szCs w:val="20"/>
                <w:lang w:eastAsia="hr-HR"/>
              </w:rPr>
              <w:t>Mihaljevec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460</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Kotoriba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2.535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461</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Mursko Središće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462</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Nedelišće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7.893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463</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Orehovica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1.716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464</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Podturen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2.851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465</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Pribislavec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1.832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466</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Selnica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467</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Sveti Juraj na Bregu</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4.296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468</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Sveti Martin na Muri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2.644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469</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Štrigova</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2.762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470</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proofErr w:type="spellStart"/>
            <w:r w:rsidRPr="00A82971">
              <w:rPr>
                <w:rFonts w:eastAsia="Times New Roman" w:cs="Calibri"/>
                <w:color w:val="000000"/>
                <w:sz w:val="20"/>
                <w:szCs w:val="20"/>
                <w:lang w:eastAsia="hr-HR"/>
              </w:rPr>
              <w:t>Vratišinec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1.327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471</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GRAD ZAGREB</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Gradska četvrt</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Brezovica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6.521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bl>
    <w:p w:rsidR="007D14E3" w:rsidRDefault="007D14E3" w:rsidP="00B43299"/>
    <w:p w:rsidR="007D14E3" w:rsidRPr="00E970CD" w:rsidRDefault="007D14E3" w:rsidP="00E970CD">
      <w:pPr>
        <w:pStyle w:val="Heading1"/>
        <w:numPr>
          <w:ilvl w:val="0"/>
          <w:numId w:val="0"/>
        </w:numPr>
        <w:ind w:left="432"/>
      </w:pPr>
      <w:bookmarkStart w:id="689" w:name="_Toc124852037"/>
      <w:bookmarkStart w:id="690" w:name="_Toc124852598"/>
      <w:bookmarkStart w:id="691" w:name="_Toc124859667"/>
      <w:bookmarkStart w:id="692" w:name="_Toc124928644"/>
      <w:bookmarkStart w:id="693" w:name="_Toc124946986"/>
      <w:bookmarkStart w:id="694" w:name="_Toc124948896"/>
      <w:bookmarkStart w:id="695" w:name="_Toc124951791"/>
      <w:bookmarkStart w:id="696" w:name="_Toc125644950"/>
      <w:r w:rsidRPr="00E970CD">
        <w:t xml:space="preserve">Privitak 2 – </w:t>
      </w:r>
      <w:r w:rsidR="00141AEC" w:rsidRPr="00E970CD">
        <w:t xml:space="preserve">Popis geografskih jedinica koje pripadaju Tržištu velikog kapaciteta - nekonkurentna područja - </w:t>
      </w:r>
      <w:r w:rsidR="002D636E" w:rsidRPr="00E970CD">
        <w:t>Klaster B</w:t>
      </w:r>
      <w:bookmarkEnd w:id="689"/>
      <w:bookmarkEnd w:id="690"/>
      <w:bookmarkEnd w:id="691"/>
      <w:bookmarkEnd w:id="692"/>
      <w:bookmarkEnd w:id="693"/>
      <w:bookmarkEnd w:id="694"/>
      <w:bookmarkEnd w:id="695"/>
      <w:bookmarkEnd w:id="696"/>
      <w:r w:rsidRPr="00E970CD">
        <w:t xml:space="preserve"> </w:t>
      </w:r>
    </w:p>
    <w:p w:rsidR="007D14E3" w:rsidRDefault="007D14E3">
      <w:pPr>
        <w:rPr>
          <w:rFonts w:ascii="Segoe UI Semibold" w:eastAsiaTheme="majorEastAsia" w:hAnsi="Segoe UI Semibold" w:cs="Segoe UI Semibold"/>
          <w:color w:val="1F3864" w:themeColor="accent1" w:themeShade="80"/>
        </w:rPr>
      </w:pPr>
    </w:p>
    <w:tbl>
      <w:tblPr>
        <w:tblW w:w="10740" w:type="dxa"/>
        <w:tblInd w:w="-672" w:type="dxa"/>
        <w:tblLook w:val="04A0" w:firstRow="1" w:lastRow="0" w:firstColumn="1" w:lastColumn="0" w:noHBand="0" w:noVBand="1"/>
      </w:tblPr>
      <w:tblGrid>
        <w:gridCol w:w="591"/>
        <w:gridCol w:w="2554"/>
        <w:gridCol w:w="1270"/>
        <w:gridCol w:w="2076"/>
        <w:gridCol w:w="1400"/>
        <w:gridCol w:w="1800"/>
        <w:gridCol w:w="1049"/>
      </w:tblGrid>
      <w:tr w:rsidR="007D14E3" w:rsidRPr="00B25A2D" w:rsidTr="007D14E3">
        <w:trPr>
          <w:trHeight w:val="750"/>
        </w:trPr>
        <w:tc>
          <w:tcPr>
            <w:tcW w:w="591"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Red. Br</w:t>
            </w:r>
          </w:p>
        </w:tc>
        <w:tc>
          <w:tcPr>
            <w:tcW w:w="2554"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Županija</w:t>
            </w:r>
          </w:p>
        </w:tc>
        <w:tc>
          <w:tcPr>
            <w:tcW w:w="1270"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Tip jedinice</w:t>
            </w:r>
          </w:p>
        </w:tc>
        <w:tc>
          <w:tcPr>
            <w:tcW w:w="2076"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Pr="00B25A2D">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Broj korisničkih jedinica</w:t>
            </w:r>
          </w:p>
        </w:tc>
        <w:tc>
          <w:tcPr>
            <w:tcW w:w="1800"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Broj operatora</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KRAPINSKO-ZAGORSKA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Krapina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8.936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KARLOVAČKA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Karlovac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43.229</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38,44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3</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Gornji </w:t>
            </w:r>
            <w:proofErr w:type="spellStart"/>
            <w:r w:rsidRPr="00B25A2D">
              <w:rPr>
                <w:rFonts w:eastAsia="Times New Roman" w:cs="Calibri"/>
                <w:color w:val="000000"/>
                <w:sz w:val="20"/>
                <w:szCs w:val="20"/>
                <w:lang w:eastAsia="hr-HR"/>
              </w:rPr>
              <w:t>Kneginec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3.106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4</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Ivanec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7.366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5</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Ludbreg</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6.716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6</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proofErr w:type="spellStart"/>
            <w:r w:rsidRPr="00B25A2D">
              <w:rPr>
                <w:rFonts w:eastAsia="Times New Roman" w:cs="Calibri"/>
                <w:color w:val="000000"/>
                <w:sz w:val="20"/>
                <w:szCs w:val="20"/>
                <w:lang w:eastAsia="hr-HR"/>
              </w:rPr>
              <w:t>Sračinec</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1.831</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7</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proofErr w:type="spellStart"/>
            <w:r w:rsidRPr="00B25A2D">
              <w:rPr>
                <w:rFonts w:eastAsia="Times New Roman" w:cs="Calibri"/>
                <w:color w:val="000000"/>
                <w:sz w:val="20"/>
                <w:szCs w:val="20"/>
                <w:lang w:eastAsia="hr-HR"/>
              </w:rPr>
              <w:t>Trnovec</w:t>
            </w:r>
            <w:proofErr w:type="spellEnd"/>
            <w:r w:rsidRPr="00B25A2D">
              <w:rPr>
                <w:rFonts w:eastAsia="Times New Roman" w:cs="Calibri"/>
                <w:color w:val="000000"/>
                <w:sz w:val="20"/>
                <w:szCs w:val="20"/>
                <w:lang w:eastAsia="hr-HR"/>
              </w:rPr>
              <w:t xml:space="preserve"> </w:t>
            </w:r>
            <w:proofErr w:type="spellStart"/>
            <w:r w:rsidRPr="00B25A2D">
              <w:rPr>
                <w:rFonts w:eastAsia="Times New Roman" w:cs="Calibri"/>
                <w:color w:val="000000"/>
                <w:sz w:val="20"/>
                <w:szCs w:val="20"/>
                <w:lang w:eastAsia="hr-HR"/>
              </w:rPr>
              <w:t>Bartolovečki</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2.661</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0,49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8</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24.674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74,99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9</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KOPRIVNIČKO-KRIŽEVAČKA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Koprivnica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18.564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10</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Crikvenica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16.493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96,34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11</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Kastav</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5.915</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87,12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12</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Matulji</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7.176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84,74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13</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Opatija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9.968</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87,91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14</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VUKOVARSKO-SRIJEMSKA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Vinkovci</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20.438</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45,61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15</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proofErr w:type="spellStart"/>
            <w:r w:rsidRPr="00B25A2D">
              <w:rPr>
                <w:rFonts w:eastAsia="Times New Roman" w:cs="Calibri"/>
                <w:color w:val="000000"/>
                <w:sz w:val="20"/>
                <w:szCs w:val="20"/>
                <w:lang w:eastAsia="hr-HR"/>
              </w:rPr>
              <w:t>Brtonigla-Verteneglio</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2.095</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10,02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16</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Buje-</w:t>
            </w:r>
            <w:proofErr w:type="spellStart"/>
            <w:r w:rsidRPr="00B25A2D">
              <w:rPr>
                <w:rFonts w:eastAsia="Times New Roman" w:cs="Calibri"/>
                <w:color w:val="000000"/>
                <w:sz w:val="20"/>
                <w:szCs w:val="20"/>
                <w:lang w:eastAsia="hr-HR"/>
              </w:rPr>
              <w:t>Buie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5.143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23,60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17</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proofErr w:type="spellStart"/>
            <w:r w:rsidRPr="00B25A2D">
              <w:rPr>
                <w:rFonts w:eastAsia="Times New Roman" w:cs="Calibri"/>
                <w:color w:val="000000"/>
                <w:sz w:val="20"/>
                <w:szCs w:val="20"/>
                <w:lang w:eastAsia="hr-HR"/>
              </w:rPr>
              <w:t>Oprtalj-Portole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984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18</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Pula-Pola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43.684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45,48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19</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MEĐIMURSKA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Čakovec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20.963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62,86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20</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MEĐIMURSKA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Prelog</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5.149</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19,34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21</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GRAD ZAGREB</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Gradska četvrt</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Gornji Grad</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20.372</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97,85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22</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 ZAGREB</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Gradska četvrt</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proofErr w:type="spellStart"/>
            <w:r w:rsidRPr="00B25A2D">
              <w:rPr>
                <w:rFonts w:eastAsia="Times New Roman" w:cs="Calibri"/>
                <w:color w:val="000000"/>
                <w:sz w:val="20"/>
                <w:szCs w:val="20"/>
                <w:lang w:eastAsia="hr-HR"/>
              </w:rPr>
              <w:t>Podsljeme</w:t>
            </w:r>
            <w:proofErr w:type="spellEnd"/>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9.803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53,80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w:t>
            </w:r>
          </w:p>
        </w:tc>
      </w:tr>
    </w:tbl>
    <w:p w:rsidR="007D14E3" w:rsidRDefault="007D14E3" w:rsidP="002C7349"/>
    <w:p w:rsidR="007D14E3" w:rsidRDefault="007D14E3">
      <w:r>
        <w:br w:type="page"/>
      </w:r>
    </w:p>
    <w:p w:rsidR="009123FB" w:rsidRPr="00E970CD" w:rsidRDefault="00A47516" w:rsidP="00E970CD">
      <w:pPr>
        <w:pStyle w:val="Heading1"/>
        <w:numPr>
          <w:ilvl w:val="0"/>
          <w:numId w:val="0"/>
        </w:numPr>
        <w:ind w:left="432"/>
      </w:pPr>
      <w:bookmarkStart w:id="697" w:name="_Toc124946987"/>
      <w:bookmarkStart w:id="698" w:name="_Toc124948897"/>
      <w:bookmarkStart w:id="699" w:name="_Toc124951792"/>
      <w:bookmarkStart w:id="700" w:name="_Toc125644951"/>
      <w:bookmarkStart w:id="701" w:name="_Toc124852038"/>
      <w:bookmarkStart w:id="702" w:name="_Toc124852599"/>
      <w:bookmarkStart w:id="703" w:name="_Toc124859668"/>
      <w:bookmarkStart w:id="704" w:name="_Toc124928645"/>
      <w:r w:rsidRPr="00E970CD">
        <w:t>Privitak 3 – P</w:t>
      </w:r>
      <w:r w:rsidR="00141AEC" w:rsidRPr="00E970CD">
        <w:t>opis geografskih jedinica koje pripadaju Tržištu velikog kapaciteta - konkurentna područja</w:t>
      </w:r>
      <w:bookmarkEnd w:id="697"/>
      <w:bookmarkEnd w:id="698"/>
      <w:bookmarkEnd w:id="699"/>
      <w:bookmarkEnd w:id="700"/>
      <w:r w:rsidR="00141AEC" w:rsidRPr="00E970CD">
        <w:t xml:space="preserve"> </w:t>
      </w:r>
      <w:bookmarkEnd w:id="701"/>
      <w:bookmarkEnd w:id="702"/>
      <w:bookmarkEnd w:id="703"/>
      <w:bookmarkEnd w:id="704"/>
    </w:p>
    <w:p w:rsidR="007D14E3" w:rsidRPr="00010077" w:rsidRDefault="007D14E3" w:rsidP="002C7349">
      <w:pPr>
        <w:rPr>
          <w:rFonts w:cs="Segoe UI Semibold"/>
          <w:sz w:val="4"/>
          <w:szCs w:val="4"/>
        </w:rPr>
      </w:pPr>
    </w:p>
    <w:tbl>
      <w:tblPr>
        <w:tblW w:w="10598" w:type="dxa"/>
        <w:tblInd w:w="-567" w:type="dxa"/>
        <w:tblLook w:val="04A0" w:firstRow="1" w:lastRow="0" w:firstColumn="1" w:lastColumn="0" w:noHBand="0" w:noVBand="1"/>
      </w:tblPr>
      <w:tblGrid>
        <w:gridCol w:w="604"/>
        <w:gridCol w:w="2707"/>
        <w:gridCol w:w="1272"/>
        <w:gridCol w:w="1653"/>
        <w:gridCol w:w="1612"/>
        <w:gridCol w:w="1693"/>
        <w:gridCol w:w="1057"/>
      </w:tblGrid>
      <w:tr w:rsidR="007F7FCF" w:rsidRPr="00777EAE" w:rsidTr="007F7FCF">
        <w:trPr>
          <w:trHeight w:val="591"/>
        </w:trPr>
        <w:tc>
          <w:tcPr>
            <w:tcW w:w="604"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Red. Br</w:t>
            </w:r>
          </w:p>
        </w:tc>
        <w:tc>
          <w:tcPr>
            <w:tcW w:w="2707"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Županija</w:t>
            </w:r>
          </w:p>
        </w:tc>
        <w:tc>
          <w:tcPr>
            <w:tcW w:w="1272"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Tip jedinice</w:t>
            </w:r>
          </w:p>
        </w:tc>
        <w:tc>
          <w:tcPr>
            <w:tcW w:w="1653"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7D14E3" w:rsidRPr="00777EAE">
              <w:rPr>
                <w:rFonts w:eastAsia="Times New Roman" w:cs="Calibri"/>
                <w:b/>
                <w:bCs/>
                <w:color w:val="000000"/>
                <w:sz w:val="20"/>
                <w:szCs w:val="20"/>
                <w:lang w:eastAsia="hr-HR"/>
              </w:rPr>
              <w:t xml:space="preserve"> jedinice</w:t>
            </w:r>
          </w:p>
        </w:tc>
        <w:tc>
          <w:tcPr>
            <w:tcW w:w="1612"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korisničkih jedinica</w:t>
            </w:r>
          </w:p>
        </w:tc>
        <w:tc>
          <w:tcPr>
            <w:tcW w:w="1693"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Pokrivenost VHCN infrastrukturom</w:t>
            </w:r>
          </w:p>
        </w:tc>
        <w:tc>
          <w:tcPr>
            <w:tcW w:w="1057"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operatora</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Dugo Selo</w:t>
            </w:r>
          </w:p>
        </w:tc>
        <w:tc>
          <w:tcPr>
            <w:tcW w:w="1612"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9.161</w:t>
            </w:r>
          </w:p>
        </w:tc>
        <w:tc>
          <w:tcPr>
            <w:tcW w:w="1693"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31,35</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Samobor</w:t>
            </w:r>
          </w:p>
        </w:tc>
        <w:tc>
          <w:tcPr>
            <w:tcW w:w="1612"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26.342</w:t>
            </w:r>
          </w:p>
        </w:tc>
        <w:tc>
          <w:tcPr>
            <w:tcW w:w="1693"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44,44</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Velika Gorica</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27.709</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54,14</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Zaprešić</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12.175</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42,90</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5</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SISAČKO-MOSLAVAČKA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Novska</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7.380</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29,59</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6</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SISAČKO-MOSLAVAČKA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Sisak</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23.777</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51,31</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7</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Drnje</w:t>
            </w:r>
            <w:proofErr w:type="spellEnd"/>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951</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92,85</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8</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Đurđevac</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5.248</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44,40</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9</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Kalinovac</w:t>
            </w:r>
            <w:proofErr w:type="spellEnd"/>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890</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81,80</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10</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Kloštar Podravski</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2.062</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34,34</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11</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Koprivnički </w:t>
            </w:r>
            <w:proofErr w:type="spellStart"/>
            <w:r w:rsidRPr="00777EAE">
              <w:rPr>
                <w:rFonts w:eastAsia="Times New Roman" w:cs="Calibri"/>
                <w:color w:val="000000"/>
                <w:sz w:val="20"/>
                <w:szCs w:val="20"/>
                <w:lang w:eastAsia="hr-HR"/>
              </w:rPr>
              <w:t>Bregi</w:t>
            </w:r>
            <w:proofErr w:type="spellEnd"/>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1.606</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44,96</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12</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Koprivnički Ivanec</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1.028</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46,30</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13</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Novigrad Podravski</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2.810</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28,86</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14</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Virje</w:t>
            </w:r>
            <w:proofErr w:type="spellEnd"/>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4.862</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46,79</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15</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Križevci</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10.838</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33,71</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16</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BJELOVARSKO-BILOGORSKA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Daruvar</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7.607</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52,19</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17</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Čavle</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3.548</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94,73</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18</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Delnice</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3.384</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72,37</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19</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Fužine</w:t>
            </w:r>
            <w:proofErr w:type="spellEnd"/>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1.127</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35,40</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20</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Jelenje</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2.612</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98,09</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21</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Klana</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957</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82,34</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22</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Kostrena</w:t>
            </w:r>
            <w:proofErr w:type="spellEnd"/>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2.608</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87,27</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23</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Kraljevica</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2.414</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80,45</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24</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Lokve</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672</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51,34</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25</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Lovran</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3.075</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94,34</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7D14E3" w:rsidRPr="00777EAE" w:rsidTr="007F7FCF">
        <w:trPr>
          <w:trHeight w:val="434"/>
        </w:trPr>
        <w:tc>
          <w:tcPr>
            <w:tcW w:w="604"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26</w:t>
            </w:r>
          </w:p>
        </w:tc>
        <w:tc>
          <w:tcPr>
            <w:tcW w:w="270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72"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53"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Mošćenička</w:t>
            </w:r>
            <w:proofErr w:type="spellEnd"/>
            <w:r w:rsidRPr="00777EAE">
              <w:rPr>
                <w:rFonts w:eastAsia="Times New Roman" w:cs="Calibri"/>
                <w:color w:val="000000"/>
                <w:sz w:val="20"/>
                <w:szCs w:val="20"/>
                <w:lang w:eastAsia="hr-HR"/>
              </w:rPr>
              <w:t xml:space="preserve"> Draga</w:t>
            </w:r>
          </w:p>
        </w:tc>
        <w:tc>
          <w:tcPr>
            <w:tcW w:w="1612"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1.753</w:t>
            </w:r>
          </w:p>
        </w:tc>
        <w:tc>
          <w:tcPr>
            <w:tcW w:w="1693"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52,82</w:t>
            </w:r>
            <w:r w:rsidR="00997874">
              <w:rPr>
                <w:rFonts w:eastAsia="Times New Roman" w:cs="Calibri"/>
                <w:color w:val="000000"/>
                <w:sz w:val="20"/>
                <w:szCs w:val="20"/>
                <w:lang w:eastAsia="hr-HR"/>
              </w:rPr>
              <w:t>%</w:t>
            </w:r>
          </w:p>
        </w:tc>
        <w:tc>
          <w:tcPr>
            <w:tcW w:w="1057"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bl>
    <w:tbl>
      <w:tblPr>
        <w:tblpPr w:leftFromText="180" w:rightFromText="180" w:vertAnchor="page" w:horzAnchor="page" w:tblpX="847" w:tblpY="2035"/>
        <w:tblW w:w="10520" w:type="dxa"/>
        <w:tblLook w:val="04A0" w:firstRow="1" w:lastRow="0" w:firstColumn="1" w:lastColumn="0" w:noHBand="0" w:noVBand="1"/>
      </w:tblPr>
      <w:tblGrid>
        <w:gridCol w:w="600"/>
        <w:gridCol w:w="2689"/>
        <w:gridCol w:w="1264"/>
        <w:gridCol w:w="1638"/>
        <w:gridCol w:w="1600"/>
        <w:gridCol w:w="1680"/>
        <w:gridCol w:w="1049"/>
      </w:tblGrid>
      <w:tr w:rsidR="002C7349" w:rsidRPr="00777EAE" w:rsidTr="002C7349">
        <w:trPr>
          <w:trHeight w:val="630"/>
        </w:trPr>
        <w:tc>
          <w:tcPr>
            <w:tcW w:w="60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Red. Br</w:t>
            </w:r>
          </w:p>
        </w:tc>
        <w:tc>
          <w:tcPr>
            <w:tcW w:w="2689" w:type="dxa"/>
            <w:tcBorders>
              <w:top w:val="single" w:sz="4" w:space="0" w:color="auto"/>
              <w:left w:val="nil"/>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Županija</w:t>
            </w:r>
          </w:p>
        </w:tc>
        <w:tc>
          <w:tcPr>
            <w:tcW w:w="1264" w:type="dxa"/>
            <w:tcBorders>
              <w:top w:val="single" w:sz="4" w:space="0" w:color="auto"/>
              <w:left w:val="nil"/>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Tip jedinice</w:t>
            </w:r>
          </w:p>
        </w:tc>
        <w:tc>
          <w:tcPr>
            <w:tcW w:w="1638" w:type="dxa"/>
            <w:tcBorders>
              <w:top w:val="single" w:sz="4" w:space="0" w:color="auto"/>
              <w:left w:val="nil"/>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Pr="00777EAE">
              <w:rPr>
                <w:rFonts w:eastAsia="Times New Roman" w:cs="Calibri"/>
                <w:b/>
                <w:bCs/>
                <w:color w:val="000000"/>
                <w:sz w:val="20"/>
                <w:szCs w:val="20"/>
                <w:lang w:eastAsia="hr-HR"/>
              </w:rPr>
              <w:t xml:space="preserve"> jedinice</w:t>
            </w:r>
          </w:p>
        </w:tc>
        <w:tc>
          <w:tcPr>
            <w:tcW w:w="1600" w:type="dxa"/>
            <w:tcBorders>
              <w:top w:val="single" w:sz="4" w:space="0" w:color="auto"/>
              <w:left w:val="nil"/>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korisničkih jedinica</w:t>
            </w:r>
          </w:p>
        </w:tc>
        <w:tc>
          <w:tcPr>
            <w:tcW w:w="1680" w:type="dxa"/>
            <w:tcBorders>
              <w:top w:val="single" w:sz="4" w:space="0" w:color="auto"/>
              <w:left w:val="nil"/>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2C7349" w:rsidRPr="00777EAE" w:rsidRDefault="002C7349" w:rsidP="002C7349">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operatora</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27</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Mrkopalj</w:t>
            </w:r>
            <w:proofErr w:type="spellEnd"/>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1.043</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65,3</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28</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Novi Vinodolski</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7.517</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87</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29</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Ravna Gora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1.378</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76,27</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30</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Rijeka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74.379</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74,90</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31</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Skrad</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723</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27,80</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32</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Vinodolska općina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4.605</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61,17</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33</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Vrbovsko</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3.465</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28,89</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34</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VIROVITIČKO-PODRAVSKA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Gradina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1.750</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33,77</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35</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VIROVITIČKO-PODRAVSKA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Pitomača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5.196</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51,58</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36</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VIROVITIČKO-PODRAVSKA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Virovitica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10.763</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66,61</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37</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POŽEŠKO-SLAVONSKA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Lipik</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4.239</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31,61</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38</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ZADARSKA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Zadar</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53.379</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48,99</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39</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OSJEČKO-BARANJSKA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Osijek</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77.853</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58,68</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40</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DUBROVAČKO-NERETVANSKA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Ploče</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6.348</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30,94</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41</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VUKOVARSKO-SRIJEMSKA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Vukovar</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19.284</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31,90</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42</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SPLITSKO-DALMATINSKA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Brela</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1.337</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63,13</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43</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SPLITSKO-DALMATINSKA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Solin</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12.712</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27,71</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44</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SPLITSKO-DALMATINSKA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94.655</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85,27</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45</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SPLITSKO-DALMATINSKA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Tučepi</w:t>
            </w:r>
            <w:proofErr w:type="spellEnd"/>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1.037</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60,56</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46</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Buzet</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5.555</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38,51</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47</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Cerovlje</w:t>
            </w:r>
            <w:proofErr w:type="spellEnd"/>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996</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36,55</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48</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Gračišće</w:t>
            </w:r>
            <w:proofErr w:type="spellEnd"/>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928</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38,69</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49</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Karojba</w:t>
            </w:r>
            <w:proofErr w:type="spellEnd"/>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1.007</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71,30</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50</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Kršan</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2.557</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66,33</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51</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Labin</w:t>
            </w:r>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10.916</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68,31</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2C7349" w:rsidRPr="00777EAE" w:rsidTr="002C7349">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lang w:eastAsia="hr-HR"/>
              </w:rPr>
            </w:pPr>
            <w:r w:rsidRPr="00777EAE">
              <w:rPr>
                <w:rFonts w:eastAsia="Times New Roman" w:cs="Calibri"/>
                <w:color w:val="000000"/>
                <w:lang w:eastAsia="hr-HR"/>
              </w:rPr>
              <w:t>52</w:t>
            </w:r>
          </w:p>
        </w:tc>
        <w:tc>
          <w:tcPr>
            <w:tcW w:w="2689"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2C7349" w:rsidRPr="00777EAE" w:rsidRDefault="002C7349" w:rsidP="002C7349">
            <w:pPr>
              <w:jc w:val="center"/>
              <w:rPr>
                <w:rFonts w:eastAsia="Times New Roman" w:cs="Calibri"/>
                <w:color w:val="000000"/>
                <w:sz w:val="20"/>
                <w:szCs w:val="20"/>
                <w:lang w:eastAsia="hr-HR"/>
              </w:rPr>
            </w:pPr>
            <w:proofErr w:type="spellStart"/>
            <w:r w:rsidRPr="00777EAE">
              <w:rPr>
                <w:rFonts w:eastAsia="Times New Roman" w:cs="Calibri"/>
                <w:color w:val="000000"/>
                <w:sz w:val="20"/>
                <w:szCs w:val="20"/>
                <w:lang w:eastAsia="hr-HR"/>
              </w:rPr>
              <w:t>Lanišće</w:t>
            </w:r>
            <w:proofErr w:type="spellEnd"/>
          </w:p>
        </w:tc>
        <w:tc>
          <w:tcPr>
            <w:tcW w:w="160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816</w:t>
            </w:r>
          </w:p>
        </w:tc>
        <w:tc>
          <w:tcPr>
            <w:tcW w:w="1680"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87,38</w:t>
            </w:r>
            <w:r>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2C7349" w:rsidRPr="00777EAE" w:rsidRDefault="002C7349" w:rsidP="002C7349">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bl>
    <w:tbl>
      <w:tblPr>
        <w:tblW w:w="10489" w:type="dxa"/>
        <w:tblInd w:w="-567" w:type="dxa"/>
        <w:tblLook w:val="04A0" w:firstRow="1" w:lastRow="0" w:firstColumn="1" w:lastColumn="0" w:noHBand="0" w:noVBand="1"/>
      </w:tblPr>
      <w:tblGrid>
        <w:gridCol w:w="599"/>
        <w:gridCol w:w="2677"/>
        <w:gridCol w:w="1259"/>
        <w:gridCol w:w="1635"/>
        <w:gridCol w:w="1595"/>
        <w:gridCol w:w="1675"/>
        <w:gridCol w:w="1049"/>
      </w:tblGrid>
      <w:tr w:rsidR="007F7FCF" w:rsidRPr="0001271D" w:rsidTr="007F7FCF">
        <w:trPr>
          <w:trHeight w:val="598"/>
        </w:trPr>
        <w:tc>
          <w:tcPr>
            <w:tcW w:w="598"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Red. Br</w:t>
            </w:r>
          </w:p>
        </w:tc>
        <w:tc>
          <w:tcPr>
            <w:tcW w:w="2679"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Županija</w:t>
            </w:r>
          </w:p>
        </w:tc>
        <w:tc>
          <w:tcPr>
            <w:tcW w:w="1260"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Tip jedinice</w:t>
            </w:r>
          </w:p>
        </w:tc>
        <w:tc>
          <w:tcPr>
            <w:tcW w:w="1636"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9C2202"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7D14E3" w:rsidRPr="0001271D">
              <w:rPr>
                <w:rFonts w:eastAsia="Times New Roman" w:cs="Calibri"/>
                <w:b/>
                <w:bCs/>
                <w:color w:val="000000"/>
                <w:sz w:val="20"/>
                <w:szCs w:val="20"/>
                <w:lang w:eastAsia="hr-HR"/>
              </w:rPr>
              <w:t xml:space="preserve"> jedinice</w:t>
            </w:r>
          </w:p>
        </w:tc>
        <w:tc>
          <w:tcPr>
            <w:tcW w:w="1595"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Broj korisničkih jedinica</w:t>
            </w:r>
          </w:p>
        </w:tc>
        <w:tc>
          <w:tcPr>
            <w:tcW w:w="1675"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Pokrivenost VHCN infrastrukturom</w:t>
            </w:r>
          </w:p>
        </w:tc>
        <w:tc>
          <w:tcPr>
            <w:tcW w:w="1046"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Broj operatora</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53</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Lupoglav</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891</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42,65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54</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Motovun-</w:t>
            </w:r>
            <w:proofErr w:type="spellStart"/>
            <w:r w:rsidRPr="0001271D">
              <w:rPr>
                <w:rFonts w:eastAsia="Times New Roman" w:cs="Calibri"/>
                <w:color w:val="000000"/>
                <w:sz w:val="20"/>
                <w:szCs w:val="20"/>
                <w:lang w:eastAsia="hr-HR"/>
              </w:rPr>
              <w:t>Montona</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940</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29,68</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55</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Pazin</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5.798</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74,20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4</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56</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Pićan</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1.266</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32,86</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57</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Raša</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2.949</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29,47</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58</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Sveta </w:t>
            </w:r>
            <w:proofErr w:type="spellStart"/>
            <w:r w:rsidRPr="0001271D">
              <w:rPr>
                <w:rFonts w:eastAsia="Times New Roman" w:cs="Calibri"/>
                <w:color w:val="000000"/>
                <w:sz w:val="20"/>
                <w:szCs w:val="20"/>
                <w:lang w:eastAsia="hr-HR"/>
              </w:rPr>
              <w:t>Nedelja</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2.390</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37,74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59</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Sveti Petar u Šumi</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642</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84,42</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60</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Belica</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2.112</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98,15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61</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Domašinec</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1.564</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95,27</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62</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Goričan</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2.214</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91,78</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63</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Mala Subotica</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3.206</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82</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64</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Šenkovec</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1.968</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89,68</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65</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Strahoninec</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1.924</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100,00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66</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Črnomerec</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23.212</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79,39</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67</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Donja Dubrava</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15.364</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82,96</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68</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Donji Grad</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28.293</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95,94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69</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Gornja Dubrava</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29.077</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65,37</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70</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Maksimir</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28.646</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78,35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71</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Novi Zagreb Istok</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34.333</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98,96</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72</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Novi Zagreb Zapad</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35.434</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87,58</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73</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Podsused </w:t>
            </w:r>
            <w:proofErr w:type="spellStart"/>
            <w:r w:rsidRPr="0001271D">
              <w:rPr>
                <w:rFonts w:eastAsia="Times New Roman" w:cs="Calibri"/>
                <w:color w:val="000000"/>
                <w:sz w:val="20"/>
                <w:szCs w:val="20"/>
                <w:lang w:eastAsia="hr-HR"/>
              </w:rPr>
              <w:t>Vrapćče</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25.433</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81,35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74</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Peščenica- Žitnjak</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33.646</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74,72</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75</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Sesvete</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35.126</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52,74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76</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proofErr w:type="spellStart"/>
            <w:r w:rsidRPr="0001271D">
              <w:rPr>
                <w:rFonts w:eastAsia="Times New Roman" w:cs="Calibri"/>
                <w:color w:val="000000"/>
                <w:sz w:val="20"/>
                <w:szCs w:val="20"/>
                <w:lang w:eastAsia="hr-HR"/>
              </w:rPr>
              <w:t>Stenjevec</w:t>
            </w:r>
            <w:proofErr w:type="spellEnd"/>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32.215</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95,92</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77</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Trešnjevka Jug</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40.088</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96,44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78</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Trešnjevka Sjever</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39.327</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91,66</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10</w:t>
            </w:r>
          </w:p>
        </w:tc>
      </w:tr>
      <w:tr w:rsidR="007D14E3" w:rsidRPr="0001271D" w:rsidTr="007F7FCF">
        <w:trPr>
          <w:trHeight w:val="439"/>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2C7349">
            <w:pPr>
              <w:rPr>
                <w:lang w:eastAsia="hr-HR"/>
              </w:rPr>
            </w:pPr>
            <w:r w:rsidRPr="0001271D">
              <w:rPr>
                <w:lang w:eastAsia="hr-HR"/>
              </w:rPr>
              <w:t>79</w:t>
            </w:r>
          </w:p>
        </w:tc>
        <w:tc>
          <w:tcPr>
            <w:tcW w:w="2679"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0"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3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Trnje</w:t>
            </w:r>
          </w:p>
        </w:tc>
        <w:tc>
          <w:tcPr>
            <w:tcW w:w="159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29.957</w:t>
            </w:r>
          </w:p>
        </w:tc>
        <w:tc>
          <w:tcPr>
            <w:tcW w:w="1675"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97,02</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bl>
    <w:p w:rsidR="00FA7700" w:rsidRPr="00E970CD" w:rsidRDefault="00010077" w:rsidP="00E970CD">
      <w:pPr>
        <w:pStyle w:val="Heading1"/>
        <w:numPr>
          <w:ilvl w:val="0"/>
          <w:numId w:val="0"/>
        </w:numPr>
        <w:ind w:left="432"/>
      </w:pPr>
      <w:bookmarkStart w:id="705" w:name="_Toc124852039"/>
      <w:bookmarkStart w:id="706" w:name="_Toc124852600"/>
      <w:bookmarkStart w:id="707" w:name="_Toc124859669"/>
      <w:bookmarkStart w:id="708" w:name="_Toc124928646"/>
      <w:bookmarkStart w:id="709" w:name="_Toc124946988"/>
      <w:bookmarkStart w:id="710" w:name="_Toc124948898"/>
      <w:bookmarkStart w:id="711" w:name="_Toc124951793"/>
      <w:bookmarkStart w:id="712" w:name="_Toc125644952"/>
      <w:r w:rsidRPr="00E970CD">
        <w:t>Privitak 4 – Ažuriranje statusa geografskih jedinica</w:t>
      </w:r>
      <w:bookmarkEnd w:id="705"/>
      <w:bookmarkEnd w:id="706"/>
      <w:bookmarkEnd w:id="707"/>
      <w:bookmarkEnd w:id="708"/>
      <w:bookmarkEnd w:id="709"/>
      <w:bookmarkEnd w:id="710"/>
      <w:bookmarkEnd w:id="711"/>
      <w:bookmarkEnd w:id="712"/>
    </w:p>
    <w:p w:rsidR="00BC2165" w:rsidRPr="00BC2165" w:rsidRDefault="00BC2165" w:rsidP="00BC2165"/>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Ažuriranje popisa geografskih jedinica i revidiranje statusa pripadanja odgovarajućem području te utvrđivanje statusa operatora sa značajnom tržišnom snagom sukladno točkama 9. i 10. Odluke</w:t>
      </w:r>
    </w:p>
    <w:p w:rsidR="00BC2165" w:rsidRPr="00F20FD4" w:rsidRDefault="00BC2165" w:rsidP="00BC2165">
      <w:pPr>
        <w:rPr>
          <w:rFonts w:asciiTheme="minorHAnsi" w:hAnsiTheme="minorHAnsi" w:cstheme="minorHAnsi"/>
        </w:rPr>
      </w:pP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U Dokumentu Analize tržišta postoje tri privitka (koja se odnose na popise geografskih jedinica):</w:t>
      </w:r>
    </w:p>
    <w:p w:rsidR="00BC2165" w:rsidRPr="00F20FD4" w:rsidRDefault="00BC2165" w:rsidP="00766501">
      <w:pPr>
        <w:pStyle w:val="ListParagraph"/>
        <w:numPr>
          <w:ilvl w:val="0"/>
          <w:numId w:val="9"/>
        </w:numPr>
        <w:jc w:val="both"/>
        <w:rPr>
          <w:rFonts w:asciiTheme="minorHAnsi" w:hAnsiTheme="minorHAnsi" w:cstheme="minorHAnsi"/>
        </w:rPr>
      </w:pPr>
      <w:r w:rsidRPr="00F20FD4">
        <w:rPr>
          <w:rFonts w:asciiTheme="minorHAnsi" w:hAnsiTheme="minorHAnsi" w:cstheme="minorHAnsi"/>
        </w:rPr>
        <w:t xml:space="preserve">Privitak 1 - Popis </w:t>
      </w:r>
      <w:r w:rsidR="00141AEC" w:rsidRPr="00F20FD4">
        <w:rPr>
          <w:rFonts w:asciiTheme="minorHAnsi" w:hAnsiTheme="minorHAnsi" w:cstheme="minorHAnsi"/>
        </w:rPr>
        <w:t xml:space="preserve">geografskih jedinica koje pripadaju Tržištu velikog kapaciteta - </w:t>
      </w:r>
      <w:r w:rsidRPr="00F20FD4">
        <w:rPr>
          <w:rFonts w:asciiTheme="minorHAnsi" w:hAnsiTheme="minorHAnsi" w:cstheme="minorHAnsi"/>
        </w:rPr>
        <w:t>nekon</w:t>
      </w:r>
      <w:r w:rsidR="00141AEC" w:rsidRPr="00F20FD4">
        <w:rPr>
          <w:rFonts w:asciiTheme="minorHAnsi" w:hAnsiTheme="minorHAnsi" w:cstheme="minorHAnsi"/>
        </w:rPr>
        <w:t>kurentna</w:t>
      </w:r>
      <w:r w:rsidRPr="00F20FD4">
        <w:rPr>
          <w:rFonts w:asciiTheme="minorHAnsi" w:hAnsiTheme="minorHAnsi" w:cstheme="minorHAnsi"/>
        </w:rPr>
        <w:t xml:space="preserve"> područja </w:t>
      </w:r>
      <w:r w:rsidR="00141AEC" w:rsidRPr="00F20FD4">
        <w:rPr>
          <w:rFonts w:asciiTheme="minorHAnsi" w:hAnsiTheme="minorHAnsi" w:cstheme="minorHAnsi"/>
        </w:rPr>
        <w:t>- Klaster</w:t>
      </w:r>
      <w:r w:rsidR="002D636E" w:rsidRPr="00F20FD4">
        <w:rPr>
          <w:rFonts w:asciiTheme="minorHAnsi" w:hAnsiTheme="minorHAnsi" w:cstheme="minorHAnsi"/>
        </w:rPr>
        <w:t xml:space="preserve"> A</w:t>
      </w:r>
      <w:r w:rsidRPr="00F20FD4">
        <w:rPr>
          <w:rFonts w:asciiTheme="minorHAnsi" w:hAnsiTheme="minorHAnsi" w:cstheme="minorHAnsi"/>
        </w:rPr>
        <w:t xml:space="preserve">, </w:t>
      </w:r>
    </w:p>
    <w:p w:rsidR="00BC2165" w:rsidRPr="00F20FD4" w:rsidRDefault="00BC2165" w:rsidP="00766501">
      <w:pPr>
        <w:pStyle w:val="ListParagraph"/>
        <w:numPr>
          <w:ilvl w:val="0"/>
          <w:numId w:val="9"/>
        </w:numPr>
        <w:jc w:val="both"/>
        <w:rPr>
          <w:rFonts w:asciiTheme="minorHAnsi" w:hAnsiTheme="minorHAnsi" w:cstheme="minorHAnsi"/>
        </w:rPr>
      </w:pPr>
      <w:r w:rsidRPr="00F20FD4">
        <w:rPr>
          <w:rFonts w:asciiTheme="minorHAnsi" w:hAnsiTheme="minorHAnsi" w:cstheme="minorHAnsi"/>
        </w:rPr>
        <w:t xml:space="preserve">Privitak 2 - Popis </w:t>
      </w:r>
      <w:r w:rsidR="00141AEC" w:rsidRPr="00F20FD4">
        <w:rPr>
          <w:rFonts w:asciiTheme="minorHAnsi" w:hAnsiTheme="minorHAnsi" w:cstheme="minorHAnsi"/>
        </w:rPr>
        <w:t>geografskih jedinica koje pripadaju Tržištu velikog kapaciteta - nekonkurentna područja - Klaster</w:t>
      </w:r>
      <w:r w:rsidR="002D636E" w:rsidRPr="00F20FD4">
        <w:rPr>
          <w:rFonts w:asciiTheme="minorHAnsi" w:hAnsiTheme="minorHAnsi" w:cstheme="minorHAnsi"/>
        </w:rPr>
        <w:t xml:space="preserve"> B</w:t>
      </w:r>
      <w:r w:rsidRPr="00F20FD4">
        <w:rPr>
          <w:rFonts w:asciiTheme="minorHAnsi" w:hAnsiTheme="minorHAnsi" w:cstheme="minorHAnsi"/>
        </w:rPr>
        <w:t xml:space="preserve"> i</w:t>
      </w:r>
    </w:p>
    <w:p w:rsidR="00BC2165" w:rsidRPr="00F20FD4" w:rsidRDefault="00BC2165" w:rsidP="00766501">
      <w:pPr>
        <w:pStyle w:val="ListParagraph"/>
        <w:numPr>
          <w:ilvl w:val="0"/>
          <w:numId w:val="9"/>
        </w:numPr>
        <w:jc w:val="both"/>
        <w:rPr>
          <w:rFonts w:asciiTheme="minorHAnsi" w:hAnsiTheme="minorHAnsi" w:cstheme="minorHAnsi"/>
        </w:rPr>
      </w:pPr>
      <w:r w:rsidRPr="00F20FD4">
        <w:rPr>
          <w:rFonts w:asciiTheme="minorHAnsi" w:hAnsiTheme="minorHAnsi" w:cstheme="minorHAnsi"/>
        </w:rPr>
        <w:t xml:space="preserve">Privitak 3 - Popis </w:t>
      </w:r>
      <w:r w:rsidR="00141AEC" w:rsidRPr="00F20FD4">
        <w:rPr>
          <w:rFonts w:asciiTheme="minorHAnsi" w:hAnsiTheme="minorHAnsi" w:cstheme="minorHAnsi"/>
        </w:rPr>
        <w:t>geografskih jedinica koje pripadaju Tržištu velikog kapaciteta - konkurentna područja</w:t>
      </w:r>
      <w:r w:rsidRPr="00F20FD4">
        <w:rPr>
          <w:rFonts w:asciiTheme="minorHAnsi" w:hAnsiTheme="minorHAnsi" w:cstheme="minorHAnsi"/>
        </w:rPr>
        <w:t xml:space="preserve">.  </w:t>
      </w:r>
    </w:p>
    <w:p w:rsidR="00BC2165" w:rsidRPr="00F20FD4" w:rsidRDefault="00BC2165" w:rsidP="00BC2165">
      <w:pPr>
        <w:pStyle w:val="ListParagraph"/>
        <w:rPr>
          <w:rFonts w:asciiTheme="minorHAnsi" w:hAnsiTheme="minorHAnsi" w:cstheme="minorHAnsi"/>
        </w:rPr>
      </w:pP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Nakon 2 godine od stupanja na snagu odluke HAKOM-a (dalje: O</w:t>
      </w:r>
      <w:r w:rsidRPr="006C59F9">
        <w:rPr>
          <w:rFonts w:asciiTheme="minorHAnsi" w:hAnsiTheme="minorHAnsi" w:cstheme="minorHAnsi"/>
        </w:rPr>
        <w:t>dluka KLASA:_____, URBROJ: ______ od xx.xx.2023.</w:t>
      </w:r>
      <w:r w:rsidRPr="00F20FD4">
        <w:rPr>
          <w:rFonts w:asciiTheme="minorHAnsi" w:hAnsiTheme="minorHAnsi" w:cstheme="minorHAnsi"/>
        </w:rPr>
        <w:t xml:space="preserve">) ažurirat će se popisi geografskih jedinica, ovisno o statusu pripadanja. </w:t>
      </w:r>
    </w:p>
    <w:p w:rsidR="00BC2165" w:rsidRPr="00F20FD4" w:rsidRDefault="00BC2165" w:rsidP="00BC2165">
      <w:pPr>
        <w:jc w:val="both"/>
        <w:rPr>
          <w:rFonts w:asciiTheme="minorHAnsi" w:hAnsiTheme="minorHAnsi" w:cstheme="minorHAnsi"/>
        </w:rPr>
      </w:pP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 xml:space="preserve">Stari popisi (Privitci 1, 2 i 3) ostali bi neizmijenjeni te bi se novom Odlukom utvrdilo da prestaju važiti. </w:t>
      </w:r>
    </w:p>
    <w:p w:rsidR="00BC2165" w:rsidRPr="00F20FD4" w:rsidRDefault="00BC2165" w:rsidP="00BC2165">
      <w:pPr>
        <w:jc w:val="both"/>
        <w:rPr>
          <w:rFonts w:asciiTheme="minorHAnsi" w:hAnsiTheme="minorHAnsi" w:cstheme="minorHAnsi"/>
        </w:rPr>
      </w:pP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 xml:space="preserve">Pri tome, </w:t>
      </w:r>
      <w:r w:rsidRPr="003E41F2">
        <w:rPr>
          <w:rFonts w:asciiTheme="minorHAnsi" w:hAnsiTheme="minorHAnsi" w:cstheme="minorHAnsi"/>
        </w:rPr>
        <w:t>novom</w:t>
      </w:r>
      <w:r w:rsidRPr="00F20FD4">
        <w:rPr>
          <w:rFonts w:asciiTheme="minorHAnsi" w:hAnsiTheme="minorHAnsi" w:cstheme="minorHAnsi"/>
          <w:b/>
        </w:rPr>
        <w:t xml:space="preserve"> </w:t>
      </w:r>
      <w:r w:rsidRPr="00F20FD4">
        <w:rPr>
          <w:rFonts w:asciiTheme="minorHAnsi" w:hAnsiTheme="minorHAnsi" w:cstheme="minorHAnsi"/>
        </w:rPr>
        <w:t xml:space="preserve">odlukom bi se dokumentu </w:t>
      </w:r>
      <w:r w:rsidRPr="00F20FD4">
        <w:rPr>
          <w:rFonts w:asciiTheme="minorHAnsi" w:hAnsiTheme="minorHAnsi" w:cstheme="minorHAnsi"/>
          <w:i/>
        </w:rPr>
        <w:t xml:space="preserve">„Analiza tržišta veleprodajnog </w:t>
      </w:r>
      <w:r w:rsidR="00660F02" w:rsidRPr="00F20FD4">
        <w:rPr>
          <w:rFonts w:asciiTheme="minorHAnsi" w:hAnsiTheme="minorHAnsi" w:cstheme="minorHAnsi"/>
          <w:i/>
        </w:rPr>
        <w:t>lokalnog</w:t>
      </w:r>
      <w:r w:rsidRPr="00F20FD4">
        <w:rPr>
          <w:rFonts w:asciiTheme="minorHAnsi" w:hAnsiTheme="minorHAnsi" w:cstheme="minorHAnsi"/>
          <w:i/>
        </w:rPr>
        <w:t xml:space="preserve"> pristupa koji se pruža na fiksnoj lokaciji“</w:t>
      </w:r>
      <w:r w:rsidRPr="00F20FD4">
        <w:rPr>
          <w:rFonts w:asciiTheme="minorHAnsi" w:hAnsiTheme="minorHAnsi" w:cstheme="minorHAnsi"/>
        </w:rPr>
        <w:t xml:space="preserve"> dodali ažurirani popisi, točnije novi privitci (1a, 2a i 3a). </w:t>
      </w:r>
    </w:p>
    <w:p w:rsidR="00BC2165" w:rsidRPr="00F20FD4" w:rsidRDefault="00BC2165" w:rsidP="00766501">
      <w:pPr>
        <w:pStyle w:val="ListParagraph"/>
        <w:numPr>
          <w:ilvl w:val="0"/>
          <w:numId w:val="8"/>
        </w:numPr>
        <w:jc w:val="both"/>
        <w:rPr>
          <w:rFonts w:asciiTheme="minorHAnsi" w:hAnsiTheme="minorHAnsi" w:cstheme="minorHAnsi"/>
        </w:rPr>
      </w:pPr>
      <w:r w:rsidRPr="00F20FD4">
        <w:rPr>
          <w:rFonts w:asciiTheme="minorHAnsi" w:hAnsiTheme="minorHAnsi" w:cstheme="minorHAnsi"/>
        </w:rPr>
        <w:t xml:space="preserve">Privitak 1a - </w:t>
      </w:r>
      <w:r w:rsidR="00141AEC" w:rsidRPr="00F20FD4">
        <w:rPr>
          <w:rFonts w:asciiTheme="minorHAnsi" w:hAnsiTheme="minorHAnsi" w:cstheme="minorHAnsi"/>
        </w:rPr>
        <w:t>Popis geografskih jedinica koje pripadaju Tržištu velikog kapaciteta - nekonkurentna područja - Klaster A</w:t>
      </w:r>
      <w:r w:rsidRPr="00F20FD4">
        <w:rPr>
          <w:rFonts w:asciiTheme="minorHAnsi" w:hAnsiTheme="minorHAnsi" w:cstheme="minorHAnsi"/>
        </w:rPr>
        <w:t xml:space="preserve">, </w:t>
      </w:r>
    </w:p>
    <w:p w:rsidR="00BC2165" w:rsidRPr="00F20FD4" w:rsidRDefault="00BC2165" w:rsidP="00766501">
      <w:pPr>
        <w:pStyle w:val="ListParagraph"/>
        <w:numPr>
          <w:ilvl w:val="0"/>
          <w:numId w:val="8"/>
        </w:numPr>
        <w:jc w:val="both"/>
        <w:rPr>
          <w:rFonts w:asciiTheme="minorHAnsi" w:hAnsiTheme="minorHAnsi" w:cstheme="minorHAnsi"/>
        </w:rPr>
      </w:pPr>
      <w:r w:rsidRPr="00F20FD4">
        <w:rPr>
          <w:rFonts w:asciiTheme="minorHAnsi" w:hAnsiTheme="minorHAnsi" w:cstheme="minorHAnsi"/>
        </w:rPr>
        <w:t xml:space="preserve">Privitak 2a - </w:t>
      </w:r>
      <w:r w:rsidR="00141AEC" w:rsidRPr="00F20FD4">
        <w:rPr>
          <w:rFonts w:asciiTheme="minorHAnsi" w:hAnsiTheme="minorHAnsi" w:cstheme="minorHAnsi"/>
        </w:rPr>
        <w:t xml:space="preserve">Popis geografskih jedinica koje pripadaju Tržištu velikog kapaciteta - nekonkurentna područja - Klaster B </w:t>
      </w:r>
      <w:r w:rsidRPr="00F20FD4">
        <w:rPr>
          <w:rFonts w:asciiTheme="minorHAnsi" w:hAnsiTheme="minorHAnsi" w:cstheme="minorHAnsi"/>
        </w:rPr>
        <w:t>i</w:t>
      </w:r>
    </w:p>
    <w:p w:rsidR="00BC2165" w:rsidRPr="00F20FD4" w:rsidRDefault="00BC2165" w:rsidP="00766501">
      <w:pPr>
        <w:pStyle w:val="ListParagraph"/>
        <w:numPr>
          <w:ilvl w:val="0"/>
          <w:numId w:val="8"/>
        </w:numPr>
        <w:jc w:val="both"/>
        <w:rPr>
          <w:rFonts w:asciiTheme="minorHAnsi" w:hAnsiTheme="minorHAnsi" w:cstheme="minorHAnsi"/>
        </w:rPr>
      </w:pPr>
      <w:r w:rsidRPr="00F20FD4">
        <w:rPr>
          <w:rFonts w:asciiTheme="minorHAnsi" w:hAnsiTheme="minorHAnsi" w:cstheme="minorHAnsi"/>
        </w:rPr>
        <w:t xml:space="preserve">Privitak 3a - </w:t>
      </w:r>
      <w:r w:rsidR="00141AEC" w:rsidRPr="00F20FD4">
        <w:rPr>
          <w:rFonts w:asciiTheme="minorHAnsi" w:hAnsiTheme="minorHAnsi" w:cstheme="minorHAnsi"/>
        </w:rPr>
        <w:t>Popis geografskih jedinica koje pripadaju Tržištu velikog kapaciteta - konkurentna područja.</w:t>
      </w:r>
      <w:r w:rsidRPr="00F20FD4">
        <w:rPr>
          <w:rFonts w:asciiTheme="minorHAnsi" w:hAnsiTheme="minorHAnsi" w:cstheme="minorHAnsi"/>
        </w:rPr>
        <w:t xml:space="preserve">  </w:t>
      </w:r>
    </w:p>
    <w:p w:rsidR="00BC2165" w:rsidRPr="00F20FD4" w:rsidRDefault="00BC2165" w:rsidP="00BC2165">
      <w:pPr>
        <w:jc w:val="both"/>
        <w:rPr>
          <w:rFonts w:asciiTheme="minorHAnsi" w:hAnsiTheme="minorHAnsi" w:cstheme="minorHAnsi"/>
        </w:rPr>
      </w:pP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Nova odluka ne bi bila predmetom javnog savjetovanja niti bi se za istu proveo postupak usklađivanja u donošenju odluka iz čl. 37. ZEK-a (notifikacija EK). Odluka bi bila objavljena na internetskim stranicama HAKOM-a.</w:t>
      </w: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 xml:space="preserve"> </w:t>
      </w:r>
    </w:p>
    <w:p w:rsidR="00BC2165" w:rsidRPr="00F20FD4" w:rsidRDefault="00BC2165" w:rsidP="00BC2165">
      <w:pPr>
        <w:jc w:val="both"/>
        <w:rPr>
          <w:rFonts w:asciiTheme="minorHAnsi" w:hAnsiTheme="minorHAnsi" w:cstheme="minorHAnsi"/>
        </w:rPr>
      </w:pPr>
    </w:p>
    <w:p w:rsidR="00BC2165" w:rsidRPr="00F20FD4" w:rsidRDefault="00BC2165" w:rsidP="00BC2165">
      <w:pPr>
        <w:jc w:val="both"/>
        <w:rPr>
          <w:rFonts w:asciiTheme="minorHAnsi" w:hAnsiTheme="minorHAnsi" w:cstheme="minorHAnsi"/>
        </w:rPr>
      </w:pPr>
      <w:r w:rsidRPr="00F20FD4">
        <w:rPr>
          <w:rFonts w:asciiTheme="minorHAnsi" w:hAnsiTheme="minorHAnsi" w:cstheme="minorHAnsi"/>
        </w:rPr>
        <w:t>Prijedlog izreke NOVE odluke (uz napomenu da su određena odstupanja u sadržaju odluke moguća, ovisno o okolnostima i rezultatima revizije):</w:t>
      </w:r>
    </w:p>
    <w:p w:rsidR="00BC2165" w:rsidRPr="00F20FD4" w:rsidRDefault="00BC2165" w:rsidP="00BC2165">
      <w:pPr>
        <w:jc w:val="both"/>
        <w:rPr>
          <w:rFonts w:asciiTheme="minorHAnsi" w:hAnsiTheme="minorHAnsi" w:cstheme="minorHAnsi"/>
        </w:rPr>
      </w:pPr>
    </w:p>
    <w:p w:rsidR="00BC2165" w:rsidRPr="006C59F9"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U skladu s točkama 9. i 10. Odluke KLASA: _____, URBROJ: </w:t>
      </w:r>
      <w:r w:rsidRPr="006C59F9">
        <w:rPr>
          <w:rFonts w:asciiTheme="minorHAnsi" w:hAnsiTheme="minorHAnsi" w:cstheme="minorHAnsi"/>
        </w:rPr>
        <w:t xml:space="preserve">_____ od xx. xx. 2023., utvrđuje se da Privitci 1, 2 i 3 dokumenta </w:t>
      </w:r>
      <w:r w:rsidRPr="006C59F9" w:rsidDel="00DE6B14">
        <w:rPr>
          <w:rFonts w:asciiTheme="minorHAnsi" w:hAnsiTheme="minorHAnsi" w:cstheme="minorHAnsi"/>
          <w:i/>
        </w:rPr>
        <w:t>„Analiza tržišta veleprodajnog lokalnog pristupa koji se pruža na fiksnoj lokaciji“</w:t>
      </w:r>
      <w:r w:rsidRPr="006C59F9">
        <w:rPr>
          <w:rFonts w:asciiTheme="minorHAnsi" w:hAnsiTheme="minorHAnsi" w:cstheme="minorHAnsi"/>
        </w:rPr>
        <w:t>, koji je sastavni dio te odluke, prestaju važiti.</w:t>
      </w:r>
    </w:p>
    <w:p w:rsidR="00BC2165" w:rsidRPr="00F20FD4" w:rsidRDefault="00BC2165" w:rsidP="00BC2165">
      <w:pPr>
        <w:pStyle w:val="ListParagraph"/>
        <w:jc w:val="both"/>
        <w:rPr>
          <w:rFonts w:asciiTheme="minorHAnsi" w:hAnsiTheme="minorHAnsi" w:cstheme="minorHAnsi"/>
        </w:rPr>
      </w:pPr>
    </w:p>
    <w:p w:rsidR="00BC2165" w:rsidRPr="00F20FD4"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Utvrđuje se novi popis </w:t>
      </w:r>
      <w:r w:rsidR="00141AEC" w:rsidRPr="00F20FD4">
        <w:rPr>
          <w:rFonts w:asciiTheme="minorHAnsi" w:hAnsiTheme="minorHAnsi" w:cstheme="minorHAnsi"/>
        </w:rPr>
        <w:t>geografskih jedinica koje pripadaju Tržištu velikog kapaciteta - nekonkurentna</w:t>
      </w:r>
      <w:r w:rsidRPr="00F20FD4">
        <w:rPr>
          <w:rFonts w:asciiTheme="minorHAnsi" w:hAnsiTheme="minorHAnsi" w:cstheme="minorHAnsi"/>
        </w:rPr>
        <w:t xml:space="preserve"> područja </w:t>
      </w:r>
      <w:r w:rsidR="00141AEC" w:rsidRPr="00F20FD4">
        <w:rPr>
          <w:rFonts w:asciiTheme="minorHAnsi" w:hAnsiTheme="minorHAnsi" w:cstheme="minorHAnsi"/>
        </w:rPr>
        <w:t>- Klaster</w:t>
      </w:r>
      <w:r w:rsidRPr="00F20FD4">
        <w:rPr>
          <w:rFonts w:asciiTheme="minorHAnsi" w:hAnsiTheme="minorHAnsi" w:cstheme="minorHAnsi"/>
        </w:rPr>
        <w:t xml:space="preserve"> A iz Privitka 1a koji je sastavni dio ove Odluke.</w:t>
      </w:r>
    </w:p>
    <w:p w:rsidR="00BC2165" w:rsidRPr="00F20FD4" w:rsidRDefault="00BC2165" w:rsidP="00BC2165">
      <w:pPr>
        <w:jc w:val="both"/>
        <w:rPr>
          <w:rFonts w:asciiTheme="minorHAnsi" w:hAnsiTheme="minorHAnsi" w:cstheme="minorHAnsi"/>
        </w:rPr>
      </w:pPr>
    </w:p>
    <w:p w:rsidR="00BC2165" w:rsidRPr="00F20FD4"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Utvrđuje se novi popis </w:t>
      </w:r>
      <w:r w:rsidR="00141AEC" w:rsidRPr="00F20FD4">
        <w:rPr>
          <w:rFonts w:asciiTheme="minorHAnsi" w:hAnsiTheme="minorHAnsi" w:cstheme="minorHAnsi"/>
        </w:rPr>
        <w:t>geografskih jedinica koje pripadaju Tržištu velikog kapaciteta - nekonkurentna</w:t>
      </w:r>
      <w:r w:rsidRPr="00F20FD4">
        <w:rPr>
          <w:rFonts w:asciiTheme="minorHAnsi" w:hAnsiTheme="minorHAnsi" w:cstheme="minorHAnsi"/>
        </w:rPr>
        <w:t xml:space="preserve"> područja </w:t>
      </w:r>
      <w:r w:rsidR="00141AEC" w:rsidRPr="00F20FD4">
        <w:rPr>
          <w:rFonts w:asciiTheme="minorHAnsi" w:hAnsiTheme="minorHAnsi" w:cstheme="minorHAnsi"/>
        </w:rPr>
        <w:t>- Klaster</w:t>
      </w:r>
      <w:r w:rsidRPr="00F20FD4">
        <w:rPr>
          <w:rFonts w:asciiTheme="minorHAnsi" w:hAnsiTheme="minorHAnsi" w:cstheme="minorHAnsi"/>
        </w:rPr>
        <w:t xml:space="preserve"> B iz Privitka 2a koji je sastavni dio ove Odluke.</w:t>
      </w:r>
    </w:p>
    <w:p w:rsidR="00BC2165" w:rsidRPr="00F20FD4" w:rsidRDefault="00BC2165" w:rsidP="00BC2165">
      <w:pPr>
        <w:jc w:val="both"/>
        <w:rPr>
          <w:rFonts w:asciiTheme="minorHAnsi" w:hAnsiTheme="minorHAnsi" w:cstheme="minorHAnsi"/>
        </w:rPr>
      </w:pPr>
    </w:p>
    <w:p w:rsidR="00BC2165" w:rsidRPr="00F20FD4"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Utvrđuje se novi popis </w:t>
      </w:r>
      <w:r w:rsidR="00141AEC" w:rsidRPr="00F20FD4">
        <w:rPr>
          <w:rFonts w:asciiTheme="minorHAnsi" w:hAnsiTheme="minorHAnsi" w:cstheme="minorHAnsi"/>
        </w:rPr>
        <w:t>geografskih jedinica koje pripadaju Tržištu velikog kapaciteta - konkurentna</w:t>
      </w:r>
      <w:r w:rsidRPr="00F20FD4">
        <w:rPr>
          <w:rFonts w:asciiTheme="minorHAnsi" w:hAnsiTheme="minorHAnsi" w:cstheme="minorHAnsi"/>
        </w:rPr>
        <w:t xml:space="preserve"> područja iz Privitka 3a koji je sastavni dio ove Odluke.</w:t>
      </w:r>
    </w:p>
    <w:p w:rsidR="00BC2165" w:rsidRPr="00F20FD4" w:rsidRDefault="00BC2165" w:rsidP="00BC2165">
      <w:pPr>
        <w:pStyle w:val="ListParagraph"/>
        <w:rPr>
          <w:rFonts w:asciiTheme="minorHAnsi" w:hAnsiTheme="minorHAnsi" w:cstheme="minorHAnsi"/>
        </w:rPr>
      </w:pPr>
    </w:p>
    <w:p w:rsidR="00BC2165" w:rsidRPr="00F20FD4"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Utvrđuje se da Privitci 1a, 2a i 3a iz točaka 2.-4. ove Odluke postaju sastavni dio dokumenta </w:t>
      </w:r>
      <w:r w:rsidRPr="00F20FD4">
        <w:rPr>
          <w:rFonts w:asciiTheme="minorHAnsi" w:hAnsiTheme="minorHAnsi" w:cstheme="minorHAnsi"/>
          <w:i/>
        </w:rPr>
        <w:t>„Analiza tržišta veleprodajnog lokalnog pristupa koji se pruža na fiksnoj lokaciji“</w:t>
      </w:r>
      <w:r w:rsidRPr="00F20FD4">
        <w:rPr>
          <w:rFonts w:asciiTheme="minorHAnsi" w:hAnsiTheme="minorHAnsi" w:cstheme="minorHAnsi"/>
        </w:rPr>
        <w:t xml:space="preserve"> iz točke 1. ove Odluke.</w:t>
      </w:r>
    </w:p>
    <w:p w:rsidR="00BC2165" w:rsidRPr="00F20FD4" w:rsidRDefault="00BC2165" w:rsidP="00BC2165">
      <w:pPr>
        <w:pStyle w:val="ListParagraph"/>
        <w:rPr>
          <w:rFonts w:asciiTheme="minorHAnsi" w:hAnsiTheme="minorHAnsi" w:cstheme="minorHAnsi"/>
        </w:rPr>
      </w:pPr>
    </w:p>
    <w:p w:rsidR="00BC2165" w:rsidRPr="006C59F9"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Trgovačko društvo Hrvatski Telekom d.d., Zagreb, Radnička cesta 21, OIB: 81793146560, određuje se operatorom sa značajnom tržišnom snagom na tržištu veleprodajnog lokalnog pristupa velikog kapaciteta koji se pruža na fiksnoj lokaciji – </w:t>
      </w:r>
      <w:r w:rsidRPr="006C59F9">
        <w:rPr>
          <w:rFonts w:asciiTheme="minorHAnsi" w:hAnsiTheme="minorHAnsi" w:cstheme="minorHAnsi"/>
        </w:rPr>
        <w:t>nekonkurentna područja (točka 1.b Odluke KLASA: _____, URBROJ: _____ od xx.xx.2023.) te mu se na tom tržištu određuju regulatorne obveze kako slijedi:</w:t>
      </w:r>
    </w:p>
    <w:p w:rsidR="00BC2165" w:rsidRPr="006C59F9" w:rsidRDefault="00BC2165" w:rsidP="00BC2165">
      <w:pPr>
        <w:pStyle w:val="ListParagraph"/>
        <w:rPr>
          <w:rFonts w:asciiTheme="minorHAnsi" w:hAnsiTheme="minorHAnsi" w:cstheme="minorHAnsi"/>
        </w:rPr>
      </w:pPr>
    </w:p>
    <w:p w:rsidR="00BC2165" w:rsidRPr="00F20FD4" w:rsidRDefault="00BC2165" w:rsidP="00766501">
      <w:pPr>
        <w:pStyle w:val="ListParagraph"/>
        <w:numPr>
          <w:ilvl w:val="0"/>
          <w:numId w:val="11"/>
        </w:numPr>
        <w:ind w:left="1701" w:hanging="567"/>
        <w:jc w:val="both"/>
        <w:rPr>
          <w:rFonts w:asciiTheme="minorHAnsi" w:hAnsiTheme="minorHAnsi" w:cstheme="minorHAnsi"/>
        </w:rPr>
      </w:pPr>
      <w:r w:rsidRPr="006C59F9">
        <w:rPr>
          <w:rFonts w:asciiTheme="minorHAnsi" w:hAnsiTheme="minorHAnsi" w:cstheme="minorHAnsi"/>
        </w:rPr>
        <w:t xml:space="preserve">na nekonkurentnim područjima </w:t>
      </w:r>
      <w:r w:rsidR="002D636E" w:rsidRPr="006C59F9">
        <w:rPr>
          <w:rFonts w:asciiTheme="minorHAnsi" w:hAnsiTheme="minorHAnsi" w:cstheme="minorHAnsi"/>
        </w:rPr>
        <w:t>Klastera</w:t>
      </w:r>
      <w:r w:rsidRPr="006C59F9">
        <w:rPr>
          <w:rFonts w:asciiTheme="minorHAnsi" w:hAnsiTheme="minorHAnsi" w:cstheme="minorHAnsi"/>
        </w:rPr>
        <w:t xml:space="preserve"> A, definiranim u Privitku</w:t>
      </w:r>
      <w:r w:rsidRPr="006C59F9">
        <w:rPr>
          <w:rFonts w:asciiTheme="minorHAnsi" w:hAnsiTheme="minorHAnsi" w:cstheme="minorHAnsi"/>
          <w:color w:val="FF0000"/>
        </w:rPr>
        <w:t xml:space="preserve"> </w:t>
      </w:r>
      <w:r w:rsidRPr="006C59F9">
        <w:rPr>
          <w:rFonts w:asciiTheme="minorHAnsi" w:hAnsiTheme="minorHAnsi" w:cstheme="minorHAnsi"/>
        </w:rPr>
        <w:t>1a</w:t>
      </w:r>
      <w:r w:rsidRPr="006C59F9">
        <w:rPr>
          <w:rFonts w:asciiTheme="minorHAnsi" w:hAnsiTheme="minorHAnsi" w:cstheme="minorHAnsi"/>
          <w:color w:val="FF0000"/>
        </w:rPr>
        <w:t xml:space="preserve"> </w:t>
      </w:r>
      <w:r w:rsidRPr="006C59F9">
        <w:rPr>
          <w:rFonts w:asciiTheme="minorHAnsi" w:hAnsiTheme="minorHAnsi" w:cstheme="minorHAnsi"/>
        </w:rPr>
        <w:t>ove Odluke</w:t>
      </w:r>
      <w:r w:rsidRPr="006C59F9">
        <w:rPr>
          <w:rFonts w:asciiTheme="minorHAnsi" w:hAnsiTheme="minorHAnsi" w:cstheme="minorHAnsi"/>
          <w:i/>
        </w:rPr>
        <w:t>,</w:t>
      </w:r>
      <w:r w:rsidRPr="006C59F9">
        <w:rPr>
          <w:rFonts w:asciiTheme="minorHAnsi" w:hAnsiTheme="minorHAnsi" w:cstheme="minorHAnsi"/>
        </w:rPr>
        <w:t xml:space="preserve"> primjenjuju se sljedeće regulatorne obveze</w:t>
      </w:r>
      <w:r w:rsidRPr="00F20FD4">
        <w:rPr>
          <w:rFonts w:asciiTheme="minorHAnsi" w:hAnsiTheme="minorHAnsi" w:cstheme="minorHAnsi"/>
        </w:rPr>
        <w:t xml:space="preserv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pristupa i korištenja posebnih mrežnih sastavnica i povezane opreme;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nediskriminacije;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transparentnosti uz obvezu objave standardne ponude;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nadzora cijena i vođenja troškovnog računovodstva i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računovodstvenog razdvajanja. </w:t>
      </w:r>
    </w:p>
    <w:p w:rsidR="00BC2165" w:rsidRPr="00F20FD4" w:rsidRDefault="00BC2165" w:rsidP="00BC2165">
      <w:pPr>
        <w:pStyle w:val="ListParagraph"/>
        <w:ind w:left="1701"/>
        <w:jc w:val="both"/>
        <w:rPr>
          <w:rFonts w:asciiTheme="minorHAnsi" w:hAnsiTheme="minorHAnsi" w:cstheme="minorHAnsi"/>
        </w:rPr>
      </w:pPr>
      <w:r w:rsidRPr="00F20FD4">
        <w:rPr>
          <w:rFonts w:asciiTheme="minorHAnsi" w:hAnsiTheme="minorHAnsi" w:cstheme="minorHAnsi"/>
        </w:rPr>
        <w:t xml:space="preserve">Regulatorna obveza nadzora cijena i vođenja troškovnog računovodstva se na odgovarajući način primjenjuje i na društvo/a_________________, koje/a je/su pod nadzorom Hrvatskog Telekoma d.d. </w:t>
      </w:r>
    </w:p>
    <w:p w:rsidR="00BC2165" w:rsidRPr="00F20FD4" w:rsidRDefault="00BC2165" w:rsidP="00BC2165">
      <w:pPr>
        <w:pStyle w:val="ListParagraph"/>
        <w:ind w:left="1701"/>
        <w:jc w:val="both"/>
        <w:rPr>
          <w:rFonts w:asciiTheme="minorHAnsi" w:hAnsiTheme="minorHAnsi" w:cstheme="minorHAnsi"/>
        </w:rPr>
      </w:pPr>
    </w:p>
    <w:p w:rsidR="00BC2165" w:rsidRPr="00F20FD4" w:rsidRDefault="00BC2165" w:rsidP="00766501">
      <w:pPr>
        <w:pStyle w:val="ListParagraph"/>
        <w:numPr>
          <w:ilvl w:val="0"/>
          <w:numId w:val="11"/>
        </w:numPr>
        <w:ind w:left="1701" w:hanging="567"/>
        <w:jc w:val="both"/>
        <w:rPr>
          <w:rFonts w:asciiTheme="minorHAnsi" w:hAnsiTheme="minorHAnsi" w:cstheme="minorHAnsi"/>
        </w:rPr>
      </w:pPr>
      <w:r w:rsidRPr="00F20FD4">
        <w:rPr>
          <w:rFonts w:asciiTheme="minorHAnsi" w:hAnsiTheme="minorHAnsi" w:cstheme="minorHAnsi"/>
        </w:rPr>
        <w:t xml:space="preserve">na nekonkurentnim područjima </w:t>
      </w:r>
      <w:r w:rsidR="002D636E" w:rsidRPr="00F20FD4">
        <w:rPr>
          <w:rFonts w:asciiTheme="minorHAnsi" w:hAnsiTheme="minorHAnsi" w:cstheme="minorHAnsi"/>
        </w:rPr>
        <w:t>Klastera</w:t>
      </w:r>
      <w:r w:rsidRPr="00F20FD4">
        <w:rPr>
          <w:rFonts w:asciiTheme="minorHAnsi" w:hAnsiTheme="minorHAnsi" w:cstheme="minorHAnsi"/>
        </w:rPr>
        <w:t xml:space="preserve"> B, definiranim u Privitku 2a</w:t>
      </w:r>
      <w:r w:rsidRPr="00F20FD4">
        <w:rPr>
          <w:rFonts w:asciiTheme="minorHAnsi" w:hAnsiTheme="minorHAnsi" w:cstheme="minorHAnsi"/>
          <w:color w:val="FF0000"/>
        </w:rPr>
        <w:t xml:space="preserve"> </w:t>
      </w:r>
      <w:r w:rsidRPr="00F20FD4">
        <w:rPr>
          <w:rFonts w:asciiTheme="minorHAnsi" w:hAnsiTheme="minorHAnsi" w:cstheme="minorHAnsi"/>
        </w:rPr>
        <w:t>ove Odluke</w:t>
      </w:r>
      <w:r w:rsidRPr="00F20FD4">
        <w:rPr>
          <w:rFonts w:asciiTheme="minorHAnsi" w:hAnsiTheme="minorHAnsi" w:cstheme="minorHAnsi"/>
          <w:i/>
        </w:rPr>
        <w:t>,</w:t>
      </w:r>
      <w:r w:rsidRPr="00F20FD4">
        <w:rPr>
          <w:rFonts w:asciiTheme="minorHAnsi" w:hAnsiTheme="minorHAnsi" w:cstheme="minorHAnsi"/>
        </w:rPr>
        <w:t xml:space="preserve"> primjenjuju se sljedeće regulatorne obveze: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pristupa i korištenja posebnih mrežnih sastavnica i povezane opreme;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nediskriminacije;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transparentnosti uz obvezu objave standardne ponude;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 xml:space="preserve">obveza nadzora cijena i vođenja troškovnog računovodstva i </w:t>
      </w:r>
    </w:p>
    <w:p w:rsidR="00BC2165" w:rsidRPr="00F20FD4" w:rsidRDefault="00BC2165" w:rsidP="00766501">
      <w:pPr>
        <w:pStyle w:val="ListParagraph"/>
        <w:numPr>
          <w:ilvl w:val="0"/>
          <w:numId w:val="12"/>
        </w:numPr>
        <w:jc w:val="both"/>
        <w:rPr>
          <w:rFonts w:asciiTheme="minorHAnsi" w:hAnsiTheme="minorHAnsi" w:cstheme="minorHAnsi"/>
        </w:rPr>
      </w:pPr>
      <w:r w:rsidRPr="00F20FD4">
        <w:rPr>
          <w:rFonts w:asciiTheme="minorHAnsi" w:hAnsiTheme="minorHAnsi" w:cstheme="minorHAnsi"/>
        </w:rPr>
        <w:t>obveza računovodstvenog razdvajanja.</w:t>
      </w:r>
    </w:p>
    <w:p w:rsidR="00BC2165" w:rsidRPr="00F20FD4" w:rsidRDefault="00BC2165" w:rsidP="00BC2165">
      <w:pPr>
        <w:pStyle w:val="ListParagraph"/>
        <w:ind w:left="1701"/>
        <w:jc w:val="both"/>
        <w:rPr>
          <w:rFonts w:asciiTheme="minorHAnsi" w:hAnsiTheme="minorHAnsi" w:cstheme="minorHAnsi"/>
        </w:rPr>
      </w:pPr>
      <w:r w:rsidRPr="00F20FD4">
        <w:rPr>
          <w:rFonts w:asciiTheme="minorHAnsi" w:hAnsiTheme="minorHAnsi" w:cstheme="minorHAnsi"/>
        </w:rPr>
        <w:t xml:space="preserve">Regulatorna obveza nadzora cijena i vođenja troškovnog računovodstva se na odgovarajući način primjenjuje i na društvo/a_____________________, koje/a je/su pod nadzorom Hrvatskog Telekoma d.d. </w:t>
      </w:r>
    </w:p>
    <w:p w:rsidR="00BC2165" w:rsidRPr="00F20FD4" w:rsidRDefault="00BC2165" w:rsidP="00BC2165">
      <w:pPr>
        <w:pStyle w:val="ListParagraph"/>
        <w:jc w:val="both"/>
        <w:rPr>
          <w:rFonts w:asciiTheme="minorHAnsi" w:hAnsiTheme="minorHAnsi" w:cstheme="minorHAnsi"/>
        </w:rPr>
      </w:pPr>
    </w:p>
    <w:p w:rsidR="00BC2165" w:rsidRPr="00F20FD4"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Način, uvjeti i rokovi provođenja regulatornih obveza iz točke 6. izreke propisani su dokumentom </w:t>
      </w:r>
      <w:r w:rsidRPr="00F20FD4">
        <w:rPr>
          <w:rFonts w:asciiTheme="minorHAnsi" w:hAnsiTheme="minorHAnsi" w:cstheme="minorHAnsi"/>
          <w:i/>
        </w:rPr>
        <w:t>„Analiza tržišta veleprodajnog lokalnog pristupa koji se pruža na fiksnoj lokaciji“</w:t>
      </w:r>
      <w:r w:rsidRPr="00F20FD4">
        <w:rPr>
          <w:rFonts w:asciiTheme="minorHAnsi" w:hAnsiTheme="minorHAnsi" w:cstheme="minorHAnsi"/>
        </w:rPr>
        <w:t>. Trgovačko/a društvo/a iz točke 6. izreke, obvezno/a je/su u potpunosti izvršavati određene regulatorne obveze.</w:t>
      </w:r>
    </w:p>
    <w:p w:rsidR="00BC2165" w:rsidRPr="00F20FD4" w:rsidRDefault="00BC2165" w:rsidP="00BC2165">
      <w:pPr>
        <w:pStyle w:val="ListParagraph"/>
        <w:jc w:val="both"/>
        <w:rPr>
          <w:rFonts w:asciiTheme="minorHAnsi" w:hAnsiTheme="minorHAnsi" w:cstheme="minorHAnsi"/>
        </w:rPr>
      </w:pPr>
    </w:p>
    <w:p w:rsidR="00BC2165" w:rsidRPr="00F20FD4" w:rsidRDefault="00BC2165" w:rsidP="00766501">
      <w:pPr>
        <w:pStyle w:val="ListParagraph"/>
        <w:numPr>
          <w:ilvl w:val="0"/>
          <w:numId w:val="10"/>
        </w:numPr>
        <w:jc w:val="both"/>
        <w:rPr>
          <w:rFonts w:asciiTheme="minorHAnsi" w:hAnsiTheme="minorHAnsi" w:cstheme="minorHAnsi"/>
        </w:rPr>
      </w:pPr>
      <w:r w:rsidRPr="00F20FD4">
        <w:rPr>
          <w:rFonts w:asciiTheme="minorHAnsi" w:eastAsia="Times New Roman" w:hAnsiTheme="minorHAnsi" w:cstheme="minorHAnsi"/>
          <w:lang w:eastAsia="hr-HR"/>
        </w:rPr>
        <w:t xml:space="preserve">Ukidaju se regulatorne obveze određene trgovačkim društvima Hrvatski Telekom d.d. i ISKON INTERNET d.d., na područjima definiranim u Privitku 3a koji čini sastavni dio ove Odluke. Ukidanje regulatornih obveza odgađa se za 90 dana. </w:t>
      </w:r>
    </w:p>
    <w:p w:rsidR="00BC2165" w:rsidRPr="00F20FD4" w:rsidRDefault="00BC2165" w:rsidP="00BC2165">
      <w:pPr>
        <w:jc w:val="both"/>
        <w:rPr>
          <w:rFonts w:asciiTheme="minorHAnsi" w:hAnsiTheme="minorHAnsi" w:cstheme="minorHAnsi"/>
        </w:rPr>
      </w:pPr>
    </w:p>
    <w:p w:rsidR="00BC2165" w:rsidRPr="006C59F9" w:rsidRDefault="00BC2165" w:rsidP="00766501">
      <w:pPr>
        <w:pStyle w:val="ListParagraph"/>
        <w:numPr>
          <w:ilvl w:val="0"/>
          <w:numId w:val="10"/>
        </w:numPr>
        <w:jc w:val="both"/>
        <w:rPr>
          <w:rFonts w:asciiTheme="minorHAnsi" w:hAnsiTheme="minorHAnsi" w:cstheme="minorHAnsi"/>
        </w:rPr>
      </w:pPr>
      <w:r w:rsidRPr="00F20FD4">
        <w:rPr>
          <w:rFonts w:asciiTheme="minorHAnsi" w:hAnsiTheme="minorHAnsi" w:cstheme="minorHAnsi"/>
        </w:rPr>
        <w:t xml:space="preserve">Ukida se točka 3. Odluke KLASA: _____, </w:t>
      </w:r>
      <w:r w:rsidRPr="006C59F9">
        <w:rPr>
          <w:rFonts w:asciiTheme="minorHAnsi" w:hAnsiTheme="minorHAnsi" w:cstheme="minorHAnsi"/>
        </w:rPr>
        <w:t>URBROJ: _____ od xx.xx.2023.</w:t>
      </w:r>
    </w:p>
    <w:p w:rsidR="00BC2165" w:rsidRPr="00F20FD4" w:rsidRDefault="00BC2165" w:rsidP="00BC2165">
      <w:pPr>
        <w:jc w:val="both"/>
        <w:rPr>
          <w:rFonts w:asciiTheme="minorHAnsi" w:hAnsiTheme="minorHAnsi" w:cstheme="minorHAnsi"/>
        </w:rPr>
      </w:pPr>
    </w:p>
    <w:p w:rsidR="00FA7700" w:rsidRPr="00E970CD" w:rsidRDefault="00FA7700" w:rsidP="00E970CD">
      <w:pPr>
        <w:pStyle w:val="Heading1"/>
        <w:numPr>
          <w:ilvl w:val="0"/>
          <w:numId w:val="0"/>
        </w:numPr>
        <w:ind w:left="432"/>
      </w:pPr>
      <w:r w:rsidRPr="00F20FD4">
        <w:rPr>
          <w:rFonts w:asciiTheme="minorHAnsi" w:hAnsiTheme="minorHAnsi" w:cstheme="minorHAnsi"/>
        </w:rPr>
        <w:br w:type="page"/>
      </w:r>
      <w:bookmarkStart w:id="713" w:name="_Toc124852041"/>
      <w:bookmarkStart w:id="714" w:name="_Toc124852602"/>
      <w:bookmarkStart w:id="715" w:name="_Toc124859671"/>
      <w:bookmarkStart w:id="716" w:name="_Toc124928648"/>
      <w:bookmarkStart w:id="717" w:name="_Toc124946990"/>
      <w:bookmarkStart w:id="718" w:name="_Toc124948900"/>
      <w:bookmarkStart w:id="719" w:name="_Toc124951795"/>
      <w:bookmarkStart w:id="720" w:name="_Toc125644953"/>
      <w:r w:rsidR="00010077" w:rsidRPr="00E970CD">
        <w:t xml:space="preserve">Privitak </w:t>
      </w:r>
      <w:r w:rsidR="007558B8" w:rsidRPr="00E970CD">
        <w:t xml:space="preserve">5 </w:t>
      </w:r>
      <w:r w:rsidR="00010077" w:rsidRPr="00E970CD">
        <w:t>– usporedni tablični prikaz ključnih dijelova analize tržišta</w:t>
      </w:r>
      <w:bookmarkEnd w:id="713"/>
      <w:bookmarkEnd w:id="714"/>
      <w:bookmarkEnd w:id="715"/>
      <w:bookmarkEnd w:id="716"/>
      <w:bookmarkEnd w:id="717"/>
      <w:bookmarkEnd w:id="718"/>
      <w:bookmarkEnd w:id="719"/>
      <w:bookmarkEnd w:id="720"/>
    </w:p>
    <w:p w:rsidR="003C0675" w:rsidRDefault="003C0675" w:rsidP="003C0675">
      <w:pPr>
        <w:rPr>
          <w:rFonts w:eastAsia="Times New Roman" w:cs="Calibri"/>
          <w:color w:val="000000"/>
          <w:lang w:eastAsia="hr-HR"/>
        </w:rPr>
      </w:pPr>
    </w:p>
    <w:p w:rsidR="00E62CF3" w:rsidRPr="008012FD" w:rsidRDefault="00E62CF3" w:rsidP="003C0675">
      <w:pPr>
        <w:rPr>
          <w:rFonts w:eastAsia="Times New Roman" w:cs="Calibri"/>
          <w:color w:val="000000"/>
          <w:lang w:eastAsia="hr-HR"/>
        </w:rPr>
      </w:pPr>
    </w:p>
    <w:tbl>
      <w:tblPr>
        <w:tblW w:w="9378" w:type="dxa"/>
        <w:tblInd w:w="-15" w:type="dxa"/>
        <w:tblLook w:val="04A0" w:firstRow="1" w:lastRow="0" w:firstColumn="1" w:lastColumn="0" w:noHBand="0" w:noVBand="1"/>
      </w:tblPr>
      <w:tblGrid>
        <w:gridCol w:w="1562"/>
        <w:gridCol w:w="4020"/>
        <w:gridCol w:w="3796"/>
      </w:tblGrid>
      <w:tr w:rsidR="003C0675" w:rsidRPr="00927D9A" w:rsidTr="00D0352D">
        <w:trPr>
          <w:trHeight w:val="677"/>
        </w:trPr>
        <w:tc>
          <w:tcPr>
            <w:tcW w:w="1562" w:type="dxa"/>
            <w:tcBorders>
              <w:top w:val="single" w:sz="12" w:space="0" w:color="2F75B5"/>
              <w:left w:val="single" w:sz="12" w:space="0" w:color="2F75B5"/>
              <w:bottom w:val="nil"/>
              <w:right w:val="double" w:sz="6" w:space="0" w:color="auto"/>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sidRPr="00927D9A">
              <w:rPr>
                <w:rFonts w:eastAsia="Times New Roman" w:cs="Calibri"/>
                <w:color w:val="FFFFFF"/>
                <w:lang w:eastAsia="hr-HR"/>
              </w:rPr>
              <w:t xml:space="preserve">Općeniti komentari </w:t>
            </w:r>
          </w:p>
        </w:tc>
        <w:tc>
          <w:tcPr>
            <w:tcW w:w="4020" w:type="dxa"/>
            <w:tcBorders>
              <w:top w:val="single" w:sz="12" w:space="0" w:color="2F75B5"/>
              <w:left w:val="nil"/>
              <w:bottom w:val="nil"/>
              <w:right w:val="double" w:sz="6" w:space="0" w:color="auto"/>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Pr>
                <w:rFonts w:eastAsia="Times New Roman" w:cs="Calibri"/>
                <w:color w:val="FFFFFF"/>
                <w:lang w:eastAsia="hr-HR"/>
              </w:rPr>
              <w:t>prijedlog analize tržišta 2023</w:t>
            </w:r>
            <w:r w:rsidRPr="00927D9A">
              <w:rPr>
                <w:rFonts w:eastAsia="Times New Roman" w:cs="Calibri"/>
                <w:color w:val="FFFFFF"/>
                <w:lang w:eastAsia="hr-HR"/>
              </w:rPr>
              <w:t>.</w:t>
            </w:r>
          </w:p>
        </w:tc>
        <w:tc>
          <w:tcPr>
            <w:tcW w:w="3796" w:type="dxa"/>
            <w:tcBorders>
              <w:top w:val="single" w:sz="12" w:space="0" w:color="2F75B5"/>
              <w:left w:val="nil"/>
              <w:bottom w:val="nil"/>
              <w:right w:val="single" w:sz="12" w:space="0" w:color="2F75B5"/>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sidRPr="00927D9A">
              <w:rPr>
                <w:rFonts w:eastAsia="Times New Roman" w:cs="Calibri"/>
                <w:color w:val="FFFFFF"/>
                <w:lang w:eastAsia="hr-HR"/>
              </w:rPr>
              <w:t>analiza tržišta 2019.</w:t>
            </w:r>
          </w:p>
        </w:tc>
      </w:tr>
      <w:tr w:rsidR="003C0675" w:rsidRPr="00927D9A" w:rsidTr="00D0352D">
        <w:trPr>
          <w:trHeight w:val="2632"/>
        </w:trPr>
        <w:tc>
          <w:tcPr>
            <w:tcW w:w="1562" w:type="dxa"/>
            <w:tcBorders>
              <w:top w:val="nil"/>
              <w:left w:val="single" w:sz="12" w:space="0" w:color="2F75B5"/>
              <w:bottom w:val="double" w:sz="6"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sidRPr="00927D9A">
              <w:rPr>
                <w:rFonts w:eastAsia="Times New Roman" w:cs="Calibri"/>
                <w:color w:val="000000"/>
                <w:sz w:val="20"/>
                <w:szCs w:val="20"/>
                <w:lang w:eastAsia="hr-HR"/>
              </w:rPr>
              <w:t>Dimenzija usluga i zemljopisna dimenzija</w:t>
            </w:r>
          </w:p>
        </w:tc>
        <w:tc>
          <w:tcPr>
            <w:tcW w:w="4020" w:type="dxa"/>
            <w:tcBorders>
              <w:top w:val="nil"/>
              <w:left w:val="nil"/>
              <w:bottom w:val="double" w:sz="6" w:space="0" w:color="auto"/>
              <w:right w:val="double" w:sz="6" w:space="0" w:color="auto"/>
            </w:tcBorders>
            <w:shd w:val="clear" w:color="000000" w:fill="DDEBF7"/>
            <w:vAlign w:val="center"/>
            <w:hideMark/>
          </w:tcPr>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t>a) u dimenziji usluga tržište podijeljeno na mali kapacitet (bakre</w:t>
            </w:r>
            <w:r>
              <w:rPr>
                <w:rFonts w:eastAsia="Times New Roman" w:cs="Calibri"/>
                <w:color w:val="000000"/>
                <w:sz w:val="20"/>
                <w:szCs w:val="20"/>
                <w:lang w:eastAsia="hr-HR"/>
              </w:rPr>
              <w:t>na mreža</w:t>
            </w:r>
            <w:r w:rsidRPr="00927D9A">
              <w:rPr>
                <w:rFonts w:eastAsia="Times New Roman" w:cs="Calibri"/>
                <w:color w:val="000000"/>
                <w:sz w:val="20"/>
                <w:szCs w:val="20"/>
                <w:lang w:eastAsia="hr-HR"/>
              </w:rPr>
              <w:t xml:space="preserve">) i veliki kapacitet (svjetlovod, kabel) </w:t>
            </w:r>
          </w:p>
          <w:p w:rsidR="003C0675" w:rsidRPr="00927D9A"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br/>
              <w:t xml:space="preserve">b) u zemljopisnoj dimenziji tržište je nacionalno za mali kapacitet, a za veliki kapacitet  tržište je podijeljeno na općine, gradove i gradske četvrti Grada Zagreba (572 geografske jedinice) </w:t>
            </w:r>
          </w:p>
        </w:tc>
        <w:tc>
          <w:tcPr>
            <w:tcW w:w="3796" w:type="dxa"/>
            <w:tcBorders>
              <w:top w:val="nil"/>
              <w:left w:val="nil"/>
              <w:bottom w:val="double" w:sz="6" w:space="0" w:color="auto"/>
              <w:right w:val="single" w:sz="12" w:space="0" w:color="2F75B5"/>
            </w:tcBorders>
            <w:shd w:val="clear" w:color="000000" w:fill="DDEBF7"/>
            <w:vAlign w:val="center"/>
            <w:hideMark/>
          </w:tcPr>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t xml:space="preserve">a) u dimenziji usluga sve usluge su sastavni dio istog tržišta </w:t>
            </w:r>
          </w:p>
          <w:p w:rsidR="003C0675" w:rsidRPr="00927D9A"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br/>
              <w:t>b) u zemljopisnoj dimenziji tržište je nacionalno</w:t>
            </w:r>
          </w:p>
        </w:tc>
      </w:tr>
      <w:tr w:rsidR="003C0675" w:rsidRPr="00927D9A" w:rsidTr="00D0352D">
        <w:trPr>
          <w:trHeight w:val="2499"/>
        </w:trPr>
        <w:tc>
          <w:tcPr>
            <w:tcW w:w="1562" w:type="dxa"/>
            <w:tcBorders>
              <w:top w:val="nil"/>
              <w:left w:val="single" w:sz="12" w:space="0" w:color="2F75B5"/>
              <w:bottom w:val="double" w:sz="6"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sidRPr="00927D9A">
              <w:rPr>
                <w:rFonts w:eastAsia="Times New Roman" w:cs="Calibri"/>
                <w:color w:val="000000"/>
                <w:sz w:val="20"/>
                <w:szCs w:val="20"/>
                <w:lang w:eastAsia="hr-HR"/>
              </w:rPr>
              <w:t xml:space="preserve">Geografska analiza uvjeta tržišne konkurentnosti </w:t>
            </w:r>
          </w:p>
        </w:tc>
        <w:tc>
          <w:tcPr>
            <w:tcW w:w="4020" w:type="dxa"/>
            <w:tcBorders>
              <w:top w:val="nil"/>
              <w:left w:val="nil"/>
              <w:bottom w:val="double" w:sz="6" w:space="0" w:color="auto"/>
              <w:right w:val="double" w:sz="6" w:space="0" w:color="auto"/>
            </w:tcBorders>
            <w:shd w:val="clear" w:color="000000" w:fill="DDEBF7"/>
            <w:vAlign w:val="center"/>
            <w:hideMark/>
          </w:tcPr>
          <w:p w:rsidR="003C0675" w:rsidRDefault="003C0675" w:rsidP="003C0675">
            <w:pPr>
              <w:jc w:val="both"/>
              <w:rPr>
                <w:rFonts w:eastAsia="Times New Roman" w:cs="Calibri"/>
                <w:color w:val="000000"/>
                <w:sz w:val="20"/>
                <w:szCs w:val="20"/>
                <w:lang w:eastAsia="hr-HR"/>
              </w:rPr>
            </w:pPr>
          </w:p>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t xml:space="preserve">HAKOM </w:t>
            </w:r>
            <w:r w:rsidR="007558B8">
              <w:rPr>
                <w:rFonts w:eastAsia="Times New Roman" w:cs="Calibri"/>
                <w:color w:val="000000"/>
                <w:sz w:val="20"/>
                <w:szCs w:val="20"/>
                <w:lang w:eastAsia="hr-HR"/>
              </w:rPr>
              <w:t>je</w:t>
            </w:r>
            <w:r w:rsidRPr="00927D9A">
              <w:rPr>
                <w:rFonts w:eastAsia="Times New Roman" w:cs="Calibri"/>
                <w:color w:val="000000"/>
                <w:sz w:val="20"/>
                <w:szCs w:val="20"/>
                <w:lang w:eastAsia="hr-HR"/>
              </w:rPr>
              <w:t xml:space="preserve"> definirao uvjete za utvrđivanje tržišne konkurentnosti za usluge velikog kapaciteta; (I) postojanje VHCN infrastrukture</w:t>
            </w:r>
            <w:r>
              <w:rPr>
                <w:rFonts w:eastAsia="Times New Roman" w:cs="Calibri"/>
                <w:color w:val="000000"/>
                <w:sz w:val="20"/>
                <w:szCs w:val="20"/>
                <w:lang w:eastAsia="hr-HR"/>
              </w:rPr>
              <w:t xml:space="preserve"> alternativnog operatora</w:t>
            </w:r>
            <w:r w:rsidRPr="00927D9A">
              <w:rPr>
                <w:rFonts w:eastAsia="Times New Roman" w:cs="Calibri"/>
                <w:color w:val="000000"/>
                <w:sz w:val="20"/>
                <w:szCs w:val="20"/>
                <w:lang w:eastAsia="hr-HR"/>
              </w:rPr>
              <w:t>; (II) pokrivenost VHCN infrastrukturom</w:t>
            </w:r>
            <w:r>
              <w:rPr>
                <w:rFonts w:eastAsia="Times New Roman" w:cs="Calibri"/>
                <w:color w:val="000000"/>
                <w:sz w:val="20"/>
                <w:szCs w:val="20"/>
                <w:lang w:eastAsia="hr-HR"/>
              </w:rPr>
              <w:t xml:space="preserve"> alternativnog operatora</w:t>
            </w:r>
            <w:r w:rsidRPr="00927D9A">
              <w:rPr>
                <w:rFonts w:eastAsia="Times New Roman" w:cs="Calibri"/>
                <w:color w:val="000000"/>
                <w:sz w:val="20"/>
                <w:szCs w:val="20"/>
                <w:lang w:eastAsia="hr-HR"/>
              </w:rPr>
              <w:t xml:space="preserve"> od minimalno 25% korisničkih jedinica i (III) tržišni udio HT Grupe manji od 50% te tržište podijelio na nekonkurentna područja (</w:t>
            </w:r>
            <w:r w:rsidR="002D636E">
              <w:rPr>
                <w:rFonts w:eastAsia="Times New Roman" w:cs="Calibri"/>
                <w:color w:val="000000"/>
                <w:sz w:val="20"/>
                <w:szCs w:val="20"/>
                <w:lang w:eastAsia="hr-HR"/>
              </w:rPr>
              <w:t>Klaster</w:t>
            </w:r>
            <w:r w:rsidRPr="00927D9A">
              <w:rPr>
                <w:rFonts w:eastAsia="Times New Roman" w:cs="Calibri"/>
                <w:color w:val="000000"/>
                <w:sz w:val="20"/>
                <w:szCs w:val="20"/>
                <w:lang w:eastAsia="hr-HR"/>
              </w:rPr>
              <w:t xml:space="preserve"> A i </w:t>
            </w:r>
            <w:r w:rsidR="002D636E">
              <w:rPr>
                <w:rFonts w:eastAsia="Times New Roman" w:cs="Calibri"/>
                <w:color w:val="000000"/>
                <w:sz w:val="20"/>
                <w:szCs w:val="20"/>
                <w:lang w:eastAsia="hr-HR"/>
              </w:rPr>
              <w:t>Klaster</w:t>
            </w:r>
            <w:r w:rsidRPr="00927D9A">
              <w:rPr>
                <w:rFonts w:eastAsia="Times New Roman" w:cs="Calibri"/>
                <w:color w:val="000000"/>
                <w:sz w:val="20"/>
                <w:szCs w:val="20"/>
                <w:lang w:eastAsia="hr-HR"/>
              </w:rPr>
              <w:t xml:space="preserve"> B) te konkurentna područja</w:t>
            </w:r>
          </w:p>
          <w:p w:rsidR="003C0675" w:rsidRPr="00927D9A" w:rsidRDefault="003C0675" w:rsidP="003C0675">
            <w:pPr>
              <w:jc w:val="both"/>
              <w:rPr>
                <w:rFonts w:eastAsia="Times New Roman" w:cs="Calibri"/>
                <w:color w:val="000000"/>
                <w:sz w:val="20"/>
                <w:szCs w:val="20"/>
                <w:lang w:eastAsia="hr-HR"/>
              </w:rPr>
            </w:pPr>
          </w:p>
        </w:tc>
        <w:tc>
          <w:tcPr>
            <w:tcW w:w="3796" w:type="dxa"/>
            <w:tcBorders>
              <w:top w:val="nil"/>
              <w:left w:val="nil"/>
              <w:bottom w:val="double" w:sz="6" w:space="0" w:color="auto"/>
              <w:right w:val="single" w:sz="12" w:space="0" w:color="2F75B5"/>
            </w:tcBorders>
            <w:shd w:val="clear" w:color="000000" w:fill="DDEBF7"/>
            <w:vAlign w:val="center"/>
            <w:hideMark/>
          </w:tcPr>
          <w:p w:rsidR="003C0675" w:rsidRPr="00927D9A" w:rsidRDefault="007558B8" w:rsidP="003C0675">
            <w:pPr>
              <w:spacing w:after="240"/>
              <w:jc w:val="both"/>
              <w:rPr>
                <w:rFonts w:eastAsia="Times New Roman" w:cs="Calibri"/>
                <w:color w:val="000000"/>
                <w:sz w:val="20"/>
                <w:szCs w:val="20"/>
                <w:lang w:eastAsia="hr-HR"/>
              </w:rPr>
            </w:pPr>
            <w:r>
              <w:rPr>
                <w:rFonts w:eastAsia="Times New Roman" w:cs="Calibri"/>
                <w:color w:val="000000"/>
                <w:sz w:val="20"/>
                <w:szCs w:val="20"/>
                <w:lang w:eastAsia="hr-HR"/>
              </w:rPr>
              <w:t>S</w:t>
            </w:r>
            <w:r w:rsidR="003C0675" w:rsidRPr="00927D9A">
              <w:rPr>
                <w:rFonts w:eastAsia="Times New Roman" w:cs="Calibri"/>
                <w:color w:val="000000"/>
                <w:sz w:val="20"/>
                <w:szCs w:val="20"/>
                <w:lang w:eastAsia="hr-HR"/>
              </w:rPr>
              <w:t xml:space="preserve"> obzirom da je tržište bilo određeno </w:t>
            </w:r>
            <w:r>
              <w:rPr>
                <w:rFonts w:eastAsia="Times New Roman" w:cs="Calibri"/>
                <w:color w:val="000000"/>
                <w:sz w:val="20"/>
                <w:szCs w:val="20"/>
                <w:lang w:eastAsia="hr-HR"/>
              </w:rPr>
              <w:t xml:space="preserve">kao </w:t>
            </w:r>
            <w:r w:rsidR="003C0675" w:rsidRPr="00927D9A">
              <w:rPr>
                <w:rFonts w:eastAsia="Times New Roman" w:cs="Calibri"/>
                <w:color w:val="000000"/>
                <w:sz w:val="20"/>
                <w:szCs w:val="20"/>
                <w:lang w:eastAsia="hr-HR"/>
              </w:rPr>
              <w:t>nacionalno</w:t>
            </w:r>
            <w:r>
              <w:rPr>
                <w:rFonts w:eastAsia="Times New Roman" w:cs="Calibri"/>
                <w:color w:val="000000"/>
                <w:sz w:val="20"/>
                <w:szCs w:val="20"/>
                <w:lang w:eastAsia="hr-HR"/>
              </w:rPr>
              <w:t>,</w:t>
            </w:r>
            <w:r w:rsidR="003C0675" w:rsidRPr="00927D9A">
              <w:rPr>
                <w:rFonts w:eastAsia="Times New Roman" w:cs="Calibri"/>
                <w:color w:val="000000"/>
                <w:sz w:val="20"/>
                <w:szCs w:val="20"/>
                <w:lang w:eastAsia="hr-HR"/>
              </w:rPr>
              <w:t xml:space="preserve"> nije bilo potrebe za definiranjem uvjeta tržišne konkurentnosti</w:t>
            </w:r>
          </w:p>
        </w:tc>
      </w:tr>
      <w:tr w:rsidR="003C0675" w:rsidRPr="00927D9A" w:rsidTr="00D0352D">
        <w:trPr>
          <w:trHeight w:val="3057"/>
        </w:trPr>
        <w:tc>
          <w:tcPr>
            <w:tcW w:w="1562" w:type="dxa"/>
            <w:tcBorders>
              <w:top w:val="nil"/>
              <w:left w:val="single" w:sz="12" w:space="0" w:color="2F75B5"/>
              <w:bottom w:val="double" w:sz="4"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sidRPr="00927D9A">
              <w:rPr>
                <w:rFonts w:eastAsia="Times New Roman" w:cs="Calibri"/>
                <w:color w:val="000000"/>
                <w:sz w:val="20"/>
                <w:szCs w:val="20"/>
                <w:lang w:eastAsia="hr-HR"/>
              </w:rPr>
              <w:t>Test tri mjerila i SMP analiza</w:t>
            </w:r>
          </w:p>
        </w:tc>
        <w:tc>
          <w:tcPr>
            <w:tcW w:w="4020" w:type="dxa"/>
            <w:tcBorders>
              <w:top w:val="nil"/>
              <w:left w:val="nil"/>
              <w:bottom w:val="single" w:sz="12" w:space="0" w:color="2F75B5"/>
              <w:right w:val="double" w:sz="6" w:space="0" w:color="auto"/>
            </w:tcBorders>
            <w:shd w:val="clear" w:color="000000" w:fill="DDEBF7"/>
            <w:vAlign w:val="center"/>
            <w:hideMark/>
          </w:tcPr>
          <w:p w:rsidR="003C0675" w:rsidRDefault="003C0675" w:rsidP="003C0675">
            <w:pPr>
              <w:jc w:val="both"/>
              <w:rPr>
                <w:rFonts w:eastAsia="Times New Roman" w:cs="Calibri"/>
                <w:color w:val="000000"/>
                <w:sz w:val="20"/>
                <w:szCs w:val="20"/>
                <w:lang w:eastAsia="hr-HR"/>
              </w:rPr>
            </w:pPr>
          </w:p>
          <w:p w:rsidR="003C0675" w:rsidRDefault="003C0675" w:rsidP="003C0675">
            <w:pPr>
              <w:jc w:val="both"/>
              <w:rPr>
                <w:rFonts w:eastAsia="Times New Roman" w:cs="Calibri"/>
                <w:color w:val="000000"/>
                <w:sz w:val="20"/>
                <w:szCs w:val="20"/>
                <w:lang w:eastAsia="hr-HR"/>
              </w:rPr>
            </w:pPr>
            <w:r>
              <w:rPr>
                <w:rFonts w:eastAsia="Times New Roman" w:cs="Calibri"/>
                <w:color w:val="000000"/>
                <w:sz w:val="20"/>
                <w:szCs w:val="20"/>
                <w:lang w:eastAsia="hr-HR"/>
              </w:rPr>
              <w:t xml:space="preserve">a) Tržište </w:t>
            </w:r>
            <w:r w:rsidRPr="00927D9A">
              <w:rPr>
                <w:rFonts w:eastAsia="Times New Roman" w:cs="Calibri"/>
                <w:color w:val="000000"/>
                <w:sz w:val="20"/>
                <w:szCs w:val="20"/>
                <w:lang w:eastAsia="hr-HR"/>
              </w:rPr>
              <w:t xml:space="preserve">je dio Preporuke EK o mjerodavnim tržištima pa je potrebno provesti Test tri mjerila </w:t>
            </w:r>
            <w:r>
              <w:rPr>
                <w:rFonts w:eastAsia="Times New Roman" w:cs="Calibri"/>
                <w:color w:val="000000"/>
                <w:sz w:val="20"/>
                <w:szCs w:val="20"/>
                <w:lang w:eastAsia="hr-HR"/>
              </w:rPr>
              <w:t>samo za konkurentna područja tržišta velikog kapaciteta</w:t>
            </w:r>
          </w:p>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br/>
              <w:t xml:space="preserve">b) iako za usluge velikog kapaciteta postoji mogućnost, HAKOM obrazložio zašto alternativnim operatorima nije određen SMP status </w:t>
            </w:r>
          </w:p>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br/>
              <w:t xml:space="preserve">c) HT-u određen SMP status za tržište malog kapaciteta i za tržište velikog kapaciteta za nekonkurentna područja; u konkurentnim područjima velikog kapaciteta nitko nije određen SMP operatorom </w:t>
            </w:r>
          </w:p>
          <w:p w:rsidR="003C0675" w:rsidRPr="00927D9A" w:rsidRDefault="003C0675" w:rsidP="003C0675">
            <w:pPr>
              <w:jc w:val="both"/>
              <w:rPr>
                <w:rFonts w:eastAsia="Times New Roman" w:cs="Calibri"/>
                <w:color w:val="000000"/>
                <w:sz w:val="20"/>
                <w:szCs w:val="20"/>
                <w:lang w:eastAsia="hr-HR"/>
              </w:rPr>
            </w:pPr>
          </w:p>
        </w:tc>
        <w:tc>
          <w:tcPr>
            <w:tcW w:w="3796" w:type="dxa"/>
            <w:tcBorders>
              <w:top w:val="nil"/>
              <w:left w:val="nil"/>
              <w:bottom w:val="double" w:sz="4" w:space="0" w:color="auto"/>
              <w:right w:val="single" w:sz="12" w:space="0" w:color="2F75B5"/>
            </w:tcBorders>
            <w:shd w:val="clear" w:color="000000" w:fill="DDEBF7"/>
            <w:vAlign w:val="center"/>
            <w:hideMark/>
          </w:tcPr>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t xml:space="preserve">a) tržište je bilo sastavni do Preporuke EK o mjerodavnim tržištima pa nije bilo potrebno provoditi Test tri mjerila </w:t>
            </w:r>
          </w:p>
          <w:p w:rsidR="003C0675"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br/>
              <w:t>b) samo je HT mogao imati SMP status s obzirom da su u dimenziji usluga sve usluge sastavni dio istog tržišta,</w:t>
            </w:r>
            <w:r>
              <w:rPr>
                <w:rFonts w:eastAsia="Times New Roman" w:cs="Calibri"/>
                <w:color w:val="000000"/>
                <w:sz w:val="20"/>
                <w:szCs w:val="20"/>
                <w:lang w:eastAsia="hr-HR"/>
              </w:rPr>
              <w:t xml:space="preserve"> </w:t>
            </w:r>
            <w:r w:rsidRPr="00927D9A">
              <w:rPr>
                <w:rFonts w:eastAsia="Times New Roman" w:cs="Calibri"/>
                <w:color w:val="000000"/>
                <w:sz w:val="20"/>
                <w:szCs w:val="20"/>
                <w:lang w:eastAsia="hr-HR"/>
              </w:rPr>
              <w:t>a u zemljopisnoj dimenziji je tržište određeno kao nacionalno</w:t>
            </w:r>
          </w:p>
          <w:p w:rsidR="003C0675" w:rsidRPr="00927D9A" w:rsidRDefault="003C0675" w:rsidP="003C0675">
            <w:pPr>
              <w:jc w:val="both"/>
              <w:rPr>
                <w:rFonts w:eastAsia="Times New Roman" w:cs="Calibri"/>
                <w:color w:val="000000"/>
                <w:sz w:val="20"/>
                <w:szCs w:val="20"/>
                <w:lang w:eastAsia="hr-HR"/>
              </w:rPr>
            </w:pPr>
            <w:r w:rsidRPr="00927D9A">
              <w:rPr>
                <w:rFonts w:eastAsia="Times New Roman" w:cs="Calibri"/>
                <w:color w:val="000000"/>
                <w:sz w:val="20"/>
                <w:szCs w:val="20"/>
                <w:lang w:eastAsia="hr-HR"/>
              </w:rPr>
              <w:br/>
              <w:t>c) HT-u određen SMP status za cijeli teritorij RH</w:t>
            </w:r>
          </w:p>
        </w:tc>
      </w:tr>
      <w:tr w:rsidR="003C0675" w:rsidRPr="00927D9A" w:rsidTr="00D0352D">
        <w:trPr>
          <w:trHeight w:val="1639"/>
        </w:trPr>
        <w:tc>
          <w:tcPr>
            <w:tcW w:w="1562" w:type="dxa"/>
            <w:tcBorders>
              <w:top w:val="nil"/>
              <w:left w:val="single" w:sz="12" w:space="0" w:color="2F75B5"/>
              <w:bottom w:val="double" w:sz="6"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Pr>
                <w:rFonts w:eastAsia="Times New Roman" w:cs="Calibri"/>
                <w:color w:val="000000"/>
                <w:sz w:val="20"/>
                <w:szCs w:val="20"/>
                <w:lang w:eastAsia="hr-HR"/>
              </w:rPr>
              <w:t>Pristup EKI</w:t>
            </w:r>
          </w:p>
        </w:tc>
        <w:tc>
          <w:tcPr>
            <w:tcW w:w="4020" w:type="dxa"/>
            <w:tcBorders>
              <w:top w:val="double" w:sz="4" w:space="0" w:color="auto"/>
              <w:left w:val="nil"/>
              <w:bottom w:val="double" w:sz="6" w:space="0" w:color="auto"/>
              <w:right w:val="double" w:sz="4" w:space="0" w:color="auto"/>
            </w:tcBorders>
            <w:shd w:val="clear" w:color="000000" w:fill="DDEBF7"/>
            <w:vAlign w:val="center"/>
          </w:tcPr>
          <w:p w:rsidR="003C0675" w:rsidRPr="00275AF0" w:rsidRDefault="003C0675" w:rsidP="003C0675">
            <w:pPr>
              <w:jc w:val="both"/>
              <w:rPr>
                <w:rFonts w:eastAsia="Times New Roman" w:cs="Calibri"/>
                <w:color w:val="000000"/>
                <w:sz w:val="20"/>
                <w:szCs w:val="20"/>
                <w:lang w:eastAsia="hr-HR"/>
              </w:rPr>
            </w:pPr>
            <w:r>
              <w:rPr>
                <w:rFonts w:eastAsia="Times New Roman" w:cs="Calibri"/>
                <w:color w:val="000000"/>
                <w:sz w:val="20"/>
                <w:szCs w:val="20"/>
                <w:lang w:eastAsia="hr-HR"/>
              </w:rPr>
              <w:t>Pristup fizičkoj infrastrukturi na cijelom teritoriju RH</w:t>
            </w:r>
          </w:p>
        </w:tc>
        <w:tc>
          <w:tcPr>
            <w:tcW w:w="3796" w:type="dxa"/>
            <w:tcBorders>
              <w:top w:val="double" w:sz="4" w:space="0" w:color="auto"/>
              <w:left w:val="double" w:sz="4" w:space="0" w:color="auto"/>
              <w:bottom w:val="double" w:sz="6" w:space="0" w:color="auto"/>
              <w:right w:val="single" w:sz="12" w:space="0" w:color="2F75B5"/>
            </w:tcBorders>
            <w:shd w:val="clear" w:color="000000" w:fill="DDEBF7"/>
            <w:vAlign w:val="center"/>
            <w:hideMark/>
          </w:tcPr>
          <w:p w:rsidR="00E62CF3" w:rsidRPr="00EE4F0A" w:rsidRDefault="003C0675" w:rsidP="003C0675">
            <w:pPr>
              <w:jc w:val="both"/>
              <w:rPr>
                <w:rFonts w:eastAsia="Times New Roman" w:cs="Calibri"/>
                <w:color w:val="000000"/>
                <w:sz w:val="20"/>
                <w:szCs w:val="20"/>
                <w:lang w:eastAsia="hr-HR"/>
              </w:rPr>
            </w:pPr>
            <w:r>
              <w:rPr>
                <w:rFonts w:eastAsia="Times New Roman" w:cs="Calibri"/>
                <w:color w:val="000000"/>
                <w:sz w:val="20"/>
                <w:szCs w:val="20"/>
                <w:lang w:eastAsia="hr-HR"/>
              </w:rPr>
              <w:t>Nije bio određen analizom tržišta već na temelju članka 30. starog ZEK-a</w:t>
            </w:r>
          </w:p>
        </w:tc>
      </w:tr>
      <w:tr w:rsidR="003C0675" w:rsidRPr="00927D9A" w:rsidTr="00D0352D">
        <w:trPr>
          <w:trHeight w:val="677"/>
        </w:trPr>
        <w:tc>
          <w:tcPr>
            <w:tcW w:w="1562" w:type="dxa"/>
            <w:tcBorders>
              <w:top w:val="single" w:sz="12" w:space="0" w:color="2F75B5"/>
              <w:left w:val="single" w:sz="12" w:space="0" w:color="2F75B5"/>
              <w:bottom w:val="nil"/>
              <w:right w:val="double" w:sz="6" w:space="0" w:color="auto"/>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Pr>
                <w:rFonts w:eastAsia="Times New Roman" w:cs="Calibri"/>
                <w:color w:val="FFFFFF"/>
                <w:lang w:eastAsia="hr-HR"/>
              </w:rPr>
              <w:t>Regulatorne obveze</w:t>
            </w:r>
            <w:r w:rsidRPr="00927D9A">
              <w:rPr>
                <w:rFonts w:eastAsia="Times New Roman" w:cs="Calibri"/>
                <w:color w:val="FFFFFF"/>
                <w:lang w:eastAsia="hr-HR"/>
              </w:rPr>
              <w:t xml:space="preserve"> </w:t>
            </w:r>
          </w:p>
        </w:tc>
        <w:tc>
          <w:tcPr>
            <w:tcW w:w="4020" w:type="dxa"/>
            <w:tcBorders>
              <w:top w:val="single" w:sz="12" w:space="0" w:color="2F75B5"/>
              <w:left w:val="nil"/>
              <w:bottom w:val="nil"/>
              <w:right w:val="double" w:sz="6" w:space="0" w:color="auto"/>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Pr>
                <w:rFonts w:eastAsia="Times New Roman" w:cs="Calibri"/>
                <w:color w:val="FFFFFF"/>
                <w:lang w:eastAsia="hr-HR"/>
              </w:rPr>
              <w:t>prijedlog analize tržišta 2023</w:t>
            </w:r>
            <w:r w:rsidRPr="00927D9A">
              <w:rPr>
                <w:rFonts w:eastAsia="Times New Roman" w:cs="Calibri"/>
                <w:color w:val="FFFFFF"/>
                <w:lang w:eastAsia="hr-HR"/>
              </w:rPr>
              <w:t>.</w:t>
            </w:r>
          </w:p>
        </w:tc>
        <w:tc>
          <w:tcPr>
            <w:tcW w:w="3796" w:type="dxa"/>
            <w:tcBorders>
              <w:top w:val="single" w:sz="12" w:space="0" w:color="2F75B5"/>
              <w:left w:val="nil"/>
              <w:bottom w:val="nil"/>
              <w:right w:val="single" w:sz="12" w:space="0" w:color="2F75B5"/>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sidRPr="00927D9A">
              <w:rPr>
                <w:rFonts w:eastAsia="Times New Roman" w:cs="Calibri"/>
                <w:color w:val="FFFFFF"/>
                <w:lang w:eastAsia="hr-HR"/>
              </w:rPr>
              <w:t>analiza tržišta 2019.</w:t>
            </w:r>
          </w:p>
        </w:tc>
      </w:tr>
      <w:tr w:rsidR="003C0675" w:rsidRPr="00927D9A" w:rsidTr="00D0352D">
        <w:trPr>
          <w:trHeight w:val="2146"/>
        </w:trPr>
        <w:tc>
          <w:tcPr>
            <w:tcW w:w="1562" w:type="dxa"/>
            <w:tcBorders>
              <w:top w:val="nil"/>
              <w:left w:val="single" w:sz="12" w:space="0" w:color="2F75B5"/>
              <w:bottom w:val="double" w:sz="6" w:space="0" w:color="auto"/>
              <w:right w:val="double" w:sz="6" w:space="0" w:color="auto"/>
            </w:tcBorders>
            <w:shd w:val="clear" w:color="000000" w:fill="DDEBF7"/>
            <w:vAlign w:val="center"/>
          </w:tcPr>
          <w:p w:rsidR="003C0675" w:rsidRDefault="003C0675" w:rsidP="003C0675">
            <w:pPr>
              <w:jc w:val="center"/>
              <w:rPr>
                <w:rFonts w:eastAsia="Times New Roman" w:cs="Calibri"/>
                <w:color w:val="000000"/>
                <w:sz w:val="20"/>
                <w:szCs w:val="20"/>
                <w:lang w:eastAsia="hr-HR"/>
              </w:rPr>
            </w:pPr>
            <w:r>
              <w:rPr>
                <w:rFonts w:eastAsia="Times New Roman" w:cs="Calibri"/>
                <w:color w:val="000000"/>
                <w:sz w:val="20"/>
                <w:szCs w:val="20"/>
                <w:lang w:eastAsia="hr-HR"/>
              </w:rPr>
              <w:t>Pristup</w:t>
            </w:r>
          </w:p>
        </w:tc>
        <w:tc>
          <w:tcPr>
            <w:tcW w:w="4020" w:type="dxa"/>
            <w:tcBorders>
              <w:top w:val="nil"/>
              <w:left w:val="nil"/>
              <w:bottom w:val="double" w:sz="6" w:space="0" w:color="auto"/>
              <w:right w:val="double" w:sz="6" w:space="0" w:color="auto"/>
            </w:tcBorders>
            <w:shd w:val="clear" w:color="000000" w:fill="DDEBF7"/>
            <w:vAlign w:val="center"/>
          </w:tcPr>
          <w:p w:rsidR="003C0675" w:rsidRPr="007D470D" w:rsidRDefault="003C0675" w:rsidP="00766501">
            <w:pPr>
              <w:numPr>
                <w:ilvl w:val="0"/>
                <w:numId w:val="22"/>
              </w:numPr>
              <w:jc w:val="both"/>
              <w:rPr>
                <w:rFonts w:eastAsia="Times New Roman" w:cs="Calibri"/>
                <w:color w:val="000000"/>
                <w:sz w:val="20"/>
                <w:szCs w:val="20"/>
                <w:lang w:eastAsia="hr-HR"/>
              </w:rPr>
            </w:pPr>
            <w:r w:rsidRPr="007D470D">
              <w:rPr>
                <w:rFonts w:eastAsia="Times New Roman" w:cs="Calibri"/>
                <w:color w:val="000000"/>
                <w:sz w:val="20"/>
                <w:szCs w:val="20"/>
                <w:lang w:eastAsia="hr-HR"/>
              </w:rPr>
              <w:t>Pristup lokalnoj petlji putem bakrene parice</w:t>
            </w:r>
          </w:p>
          <w:p w:rsidR="003C0675" w:rsidRDefault="003C0675" w:rsidP="00766501">
            <w:pPr>
              <w:numPr>
                <w:ilvl w:val="0"/>
                <w:numId w:val="22"/>
              </w:numPr>
              <w:jc w:val="both"/>
              <w:rPr>
                <w:rFonts w:eastAsia="Times New Roman" w:cs="Calibri"/>
                <w:color w:val="000000"/>
                <w:sz w:val="20"/>
                <w:szCs w:val="20"/>
                <w:lang w:eastAsia="hr-HR"/>
              </w:rPr>
            </w:pPr>
            <w:r w:rsidRPr="007D470D">
              <w:rPr>
                <w:rFonts w:eastAsia="Times New Roman" w:cs="Calibri"/>
                <w:color w:val="000000"/>
                <w:sz w:val="20"/>
                <w:szCs w:val="20"/>
                <w:lang w:eastAsia="hr-HR"/>
              </w:rPr>
              <w:t>Pristup pasivnoj pristupnoj svjetlovodnoj mreži (PON FTTH)</w:t>
            </w:r>
          </w:p>
          <w:p w:rsidR="003C0675" w:rsidRPr="00EE4F0A" w:rsidRDefault="003C0675" w:rsidP="00766501">
            <w:pPr>
              <w:numPr>
                <w:ilvl w:val="0"/>
                <w:numId w:val="17"/>
              </w:numPr>
              <w:jc w:val="both"/>
              <w:rPr>
                <w:rFonts w:eastAsia="Times New Roman" w:cs="Calibri"/>
                <w:color w:val="000000"/>
                <w:sz w:val="20"/>
                <w:szCs w:val="20"/>
                <w:lang w:eastAsia="hr-HR"/>
              </w:rPr>
            </w:pPr>
            <w:r w:rsidRPr="00EE4F0A">
              <w:rPr>
                <w:rFonts w:eastAsia="Times New Roman" w:cs="Calibri"/>
                <w:color w:val="000000"/>
                <w:sz w:val="20"/>
                <w:szCs w:val="20"/>
                <w:lang w:eastAsia="hr-HR"/>
              </w:rPr>
              <w:t>izdvojeni pristup lokalnoj petlji na temelju svjetlovodnih niti (P2P FTTH)</w:t>
            </w:r>
          </w:p>
        </w:tc>
        <w:tc>
          <w:tcPr>
            <w:tcW w:w="3796" w:type="dxa"/>
            <w:tcBorders>
              <w:top w:val="nil"/>
              <w:left w:val="nil"/>
              <w:bottom w:val="double" w:sz="6" w:space="0" w:color="auto"/>
              <w:right w:val="single" w:sz="12" w:space="0" w:color="2F75B5"/>
            </w:tcBorders>
            <w:shd w:val="clear" w:color="000000" w:fill="DDEBF7"/>
            <w:vAlign w:val="center"/>
          </w:tcPr>
          <w:p w:rsidR="003C0675" w:rsidRDefault="003C0675" w:rsidP="00766501">
            <w:pPr>
              <w:pStyle w:val="ListParagraph"/>
              <w:numPr>
                <w:ilvl w:val="0"/>
                <w:numId w:val="23"/>
              </w:numPr>
              <w:jc w:val="both"/>
              <w:rPr>
                <w:rFonts w:eastAsia="Times New Roman" w:cs="Calibri"/>
                <w:color w:val="000000"/>
                <w:sz w:val="20"/>
                <w:szCs w:val="20"/>
                <w:lang w:eastAsia="hr-HR"/>
              </w:rPr>
            </w:pPr>
            <w:r w:rsidRPr="007D470D">
              <w:rPr>
                <w:rFonts w:eastAsia="Times New Roman" w:cs="Calibri"/>
                <w:color w:val="000000"/>
                <w:sz w:val="20"/>
                <w:szCs w:val="20"/>
                <w:lang w:eastAsia="hr-HR"/>
              </w:rPr>
              <w:t>Pristup lokalnoj petlji putem bakrene parice</w:t>
            </w:r>
          </w:p>
          <w:p w:rsidR="003C0675" w:rsidRDefault="003C0675" w:rsidP="00766501">
            <w:pPr>
              <w:pStyle w:val="ListParagraph"/>
              <w:numPr>
                <w:ilvl w:val="0"/>
                <w:numId w:val="23"/>
              </w:numPr>
              <w:jc w:val="both"/>
              <w:rPr>
                <w:rFonts w:eastAsia="Times New Roman" w:cs="Calibri"/>
                <w:color w:val="000000"/>
                <w:sz w:val="20"/>
                <w:szCs w:val="20"/>
                <w:lang w:eastAsia="hr-HR"/>
              </w:rPr>
            </w:pPr>
            <w:r>
              <w:rPr>
                <w:rFonts w:eastAsia="Times New Roman" w:cs="Calibri"/>
                <w:color w:val="000000"/>
                <w:sz w:val="20"/>
                <w:szCs w:val="20"/>
                <w:lang w:eastAsia="hr-HR"/>
              </w:rPr>
              <w:t xml:space="preserve"> </w:t>
            </w:r>
            <w:r w:rsidRPr="007D470D">
              <w:rPr>
                <w:rFonts w:eastAsia="Times New Roman" w:cs="Calibri"/>
                <w:color w:val="000000"/>
                <w:sz w:val="20"/>
                <w:szCs w:val="20"/>
                <w:lang w:eastAsia="hr-HR"/>
              </w:rPr>
              <w:t>Pristup pasivnoj pristupnoj svjetlovodnoj mreži (PON FTTH)</w:t>
            </w:r>
          </w:p>
          <w:p w:rsidR="003C0675" w:rsidRPr="00EE4F0A" w:rsidRDefault="003C0675" w:rsidP="00766501">
            <w:pPr>
              <w:numPr>
                <w:ilvl w:val="0"/>
                <w:numId w:val="17"/>
              </w:numPr>
              <w:jc w:val="both"/>
              <w:rPr>
                <w:rFonts w:eastAsia="Times New Roman" w:cs="Calibri"/>
                <w:color w:val="000000"/>
                <w:sz w:val="20"/>
                <w:szCs w:val="20"/>
                <w:lang w:eastAsia="hr-HR"/>
              </w:rPr>
            </w:pPr>
            <w:r w:rsidRPr="00EE4F0A">
              <w:rPr>
                <w:rFonts w:eastAsia="Times New Roman" w:cs="Calibri"/>
                <w:color w:val="000000"/>
                <w:sz w:val="20"/>
                <w:szCs w:val="20"/>
                <w:lang w:eastAsia="hr-HR"/>
              </w:rPr>
              <w:t>Izdvojeni pristup lokalnoj petlji na temelju svjetlovodnih niti</w:t>
            </w:r>
          </w:p>
        </w:tc>
      </w:tr>
      <w:tr w:rsidR="003C0675" w:rsidRPr="00927D9A" w:rsidTr="00D0352D">
        <w:trPr>
          <w:trHeight w:val="2630"/>
        </w:trPr>
        <w:tc>
          <w:tcPr>
            <w:tcW w:w="1562" w:type="dxa"/>
            <w:tcBorders>
              <w:top w:val="nil"/>
              <w:left w:val="single" w:sz="12" w:space="0" w:color="2F75B5"/>
              <w:bottom w:val="double" w:sz="6"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Pr>
                <w:rFonts w:eastAsia="Times New Roman" w:cs="Calibri"/>
                <w:color w:val="000000"/>
                <w:sz w:val="20"/>
                <w:szCs w:val="20"/>
                <w:lang w:eastAsia="hr-HR"/>
              </w:rPr>
              <w:t>Nediskriminacija</w:t>
            </w:r>
            <w:r w:rsidRPr="00927D9A">
              <w:rPr>
                <w:rFonts w:eastAsia="Times New Roman" w:cs="Calibri"/>
                <w:color w:val="000000"/>
                <w:sz w:val="20"/>
                <w:szCs w:val="20"/>
                <w:lang w:eastAsia="hr-HR"/>
              </w:rPr>
              <w:t xml:space="preserve"> </w:t>
            </w:r>
          </w:p>
        </w:tc>
        <w:tc>
          <w:tcPr>
            <w:tcW w:w="4020" w:type="dxa"/>
            <w:tcBorders>
              <w:top w:val="nil"/>
              <w:left w:val="nil"/>
              <w:bottom w:val="double" w:sz="6" w:space="0" w:color="auto"/>
              <w:right w:val="double" w:sz="6" w:space="0" w:color="auto"/>
            </w:tcBorders>
            <w:shd w:val="clear" w:color="000000" w:fill="DDEBF7"/>
            <w:vAlign w:val="center"/>
          </w:tcPr>
          <w:p w:rsidR="003C0675" w:rsidRDefault="003C0675" w:rsidP="003C0675">
            <w:pPr>
              <w:ind w:left="360"/>
              <w:jc w:val="both"/>
              <w:rPr>
                <w:rFonts w:eastAsia="Times New Roman" w:cs="Calibri"/>
                <w:color w:val="000000"/>
                <w:sz w:val="20"/>
                <w:szCs w:val="20"/>
                <w:lang w:eastAsia="hr-HR"/>
              </w:rPr>
            </w:pPr>
          </w:p>
          <w:p w:rsidR="003C0675" w:rsidRPr="007D470D" w:rsidRDefault="003C0675" w:rsidP="00766501">
            <w:pPr>
              <w:numPr>
                <w:ilvl w:val="0"/>
                <w:numId w:val="17"/>
              </w:numPr>
              <w:jc w:val="both"/>
              <w:rPr>
                <w:rFonts w:eastAsia="Times New Roman" w:cs="Calibri"/>
                <w:color w:val="000000"/>
                <w:sz w:val="20"/>
                <w:szCs w:val="20"/>
                <w:lang w:eastAsia="hr-HR"/>
              </w:rPr>
            </w:pPr>
            <w:r w:rsidRPr="007D470D">
              <w:rPr>
                <w:rFonts w:eastAsia="Times New Roman" w:cs="Calibri"/>
                <w:color w:val="000000"/>
                <w:sz w:val="20"/>
                <w:szCs w:val="20"/>
                <w:lang w:eastAsia="hr-HR"/>
              </w:rPr>
              <w:t xml:space="preserve">5 godina unaprijed kod preusmjeravanja dijela mreže na novi nezavisni čvor (FTTN koncept) ukoliko se radi o rekonstrukciji čvora na kojem postoji </w:t>
            </w:r>
            <w:proofErr w:type="spellStart"/>
            <w:r w:rsidRPr="007D470D">
              <w:rPr>
                <w:rFonts w:eastAsia="Times New Roman" w:cs="Calibri"/>
                <w:color w:val="000000"/>
                <w:sz w:val="20"/>
                <w:szCs w:val="20"/>
                <w:lang w:eastAsia="hr-HR"/>
              </w:rPr>
              <w:t>kolokacija</w:t>
            </w:r>
            <w:proofErr w:type="spellEnd"/>
            <w:r w:rsidRPr="007D470D">
              <w:rPr>
                <w:rFonts w:eastAsia="Times New Roman" w:cs="Calibri"/>
                <w:color w:val="000000"/>
                <w:sz w:val="20"/>
                <w:szCs w:val="20"/>
                <w:lang w:eastAsia="hr-HR"/>
              </w:rPr>
              <w:t xml:space="preserve"> drugog operatora</w:t>
            </w:r>
          </w:p>
          <w:p w:rsidR="003C0675" w:rsidRPr="007D470D" w:rsidRDefault="003C0675" w:rsidP="00766501">
            <w:pPr>
              <w:numPr>
                <w:ilvl w:val="0"/>
                <w:numId w:val="17"/>
              </w:numPr>
              <w:jc w:val="both"/>
              <w:rPr>
                <w:rFonts w:eastAsia="Times New Roman" w:cs="Calibri"/>
                <w:color w:val="000000"/>
                <w:sz w:val="20"/>
                <w:szCs w:val="20"/>
                <w:lang w:eastAsia="hr-HR"/>
              </w:rPr>
            </w:pPr>
            <w:r w:rsidRPr="007D470D">
              <w:rPr>
                <w:rFonts w:eastAsia="Times New Roman" w:cs="Calibri"/>
                <w:color w:val="000000"/>
                <w:sz w:val="20"/>
                <w:szCs w:val="20"/>
                <w:lang w:eastAsia="hr-HR"/>
              </w:rPr>
              <w:t xml:space="preserve">6 mjeseci unaprijed kod preusmjeravanja dijela mreže na novi nezavisni čvor (FTTN koncept) ukoliko se radi o rekonstrukciji čvora na kojem ne postoji </w:t>
            </w:r>
            <w:proofErr w:type="spellStart"/>
            <w:r w:rsidRPr="007D470D">
              <w:rPr>
                <w:rFonts w:eastAsia="Times New Roman" w:cs="Calibri"/>
                <w:color w:val="000000"/>
                <w:sz w:val="20"/>
                <w:szCs w:val="20"/>
                <w:lang w:eastAsia="hr-HR"/>
              </w:rPr>
              <w:t>kolokacija</w:t>
            </w:r>
            <w:proofErr w:type="spellEnd"/>
            <w:r w:rsidRPr="007D470D">
              <w:rPr>
                <w:rFonts w:eastAsia="Times New Roman" w:cs="Calibri"/>
                <w:color w:val="000000"/>
                <w:sz w:val="20"/>
                <w:szCs w:val="20"/>
                <w:lang w:eastAsia="hr-HR"/>
              </w:rPr>
              <w:t xml:space="preserve"> drugog operatora </w:t>
            </w:r>
          </w:p>
          <w:p w:rsidR="003C0675" w:rsidRDefault="003C0675" w:rsidP="00766501">
            <w:pPr>
              <w:numPr>
                <w:ilvl w:val="0"/>
                <w:numId w:val="17"/>
              </w:numPr>
              <w:jc w:val="both"/>
              <w:rPr>
                <w:rFonts w:eastAsia="Times New Roman" w:cs="Calibri"/>
                <w:color w:val="000000"/>
                <w:sz w:val="20"/>
                <w:szCs w:val="20"/>
                <w:lang w:eastAsia="hr-HR"/>
              </w:rPr>
            </w:pPr>
            <w:r w:rsidRPr="007D470D">
              <w:rPr>
                <w:rFonts w:eastAsia="Times New Roman" w:cs="Calibri"/>
                <w:color w:val="000000"/>
                <w:sz w:val="20"/>
                <w:szCs w:val="20"/>
                <w:lang w:eastAsia="hr-HR"/>
              </w:rPr>
              <w:t>6 mjeseci unaprijed kod otvaranja novog zavisnog čvora (FTTC koncept)</w:t>
            </w:r>
          </w:p>
          <w:p w:rsidR="003C0675" w:rsidRPr="003C0675" w:rsidRDefault="003C0675" w:rsidP="00766501">
            <w:pPr>
              <w:numPr>
                <w:ilvl w:val="0"/>
                <w:numId w:val="17"/>
              </w:numPr>
              <w:jc w:val="both"/>
              <w:rPr>
                <w:rFonts w:eastAsia="Times New Roman" w:cs="Calibri"/>
                <w:color w:val="000000"/>
                <w:sz w:val="20"/>
                <w:szCs w:val="20"/>
                <w:lang w:eastAsia="hr-HR"/>
              </w:rPr>
            </w:pPr>
            <w:r w:rsidRPr="00275AF0">
              <w:rPr>
                <w:rFonts w:eastAsia="Times New Roman" w:cs="Calibri"/>
                <w:color w:val="000000"/>
                <w:sz w:val="20"/>
                <w:szCs w:val="20"/>
                <w:lang w:eastAsia="hr-HR"/>
              </w:rPr>
              <w:t xml:space="preserve">HAKOM odredio </w:t>
            </w:r>
            <w:proofErr w:type="spellStart"/>
            <w:r w:rsidRPr="00275AF0">
              <w:rPr>
                <w:rFonts w:eastAsia="Times New Roman" w:cs="Calibri"/>
                <w:color w:val="000000"/>
                <w:sz w:val="20"/>
                <w:szCs w:val="20"/>
                <w:lang w:eastAsia="hr-HR"/>
              </w:rPr>
              <w:t>EoI</w:t>
            </w:r>
            <w:proofErr w:type="spellEnd"/>
            <w:r w:rsidRPr="00275AF0">
              <w:rPr>
                <w:rFonts w:eastAsia="Times New Roman" w:cs="Calibri"/>
                <w:color w:val="000000"/>
                <w:sz w:val="20"/>
                <w:szCs w:val="20"/>
                <w:lang w:eastAsia="hr-HR"/>
              </w:rPr>
              <w:t xml:space="preserve"> obvezu za tržište velikog kapaciteta - HT je u roku od 45 dana od usvajanja ove analize obvezan dostaviti HAKOM-u detaljan plan kojim se utvrđuju ključne točke potrebne za potpunu provedbu modela </w:t>
            </w:r>
            <w:proofErr w:type="spellStart"/>
            <w:r w:rsidRPr="00275AF0">
              <w:rPr>
                <w:rFonts w:eastAsia="Times New Roman" w:cs="Calibri"/>
                <w:color w:val="000000"/>
                <w:sz w:val="20"/>
                <w:szCs w:val="20"/>
                <w:lang w:eastAsia="hr-HR"/>
              </w:rPr>
              <w:t>EoI</w:t>
            </w:r>
            <w:proofErr w:type="spellEnd"/>
            <w:r w:rsidRPr="00275AF0">
              <w:rPr>
                <w:rFonts w:eastAsia="Times New Roman" w:cs="Calibri"/>
                <w:color w:val="000000"/>
                <w:sz w:val="20"/>
                <w:szCs w:val="20"/>
                <w:lang w:eastAsia="hr-HR"/>
              </w:rPr>
              <w:t xml:space="preserve"> zajedno s rokovima za njihovu provedbu</w:t>
            </w:r>
          </w:p>
        </w:tc>
        <w:tc>
          <w:tcPr>
            <w:tcW w:w="3796" w:type="dxa"/>
            <w:tcBorders>
              <w:top w:val="nil"/>
              <w:left w:val="nil"/>
              <w:bottom w:val="double" w:sz="6" w:space="0" w:color="auto"/>
              <w:right w:val="single" w:sz="12" w:space="0" w:color="2F75B5"/>
            </w:tcBorders>
            <w:shd w:val="clear" w:color="000000" w:fill="DDEBF7"/>
            <w:vAlign w:val="center"/>
            <w:hideMark/>
          </w:tcPr>
          <w:p w:rsidR="003C0675" w:rsidRDefault="003C0675" w:rsidP="00766501">
            <w:pPr>
              <w:pStyle w:val="ListParagraph"/>
              <w:numPr>
                <w:ilvl w:val="0"/>
                <w:numId w:val="19"/>
              </w:numPr>
              <w:spacing w:after="240"/>
              <w:jc w:val="both"/>
              <w:rPr>
                <w:rFonts w:eastAsia="Times New Roman" w:cs="Calibri"/>
                <w:color w:val="000000"/>
                <w:sz w:val="20"/>
                <w:szCs w:val="20"/>
                <w:lang w:eastAsia="hr-HR"/>
              </w:rPr>
            </w:pPr>
            <w:r w:rsidRPr="00BD5F79">
              <w:rPr>
                <w:rFonts w:eastAsia="Times New Roman" w:cs="Calibri"/>
                <w:color w:val="000000"/>
                <w:sz w:val="20"/>
                <w:szCs w:val="20"/>
                <w:lang w:eastAsia="hr-HR"/>
              </w:rPr>
              <w:t xml:space="preserve">HT je obvezan pružati sve neophodne informacije o planiranim promjenama u mreži – 6 mjeseci ili 5 godina ovisno o postojanju </w:t>
            </w:r>
            <w:proofErr w:type="spellStart"/>
            <w:r w:rsidRPr="00BD5F79">
              <w:rPr>
                <w:rFonts w:eastAsia="Times New Roman" w:cs="Calibri"/>
                <w:color w:val="000000"/>
                <w:sz w:val="20"/>
                <w:szCs w:val="20"/>
                <w:lang w:eastAsia="hr-HR"/>
              </w:rPr>
              <w:t>kolokacije</w:t>
            </w:r>
            <w:proofErr w:type="spellEnd"/>
          </w:p>
          <w:p w:rsidR="003C0675" w:rsidRPr="00BD5F79" w:rsidRDefault="003C0675" w:rsidP="00766501">
            <w:pPr>
              <w:pStyle w:val="ListParagraph"/>
              <w:numPr>
                <w:ilvl w:val="0"/>
                <w:numId w:val="19"/>
              </w:numPr>
              <w:spacing w:after="240"/>
              <w:jc w:val="both"/>
              <w:rPr>
                <w:rFonts w:eastAsia="Times New Roman" w:cs="Calibri"/>
                <w:color w:val="000000"/>
                <w:sz w:val="20"/>
                <w:szCs w:val="20"/>
                <w:lang w:eastAsia="hr-HR"/>
              </w:rPr>
            </w:pPr>
            <w:proofErr w:type="spellStart"/>
            <w:r>
              <w:rPr>
                <w:rFonts w:eastAsia="Times New Roman" w:cs="Calibri"/>
                <w:color w:val="000000"/>
                <w:sz w:val="20"/>
                <w:szCs w:val="20"/>
                <w:lang w:eastAsia="hr-HR"/>
              </w:rPr>
              <w:t>EoI</w:t>
            </w:r>
            <w:proofErr w:type="spellEnd"/>
            <w:r>
              <w:rPr>
                <w:rFonts w:eastAsia="Times New Roman" w:cs="Calibri"/>
                <w:color w:val="000000"/>
                <w:sz w:val="20"/>
                <w:szCs w:val="20"/>
                <w:lang w:eastAsia="hr-HR"/>
              </w:rPr>
              <w:t xml:space="preserve"> obveza nije bila određena</w:t>
            </w:r>
          </w:p>
          <w:p w:rsidR="003C0675" w:rsidRPr="00927D9A" w:rsidRDefault="003C0675" w:rsidP="003C0675">
            <w:pPr>
              <w:spacing w:after="240"/>
              <w:jc w:val="both"/>
              <w:rPr>
                <w:rFonts w:eastAsia="Times New Roman" w:cs="Calibri"/>
                <w:color w:val="000000"/>
                <w:sz w:val="20"/>
                <w:szCs w:val="20"/>
                <w:lang w:eastAsia="hr-HR"/>
              </w:rPr>
            </w:pPr>
          </w:p>
        </w:tc>
      </w:tr>
      <w:tr w:rsidR="003C0675" w:rsidRPr="00927D9A" w:rsidTr="00D0352D">
        <w:trPr>
          <w:trHeight w:val="1366"/>
        </w:trPr>
        <w:tc>
          <w:tcPr>
            <w:tcW w:w="1562" w:type="dxa"/>
            <w:tcBorders>
              <w:top w:val="nil"/>
              <w:left w:val="single" w:sz="12" w:space="0" w:color="2F75B5"/>
              <w:bottom w:val="single" w:sz="12" w:space="0" w:color="2F75B5"/>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Pr>
                <w:rFonts w:eastAsia="Times New Roman" w:cs="Calibri"/>
                <w:color w:val="000000"/>
                <w:sz w:val="20"/>
                <w:szCs w:val="20"/>
                <w:lang w:eastAsia="hr-HR"/>
              </w:rPr>
              <w:t>Transparentnost</w:t>
            </w:r>
          </w:p>
        </w:tc>
        <w:tc>
          <w:tcPr>
            <w:tcW w:w="4020" w:type="dxa"/>
            <w:tcBorders>
              <w:top w:val="nil"/>
              <w:left w:val="nil"/>
              <w:bottom w:val="single" w:sz="12" w:space="0" w:color="2F75B5"/>
              <w:right w:val="double" w:sz="6" w:space="0" w:color="auto"/>
            </w:tcBorders>
            <w:shd w:val="clear" w:color="000000" w:fill="DDEBF7"/>
            <w:vAlign w:val="center"/>
          </w:tcPr>
          <w:p w:rsidR="003C0675" w:rsidRPr="00510846" w:rsidRDefault="003C0675" w:rsidP="00766501">
            <w:pPr>
              <w:numPr>
                <w:ilvl w:val="0"/>
                <w:numId w:val="15"/>
              </w:numPr>
              <w:rPr>
                <w:rFonts w:eastAsia="Times New Roman" w:cs="Calibri"/>
                <w:color w:val="000000"/>
                <w:sz w:val="20"/>
                <w:szCs w:val="20"/>
                <w:lang w:eastAsia="hr-HR"/>
              </w:rPr>
            </w:pPr>
            <w:r w:rsidRPr="00510846">
              <w:rPr>
                <w:rFonts w:eastAsia="Times New Roman" w:cs="Calibri"/>
                <w:color w:val="000000"/>
                <w:sz w:val="20"/>
                <w:szCs w:val="20"/>
                <w:lang w:eastAsia="hr-HR"/>
              </w:rPr>
              <w:t xml:space="preserve">Standardna ponuda – obveza određena: - Usluga izdvojenog pristupa lokalnoj petlji na temelju bakrene parice - Izdvojeni pristup lokalnoj petlji na temelju svjetlovodne niti (FA PON) </w:t>
            </w:r>
          </w:p>
          <w:p w:rsidR="003C0675" w:rsidRPr="00510846" w:rsidRDefault="003C0675" w:rsidP="00766501">
            <w:pPr>
              <w:numPr>
                <w:ilvl w:val="0"/>
                <w:numId w:val="15"/>
              </w:numPr>
              <w:rPr>
                <w:rFonts w:eastAsia="Times New Roman" w:cs="Calibri"/>
                <w:color w:val="000000"/>
                <w:sz w:val="20"/>
                <w:szCs w:val="20"/>
                <w:lang w:eastAsia="hr-HR"/>
              </w:rPr>
            </w:pPr>
            <w:r w:rsidRPr="00510846">
              <w:rPr>
                <w:rFonts w:eastAsia="Times New Roman" w:cs="Calibri"/>
                <w:color w:val="000000"/>
                <w:sz w:val="20"/>
                <w:szCs w:val="20"/>
                <w:lang w:eastAsia="hr-HR"/>
              </w:rPr>
              <w:t xml:space="preserve">Usluga virtualnog izdvojenog pristupa (VULA) Usluga virtualnog izdvojenog pristupa (VULA) – odgovara bitstream usluzi na OLT razini koja je </w:t>
            </w:r>
            <w:r>
              <w:rPr>
                <w:rFonts w:eastAsia="Times New Roman" w:cs="Calibri"/>
                <w:color w:val="000000"/>
                <w:sz w:val="20"/>
                <w:szCs w:val="20"/>
                <w:lang w:eastAsia="hr-HR"/>
              </w:rPr>
              <w:t>sada</w:t>
            </w:r>
            <w:r w:rsidRPr="00510846">
              <w:rPr>
                <w:rFonts w:eastAsia="Times New Roman" w:cs="Calibri"/>
                <w:color w:val="000000"/>
                <w:sz w:val="20"/>
                <w:szCs w:val="20"/>
                <w:lang w:eastAsia="hr-HR"/>
              </w:rPr>
              <w:t xml:space="preserve"> definirana</w:t>
            </w:r>
            <w:r>
              <w:rPr>
                <w:rFonts w:eastAsia="Times New Roman" w:cs="Calibri"/>
                <w:color w:val="000000"/>
                <w:sz w:val="20"/>
                <w:szCs w:val="20"/>
                <w:lang w:eastAsia="hr-HR"/>
              </w:rPr>
              <w:t xml:space="preserve"> ovom </w:t>
            </w:r>
            <w:r w:rsidRPr="00510846">
              <w:rPr>
                <w:rFonts w:eastAsia="Times New Roman" w:cs="Calibri"/>
                <w:color w:val="000000"/>
                <w:sz w:val="20"/>
                <w:szCs w:val="20"/>
                <w:lang w:eastAsia="hr-HR"/>
              </w:rPr>
              <w:t xml:space="preserve">analizom </w:t>
            </w:r>
          </w:p>
          <w:p w:rsidR="003C0675" w:rsidRDefault="003C0675" w:rsidP="00766501">
            <w:pPr>
              <w:numPr>
                <w:ilvl w:val="0"/>
                <w:numId w:val="15"/>
              </w:numPr>
              <w:rPr>
                <w:rFonts w:eastAsia="Times New Roman" w:cs="Calibri"/>
                <w:color w:val="000000"/>
                <w:sz w:val="20"/>
                <w:szCs w:val="20"/>
                <w:lang w:eastAsia="hr-HR"/>
              </w:rPr>
            </w:pPr>
            <w:r w:rsidRPr="00510846">
              <w:rPr>
                <w:rFonts w:eastAsia="Times New Roman" w:cs="Calibri"/>
                <w:color w:val="000000"/>
                <w:sz w:val="20"/>
                <w:szCs w:val="20"/>
                <w:lang w:eastAsia="hr-HR"/>
              </w:rPr>
              <w:t xml:space="preserve">Standardna ponuda – razuman zahtjev: - Izdvojeni pristup lokalnoj petlji na temelju svjetlovodne niti (FTTH P2P) - Povezivanje </w:t>
            </w:r>
            <w:proofErr w:type="spellStart"/>
            <w:r w:rsidRPr="00510846">
              <w:rPr>
                <w:rFonts w:eastAsia="Times New Roman" w:cs="Calibri"/>
                <w:color w:val="000000"/>
                <w:sz w:val="20"/>
                <w:szCs w:val="20"/>
                <w:lang w:eastAsia="hr-HR"/>
              </w:rPr>
              <w:t>jezgrene</w:t>
            </w:r>
            <w:proofErr w:type="spellEnd"/>
            <w:r w:rsidRPr="00510846">
              <w:rPr>
                <w:rFonts w:eastAsia="Times New Roman" w:cs="Calibri"/>
                <w:color w:val="000000"/>
                <w:sz w:val="20"/>
                <w:szCs w:val="20"/>
                <w:lang w:eastAsia="hr-HR"/>
              </w:rPr>
              <w:t xml:space="preserve"> i pristupne mreže (</w:t>
            </w:r>
            <w:proofErr w:type="spellStart"/>
            <w:r w:rsidRPr="00510846">
              <w:rPr>
                <w:rFonts w:eastAsia="Times New Roman" w:cs="Calibri"/>
                <w:color w:val="000000"/>
                <w:sz w:val="20"/>
                <w:szCs w:val="20"/>
                <w:lang w:eastAsia="hr-HR"/>
              </w:rPr>
              <w:t>backhaul</w:t>
            </w:r>
            <w:proofErr w:type="spellEnd"/>
            <w:r w:rsidRPr="00510846">
              <w:rPr>
                <w:rFonts w:eastAsia="Times New Roman" w:cs="Calibri"/>
                <w:color w:val="000000"/>
                <w:sz w:val="20"/>
                <w:szCs w:val="20"/>
                <w:lang w:eastAsia="hr-HR"/>
              </w:rPr>
              <w:t xml:space="preserve">) </w:t>
            </w:r>
          </w:p>
          <w:p w:rsidR="003C0675" w:rsidRDefault="003C0675" w:rsidP="00766501">
            <w:pPr>
              <w:pStyle w:val="ListParagraph"/>
              <w:numPr>
                <w:ilvl w:val="0"/>
                <w:numId w:val="15"/>
              </w:numPr>
              <w:spacing w:after="160" w:line="259" w:lineRule="auto"/>
              <w:rPr>
                <w:rFonts w:eastAsia="Times New Roman" w:cs="Calibri"/>
                <w:color w:val="000000"/>
                <w:sz w:val="20"/>
                <w:szCs w:val="20"/>
                <w:lang w:eastAsia="hr-HR"/>
              </w:rPr>
            </w:pPr>
            <w:r w:rsidRPr="003A11BB">
              <w:rPr>
                <w:rFonts w:eastAsia="Times New Roman" w:cs="Calibri"/>
                <w:color w:val="000000"/>
                <w:sz w:val="20"/>
                <w:szCs w:val="20"/>
                <w:lang w:eastAsia="hr-HR"/>
              </w:rPr>
              <w:t xml:space="preserve">Usluga pristupa i zajedničkog korištenja elektroničke komunikacijske </w:t>
            </w:r>
            <w:r>
              <w:rPr>
                <w:rFonts w:eastAsia="Times New Roman" w:cs="Calibri"/>
                <w:color w:val="000000"/>
                <w:sz w:val="20"/>
                <w:szCs w:val="20"/>
                <w:lang w:eastAsia="hr-HR"/>
              </w:rPr>
              <w:t>infrastrukture i povezane opreme</w:t>
            </w:r>
          </w:p>
          <w:p w:rsidR="003C0675" w:rsidRPr="00EE4F0A" w:rsidRDefault="003C0675" w:rsidP="003C0675">
            <w:pPr>
              <w:rPr>
                <w:rFonts w:eastAsia="Times New Roman" w:cs="Calibri"/>
                <w:sz w:val="20"/>
                <w:szCs w:val="20"/>
                <w:lang w:eastAsia="hr-HR"/>
              </w:rPr>
            </w:pPr>
            <w:r w:rsidRPr="003A11BB">
              <w:rPr>
                <w:rFonts w:eastAsia="Times New Roman" w:cs="Calibri"/>
                <w:color w:val="000000"/>
                <w:sz w:val="20"/>
                <w:szCs w:val="20"/>
                <w:lang w:eastAsia="hr-HR"/>
              </w:rPr>
              <w:t>KPI parametri – obveza HT-u praćenja relevantnih pokazatelja učinkovitosti i dostava detaljnijih izvješća</w:t>
            </w:r>
            <w:r>
              <w:rPr>
                <w:rFonts w:eastAsia="Times New Roman" w:cs="Calibri"/>
                <w:color w:val="000000"/>
                <w:sz w:val="20"/>
                <w:szCs w:val="20"/>
                <w:lang w:eastAsia="hr-HR"/>
              </w:rPr>
              <w:t xml:space="preserve">; </w:t>
            </w:r>
            <w:r>
              <w:rPr>
                <w:rFonts w:eastAsia="Times New Roman" w:cs="Calibri"/>
                <w:sz w:val="20"/>
                <w:szCs w:val="20"/>
                <w:lang w:eastAsia="hr-HR"/>
              </w:rPr>
              <w:t>; određeni parametri se prate zasebno za bakar i svjetlovod</w:t>
            </w:r>
          </w:p>
        </w:tc>
        <w:tc>
          <w:tcPr>
            <w:tcW w:w="3796" w:type="dxa"/>
            <w:tcBorders>
              <w:top w:val="nil"/>
              <w:left w:val="nil"/>
              <w:bottom w:val="single" w:sz="12" w:space="0" w:color="2F75B5"/>
              <w:right w:val="single" w:sz="12" w:space="0" w:color="2F75B5"/>
            </w:tcBorders>
            <w:shd w:val="clear" w:color="000000" w:fill="DDEBF7"/>
            <w:vAlign w:val="center"/>
          </w:tcPr>
          <w:p w:rsidR="003C0675" w:rsidRDefault="003C0675" w:rsidP="003C0675">
            <w:pPr>
              <w:pStyle w:val="ListParagraph"/>
              <w:ind w:left="360"/>
              <w:jc w:val="both"/>
              <w:rPr>
                <w:rFonts w:eastAsia="Times New Roman" w:cs="Calibri"/>
                <w:color w:val="000000"/>
                <w:sz w:val="20"/>
                <w:szCs w:val="20"/>
                <w:lang w:eastAsia="hr-HR"/>
              </w:rPr>
            </w:pPr>
          </w:p>
          <w:p w:rsidR="003C0675" w:rsidRDefault="003C0675" w:rsidP="00766501">
            <w:pPr>
              <w:pStyle w:val="ListParagraph"/>
              <w:numPr>
                <w:ilvl w:val="0"/>
                <w:numId w:val="16"/>
              </w:numPr>
              <w:jc w:val="both"/>
              <w:rPr>
                <w:rFonts w:eastAsia="Times New Roman" w:cs="Calibri"/>
                <w:color w:val="000000"/>
                <w:sz w:val="20"/>
                <w:szCs w:val="20"/>
                <w:lang w:eastAsia="hr-HR"/>
              </w:rPr>
            </w:pPr>
            <w:r w:rsidRPr="00510846">
              <w:rPr>
                <w:rFonts w:eastAsia="Times New Roman" w:cs="Calibri"/>
                <w:color w:val="000000"/>
                <w:sz w:val="20"/>
                <w:szCs w:val="20"/>
                <w:lang w:eastAsia="hr-HR"/>
              </w:rPr>
              <w:t xml:space="preserve">Standardna ponuda – obveza određena: - Usluga izdvojenog pristupa lokalnoj petlji na temelju bakrene parice - Izdvojeni pristup lokalnoj petlji na temelju svjetlovodne niti (FA PON) </w:t>
            </w:r>
          </w:p>
          <w:p w:rsidR="003C0675" w:rsidRDefault="003C0675" w:rsidP="00766501">
            <w:pPr>
              <w:pStyle w:val="ListParagraph"/>
              <w:numPr>
                <w:ilvl w:val="0"/>
                <w:numId w:val="16"/>
              </w:numPr>
              <w:jc w:val="both"/>
              <w:rPr>
                <w:rFonts w:eastAsia="Times New Roman" w:cs="Calibri"/>
                <w:color w:val="000000"/>
                <w:sz w:val="20"/>
                <w:szCs w:val="20"/>
                <w:lang w:eastAsia="hr-HR"/>
              </w:rPr>
            </w:pPr>
            <w:r w:rsidRPr="00510846">
              <w:rPr>
                <w:rFonts w:eastAsia="Times New Roman" w:cs="Calibri"/>
                <w:color w:val="000000"/>
                <w:sz w:val="20"/>
                <w:szCs w:val="20"/>
                <w:lang w:eastAsia="hr-HR"/>
              </w:rPr>
              <w:t xml:space="preserve">Usluga virtualnog izdvojenog pristupa (VULA) Usluga virtualnog izdvojenog pristupa (VULA) – odgovara bitstream usluzi na OLT razini koja je trenutno definirana analizom tržišta M3b </w:t>
            </w:r>
          </w:p>
          <w:p w:rsidR="003C0675" w:rsidRDefault="003C0675" w:rsidP="00766501">
            <w:pPr>
              <w:pStyle w:val="ListParagraph"/>
              <w:numPr>
                <w:ilvl w:val="0"/>
                <w:numId w:val="16"/>
              </w:numPr>
              <w:jc w:val="both"/>
              <w:rPr>
                <w:rFonts w:eastAsia="Times New Roman" w:cs="Calibri"/>
                <w:color w:val="000000"/>
                <w:sz w:val="20"/>
                <w:szCs w:val="20"/>
                <w:lang w:eastAsia="hr-HR"/>
              </w:rPr>
            </w:pPr>
            <w:r w:rsidRPr="00510846">
              <w:rPr>
                <w:rFonts w:eastAsia="Times New Roman" w:cs="Calibri"/>
                <w:color w:val="000000"/>
                <w:sz w:val="20"/>
                <w:szCs w:val="20"/>
                <w:lang w:eastAsia="hr-HR"/>
              </w:rPr>
              <w:t xml:space="preserve">Standardna ponuda – razuman zahtjev: - Izdvojeni pristup lokalnoj petlji na temelju svjetlovodne niti (FTTH P2P) - Povezivanje </w:t>
            </w:r>
            <w:proofErr w:type="spellStart"/>
            <w:r w:rsidRPr="00510846">
              <w:rPr>
                <w:rFonts w:eastAsia="Times New Roman" w:cs="Calibri"/>
                <w:color w:val="000000"/>
                <w:sz w:val="20"/>
                <w:szCs w:val="20"/>
                <w:lang w:eastAsia="hr-HR"/>
              </w:rPr>
              <w:t>jezgrene</w:t>
            </w:r>
            <w:proofErr w:type="spellEnd"/>
            <w:r w:rsidRPr="00510846">
              <w:rPr>
                <w:rFonts w:eastAsia="Times New Roman" w:cs="Calibri"/>
                <w:color w:val="000000"/>
                <w:sz w:val="20"/>
                <w:szCs w:val="20"/>
                <w:lang w:eastAsia="hr-HR"/>
              </w:rPr>
              <w:t xml:space="preserve"> i pristupne mreže (</w:t>
            </w:r>
            <w:proofErr w:type="spellStart"/>
            <w:r w:rsidRPr="00510846">
              <w:rPr>
                <w:rFonts w:eastAsia="Times New Roman" w:cs="Calibri"/>
                <w:color w:val="000000"/>
                <w:sz w:val="20"/>
                <w:szCs w:val="20"/>
                <w:lang w:eastAsia="hr-HR"/>
              </w:rPr>
              <w:t>backhaul</w:t>
            </w:r>
            <w:proofErr w:type="spellEnd"/>
            <w:r w:rsidRPr="00510846">
              <w:rPr>
                <w:rFonts w:eastAsia="Times New Roman" w:cs="Calibri"/>
                <w:color w:val="000000"/>
                <w:sz w:val="20"/>
                <w:szCs w:val="20"/>
                <w:lang w:eastAsia="hr-HR"/>
              </w:rPr>
              <w:t xml:space="preserve">) </w:t>
            </w:r>
          </w:p>
          <w:p w:rsidR="003C0675" w:rsidRPr="00510846" w:rsidRDefault="003C0675" w:rsidP="00766501">
            <w:pPr>
              <w:pStyle w:val="ListParagraph"/>
              <w:numPr>
                <w:ilvl w:val="0"/>
                <w:numId w:val="16"/>
              </w:numPr>
              <w:jc w:val="both"/>
              <w:rPr>
                <w:rFonts w:eastAsia="Times New Roman" w:cs="Calibri"/>
                <w:color w:val="000000"/>
                <w:sz w:val="20"/>
                <w:szCs w:val="20"/>
                <w:lang w:eastAsia="hr-HR"/>
              </w:rPr>
            </w:pPr>
            <w:r w:rsidRPr="00510846">
              <w:rPr>
                <w:rFonts w:eastAsia="Times New Roman" w:cs="Calibri"/>
                <w:color w:val="000000"/>
                <w:sz w:val="20"/>
                <w:szCs w:val="20"/>
                <w:lang w:eastAsia="hr-HR"/>
              </w:rPr>
              <w:t>KPI parametri – obveza HT-u praćenja relevantnih pokazatelja učinkovitosti i dostava detaljnijih izvješća</w:t>
            </w:r>
          </w:p>
          <w:p w:rsidR="003C0675" w:rsidRPr="00927D9A" w:rsidRDefault="003C0675" w:rsidP="003C0675">
            <w:pPr>
              <w:jc w:val="both"/>
              <w:rPr>
                <w:rFonts w:eastAsia="Times New Roman" w:cs="Calibri"/>
                <w:color w:val="000000"/>
                <w:sz w:val="20"/>
                <w:szCs w:val="20"/>
                <w:lang w:eastAsia="hr-HR"/>
              </w:rPr>
            </w:pPr>
          </w:p>
        </w:tc>
      </w:tr>
    </w:tbl>
    <w:p w:rsidR="003C0675" w:rsidRDefault="003C0675" w:rsidP="003C0675">
      <w:pPr>
        <w:rPr>
          <w:rFonts w:eastAsia="Times New Roman" w:cs="Calibri"/>
          <w:color w:val="000000"/>
          <w:lang w:eastAsia="hr-HR"/>
        </w:rPr>
      </w:pPr>
    </w:p>
    <w:p w:rsidR="003C0675" w:rsidRDefault="003C0675" w:rsidP="003C0675">
      <w:pPr>
        <w:rPr>
          <w:rFonts w:eastAsia="Times New Roman" w:cs="Calibri"/>
          <w:color w:val="000000"/>
          <w:lang w:eastAsia="hr-HR"/>
        </w:rPr>
      </w:pPr>
    </w:p>
    <w:p w:rsidR="00E970CD" w:rsidRDefault="00E970CD" w:rsidP="003C0675">
      <w:pPr>
        <w:rPr>
          <w:rFonts w:eastAsia="Times New Roman" w:cs="Calibri"/>
          <w:color w:val="000000"/>
          <w:lang w:eastAsia="hr-HR"/>
        </w:rPr>
      </w:pPr>
    </w:p>
    <w:tbl>
      <w:tblPr>
        <w:tblW w:w="9378" w:type="dxa"/>
        <w:tblInd w:w="-15" w:type="dxa"/>
        <w:tblLook w:val="04A0" w:firstRow="1" w:lastRow="0" w:firstColumn="1" w:lastColumn="0" w:noHBand="0" w:noVBand="1"/>
      </w:tblPr>
      <w:tblGrid>
        <w:gridCol w:w="1668"/>
        <w:gridCol w:w="3861"/>
        <w:gridCol w:w="3849"/>
      </w:tblGrid>
      <w:tr w:rsidR="003C0675" w:rsidRPr="00927D9A" w:rsidTr="003C0675">
        <w:trPr>
          <w:trHeight w:val="677"/>
        </w:trPr>
        <w:tc>
          <w:tcPr>
            <w:tcW w:w="1668" w:type="dxa"/>
            <w:tcBorders>
              <w:top w:val="single" w:sz="12" w:space="0" w:color="2F75B5"/>
              <w:left w:val="single" w:sz="12" w:space="0" w:color="2F75B5"/>
              <w:bottom w:val="nil"/>
              <w:right w:val="double" w:sz="6" w:space="0" w:color="auto"/>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Pr>
                <w:rFonts w:eastAsia="Times New Roman" w:cs="Calibri"/>
                <w:color w:val="FFFFFF"/>
                <w:lang w:eastAsia="hr-HR"/>
              </w:rPr>
              <w:t>Regulatorne obveze</w:t>
            </w:r>
            <w:r w:rsidRPr="00927D9A">
              <w:rPr>
                <w:rFonts w:eastAsia="Times New Roman" w:cs="Calibri"/>
                <w:color w:val="FFFFFF"/>
                <w:lang w:eastAsia="hr-HR"/>
              </w:rPr>
              <w:t xml:space="preserve"> </w:t>
            </w:r>
          </w:p>
        </w:tc>
        <w:tc>
          <w:tcPr>
            <w:tcW w:w="3861" w:type="dxa"/>
            <w:tcBorders>
              <w:top w:val="single" w:sz="12" w:space="0" w:color="2F75B5"/>
              <w:left w:val="nil"/>
              <w:bottom w:val="nil"/>
              <w:right w:val="double" w:sz="6" w:space="0" w:color="auto"/>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Pr>
                <w:rFonts w:eastAsia="Times New Roman" w:cs="Calibri"/>
                <w:color w:val="FFFFFF"/>
                <w:lang w:eastAsia="hr-HR"/>
              </w:rPr>
              <w:t>prijedlog analize tržišta 2023</w:t>
            </w:r>
            <w:r w:rsidRPr="00927D9A">
              <w:rPr>
                <w:rFonts w:eastAsia="Times New Roman" w:cs="Calibri"/>
                <w:color w:val="FFFFFF"/>
                <w:lang w:eastAsia="hr-HR"/>
              </w:rPr>
              <w:t>.</w:t>
            </w:r>
          </w:p>
        </w:tc>
        <w:tc>
          <w:tcPr>
            <w:tcW w:w="3849" w:type="dxa"/>
            <w:tcBorders>
              <w:top w:val="single" w:sz="12" w:space="0" w:color="2F75B5"/>
              <w:left w:val="nil"/>
              <w:bottom w:val="nil"/>
              <w:right w:val="single" w:sz="12" w:space="0" w:color="2F75B5"/>
            </w:tcBorders>
            <w:shd w:val="clear" w:color="000000" w:fill="2F75B5"/>
            <w:vAlign w:val="center"/>
            <w:hideMark/>
          </w:tcPr>
          <w:p w:rsidR="003C0675" w:rsidRPr="00927D9A" w:rsidRDefault="003C0675" w:rsidP="003C0675">
            <w:pPr>
              <w:jc w:val="center"/>
              <w:rPr>
                <w:rFonts w:eastAsia="Times New Roman" w:cs="Calibri"/>
                <w:color w:val="FFFFFF"/>
                <w:lang w:eastAsia="hr-HR"/>
              </w:rPr>
            </w:pPr>
            <w:r w:rsidRPr="00927D9A">
              <w:rPr>
                <w:rFonts w:eastAsia="Times New Roman" w:cs="Calibri"/>
                <w:color w:val="FFFFFF"/>
                <w:lang w:eastAsia="hr-HR"/>
              </w:rPr>
              <w:t>analiza tržišta 2019.</w:t>
            </w:r>
          </w:p>
        </w:tc>
      </w:tr>
      <w:tr w:rsidR="003C0675" w:rsidRPr="00927D9A" w:rsidTr="003C0675">
        <w:trPr>
          <w:trHeight w:val="2632"/>
        </w:trPr>
        <w:tc>
          <w:tcPr>
            <w:tcW w:w="1668" w:type="dxa"/>
            <w:tcBorders>
              <w:top w:val="nil"/>
              <w:left w:val="single" w:sz="12" w:space="0" w:color="2F75B5"/>
              <w:bottom w:val="double" w:sz="6"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Pr>
                <w:rFonts w:eastAsia="Times New Roman" w:cs="Calibri"/>
                <w:color w:val="000000"/>
                <w:sz w:val="20"/>
                <w:szCs w:val="20"/>
                <w:lang w:eastAsia="hr-HR"/>
              </w:rPr>
              <w:t>Nadzor cijena</w:t>
            </w:r>
          </w:p>
        </w:tc>
        <w:tc>
          <w:tcPr>
            <w:tcW w:w="3861" w:type="dxa"/>
            <w:tcBorders>
              <w:top w:val="nil"/>
              <w:left w:val="nil"/>
              <w:bottom w:val="double" w:sz="6" w:space="0" w:color="auto"/>
              <w:right w:val="double" w:sz="6" w:space="0" w:color="auto"/>
            </w:tcBorders>
            <w:shd w:val="clear" w:color="000000" w:fill="DDEBF7"/>
            <w:vAlign w:val="center"/>
          </w:tcPr>
          <w:p w:rsidR="003C0675" w:rsidRDefault="003C0675" w:rsidP="003C0675">
            <w:pPr>
              <w:pStyle w:val="ListParagraph"/>
              <w:ind w:left="405"/>
              <w:jc w:val="both"/>
              <w:rPr>
                <w:rFonts w:eastAsia="Times New Roman" w:cs="Calibri"/>
                <w:color w:val="000000"/>
                <w:sz w:val="20"/>
                <w:szCs w:val="20"/>
                <w:lang w:eastAsia="hr-HR"/>
              </w:rPr>
            </w:pPr>
          </w:p>
          <w:p w:rsidR="003C0675" w:rsidRDefault="003C0675" w:rsidP="00766501">
            <w:pPr>
              <w:pStyle w:val="ListParagraph"/>
              <w:numPr>
                <w:ilvl w:val="0"/>
                <w:numId w:val="18"/>
              </w:numPr>
              <w:jc w:val="both"/>
              <w:rPr>
                <w:rFonts w:eastAsia="Times New Roman" w:cs="Calibri"/>
                <w:color w:val="000000"/>
                <w:sz w:val="20"/>
                <w:szCs w:val="20"/>
                <w:lang w:eastAsia="hr-HR"/>
              </w:rPr>
            </w:pPr>
            <w:r w:rsidRPr="003A11BB">
              <w:rPr>
                <w:rFonts w:eastAsia="Times New Roman" w:cs="Calibri"/>
                <w:color w:val="000000"/>
                <w:sz w:val="20"/>
                <w:szCs w:val="20"/>
                <w:lang w:eastAsia="hr-HR"/>
              </w:rPr>
              <w:t xml:space="preserve">Pristup lokalnoj petlji putem bakrene parice – mjesečna naknada BU-LRAIC+ troškovni model </w:t>
            </w:r>
          </w:p>
          <w:p w:rsidR="003C0675" w:rsidRDefault="003C0675" w:rsidP="00766501">
            <w:pPr>
              <w:pStyle w:val="ListParagraph"/>
              <w:numPr>
                <w:ilvl w:val="0"/>
                <w:numId w:val="18"/>
              </w:numPr>
              <w:jc w:val="both"/>
              <w:rPr>
                <w:rFonts w:eastAsia="Times New Roman" w:cs="Calibri"/>
                <w:color w:val="000000"/>
                <w:sz w:val="20"/>
                <w:szCs w:val="20"/>
                <w:lang w:eastAsia="hr-HR"/>
              </w:rPr>
            </w:pPr>
            <w:r w:rsidRPr="003A11BB">
              <w:rPr>
                <w:rFonts w:eastAsia="Times New Roman" w:cs="Calibri"/>
                <w:color w:val="000000"/>
                <w:sz w:val="20"/>
                <w:szCs w:val="20"/>
                <w:lang w:eastAsia="hr-HR"/>
              </w:rPr>
              <w:t>Izdvojeni pristup lokalnoj petlji na temelju svjetlovodne niti (FA PON)</w:t>
            </w:r>
            <w:r>
              <w:rPr>
                <w:rFonts w:eastAsia="Times New Roman" w:cs="Calibri"/>
                <w:color w:val="000000"/>
                <w:sz w:val="20"/>
                <w:szCs w:val="20"/>
                <w:lang w:eastAsia="hr-HR"/>
              </w:rPr>
              <w:t xml:space="preserve"> - </w:t>
            </w:r>
            <w:r w:rsidRPr="003A11BB">
              <w:rPr>
                <w:rFonts w:eastAsia="Times New Roman" w:cs="Calibri"/>
                <w:color w:val="000000"/>
                <w:sz w:val="20"/>
                <w:szCs w:val="20"/>
                <w:lang w:eastAsia="hr-HR"/>
              </w:rPr>
              <w:t xml:space="preserve">mjesečna naknada BU-LRAIC+ troškovni model </w:t>
            </w:r>
          </w:p>
          <w:p w:rsidR="003C0675" w:rsidRDefault="003C0675" w:rsidP="00766501">
            <w:pPr>
              <w:pStyle w:val="ListParagraph"/>
              <w:numPr>
                <w:ilvl w:val="0"/>
                <w:numId w:val="18"/>
              </w:numPr>
              <w:jc w:val="both"/>
              <w:rPr>
                <w:rFonts w:eastAsia="Times New Roman" w:cs="Calibri"/>
                <w:color w:val="000000"/>
                <w:sz w:val="20"/>
                <w:szCs w:val="20"/>
                <w:lang w:eastAsia="hr-HR"/>
              </w:rPr>
            </w:pPr>
            <w:r w:rsidRPr="003A11BB">
              <w:rPr>
                <w:rFonts w:eastAsia="Times New Roman" w:cs="Calibri"/>
                <w:color w:val="000000"/>
                <w:sz w:val="20"/>
                <w:szCs w:val="20"/>
                <w:lang w:eastAsia="hr-HR"/>
              </w:rPr>
              <w:t>Izdvojeni pristup lokalnoj petlji na temelju svjetlovodne niti (FTTH P2P) – 90 dana od razumnog zahtjeva ugraditi cijenu na temelju troškovnog modela</w:t>
            </w:r>
          </w:p>
          <w:p w:rsidR="003C0675" w:rsidRDefault="003C0675" w:rsidP="00766501">
            <w:pPr>
              <w:pStyle w:val="ListParagraph"/>
              <w:numPr>
                <w:ilvl w:val="0"/>
                <w:numId w:val="18"/>
              </w:numPr>
              <w:jc w:val="both"/>
              <w:rPr>
                <w:rFonts w:eastAsia="Times New Roman" w:cs="Calibri"/>
                <w:color w:val="000000"/>
                <w:sz w:val="20"/>
                <w:szCs w:val="20"/>
                <w:lang w:eastAsia="hr-HR"/>
              </w:rPr>
            </w:pPr>
            <w:r>
              <w:rPr>
                <w:rFonts w:eastAsia="Times New Roman" w:cs="Calibri"/>
                <w:color w:val="000000"/>
                <w:sz w:val="20"/>
                <w:szCs w:val="20"/>
                <w:lang w:eastAsia="hr-HR"/>
              </w:rPr>
              <w:t xml:space="preserve">Usluga pristupa i zajedničkog korištenja -  </w:t>
            </w:r>
            <w:r w:rsidRPr="00BD5F79">
              <w:rPr>
                <w:rFonts w:eastAsia="Times New Roman" w:cs="Calibri"/>
                <w:color w:val="000000"/>
                <w:sz w:val="20"/>
                <w:szCs w:val="20"/>
                <w:lang w:eastAsia="hr-HR"/>
              </w:rPr>
              <w:t>Do stupanja na snagu novih cijena usluge pristupa i zajedničkog korištenja EKI (kabelske kanalizacije) HT-a primjenjivat će se cijene objavljene u trenutno važećoj standardnoj ponudi HT-a za uslugu pristupa i zajedničkog korištenja EKI (kabelske kanalizacije) HT-a</w:t>
            </w:r>
            <w:r>
              <w:rPr>
                <w:rFonts w:eastAsia="Times New Roman" w:cs="Calibri"/>
                <w:color w:val="000000"/>
                <w:sz w:val="20"/>
                <w:szCs w:val="20"/>
                <w:lang w:eastAsia="hr-HR"/>
              </w:rPr>
              <w:t xml:space="preserve">; </w:t>
            </w:r>
            <w:r w:rsidRPr="00BD5F79">
              <w:rPr>
                <w:rFonts w:eastAsia="Times New Roman" w:cs="Calibri"/>
                <w:color w:val="000000"/>
                <w:sz w:val="20"/>
                <w:szCs w:val="20"/>
                <w:lang w:eastAsia="hr-HR"/>
              </w:rPr>
              <w:t>HAKOM će tijekom 2023. ažurirati BU-LRIC+ troškovni model s novim ulaznim podacima kako bi odražavao realnosti HT-ove mreže te će odrediti nove veleprodajne cijene koje će stupiti na snagu tijekom 2024., pri čemu će odrediti i cijene usluge pristupa i zajedničkog korištenja EKI (kabelske kanalizacije) HT-a</w:t>
            </w:r>
          </w:p>
          <w:p w:rsidR="003C0675" w:rsidRPr="00BD5F79" w:rsidRDefault="003C0675" w:rsidP="003C0675">
            <w:pPr>
              <w:pStyle w:val="ListParagraph"/>
              <w:ind w:left="405"/>
              <w:jc w:val="both"/>
              <w:rPr>
                <w:rFonts w:eastAsia="Times New Roman" w:cs="Calibri"/>
                <w:color w:val="000000"/>
                <w:sz w:val="20"/>
                <w:szCs w:val="20"/>
                <w:lang w:eastAsia="hr-HR"/>
              </w:rPr>
            </w:pPr>
          </w:p>
        </w:tc>
        <w:tc>
          <w:tcPr>
            <w:tcW w:w="3849" w:type="dxa"/>
            <w:tcBorders>
              <w:top w:val="nil"/>
              <w:left w:val="nil"/>
              <w:bottom w:val="double" w:sz="6" w:space="0" w:color="auto"/>
              <w:right w:val="single" w:sz="12" w:space="0" w:color="2F75B5"/>
            </w:tcBorders>
            <w:shd w:val="clear" w:color="000000" w:fill="DDEBF7"/>
            <w:vAlign w:val="center"/>
          </w:tcPr>
          <w:p w:rsidR="003C0675" w:rsidRDefault="003C0675" w:rsidP="003C0675">
            <w:pPr>
              <w:pStyle w:val="ListParagraph"/>
              <w:ind w:left="405"/>
              <w:jc w:val="both"/>
              <w:rPr>
                <w:rFonts w:eastAsia="Times New Roman" w:cs="Calibri"/>
                <w:color w:val="000000"/>
                <w:sz w:val="20"/>
                <w:szCs w:val="20"/>
                <w:lang w:eastAsia="hr-HR"/>
              </w:rPr>
            </w:pPr>
          </w:p>
          <w:p w:rsidR="003C0675" w:rsidRDefault="003C0675" w:rsidP="00766501">
            <w:pPr>
              <w:pStyle w:val="ListParagraph"/>
              <w:numPr>
                <w:ilvl w:val="0"/>
                <w:numId w:val="20"/>
              </w:numPr>
              <w:jc w:val="both"/>
              <w:rPr>
                <w:rFonts w:eastAsia="Times New Roman" w:cs="Calibri"/>
                <w:color w:val="000000"/>
                <w:sz w:val="20"/>
                <w:szCs w:val="20"/>
                <w:lang w:eastAsia="hr-HR"/>
              </w:rPr>
            </w:pPr>
            <w:r w:rsidRPr="003A11BB">
              <w:rPr>
                <w:rFonts w:eastAsia="Times New Roman" w:cs="Calibri"/>
                <w:color w:val="000000"/>
                <w:sz w:val="20"/>
                <w:szCs w:val="20"/>
                <w:lang w:eastAsia="hr-HR"/>
              </w:rPr>
              <w:t xml:space="preserve">Pristup lokalnoj petlji putem bakrene parice – mjesečna naknada BU-LRAIC+ troškovni model </w:t>
            </w:r>
          </w:p>
          <w:p w:rsidR="003C0675" w:rsidRDefault="003C0675" w:rsidP="00766501">
            <w:pPr>
              <w:pStyle w:val="ListParagraph"/>
              <w:numPr>
                <w:ilvl w:val="0"/>
                <w:numId w:val="20"/>
              </w:numPr>
              <w:jc w:val="both"/>
              <w:rPr>
                <w:rFonts w:eastAsia="Times New Roman" w:cs="Calibri"/>
                <w:color w:val="000000"/>
                <w:sz w:val="20"/>
                <w:szCs w:val="20"/>
                <w:lang w:eastAsia="hr-HR"/>
              </w:rPr>
            </w:pPr>
            <w:r w:rsidRPr="003A11BB">
              <w:rPr>
                <w:rFonts w:eastAsia="Times New Roman" w:cs="Calibri"/>
                <w:color w:val="000000"/>
                <w:sz w:val="20"/>
                <w:szCs w:val="20"/>
                <w:lang w:eastAsia="hr-HR"/>
              </w:rPr>
              <w:t>Izdvojeni pristup lokalnoj petlji na temelju svjetlovodne niti (FA PON)</w:t>
            </w:r>
            <w:r>
              <w:rPr>
                <w:rFonts w:eastAsia="Times New Roman" w:cs="Calibri"/>
                <w:color w:val="000000"/>
                <w:sz w:val="20"/>
                <w:szCs w:val="20"/>
                <w:lang w:eastAsia="hr-HR"/>
              </w:rPr>
              <w:t xml:space="preserve"> - </w:t>
            </w:r>
            <w:r w:rsidRPr="003A11BB">
              <w:rPr>
                <w:rFonts w:eastAsia="Times New Roman" w:cs="Calibri"/>
                <w:color w:val="000000"/>
                <w:sz w:val="20"/>
                <w:szCs w:val="20"/>
                <w:lang w:eastAsia="hr-HR"/>
              </w:rPr>
              <w:t xml:space="preserve">mjesečna naknada BU-LRAIC+ troškovni model </w:t>
            </w:r>
          </w:p>
          <w:p w:rsidR="003C0675" w:rsidRDefault="003C0675" w:rsidP="00766501">
            <w:pPr>
              <w:pStyle w:val="ListParagraph"/>
              <w:numPr>
                <w:ilvl w:val="0"/>
                <w:numId w:val="20"/>
              </w:numPr>
              <w:jc w:val="both"/>
              <w:rPr>
                <w:rFonts w:eastAsia="Times New Roman" w:cs="Calibri"/>
                <w:color w:val="000000"/>
                <w:sz w:val="20"/>
                <w:szCs w:val="20"/>
                <w:lang w:eastAsia="hr-HR"/>
              </w:rPr>
            </w:pPr>
            <w:r w:rsidRPr="003A11BB">
              <w:rPr>
                <w:rFonts w:eastAsia="Times New Roman" w:cs="Calibri"/>
                <w:color w:val="000000"/>
                <w:sz w:val="20"/>
                <w:szCs w:val="20"/>
                <w:lang w:eastAsia="hr-HR"/>
              </w:rPr>
              <w:t>Izdvojeni pristup lokalnoj petlji na temelju svjetlovodne niti (FTTH P2P) – 90 dana od razumnog zahtjeva ugraditi cijenu na temelju troškovnog modela</w:t>
            </w:r>
          </w:p>
          <w:p w:rsidR="003C0675" w:rsidRPr="003A11BB" w:rsidRDefault="003C0675" w:rsidP="003C0675">
            <w:pPr>
              <w:pStyle w:val="ListParagraph"/>
              <w:ind w:left="405"/>
              <w:jc w:val="both"/>
              <w:rPr>
                <w:rFonts w:eastAsia="Times New Roman" w:cs="Calibri"/>
                <w:color w:val="000000"/>
                <w:sz w:val="20"/>
                <w:szCs w:val="20"/>
                <w:lang w:eastAsia="hr-HR"/>
              </w:rPr>
            </w:pPr>
          </w:p>
        </w:tc>
      </w:tr>
      <w:tr w:rsidR="003C0675" w:rsidRPr="00927D9A" w:rsidTr="003C0675">
        <w:trPr>
          <w:trHeight w:val="1740"/>
        </w:trPr>
        <w:tc>
          <w:tcPr>
            <w:tcW w:w="1668" w:type="dxa"/>
            <w:tcBorders>
              <w:top w:val="nil"/>
              <w:left w:val="single" w:sz="12" w:space="0" w:color="2F75B5"/>
              <w:bottom w:val="double" w:sz="6" w:space="0" w:color="auto"/>
              <w:right w:val="double" w:sz="6" w:space="0" w:color="auto"/>
            </w:tcBorders>
            <w:shd w:val="clear" w:color="000000" w:fill="DDEBF7"/>
            <w:vAlign w:val="center"/>
            <w:hideMark/>
          </w:tcPr>
          <w:p w:rsidR="003C0675" w:rsidRPr="00927D9A" w:rsidRDefault="003C0675" w:rsidP="003C0675">
            <w:pPr>
              <w:jc w:val="center"/>
              <w:rPr>
                <w:rFonts w:eastAsia="Times New Roman" w:cs="Calibri"/>
                <w:color w:val="000000"/>
                <w:sz w:val="20"/>
                <w:szCs w:val="20"/>
                <w:lang w:eastAsia="hr-HR"/>
              </w:rPr>
            </w:pPr>
            <w:r>
              <w:rPr>
                <w:rFonts w:eastAsia="Times New Roman" w:cs="Calibri"/>
                <w:color w:val="000000"/>
                <w:sz w:val="20"/>
                <w:szCs w:val="20"/>
                <w:lang w:eastAsia="hr-HR"/>
              </w:rPr>
              <w:t xml:space="preserve">Računovodstveno razdvajanje </w:t>
            </w:r>
            <w:r w:rsidRPr="00927D9A">
              <w:rPr>
                <w:rFonts w:eastAsia="Times New Roman" w:cs="Calibri"/>
                <w:color w:val="000000"/>
                <w:sz w:val="20"/>
                <w:szCs w:val="20"/>
                <w:lang w:eastAsia="hr-HR"/>
              </w:rPr>
              <w:t xml:space="preserve"> </w:t>
            </w:r>
          </w:p>
        </w:tc>
        <w:tc>
          <w:tcPr>
            <w:tcW w:w="3861" w:type="dxa"/>
            <w:tcBorders>
              <w:top w:val="nil"/>
              <w:left w:val="nil"/>
              <w:bottom w:val="double" w:sz="6" w:space="0" w:color="auto"/>
              <w:right w:val="double" w:sz="6" w:space="0" w:color="auto"/>
            </w:tcBorders>
            <w:shd w:val="clear" w:color="000000" w:fill="DDEBF7"/>
            <w:vAlign w:val="center"/>
          </w:tcPr>
          <w:p w:rsidR="003C0675" w:rsidRDefault="003C0675" w:rsidP="003C0675">
            <w:pPr>
              <w:rPr>
                <w:rFonts w:eastAsia="Times New Roman" w:cs="Calibri"/>
                <w:color w:val="000000"/>
                <w:sz w:val="20"/>
                <w:szCs w:val="20"/>
                <w:lang w:eastAsia="hr-HR"/>
              </w:rPr>
            </w:pPr>
            <w:r w:rsidRPr="00BD5F79">
              <w:rPr>
                <w:rFonts w:eastAsia="Times New Roman" w:cs="Calibri"/>
                <w:color w:val="000000"/>
                <w:sz w:val="20"/>
                <w:szCs w:val="20"/>
                <w:lang w:eastAsia="hr-HR"/>
              </w:rPr>
              <w:t xml:space="preserve">Određeno s obzirom da rješava probleme </w:t>
            </w:r>
            <w:proofErr w:type="spellStart"/>
            <w:r w:rsidRPr="00BD5F79">
              <w:rPr>
                <w:rFonts w:eastAsia="Times New Roman" w:cs="Calibri"/>
                <w:color w:val="000000"/>
                <w:sz w:val="20"/>
                <w:szCs w:val="20"/>
                <w:lang w:eastAsia="hr-HR"/>
              </w:rPr>
              <w:t>unakrižnog</w:t>
            </w:r>
            <w:proofErr w:type="spellEnd"/>
            <w:r w:rsidRPr="00BD5F79">
              <w:rPr>
                <w:rFonts w:eastAsia="Times New Roman" w:cs="Calibri"/>
                <w:color w:val="000000"/>
                <w:sz w:val="20"/>
                <w:szCs w:val="20"/>
                <w:lang w:eastAsia="hr-HR"/>
              </w:rPr>
              <w:t xml:space="preserve"> subvencioniranja</w:t>
            </w:r>
          </w:p>
          <w:p w:rsidR="003C0675" w:rsidRPr="00BD5F79" w:rsidRDefault="003C0675" w:rsidP="00766501">
            <w:pPr>
              <w:pStyle w:val="ListParagraph"/>
              <w:numPr>
                <w:ilvl w:val="0"/>
                <w:numId w:val="21"/>
              </w:numPr>
              <w:rPr>
                <w:rFonts w:eastAsia="Times New Roman" w:cs="Calibri"/>
                <w:color w:val="000000"/>
                <w:sz w:val="20"/>
                <w:szCs w:val="20"/>
                <w:lang w:eastAsia="hr-HR"/>
              </w:rPr>
            </w:pPr>
            <w:r w:rsidRPr="00BD5F79">
              <w:rPr>
                <w:rFonts w:eastAsia="Times New Roman" w:cs="Calibri"/>
                <w:color w:val="000000"/>
                <w:sz w:val="20"/>
                <w:szCs w:val="20"/>
                <w:lang w:eastAsia="hr-HR"/>
              </w:rPr>
              <w:t>na tržištu malog kapaciteta</w:t>
            </w:r>
          </w:p>
          <w:p w:rsidR="003C0675" w:rsidRPr="00BD5F79" w:rsidRDefault="003C0675" w:rsidP="00766501">
            <w:pPr>
              <w:pStyle w:val="ListParagraph"/>
              <w:numPr>
                <w:ilvl w:val="0"/>
                <w:numId w:val="21"/>
              </w:numPr>
              <w:rPr>
                <w:rFonts w:eastAsia="Times New Roman" w:cs="Calibri"/>
                <w:color w:val="000000"/>
                <w:sz w:val="20"/>
                <w:szCs w:val="20"/>
                <w:lang w:eastAsia="hr-HR"/>
              </w:rPr>
            </w:pPr>
            <w:r w:rsidRPr="00BD5F79">
              <w:rPr>
                <w:rFonts w:eastAsia="Times New Roman" w:cs="Calibri"/>
                <w:color w:val="000000"/>
                <w:sz w:val="20"/>
                <w:szCs w:val="20"/>
                <w:lang w:eastAsia="hr-HR"/>
              </w:rPr>
              <w:t>na tržištu ve</w:t>
            </w:r>
            <w:r>
              <w:rPr>
                <w:rFonts w:eastAsia="Times New Roman" w:cs="Calibri"/>
                <w:color w:val="000000"/>
                <w:sz w:val="20"/>
                <w:szCs w:val="20"/>
                <w:lang w:eastAsia="hr-HR"/>
              </w:rPr>
              <w:t>likog kapaciteta – nekonkurentna područja</w:t>
            </w:r>
            <w:r w:rsidRPr="00BD5F79">
              <w:rPr>
                <w:rFonts w:eastAsia="Times New Roman" w:cs="Calibri"/>
                <w:color w:val="000000"/>
                <w:sz w:val="20"/>
                <w:szCs w:val="20"/>
                <w:lang w:eastAsia="hr-HR"/>
              </w:rPr>
              <w:t xml:space="preserve"> (</w:t>
            </w:r>
            <w:r w:rsidR="002D636E">
              <w:rPr>
                <w:rFonts w:eastAsia="Times New Roman" w:cs="Calibri"/>
                <w:color w:val="000000"/>
                <w:sz w:val="20"/>
                <w:szCs w:val="20"/>
                <w:lang w:eastAsia="hr-HR"/>
              </w:rPr>
              <w:t>Klaster</w:t>
            </w:r>
            <w:r w:rsidRPr="00BD5F79">
              <w:rPr>
                <w:rFonts w:eastAsia="Times New Roman" w:cs="Calibri"/>
                <w:color w:val="000000"/>
                <w:sz w:val="20"/>
                <w:szCs w:val="20"/>
                <w:lang w:eastAsia="hr-HR"/>
              </w:rPr>
              <w:t xml:space="preserve"> A i </w:t>
            </w:r>
            <w:r w:rsidR="002D636E">
              <w:rPr>
                <w:rFonts w:eastAsia="Times New Roman" w:cs="Calibri"/>
                <w:color w:val="000000"/>
                <w:sz w:val="20"/>
                <w:szCs w:val="20"/>
                <w:lang w:eastAsia="hr-HR"/>
              </w:rPr>
              <w:t>Klaster</w:t>
            </w:r>
            <w:r w:rsidRPr="00BD5F79">
              <w:rPr>
                <w:rFonts w:eastAsia="Times New Roman" w:cs="Calibri"/>
                <w:color w:val="000000"/>
                <w:sz w:val="20"/>
                <w:szCs w:val="20"/>
                <w:lang w:eastAsia="hr-HR"/>
              </w:rPr>
              <w:t xml:space="preserve"> B)</w:t>
            </w:r>
          </w:p>
        </w:tc>
        <w:tc>
          <w:tcPr>
            <w:tcW w:w="3849" w:type="dxa"/>
            <w:tcBorders>
              <w:top w:val="nil"/>
              <w:left w:val="nil"/>
              <w:bottom w:val="double" w:sz="6" w:space="0" w:color="auto"/>
              <w:right w:val="single" w:sz="12" w:space="0" w:color="2F75B5"/>
            </w:tcBorders>
            <w:shd w:val="clear" w:color="000000" w:fill="DDEBF7"/>
            <w:vAlign w:val="center"/>
          </w:tcPr>
          <w:p w:rsidR="003C0675" w:rsidRPr="00927D9A" w:rsidRDefault="003C0675" w:rsidP="003C0675">
            <w:pPr>
              <w:spacing w:after="240"/>
              <w:jc w:val="both"/>
              <w:rPr>
                <w:rFonts w:eastAsia="Times New Roman" w:cs="Calibri"/>
                <w:color w:val="000000"/>
                <w:sz w:val="20"/>
                <w:szCs w:val="20"/>
                <w:lang w:eastAsia="hr-HR"/>
              </w:rPr>
            </w:pPr>
            <w:r w:rsidRPr="00BD5F79">
              <w:rPr>
                <w:rFonts w:eastAsia="Times New Roman" w:cs="Calibri"/>
                <w:color w:val="000000"/>
                <w:sz w:val="20"/>
                <w:szCs w:val="20"/>
                <w:lang w:eastAsia="hr-HR"/>
              </w:rPr>
              <w:t xml:space="preserve">Određeno s obzirom da rješava probleme </w:t>
            </w:r>
            <w:proofErr w:type="spellStart"/>
            <w:r w:rsidRPr="00BD5F79">
              <w:rPr>
                <w:rFonts w:eastAsia="Times New Roman" w:cs="Calibri"/>
                <w:color w:val="000000"/>
                <w:sz w:val="20"/>
                <w:szCs w:val="20"/>
                <w:lang w:eastAsia="hr-HR"/>
              </w:rPr>
              <w:t>unakrižnog</w:t>
            </w:r>
            <w:proofErr w:type="spellEnd"/>
            <w:r w:rsidRPr="00BD5F79">
              <w:rPr>
                <w:rFonts w:eastAsia="Times New Roman" w:cs="Calibri"/>
                <w:color w:val="000000"/>
                <w:sz w:val="20"/>
                <w:szCs w:val="20"/>
                <w:lang w:eastAsia="hr-HR"/>
              </w:rPr>
              <w:t xml:space="preserve"> subvencioniranja</w:t>
            </w:r>
          </w:p>
        </w:tc>
      </w:tr>
    </w:tbl>
    <w:p w:rsidR="003C0675" w:rsidRPr="008012FD" w:rsidRDefault="003C0675" w:rsidP="003C0675">
      <w:pPr>
        <w:rPr>
          <w:rFonts w:eastAsia="Times New Roman" w:cs="Calibri"/>
          <w:color w:val="000000"/>
          <w:lang w:eastAsia="hr-HR"/>
        </w:rPr>
      </w:pPr>
    </w:p>
    <w:p w:rsidR="00FA7700" w:rsidRDefault="00FA7700">
      <w:pPr>
        <w:rPr>
          <w:rFonts w:ascii="Segoe UI Semibold" w:eastAsiaTheme="majorEastAsia" w:hAnsi="Segoe UI Semibold" w:cstheme="majorBidi"/>
          <w:color w:val="1F3864" w:themeColor="accent1" w:themeShade="80"/>
          <w:sz w:val="32"/>
          <w:szCs w:val="32"/>
        </w:rPr>
      </w:pPr>
      <w:r>
        <w:br w:type="page"/>
      </w:r>
    </w:p>
    <w:p w:rsidR="00010077" w:rsidRPr="00E970CD" w:rsidRDefault="00010077" w:rsidP="00E970CD">
      <w:pPr>
        <w:pStyle w:val="Heading1"/>
        <w:numPr>
          <w:ilvl w:val="0"/>
          <w:numId w:val="0"/>
        </w:numPr>
        <w:ind w:left="432"/>
      </w:pPr>
      <w:bookmarkStart w:id="721" w:name="_Toc124852042"/>
      <w:bookmarkStart w:id="722" w:name="_Toc124852603"/>
      <w:bookmarkStart w:id="723" w:name="_Toc124859672"/>
      <w:bookmarkStart w:id="724" w:name="_Toc124928649"/>
      <w:bookmarkStart w:id="725" w:name="_Toc124946991"/>
      <w:bookmarkStart w:id="726" w:name="_Toc124948901"/>
      <w:bookmarkStart w:id="727" w:name="_Toc124951796"/>
      <w:bookmarkStart w:id="728" w:name="_Toc125644954"/>
      <w:r w:rsidRPr="00E970CD">
        <w:t xml:space="preserve">Privitak </w:t>
      </w:r>
      <w:r w:rsidR="007558B8" w:rsidRPr="00E970CD">
        <w:t xml:space="preserve">6 </w:t>
      </w:r>
      <w:r w:rsidRPr="00E970CD">
        <w:t>– pregled konkurentnih i nekonkurentnih područja</w:t>
      </w:r>
      <w:bookmarkEnd w:id="721"/>
      <w:bookmarkEnd w:id="722"/>
      <w:bookmarkEnd w:id="723"/>
      <w:bookmarkEnd w:id="724"/>
      <w:bookmarkEnd w:id="725"/>
      <w:bookmarkEnd w:id="726"/>
      <w:bookmarkEnd w:id="727"/>
      <w:bookmarkEnd w:id="728"/>
      <w:r w:rsidRPr="00E970CD">
        <w:t xml:space="preserve"> </w:t>
      </w:r>
    </w:p>
    <w:p w:rsidR="00010077" w:rsidRDefault="00010077" w:rsidP="00010077">
      <w:pPr>
        <w:rPr>
          <w:noProof/>
          <w:lang w:eastAsia="hr-HR"/>
        </w:rPr>
      </w:pPr>
    </w:p>
    <w:p w:rsidR="00010077" w:rsidRDefault="00010077" w:rsidP="00010077">
      <w:pPr>
        <w:rPr>
          <w:noProof/>
          <w:lang w:eastAsia="hr-HR"/>
        </w:rPr>
      </w:pPr>
      <w:r>
        <w:rPr>
          <w:noProof/>
          <w:lang w:val="en-US"/>
        </w:rPr>
        <w:drawing>
          <wp:inline distT="0" distB="0" distL="0" distR="0" wp14:anchorId="3D38852B" wp14:editId="3C59A6BA">
            <wp:extent cx="5851695" cy="3530379"/>
            <wp:effectExtent l="0" t="0" r="0" b="0"/>
            <wp:docPr id="13"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a:blip r:embed="rId50"/>
                    <a:stretch>
                      <a:fillRect/>
                    </a:stretch>
                  </pic:blipFill>
                  <pic:spPr>
                    <a:xfrm>
                      <a:off x="0" y="0"/>
                      <a:ext cx="5901816" cy="3560618"/>
                    </a:xfrm>
                    <a:prstGeom prst="rect">
                      <a:avLst/>
                    </a:prstGeom>
                  </pic:spPr>
                </pic:pic>
              </a:graphicData>
            </a:graphic>
          </wp:inline>
        </w:drawing>
      </w:r>
    </w:p>
    <w:p w:rsidR="00010077" w:rsidRDefault="00010077" w:rsidP="00010077">
      <w:pPr>
        <w:rPr>
          <w:noProof/>
          <w:lang w:eastAsia="hr-HR"/>
        </w:rPr>
      </w:pPr>
    </w:p>
    <w:p w:rsidR="00010077" w:rsidRDefault="00010077" w:rsidP="00010077"/>
    <w:p w:rsidR="00010077" w:rsidRPr="008012FD" w:rsidRDefault="00010077" w:rsidP="00010077">
      <w:pPr>
        <w:rPr>
          <w:rFonts w:eastAsia="Times New Roman" w:cs="Calibri"/>
          <w:color w:val="000000"/>
          <w:lang w:eastAsia="hr-HR"/>
        </w:rPr>
      </w:pPr>
    </w:p>
    <w:p w:rsidR="00B43299" w:rsidRDefault="00B43299" w:rsidP="00B43299"/>
    <w:p w:rsidR="00B43299" w:rsidRDefault="00B43299" w:rsidP="00B43299"/>
    <w:p w:rsidR="00B43299" w:rsidRDefault="00B43299" w:rsidP="0072199D">
      <w:pPr>
        <w:jc w:val="both"/>
        <w:rPr>
          <w:rFonts w:asciiTheme="minorHAnsi" w:hAnsiTheme="minorHAnsi" w:cstheme="minorBidi"/>
        </w:rPr>
      </w:pPr>
    </w:p>
    <w:p w:rsidR="00B70F27" w:rsidRPr="00F56636" w:rsidRDefault="00B70F27" w:rsidP="0072199D">
      <w:pPr>
        <w:jc w:val="both"/>
        <w:rPr>
          <w:rFonts w:asciiTheme="minorHAnsi" w:hAnsiTheme="minorHAnsi" w:cstheme="minorBidi"/>
        </w:rPr>
      </w:pPr>
    </w:p>
    <w:p w:rsidR="0072199D" w:rsidRDefault="0072199D" w:rsidP="0072199D">
      <w:bookmarkStart w:id="729" w:name="_Toc236648764"/>
      <w:bookmarkStart w:id="730" w:name="_Toc236653960"/>
      <w:bookmarkEnd w:id="729"/>
      <w:bookmarkEnd w:id="730"/>
    </w:p>
    <w:p w:rsidR="0072199D" w:rsidRDefault="0072199D" w:rsidP="0072199D">
      <w:pPr>
        <w:jc w:val="both"/>
      </w:pPr>
    </w:p>
    <w:p w:rsidR="0072199D" w:rsidRDefault="0072199D" w:rsidP="0072199D">
      <w:pPr>
        <w:jc w:val="both"/>
      </w:pPr>
    </w:p>
    <w:p w:rsidR="0072199D" w:rsidRDefault="0072199D" w:rsidP="0072199D"/>
    <w:p w:rsidR="00DF4062" w:rsidRPr="00DF4062" w:rsidRDefault="00DF4062" w:rsidP="00DF4062">
      <w:pPr>
        <w:jc w:val="both"/>
      </w:pPr>
    </w:p>
    <w:p w:rsidR="00DF4062" w:rsidRPr="00DF4062" w:rsidRDefault="00DF4062" w:rsidP="00DF4062">
      <w:pPr>
        <w:jc w:val="both"/>
      </w:pPr>
    </w:p>
    <w:p w:rsidR="00DF4062" w:rsidRPr="00DF4062" w:rsidRDefault="00DF4062" w:rsidP="00DF4062">
      <w:pPr>
        <w:jc w:val="both"/>
        <w:rPr>
          <w:rFonts w:eastAsia="Times New Roman"/>
        </w:rPr>
      </w:pPr>
    </w:p>
    <w:p w:rsidR="00752A94" w:rsidRPr="00095E3B" w:rsidRDefault="00752A94" w:rsidP="00095E3B">
      <w:pPr>
        <w:jc w:val="both"/>
        <w:rPr>
          <w:rFonts w:eastAsia="Times New Roman"/>
          <w:b/>
        </w:rPr>
      </w:pPr>
    </w:p>
    <w:sectPr w:rsidR="00752A94" w:rsidRPr="00095E3B" w:rsidSect="00C833F6">
      <w:type w:val="continuous"/>
      <w:pgSz w:w="11906" w:h="16838"/>
      <w:pgMar w:top="1440" w:right="1440" w:bottom="1440" w:left="1440" w:header="397" w:footer="39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0C6F" w:rsidRDefault="00C60C6F" w:rsidP="007A0267">
      <w:r>
        <w:separator/>
      </w:r>
    </w:p>
  </w:endnote>
  <w:endnote w:type="continuationSeparator" w:id="0">
    <w:p w:rsidR="00C60C6F" w:rsidRDefault="00C60C6F" w:rsidP="007A0267">
      <w:r>
        <w:continuationSeparator/>
      </w:r>
    </w:p>
  </w:endnote>
  <w:endnote w:type="continuationNotice" w:id="1">
    <w:p w:rsidR="00C60C6F" w:rsidRDefault="00C60C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Segoe UI Semibold">
    <w:panose1 w:val="020B07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A00002EF" w:usb1="4000004B"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Segoe UI Black">
    <w:panose1 w:val="020B0A02040204020203"/>
    <w:charset w:val="EE"/>
    <w:family w:val="swiss"/>
    <w:pitch w:val="variable"/>
    <w:sig w:usb0="E00002FF" w:usb1="4000E47F" w:usb2="00000021" w:usb3="00000000" w:csb0="0000019F" w:csb1="00000000"/>
  </w:font>
  <w:font w:name="Segoe UI Light">
    <w:panose1 w:val="020B0502040204020203"/>
    <w:charset w:val="EE"/>
    <w:family w:val="swiss"/>
    <w:pitch w:val="variable"/>
    <w:sig w:usb0="E4002EFF" w:usb1="C000E47F" w:usb2="00000009" w:usb3="00000000" w:csb0="000001FF" w:csb1="00000000"/>
  </w:font>
  <w:font w:name="Simplified Arabic">
    <w:altName w:val="Times New Roman"/>
    <w:charset w:val="B2"/>
    <w:family w:val="roman"/>
    <w:pitch w:val="variable"/>
    <w:sig w:usb0="00000000" w:usb1="80000000" w:usb2="00000008" w:usb3="00000000" w:csb0="00000041" w:csb1="00000000"/>
  </w:font>
  <w:font w:name="TT15Ct00">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7946150"/>
      <w:docPartObj>
        <w:docPartGallery w:val="Page Numbers (Bottom of Page)"/>
        <w:docPartUnique/>
      </w:docPartObj>
    </w:sdtPr>
    <w:sdtEndPr>
      <w:rPr>
        <w:noProof/>
      </w:rPr>
    </w:sdtEndPr>
    <w:sdtContent>
      <w:p w:rsidR="00973D5D" w:rsidRDefault="00973D5D">
        <w:pPr>
          <w:pStyle w:val="Footer"/>
          <w:jc w:val="right"/>
        </w:pPr>
        <w:r>
          <w:t xml:space="preserve"> </w:t>
        </w:r>
        <w:r w:rsidRPr="006C08AF">
          <w:rPr>
            <w:rFonts w:ascii="Segoe UI Semibold" w:hAnsi="Segoe UI Semibold" w:cs="Segoe UI Semibold"/>
            <w:color w:val="2F5496" w:themeColor="accent1" w:themeShade="BF"/>
          </w:rPr>
          <w:fldChar w:fldCharType="begin"/>
        </w:r>
        <w:r w:rsidRPr="006C08AF">
          <w:rPr>
            <w:rFonts w:ascii="Segoe UI Semibold" w:hAnsi="Segoe UI Semibold" w:cs="Segoe UI Semibold"/>
            <w:color w:val="2F5496" w:themeColor="accent1" w:themeShade="BF"/>
          </w:rPr>
          <w:instrText xml:space="preserve"> PAGE   \* MERGEFORMAT </w:instrText>
        </w:r>
        <w:r w:rsidRPr="006C08AF">
          <w:rPr>
            <w:rFonts w:ascii="Segoe UI Semibold" w:hAnsi="Segoe UI Semibold" w:cs="Segoe UI Semibold"/>
            <w:color w:val="2F5496" w:themeColor="accent1" w:themeShade="BF"/>
          </w:rPr>
          <w:fldChar w:fldCharType="separate"/>
        </w:r>
        <w:r w:rsidR="00A676EB">
          <w:rPr>
            <w:rFonts w:ascii="Segoe UI Semibold" w:hAnsi="Segoe UI Semibold" w:cs="Segoe UI Semibold"/>
            <w:noProof/>
            <w:color w:val="2F5496" w:themeColor="accent1" w:themeShade="BF"/>
          </w:rPr>
          <w:t>13</w:t>
        </w:r>
        <w:r w:rsidRPr="006C08AF">
          <w:rPr>
            <w:rFonts w:ascii="Segoe UI Semibold" w:hAnsi="Segoe UI Semibold" w:cs="Segoe UI Semibold"/>
            <w:noProof/>
            <w:color w:val="2F5496" w:themeColor="accent1" w:themeShade="BF"/>
          </w:rPr>
          <w:fldChar w:fldCharType="end"/>
        </w:r>
      </w:p>
    </w:sdtContent>
  </w:sdt>
  <w:p w:rsidR="00973D5D" w:rsidRDefault="00973D5D" w:rsidP="007A0267">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Pr="003407C0" w:rsidRDefault="00973D5D" w:rsidP="003407C0">
    <w:pPr>
      <w:ind w:left="-357" w:right="-357"/>
      <w:jc w:val="center"/>
      <w:rPr>
        <w:rFonts w:ascii="DINCE-Regular" w:eastAsia="Times New Roman" w:hAnsi="DINCE-Regular"/>
        <w:color w:val="024182"/>
        <w:sz w:val="16"/>
        <w:szCs w:val="20"/>
        <w:lang w:eastAsia="hr-HR"/>
      </w:rPr>
    </w:pPr>
    <w:r w:rsidRPr="003407C0">
      <w:rPr>
        <w:rFonts w:ascii="DINCE-Regular" w:eastAsia="Times New Roman" w:hAnsi="DINCE-Regular"/>
        <w:noProof/>
        <w:color w:val="024182"/>
        <w:sz w:val="16"/>
        <w:szCs w:val="20"/>
        <w:lang w:val="en-US"/>
      </w:rPr>
      <mc:AlternateContent>
        <mc:Choice Requires="wps">
          <w:drawing>
            <wp:inline distT="0" distB="0" distL="0" distR="0" wp14:anchorId="208F5BF2" wp14:editId="00EF091E">
              <wp:extent cx="5731510" cy="0"/>
              <wp:effectExtent l="0" t="0" r="21590" b="19050"/>
              <wp:docPr id="5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1510"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529BD48" id="Line 13" o:spid="_x0000_s1026" style="visibility:visible;mso-wrap-style:square;mso-left-percent:-10001;mso-top-percent:-10001;mso-position-horizontal:absolute;mso-position-horizontal-relative:char;mso-position-vertical:absolute;mso-position-vertical-relative:line;mso-left-percent:-10001;mso-top-percent:-10001" from="0,0" to="451.3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" strokecolor="#024182" strokeweight=".1pt">
              <w10:anchorlock/>
            </v:line>
          </w:pict>
        </mc:Fallback>
      </mc:AlternateContent>
    </w:r>
  </w:p>
  <w:p w:rsidR="00973D5D" w:rsidRPr="003407C0" w:rsidRDefault="00973D5D" w:rsidP="003407C0">
    <w:pPr>
      <w:spacing w:before="80" w:line="360" w:lineRule="auto"/>
      <w:jc w:val="center"/>
      <w:rPr>
        <w:rFonts w:ascii="Corbel" w:eastAsia="Times New Roman" w:hAnsi="Corbel"/>
        <w:b/>
        <w:color w:val="024182"/>
        <w:sz w:val="15"/>
        <w:szCs w:val="15"/>
        <w:lang w:eastAsia="hr-HR"/>
      </w:rPr>
    </w:pPr>
    <w:r w:rsidRPr="003407C0">
      <w:rPr>
        <w:rFonts w:ascii="Corbel" w:eastAsia="Times New Roman" w:hAnsi="Corbel"/>
        <w:b/>
        <w:color w:val="024182"/>
        <w:sz w:val="15"/>
        <w:szCs w:val="15"/>
        <w:lang w:eastAsia="hr-HR"/>
      </w:rPr>
      <w:t>HRVATSKA REGULATORNA AGENCIJA ZA MREŽNE DJELATNOSTI</w:t>
    </w:r>
  </w:p>
  <w:p w:rsidR="00973D5D" w:rsidRPr="003407C0" w:rsidRDefault="00973D5D" w:rsidP="003407C0">
    <w:pPr>
      <w:spacing w:line="360" w:lineRule="auto"/>
      <w:ind w:left="-142" w:right="-143"/>
      <w:jc w:val="center"/>
      <w:rPr>
        <w:rFonts w:ascii="Corbel" w:eastAsia="Times New Roman" w:hAnsi="Corbel"/>
        <w:color w:val="024182"/>
        <w:sz w:val="15"/>
        <w:szCs w:val="15"/>
        <w:lang w:eastAsia="hr-HR"/>
      </w:rPr>
    </w:pPr>
    <w:r w:rsidRPr="003407C0">
      <w:rPr>
        <w:rFonts w:ascii="Corbel" w:eastAsia="Times New Roman" w:hAnsi="Corbel"/>
        <w:color w:val="024182"/>
        <w:sz w:val="15"/>
        <w:szCs w:val="15"/>
        <w:lang w:eastAsia="hr-HR"/>
      </w:rPr>
      <w:t>Ulica Roberta Frangeša-Mihanovi</w:t>
    </w:r>
    <w:r w:rsidRPr="003407C0">
      <w:rPr>
        <w:rFonts w:ascii="Corbel" w:eastAsia="Times New Roman" w:hAnsi="Corbel" w:cs="Cambria"/>
        <w:color w:val="024182"/>
        <w:sz w:val="15"/>
        <w:szCs w:val="15"/>
        <w:lang w:eastAsia="hr-HR"/>
      </w:rPr>
      <w:t>ć</w:t>
    </w:r>
    <w:r w:rsidRPr="003407C0">
      <w:rPr>
        <w:rFonts w:ascii="Corbel" w:eastAsia="Times New Roman" w:hAnsi="Corbel"/>
        <w:color w:val="024182"/>
        <w:sz w:val="15"/>
        <w:szCs w:val="15"/>
        <w:lang w:eastAsia="hr-HR"/>
      </w:rPr>
      <w:t>a 9, 10110 Zagreb / OIB: 87950783661 / Tel: (01) 7007 007, Faks: (01) 7007 070 / www.hakom.hr</w:t>
    </w:r>
  </w:p>
  <w:p w:rsidR="00973D5D" w:rsidRDefault="00973D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0C6F" w:rsidRDefault="00C60C6F" w:rsidP="007A0267">
      <w:r>
        <w:separator/>
      </w:r>
    </w:p>
  </w:footnote>
  <w:footnote w:type="continuationSeparator" w:id="0">
    <w:p w:rsidR="00C60C6F" w:rsidRDefault="00C60C6F" w:rsidP="007A0267">
      <w:r>
        <w:continuationSeparator/>
      </w:r>
    </w:p>
  </w:footnote>
  <w:footnote w:type="continuationNotice" w:id="1">
    <w:p w:rsidR="00C60C6F" w:rsidRDefault="00C60C6F"/>
  </w:footnote>
  <w:footnote w:id="2">
    <w:p w:rsidR="00973D5D" w:rsidRPr="00F473BA" w:rsidRDefault="00973D5D" w:rsidP="00BC2165">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hyperlink r:id="rId1" w:history="1">
        <w:r w:rsidRPr="00F473BA">
          <w:rPr>
            <w:rStyle w:val="Hyperlink"/>
            <w:rFonts w:asciiTheme="minorHAnsi" w:hAnsiTheme="minorHAnsi" w:cstheme="minorHAnsi"/>
            <w:sz w:val="18"/>
            <w:szCs w:val="18"/>
          </w:rPr>
          <w:t>https://eur-lex.europa.eu/legal-content/HR/ALL/?uri=CELEX%3A32020H2245</w:t>
        </w:r>
      </w:hyperlink>
    </w:p>
  </w:footnote>
  <w:footnote w:id="3">
    <w:p w:rsidR="00973D5D" w:rsidRPr="00F473BA" w:rsidRDefault="00973D5D" w:rsidP="00BC2165">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hyperlink r:id="rId2" w:history="1">
        <w:r w:rsidRPr="00F473BA">
          <w:rPr>
            <w:rStyle w:val="Hyperlink"/>
            <w:rFonts w:asciiTheme="minorHAnsi" w:hAnsiTheme="minorHAnsi" w:cstheme="minorHAnsi"/>
            <w:sz w:val="18"/>
            <w:szCs w:val="18"/>
          </w:rPr>
          <w:t>https://eur-lex.europa.eu/legal-content/HR/TXT/HTML/?uri=CELEX:52018XC0507(01)&amp;from=SV</w:t>
        </w:r>
      </w:hyperlink>
    </w:p>
    <w:p w:rsidR="00973D5D" w:rsidRPr="00F473BA" w:rsidRDefault="00973D5D" w:rsidP="00BC2165">
      <w:pPr>
        <w:pStyle w:val="FootnoteText"/>
        <w:rPr>
          <w:rFonts w:asciiTheme="minorHAnsi" w:hAnsiTheme="minorHAnsi" w:cstheme="minorHAnsi"/>
          <w:sz w:val="18"/>
          <w:szCs w:val="18"/>
          <w:lang w:val="en-US"/>
        </w:rPr>
      </w:pPr>
    </w:p>
  </w:footnote>
  <w:footnote w:id="4">
    <w:p w:rsidR="00973D5D" w:rsidRPr="00F473BA" w:rsidRDefault="00973D5D" w:rsidP="00706FDA">
      <w:pPr>
        <w:pStyle w:val="FootnoteText"/>
        <w:jc w:val="both"/>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Svjetlovod (</w:t>
      </w:r>
      <w:proofErr w:type="spellStart"/>
      <w:r w:rsidRPr="00F473BA">
        <w:rPr>
          <w:rFonts w:asciiTheme="minorHAnsi" w:hAnsiTheme="minorHAnsi" w:cstheme="minorHAnsi"/>
          <w:sz w:val="18"/>
          <w:szCs w:val="18"/>
        </w:rPr>
        <w:t>FttDP</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FttB</w:t>
      </w:r>
      <w:proofErr w:type="spellEnd"/>
      <w:r w:rsidRPr="00F473BA">
        <w:rPr>
          <w:rFonts w:asciiTheme="minorHAnsi" w:hAnsiTheme="minorHAnsi" w:cstheme="minorHAnsi"/>
          <w:sz w:val="18"/>
          <w:szCs w:val="18"/>
        </w:rPr>
        <w:t xml:space="preserve"> i </w:t>
      </w:r>
      <w:proofErr w:type="spellStart"/>
      <w:r w:rsidRPr="00F473BA">
        <w:rPr>
          <w:rFonts w:asciiTheme="minorHAnsi" w:hAnsiTheme="minorHAnsi" w:cstheme="minorHAnsi"/>
          <w:sz w:val="18"/>
          <w:szCs w:val="18"/>
        </w:rPr>
        <w:t>FttH</w:t>
      </w:r>
      <w:proofErr w:type="spellEnd"/>
      <w:r w:rsidRPr="00F473BA">
        <w:rPr>
          <w:rFonts w:asciiTheme="minorHAnsi" w:hAnsiTheme="minorHAnsi" w:cstheme="minorHAnsi"/>
          <w:sz w:val="18"/>
          <w:szCs w:val="18"/>
        </w:rPr>
        <w:t xml:space="preserve">) i kabel (Docsis 3.1). Za potrebe ovog dokumenta pojmovi „VHCN mreža“ i „VHCN infrastruktura“ koriste se jednoznačno. </w:t>
      </w:r>
    </w:p>
  </w:footnote>
  <w:footnote w:id="5">
    <w:p w:rsidR="00973D5D" w:rsidRPr="00F473BA" w:rsidRDefault="00973D5D" w:rsidP="00BC2165">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Ne uzima se u obzir postotak preklapanja pokrivenosti različitih VHCN infrastruktura</w:t>
      </w:r>
    </w:p>
  </w:footnote>
  <w:footnote w:id="6">
    <w:p w:rsidR="00973D5D" w:rsidRPr="00F473BA" w:rsidRDefault="00973D5D" w:rsidP="001454D6">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https://eur-lex.europa.eu/legal-content/HR/TXT/HTML/?uri=CELEX:32018L1972&amp;from=HR</w:t>
      </w:r>
    </w:p>
  </w:footnote>
  <w:footnote w:id="7">
    <w:p w:rsidR="00973D5D" w:rsidRPr="00F473BA" w:rsidRDefault="00973D5D">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hyperlink r:id="rId3" w:history="1">
        <w:r w:rsidRPr="00F473BA">
          <w:rPr>
            <w:rStyle w:val="Hyperlink"/>
            <w:rFonts w:asciiTheme="minorHAnsi" w:hAnsiTheme="minorHAnsi" w:cstheme="minorHAnsi"/>
            <w:sz w:val="18"/>
            <w:szCs w:val="18"/>
          </w:rPr>
          <w:t>https://eur-lex.europa.eu/legal-content/HR/TXT/HTML/?uri=CELEX:32018R1971&amp;from=HR</w:t>
        </w:r>
      </w:hyperlink>
    </w:p>
  </w:footnote>
  <w:footnote w:id="8">
    <w:p w:rsidR="00973D5D" w:rsidRPr="00F473BA" w:rsidRDefault="00973D5D" w:rsidP="001454D6">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https://eur-lex.europa.eu/legal-content/HR/TXT/HTML/?uri=CELEX:32020H2245&amp;from=HR</w:t>
      </w:r>
    </w:p>
  </w:footnote>
  <w:footnote w:id="9">
    <w:p w:rsidR="00973D5D" w:rsidRPr="00F473BA" w:rsidRDefault="00973D5D" w:rsidP="001454D6">
      <w:pPr>
        <w:pStyle w:val="FootnoteText"/>
        <w:jc w:val="both"/>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Preporuka Komisije 2014/710/EU od 9. listopada 2014. o mjerodavnim tržištima proizvoda i usluga u sektoru elektroničkih komunikacija podložnima prethodnoj (ex ante) regulaciji u skladu s Direktivom 2002/21/EZ Europskog parlamenta i Vijeća o zajedničkom regulatornom okviru za elektroničke komunikacijske mreže i usluge (SL L 295, 11.10.2014., str. 79.)</w:t>
      </w:r>
    </w:p>
  </w:footnote>
  <w:footnote w:id="10">
    <w:p w:rsidR="00973D5D" w:rsidRPr="00F473BA" w:rsidRDefault="00973D5D">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ex Tržište 3a</w:t>
      </w:r>
    </w:p>
  </w:footnote>
  <w:footnote w:id="11">
    <w:p w:rsidR="00973D5D" w:rsidRPr="00F473BA" w:rsidRDefault="00973D5D" w:rsidP="001454D6">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ex Veleprodajni visokokvalitetni pristup koji se pruža na fiksnoj lokaciji</w:t>
      </w:r>
    </w:p>
  </w:footnote>
  <w:footnote w:id="12">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VHCN mreže su definirane u smjernicama BEREC-a (BEREC </w:t>
      </w:r>
      <w:proofErr w:type="spellStart"/>
      <w:r w:rsidRPr="00F473BA">
        <w:rPr>
          <w:rFonts w:asciiTheme="minorHAnsi" w:hAnsiTheme="minorHAnsi" w:cstheme="minorHAnsi"/>
          <w:sz w:val="18"/>
          <w:szCs w:val="18"/>
        </w:rPr>
        <w:t>Guidelines</w:t>
      </w:r>
      <w:proofErr w:type="spellEnd"/>
      <w:r w:rsidRPr="00F473BA">
        <w:rPr>
          <w:rFonts w:asciiTheme="minorHAnsi" w:hAnsiTheme="minorHAnsi" w:cstheme="minorHAnsi"/>
          <w:sz w:val="18"/>
          <w:szCs w:val="18"/>
        </w:rPr>
        <w:t xml:space="preserve"> on </w:t>
      </w:r>
      <w:proofErr w:type="spellStart"/>
      <w:r w:rsidRPr="00F473BA">
        <w:rPr>
          <w:rFonts w:asciiTheme="minorHAnsi" w:hAnsiTheme="minorHAnsi" w:cstheme="minorHAnsi"/>
          <w:sz w:val="18"/>
          <w:szCs w:val="18"/>
        </w:rPr>
        <w:t>Very</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High</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Capacity</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Networks</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BoR</w:t>
      </w:r>
      <w:proofErr w:type="spellEnd"/>
      <w:r w:rsidRPr="00F473BA">
        <w:rPr>
          <w:rFonts w:asciiTheme="minorHAnsi" w:hAnsiTheme="minorHAnsi" w:cstheme="minorHAnsi"/>
          <w:sz w:val="18"/>
          <w:szCs w:val="18"/>
        </w:rPr>
        <w:t xml:space="preserve"> (20) 165)</w:t>
      </w:r>
    </w:p>
  </w:footnote>
  <w:footnote w:id="13">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Podaci koji se prikupljaju u sklopu studije Europske komisije „</w:t>
      </w:r>
      <w:proofErr w:type="spellStart"/>
      <w:r w:rsidRPr="00F473BA">
        <w:rPr>
          <w:rFonts w:asciiTheme="minorHAnsi" w:hAnsiTheme="minorHAnsi" w:cstheme="minorHAnsi"/>
          <w:sz w:val="18"/>
          <w:szCs w:val="18"/>
        </w:rPr>
        <w:t>Broadband</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coverage</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in</w:t>
      </w:r>
      <w:proofErr w:type="spellEnd"/>
      <w:r w:rsidRPr="00F473BA">
        <w:rPr>
          <w:rFonts w:asciiTheme="minorHAnsi" w:hAnsiTheme="minorHAnsi" w:cstheme="minorHAnsi"/>
          <w:sz w:val="18"/>
          <w:szCs w:val="18"/>
        </w:rPr>
        <w:t xml:space="preserve"> Europe“</w:t>
      </w:r>
    </w:p>
  </w:footnote>
  <w:footnote w:id="14">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Ruralna područja se definiraju kao područja s gustoćom manjom od 100 ljudi po km</w:t>
      </w:r>
      <w:r w:rsidRPr="00F473BA">
        <w:rPr>
          <w:rFonts w:asciiTheme="minorHAnsi" w:hAnsiTheme="minorHAnsi" w:cstheme="minorHAnsi"/>
          <w:sz w:val="18"/>
          <w:szCs w:val="18"/>
          <w:vertAlign w:val="superscript"/>
        </w:rPr>
        <w:t>2</w:t>
      </w:r>
    </w:p>
  </w:footnote>
  <w:footnote w:id="15">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Brzine pristupa u ovom prikazu odnose se na silaznu brzinu (</w:t>
      </w:r>
      <w:proofErr w:type="spellStart"/>
      <w:r w:rsidRPr="00F473BA">
        <w:rPr>
          <w:rFonts w:asciiTheme="minorHAnsi" w:hAnsiTheme="minorHAnsi" w:cstheme="minorHAnsi"/>
          <w:sz w:val="18"/>
          <w:szCs w:val="18"/>
        </w:rPr>
        <w:t>eng</w:t>
      </w:r>
      <w:proofErr w:type="spellEnd"/>
      <w:r w:rsidRPr="00F473BA">
        <w:rPr>
          <w:rFonts w:asciiTheme="minorHAnsi" w:hAnsiTheme="minorHAnsi" w:cstheme="minorHAnsi"/>
          <w:sz w:val="18"/>
          <w:szCs w:val="18"/>
        </w:rPr>
        <w:t>. download)</w:t>
      </w:r>
    </w:p>
  </w:footnote>
  <w:footnote w:id="16">
    <w:p w:rsidR="00973D5D" w:rsidRPr="00F473BA" w:rsidRDefault="00973D5D" w:rsidP="00D7024A">
      <w:pPr>
        <w:pStyle w:val="FootnoteText"/>
        <w:rPr>
          <w:rFonts w:asciiTheme="minorHAnsi" w:hAnsiTheme="minorHAnsi" w:cstheme="minorHAnsi"/>
          <w:sz w:val="18"/>
          <w:szCs w:val="18"/>
          <w:lang w:val="en-US"/>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Utilizacija mreže je omjer broja aktivnih korisnika i pokrivenih korisničkih jedinica</w:t>
      </w:r>
    </w:p>
  </w:footnote>
  <w:footnote w:id="17">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Wi Fi 50 koju pruža Pro-</w:t>
      </w:r>
      <w:proofErr w:type="spellStart"/>
      <w:r w:rsidRPr="00F473BA">
        <w:rPr>
          <w:rFonts w:asciiTheme="minorHAnsi" w:hAnsiTheme="minorHAnsi" w:cstheme="minorHAnsi"/>
          <w:sz w:val="18"/>
          <w:szCs w:val="18"/>
        </w:rPr>
        <w:t>ping</w:t>
      </w:r>
      <w:proofErr w:type="spellEnd"/>
    </w:p>
  </w:footnote>
  <w:footnote w:id="18">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„Super Internet“ operatora A1 Hrvatska i </w:t>
      </w:r>
      <w:proofErr w:type="spellStart"/>
      <w:r w:rsidRPr="00F473BA">
        <w:rPr>
          <w:rFonts w:asciiTheme="minorHAnsi" w:hAnsiTheme="minorHAnsi" w:cstheme="minorHAnsi"/>
          <w:sz w:val="18"/>
          <w:szCs w:val="18"/>
        </w:rPr>
        <w:t>Iskonova</w:t>
      </w:r>
      <w:proofErr w:type="spellEnd"/>
      <w:r w:rsidRPr="00F473BA">
        <w:rPr>
          <w:rFonts w:asciiTheme="minorHAnsi" w:hAnsiTheme="minorHAnsi" w:cstheme="minorHAnsi"/>
          <w:sz w:val="18"/>
          <w:szCs w:val="18"/>
        </w:rPr>
        <w:t xml:space="preserve"> ponuda „NET200“</w:t>
      </w:r>
    </w:p>
  </w:footnote>
  <w:footnote w:id="19">
    <w:p w:rsidR="00973D5D" w:rsidRPr="00F473BA" w:rsidRDefault="00973D5D" w:rsidP="00D7024A">
      <w:pPr>
        <w:pStyle w:val="FootnoteText"/>
        <w:rPr>
          <w:rFonts w:asciiTheme="minorHAnsi" w:hAnsiTheme="minorHAnsi" w:cstheme="minorHAnsi"/>
          <w:sz w:val="18"/>
          <w:szCs w:val="18"/>
          <w:lang w:val="en-US"/>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ODF (</w:t>
      </w:r>
      <w:proofErr w:type="spellStart"/>
      <w:r w:rsidRPr="00F473BA">
        <w:rPr>
          <w:rFonts w:asciiTheme="minorHAnsi" w:hAnsiTheme="minorHAnsi" w:cstheme="minorHAnsi"/>
          <w:i/>
          <w:sz w:val="18"/>
          <w:szCs w:val="18"/>
        </w:rPr>
        <w:t>eng</w:t>
      </w:r>
      <w:proofErr w:type="spellEnd"/>
      <w:r w:rsidRPr="00F473BA">
        <w:rPr>
          <w:rFonts w:asciiTheme="minorHAnsi" w:hAnsiTheme="minorHAnsi" w:cstheme="minorHAnsi"/>
          <w:i/>
          <w:sz w:val="18"/>
          <w:szCs w:val="18"/>
        </w:rPr>
        <w:t xml:space="preserve">. </w:t>
      </w:r>
      <w:proofErr w:type="spellStart"/>
      <w:r w:rsidRPr="00F473BA">
        <w:rPr>
          <w:rFonts w:asciiTheme="minorHAnsi" w:hAnsiTheme="minorHAnsi" w:cstheme="minorHAnsi"/>
          <w:i/>
          <w:sz w:val="18"/>
          <w:szCs w:val="18"/>
        </w:rPr>
        <w:t>Optical</w:t>
      </w:r>
      <w:proofErr w:type="spellEnd"/>
      <w:r w:rsidRPr="00F473BA">
        <w:rPr>
          <w:rFonts w:asciiTheme="minorHAnsi" w:hAnsiTheme="minorHAnsi" w:cstheme="minorHAnsi"/>
          <w:i/>
          <w:sz w:val="18"/>
          <w:szCs w:val="18"/>
        </w:rPr>
        <w:t xml:space="preserve"> </w:t>
      </w:r>
      <w:proofErr w:type="spellStart"/>
      <w:r w:rsidRPr="00F473BA">
        <w:rPr>
          <w:rFonts w:asciiTheme="minorHAnsi" w:hAnsiTheme="minorHAnsi" w:cstheme="minorHAnsi"/>
          <w:i/>
          <w:sz w:val="18"/>
          <w:szCs w:val="18"/>
        </w:rPr>
        <w:t>Distribution</w:t>
      </w:r>
      <w:proofErr w:type="spellEnd"/>
      <w:r w:rsidRPr="00F473BA">
        <w:rPr>
          <w:rFonts w:asciiTheme="minorHAnsi" w:hAnsiTheme="minorHAnsi" w:cstheme="minorHAnsi"/>
          <w:i/>
          <w:sz w:val="18"/>
          <w:szCs w:val="18"/>
        </w:rPr>
        <w:t xml:space="preserve"> </w:t>
      </w:r>
      <w:proofErr w:type="spellStart"/>
      <w:r w:rsidRPr="00F473BA">
        <w:rPr>
          <w:rFonts w:asciiTheme="minorHAnsi" w:hAnsiTheme="minorHAnsi" w:cstheme="minorHAnsi"/>
          <w:i/>
          <w:sz w:val="18"/>
          <w:szCs w:val="18"/>
        </w:rPr>
        <w:t>Frame</w:t>
      </w:r>
      <w:proofErr w:type="spellEnd"/>
      <w:r w:rsidRPr="00F473BA">
        <w:rPr>
          <w:rFonts w:asciiTheme="minorHAnsi" w:hAnsiTheme="minorHAnsi" w:cstheme="minorHAnsi"/>
          <w:sz w:val="18"/>
          <w:szCs w:val="18"/>
        </w:rPr>
        <w:t>) je svjetlovodni razdjelnik</w:t>
      </w:r>
    </w:p>
  </w:footnote>
  <w:footnote w:id="20">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„Super Internet“ operatora A1 Hrvatska i </w:t>
      </w:r>
      <w:proofErr w:type="spellStart"/>
      <w:r w:rsidRPr="00F473BA">
        <w:rPr>
          <w:rFonts w:asciiTheme="minorHAnsi" w:hAnsiTheme="minorHAnsi" w:cstheme="minorHAnsi"/>
          <w:sz w:val="18"/>
          <w:szCs w:val="18"/>
        </w:rPr>
        <w:t>Iskonova</w:t>
      </w:r>
      <w:proofErr w:type="spellEnd"/>
      <w:r w:rsidRPr="00F473BA">
        <w:rPr>
          <w:rFonts w:asciiTheme="minorHAnsi" w:hAnsiTheme="minorHAnsi" w:cstheme="minorHAnsi"/>
          <w:sz w:val="18"/>
          <w:szCs w:val="18"/>
        </w:rPr>
        <w:t xml:space="preserve"> ponuda „NET200“ </w:t>
      </w:r>
    </w:p>
  </w:footnote>
  <w:footnote w:id="21">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Iskona „NET.TEL200“</w:t>
      </w:r>
    </w:p>
  </w:footnote>
  <w:footnote w:id="22">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„Internet + TV“ operatora A1 Hrvatska</w:t>
      </w:r>
    </w:p>
  </w:footnote>
  <w:footnote w:id="23">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w:t>
      </w:r>
      <w:proofErr w:type="spellStart"/>
      <w:r w:rsidRPr="00F473BA">
        <w:rPr>
          <w:rFonts w:asciiTheme="minorHAnsi" w:hAnsiTheme="minorHAnsi" w:cstheme="minorHAnsi"/>
          <w:sz w:val="18"/>
          <w:szCs w:val="18"/>
        </w:rPr>
        <w:t>NET.TEL.TV.Full</w:t>
      </w:r>
      <w:proofErr w:type="spellEnd"/>
      <w:r w:rsidRPr="00F473BA">
        <w:rPr>
          <w:rFonts w:asciiTheme="minorHAnsi" w:hAnsiTheme="minorHAnsi" w:cstheme="minorHAnsi"/>
          <w:sz w:val="18"/>
          <w:szCs w:val="18"/>
        </w:rPr>
        <w:t xml:space="preserve"> 200“ Iskon Interneta</w:t>
      </w:r>
    </w:p>
  </w:footnote>
  <w:footnote w:id="24">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Telemachova</w:t>
      </w:r>
      <w:proofErr w:type="spellEnd"/>
      <w:r w:rsidRPr="00F473BA">
        <w:rPr>
          <w:rFonts w:asciiTheme="minorHAnsi" w:hAnsiTheme="minorHAnsi" w:cstheme="minorHAnsi"/>
          <w:sz w:val="18"/>
          <w:szCs w:val="18"/>
        </w:rPr>
        <w:t xml:space="preserve"> ponuda „2Gige“</w:t>
      </w:r>
    </w:p>
  </w:footnote>
  <w:footnote w:id="25">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Npr. Iskon Internet d.d.</w:t>
      </w:r>
    </w:p>
  </w:footnote>
  <w:footnote w:id="26">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„Super Internet“</w:t>
      </w:r>
    </w:p>
  </w:footnote>
  <w:footnote w:id="27">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Ponuda „</w:t>
      </w:r>
      <w:proofErr w:type="spellStart"/>
      <w:r w:rsidRPr="00F473BA">
        <w:rPr>
          <w:rFonts w:asciiTheme="minorHAnsi" w:hAnsiTheme="minorHAnsi" w:cstheme="minorHAnsi"/>
          <w:sz w:val="18"/>
          <w:szCs w:val="18"/>
        </w:rPr>
        <w:t>Turbo</w:t>
      </w:r>
      <w:proofErr w:type="spellEnd"/>
      <w:r w:rsidRPr="00F473BA">
        <w:rPr>
          <w:rFonts w:asciiTheme="minorHAnsi" w:hAnsiTheme="minorHAnsi" w:cstheme="minorHAnsi"/>
          <w:sz w:val="18"/>
          <w:szCs w:val="18"/>
        </w:rPr>
        <w:t xml:space="preserve"> Internet“</w:t>
      </w:r>
    </w:p>
  </w:footnote>
  <w:footnote w:id="28">
    <w:p w:rsidR="00973D5D" w:rsidRPr="00F473BA" w:rsidRDefault="00973D5D" w:rsidP="00D7024A">
      <w:pPr>
        <w:pStyle w:val="FootnoteText"/>
        <w:rPr>
          <w:rFonts w:asciiTheme="minorHAnsi" w:hAnsiTheme="minorHAnsi" w:cstheme="minorHAnsi"/>
          <w:sz w:val="18"/>
          <w:szCs w:val="18"/>
          <w:lang w:val="en-US"/>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val="en-US"/>
        </w:rPr>
        <w:t xml:space="preserve">PON </w:t>
      </w:r>
      <w:proofErr w:type="spellStart"/>
      <w:r w:rsidRPr="00F473BA">
        <w:rPr>
          <w:rFonts w:asciiTheme="minorHAnsi" w:hAnsiTheme="minorHAnsi" w:cstheme="minorHAnsi"/>
          <w:sz w:val="18"/>
          <w:szCs w:val="18"/>
          <w:lang w:val="en-US"/>
        </w:rPr>
        <w:t>tehnologija</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uključuje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različite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tehnologije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poput</w:t>
      </w:r>
      <w:proofErr w:type="spellEnd"/>
      <w:r w:rsidRPr="00F473BA">
        <w:rPr>
          <w:rFonts w:asciiTheme="minorHAnsi" w:hAnsiTheme="minorHAnsi" w:cstheme="minorHAnsi"/>
          <w:sz w:val="18"/>
          <w:szCs w:val="18"/>
          <w:lang w:val="en-US"/>
        </w:rPr>
        <w:t xml:space="preserve"> GPON, NG-PON1, NG-PON2, XGS-PON </w:t>
      </w:r>
      <w:proofErr w:type="spellStart"/>
      <w:r w:rsidRPr="00F473BA">
        <w:rPr>
          <w:rFonts w:asciiTheme="minorHAnsi" w:hAnsiTheme="minorHAnsi" w:cstheme="minorHAnsi"/>
          <w:sz w:val="18"/>
          <w:szCs w:val="18"/>
          <w:lang w:val="en-US"/>
        </w:rPr>
        <w:t>itd</w:t>
      </w:r>
      <w:proofErr w:type="spellEnd"/>
      <w:r w:rsidRPr="00F473BA">
        <w:rPr>
          <w:rFonts w:asciiTheme="minorHAnsi" w:hAnsiTheme="minorHAnsi" w:cstheme="minorHAnsi"/>
          <w:sz w:val="18"/>
          <w:szCs w:val="18"/>
          <w:lang w:val="en-US"/>
        </w:rPr>
        <w:t>.</w:t>
      </w:r>
    </w:p>
  </w:footnote>
  <w:footnote w:id="29">
    <w:p w:rsidR="00973D5D" w:rsidRPr="00F473BA" w:rsidRDefault="00973D5D" w:rsidP="00D7024A">
      <w:pPr>
        <w:pStyle w:val="FootnoteText"/>
        <w:rPr>
          <w:rFonts w:asciiTheme="minorHAnsi" w:hAnsiTheme="minorHAnsi" w:cstheme="minorHAnsi"/>
          <w:sz w:val="18"/>
          <w:szCs w:val="18"/>
          <w:lang w:val="en-US"/>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Pravilnik o načinu i uvjetima pristupa i zajedničkog korištenja elektroničke komunikacijske infrastrukture i druge povezane opreme (NN 36/16)</w:t>
      </w:r>
    </w:p>
  </w:footnote>
  <w:footnote w:id="30">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NN 108/2010</w:t>
      </w:r>
    </w:p>
  </w:footnote>
  <w:footnote w:id="31">
    <w:p w:rsidR="00973D5D" w:rsidRPr="00F473BA" w:rsidRDefault="00973D5D" w:rsidP="00D7024A">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NN 57/14</w:t>
      </w:r>
    </w:p>
  </w:footnote>
  <w:footnote w:id="32">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DOCSIS 3.1. standard je najnovija generacija kabelskih mreža</w:t>
      </w:r>
    </w:p>
  </w:footnote>
  <w:footnote w:id="33">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Belgija, Danska</w:t>
      </w:r>
    </w:p>
  </w:footnote>
  <w:footnote w:id="34">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Nizozemska, Francuska</w:t>
      </w:r>
    </w:p>
  </w:footnote>
  <w:footnote w:id="35">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w:t>
      </w:r>
      <w:hyperlink r:id="rId4" w:history="1">
        <w:proofErr w:type="spellStart"/>
        <w:r w:rsidRPr="00F473BA">
          <w:rPr>
            <w:rStyle w:val="Hyperlink"/>
            <w:rFonts w:asciiTheme="minorHAnsi" w:hAnsiTheme="minorHAnsi" w:cstheme="minorHAnsi"/>
            <w:sz w:val="18"/>
            <w:szCs w:val="18"/>
          </w:rPr>
          <w:t>Explanatory</w:t>
        </w:r>
        <w:proofErr w:type="spellEnd"/>
        <w:r w:rsidRPr="00F473BA">
          <w:rPr>
            <w:rStyle w:val="Hyperlink"/>
            <w:rFonts w:asciiTheme="minorHAnsi" w:hAnsiTheme="minorHAnsi" w:cstheme="minorHAnsi"/>
            <w:sz w:val="18"/>
            <w:szCs w:val="18"/>
          </w:rPr>
          <w:t xml:space="preserve"> Note</w:t>
        </w:r>
      </w:hyperlink>
      <w:r w:rsidRPr="00F473BA">
        <w:rPr>
          <w:rFonts w:asciiTheme="minorHAnsi" w:hAnsiTheme="minorHAnsi" w:cstheme="minorHAnsi"/>
          <w:sz w:val="18"/>
          <w:szCs w:val="18"/>
        </w:rPr>
        <w:t xml:space="preserve"> dokument od 18. prosinca 2020 (SWD(2020) 337 </w:t>
      </w:r>
      <w:proofErr w:type="spellStart"/>
      <w:r w:rsidRPr="00F473BA">
        <w:rPr>
          <w:rFonts w:asciiTheme="minorHAnsi" w:hAnsiTheme="minorHAnsi" w:cstheme="minorHAnsi"/>
          <w:sz w:val="18"/>
          <w:szCs w:val="18"/>
        </w:rPr>
        <w:t>final</w:t>
      </w:r>
      <w:proofErr w:type="spellEnd"/>
      <w:r w:rsidRPr="00F473BA">
        <w:rPr>
          <w:rFonts w:asciiTheme="minorHAnsi" w:hAnsiTheme="minorHAnsi" w:cstheme="minorHAnsi"/>
          <w:sz w:val="18"/>
          <w:szCs w:val="18"/>
        </w:rPr>
        <w:t>)</w:t>
      </w:r>
    </w:p>
  </w:footnote>
  <w:footnote w:id="36">
    <w:p w:rsidR="00973D5D" w:rsidRPr="00F473BA" w:rsidRDefault="00973D5D" w:rsidP="00D7024A">
      <w:pPr>
        <w:pStyle w:val="FootnoteText"/>
        <w:jc w:val="both"/>
        <w:rPr>
          <w:rFonts w:asciiTheme="minorHAnsi" w:hAnsiTheme="minorHAnsi" w:cstheme="minorHAnsi"/>
          <w:sz w:val="18"/>
          <w:szCs w:val="18"/>
          <w:lang w:val="en-GB"/>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val="en-GB"/>
        </w:rPr>
        <w:t>Guidelines on market analysis and the assessment of significant market power under the EU regulatory framework for electronic communications networks and services (2018/C 159/01)</w:t>
      </w:r>
    </w:p>
  </w:footnote>
  <w:footnote w:id="37">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EK je u slučaju Portugala  (C(2016) 7674 </w:t>
      </w:r>
      <w:proofErr w:type="spellStart"/>
      <w:r w:rsidRPr="00F473BA">
        <w:rPr>
          <w:rFonts w:asciiTheme="minorHAnsi" w:hAnsiTheme="minorHAnsi" w:cstheme="minorHAnsi"/>
          <w:sz w:val="18"/>
          <w:szCs w:val="18"/>
        </w:rPr>
        <w:t>final</w:t>
      </w:r>
      <w:proofErr w:type="spellEnd"/>
      <w:r w:rsidRPr="00F473BA">
        <w:rPr>
          <w:rFonts w:asciiTheme="minorHAnsi" w:hAnsiTheme="minorHAnsi" w:cstheme="minorHAnsi"/>
          <w:sz w:val="18"/>
          <w:szCs w:val="18"/>
        </w:rPr>
        <w:t xml:space="preserve">), Njemačke (C(2019) 7237 </w:t>
      </w:r>
      <w:proofErr w:type="spellStart"/>
      <w:r w:rsidRPr="00F473BA">
        <w:rPr>
          <w:rFonts w:asciiTheme="minorHAnsi" w:hAnsiTheme="minorHAnsi" w:cstheme="minorHAnsi"/>
          <w:sz w:val="18"/>
          <w:szCs w:val="18"/>
        </w:rPr>
        <w:t>final</w:t>
      </w:r>
      <w:proofErr w:type="spellEnd"/>
      <w:r w:rsidRPr="00F473BA">
        <w:rPr>
          <w:rFonts w:asciiTheme="minorHAnsi" w:hAnsiTheme="minorHAnsi" w:cstheme="minorHAnsi"/>
          <w:sz w:val="18"/>
          <w:szCs w:val="18"/>
        </w:rPr>
        <w:t>) i Velike Britanije (C(2018) 1931final) prihvatila prijedloge regulatora da se kabelska infrastruktura na temelju neizravnih ograničenja uključi u tržište</w:t>
      </w:r>
    </w:p>
  </w:footnote>
  <w:footnote w:id="38">
    <w:p w:rsidR="00973D5D" w:rsidRPr="00F473BA" w:rsidRDefault="00973D5D" w:rsidP="00D7024A">
      <w:pPr>
        <w:jc w:val="both"/>
        <w:rPr>
          <w:rFonts w:asciiTheme="minorHAnsi" w:hAnsiTheme="minorHAnsi" w:cstheme="minorHAnsi"/>
          <w:sz w:val="18"/>
          <w:szCs w:val="18"/>
          <w:lang w:eastAsia="hr-HR"/>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eastAsia="hr-HR"/>
        </w:rPr>
        <w:t>U testu hipotetskog monopola malo, ali značajno trajno povećanje cijena odnosi se na podizanje cijene usluga od 5% do 10%</w:t>
      </w:r>
    </w:p>
  </w:footnote>
  <w:footnote w:id="39">
    <w:p w:rsidR="00973D5D" w:rsidRPr="00F473BA" w:rsidRDefault="00973D5D" w:rsidP="007F7FCF">
      <w:pPr>
        <w:pStyle w:val="FootnoteText"/>
        <w:jc w:val="both"/>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Preporuka Komisije od 18. prosinca 2020. o mjerodavnim tržištima proizvoda i usluga u sektoru elektroničkih komunikacija podložnima prethodnoj (ex ante) regulaciji u skladu s Direktivom (EU) 2018/1972 Europskog parlamenta i Vijeća od 11. prosinca 2018. o Europskom zakoniku elektroničkih komunikacija</w:t>
      </w:r>
    </w:p>
  </w:footnote>
  <w:footnote w:id="40">
    <w:p w:rsidR="00973D5D" w:rsidRPr="00F473BA" w:rsidRDefault="00973D5D" w:rsidP="00FE6D9D">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Brisel</w:t>
      </w:r>
      <w:proofErr w:type="spellEnd"/>
      <w:r w:rsidRPr="00F473BA">
        <w:rPr>
          <w:rFonts w:asciiTheme="minorHAnsi" w:hAnsiTheme="minorHAnsi" w:cstheme="minorHAnsi"/>
          <w:sz w:val="18"/>
          <w:szCs w:val="18"/>
        </w:rPr>
        <w:t xml:space="preserve">, 18.12.2020 SWD(2020) 337 </w:t>
      </w:r>
      <w:proofErr w:type="spellStart"/>
      <w:r w:rsidRPr="00F473BA">
        <w:rPr>
          <w:rFonts w:asciiTheme="minorHAnsi" w:hAnsiTheme="minorHAnsi" w:cstheme="minorHAnsi"/>
          <w:sz w:val="18"/>
          <w:szCs w:val="18"/>
        </w:rPr>
        <w:t>final</w:t>
      </w:r>
      <w:proofErr w:type="spellEnd"/>
    </w:p>
  </w:footnote>
  <w:footnote w:id="41">
    <w:p w:rsidR="00973D5D" w:rsidRPr="00F473BA" w:rsidRDefault="00973D5D" w:rsidP="00FE6D9D">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Svjetlovod (</w:t>
      </w:r>
      <w:proofErr w:type="spellStart"/>
      <w:r w:rsidRPr="00F473BA">
        <w:rPr>
          <w:rFonts w:asciiTheme="minorHAnsi" w:hAnsiTheme="minorHAnsi" w:cstheme="minorHAnsi"/>
          <w:sz w:val="18"/>
          <w:szCs w:val="18"/>
        </w:rPr>
        <w:t>FttB</w:t>
      </w:r>
      <w:proofErr w:type="spellEnd"/>
      <w:r w:rsidRPr="00F473BA">
        <w:rPr>
          <w:rFonts w:asciiTheme="minorHAnsi" w:hAnsiTheme="minorHAnsi" w:cstheme="minorHAnsi"/>
          <w:sz w:val="18"/>
          <w:szCs w:val="18"/>
        </w:rPr>
        <w:t xml:space="preserve"> i </w:t>
      </w:r>
      <w:proofErr w:type="spellStart"/>
      <w:r w:rsidRPr="00F473BA">
        <w:rPr>
          <w:rFonts w:asciiTheme="minorHAnsi" w:hAnsiTheme="minorHAnsi" w:cstheme="minorHAnsi"/>
          <w:sz w:val="18"/>
          <w:szCs w:val="18"/>
        </w:rPr>
        <w:t>FttH</w:t>
      </w:r>
      <w:proofErr w:type="spellEnd"/>
      <w:r w:rsidRPr="00F473BA">
        <w:rPr>
          <w:rFonts w:asciiTheme="minorHAnsi" w:hAnsiTheme="minorHAnsi" w:cstheme="minorHAnsi"/>
          <w:sz w:val="18"/>
          <w:szCs w:val="18"/>
        </w:rPr>
        <w:t>) i kabel (Docsis 3.1)</w:t>
      </w:r>
    </w:p>
  </w:footnote>
  <w:footnote w:id="42">
    <w:p w:rsidR="00973D5D" w:rsidRPr="00F473BA" w:rsidRDefault="00973D5D" w:rsidP="00FE6D9D">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HAKOM ne uzima se u obzir postotak preklapanja pokrivenosti različitih VHCN infrastruktura</w:t>
      </w:r>
    </w:p>
  </w:footnote>
  <w:footnote w:id="43">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Pravilnik o svjetlovodnim distribucijskim mrežama (NN 57/14), Pravilnik o načinu i uvjetima pristupa i zajedničkog korištenja elektroničke komunikacijske infrastrukture i druge povezane opreme (NN 36/16)</w:t>
      </w:r>
    </w:p>
  </w:footnote>
  <w:footnote w:id="44">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COMMISSION STAFF WORKING DOCUMENT -  EXPLANATORY NOTE (SWD(2020) 337 </w:t>
      </w:r>
      <w:proofErr w:type="spellStart"/>
      <w:r w:rsidRPr="00F473BA">
        <w:rPr>
          <w:rFonts w:asciiTheme="minorHAnsi" w:hAnsiTheme="minorHAnsi" w:cstheme="minorHAnsi"/>
          <w:sz w:val="18"/>
          <w:szCs w:val="18"/>
        </w:rPr>
        <w:t>final</w:t>
      </w:r>
      <w:proofErr w:type="spellEnd"/>
      <w:r w:rsidRPr="00F473BA">
        <w:rPr>
          <w:rFonts w:asciiTheme="minorHAnsi" w:hAnsiTheme="minorHAnsi" w:cstheme="minorHAnsi"/>
          <w:sz w:val="18"/>
          <w:szCs w:val="18"/>
        </w:rPr>
        <w:t>)</w:t>
      </w:r>
    </w:p>
  </w:footnote>
  <w:footnote w:id="45">
    <w:p w:rsidR="00973D5D" w:rsidRPr="00F473BA" w:rsidRDefault="00973D5D" w:rsidP="00D7024A">
      <w:pPr>
        <w:pStyle w:val="FootnoteText"/>
        <w:jc w:val="both"/>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Trenutno se putem HT-ove FA-PON usluge ostvaruje 0,29 posto od ukupnog broja priključaka velikog kapaciteta na konkurentnim područjima, dok se VULA usluga trenutno ne koristi</w:t>
      </w:r>
    </w:p>
  </w:footnote>
  <w:footnote w:id="46">
    <w:p w:rsidR="00973D5D" w:rsidRPr="00F473BA" w:rsidRDefault="00973D5D" w:rsidP="008921B7">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Pod Grupom se smatraju HT, Iskon i Combis </w:t>
      </w:r>
    </w:p>
  </w:footnote>
  <w:footnote w:id="47">
    <w:p w:rsidR="00973D5D" w:rsidRPr="00F473BA" w:rsidRDefault="00973D5D" w:rsidP="008921B7">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 100%-</w:t>
      </w:r>
      <w:proofErr w:type="spellStart"/>
      <w:r w:rsidRPr="00F473BA">
        <w:rPr>
          <w:rFonts w:asciiTheme="minorHAnsi" w:hAnsiTheme="minorHAnsi" w:cstheme="minorHAnsi"/>
          <w:sz w:val="18"/>
          <w:szCs w:val="18"/>
        </w:rPr>
        <w:t>tnom</w:t>
      </w:r>
      <w:proofErr w:type="spellEnd"/>
      <w:r w:rsidRPr="00F473BA">
        <w:rPr>
          <w:rFonts w:asciiTheme="minorHAnsi" w:hAnsiTheme="minorHAnsi" w:cstheme="minorHAnsi"/>
          <w:sz w:val="18"/>
          <w:szCs w:val="18"/>
        </w:rPr>
        <w:t xml:space="preserve"> vlasništvu HT-a</w:t>
      </w:r>
    </w:p>
  </w:footnote>
  <w:footnote w:id="48">
    <w:p w:rsidR="00973D5D" w:rsidRPr="00F473BA" w:rsidRDefault="00973D5D" w:rsidP="008921B7">
      <w:pPr>
        <w:pStyle w:val="FootnoteText"/>
        <w:jc w:val="both"/>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 isto </w:t>
      </w:r>
      <w:proofErr w:type="spellStart"/>
      <w:r w:rsidRPr="00F473BA">
        <w:rPr>
          <w:rFonts w:asciiTheme="minorHAnsi" w:hAnsiTheme="minorHAnsi" w:cstheme="minorHAnsi"/>
          <w:sz w:val="18"/>
          <w:szCs w:val="18"/>
        </w:rPr>
        <w:t>podtržište</w:t>
      </w:r>
      <w:proofErr w:type="spellEnd"/>
      <w:r w:rsidRPr="00F473BA">
        <w:rPr>
          <w:rFonts w:asciiTheme="minorHAnsi" w:hAnsiTheme="minorHAnsi" w:cstheme="minorHAnsi"/>
          <w:sz w:val="18"/>
          <w:szCs w:val="18"/>
        </w:rPr>
        <w:t xml:space="preserve"> ulaze geografske jedinice za koje su isti kriteriji zadovoljeni što bi značilo da u isto </w:t>
      </w:r>
      <w:proofErr w:type="spellStart"/>
      <w:r w:rsidRPr="00F473BA">
        <w:rPr>
          <w:rFonts w:asciiTheme="minorHAnsi" w:hAnsiTheme="minorHAnsi" w:cstheme="minorHAnsi"/>
          <w:sz w:val="18"/>
          <w:szCs w:val="18"/>
        </w:rPr>
        <w:t>podtržište</w:t>
      </w:r>
      <w:proofErr w:type="spellEnd"/>
      <w:r w:rsidRPr="00F473BA">
        <w:rPr>
          <w:rFonts w:asciiTheme="minorHAnsi" w:hAnsiTheme="minorHAnsi" w:cstheme="minorHAnsi"/>
          <w:sz w:val="18"/>
          <w:szCs w:val="18"/>
        </w:rPr>
        <w:t xml:space="preserve"> ne ulaze samo susjedne geografske jedinice, već mogu ući jedinice iz različitih dijelova RH</w:t>
      </w:r>
    </w:p>
  </w:footnote>
  <w:footnote w:id="49">
    <w:p w:rsidR="00973D5D" w:rsidRPr="00F473BA" w:rsidRDefault="00973D5D" w:rsidP="008921B7">
      <w:pPr>
        <w:pStyle w:val="FootnoteText"/>
        <w:jc w:val="both"/>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val="en-US"/>
        </w:rPr>
        <w:t>Commission Decision in Case CZ/2022/2372: Wholesale local access provided at a fixed location in the Czech Republic; Commission Decision in Case CZ/2022/2373: Wholesale central access provided at a fixed location for mass-market products in the Czech Republic</w:t>
      </w:r>
    </w:p>
  </w:footnote>
  <w:footnote w:id="50">
    <w:p w:rsidR="00973D5D" w:rsidRPr="00F473BA" w:rsidRDefault="00973D5D" w:rsidP="008921B7">
      <w:pPr>
        <w:pStyle w:val="FootnoteText"/>
        <w:jc w:val="both"/>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Definicija svakog pojedinog mjerila navedena je kod ovih kriterija za tržište usluga širokopojasnog pristupa malog kapaciteta</w:t>
      </w:r>
    </w:p>
  </w:footnote>
  <w:footnote w:id="51">
    <w:p w:rsidR="00973D5D" w:rsidRPr="00F473BA" w:rsidRDefault="00973D5D" w:rsidP="008921B7">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Ukupno 1.545.163 korisničkih jedinica u </w:t>
      </w:r>
      <w:proofErr w:type="spellStart"/>
      <w:r w:rsidRPr="00F473BA">
        <w:rPr>
          <w:rFonts w:asciiTheme="minorHAnsi" w:hAnsiTheme="minorHAnsi" w:cstheme="minorHAnsi"/>
          <w:sz w:val="18"/>
          <w:szCs w:val="18"/>
        </w:rPr>
        <w:t>klasteru</w:t>
      </w:r>
      <w:proofErr w:type="spellEnd"/>
      <w:r w:rsidRPr="00F473BA">
        <w:rPr>
          <w:rFonts w:asciiTheme="minorHAnsi" w:hAnsiTheme="minorHAnsi" w:cstheme="minorHAnsi"/>
          <w:sz w:val="18"/>
          <w:szCs w:val="18"/>
        </w:rPr>
        <w:t xml:space="preserve"> A</w:t>
      </w:r>
    </w:p>
  </w:footnote>
  <w:footnote w:id="52">
    <w:p w:rsidR="00973D5D" w:rsidRPr="00F473BA" w:rsidRDefault="00973D5D" w:rsidP="008921B7">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Ukupno 285.266 korisničkih jedinica u </w:t>
      </w:r>
      <w:proofErr w:type="spellStart"/>
      <w:r w:rsidRPr="00F473BA">
        <w:rPr>
          <w:rFonts w:asciiTheme="minorHAnsi" w:hAnsiTheme="minorHAnsi" w:cstheme="minorHAnsi"/>
          <w:sz w:val="18"/>
          <w:szCs w:val="18"/>
        </w:rPr>
        <w:t>klasteru</w:t>
      </w:r>
      <w:proofErr w:type="spellEnd"/>
      <w:r w:rsidRPr="00F473BA">
        <w:rPr>
          <w:rFonts w:asciiTheme="minorHAnsi" w:hAnsiTheme="minorHAnsi" w:cstheme="minorHAnsi"/>
          <w:sz w:val="18"/>
          <w:szCs w:val="18"/>
        </w:rPr>
        <w:t xml:space="preserve"> B</w:t>
      </w:r>
    </w:p>
  </w:footnote>
  <w:footnote w:id="53">
    <w:p w:rsidR="00973D5D" w:rsidRPr="00F473BA" w:rsidRDefault="00973D5D" w:rsidP="008921B7">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Uključeni su i prihodi Optime telekom čiji je postupak pripajanja </w:t>
      </w:r>
      <w:proofErr w:type="spellStart"/>
      <w:r w:rsidRPr="00F473BA">
        <w:rPr>
          <w:rFonts w:asciiTheme="minorHAnsi" w:hAnsiTheme="minorHAnsi" w:cstheme="minorHAnsi"/>
          <w:sz w:val="18"/>
          <w:szCs w:val="18"/>
        </w:rPr>
        <w:t>Telemach</w:t>
      </w:r>
      <w:proofErr w:type="spellEnd"/>
      <w:r w:rsidRPr="00F473BA">
        <w:rPr>
          <w:rFonts w:asciiTheme="minorHAnsi" w:hAnsiTheme="minorHAnsi" w:cstheme="minorHAnsi"/>
          <w:sz w:val="18"/>
          <w:szCs w:val="18"/>
        </w:rPr>
        <w:t>-u završio tijekom 2022.</w:t>
      </w:r>
      <w:r w:rsidRPr="00F473BA">
        <w:rPr>
          <w:rFonts w:asciiTheme="minorHAnsi" w:hAnsiTheme="minorHAnsi" w:cstheme="minorHAnsi"/>
          <w:sz w:val="18"/>
          <w:szCs w:val="18"/>
          <w:lang w:val="en-US"/>
        </w:rPr>
        <w:t xml:space="preserve"> </w:t>
      </w:r>
    </w:p>
  </w:footnote>
  <w:footnote w:id="54">
    <w:p w:rsidR="00973D5D" w:rsidRPr="00F473BA" w:rsidRDefault="00973D5D" w:rsidP="00566882">
      <w:pPr>
        <w:pStyle w:val="FootnoteText"/>
        <w:jc w:val="both"/>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Prema dokumentu ERG (06) 33 </w:t>
      </w:r>
      <w:proofErr w:type="spellStart"/>
      <w:r w:rsidRPr="00F473BA">
        <w:rPr>
          <w:rFonts w:asciiTheme="minorHAnsi" w:hAnsiTheme="minorHAnsi" w:cstheme="minorHAnsi"/>
          <w:sz w:val="18"/>
          <w:szCs w:val="18"/>
        </w:rPr>
        <w:t>Revised</w:t>
      </w:r>
      <w:proofErr w:type="spellEnd"/>
      <w:r w:rsidRPr="00F473BA">
        <w:rPr>
          <w:rFonts w:asciiTheme="minorHAnsi" w:hAnsiTheme="minorHAnsi" w:cstheme="minorHAnsi"/>
          <w:sz w:val="18"/>
          <w:szCs w:val="18"/>
        </w:rPr>
        <w:t xml:space="preserve"> ERG </w:t>
      </w:r>
      <w:proofErr w:type="spellStart"/>
      <w:r w:rsidRPr="00F473BA">
        <w:rPr>
          <w:rFonts w:asciiTheme="minorHAnsi" w:hAnsiTheme="minorHAnsi" w:cstheme="minorHAnsi"/>
          <w:sz w:val="18"/>
          <w:szCs w:val="18"/>
        </w:rPr>
        <w:t>Common</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Position</w:t>
      </w:r>
      <w:proofErr w:type="spellEnd"/>
      <w:r w:rsidRPr="00F473BA">
        <w:rPr>
          <w:rFonts w:asciiTheme="minorHAnsi" w:hAnsiTheme="minorHAnsi" w:cstheme="minorHAnsi"/>
          <w:sz w:val="18"/>
          <w:szCs w:val="18"/>
        </w:rPr>
        <w:t xml:space="preserve"> on </w:t>
      </w:r>
      <w:proofErr w:type="spellStart"/>
      <w:r w:rsidRPr="00F473BA">
        <w:rPr>
          <w:rFonts w:asciiTheme="minorHAnsi" w:hAnsiTheme="minorHAnsi" w:cstheme="minorHAnsi"/>
          <w:sz w:val="18"/>
          <w:szCs w:val="18"/>
        </w:rPr>
        <w:t>the</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approach</w:t>
      </w:r>
      <w:proofErr w:type="spellEnd"/>
      <w:r w:rsidRPr="00F473BA">
        <w:rPr>
          <w:rFonts w:asciiTheme="minorHAnsi" w:hAnsiTheme="minorHAnsi" w:cstheme="minorHAnsi"/>
          <w:sz w:val="18"/>
          <w:szCs w:val="18"/>
        </w:rPr>
        <w:t xml:space="preserve"> to </w:t>
      </w:r>
      <w:proofErr w:type="spellStart"/>
      <w:r w:rsidRPr="00F473BA">
        <w:rPr>
          <w:rFonts w:asciiTheme="minorHAnsi" w:hAnsiTheme="minorHAnsi" w:cstheme="minorHAnsi"/>
          <w:sz w:val="18"/>
          <w:szCs w:val="18"/>
        </w:rPr>
        <w:t>Appropriate</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remedies</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in</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the</w:t>
      </w:r>
      <w:proofErr w:type="spellEnd"/>
      <w:r w:rsidRPr="00F473BA">
        <w:rPr>
          <w:rFonts w:asciiTheme="minorHAnsi" w:hAnsiTheme="minorHAnsi" w:cstheme="minorHAnsi"/>
          <w:sz w:val="18"/>
          <w:szCs w:val="18"/>
        </w:rPr>
        <w:t xml:space="preserve"> ECNS </w:t>
      </w:r>
      <w:proofErr w:type="spellStart"/>
      <w:r w:rsidRPr="00F473BA">
        <w:rPr>
          <w:rFonts w:asciiTheme="minorHAnsi" w:hAnsiTheme="minorHAnsi" w:cstheme="minorHAnsi"/>
          <w:sz w:val="18"/>
          <w:szCs w:val="18"/>
        </w:rPr>
        <w:t>regulatory</w:t>
      </w:r>
      <w:proofErr w:type="spellEnd"/>
      <w:r w:rsidRPr="00F473BA">
        <w:rPr>
          <w:rFonts w:asciiTheme="minorHAnsi" w:hAnsiTheme="minorHAnsi" w:cstheme="minorHAnsi"/>
          <w:sz w:val="18"/>
          <w:szCs w:val="18"/>
        </w:rPr>
        <w:t xml:space="preserve"> </w:t>
      </w:r>
      <w:proofErr w:type="spellStart"/>
      <w:r w:rsidRPr="00F473BA">
        <w:rPr>
          <w:rFonts w:asciiTheme="minorHAnsi" w:hAnsiTheme="minorHAnsi" w:cstheme="minorHAnsi"/>
          <w:sz w:val="18"/>
          <w:szCs w:val="18"/>
        </w:rPr>
        <w:t>framework</w:t>
      </w:r>
      <w:proofErr w:type="spellEnd"/>
    </w:p>
  </w:footnote>
  <w:footnote w:id="55">
    <w:p w:rsidR="00973D5D" w:rsidRPr="00F473BA" w:rsidRDefault="00973D5D" w:rsidP="00B82EB2">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eastAsia="Calibri" w:hAnsiTheme="minorHAnsi" w:cstheme="minorHAnsi"/>
          <w:sz w:val="18"/>
          <w:szCs w:val="18"/>
        </w:rPr>
        <w:t xml:space="preserve">Udaljenu </w:t>
      </w:r>
      <w:proofErr w:type="spellStart"/>
      <w:r w:rsidRPr="00F473BA">
        <w:rPr>
          <w:rFonts w:asciiTheme="minorHAnsi" w:eastAsia="Calibri" w:hAnsiTheme="minorHAnsi" w:cstheme="minorHAnsi"/>
          <w:sz w:val="18"/>
          <w:szCs w:val="18"/>
        </w:rPr>
        <w:t>kolokaciju</w:t>
      </w:r>
      <w:proofErr w:type="spellEnd"/>
      <w:r w:rsidRPr="00F473BA">
        <w:rPr>
          <w:rFonts w:asciiTheme="minorHAnsi" w:eastAsia="Calibri" w:hAnsiTheme="minorHAnsi" w:cstheme="minorHAnsi"/>
          <w:sz w:val="18"/>
          <w:szCs w:val="18"/>
        </w:rPr>
        <w:t xml:space="preserve"> osigurava operator korisnik.</w:t>
      </w:r>
    </w:p>
  </w:footnote>
  <w:footnote w:id="56">
    <w:p w:rsidR="00973D5D" w:rsidRPr="00F473BA" w:rsidRDefault="00973D5D" w:rsidP="00B82EB2">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val="en-US"/>
        </w:rPr>
        <w:t>t</w:t>
      </w:r>
      <w:proofErr w:type="spellStart"/>
      <w:r w:rsidRPr="00F473BA">
        <w:rPr>
          <w:rFonts w:asciiTheme="minorHAnsi" w:hAnsiTheme="minorHAnsi" w:cstheme="minorHAnsi"/>
          <w:sz w:val="18"/>
          <w:szCs w:val="18"/>
        </w:rPr>
        <w:t>ržište</w:t>
      </w:r>
      <w:proofErr w:type="spellEnd"/>
      <w:r w:rsidRPr="00F473BA">
        <w:rPr>
          <w:rFonts w:asciiTheme="minorHAnsi" w:hAnsiTheme="minorHAnsi" w:cstheme="minorHAnsi"/>
          <w:sz w:val="18"/>
          <w:szCs w:val="18"/>
        </w:rPr>
        <w:t xml:space="preserve"> veleprodajnog visokokvalitetnog pristupa koji se pruža na fiksnoj lokaciji (M4/2014) i tržište veleprodajnih prijenosnih segmenata iznajmljenih vodova (M14/2003)</w:t>
      </w:r>
    </w:p>
  </w:footnote>
  <w:footnote w:id="57">
    <w:p w:rsidR="00973D5D" w:rsidRPr="00F473BA" w:rsidRDefault="00973D5D" w:rsidP="00B82EB2">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Uvjeti, rokovi, cijene, informacije itd.</w:t>
      </w:r>
    </w:p>
  </w:footnote>
  <w:footnote w:id="58">
    <w:p w:rsidR="00973D5D" w:rsidRPr="00F473BA" w:rsidRDefault="00973D5D" w:rsidP="00B82EB2">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 čistopisu i s evidentiranim promjenama.</w:t>
      </w:r>
    </w:p>
  </w:footnote>
  <w:footnote w:id="59">
    <w:p w:rsidR="00973D5D" w:rsidRPr="00F473BA" w:rsidRDefault="00973D5D" w:rsidP="00B82EB2">
      <w:pPr>
        <w:pStyle w:val="FootnoteText"/>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 čistopisu i s evidentiranim promjenama.</w:t>
      </w:r>
    </w:p>
  </w:footnote>
  <w:footnote w:id="60">
    <w:p w:rsidR="00973D5D" w:rsidRPr="00F473BA" w:rsidRDefault="00973D5D" w:rsidP="00ED1C39">
      <w:pPr>
        <w:pStyle w:val="FootnoteText"/>
        <w:jc w:val="both"/>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val="en-US"/>
        </w:rPr>
        <w:t xml:space="preserve">S </w:t>
      </w:r>
      <w:proofErr w:type="spellStart"/>
      <w:r w:rsidRPr="00F473BA">
        <w:rPr>
          <w:rFonts w:asciiTheme="minorHAnsi" w:hAnsiTheme="minorHAnsi" w:cstheme="minorHAnsi"/>
          <w:sz w:val="18"/>
          <w:szCs w:val="18"/>
          <w:lang w:val="en-US"/>
        </w:rPr>
        <w:t>obzirom</w:t>
      </w:r>
      <w:proofErr w:type="spellEnd"/>
      <w:r w:rsidRPr="00F473BA">
        <w:rPr>
          <w:rFonts w:asciiTheme="minorHAnsi" w:hAnsiTheme="minorHAnsi" w:cstheme="minorHAnsi"/>
          <w:sz w:val="18"/>
          <w:szCs w:val="18"/>
          <w:lang w:val="en-US"/>
        </w:rPr>
        <w:t xml:space="preserve"> da </w:t>
      </w:r>
      <w:proofErr w:type="spellStart"/>
      <w:r w:rsidRPr="00F473BA">
        <w:rPr>
          <w:rFonts w:asciiTheme="minorHAnsi" w:hAnsiTheme="minorHAnsi" w:cstheme="minorHAnsi"/>
          <w:sz w:val="18"/>
          <w:szCs w:val="18"/>
          <w:lang w:val="en-US"/>
        </w:rPr>
        <w:t>su</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uvjeti</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za</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uslugu</w:t>
      </w:r>
      <w:proofErr w:type="spellEnd"/>
      <w:r w:rsidRPr="00F473BA">
        <w:rPr>
          <w:rFonts w:asciiTheme="minorHAnsi" w:hAnsiTheme="minorHAnsi" w:cstheme="minorHAnsi"/>
          <w:sz w:val="18"/>
          <w:szCs w:val="18"/>
          <w:lang w:val="en-US"/>
        </w:rPr>
        <w:t xml:space="preserve"> VULA, </w:t>
      </w:r>
      <w:proofErr w:type="spellStart"/>
      <w:r w:rsidRPr="00F473BA">
        <w:rPr>
          <w:rFonts w:asciiTheme="minorHAnsi" w:hAnsiTheme="minorHAnsi" w:cstheme="minorHAnsi"/>
          <w:sz w:val="18"/>
          <w:szCs w:val="18"/>
          <w:lang w:val="en-US"/>
        </w:rPr>
        <w:t>odnosno</w:t>
      </w:r>
      <w:proofErr w:type="spellEnd"/>
      <w:r w:rsidRPr="00F473BA">
        <w:rPr>
          <w:rFonts w:asciiTheme="minorHAnsi" w:hAnsiTheme="minorHAnsi" w:cstheme="minorHAnsi"/>
          <w:sz w:val="18"/>
          <w:szCs w:val="18"/>
          <w:lang w:val="en-US"/>
        </w:rPr>
        <w:t xml:space="preserve"> BSA </w:t>
      </w:r>
      <w:proofErr w:type="spellStart"/>
      <w:r w:rsidRPr="00F473BA">
        <w:rPr>
          <w:rFonts w:asciiTheme="minorHAnsi" w:hAnsiTheme="minorHAnsi" w:cstheme="minorHAnsi"/>
          <w:sz w:val="18"/>
          <w:szCs w:val="18"/>
          <w:lang w:val="en-US"/>
        </w:rPr>
        <w:t>na</w:t>
      </w:r>
      <w:proofErr w:type="spellEnd"/>
      <w:r w:rsidRPr="00F473BA">
        <w:rPr>
          <w:rFonts w:asciiTheme="minorHAnsi" w:hAnsiTheme="minorHAnsi" w:cstheme="minorHAnsi"/>
          <w:sz w:val="18"/>
          <w:szCs w:val="18"/>
          <w:lang w:val="en-US"/>
        </w:rPr>
        <w:t xml:space="preserve"> DSLAM/OLT </w:t>
      </w:r>
      <w:proofErr w:type="spellStart"/>
      <w:r w:rsidRPr="00F473BA">
        <w:rPr>
          <w:rFonts w:asciiTheme="minorHAnsi" w:hAnsiTheme="minorHAnsi" w:cstheme="minorHAnsi"/>
          <w:sz w:val="18"/>
          <w:szCs w:val="18"/>
          <w:lang w:val="en-US"/>
        </w:rPr>
        <w:t>razini</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trenutno</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definirani</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Standardnom</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ponudom</w:t>
      </w:r>
      <w:proofErr w:type="spellEnd"/>
      <w:r w:rsidRPr="00F473BA">
        <w:rPr>
          <w:rFonts w:asciiTheme="minorHAnsi" w:hAnsiTheme="minorHAnsi" w:cstheme="minorHAnsi"/>
          <w:sz w:val="18"/>
          <w:szCs w:val="18"/>
          <w:lang w:val="en-US"/>
        </w:rPr>
        <w:t xml:space="preserve"> HT-a </w:t>
      </w:r>
      <w:proofErr w:type="spellStart"/>
      <w:r w:rsidRPr="00F473BA">
        <w:rPr>
          <w:rFonts w:asciiTheme="minorHAnsi" w:hAnsiTheme="minorHAnsi" w:cstheme="minorHAnsi"/>
          <w:sz w:val="18"/>
          <w:szCs w:val="18"/>
          <w:lang w:val="en-US"/>
        </w:rPr>
        <w:t>za</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uslugu</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veleprodajnog</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širokopojasnog</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pristupa</w:t>
      </w:r>
      <w:proofErr w:type="spellEnd"/>
      <w:r w:rsidRPr="00F473BA">
        <w:rPr>
          <w:rFonts w:asciiTheme="minorHAnsi" w:hAnsiTheme="minorHAnsi" w:cstheme="minorHAnsi"/>
          <w:sz w:val="18"/>
          <w:szCs w:val="18"/>
          <w:lang w:val="en-US"/>
        </w:rPr>
        <w:t xml:space="preserve">, HT </w:t>
      </w:r>
      <w:proofErr w:type="spellStart"/>
      <w:r w:rsidRPr="00F473BA">
        <w:rPr>
          <w:rFonts w:asciiTheme="minorHAnsi" w:hAnsiTheme="minorHAnsi" w:cstheme="minorHAnsi"/>
          <w:sz w:val="18"/>
          <w:szCs w:val="18"/>
          <w:lang w:val="en-US"/>
        </w:rPr>
        <w:t>može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uskladiti</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uvjete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unutar</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te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standardne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ponude</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ili</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ih</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ugraditi</w:t>
      </w:r>
      <w:proofErr w:type="spellEnd"/>
      <w:r w:rsidRPr="00F473BA">
        <w:rPr>
          <w:rFonts w:asciiTheme="minorHAnsi" w:hAnsiTheme="minorHAnsi" w:cstheme="minorHAnsi"/>
          <w:sz w:val="18"/>
          <w:szCs w:val="18"/>
          <w:lang w:val="en-US"/>
        </w:rPr>
        <w:t xml:space="preserve"> u </w:t>
      </w:r>
      <w:proofErr w:type="spellStart"/>
      <w:r w:rsidRPr="00F473BA">
        <w:rPr>
          <w:rFonts w:asciiTheme="minorHAnsi" w:hAnsiTheme="minorHAnsi" w:cstheme="minorHAnsi"/>
          <w:sz w:val="18"/>
          <w:szCs w:val="18"/>
          <w:lang w:val="en-US"/>
        </w:rPr>
        <w:t>drugu</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standardnu</w:t>
      </w:r>
      <w:proofErr w:type="spellEnd"/>
      <w:r w:rsidRPr="00F473BA">
        <w:rPr>
          <w:rFonts w:asciiTheme="minorHAnsi" w:hAnsiTheme="minorHAnsi" w:cstheme="minorHAnsi"/>
          <w:sz w:val="18"/>
          <w:szCs w:val="18"/>
          <w:lang w:val="en-US"/>
        </w:rPr>
        <w:t xml:space="preserve"> </w:t>
      </w:r>
      <w:proofErr w:type="spellStart"/>
      <w:r w:rsidRPr="00F473BA">
        <w:rPr>
          <w:rFonts w:asciiTheme="minorHAnsi" w:hAnsiTheme="minorHAnsi" w:cstheme="minorHAnsi"/>
          <w:sz w:val="18"/>
          <w:szCs w:val="18"/>
          <w:lang w:val="en-US"/>
        </w:rPr>
        <w:t>ponudu</w:t>
      </w:r>
      <w:proofErr w:type="spellEnd"/>
      <w:r w:rsidRPr="00F473BA">
        <w:rPr>
          <w:rFonts w:asciiTheme="minorHAnsi" w:hAnsiTheme="minorHAnsi" w:cstheme="minorHAnsi"/>
          <w:sz w:val="18"/>
          <w:szCs w:val="18"/>
          <w:lang w:val="en-US"/>
        </w:rPr>
        <w:t>.</w:t>
      </w:r>
    </w:p>
  </w:footnote>
  <w:footnote w:id="61">
    <w:p w:rsidR="00973D5D" w:rsidRPr="00F473BA" w:rsidRDefault="00973D5D" w:rsidP="00ED1C39">
      <w:pPr>
        <w:pStyle w:val="FootnoteText"/>
        <w:jc w:val="both"/>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 čistopisu i s evidentiranim promjenama.</w:t>
      </w:r>
    </w:p>
  </w:footnote>
  <w:footnote w:id="62">
    <w:p w:rsidR="00973D5D" w:rsidRPr="00F473BA" w:rsidRDefault="00973D5D" w:rsidP="00B82EB2">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U čistopisu i s evidentiranim promjenama.</w:t>
      </w:r>
    </w:p>
  </w:footnote>
  <w:footnote w:id="63">
    <w:p w:rsidR="00973D5D" w:rsidRPr="00F473BA" w:rsidRDefault="00973D5D" w:rsidP="00B82EB2">
      <w:pPr>
        <w:pStyle w:val="FootnoteText"/>
        <w:jc w:val="both"/>
        <w:rPr>
          <w:rFonts w:asciiTheme="minorHAnsi" w:hAnsiTheme="minorHAnsi" w:cstheme="minorHAnsi"/>
          <w:sz w:val="18"/>
          <w:szCs w:val="18"/>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Društva pod njegovom kontrolom koja koriste veleprodajne usluge koje su predmet ovog mjerodavnog tržišta.</w:t>
      </w:r>
    </w:p>
  </w:footnote>
  <w:footnote w:id="64">
    <w:p w:rsidR="00973D5D" w:rsidRPr="00F473BA" w:rsidRDefault="00973D5D" w:rsidP="00B82EB2">
      <w:pPr>
        <w:pStyle w:val="FootnoteText"/>
        <w:rPr>
          <w:rFonts w:asciiTheme="minorHAnsi" w:hAnsiTheme="minorHAnsi" w:cstheme="minorHAnsi"/>
          <w:sz w:val="18"/>
          <w:szCs w:val="18"/>
          <w:lang w:val="en-US"/>
        </w:rPr>
      </w:pPr>
      <w:r w:rsidRPr="00F473BA">
        <w:rPr>
          <w:rStyle w:val="FootnoteReference"/>
          <w:rFonts w:asciiTheme="minorHAnsi" w:hAnsiTheme="minorHAnsi" w:cstheme="minorHAnsi"/>
          <w:sz w:val="18"/>
          <w:szCs w:val="18"/>
        </w:rPr>
        <w:footnoteRef/>
      </w:r>
      <w:r w:rsidRPr="00F473BA">
        <w:rPr>
          <w:rFonts w:asciiTheme="minorHAnsi" w:hAnsiTheme="minorHAnsi" w:cstheme="minorHAnsi"/>
          <w:sz w:val="18"/>
          <w:szCs w:val="18"/>
        </w:rPr>
        <w:t xml:space="preserve"> KLASA: UP/I-344-01/20-05/04</w:t>
      </w:r>
      <w:r w:rsidRPr="00F473BA">
        <w:rPr>
          <w:rFonts w:asciiTheme="minorHAnsi" w:hAnsiTheme="minorHAnsi" w:cstheme="minorHAnsi"/>
          <w:sz w:val="18"/>
          <w:szCs w:val="18"/>
          <w:lang w:val="en-US"/>
        </w:rPr>
        <w:t xml:space="preserve">, </w:t>
      </w:r>
      <w:r w:rsidRPr="00F473BA">
        <w:rPr>
          <w:rFonts w:asciiTheme="minorHAnsi" w:hAnsiTheme="minorHAnsi" w:cstheme="minorHAnsi"/>
          <w:sz w:val="18"/>
          <w:szCs w:val="18"/>
        </w:rPr>
        <w:t>URBROJ: 376-05-1-21-27</w:t>
      </w:r>
    </w:p>
  </w:footnote>
  <w:footnote w:id="65">
    <w:p w:rsidR="00973D5D" w:rsidRPr="00F473BA" w:rsidRDefault="00973D5D" w:rsidP="00B82EB2">
      <w:pPr>
        <w:pStyle w:val="FootnoteText"/>
        <w:rPr>
          <w:rFonts w:asciiTheme="minorHAnsi" w:hAnsiTheme="minorHAnsi" w:cstheme="minorHAnsi"/>
          <w:sz w:val="18"/>
          <w:szCs w:val="18"/>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Metodologija testa istiskivanja marže, ožujak 2020.</w:t>
      </w:r>
    </w:p>
    <w:p w:rsidR="00973D5D" w:rsidRPr="00F473BA" w:rsidRDefault="00973D5D" w:rsidP="00B82EB2">
      <w:pPr>
        <w:pStyle w:val="FootnoteText"/>
        <w:jc w:val="both"/>
        <w:rPr>
          <w:rFonts w:asciiTheme="minorHAnsi" w:hAnsiTheme="minorHAnsi" w:cstheme="minorHAnsi"/>
          <w:sz w:val="18"/>
          <w:szCs w:val="18"/>
        </w:rPr>
      </w:pPr>
    </w:p>
  </w:footnote>
  <w:footnote w:id="66">
    <w:p w:rsidR="00973D5D" w:rsidRPr="00F473BA" w:rsidRDefault="00973D5D" w:rsidP="00B82EB2">
      <w:pPr>
        <w:pStyle w:val="FootnoteText"/>
        <w:jc w:val="both"/>
        <w:rPr>
          <w:rFonts w:asciiTheme="minorHAnsi" w:hAnsiTheme="minorHAnsi" w:cstheme="minorHAnsi"/>
          <w:sz w:val="18"/>
          <w:szCs w:val="18"/>
          <w:lang w:val="en-US"/>
        </w:rPr>
      </w:pPr>
      <w:r w:rsidRPr="00F473BA">
        <w:rPr>
          <w:rStyle w:val="FootnoteReference"/>
          <w:rFonts w:asciiTheme="minorHAnsi" w:eastAsiaTheme="majorEastAsia" w:hAnsiTheme="minorHAnsi" w:cstheme="minorHAnsi"/>
          <w:sz w:val="18"/>
          <w:szCs w:val="18"/>
        </w:rPr>
        <w:footnoteRef/>
      </w:r>
      <w:r w:rsidRPr="00F473BA">
        <w:rPr>
          <w:rFonts w:asciiTheme="minorHAnsi" w:hAnsiTheme="minorHAnsi" w:cstheme="minorHAnsi"/>
          <w:sz w:val="18"/>
          <w:szCs w:val="18"/>
        </w:rPr>
        <w:t xml:space="preserve"> </w:t>
      </w:r>
      <w:r w:rsidRPr="00F473BA">
        <w:rPr>
          <w:rFonts w:asciiTheme="minorHAnsi" w:hAnsiTheme="minorHAnsi" w:cstheme="minorHAnsi"/>
          <w:sz w:val="18"/>
          <w:szCs w:val="18"/>
          <w:lang w:val="en-US"/>
        </w:rPr>
        <w:t xml:space="preserve"> </w:t>
      </w:r>
      <w:r w:rsidRPr="00F473BA">
        <w:rPr>
          <w:rFonts w:asciiTheme="minorHAnsi" w:hAnsiTheme="minorHAnsi" w:cstheme="minorHAnsi"/>
          <w:sz w:val="18"/>
          <w:szCs w:val="18"/>
        </w:rPr>
        <w:t>KLASA: UP/I-344-01/21-05/08 URBROJ: 376-05-21-1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Default="00C60C6F">
    <w:pPr>
      <w:pStyle w:val="Header"/>
    </w:pPr>
    <w:r>
      <w:rPr>
        <w:noProof/>
        <w:lang w:val="en-US"/>
      </w:rPr>
      <w:pict w14:anchorId="11E05A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5" o:spid="_x0000_s2068" type="#_x0000_t75" style="position:absolute;margin-left:0;margin-top:0;width:595.3pt;height:841.75pt;z-index:-251658239;mso-position-horizontal:center;mso-position-horizontal-relative:margin;mso-position-vertical:center;mso-position-vertical-relative:margin" o:allowincell="f">
          <v:imagedata r:id="rId1" o:title="AT_čist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Pr="00FC4277" w:rsidRDefault="00C60C6F" w:rsidP="00FA7700">
    <w:pPr>
      <w:pStyle w:val="Header"/>
      <w:tabs>
        <w:tab w:val="clear" w:pos="4703"/>
        <w:tab w:val="clear" w:pos="9406"/>
        <w:tab w:val="center" w:pos="4513"/>
      </w:tabs>
      <w:ind w:left="1191" w:hanging="1191"/>
      <w:contextualSpacing/>
      <w:jc w:val="both"/>
      <w:rPr>
        <w:rFonts w:ascii="Segoe UI Semibold" w:hAnsi="Segoe UI Semibold" w:cs="Segoe UI Semibold"/>
      </w:rPr>
    </w:pPr>
    <w:r>
      <w:rPr>
        <w:rFonts w:asciiTheme="minorHAnsi" w:hAnsiTheme="minorHAnsi" w:cstheme="minorBidi"/>
        <w:noProof/>
        <w:lang w:val="en-US"/>
      </w:rPr>
      <w:pict w14:anchorId="66EBE8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6" o:spid="_x0000_s2069" type="#_x0000_t75" style="position:absolute;left:0;text-align:left;margin-left:0;margin-top:0;width:595.3pt;height:841.75pt;z-index:-251658238;mso-position-horizontal:center;mso-position-horizontal-relative:margin;mso-position-vertical:center;mso-position-vertical-relative:margin" o:allowincell="f">
          <v:imagedata r:id="rId1" o:title="AT_čisto"/>
          <w10:wrap anchorx="margin" anchory="margin"/>
        </v:shape>
      </w:pict>
    </w:r>
    <w:r w:rsidR="00973D5D">
      <w:rPr>
        <w:noProof/>
        <w:lang w:val="en-US"/>
      </w:rPr>
      <mc:AlternateContent>
        <mc:Choice Requires="wps">
          <w:drawing>
            <wp:inline distT="0" distB="0" distL="0" distR="0" wp14:anchorId="033835A4" wp14:editId="1E6E75C6">
              <wp:extent cx="190500" cy="180975"/>
              <wp:effectExtent l="0" t="0" r="0" b="9525"/>
              <wp:docPr id="7" name="Rounded Rectangle 7"/>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3D5D" w:rsidRPr="006C08AF" w:rsidRDefault="00973D5D"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33835A4" id="Rounded Rectangle 7" o:spid="_x0000_s1028"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" fillcolor="#8eaadb [1940]" stroked="f" strokeweight="1pt">
              <v:stroke joinstyle="miter"/>
              <v:textbox>
                <w:txbxContent>
                  <w:p w:rsidR="00973D5D" w:rsidRPr="006C08AF" w:rsidRDefault="00973D5D" w:rsidP="006C08AF">
                    <w:pPr>
                      <w:jc w:val="center"/>
                      <w:rPr>
                        <w:lang w:val="en-US"/>
                      </w:rPr>
                    </w:pPr>
                    <w:r>
                      <w:rPr>
                        <w:lang w:val="en-US"/>
                      </w:rPr>
                      <w:t xml:space="preserve"> </w:t>
                    </w:r>
                  </w:p>
                </w:txbxContent>
              </v:textbox>
              <w10:anchorlock/>
            </v:roundrect>
          </w:pict>
        </mc:Fallback>
      </mc:AlternateContent>
    </w:r>
    <w:r w:rsidR="00973D5D">
      <w:t xml:space="preserve"> </w:t>
    </w:r>
    <w:r w:rsidR="00973D5D">
      <w:rPr>
        <w:noProof/>
        <w:lang w:val="en-US"/>
      </w:rPr>
      <mc:AlternateContent>
        <mc:Choice Requires="wps">
          <w:drawing>
            <wp:inline distT="0" distB="0" distL="0" distR="0" wp14:anchorId="0EA8F252" wp14:editId="0264DF8D">
              <wp:extent cx="190500" cy="180975"/>
              <wp:effectExtent l="0" t="0" r="0" b="9525"/>
              <wp:docPr id="5" name="Rounded Rectangle 5"/>
              <wp:cNvGraphicFramePr/>
              <a:graphic xmlns:a="http://schemas.openxmlformats.org/drawingml/2006/main">
                <a:graphicData uri="http://schemas.microsoft.com/office/word/2010/wordprocessingShape">
                  <wps:wsp>
                    <wps:cNvSpPr/>
                    <wps:spPr>
                      <a:xfrm>
                        <a:off x="0" y="0"/>
                        <a:ext cx="190500" cy="180975"/>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3D5D" w:rsidRPr="006C08AF" w:rsidRDefault="00973D5D"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EA8F252" id="Rounded Rectangle 5" o:spid="_x0000_s1029"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" fillcolor="#4472c4 [3204]" stroked="f" strokeweight="1pt">
              <v:stroke joinstyle="miter"/>
              <v:textbox>
                <w:txbxContent>
                  <w:p w:rsidR="00973D5D" w:rsidRPr="006C08AF" w:rsidRDefault="00973D5D" w:rsidP="006C08AF">
                    <w:pPr>
                      <w:jc w:val="center"/>
                      <w:rPr>
                        <w:lang w:val="en-US"/>
                      </w:rPr>
                    </w:pPr>
                    <w:r>
                      <w:rPr>
                        <w:lang w:val="en-US"/>
                      </w:rPr>
                      <w:t xml:space="preserve">  </w:t>
                    </w:r>
                  </w:p>
                </w:txbxContent>
              </v:textbox>
              <w10:anchorlock/>
            </v:roundrect>
          </w:pict>
        </mc:Fallback>
      </mc:AlternateContent>
    </w:r>
    <w:r w:rsidR="00973D5D">
      <w:t xml:space="preserve"> </w:t>
    </w:r>
    <w:r w:rsidR="00973D5D">
      <w:rPr>
        <w:noProof/>
        <w:lang w:val="en-US"/>
      </w:rPr>
      <mc:AlternateContent>
        <mc:Choice Requires="wps">
          <w:drawing>
            <wp:inline distT="0" distB="0" distL="0" distR="0" wp14:anchorId="72E0DAB1" wp14:editId="3732BA88">
              <wp:extent cx="190500" cy="180975"/>
              <wp:effectExtent l="0" t="0" r="0" b="9525"/>
              <wp:docPr id="4" name="Rounded Rectangle 4"/>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9254F3A" id="Rounded Rectangle 4"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" fillcolor="#2f5496 [2404]" stroked="f" strokeweight="1pt">
              <v:stroke joinstyle="miter"/>
              <w10:anchorlock/>
            </v:roundrect>
          </w:pict>
        </mc:Fallback>
      </mc:AlternateContent>
    </w:r>
    <w:r w:rsidR="00973D5D">
      <w:t xml:space="preserve"> </w:t>
    </w:r>
    <w:r w:rsidR="00973D5D" w:rsidRPr="002D1709">
      <w:rPr>
        <w:rFonts w:ascii="Segoe UI Semibold" w:hAnsi="Segoe UI Semibold" w:cs="Segoe UI Semibold"/>
        <w:color w:val="2F5496" w:themeColor="accent1" w:themeShade="BF"/>
      </w:rPr>
      <w:t xml:space="preserve">TRŽIŠTE </w:t>
    </w:r>
    <w:r w:rsidR="00973D5D" w:rsidRPr="00FA7700">
      <w:rPr>
        <w:rFonts w:ascii="Segoe UI Semibold" w:hAnsi="Segoe UI Semibold" w:cs="Segoe UI Semibold"/>
        <w:color w:val="2F5496" w:themeColor="accent1" w:themeShade="BF"/>
      </w:rPr>
      <w:t>VELEPRODAJNOG LOKALNOG PRISTUPA KOJI SE PRUŽA NA FIKSNOJ LOKACIJI</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Default="00973D5D" w:rsidP="00984D5C">
    <w:pPr>
      <w:pStyle w:val="Header"/>
      <w:ind w:left="-357" w:right="-357"/>
      <w:jc w:val="center"/>
    </w:pPr>
    <w:r w:rsidRPr="009F6CDB">
      <w:rPr>
        <w:noProof/>
        <w:lang w:val="en-US"/>
      </w:rPr>
      <w:drawing>
        <wp:inline distT="0" distB="0" distL="0" distR="0" wp14:anchorId="467C1152" wp14:editId="20B150B5">
          <wp:extent cx="1057523" cy="1025220"/>
          <wp:effectExtent l="0" t="0" r="0" b="3810"/>
          <wp:docPr id="41" name="Picture 41"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973D5D" w:rsidRDefault="00973D5D" w:rsidP="00984D5C">
    <w:pPr>
      <w:pStyle w:val="Header"/>
      <w:ind w:left="-357" w:right="-357"/>
      <w:jc w:val="center"/>
    </w:pPr>
  </w:p>
  <w:p w:rsidR="00973D5D" w:rsidRDefault="00973D5D" w:rsidP="00984D5C">
    <w:pPr>
      <w:pStyle w:val="Header"/>
      <w:ind w:left="-357" w:right="-357"/>
      <w:jc w:val="center"/>
    </w:pPr>
  </w:p>
  <w:p w:rsidR="00973D5D" w:rsidRPr="003407C0" w:rsidRDefault="00973D5D" w:rsidP="003407C0">
    <w:pPr>
      <w:spacing w:after="60"/>
      <w:ind w:right="96"/>
      <w:jc w:val="right"/>
      <w:rPr>
        <w:rFonts w:eastAsia="Times New Roman"/>
        <w:color w:val="024182"/>
        <w:sz w:val="16"/>
        <w:lang w:eastAsia="hr-HR"/>
      </w:rPr>
    </w:pPr>
    <w:r w:rsidRPr="00575340">
      <w:rPr>
        <w:rFonts w:ascii="Times New Roman" w:eastAsia="Times New Roman" w:hAnsi="Times New Roman"/>
        <w:b/>
        <w:color w:val="024182"/>
        <w:lang w:eastAsia="hr-HR"/>
      </w:rPr>
      <w:t>PRIJEDLOG ZA JAVNO SAVJETOVANJE</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Pr="00FC4277" w:rsidRDefault="00C60C6F" w:rsidP="00FA7700">
    <w:pPr>
      <w:pStyle w:val="Header"/>
      <w:tabs>
        <w:tab w:val="clear" w:pos="4703"/>
        <w:tab w:val="clear" w:pos="9406"/>
        <w:tab w:val="center" w:pos="4513"/>
      </w:tabs>
      <w:ind w:left="1191" w:hanging="1191"/>
      <w:contextualSpacing/>
      <w:jc w:val="both"/>
      <w:rPr>
        <w:rFonts w:ascii="Segoe UI Semibold" w:hAnsi="Segoe UI Semibold" w:cs="Segoe UI Semibold"/>
      </w:rPr>
    </w:pPr>
    <w:r>
      <w:rPr>
        <w:rFonts w:asciiTheme="minorHAnsi" w:hAnsiTheme="minorHAnsi" w:cstheme="minorBidi"/>
        <w:noProof/>
        <w:lang w:val="en-US"/>
      </w:rPr>
      <w:pict w14:anchorId="373E30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2" type="#_x0000_t75" style="position:absolute;left:0;text-align:left;margin-left:0;margin-top:0;width:595.3pt;height:841.75pt;z-index:-251654142;mso-position-horizontal:center;mso-position-horizontal-relative:margin;mso-position-vertical:center;mso-position-vertical-relative:margin" o:allowincell="f">
          <v:imagedata r:id="rId1" o:title="AT_čisto"/>
          <w10:wrap anchorx="margin" anchory="margin"/>
        </v:shape>
      </w:pict>
    </w:r>
    <w:r w:rsidR="00973D5D">
      <w:rPr>
        <w:noProof/>
        <w:lang w:val="en-US"/>
      </w:rPr>
      <mc:AlternateContent>
        <mc:Choice Requires="wps">
          <w:drawing>
            <wp:inline distT="0" distB="0" distL="0" distR="0" wp14:anchorId="6CC2FE29" wp14:editId="0F9D63FB">
              <wp:extent cx="190500" cy="180975"/>
              <wp:effectExtent l="0" t="0" r="0" b="9525"/>
              <wp:docPr id="43" name="Rounded Rectangle 43"/>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3D5D" w:rsidRPr="006C08AF" w:rsidRDefault="00973D5D"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6CC2FE29" id="Rounded Rectangle 43" o:spid="_x0000_s1030"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" fillcolor="#8eaadb [1940]" stroked="f" strokeweight="1pt">
              <v:stroke joinstyle="miter"/>
              <v:textbox>
                <w:txbxContent>
                  <w:p w:rsidR="00973D5D" w:rsidRPr="006C08AF" w:rsidRDefault="00973D5D" w:rsidP="006C08AF">
                    <w:pPr>
                      <w:jc w:val="center"/>
                      <w:rPr>
                        <w:lang w:val="en-US"/>
                      </w:rPr>
                    </w:pPr>
                    <w:r>
                      <w:rPr>
                        <w:lang w:val="en-US"/>
                      </w:rPr>
                      <w:t xml:space="preserve"> </w:t>
                    </w:r>
                  </w:p>
                </w:txbxContent>
              </v:textbox>
              <w10:anchorlock/>
            </v:roundrect>
          </w:pict>
        </mc:Fallback>
      </mc:AlternateContent>
    </w:r>
    <w:r w:rsidR="00973D5D">
      <w:t xml:space="preserve"> </w:t>
    </w:r>
    <w:r w:rsidR="00973D5D">
      <w:rPr>
        <w:noProof/>
        <w:lang w:val="en-US"/>
      </w:rPr>
      <mc:AlternateContent>
        <mc:Choice Requires="wps">
          <w:drawing>
            <wp:inline distT="0" distB="0" distL="0" distR="0" wp14:anchorId="24115C0B" wp14:editId="4904CCE4">
              <wp:extent cx="190500" cy="180975"/>
              <wp:effectExtent l="0" t="0" r="0" b="9525"/>
              <wp:docPr id="44" name="Rounded Rectangle 44"/>
              <wp:cNvGraphicFramePr/>
              <a:graphic xmlns:a="http://schemas.openxmlformats.org/drawingml/2006/main">
                <a:graphicData uri="http://schemas.microsoft.com/office/word/2010/wordprocessingShape">
                  <wps:wsp>
                    <wps:cNvSpPr/>
                    <wps:spPr>
                      <a:xfrm>
                        <a:off x="0" y="0"/>
                        <a:ext cx="190500" cy="180975"/>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3D5D" w:rsidRPr="006C08AF" w:rsidRDefault="00973D5D"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4115C0B" id="Rounded Rectangle 44" o:spid="_x0000_s1031"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" fillcolor="#4472c4 [3204]" stroked="f" strokeweight="1pt">
              <v:stroke joinstyle="miter"/>
              <v:textbox>
                <w:txbxContent>
                  <w:p w:rsidR="00973D5D" w:rsidRPr="006C08AF" w:rsidRDefault="00973D5D" w:rsidP="006C08AF">
                    <w:pPr>
                      <w:jc w:val="center"/>
                      <w:rPr>
                        <w:lang w:val="en-US"/>
                      </w:rPr>
                    </w:pPr>
                    <w:r>
                      <w:rPr>
                        <w:lang w:val="en-US"/>
                      </w:rPr>
                      <w:t xml:space="preserve">  </w:t>
                    </w:r>
                  </w:p>
                </w:txbxContent>
              </v:textbox>
              <w10:anchorlock/>
            </v:roundrect>
          </w:pict>
        </mc:Fallback>
      </mc:AlternateContent>
    </w:r>
    <w:r w:rsidR="00973D5D">
      <w:t xml:space="preserve"> </w:t>
    </w:r>
    <w:r w:rsidR="00973D5D">
      <w:rPr>
        <w:noProof/>
        <w:lang w:val="en-US"/>
      </w:rPr>
      <mc:AlternateContent>
        <mc:Choice Requires="wps">
          <w:drawing>
            <wp:inline distT="0" distB="0" distL="0" distR="0" wp14:anchorId="583517D3" wp14:editId="07DFE10F">
              <wp:extent cx="190500" cy="180975"/>
              <wp:effectExtent l="0" t="0" r="0" b="9525"/>
              <wp:docPr id="45" name="Rounded Rectangle 45"/>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D81439F" id="Rounded Rectangle 45"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" fillcolor="#2f5496 [2404]" stroked="f" strokeweight="1pt">
              <v:stroke joinstyle="miter"/>
              <w10:anchorlock/>
            </v:roundrect>
          </w:pict>
        </mc:Fallback>
      </mc:AlternateContent>
    </w:r>
    <w:r w:rsidR="00973D5D">
      <w:t xml:space="preserve"> </w:t>
    </w:r>
    <w:r w:rsidR="00973D5D" w:rsidRPr="002D1709">
      <w:rPr>
        <w:rFonts w:ascii="Segoe UI Semibold" w:hAnsi="Segoe UI Semibold" w:cs="Segoe UI Semibold"/>
        <w:color w:val="2F5496" w:themeColor="accent1" w:themeShade="BF"/>
      </w:rPr>
      <w:t xml:space="preserve">TRŽIŠTE </w:t>
    </w:r>
    <w:r w:rsidR="00973D5D" w:rsidRPr="00FA7700">
      <w:rPr>
        <w:rFonts w:ascii="Segoe UI Semibold" w:hAnsi="Segoe UI Semibold" w:cs="Segoe UI Semibold"/>
        <w:color w:val="2F5496" w:themeColor="accent1" w:themeShade="BF"/>
      </w:rPr>
      <w:t>VELEPRODAJNOG LOKALNOG PRISTUPA KOJI SE PRUŽA NA FIKSNOJ LOKACIJI</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Default="00973D5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Default="00973D5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D5D" w:rsidRPr="00FC4277" w:rsidRDefault="00C60C6F" w:rsidP="00FA7700">
    <w:pPr>
      <w:pStyle w:val="Header"/>
      <w:tabs>
        <w:tab w:val="clear" w:pos="4703"/>
        <w:tab w:val="clear" w:pos="9406"/>
        <w:tab w:val="center" w:pos="4513"/>
      </w:tabs>
      <w:ind w:left="1191" w:hanging="1191"/>
      <w:contextualSpacing/>
      <w:jc w:val="both"/>
      <w:rPr>
        <w:rFonts w:ascii="Segoe UI Semibold" w:hAnsi="Segoe UI Semibold" w:cs="Segoe UI Semibold"/>
      </w:rPr>
    </w:pPr>
    <w:r>
      <w:rPr>
        <w:rFonts w:asciiTheme="minorHAnsi" w:hAnsiTheme="minorHAnsi" w:cstheme="minorBidi"/>
        <w:noProof/>
        <w:lang w:val="en-US"/>
      </w:rPr>
      <w:pict w14:anchorId="0F82DE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4" type="#_x0000_t75" style="position:absolute;left:0;text-align:left;margin-left:0;margin-top:0;width:595.3pt;height:841.75pt;z-index:-251650046;mso-position-horizontal:center;mso-position-horizontal-relative:margin;mso-position-vertical:center;mso-position-vertical-relative:margin" o:allowincell="f">
          <v:imagedata r:id="rId1" o:title="AT_čisto"/>
          <w10:wrap anchorx="margin" anchory="margin"/>
        </v:shape>
      </w:pict>
    </w:r>
    <w:r w:rsidR="00973D5D">
      <w:rPr>
        <w:noProof/>
        <w:lang w:val="en-US"/>
      </w:rPr>
      <mc:AlternateContent>
        <mc:Choice Requires="wps">
          <w:drawing>
            <wp:inline distT="0" distB="0" distL="0" distR="0" wp14:anchorId="1458C93B" wp14:editId="2D2CA9D6">
              <wp:extent cx="190500" cy="180975"/>
              <wp:effectExtent l="0" t="0" r="0" b="9525"/>
              <wp:docPr id="46" name="Rounded Rectangle 46"/>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3D5D" w:rsidRPr="006C08AF" w:rsidRDefault="00973D5D"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1458C93B" id="Rounded Rectangle 46" o:spid="_x0000_s1032"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" fillcolor="#8eaadb [1940]" stroked="f" strokeweight="1pt">
              <v:stroke joinstyle="miter"/>
              <v:textbox>
                <w:txbxContent>
                  <w:p w:rsidR="00973D5D" w:rsidRPr="006C08AF" w:rsidRDefault="00973D5D" w:rsidP="006C08AF">
                    <w:pPr>
                      <w:jc w:val="center"/>
                      <w:rPr>
                        <w:lang w:val="en-US"/>
                      </w:rPr>
                    </w:pPr>
                    <w:r>
                      <w:rPr>
                        <w:lang w:val="en-US"/>
                      </w:rPr>
                      <w:t xml:space="preserve"> </w:t>
                    </w:r>
                  </w:p>
                </w:txbxContent>
              </v:textbox>
              <w10:anchorlock/>
            </v:roundrect>
          </w:pict>
        </mc:Fallback>
      </mc:AlternateContent>
    </w:r>
    <w:r w:rsidR="00973D5D">
      <w:t xml:space="preserve"> </w:t>
    </w:r>
    <w:r w:rsidR="00973D5D">
      <w:rPr>
        <w:noProof/>
        <w:lang w:val="en-US"/>
      </w:rPr>
      <mc:AlternateContent>
        <mc:Choice Requires="wps">
          <w:drawing>
            <wp:inline distT="0" distB="0" distL="0" distR="0" wp14:anchorId="257C4292" wp14:editId="2B12ADFC">
              <wp:extent cx="190500" cy="180975"/>
              <wp:effectExtent l="0" t="0" r="0" b="9525"/>
              <wp:docPr id="47" name="Rounded Rectangle 47"/>
              <wp:cNvGraphicFramePr/>
              <a:graphic xmlns:a="http://schemas.openxmlformats.org/drawingml/2006/main">
                <a:graphicData uri="http://schemas.microsoft.com/office/word/2010/wordprocessingShape">
                  <wps:wsp>
                    <wps:cNvSpPr/>
                    <wps:spPr>
                      <a:xfrm>
                        <a:off x="0" y="0"/>
                        <a:ext cx="190500" cy="180975"/>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73D5D" w:rsidRPr="006C08AF" w:rsidRDefault="00973D5D"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57C4292" id="Rounded Rectangle 47" o:spid="_x0000_s1033"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" fillcolor="#4472c4 [3204]" stroked="f" strokeweight="1pt">
              <v:stroke joinstyle="miter"/>
              <v:textbox>
                <w:txbxContent>
                  <w:p w:rsidR="00973D5D" w:rsidRPr="006C08AF" w:rsidRDefault="00973D5D" w:rsidP="006C08AF">
                    <w:pPr>
                      <w:jc w:val="center"/>
                      <w:rPr>
                        <w:lang w:val="en-US"/>
                      </w:rPr>
                    </w:pPr>
                    <w:r>
                      <w:rPr>
                        <w:lang w:val="en-US"/>
                      </w:rPr>
                      <w:t xml:space="preserve">  </w:t>
                    </w:r>
                  </w:p>
                </w:txbxContent>
              </v:textbox>
              <w10:anchorlock/>
            </v:roundrect>
          </w:pict>
        </mc:Fallback>
      </mc:AlternateContent>
    </w:r>
    <w:r w:rsidR="00973D5D">
      <w:t xml:space="preserve"> </w:t>
    </w:r>
    <w:r w:rsidR="00973D5D">
      <w:rPr>
        <w:noProof/>
        <w:lang w:val="en-US"/>
      </w:rPr>
      <mc:AlternateContent>
        <mc:Choice Requires="wps">
          <w:drawing>
            <wp:inline distT="0" distB="0" distL="0" distR="0" wp14:anchorId="06A97950" wp14:editId="2E9FA098">
              <wp:extent cx="190500" cy="180975"/>
              <wp:effectExtent l="0" t="0" r="0" b="9525"/>
              <wp:docPr id="48" name="Rounded Rectangle 48"/>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3F1DDF25" id="Rounded Rectangle 48"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" fillcolor="#2f5496 [2404]" stroked="f" strokeweight="1pt">
              <v:stroke joinstyle="miter"/>
              <w10:anchorlock/>
            </v:roundrect>
          </w:pict>
        </mc:Fallback>
      </mc:AlternateContent>
    </w:r>
    <w:r w:rsidR="00973D5D">
      <w:t xml:space="preserve"> </w:t>
    </w:r>
    <w:r w:rsidR="00973D5D" w:rsidRPr="002D1709">
      <w:rPr>
        <w:rFonts w:ascii="Segoe UI Semibold" w:hAnsi="Segoe UI Semibold" w:cs="Segoe UI Semibold"/>
        <w:color w:val="2F5496" w:themeColor="accent1" w:themeShade="BF"/>
      </w:rPr>
      <w:t xml:space="preserve">TRŽIŠTE </w:t>
    </w:r>
    <w:r w:rsidR="00973D5D" w:rsidRPr="00FA7700">
      <w:rPr>
        <w:rFonts w:ascii="Segoe UI Semibold" w:hAnsi="Segoe UI Semibold" w:cs="Segoe UI Semibold"/>
        <w:color w:val="2F5496" w:themeColor="accent1" w:themeShade="BF"/>
      </w:rPr>
      <w:t>VELEPRODAJNOG LOKALNOG PRISTUPA KOJI SE PRUŽA NA FIKSNOJ LOKACIJI</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76FD"/>
    <w:multiLevelType w:val="hybridMultilevel"/>
    <w:tmpl w:val="2F8EC006"/>
    <w:lvl w:ilvl="0" w:tplc="BF1C4E6A">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0806368"/>
    <w:multiLevelType w:val="hybridMultilevel"/>
    <w:tmpl w:val="A5CC1A0A"/>
    <w:lvl w:ilvl="0" w:tplc="7AE65512">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1EC623C"/>
    <w:multiLevelType w:val="hybridMultilevel"/>
    <w:tmpl w:val="9768DB82"/>
    <w:lvl w:ilvl="0" w:tplc="6D6C3292">
      <w:numFmt w:val="bullet"/>
      <w:lvlText w:val="-"/>
      <w:lvlJc w:val="left"/>
      <w:pPr>
        <w:ind w:left="1068" w:hanging="360"/>
      </w:pPr>
      <w:rPr>
        <w:rFonts w:ascii="Calibri" w:eastAsia="Times New Roman" w:hAnsi="Calibri" w:cs="Calibri" w:hint="default"/>
      </w:rPr>
    </w:lvl>
    <w:lvl w:ilvl="1" w:tplc="041A0003">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 w15:restartNumberingAfterBreak="0">
    <w:nsid w:val="04154B23"/>
    <w:multiLevelType w:val="hybridMultilevel"/>
    <w:tmpl w:val="8C30961C"/>
    <w:lvl w:ilvl="0" w:tplc="04090017">
      <w:start w:val="1"/>
      <w:numFmt w:val="lowerLetter"/>
      <w:lvlText w:val="%1)"/>
      <w:lvlJc w:val="left"/>
      <w:pPr>
        <w:ind w:left="234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61458A3"/>
    <w:multiLevelType w:val="hybridMultilevel"/>
    <w:tmpl w:val="88441972"/>
    <w:lvl w:ilvl="0" w:tplc="04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 w15:restartNumberingAfterBreak="0">
    <w:nsid w:val="093C0327"/>
    <w:multiLevelType w:val="hybridMultilevel"/>
    <w:tmpl w:val="62445D60"/>
    <w:lvl w:ilvl="0" w:tplc="A8485626">
      <w:start w:val="2"/>
      <w:numFmt w:val="lowerLetter"/>
      <w:lvlText w:val="%1)"/>
      <w:lvlJc w:val="left"/>
      <w:pPr>
        <w:ind w:left="1800" w:hanging="360"/>
      </w:pPr>
      <w:rPr>
        <w:rFonts w:hint="default"/>
      </w:r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041A000F">
      <w:start w:val="1"/>
      <w:numFmt w:val="decimal"/>
      <w:lvlText w:val="%4."/>
      <w:lvlJc w:val="left"/>
      <w:pPr>
        <w:ind w:left="5180" w:hanging="360"/>
      </w:p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6" w15:restartNumberingAfterBreak="0">
    <w:nsid w:val="0E6032DC"/>
    <w:multiLevelType w:val="hybridMultilevel"/>
    <w:tmpl w:val="DC042504"/>
    <w:lvl w:ilvl="0" w:tplc="E17CD74A">
      <w:start w:val="1"/>
      <w:numFmt w:val="upp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0786FB2"/>
    <w:multiLevelType w:val="hybridMultilevel"/>
    <w:tmpl w:val="A1C6D4E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C8199B"/>
    <w:multiLevelType w:val="hybridMultilevel"/>
    <w:tmpl w:val="08CAA7CC"/>
    <w:lvl w:ilvl="0" w:tplc="BF1C4E6A">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314475"/>
    <w:multiLevelType w:val="hybridMultilevel"/>
    <w:tmpl w:val="73ECBC7C"/>
    <w:lvl w:ilvl="0" w:tplc="A8C414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33490F"/>
    <w:multiLevelType w:val="hybridMultilevel"/>
    <w:tmpl w:val="188E509E"/>
    <w:lvl w:ilvl="0" w:tplc="2F1A66A0">
      <w:start w:val="1"/>
      <w:numFmt w:val="decimal"/>
      <w:lvlText w:val="%1."/>
      <w:lvlJc w:val="left"/>
      <w:pPr>
        <w:ind w:left="644" w:hanging="360"/>
      </w:pPr>
      <w:rPr>
        <w:b w:val="0"/>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1" w15:restartNumberingAfterBreak="0">
    <w:nsid w:val="1AE454E1"/>
    <w:multiLevelType w:val="hybridMultilevel"/>
    <w:tmpl w:val="FF9C899C"/>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D1F6BF6"/>
    <w:multiLevelType w:val="hybridMultilevel"/>
    <w:tmpl w:val="020CEF48"/>
    <w:lvl w:ilvl="0" w:tplc="6D6C3292">
      <w:numFmt w:val="bullet"/>
      <w:lvlText w:val="-"/>
      <w:lvlJc w:val="left"/>
      <w:pPr>
        <w:ind w:left="1068"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1FB2196D"/>
    <w:multiLevelType w:val="hybridMultilevel"/>
    <w:tmpl w:val="F8A42E6C"/>
    <w:lvl w:ilvl="0" w:tplc="04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15:restartNumberingAfterBreak="0">
    <w:nsid w:val="20F8097B"/>
    <w:multiLevelType w:val="hybridMultilevel"/>
    <w:tmpl w:val="79260D3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5" w15:restartNumberingAfterBreak="0">
    <w:nsid w:val="21335DAB"/>
    <w:multiLevelType w:val="hybridMultilevel"/>
    <w:tmpl w:val="12EC6D6C"/>
    <w:lvl w:ilvl="0" w:tplc="041A0013">
      <w:start w:val="1"/>
      <w:numFmt w:val="upperRoman"/>
      <w:lvlText w:val="%1."/>
      <w:lvlJc w:val="right"/>
      <w:pPr>
        <w:tabs>
          <w:tab w:val="num" w:pos="1080"/>
        </w:tabs>
        <w:ind w:left="1080" w:hanging="720"/>
      </w:pPr>
      <w:rPr>
        <w:rFonts w:hint="default"/>
      </w:rPr>
    </w:lvl>
    <w:lvl w:ilvl="1" w:tplc="04090017">
      <w:start w:val="1"/>
      <w:numFmt w:val="lowerLetter"/>
      <w:lvlText w:val="%2)"/>
      <w:lvlJc w:val="left"/>
      <w:pPr>
        <w:ind w:left="1440" w:hanging="360"/>
      </w:pPr>
    </w:lvl>
    <w:lvl w:ilvl="2" w:tplc="04090017">
      <w:start w:val="1"/>
      <w:numFmt w:val="lowerLetter"/>
      <w:lvlText w:val="%3)"/>
      <w:lvlJc w:val="left"/>
      <w:pPr>
        <w:ind w:left="2340" w:hanging="360"/>
      </w:pPr>
      <w:rPr>
        <w:rFonts w:hint="default"/>
      </w:rPr>
    </w:lvl>
    <w:lvl w:ilvl="3" w:tplc="4BE0257E">
      <w:start w:val="1"/>
      <w:numFmt w:val="bullet"/>
      <w:lvlText w:val="-"/>
      <w:lvlJc w:val="left"/>
      <w:pPr>
        <w:ind w:left="1779" w:hanging="360"/>
      </w:pPr>
      <w:rPr>
        <w:rFonts w:ascii="Times New Roman" w:eastAsia="Times New Roman" w:hAnsi="Times New Roman" w:cs="Times New Roman" w:hint="default"/>
      </w:r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222A677C"/>
    <w:multiLevelType w:val="hybridMultilevel"/>
    <w:tmpl w:val="79169B9C"/>
    <w:lvl w:ilvl="0" w:tplc="AE64BAA0">
      <w:numFmt w:val="bullet"/>
      <w:lvlText w:val="-"/>
      <w:lvlJc w:val="left"/>
      <w:pPr>
        <w:ind w:left="720" w:hanging="360"/>
      </w:pPr>
      <w:rPr>
        <w:rFonts w:ascii="Calibri" w:eastAsia="Calibri" w:hAnsi="Calibri" w:cs="Calibri"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25F4CAE"/>
    <w:multiLevelType w:val="hybridMultilevel"/>
    <w:tmpl w:val="ADFE5D5E"/>
    <w:lvl w:ilvl="0" w:tplc="AE64BAA0">
      <w:numFmt w:val="bullet"/>
      <w:lvlText w:val="-"/>
      <w:lvlJc w:val="left"/>
      <w:pPr>
        <w:tabs>
          <w:tab w:val="num" w:pos="720"/>
        </w:tabs>
        <w:ind w:left="720" w:hanging="360"/>
      </w:pPr>
      <w:rPr>
        <w:rFonts w:ascii="Calibri" w:eastAsia="Calibri" w:hAnsi="Calibri" w:cs="Calibri"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33565B5"/>
    <w:multiLevelType w:val="hybridMultilevel"/>
    <w:tmpl w:val="777AFF10"/>
    <w:lvl w:ilvl="0" w:tplc="7AE65512">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1A0019">
      <w:start w:val="1"/>
      <w:numFmt w:val="bullet"/>
      <w:lvlText w:val="o"/>
      <w:lvlJc w:val="left"/>
      <w:pPr>
        <w:tabs>
          <w:tab w:val="num" w:pos="1140"/>
        </w:tabs>
        <w:ind w:left="1140" w:hanging="360"/>
      </w:pPr>
      <w:rPr>
        <w:rFonts w:ascii="Courier New" w:hAnsi="Courier New" w:cs="Courier New" w:hint="default"/>
      </w:rPr>
    </w:lvl>
    <w:lvl w:ilvl="2" w:tplc="041A001B">
      <w:start w:val="1"/>
      <w:numFmt w:val="bullet"/>
      <w:lvlText w:val=""/>
      <w:lvlJc w:val="left"/>
      <w:pPr>
        <w:tabs>
          <w:tab w:val="num" w:pos="1860"/>
        </w:tabs>
        <w:ind w:left="1860" w:hanging="360"/>
      </w:pPr>
      <w:rPr>
        <w:rFonts w:ascii="Wingdings" w:hAnsi="Wingdings" w:hint="default"/>
      </w:rPr>
    </w:lvl>
    <w:lvl w:ilvl="3" w:tplc="041A000F">
      <w:start w:val="1"/>
      <w:numFmt w:val="bullet"/>
      <w:lvlText w:val=""/>
      <w:lvlJc w:val="left"/>
      <w:pPr>
        <w:tabs>
          <w:tab w:val="num" w:pos="2580"/>
        </w:tabs>
        <w:ind w:left="2580" w:hanging="360"/>
      </w:pPr>
      <w:rPr>
        <w:rFonts w:ascii="Symbol" w:hAnsi="Symbol" w:hint="default"/>
      </w:rPr>
    </w:lvl>
    <w:lvl w:ilvl="4" w:tplc="041A0019" w:tentative="1">
      <w:start w:val="1"/>
      <w:numFmt w:val="bullet"/>
      <w:lvlText w:val="o"/>
      <w:lvlJc w:val="left"/>
      <w:pPr>
        <w:tabs>
          <w:tab w:val="num" w:pos="3300"/>
        </w:tabs>
        <w:ind w:left="3300" w:hanging="360"/>
      </w:pPr>
      <w:rPr>
        <w:rFonts w:ascii="Courier New" w:hAnsi="Courier New" w:cs="Courier New" w:hint="default"/>
      </w:rPr>
    </w:lvl>
    <w:lvl w:ilvl="5" w:tplc="041A001B" w:tentative="1">
      <w:start w:val="1"/>
      <w:numFmt w:val="bullet"/>
      <w:lvlText w:val=""/>
      <w:lvlJc w:val="left"/>
      <w:pPr>
        <w:tabs>
          <w:tab w:val="num" w:pos="4020"/>
        </w:tabs>
        <w:ind w:left="4020" w:hanging="360"/>
      </w:pPr>
      <w:rPr>
        <w:rFonts w:ascii="Wingdings" w:hAnsi="Wingdings" w:hint="default"/>
      </w:rPr>
    </w:lvl>
    <w:lvl w:ilvl="6" w:tplc="041A000F" w:tentative="1">
      <w:start w:val="1"/>
      <w:numFmt w:val="bullet"/>
      <w:lvlText w:val=""/>
      <w:lvlJc w:val="left"/>
      <w:pPr>
        <w:tabs>
          <w:tab w:val="num" w:pos="4740"/>
        </w:tabs>
        <w:ind w:left="4740" w:hanging="360"/>
      </w:pPr>
      <w:rPr>
        <w:rFonts w:ascii="Symbol" w:hAnsi="Symbol" w:hint="default"/>
      </w:rPr>
    </w:lvl>
    <w:lvl w:ilvl="7" w:tplc="041A0019" w:tentative="1">
      <w:start w:val="1"/>
      <w:numFmt w:val="bullet"/>
      <w:lvlText w:val="o"/>
      <w:lvlJc w:val="left"/>
      <w:pPr>
        <w:tabs>
          <w:tab w:val="num" w:pos="5460"/>
        </w:tabs>
        <w:ind w:left="5460" w:hanging="360"/>
      </w:pPr>
      <w:rPr>
        <w:rFonts w:ascii="Courier New" w:hAnsi="Courier New" w:cs="Courier New" w:hint="default"/>
      </w:rPr>
    </w:lvl>
    <w:lvl w:ilvl="8" w:tplc="041A001B" w:tentative="1">
      <w:start w:val="1"/>
      <w:numFmt w:val="bullet"/>
      <w:lvlText w:val=""/>
      <w:lvlJc w:val="left"/>
      <w:pPr>
        <w:tabs>
          <w:tab w:val="num" w:pos="6180"/>
        </w:tabs>
        <w:ind w:left="6180" w:hanging="360"/>
      </w:pPr>
      <w:rPr>
        <w:rFonts w:ascii="Wingdings" w:hAnsi="Wingdings" w:hint="default"/>
      </w:rPr>
    </w:lvl>
  </w:abstractNum>
  <w:abstractNum w:abstractNumId="19" w15:restartNumberingAfterBreak="0">
    <w:nsid w:val="23830408"/>
    <w:multiLevelType w:val="hybridMultilevel"/>
    <w:tmpl w:val="D2B877B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2800497C"/>
    <w:multiLevelType w:val="hybridMultilevel"/>
    <w:tmpl w:val="AD88C91E"/>
    <w:lvl w:ilvl="0" w:tplc="E17CD74A">
      <w:start w:val="1"/>
      <w:numFmt w:val="upp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28AD2176"/>
    <w:multiLevelType w:val="hybridMultilevel"/>
    <w:tmpl w:val="C9A450A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29A30655"/>
    <w:multiLevelType w:val="hybridMultilevel"/>
    <w:tmpl w:val="3A9833BA"/>
    <w:lvl w:ilvl="0" w:tplc="041A0001">
      <w:start w:val="1"/>
      <w:numFmt w:val="bullet"/>
      <w:lvlText w:val=""/>
      <w:lvlJc w:val="left"/>
      <w:pPr>
        <w:ind w:left="770" w:hanging="360"/>
      </w:pPr>
      <w:rPr>
        <w:rFonts w:ascii="Symbol" w:hAnsi="Symbol" w:hint="default"/>
      </w:rPr>
    </w:lvl>
    <w:lvl w:ilvl="1" w:tplc="041A0003" w:tentative="1">
      <w:start w:val="1"/>
      <w:numFmt w:val="bullet"/>
      <w:lvlText w:val="o"/>
      <w:lvlJc w:val="left"/>
      <w:pPr>
        <w:ind w:left="1490" w:hanging="360"/>
      </w:pPr>
      <w:rPr>
        <w:rFonts w:ascii="Courier New" w:hAnsi="Courier New" w:cs="Courier New" w:hint="default"/>
      </w:rPr>
    </w:lvl>
    <w:lvl w:ilvl="2" w:tplc="041A0005" w:tentative="1">
      <w:start w:val="1"/>
      <w:numFmt w:val="bullet"/>
      <w:lvlText w:val=""/>
      <w:lvlJc w:val="left"/>
      <w:pPr>
        <w:ind w:left="2210" w:hanging="360"/>
      </w:pPr>
      <w:rPr>
        <w:rFonts w:ascii="Wingdings" w:hAnsi="Wingdings" w:hint="default"/>
      </w:rPr>
    </w:lvl>
    <w:lvl w:ilvl="3" w:tplc="041A0001" w:tentative="1">
      <w:start w:val="1"/>
      <w:numFmt w:val="bullet"/>
      <w:lvlText w:val=""/>
      <w:lvlJc w:val="left"/>
      <w:pPr>
        <w:ind w:left="2930" w:hanging="360"/>
      </w:pPr>
      <w:rPr>
        <w:rFonts w:ascii="Symbol" w:hAnsi="Symbol" w:hint="default"/>
      </w:rPr>
    </w:lvl>
    <w:lvl w:ilvl="4" w:tplc="041A0003" w:tentative="1">
      <w:start w:val="1"/>
      <w:numFmt w:val="bullet"/>
      <w:lvlText w:val="o"/>
      <w:lvlJc w:val="left"/>
      <w:pPr>
        <w:ind w:left="3650" w:hanging="360"/>
      </w:pPr>
      <w:rPr>
        <w:rFonts w:ascii="Courier New" w:hAnsi="Courier New" w:cs="Courier New" w:hint="default"/>
      </w:rPr>
    </w:lvl>
    <w:lvl w:ilvl="5" w:tplc="041A0005" w:tentative="1">
      <w:start w:val="1"/>
      <w:numFmt w:val="bullet"/>
      <w:lvlText w:val=""/>
      <w:lvlJc w:val="left"/>
      <w:pPr>
        <w:ind w:left="4370" w:hanging="360"/>
      </w:pPr>
      <w:rPr>
        <w:rFonts w:ascii="Wingdings" w:hAnsi="Wingdings" w:hint="default"/>
      </w:rPr>
    </w:lvl>
    <w:lvl w:ilvl="6" w:tplc="041A0001" w:tentative="1">
      <w:start w:val="1"/>
      <w:numFmt w:val="bullet"/>
      <w:lvlText w:val=""/>
      <w:lvlJc w:val="left"/>
      <w:pPr>
        <w:ind w:left="5090" w:hanging="360"/>
      </w:pPr>
      <w:rPr>
        <w:rFonts w:ascii="Symbol" w:hAnsi="Symbol" w:hint="default"/>
      </w:rPr>
    </w:lvl>
    <w:lvl w:ilvl="7" w:tplc="041A0003" w:tentative="1">
      <w:start w:val="1"/>
      <w:numFmt w:val="bullet"/>
      <w:lvlText w:val="o"/>
      <w:lvlJc w:val="left"/>
      <w:pPr>
        <w:ind w:left="5810" w:hanging="360"/>
      </w:pPr>
      <w:rPr>
        <w:rFonts w:ascii="Courier New" w:hAnsi="Courier New" w:cs="Courier New" w:hint="default"/>
      </w:rPr>
    </w:lvl>
    <w:lvl w:ilvl="8" w:tplc="041A0005" w:tentative="1">
      <w:start w:val="1"/>
      <w:numFmt w:val="bullet"/>
      <w:lvlText w:val=""/>
      <w:lvlJc w:val="left"/>
      <w:pPr>
        <w:ind w:left="6530" w:hanging="360"/>
      </w:pPr>
      <w:rPr>
        <w:rFonts w:ascii="Wingdings" w:hAnsi="Wingdings" w:hint="default"/>
      </w:rPr>
    </w:lvl>
  </w:abstractNum>
  <w:abstractNum w:abstractNumId="23" w15:restartNumberingAfterBreak="0">
    <w:nsid w:val="2AA41C09"/>
    <w:multiLevelType w:val="hybridMultilevel"/>
    <w:tmpl w:val="A836BD04"/>
    <w:lvl w:ilvl="0" w:tplc="041A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4" w15:restartNumberingAfterBreak="0">
    <w:nsid w:val="2AD20119"/>
    <w:multiLevelType w:val="hybridMultilevel"/>
    <w:tmpl w:val="8098DB5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2CEA4595"/>
    <w:multiLevelType w:val="hybridMultilevel"/>
    <w:tmpl w:val="FF96EBEC"/>
    <w:lvl w:ilvl="0" w:tplc="9372FAE8">
      <w:numFmt w:val="bullet"/>
      <w:lvlText w:val="-"/>
      <w:lvlJc w:val="left"/>
      <w:pPr>
        <w:ind w:left="720" w:hanging="360"/>
      </w:pPr>
      <w:rPr>
        <w:rFonts w:ascii="Arial Narrow" w:eastAsia="Calibri" w:hAnsi="Arial Narrow" w:cs="Times New Roman" w:hint="default"/>
      </w:rPr>
    </w:lvl>
    <w:lvl w:ilvl="1" w:tplc="68B08E6A">
      <w:numFmt w:val="bullet"/>
      <w:lvlText w:val="–"/>
      <w:lvlJc w:val="left"/>
      <w:pPr>
        <w:ind w:left="1440" w:hanging="360"/>
      </w:pPr>
      <w:rPr>
        <w:rFonts w:ascii="Calibri" w:eastAsiaTheme="minorHAnsi" w:hAnsi="Calibri" w:cs="Calibri"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2D0C5EDD"/>
    <w:multiLevelType w:val="hybridMultilevel"/>
    <w:tmpl w:val="CF40443A"/>
    <w:lvl w:ilvl="0" w:tplc="9654B700">
      <w:start w:val="7"/>
      <w:numFmt w:val="bullet"/>
      <w:lvlText w:val="-"/>
      <w:lvlJc w:val="left"/>
      <w:pPr>
        <w:tabs>
          <w:tab w:val="num" w:pos="720"/>
        </w:tabs>
        <w:ind w:left="720" w:hanging="360"/>
      </w:pPr>
      <w:rPr>
        <w:rFonts w:ascii="Calibri" w:eastAsia="Calibri" w:hAnsi="Calibri"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E3858CE"/>
    <w:multiLevelType w:val="hybridMultilevel"/>
    <w:tmpl w:val="4378B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FA92234"/>
    <w:multiLevelType w:val="hybridMultilevel"/>
    <w:tmpl w:val="C6E8571C"/>
    <w:lvl w:ilvl="0" w:tplc="B09604BC">
      <w:start w:val="1"/>
      <w:numFmt w:val="bullet"/>
      <w:lvlText w:val=""/>
      <w:lvlJc w:val="left"/>
      <w:pPr>
        <w:tabs>
          <w:tab w:val="num" w:pos="720"/>
        </w:tabs>
        <w:ind w:left="720" w:hanging="360"/>
      </w:pPr>
      <w:rPr>
        <w:rFonts w:ascii="Symbol" w:hAnsi="Symbol" w:hint="default"/>
      </w:rPr>
    </w:lvl>
    <w:lvl w:ilvl="1" w:tplc="24B8FE8E" w:tentative="1">
      <w:start w:val="1"/>
      <w:numFmt w:val="bullet"/>
      <w:lvlText w:val="o"/>
      <w:lvlJc w:val="left"/>
      <w:pPr>
        <w:tabs>
          <w:tab w:val="num" w:pos="1800"/>
        </w:tabs>
        <w:ind w:left="1800" w:hanging="360"/>
      </w:pPr>
      <w:rPr>
        <w:rFonts w:ascii="Courier New" w:hAnsi="Courier New" w:cs="Courier New" w:hint="default"/>
      </w:rPr>
    </w:lvl>
    <w:lvl w:ilvl="2" w:tplc="041A001B" w:tentative="1">
      <w:start w:val="1"/>
      <w:numFmt w:val="bullet"/>
      <w:lvlText w:val=""/>
      <w:lvlJc w:val="left"/>
      <w:pPr>
        <w:tabs>
          <w:tab w:val="num" w:pos="2520"/>
        </w:tabs>
        <w:ind w:left="2520" w:hanging="360"/>
      </w:pPr>
      <w:rPr>
        <w:rFonts w:ascii="Wingdings" w:hAnsi="Wingdings" w:hint="default"/>
      </w:rPr>
    </w:lvl>
    <w:lvl w:ilvl="3" w:tplc="041A000F" w:tentative="1">
      <w:start w:val="1"/>
      <w:numFmt w:val="bullet"/>
      <w:lvlText w:val=""/>
      <w:lvlJc w:val="left"/>
      <w:pPr>
        <w:tabs>
          <w:tab w:val="num" w:pos="3240"/>
        </w:tabs>
        <w:ind w:left="3240" w:hanging="360"/>
      </w:pPr>
      <w:rPr>
        <w:rFonts w:ascii="Symbol" w:hAnsi="Symbol" w:hint="default"/>
      </w:rPr>
    </w:lvl>
    <w:lvl w:ilvl="4" w:tplc="041A0019" w:tentative="1">
      <w:start w:val="1"/>
      <w:numFmt w:val="bullet"/>
      <w:lvlText w:val="o"/>
      <w:lvlJc w:val="left"/>
      <w:pPr>
        <w:tabs>
          <w:tab w:val="num" w:pos="3960"/>
        </w:tabs>
        <w:ind w:left="3960" w:hanging="360"/>
      </w:pPr>
      <w:rPr>
        <w:rFonts w:ascii="Courier New" w:hAnsi="Courier New" w:cs="Courier New" w:hint="default"/>
      </w:rPr>
    </w:lvl>
    <w:lvl w:ilvl="5" w:tplc="041A001B" w:tentative="1">
      <w:start w:val="1"/>
      <w:numFmt w:val="bullet"/>
      <w:lvlText w:val=""/>
      <w:lvlJc w:val="left"/>
      <w:pPr>
        <w:tabs>
          <w:tab w:val="num" w:pos="4680"/>
        </w:tabs>
        <w:ind w:left="4680" w:hanging="360"/>
      </w:pPr>
      <w:rPr>
        <w:rFonts w:ascii="Wingdings" w:hAnsi="Wingdings" w:hint="default"/>
      </w:rPr>
    </w:lvl>
    <w:lvl w:ilvl="6" w:tplc="041A000F" w:tentative="1">
      <w:start w:val="1"/>
      <w:numFmt w:val="bullet"/>
      <w:lvlText w:val=""/>
      <w:lvlJc w:val="left"/>
      <w:pPr>
        <w:tabs>
          <w:tab w:val="num" w:pos="5400"/>
        </w:tabs>
        <w:ind w:left="5400" w:hanging="360"/>
      </w:pPr>
      <w:rPr>
        <w:rFonts w:ascii="Symbol" w:hAnsi="Symbol" w:hint="default"/>
      </w:rPr>
    </w:lvl>
    <w:lvl w:ilvl="7" w:tplc="041A0019" w:tentative="1">
      <w:start w:val="1"/>
      <w:numFmt w:val="bullet"/>
      <w:lvlText w:val="o"/>
      <w:lvlJc w:val="left"/>
      <w:pPr>
        <w:tabs>
          <w:tab w:val="num" w:pos="6120"/>
        </w:tabs>
        <w:ind w:left="6120" w:hanging="360"/>
      </w:pPr>
      <w:rPr>
        <w:rFonts w:ascii="Courier New" w:hAnsi="Courier New" w:cs="Courier New" w:hint="default"/>
      </w:rPr>
    </w:lvl>
    <w:lvl w:ilvl="8" w:tplc="041A001B"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2FBF7B0F"/>
    <w:multiLevelType w:val="hybridMultilevel"/>
    <w:tmpl w:val="83EEE4BA"/>
    <w:lvl w:ilvl="0" w:tplc="6D6C3292">
      <w:numFmt w:val="bullet"/>
      <w:lvlText w:val="-"/>
      <w:lvlJc w:val="left"/>
      <w:pPr>
        <w:ind w:left="1353"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2FEB7AD4"/>
    <w:multiLevelType w:val="hybridMultilevel"/>
    <w:tmpl w:val="0C98A3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16946A6"/>
    <w:multiLevelType w:val="hybridMultilevel"/>
    <w:tmpl w:val="3F6A0FD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33FB5D29"/>
    <w:multiLevelType w:val="hybridMultilevel"/>
    <w:tmpl w:val="561857E2"/>
    <w:lvl w:ilvl="0" w:tplc="041A0001">
      <w:start w:val="1"/>
      <w:numFmt w:val="bullet"/>
      <w:lvlText w:val=""/>
      <w:lvlJc w:val="left"/>
      <w:pPr>
        <w:ind w:left="770" w:hanging="360"/>
      </w:pPr>
      <w:rPr>
        <w:rFonts w:ascii="Symbol" w:hAnsi="Symbol" w:hint="default"/>
      </w:rPr>
    </w:lvl>
    <w:lvl w:ilvl="1" w:tplc="041A0003" w:tentative="1">
      <w:start w:val="1"/>
      <w:numFmt w:val="bullet"/>
      <w:lvlText w:val="o"/>
      <w:lvlJc w:val="left"/>
      <w:pPr>
        <w:ind w:left="1490" w:hanging="360"/>
      </w:pPr>
      <w:rPr>
        <w:rFonts w:ascii="Courier New" w:hAnsi="Courier New" w:cs="Courier New" w:hint="default"/>
      </w:rPr>
    </w:lvl>
    <w:lvl w:ilvl="2" w:tplc="041A0005" w:tentative="1">
      <w:start w:val="1"/>
      <w:numFmt w:val="bullet"/>
      <w:lvlText w:val=""/>
      <w:lvlJc w:val="left"/>
      <w:pPr>
        <w:ind w:left="2210" w:hanging="360"/>
      </w:pPr>
      <w:rPr>
        <w:rFonts w:ascii="Wingdings" w:hAnsi="Wingdings" w:hint="default"/>
      </w:rPr>
    </w:lvl>
    <w:lvl w:ilvl="3" w:tplc="041A0001" w:tentative="1">
      <w:start w:val="1"/>
      <w:numFmt w:val="bullet"/>
      <w:lvlText w:val=""/>
      <w:lvlJc w:val="left"/>
      <w:pPr>
        <w:ind w:left="2930" w:hanging="360"/>
      </w:pPr>
      <w:rPr>
        <w:rFonts w:ascii="Symbol" w:hAnsi="Symbol" w:hint="default"/>
      </w:rPr>
    </w:lvl>
    <w:lvl w:ilvl="4" w:tplc="041A0003" w:tentative="1">
      <w:start w:val="1"/>
      <w:numFmt w:val="bullet"/>
      <w:lvlText w:val="o"/>
      <w:lvlJc w:val="left"/>
      <w:pPr>
        <w:ind w:left="3650" w:hanging="360"/>
      </w:pPr>
      <w:rPr>
        <w:rFonts w:ascii="Courier New" w:hAnsi="Courier New" w:cs="Courier New" w:hint="default"/>
      </w:rPr>
    </w:lvl>
    <w:lvl w:ilvl="5" w:tplc="041A0005" w:tentative="1">
      <w:start w:val="1"/>
      <w:numFmt w:val="bullet"/>
      <w:lvlText w:val=""/>
      <w:lvlJc w:val="left"/>
      <w:pPr>
        <w:ind w:left="4370" w:hanging="360"/>
      </w:pPr>
      <w:rPr>
        <w:rFonts w:ascii="Wingdings" w:hAnsi="Wingdings" w:hint="default"/>
      </w:rPr>
    </w:lvl>
    <w:lvl w:ilvl="6" w:tplc="041A0001" w:tentative="1">
      <w:start w:val="1"/>
      <w:numFmt w:val="bullet"/>
      <w:lvlText w:val=""/>
      <w:lvlJc w:val="left"/>
      <w:pPr>
        <w:ind w:left="5090" w:hanging="360"/>
      </w:pPr>
      <w:rPr>
        <w:rFonts w:ascii="Symbol" w:hAnsi="Symbol" w:hint="default"/>
      </w:rPr>
    </w:lvl>
    <w:lvl w:ilvl="7" w:tplc="041A0003" w:tentative="1">
      <w:start w:val="1"/>
      <w:numFmt w:val="bullet"/>
      <w:lvlText w:val="o"/>
      <w:lvlJc w:val="left"/>
      <w:pPr>
        <w:ind w:left="5810" w:hanging="360"/>
      </w:pPr>
      <w:rPr>
        <w:rFonts w:ascii="Courier New" w:hAnsi="Courier New" w:cs="Courier New" w:hint="default"/>
      </w:rPr>
    </w:lvl>
    <w:lvl w:ilvl="8" w:tplc="041A0005" w:tentative="1">
      <w:start w:val="1"/>
      <w:numFmt w:val="bullet"/>
      <w:lvlText w:val=""/>
      <w:lvlJc w:val="left"/>
      <w:pPr>
        <w:ind w:left="6530" w:hanging="360"/>
      </w:pPr>
      <w:rPr>
        <w:rFonts w:ascii="Wingdings" w:hAnsi="Wingdings" w:hint="default"/>
      </w:rPr>
    </w:lvl>
  </w:abstractNum>
  <w:abstractNum w:abstractNumId="33" w15:restartNumberingAfterBreak="0">
    <w:nsid w:val="3B172E1A"/>
    <w:multiLevelType w:val="hybridMultilevel"/>
    <w:tmpl w:val="B122F504"/>
    <w:lvl w:ilvl="0" w:tplc="3198E5C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4" w15:restartNumberingAfterBreak="0">
    <w:nsid w:val="3BBE290C"/>
    <w:multiLevelType w:val="hybridMultilevel"/>
    <w:tmpl w:val="469AD7FE"/>
    <w:lvl w:ilvl="0" w:tplc="D3CE0458">
      <w:start w:val="1"/>
      <w:numFmt w:val="lowerLetter"/>
      <w:lvlText w:val="%1)"/>
      <w:lvlJc w:val="left"/>
      <w:pPr>
        <w:tabs>
          <w:tab w:val="num" w:pos="720"/>
        </w:tabs>
        <w:ind w:left="720" w:hanging="360"/>
      </w:pPr>
      <w:rPr>
        <w:color w:val="1F3864" w:themeColor="accent1" w:themeShade="80"/>
      </w:rPr>
    </w:lvl>
    <w:lvl w:ilvl="1" w:tplc="041A0001"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5" w15:restartNumberingAfterBreak="0">
    <w:nsid w:val="3FB42769"/>
    <w:multiLevelType w:val="hybridMultilevel"/>
    <w:tmpl w:val="4FB68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0246105"/>
    <w:multiLevelType w:val="hybridMultilevel"/>
    <w:tmpl w:val="8CCE385C"/>
    <w:lvl w:ilvl="0" w:tplc="8CD2EE32">
      <w:start w:val="1"/>
      <w:numFmt w:val="lowerLetter"/>
      <w:lvlText w:val="%1)"/>
      <w:lvlJc w:val="left"/>
      <w:pPr>
        <w:ind w:left="405" w:hanging="360"/>
      </w:pPr>
      <w:rPr>
        <w:rFonts w:hint="default"/>
      </w:rPr>
    </w:lvl>
    <w:lvl w:ilvl="1" w:tplc="041A0019" w:tentative="1">
      <w:start w:val="1"/>
      <w:numFmt w:val="lowerLetter"/>
      <w:lvlText w:val="%2."/>
      <w:lvlJc w:val="left"/>
      <w:pPr>
        <w:ind w:left="1125" w:hanging="360"/>
      </w:pPr>
    </w:lvl>
    <w:lvl w:ilvl="2" w:tplc="041A001B" w:tentative="1">
      <w:start w:val="1"/>
      <w:numFmt w:val="lowerRoman"/>
      <w:lvlText w:val="%3."/>
      <w:lvlJc w:val="right"/>
      <w:pPr>
        <w:ind w:left="1845" w:hanging="180"/>
      </w:pPr>
    </w:lvl>
    <w:lvl w:ilvl="3" w:tplc="041A000F" w:tentative="1">
      <w:start w:val="1"/>
      <w:numFmt w:val="decimal"/>
      <w:lvlText w:val="%4."/>
      <w:lvlJc w:val="left"/>
      <w:pPr>
        <w:ind w:left="2565" w:hanging="360"/>
      </w:pPr>
    </w:lvl>
    <w:lvl w:ilvl="4" w:tplc="041A0019" w:tentative="1">
      <w:start w:val="1"/>
      <w:numFmt w:val="lowerLetter"/>
      <w:lvlText w:val="%5."/>
      <w:lvlJc w:val="left"/>
      <w:pPr>
        <w:ind w:left="3285" w:hanging="360"/>
      </w:pPr>
    </w:lvl>
    <w:lvl w:ilvl="5" w:tplc="041A001B" w:tentative="1">
      <w:start w:val="1"/>
      <w:numFmt w:val="lowerRoman"/>
      <w:lvlText w:val="%6."/>
      <w:lvlJc w:val="right"/>
      <w:pPr>
        <w:ind w:left="4005" w:hanging="180"/>
      </w:pPr>
    </w:lvl>
    <w:lvl w:ilvl="6" w:tplc="041A000F" w:tentative="1">
      <w:start w:val="1"/>
      <w:numFmt w:val="decimal"/>
      <w:lvlText w:val="%7."/>
      <w:lvlJc w:val="left"/>
      <w:pPr>
        <w:ind w:left="4725" w:hanging="360"/>
      </w:pPr>
    </w:lvl>
    <w:lvl w:ilvl="7" w:tplc="041A0019" w:tentative="1">
      <w:start w:val="1"/>
      <w:numFmt w:val="lowerLetter"/>
      <w:lvlText w:val="%8."/>
      <w:lvlJc w:val="left"/>
      <w:pPr>
        <w:ind w:left="5445" w:hanging="360"/>
      </w:pPr>
    </w:lvl>
    <w:lvl w:ilvl="8" w:tplc="041A001B" w:tentative="1">
      <w:start w:val="1"/>
      <w:numFmt w:val="lowerRoman"/>
      <w:lvlText w:val="%9."/>
      <w:lvlJc w:val="right"/>
      <w:pPr>
        <w:ind w:left="6165" w:hanging="180"/>
      </w:pPr>
    </w:lvl>
  </w:abstractNum>
  <w:abstractNum w:abstractNumId="37" w15:restartNumberingAfterBreak="0">
    <w:nsid w:val="40AA0510"/>
    <w:multiLevelType w:val="hybridMultilevel"/>
    <w:tmpl w:val="C78CEC1A"/>
    <w:lvl w:ilvl="0" w:tplc="AE64BAA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41AC343F"/>
    <w:multiLevelType w:val="hybridMultilevel"/>
    <w:tmpl w:val="20AE2080"/>
    <w:lvl w:ilvl="0" w:tplc="7AE65512">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1A0003" w:tentative="1">
      <w:start w:val="1"/>
      <w:numFmt w:val="bullet"/>
      <w:lvlText w:val="o"/>
      <w:lvlJc w:val="left"/>
      <w:pPr>
        <w:tabs>
          <w:tab w:val="num" w:pos="1800"/>
        </w:tabs>
        <w:ind w:left="1800" w:hanging="360"/>
      </w:pPr>
      <w:rPr>
        <w:rFonts w:ascii="Courier New" w:hAnsi="Courier New" w:cs="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489C478A"/>
    <w:multiLevelType w:val="hybridMultilevel"/>
    <w:tmpl w:val="65BC6FF0"/>
    <w:lvl w:ilvl="0" w:tplc="7AE65512">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090001">
      <w:start w:val="1"/>
      <w:numFmt w:val="bullet"/>
      <w:lvlText w:val=""/>
      <w:lvlJc w:val="left"/>
      <w:pPr>
        <w:tabs>
          <w:tab w:val="num" w:pos="1140"/>
        </w:tabs>
        <w:ind w:left="1140" w:hanging="360"/>
      </w:pPr>
      <w:rPr>
        <w:rFonts w:ascii="Symbol" w:hAnsi="Symbol" w:hint="default"/>
      </w:rPr>
    </w:lvl>
    <w:lvl w:ilvl="2" w:tplc="041A001B">
      <w:start w:val="1"/>
      <w:numFmt w:val="bullet"/>
      <w:lvlText w:val=""/>
      <w:lvlJc w:val="left"/>
      <w:pPr>
        <w:tabs>
          <w:tab w:val="num" w:pos="1860"/>
        </w:tabs>
        <w:ind w:left="1860" w:hanging="360"/>
      </w:pPr>
      <w:rPr>
        <w:rFonts w:ascii="Wingdings" w:hAnsi="Wingdings" w:hint="default"/>
      </w:rPr>
    </w:lvl>
    <w:lvl w:ilvl="3" w:tplc="041A000F">
      <w:start w:val="1"/>
      <w:numFmt w:val="bullet"/>
      <w:lvlText w:val=""/>
      <w:lvlJc w:val="left"/>
      <w:pPr>
        <w:tabs>
          <w:tab w:val="num" w:pos="2580"/>
        </w:tabs>
        <w:ind w:left="2580" w:hanging="360"/>
      </w:pPr>
      <w:rPr>
        <w:rFonts w:ascii="Symbol" w:hAnsi="Symbol" w:hint="default"/>
      </w:rPr>
    </w:lvl>
    <w:lvl w:ilvl="4" w:tplc="041A0019" w:tentative="1">
      <w:start w:val="1"/>
      <w:numFmt w:val="bullet"/>
      <w:lvlText w:val="o"/>
      <w:lvlJc w:val="left"/>
      <w:pPr>
        <w:tabs>
          <w:tab w:val="num" w:pos="3300"/>
        </w:tabs>
        <w:ind w:left="3300" w:hanging="360"/>
      </w:pPr>
      <w:rPr>
        <w:rFonts w:ascii="Courier New" w:hAnsi="Courier New" w:cs="Courier New" w:hint="default"/>
      </w:rPr>
    </w:lvl>
    <w:lvl w:ilvl="5" w:tplc="041A001B" w:tentative="1">
      <w:start w:val="1"/>
      <w:numFmt w:val="bullet"/>
      <w:lvlText w:val=""/>
      <w:lvlJc w:val="left"/>
      <w:pPr>
        <w:tabs>
          <w:tab w:val="num" w:pos="4020"/>
        </w:tabs>
        <w:ind w:left="4020" w:hanging="360"/>
      </w:pPr>
      <w:rPr>
        <w:rFonts w:ascii="Wingdings" w:hAnsi="Wingdings" w:hint="default"/>
      </w:rPr>
    </w:lvl>
    <w:lvl w:ilvl="6" w:tplc="041A000F" w:tentative="1">
      <w:start w:val="1"/>
      <w:numFmt w:val="bullet"/>
      <w:lvlText w:val=""/>
      <w:lvlJc w:val="left"/>
      <w:pPr>
        <w:tabs>
          <w:tab w:val="num" w:pos="4740"/>
        </w:tabs>
        <w:ind w:left="4740" w:hanging="360"/>
      </w:pPr>
      <w:rPr>
        <w:rFonts w:ascii="Symbol" w:hAnsi="Symbol" w:hint="default"/>
      </w:rPr>
    </w:lvl>
    <w:lvl w:ilvl="7" w:tplc="041A0019" w:tentative="1">
      <w:start w:val="1"/>
      <w:numFmt w:val="bullet"/>
      <w:lvlText w:val="o"/>
      <w:lvlJc w:val="left"/>
      <w:pPr>
        <w:tabs>
          <w:tab w:val="num" w:pos="5460"/>
        </w:tabs>
        <w:ind w:left="5460" w:hanging="360"/>
      </w:pPr>
      <w:rPr>
        <w:rFonts w:ascii="Courier New" w:hAnsi="Courier New" w:cs="Courier New" w:hint="default"/>
      </w:rPr>
    </w:lvl>
    <w:lvl w:ilvl="8" w:tplc="041A001B" w:tentative="1">
      <w:start w:val="1"/>
      <w:numFmt w:val="bullet"/>
      <w:lvlText w:val=""/>
      <w:lvlJc w:val="left"/>
      <w:pPr>
        <w:tabs>
          <w:tab w:val="num" w:pos="6180"/>
        </w:tabs>
        <w:ind w:left="6180" w:hanging="360"/>
      </w:pPr>
      <w:rPr>
        <w:rFonts w:ascii="Wingdings" w:hAnsi="Wingdings" w:hint="default"/>
      </w:rPr>
    </w:lvl>
  </w:abstractNum>
  <w:abstractNum w:abstractNumId="40" w15:restartNumberingAfterBreak="0">
    <w:nsid w:val="498405CC"/>
    <w:multiLevelType w:val="hybridMultilevel"/>
    <w:tmpl w:val="B1D60E90"/>
    <w:lvl w:ilvl="0" w:tplc="D58CE2C2">
      <w:start w:val="1"/>
      <w:numFmt w:val="bullet"/>
      <w:lvlText w:val="-"/>
      <w:lvlJc w:val="left"/>
      <w:pPr>
        <w:ind w:left="2520" w:hanging="360"/>
      </w:pPr>
      <w:rPr>
        <w:rFonts w:ascii="Times New Roman" w:eastAsiaTheme="minorHAnsi" w:hAnsi="Times New Roman" w:cs="Times New Roman"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41" w15:restartNumberingAfterBreak="0">
    <w:nsid w:val="4AE02BE3"/>
    <w:multiLevelType w:val="hybridMultilevel"/>
    <w:tmpl w:val="C89A5714"/>
    <w:lvl w:ilvl="0" w:tplc="7AE65512">
      <w:numFmt w:val="bullet"/>
      <w:lvlText w:val="-"/>
      <w:lvlJc w:val="left"/>
      <w:pPr>
        <w:ind w:left="720" w:hanging="360"/>
      </w:pPr>
      <w:rPr>
        <w:rFonts w:ascii="Times New Roman" w:eastAsia="Times New Roman" w:hAnsi="Times New Roman" w:cs="Times New Roman" w:hint="default"/>
        <w:b/>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4D452710"/>
    <w:multiLevelType w:val="multilevel"/>
    <w:tmpl w:val="041A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4D94690E"/>
    <w:multiLevelType w:val="hybridMultilevel"/>
    <w:tmpl w:val="2450548E"/>
    <w:lvl w:ilvl="0" w:tplc="AE64BAA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4DCF5591"/>
    <w:multiLevelType w:val="hybridMultilevel"/>
    <w:tmpl w:val="8CCE385C"/>
    <w:lvl w:ilvl="0" w:tplc="8CD2EE32">
      <w:start w:val="1"/>
      <w:numFmt w:val="lowerLetter"/>
      <w:lvlText w:val="%1)"/>
      <w:lvlJc w:val="left"/>
      <w:pPr>
        <w:ind w:left="405" w:hanging="360"/>
      </w:pPr>
      <w:rPr>
        <w:rFonts w:hint="default"/>
      </w:rPr>
    </w:lvl>
    <w:lvl w:ilvl="1" w:tplc="041A0019" w:tentative="1">
      <w:start w:val="1"/>
      <w:numFmt w:val="lowerLetter"/>
      <w:lvlText w:val="%2."/>
      <w:lvlJc w:val="left"/>
      <w:pPr>
        <w:ind w:left="1125" w:hanging="360"/>
      </w:pPr>
    </w:lvl>
    <w:lvl w:ilvl="2" w:tplc="041A001B" w:tentative="1">
      <w:start w:val="1"/>
      <w:numFmt w:val="lowerRoman"/>
      <w:lvlText w:val="%3."/>
      <w:lvlJc w:val="right"/>
      <w:pPr>
        <w:ind w:left="1845" w:hanging="180"/>
      </w:pPr>
    </w:lvl>
    <w:lvl w:ilvl="3" w:tplc="041A000F" w:tentative="1">
      <w:start w:val="1"/>
      <w:numFmt w:val="decimal"/>
      <w:lvlText w:val="%4."/>
      <w:lvlJc w:val="left"/>
      <w:pPr>
        <w:ind w:left="2565" w:hanging="360"/>
      </w:pPr>
    </w:lvl>
    <w:lvl w:ilvl="4" w:tplc="041A0019" w:tentative="1">
      <w:start w:val="1"/>
      <w:numFmt w:val="lowerLetter"/>
      <w:lvlText w:val="%5."/>
      <w:lvlJc w:val="left"/>
      <w:pPr>
        <w:ind w:left="3285" w:hanging="360"/>
      </w:pPr>
    </w:lvl>
    <w:lvl w:ilvl="5" w:tplc="041A001B" w:tentative="1">
      <w:start w:val="1"/>
      <w:numFmt w:val="lowerRoman"/>
      <w:lvlText w:val="%6."/>
      <w:lvlJc w:val="right"/>
      <w:pPr>
        <w:ind w:left="4005" w:hanging="180"/>
      </w:pPr>
    </w:lvl>
    <w:lvl w:ilvl="6" w:tplc="041A000F" w:tentative="1">
      <w:start w:val="1"/>
      <w:numFmt w:val="decimal"/>
      <w:lvlText w:val="%7."/>
      <w:lvlJc w:val="left"/>
      <w:pPr>
        <w:ind w:left="4725" w:hanging="360"/>
      </w:pPr>
    </w:lvl>
    <w:lvl w:ilvl="7" w:tplc="041A0019" w:tentative="1">
      <w:start w:val="1"/>
      <w:numFmt w:val="lowerLetter"/>
      <w:lvlText w:val="%8."/>
      <w:lvlJc w:val="left"/>
      <w:pPr>
        <w:ind w:left="5445" w:hanging="360"/>
      </w:pPr>
    </w:lvl>
    <w:lvl w:ilvl="8" w:tplc="041A001B" w:tentative="1">
      <w:start w:val="1"/>
      <w:numFmt w:val="lowerRoman"/>
      <w:lvlText w:val="%9."/>
      <w:lvlJc w:val="right"/>
      <w:pPr>
        <w:ind w:left="6165" w:hanging="180"/>
      </w:pPr>
    </w:lvl>
  </w:abstractNum>
  <w:abstractNum w:abstractNumId="45" w15:restartNumberingAfterBreak="0">
    <w:nsid w:val="4E3C2982"/>
    <w:multiLevelType w:val="hybridMultilevel"/>
    <w:tmpl w:val="5888E6BC"/>
    <w:lvl w:ilvl="0" w:tplc="A8485626">
      <w:start w:val="2"/>
      <w:numFmt w:val="lowerLetter"/>
      <w:lvlText w:val="%1)"/>
      <w:lvlJc w:val="left"/>
      <w:pPr>
        <w:ind w:left="1800" w:hanging="360"/>
      </w:pPr>
      <w:rPr>
        <w:rFonts w:hint="default"/>
      </w:r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879E3D1A">
      <w:start w:val="1"/>
      <w:numFmt w:val="bullet"/>
      <w:lvlText w:val="-"/>
      <w:lvlJc w:val="left"/>
      <w:pPr>
        <w:ind w:left="5180" w:hanging="360"/>
      </w:pPr>
      <w:rPr>
        <w:rFonts w:ascii="Times New Roman" w:eastAsia="Times New Roman" w:hAnsi="Times New Roman" w:cs="Times New Roman" w:hint="default"/>
      </w:r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46" w15:restartNumberingAfterBreak="0">
    <w:nsid w:val="4E6C4370"/>
    <w:multiLevelType w:val="hybridMultilevel"/>
    <w:tmpl w:val="4C2ED2E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7" w15:restartNumberingAfterBreak="0">
    <w:nsid w:val="50E1007F"/>
    <w:multiLevelType w:val="hybridMultilevel"/>
    <w:tmpl w:val="C35C558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8" w15:restartNumberingAfterBreak="0">
    <w:nsid w:val="515D349B"/>
    <w:multiLevelType w:val="hybridMultilevel"/>
    <w:tmpl w:val="90349920"/>
    <w:lvl w:ilvl="0" w:tplc="041A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49" w15:restartNumberingAfterBreak="0">
    <w:nsid w:val="51822A5A"/>
    <w:multiLevelType w:val="hybridMultilevel"/>
    <w:tmpl w:val="ECF61E64"/>
    <w:lvl w:ilvl="0" w:tplc="A8485626">
      <w:start w:val="2"/>
      <w:numFmt w:val="lowerLetter"/>
      <w:lvlText w:val="%1)"/>
      <w:lvlJc w:val="left"/>
      <w:pPr>
        <w:ind w:left="1800" w:hanging="360"/>
      </w:pPr>
      <w:rPr>
        <w:rFonts w:hint="default"/>
      </w:r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879E3D1A">
      <w:start w:val="1"/>
      <w:numFmt w:val="bullet"/>
      <w:lvlText w:val="-"/>
      <w:lvlJc w:val="left"/>
      <w:pPr>
        <w:ind w:left="5180" w:hanging="360"/>
      </w:pPr>
      <w:rPr>
        <w:rFonts w:ascii="Times New Roman" w:eastAsia="Times New Roman" w:hAnsi="Times New Roman" w:cs="Times New Roman" w:hint="default"/>
      </w:r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50" w15:restartNumberingAfterBreak="0">
    <w:nsid w:val="51EE5D3C"/>
    <w:multiLevelType w:val="multilevel"/>
    <w:tmpl w:val="943089A4"/>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434"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1" w15:restartNumberingAfterBreak="0">
    <w:nsid w:val="582E1A3D"/>
    <w:multiLevelType w:val="hybridMultilevel"/>
    <w:tmpl w:val="BA10A488"/>
    <w:lvl w:ilvl="0" w:tplc="04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2" w15:restartNumberingAfterBreak="0">
    <w:nsid w:val="5939217B"/>
    <w:multiLevelType w:val="hybridMultilevel"/>
    <w:tmpl w:val="5B320262"/>
    <w:lvl w:ilvl="0" w:tplc="041A0001">
      <w:start w:val="1"/>
      <w:numFmt w:val="bullet"/>
      <w:lvlText w:val=""/>
      <w:lvlJc w:val="left"/>
      <w:pPr>
        <w:tabs>
          <w:tab w:val="num" w:pos="723"/>
        </w:tabs>
        <w:ind w:left="723" w:hanging="360"/>
      </w:pPr>
      <w:rPr>
        <w:rFonts w:ascii="Symbol" w:hAnsi="Symbol" w:hint="default"/>
      </w:rPr>
    </w:lvl>
    <w:lvl w:ilvl="1" w:tplc="041A0003" w:tentative="1">
      <w:start w:val="1"/>
      <w:numFmt w:val="bullet"/>
      <w:lvlText w:val="o"/>
      <w:lvlJc w:val="left"/>
      <w:pPr>
        <w:tabs>
          <w:tab w:val="num" w:pos="1443"/>
        </w:tabs>
        <w:ind w:left="1443" w:hanging="360"/>
      </w:pPr>
      <w:rPr>
        <w:rFonts w:ascii="Courier New" w:hAnsi="Courier New" w:cs="Courier New" w:hint="default"/>
      </w:rPr>
    </w:lvl>
    <w:lvl w:ilvl="2" w:tplc="041A0005" w:tentative="1">
      <w:start w:val="1"/>
      <w:numFmt w:val="bullet"/>
      <w:lvlText w:val=""/>
      <w:lvlJc w:val="left"/>
      <w:pPr>
        <w:tabs>
          <w:tab w:val="num" w:pos="2163"/>
        </w:tabs>
        <w:ind w:left="2163" w:hanging="360"/>
      </w:pPr>
      <w:rPr>
        <w:rFonts w:ascii="Wingdings" w:hAnsi="Wingdings" w:hint="default"/>
      </w:rPr>
    </w:lvl>
    <w:lvl w:ilvl="3" w:tplc="041A0001" w:tentative="1">
      <w:start w:val="1"/>
      <w:numFmt w:val="bullet"/>
      <w:lvlText w:val=""/>
      <w:lvlJc w:val="left"/>
      <w:pPr>
        <w:tabs>
          <w:tab w:val="num" w:pos="2883"/>
        </w:tabs>
        <w:ind w:left="2883" w:hanging="360"/>
      </w:pPr>
      <w:rPr>
        <w:rFonts w:ascii="Symbol" w:hAnsi="Symbol" w:hint="default"/>
      </w:rPr>
    </w:lvl>
    <w:lvl w:ilvl="4" w:tplc="041A0003" w:tentative="1">
      <w:start w:val="1"/>
      <w:numFmt w:val="bullet"/>
      <w:lvlText w:val="o"/>
      <w:lvlJc w:val="left"/>
      <w:pPr>
        <w:tabs>
          <w:tab w:val="num" w:pos="3603"/>
        </w:tabs>
        <w:ind w:left="3603" w:hanging="360"/>
      </w:pPr>
      <w:rPr>
        <w:rFonts w:ascii="Courier New" w:hAnsi="Courier New" w:cs="Courier New" w:hint="default"/>
      </w:rPr>
    </w:lvl>
    <w:lvl w:ilvl="5" w:tplc="041A0005" w:tentative="1">
      <w:start w:val="1"/>
      <w:numFmt w:val="bullet"/>
      <w:lvlText w:val=""/>
      <w:lvlJc w:val="left"/>
      <w:pPr>
        <w:tabs>
          <w:tab w:val="num" w:pos="4323"/>
        </w:tabs>
        <w:ind w:left="4323" w:hanging="360"/>
      </w:pPr>
      <w:rPr>
        <w:rFonts w:ascii="Wingdings" w:hAnsi="Wingdings" w:hint="default"/>
      </w:rPr>
    </w:lvl>
    <w:lvl w:ilvl="6" w:tplc="041A0001" w:tentative="1">
      <w:start w:val="1"/>
      <w:numFmt w:val="bullet"/>
      <w:lvlText w:val=""/>
      <w:lvlJc w:val="left"/>
      <w:pPr>
        <w:tabs>
          <w:tab w:val="num" w:pos="5043"/>
        </w:tabs>
        <w:ind w:left="5043" w:hanging="360"/>
      </w:pPr>
      <w:rPr>
        <w:rFonts w:ascii="Symbol" w:hAnsi="Symbol" w:hint="default"/>
      </w:rPr>
    </w:lvl>
    <w:lvl w:ilvl="7" w:tplc="041A0003" w:tentative="1">
      <w:start w:val="1"/>
      <w:numFmt w:val="bullet"/>
      <w:lvlText w:val="o"/>
      <w:lvlJc w:val="left"/>
      <w:pPr>
        <w:tabs>
          <w:tab w:val="num" w:pos="5763"/>
        </w:tabs>
        <w:ind w:left="5763" w:hanging="360"/>
      </w:pPr>
      <w:rPr>
        <w:rFonts w:ascii="Courier New" w:hAnsi="Courier New" w:cs="Courier New" w:hint="default"/>
      </w:rPr>
    </w:lvl>
    <w:lvl w:ilvl="8" w:tplc="041A0005" w:tentative="1">
      <w:start w:val="1"/>
      <w:numFmt w:val="bullet"/>
      <w:lvlText w:val=""/>
      <w:lvlJc w:val="left"/>
      <w:pPr>
        <w:tabs>
          <w:tab w:val="num" w:pos="6483"/>
        </w:tabs>
        <w:ind w:left="6483" w:hanging="360"/>
      </w:pPr>
      <w:rPr>
        <w:rFonts w:ascii="Wingdings" w:hAnsi="Wingdings" w:hint="default"/>
      </w:rPr>
    </w:lvl>
  </w:abstractNum>
  <w:abstractNum w:abstractNumId="53" w15:restartNumberingAfterBreak="0">
    <w:nsid w:val="5A32685C"/>
    <w:multiLevelType w:val="hybridMultilevel"/>
    <w:tmpl w:val="9F04CCE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4" w15:restartNumberingAfterBreak="0">
    <w:nsid w:val="5AC92BCF"/>
    <w:multiLevelType w:val="hybridMultilevel"/>
    <w:tmpl w:val="BAACE400"/>
    <w:lvl w:ilvl="0" w:tplc="A8485626">
      <w:start w:val="2"/>
      <w:numFmt w:val="lowerLetter"/>
      <w:lvlText w:val="%1)"/>
      <w:lvlJc w:val="left"/>
      <w:pPr>
        <w:ind w:left="1800" w:hanging="360"/>
      </w:pPr>
      <w:rPr>
        <w:rFonts w:hint="default"/>
      </w:r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7B641778">
      <w:numFmt w:val="bullet"/>
      <w:lvlText w:val="-"/>
      <w:lvlJc w:val="left"/>
      <w:pPr>
        <w:ind w:left="5180" w:hanging="360"/>
      </w:pPr>
      <w:rPr>
        <w:rFonts w:ascii="Times-Roman" w:eastAsia="Times New Roman" w:hAnsi="Times-Roman" w:cs="Times-Roman" w:hint="default"/>
      </w:r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55" w15:restartNumberingAfterBreak="0">
    <w:nsid w:val="5ADE34D3"/>
    <w:multiLevelType w:val="hybridMultilevel"/>
    <w:tmpl w:val="868C3D04"/>
    <w:lvl w:ilvl="0" w:tplc="0409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6" w15:restartNumberingAfterBreak="0">
    <w:nsid w:val="5ED72B64"/>
    <w:multiLevelType w:val="hybridMultilevel"/>
    <w:tmpl w:val="E24869B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3A02F7C"/>
    <w:multiLevelType w:val="hybridMultilevel"/>
    <w:tmpl w:val="B406DE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650B2D1B"/>
    <w:multiLevelType w:val="hybridMultilevel"/>
    <w:tmpl w:val="2CA657C0"/>
    <w:lvl w:ilvl="0" w:tplc="9654B700">
      <w:start w:val="7"/>
      <w:numFmt w:val="bullet"/>
      <w:pStyle w:val="Stil1"/>
      <w:lvlText w:val="-"/>
      <w:lvlJc w:val="left"/>
      <w:pPr>
        <w:ind w:left="774" w:hanging="360"/>
      </w:pPr>
      <w:rPr>
        <w:rFonts w:ascii="Calibri" w:eastAsia="Calibri" w:hAnsi="Calibri" w:cs="Times New Roman" w:hint="default"/>
      </w:rPr>
    </w:lvl>
    <w:lvl w:ilvl="1" w:tplc="041A0003" w:tentative="1">
      <w:start w:val="1"/>
      <w:numFmt w:val="bullet"/>
      <w:lvlText w:val="o"/>
      <w:lvlJc w:val="left"/>
      <w:pPr>
        <w:ind w:left="1494" w:hanging="360"/>
      </w:pPr>
      <w:rPr>
        <w:rFonts w:ascii="Courier New" w:hAnsi="Courier New" w:cs="Courier New" w:hint="default"/>
      </w:rPr>
    </w:lvl>
    <w:lvl w:ilvl="2" w:tplc="041A0005" w:tentative="1">
      <w:start w:val="1"/>
      <w:numFmt w:val="bullet"/>
      <w:lvlText w:val=""/>
      <w:lvlJc w:val="left"/>
      <w:pPr>
        <w:ind w:left="2214" w:hanging="360"/>
      </w:pPr>
      <w:rPr>
        <w:rFonts w:ascii="Wingdings" w:hAnsi="Wingdings" w:hint="default"/>
      </w:rPr>
    </w:lvl>
    <w:lvl w:ilvl="3" w:tplc="041A0001" w:tentative="1">
      <w:start w:val="1"/>
      <w:numFmt w:val="bullet"/>
      <w:lvlText w:val=""/>
      <w:lvlJc w:val="left"/>
      <w:pPr>
        <w:ind w:left="2934" w:hanging="360"/>
      </w:pPr>
      <w:rPr>
        <w:rFonts w:ascii="Symbol" w:hAnsi="Symbol" w:hint="default"/>
      </w:rPr>
    </w:lvl>
    <w:lvl w:ilvl="4" w:tplc="041A0003" w:tentative="1">
      <w:start w:val="1"/>
      <w:numFmt w:val="bullet"/>
      <w:lvlText w:val="o"/>
      <w:lvlJc w:val="left"/>
      <w:pPr>
        <w:ind w:left="3654" w:hanging="360"/>
      </w:pPr>
      <w:rPr>
        <w:rFonts w:ascii="Courier New" w:hAnsi="Courier New" w:cs="Courier New" w:hint="default"/>
      </w:rPr>
    </w:lvl>
    <w:lvl w:ilvl="5" w:tplc="041A0005" w:tentative="1">
      <w:start w:val="1"/>
      <w:numFmt w:val="bullet"/>
      <w:lvlText w:val=""/>
      <w:lvlJc w:val="left"/>
      <w:pPr>
        <w:ind w:left="4374" w:hanging="360"/>
      </w:pPr>
      <w:rPr>
        <w:rFonts w:ascii="Wingdings" w:hAnsi="Wingdings" w:hint="default"/>
      </w:rPr>
    </w:lvl>
    <w:lvl w:ilvl="6" w:tplc="041A0001" w:tentative="1">
      <w:start w:val="1"/>
      <w:numFmt w:val="bullet"/>
      <w:lvlText w:val=""/>
      <w:lvlJc w:val="left"/>
      <w:pPr>
        <w:ind w:left="5094" w:hanging="360"/>
      </w:pPr>
      <w:rPr>
        <w:rFonts w:ascii="Symbol" w:hAnsi="Symbol" w:hint="default"/>
      </w:rPr>
    </w:lvl>
    <w:lvl w:ilvl="7" w:tplc="041A0003" w:tentative="1">
      <w:start w:val="1"/>
      <w:numFmt w:val="bullet"/>
      <w:lvlText w:val="o"/>
      <w:lvlJc w:val="left"/>
      <w:pPr>
        <w:ind w:left="5814" w:hanging="360"/>
      </w:pPr>
      <w:rPr>
        <w:rFonts w:ascii="Courier New" w:hAnsi="Courier New" w:cs="Courier New" w:hint="default"/>
      </w:rPr>
    </w:lvl>
    <w:lvl w:ilvl="8" w:tplc="041A0005" w:tentative="1">
      <w:start w:val="1"/>
      <w:numFmt w:val="bullet"/>
      <w:lvlText w:val=""/>
      <w:lvlJc w:val="left"/>
      <w:pPr>
        <w:ind w:left="6534" w:hanging="360"/>
      </w:pPr>
      <w:rPr>
        <w:rFonts w:ascii="Wingdings" w:hAnsi="Wingdings" w:hint="default"/>
      </w:rPr>
    </w:lvl>
  </w:abstractNum>
  <w:abstractNum w:abstractNumId="59" w15:restartNumberingAfterBreak="0">
    <w:nsid w:val="67E462CC"/>
    <w:multiLevelType w:val="hybridMultilevel"/>
    <w:tmpl w:val="6512BEA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A5A4ED5"/>
    <w:multiLevelType w:val="hybridMultilevel"/>
    <w:tmpl w:val="28A0C75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1" w15:restartNumberingAfterBreak="0">
    <w:nsid w:val="6A9E7F3F"/>
    <w:multiLevelType w:val="hybridMultilevel"/>
    <w:tmpl w:val="F22E62B4"/>
    <w:lvl w:ilvl="0" w:tplc="AE64BAA0">
      <w:numFmt w:val="bullet"/>
      <w:lvlText w:val="-"/>
      <w:lvlJc w:val="left"/>
      <w:pPr>
        <w:ind w:left="720" w:hanging="360"/>
      </w:pPr>
      <w:rPr>
        <w:rFonts w:ascii="Calibri" w:eastAsia="Calibri" w:hAnsi="Calibri" w:cs="Calibri" w:hint="default"/>
        <w:color w:val="auto"/>
      </w:rPr>
    </w:lvl>
    <w:lvl w:ilvl="1" w:tplc="AE64BAA0">
      <w:numFmt w:val="bullet"/>
      <w:lvlText w:val="-"/>
      <w:lvlJc w:val="left"/>
      <w:pPr>
        <w:ind w:left="1440" w:hanging="360"/>
      </w:pPr>
      <w:rPr>
        <w:rFonts w:ascii="Calibri" w:eastAsia="Calibri" w:hAnsi="Calibri" w:cs="Calibri"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D261328"/>
    <w:multiLevelType w:val="hybridMultilevel"/>
    <w:tmpl w:val="47A4B4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3" w15:restartNumberingAfterBreak="0">
    <w:nsid w:val="6D7D1973"/>
    <w:multiLevelType w:val="hybridMultilevel"/>
    <w:tmpl w:val="88441972"/>
    <w:lvl w:ilvl="0" w:tplc="04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64" w15:restartNumberingAfterBreak="0">
    <w:nsid w:val="73B408F4"/>
    <w:multiLevelType w:val="hybridMultilevel"/>
    <w:tmpl w:val="702CD4C4"/>
    <w:lvl w:ilvl="0" w:tplc="45EA91F0">
      <w:start w:val="1"/>
      <w:numFmt w:val="bullet"/>
      <w:lvlText w:val="-"/>
      <w:lvlJc w:val="left"/>
      <w:pPr>
        <w:ind w:left="783" w:hanging="360"/>
      </w:pPr>
      <w:rPr>
        <w:rFonts w:ascii="Calibri" w:hAnsi="Calibri" w:hint="default"/>
        <w:b/>
      </w:rPr>
    </w:lvl>
    <w:lvl w:ilvl="1" w:tplc="041A0003" w:tentative="1">
      <w:start w:val="1"/>
      <w:numFmt w:val="bullet"/>
      <w:lvlText w:val="o"/>
      <w:lvlJc w:val="left"/>
      <w:pPr>
        <w:ind w:left="1503" w:hanging="360"/>
      </w:pPr>
      <w:rPr>
        <w:rFonts w:ascii="Courier New" w:hAnsi="Courier New" w:cs="Courier New" w:hint="default"/>
      </w:rPr>
    </w:lvl>
    <w:lvl w:ilvl="2" w:tplc="041A0005" w:tentative="1">
      <w:start w:val="1"/>
      <w:numFmt w:val="bullet"/>
      <w:lvlText w:val=""/>
      <w:lvlJc w:val="left"/>
      <w:pPr>
        <w:ind w:left="2223" w:hanging="360"/>
      </w:pPr>
      <w:rPr>
        <w:rFonts w:ascii="Wingdings" w:hAnsi="Wingdings" w:hint="default"/>
      </w:rPr>
    </w:lvl>
    <w:lvl w:ilvl="3" w:tplc="041A0001" w:tentative="1">
      <w:start w:val="1"/>
      <w:numFmt w:val="bullet"/>
      <w:lvlText w:val=""/>
      <w:lvlJc w:val="left"/>
      <w:pPr>
        <w:ind w:left="2943" w:hanging="360"/>
      </w:pPr>
      <w:rPr>
        <w:rFonts w:ascii="Symbol" w:hAnsi="Symbol" w:hint="default"/>
      </w:rPr>
    </w:lvl>
    <w:lvl w:ilvl="4" w:tplc="041A0003" w:tentative="1">
      <w:start w:val="1"/>
      <w:numFmt w:val="bullet"/>
      <w:lvlText w:val="o"/>
      <w:lvlJc w:val="left"/>
      <w:pPr>
        <w:ind w:left="3663" w:hanging="360"/>
      </w:pPr>
      <w:rPr>
        <w:rFonts w:ascii="Courier New" w:hAnsi="Courier New" w:cs="Courier New" w:hint="default"/>
      </w:rPr>
    </w:lvl>
    <w:lvl w:ilvl="5" w:tplc="041A0005" w:tentative="1">
      <w:start w:val="1"/>
      <w:numFmt w:val="bullet"/>
      <w:lvlText w:val=""/>
      <w:lvlJc w:val="left"/>
      <w:pPr>
        <w:ind w:left="4383" w:hanging="360"/>
      </w:pPr>
      <w:rPr>
        <w:rFonts w:ascii="Wingdings" w:hAnsi="Wingdings" w:hint="default"/>
      </w:rPr>
    </w:lvl>
    <w:lvl w:ilvl="6" w:tplc="041A0001" w:tentative="1">
      <w:start w:val="1"/>
      <w:numFmt w:val="bullet"/>
      <w:lvlText w:val=""/>
      <w:lvlJc w:val="left"/>
      <w:pPr>
        <w:ind w:left="5103" w:hanging="360"/>
      </w:pPr>
      <w:rPr>
        <w:rFonts w:ascii="Symbol" w:hAnsi="Symbol" w:hint="default"/>
      </w:rPr>
    </w:lvl>
    <w:lvl w:ilvl="7" w:tplc="041A0003" w:tentative="1">
      <w:start w:val="1"/>
      <w:numFmt w:val="bullet"/>
      <w:lvlText w:val="o"/>
      <w:lvlJc w:val="left"/>
      <w:pPr>
        <w:ind w:left="5823" w:hanging="360"/>
      </w:pPr>
      <w:rPr>
        <w:rFonts w:ascii="Courier New" w:hAnsi="Courier New" w:cs="Courier New" w:hint="default"/>
      </w:rPr>
    </w:lvl>
    <w:lvl w:ilvl="8" w:tplc="041A0005" w:tentative="1">
      <w:start w:val="1"/>
      <w:numFmt w:val="bullet"/>
      <w:lvlText w:val=""/>
      <w:lvlJc w:val="left"/>
      <w:pPr>
        <w:ind w:left="6543" w:hanging="360"/>
      </w:pPr>
      <w:rPr>
        <w:rFonts w:ascii="Wingdings" w:hAnsi="Wingdings" w:hint="default"/>
      </w:rPr>
    </w:lvl>
  </w:abstractNum>
  <w:abstractNum w:abstractNumId="65" w15:restartNumberingAfterBreak="0">
    <w:nsid w:val="754E0826"/>
    <w:multiLevelType w:val="hybridMultilevel"/>
    <w:tmpl w:val="2788D9E8"/>
    <w:lvl w:ilvl="0" w:tplc="7416E394">
      <w:start w:val="4"/>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6" w15:restartNumberingAfterBreak="0">
    <w:nsid w:val="77985148"/>
    <w:multiLevelType w:val="hybridMultilevel"/>
    <w:tmpl w:val="D1EA8096"/>
    <w:lvl w:ilvl="0" w:tplc="0409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7" w15:restartNumberingAfterBreak="0">
    <w:nsid w:val="79BA1A87"/>
    <w:multiLevelType w:val="hybridMultilevel"/>
    <w:tmpl w:val="5A84113A"/>
    <w:lvl w:ilvl="0" w:tplc="2870A1CE">
      <w:start w:val="1"/>
      <w:numFmt w:val="lowerLetter"/>
      <w:lvlText w:val="%1)"/>
      <w:lvlJc w:val="left"/>
      <w:pPr>
        <w:ind w:left="720" w:hanging="360"/>
      </w:pPr>
      <w:rPr>
        <w:rFonts w:hint="default"/>
        <w:color w:val="1F3864" w:themeColor="accent1" w:themeShade="8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9FF7A23"/>
    <w:multiLevelType w:val="hybridMultilevel"/>
    <w:tmpl w:val="BC9C2114"/>
    <w:lvl w:ilvl="0" w:tplc="041A000F">
      <w:start w:val="1"/>
      <w:numFmt w:val="decimal"/>
      <w:lvlText w:val="%1."/>
      <w:lvlJc w:val="left"/>
      <w:pPr>
        <w:tabs>
          <w:tab w:val="num" w:pos="720"/>
        </w:tabs>
        <w:ind w:left="720" w:hanging="360"/>
      </w:pPr>
      <w:rPr>
        <w:rFonts w:hint="default"/>
      </w:rPr>
    </w:lvl>
    <w:lvl w:ilvl="1" w:tplc="61AC9868">
      <w:start w:val="1"/>
      <w:numFmt w:val="lowerLetter"/>
      <w:lvlText w:val="%2)"/>
      <w:lvlJc w:val="left"/>
      <w:pPr>
        <w:ind w:left="2234" w:hanging="720"/>
      </w:pPr>
      <w:rPr>
        <w:rFonts w:hint="default"/>
      </w:rPr>
    </w:lvl>
    <w:lvl w:ilvl="2" w:tplc="FFFFFFFF" w:tentative="1">
      <w:start w:val="1"/>
      <w:numFmt w:val="bullet"/>
      <w:lvlText w:val=""/>
      <w:lvlJc w:val="left"/>
      <w:pPr>
        <w:tabs>
          <w:tab w:val="num" w:pos="2594"/>
        </w:tabs>
        <w:ind w:left="2594" w:hanging="360"/>
      </w:pPr>
      <w:rPr>
        <w:rFonts w:ascii="Wingdings" w:hAnsi="Wingdings" w:hint="default"/>
      </w:rPr>
    </w:lvl>
    <w:lvl w:ilvl="3" w:tplc="FFFFFFFF" w:tentative="1">
      <w:start w:val="1"/>
      <w:numFmt w:val="bullet"/>
      <w:lvlText w:val=""/>
      <w:lvlJc w:val="left"/>
      <w:pPr>
        <w:tabs>
          <w:tab w:val="num" w:pos="3314"/>
        </w:tabs>
        <w:ind w:left="3314" w:hanging="360"/>
      </w:pPr>
      <w:rPr>
        <w:rFonts w:ascii="Symbol" w:hAnsi="Symbol" w:hint="default"/>
      </w:rPr>
    </w:lvl>
    <w:lvl w:ilvl="4" w:tplc="FFFFFFFF" w:tentative="1">
      <w:start w:val="1"/>
      <w:numFmt w:val="bullet"/>
      <w:lvlText w:val="o"/>
      <w:lvlJc w:val="left"/>
      <w:pPr>
        <w:tabs>
          <w:tab w:val="num" w:pos="4034"/>
        </w:tabs>
        <w:ind w:left="4034" w:hanging="360"/>
      </w:pPr>
      <w:rPr>
        <w:rFonts w:ascii="Courier New" w:hAnsi="Courier New" w:cs="Courier New" w:hint="default"/>
      </w:rPr>
    </w:lvl>
    <w:lvl w:ilvl="5" w:tplc="FFFFFFFF" w:tentative="1">
      <w:start w:val="1"/>
      <w:numFmt w:val="bullet"/>
      <w:lvlText w:val=""/>
      <w:lvlJc w:val="left"/>
      <w:pPr>
        <w:tabs>
          <w:tab w:val="num" w:pos="4754"/>
        </w:tabs>
        <w:ind w:left="4754" w:hanging="360"/>
      </w:pPr>
      <w:rPr>
        <w:rFonts w:ascii="Wingdings" w:hAnsi="Wingdings" w:hint="default"/>
      </w:rPr>
    </w:lvl>
    <w:lvl w:ilvl="6" w:tplc="FFFFFFFF" w:tentative="1">
      <w:start w:val="1"/>
      <w:numFmt w:val="bullet"/>
      <w:lvlText w:val=""/>
      <w:lvlJc w:val="left"/>
      <w:pPr>
        <w:tabs>
          <w:tab w:val="num" w:pos="5474"/>
        </w:tabs>
        <w:ind w:left="5474" w:hanging="360"/>
      </w:pPr>
      <w:rPr>
        <w:rFonts w:ascii="Symbol" w:hAnsi="Symbol" w:hint="default"/>
      </w:rPr>
    </w:lvl>
    <w:lvl w:ilvl="7" w:tplc="FFFFFFFF" w:tentative="1">
      <w:start w:val="1"/>
      <w:numFmt w:val="bullet"/>
      <w:lvlText w:val="o"/>
      <w:lvlJc w:val="left"/>
      <w:pPr>
        <w:tabs>
          <w:tab w:val="num" w:pos="6194"/>
        </w:tabs>
        <w:ind w:left="6194" w:hanging="360"/>
      </w:pPr>
      <w:rPr>
        <w:rFonts w:ascii="Courier New" w:hAnsi="Courier New" w:cs="Courier New" w:hint="default"/>
      </w:rPr>
    </w:lvl>
    <w:lvl w:ilvl="8" w:tplc="FFFFFFFF" w:tentative="1">
      <w:start w:val="1"/>
      <w:numFmt w:val="bullet"/>
      <w:lvlText w:val=""/>
      <w:lvlJc w:val="left"/>
      <w:pPr>
        <w:tabs>
          <w:tab w:val="num" w:pos="6914"/>
        </w:tabs>
        <w:ind w:left="6914" w:hanging="360"/>
      </w:pPr>
      <w:rPr>
        <w:rFonts w:ascii="Wingdings" w:hAnsi="Wingdings" w:hint="default"/>
      </w:rPr>
    </w:lvl>
  </w:abstractNum>
  <w:abstractNum w:abstractNumId="69" w15:restartNumberingAfterBreak="0">
    <w:nsid w:val="7B000B44"/>
    <w:multiLevelType w:val="hybridMultilevel"/>
    <w:tmpl w:val="DF508980"/>
    <w:lvl w:ilvl="0" w:tplc="9654B700">
      <w:start w:val="7"/>
      <w:numFmt w:val="bullet"/>
      <w:lvlText w:val="-"/>
      <w:lvlJc w:val="left"/>
      <w:pPr>
        <w:ind w:left="3478" w:hanging="360"/>
      </w:pPr>
      <w:rPr>
        <w:rFonts w:ascii="Calibri" w:eastAsia="Calibri" w:hAnsi="Calibri"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0" w15:restartNumberingAfterBreak="0">
    <w:nsid w:val="7CF047FF"/>
    <w:multiLevelType w:val="hybridMultilevel"/>
    <w:tmpl w:val="725A45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FE84708"/>
    <w:multiLevelType w:val="hybridMultilevel"/>
    <w:tmpl w:val="75A0E1FA"/>
    <w:lvl w:ilvl="0" w:tplc="04090017">
      <w:start w:val="1"/>
      <w:numFmt w:val="lowerLetter"/>
      <w:lvlText w:val="%1)"/>
      <w:lvlJc w:val="left"/>
      <w:pPr>
        <w:ind w:left="2340" w:hanging="36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num>
  <w:num w:numId="2">
    <w:abstractNumId w:val="31"/>
  </w:num>
  <w:num w:numId="3">
    <w:abstractNumId w:val="33"/>
  </w:num>
  <w:num w:numId="4">
    <w:abstractNumId w:val="9"/>
  </w:num>
  <w:num w:numId="5">
    <w:abstractNumId w:val="8"/>
  </w:num>
  <w:num w:numId="6">
    <w:abstractNumId w:val="0"/>
  </w:num>
  <w:num w:numId="7">
    <w:abstractNumId w:val="42"/>
  </w:num>
  <w:num w:numId="8">
    <w:abstractNumId w:val="19"/>
  </w:num>
  <w:num w:numId="9">
    <w:abstractNumId w:val="11"/>
  </w:num>
  <w:num w:numId="10">
    <w:abstractNumId w:val="55"/>
  </w:num>
  <w:num w:numId="11">
    <w:abstractNumId w:val="71"/>
  </w:num>
  <w:num w:numId="12">
    <w:abstractNumId w:val="40"/>
  </w:num>
  <w:num w:numId="13">
    <w:abstractNumId w:val="59"/>
  </w:num>
  <w:num w:numId="14">
    <w:abstractNumId w:val="25"/>
  </w:num>
  <w:num w:numId="15">
    <w:abstractNumId w:val="48"/>
  </w:num>
  <w:num w:numId="16">
    <w:abstractNumId w:val="23"/>
  </w:num>
  <w:num w:numId="17">
    <w:abstractNumId w:val="13"/>
  </w:num>
  <w:num w:numId="18">
    <w:abstractNumId w:val="44"/>
  </w:num>
  <w:num w:numId="19">
    <w:abstractNumId w:val="51"/>
  </w:num>
  <w:num w:numId="20">
    <w:abstractNumId w:val="36"/>
  </w:num>
  <w:num w:numId="21">
    <w:abstractNumId w:val="65"/>
  </w:num>
  <w:num w:numId="22">
    <w:abstractNumId w:val="4"/>
  </w:num>
  <w:num w:numId="23">
    <w:abstractNumId w:val="63"/>
  </w:num>
  <w:num w:numId="24">
    <w:abstractNumId w:val="1"/>
  </w:num>
  <w:num w:numId="25">
    <w:abstractNumId w:val="18"/>
  </w:num>
  <w:num w:numId="26">
    <w:abstractNumId w:val="38"/>
  </w:num>
  <w:num w:numId="27">
    <w:abstractNumId w:val="34"/>
  </w:num>
  <w:num w:numId="28">
    <w:abstractNumId w:val="26"/>
  </w:num>
  <w:num w:numId="29">
    <w:abstractNumId w:val="28"/>
  </w:num>
  <w:num w:numId="30">
    <w:abstractNumId w:val="68"/>
  </w:num>
  <w:num w:numId="31">
    <w:abstractNumId w:val="41"/>
  </w:num>
  <w:num w:numId="32">
    <w:abstractNumId w:val="10"/>
  </w:num>
  <w:num w:numId="33">
    <w:abstractNumId w:val="64"/>
  </w:num>
  <w:num w:numId="34">
    <w:abstractNumId w:val="7"/>
  </w:num>
  <w:num w:numId="35">
    <w:abstractNumId w:val="58"/>
  </w:num>
  <w:num w:numId="36">
    <w:abstractNumId w:val="69"/>
  </w:num>
  <w:num w:numId="37">
    <w:abstractNumId w:val="14"/>
  </w:num>
  <w:num w:numId="38">
    <w:abstractNumId w:val="37"/>
  </w:num>
  <w:num w:numId="39">
    <w:abstractNumId w:val="60"/>
  </w:num>
  <w:num w:numId="40">
    <w:abstractNumId w:val="67"/>
  </w:num>
  <w:num w:numId="41">
    <w:abstractNumId w:val="39"/>
  </w:num>
  <w:num w:numId="42">
    <w:abstractNumId w:val="32"/>
  </w:num>
  <w:num w:numId="43">
    <w:abstractNumId w:val="22"/>
  </w:num>
  <w:num w:numId="44">
    <w:abstractNumId w:val="53"/>
  </w:num>
  <w:num w:numId="45">
    <w:abstractNumId w:val="27"/>
  </w:num>
  <w:num w:numId="46">
    <w:abstractNumId w:val="62"/>
  </w:num>
  <w:num w:numId="47">
    <w:abstractNumId w:val="29"/>
  </w:num>
  <w:num w:numId="48">
    <w:abstractNumId w:val="12"/>
  </w:num>
  <w:num w:numId="49">
    <w:abstractNumId w:val="24"/>
  </w:num>
  <w:num w:numId="50">
    <w:abstractNumId w:val="70"/>
  </w:num>
  <w:num w:numId="51">
    <w:abstractNumId w:val="6"/>
  </w:num>
  <w:num w:numId="52">
    <w:abstractNumId w:val="20"/>
  </w:num>
  <w:num w:numId="53">
    <w:abstractNumId w:val="17"/>
  </w:num>
  <w:num w:numId="54">
    <w:abstractNumId w:val="43"/>
  </w:num>
  <w:num w:numId="55">
    <w:abstractNumId w:val="52"/>
  </w:num>
  <w:num w:numId="56">
    <w:abstractNumId w:val="21"/>
  </w:num>
  <w:num w:numId="57">
    <w:abstractNumId w:val="46"/>
  </w:num>
  <w:num w:numId="58">
    <w:abstractNumId w:val="35"/>
  </w:num>
  <w:num w:numId="59">
    <w:abstractNumId w:val="50"/>
  </w:num>
  <w:num w:numId="60">
    <w:abstractNumId w:val="30"/>
  </w:num>
  <w:num w:numId="61">
    <w:abstractNumId w:val="56"/>
  </w:num>
  <w:num w:numId="62">
    <w:abstractNumId w:val="61"/>
  </w:num>
  <w:num w:numId="63">
    <w:abstractNumId w:val="57"/>
  </w:num>
  <w:num w:numId="64">
    <w:abstractNumId w:val="16"/>
  </w:num>
  <w:num w:numId="65">
    <w:abstractNumId w:val="15"/>
  </w:num>
  <w:num w:numId="66">
    <w:abstractNumId w:val="66"/>
  </w:num>
  <w:num w:numId="67">
    <w:abstractNumId w:val="47"/>
  </w:num>
  <w:num w:numId="68">
    <w:abstractNumId w:val="3"/>
  </w:num>
  <w:num w:numId="69">
    <w:abstractNumId w:val="5"/>
  </w:num>
  <w:num w:numId="70">
    <w:abstractNumId w:val="54"/>
  </w:num>
  <w:num w:numId="71">
    <w:abstractNumId w:val="49"/>
  </w:num>
  <w:num w:numId="72">
    <w:abstractNumId w:val="4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75"/>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AA2"/>
    <w:rsid w:val="00001FD0"/>
    <w:rsid w:val="00006934"/>
    <w:rsid w:val="0000717E"/>
    <w:rsid w:val="000079E3"/>
    <w:rsid w:val="00010077"/>
    <w:rsid w:val="00012220"/>
    <w:rsid w:val="00013B45"/>
    <w:rsid w:val="00013D23"/>
    <w:rsid w:val="000162C6"/>
    <w:rsid w:val="0002463B"/>
    <w:rsid w:val="0002560B"/>
    <w:rsid w:val="0002586D"/>
    <w:rsid w:val="00027FA8"/>
    <w:rsid w:val="00033EE8"/>
    <w:rsid w:val="00037CD0"/>
    <w:rsid w:val="00045CFF"/>
    <w:rsid w:val="00045D28"/>
    <w:rsid w:val="00046571"/>
    <w:rsid w:val="00050BE5"/>
    <w:rsid w:val="00050EFB"/>
    <w:rsid w:val="00051372"/>
    <w:rsid w:val="00054B69"/>
    <w:rsid w:val="00061ACD"/>
    <w:rsid w:val="00061B33"/>
    <w:rsid w:val="00061EA5"/>
    <w:rsid w:val="000630E9"/>
    <w:rsid w:val="000639A2"/>
    <w:rsid w:val="00064B50"/>
    <w:rsid w:val="00067630"/>
    <w:rsid w:val="0007047F"/>
    <w:rsid w:val="00070E33"/>
    <w:rsid w:val="0007148B"/>
    <w:rsid w:val="00071629"/>
    <w:rsid w:val="0007452C"/>
    <w:rsid w:val="00075D3A"/>
    <w:rsid w:val="00076031"/>
    <w:rsid w:val="00080621"/>
    <w:rsid w:val="00085F8F"/>
    <w:rsid w:val="00092328"/>
    <w:rsid w:val="0009476C"/>
    <w:rsid w:val="00094BEB"/>
    <w:rsid w:val="00095E3B"/>
    <w:rsid w:val="000962ED"/>
    <w:rsid w:val="000977B9"/>
    <w:rsid w:val="000A0D4F"/>
    <w:rsid w:val="000A4714"/>
    <w:rsid w:val="000A4E4F"/>
    <w:rsid w:val="000A4EC9"/>
    <w:rsid w:val="000A6609"/>
    <w:rsid w:val="000A7DF1"/>
    <w:rsid w:val="000B0446"/>
    <w:rsid w:val="000B0458"/>
    <w:rsid w:val="000B3B65"/>
    <w:rsid w:val="000B45E0"/>
    <w:rsid w:val="000B4D54"/>
    <w:rsid w:val="000B6F2A"/>
    <w:rsid w:val="000C23F5"/>
    <w:rsid w:val="000C2C46"/>
    <w:rsid w:val="000C2CDD"/>
    <w:rsid w:val="000C3571"/>
    <w:rsid w:val="000C4703"/>
    <w:rsid w:val="000D237A"/>
    <w:rsid w:val="000D3B19"/>
    <w:rsid w:val="000D6385"/>
    <w:rsid w:val="000D6A97"/>
    <w:rsid w:val="000E0A78"/>
    <w:rsid w:val="000E2C34"/>
    <w:rsid w:val="000E31AF"/>
    <w:rsid w:val="000E5102"/>
    <w:rsid w:val="000F1D2E"/>
    <w:rsid w:val="000F4E42"/>
    <w:rsid w:val="000F4F34"/>
    <w:rsid w:val="000F5172"/>
    <w:rsid w:val="000F7E48"/>
    <w:rsid w:val="00100A67"/>
    <w:rsid w:val="001013F8"/>
    <w:rsid w:val="0010221B"/>
    <w:rsid w:val="00102DAB"/>
    <w:rsid w:val="0010382A"/>
    <w:rsid w:val="001039C7"/>
    <w:rsid w:val="00106DAA"/>
    <w:rsid w:val="00107308"/>
    <w:rsid w:val="0011300B"/>
    <w:rsid w:val="00116335"/>
    <w:rsid w:val="00122832"/>
    <w:rsid w:val="0012556C"/>
    <w:rsid w:val="001258E6"/>
    <w:rsid w:val="00126711"/>
    <w:rsid w:val="00126760"/>
    <w:rsid w:val="00130252"/>
    <w:rsid w:val="001309BC"/>
    <w:rsid w:val="00130C03"/>
    <w:rsid w:val="001318D9"/>
    <w:rsid w:val="00133923"/>
    <w:rsid w:val="00136E99"/>
    <w:rsid w:val="00137452"/>
    <w:rsid w:val="00137923"/>
    <w:rsid w:val="00140C7A"/>
    <w:rsid w:val="001410F9"/>
    <w:rsid w:val="00141AEC"/>
    <w:rsid w:val="00143427"/>
    <w:rsid w:val="001454D6"/>
    <w:rsid w:val="00153364"/>
    <w:rsid w:val="00153921"/>
    <w:rsid w:val="0015680C"/>
    <w:rsid w:val="001571AE"/>
    <w:rsid w:val="00160BB8"/>
    <w:rsid w:val="00161247"/>
    <w:rsid w:val="00164DAE"/>
    <w:rsid w:val="0016657A"/>
    <w:rsid w:val="001704CF"/>
    <w:rsid w:val="00172158"/>
    <w:rsid w:val="00173663"/>
    <w:rsid w:val="00175192"/>
    <w:rsid w:val="00176F67"/>
    <w:rsid w:val="00177CBE"/>
    <w:rsid w:val="00180DA4"/>
    <w:rsid w:val="00181D50"/>
    <w:rsid w:val="0018217A"/>
    <w:rsid w:val="001834F5"/>
    <w:rsid w:val="00185F8B"/>
    <w:rsid w:val="001900DA"/>
    <w:rsid w:val="001911F8"/>
    <w:rsid w:val="00191415"/>
    <w:rsid w:val="00191FB5"/>
    <w:rsid w:val="00194A48"/>
    <w:rsid w:val="00194BAA"/>
    <w:rsid w:val="00195E22"/>
    <w:rsid w:val="001A104A"/>
    <w:rsid w:val="001A5111"/>
    <w:rsid w:val="001A6EF7"/>
    <w:rsid w:val="001A75E4"/>
    <w:rsid w:val="001B16A4"/>
    <w:rsid w:val="001B188B"/>
    <w:rsid w:val="001B3D8E"/>
    <w:rsid w:val="001B3FA3"/>
    <w:rsid w:val="001B61A0"/>
    <w:rsid w:val="001B6496"/>
    <w:rsid w:val="001B6F85"/>
    <w:rsid w:val="001C12C2"/>
    <w:rsid w:val="001C6283"/>
    <w:rsid w:val="001C6619"/>
    <w:rsid w:val="001C7838"/>
    <w:rsid w:val="001D0EC8"/>
    <w:rsid w:val="001D5040"/>
    <w:rsid w:val="001D7746"/>
    <w:rsid w:val="001E05DA"/>
    <w:rsid w:val="001E0B0D"/>
    <w:rsid w:val="001E2B57"/>
    <w:rsid w:val="001E2C27"/>
    <w:rsid w:val="001E5A15"/>
    <w:rsid w:val="001E7677"/>
    <w:rsid w:val="001E78EB"/>
    <w:rsid w:val="001F0D5E"/>
    <w:rsid w:val="001F2E45"/>
    <w:rsid w:val="00200A69"/>
    <w:rsid w:val="00201201"/>
    <w:rsid w:val="00203FDF"/>
    <w:rsid w:val="00204DE6"/>
    <w:rsid w:val="00205AF9"/>
    <w:rsid w:val="0020696B"/>
    <w:rsid w:val="00207CFD"/>
    <w:rsid w:val="00207FAD"/>
    <w:rsid w:val="002107D3"/>
    <w:rsid w:val="002145EC"/>
    <w:rsid w:val="002163A8"/>
    <w:rsid w:val="00223C30"/>
    <w:rsid w:val="0022552E"/>
    <w:rsid w:val="002332D4"/>
    <w:rsid w:val="00233E4C"/>
    <w:rsid w:val="00234AA5"/>
    <w:rsid w:val="00234AC8"/>
    <w:rsid w:val="002353C3"/>
    <w:rsid w:val="00241B23"/>
    <w:rsid w:val="00241CEC"/>
    <w:rsid w:val="0024547E"/>
    <w:rsid w:val="00250A41"/>
    <w:rsid w:val="00251BCA"/>
    <w:rsid w:val="00251EA1"/>
    <w:rsid w:val="00252146"/>
    <w:rsid w:val="00253A1A"/>
    <w:rsid w:val="00253C70"/>
    <w:rsid w:val="00255EEA"/>
    <w:rsid w:val="00256F09"/>
    <w:rsid w:val="00257514"/>
    <w:rsid w:val="002577E6"/>
    <w:rsid w:val="00260182"/>
    <w:rsid w:val="002601E1"/>
    <w:rsid w:val="0026038A"/>
    <w:rsid w:val="002612D4"/>
    <w:rsid w:val="00261346"/>
    <w:rsid w:val="00261467"/>
    <w:rsid w:val="00264503"/>
    <w:rsid w:val="00266159"/>
    <w:rsid w:val="0026657A"/>
    <w:rsid w:val="00267A42"/>
    <w:rsid w:val="0027177F"/>
    <w:rsid w:val="00273235"/>
    <w:rsid w:val="00274B45"/>
    <w:rsid w:val="002771F8"/>
    <w:rsid w:val="00280690"/>
    <w:rsid w:val="002809A5"/>
    <w:rsid w:val="00280C62"/>
    <w:rsid w:val="00281411"/>
    <w:rsid w:val="0028423E"/>
    <w:rsid w:val="002910E7"/>
    <w:rsid w:val="002926C8"/>
    <w:rsid w:val="0029688E"/>
    <w:rsid w:val="002968CC"/>
    <w:rsid w:val="002A1501"/>
    <w:rsid w:val="002A362F"/>
    <w:rsid w:val="002A3A69"/>
    <w:rsid w:val="002A4944"/>
    <w:rsid w:val="002A6148"/>
    <w:rsid w:val="002A79CF"/>
    <w:rsid w:val="002A7B29"/>
    <w:rsid w:val="002A7DFA"/>
    <w:rsid w:val="002B2289"/>
    <w:rsid w:val="002B26EB"/>
    <w:rsid w:val="002B294A"/>
    <w:rsid w:val="002B4D18"/>
    <w:rsid w:val="002B62CE"/>
    <w:rsid w:val="002C069E"/>
    <w:rsid w:val="002C1B5E"/>
    <w:rsid w:val="002C21FF"/>
    <w:rsid w:val="002C49FE"/>
    <w:rsid w:val="002C7349"/>
    <w:rsid w:val="002D0351"/>
    <w:rsid w:val="002D0E47"/>
    <w:rsid w:val="002D1709"/>
    <w:rsid w:val="002D259D"/>
    <w:rsid w:val="002D3201"/>
    <w:rsid w:val="002D38D7"/>
    <w:rsid w:val="002D3AF1"/>
    <w:rsid w:val="002D6148"/>
    <w:rsid w:val="002D636E"/>
    <w:rsid w:val="002D706A"/>
    <w:rsid w:val="002E0BC9"/>
    <w:rsid w:val="002E2C34"/>
    <w:rsid w:val="002E46A2"/>
    <w:rsid w:val="002E4B93"/>
    <w:rsid w:val="002E6B1F"/>
    <w:rsid w:val="002E705C"/>
    <w:rsid w:val="002F0103"/>
    <w:rsid w:val="002F03E2"/>
    <w:rsid w:val="002F2A63"/>
    <w:rsid w:val="002F4A7D"/>
    <w:rsid w:val="002F614F"/>
    <w:rsid w:val="002F67A4"/>
    <w:rsid w:val="002F7C84"/>
    <w:rsid w:val="002F7CFE"/>
    <w:rsid w:val="00301CA4"/>
    <w:rsid w:val="003037BF"/>
    <w:rsid w:val="00304C1B"/>
    <w:rsid w:val="003058A4"/>
    <w:rsid w:val="00310C17"/>
    <w:rsid w:val="0031279C"/>
    <w:rsid w:val="00312D1C"/>
    <w:rsid w:val="00313C69"/>
    <w:rsid w:val="003151AD"/>
    <w:rsid w:val="00315F2E"/>
    <w:rsid w:val="0031703F"/>
    <w:rsid w:val="00322210"/>
    <w:rsid w:val="00323520"/>
    <w:rsid w:val="00327D06"/>
    <w:rsid w:val="003311B7"/>
    <w:rsid w:val="00335A95"/>
    <w:rsid w:val="003407C0"/>
    <w:rsid w:val="00343383"/>
    <w:rsid w:val="00344AD0"/>
    <w:rsid w:val="00345A70"/>
    <w:rsid w:val="00346024"/>
    <w:rsid w:val="0034607F"/>
    <w:rsid w:val="003507F8"/>
    <w:rsid w:val="00353342"/>
    <w:rsid w:val="00354364"/>
    <w:rsid w:val="00356941"/>
    <w:rsid w:val="00356960"/>
    <w:rsid w:val="00356E5C"/>
    <w:rsid w:val="00364BAE"/>
    <w:rsid w:val="0036608D"/>
    <w:rsid w:val="003673F0"/>
    <w:rsid w:val="0036797F"/>
    <w:rsid w:val="00372A7C"/>
    <w:rsid w:val="00373CCF"/>
    <w:rsid w:val="003766EB"/>
    <w:rsid w:val="0038254E"/>
    <w:rsid w:val="003842D8"/>
    <w:rsid w:val="003846B3"/>
    <w:rsid w:val="00386323"/>
    <w:rsid w:val="00390116"/>
    <w:rsid w:val="003905ED"/>
    <w:rsid w:val="003913F9"/>
    <w:rsid w:val="00391745"/>
    <w:rsid w:val="003928B8"/>
    <w:rsid w:val="00392B35"/>
    <w:rsid w:val="00392CF1"/>
    <w:rsid w:val="00397C0C"/>
    <w:rsid w:val="003A3E3A"/>
    <w:rsid w:val="003A440F"/>
    <w:rsid w:val="003A4F03"/>
    <w:rsid w:val="003A4F9D"/>
    <w:rsid w:val="003A7350"/>
    <w:rsid w:val="003A77FC"/>
    <w:rsid w:val="003A7C86"/>
    <w:rsid w:val="003B0359"/>
    <w:rsid w:val="003B07C1"/>
    <w:rsid w:val="003B3A8B"/>
    <w:rsid w:val="003B3E0D"/>
    <w:rsid w:val="003B7533"/>
    <w:rsid w:val="003C0675"/>
    <w:rsid w:val="003C0A90"/>
    <w:rsid w:val="003C11F6"/>
    <w:rsid w:val="003C2187"/>
    <w:rsid w:val="003C350D"/>
    <w:rsid w:val="003C4564"/>
    <w:rsid w:val="003C5228"/>
    <w:rsid w:val="003C53FA"/>
    <w:rsid w:val="003C6085"/>
    <w:rsid w:val="003C6F7C"/>
    <w:rsid w:val="003C78D1"/>
    <w:rsid w:val="003D1AA2"/>
    <w:rsid w:val="003D2862"/>
    <w:rsid w:val="003D361C"/>
    <w:rsid w:val="003D4CA2"/>
    <w:rsid w:val="003D6E4B"/>
    <w:rsid w:val="003E1E65"/>
    <w:rsid w:val="003E3076"/>
    <w:rsid w:val="003E41F2"/>
    <w:rsid w:val="003E4473"/>
    <w:rsid w:val="003E54FD"/>
    <w:rsid w:val="003F05E7"/>
    <w:rsid w:val="003F09D5"/>
    <w:rsid w:val="003F4453"/>
    <w:rsid w:val="003F598E"/>
    <w:rsid w:val="003F5C69"/>
    <w:rsid w:val="003F76A5"/>
    <w:rsid w:val="0040061F"/>
    <w:rsid w:val="00400902"/>
    <w:rsid w:val="00400BD1"/>
    <w:rsid w:val="00401A41"/>
    <w:rsid w:val="00401F7C"/>
    <w:rsid w:val="00402361"/>
    <w:rsid w:val="0040367D"/>
    <w:rsid w:val="0040572D"/>
    <w:rsid w:val="0040614B"/>
    <w:rsid w:val="0041102C"/>
    <w:rsid w:val="00411D90"/>
    <w:rsid w:val="0041211B"/>
    <w:rsid w:val="00413354"/>
    <w:rsid w:val="0041335D"/>
    <w:rsid w:val="004135E2"/>
    <w:rsid w:val="00413778"/>
    <w:rsid w:val="00413DE3"/>
    <w:rsid w:val="00414C25"/>
    <w:rsid w:val="004173A1"/>
    <w:rsid w:val="00417579"/>
    <w:rsid w:val="0041762D"/>
    <w:rsid w:val="00420621"/>
    <w:rsid w:val="0042074B"/>
    <w:rsid w:val="00420827"/>
    <w:rsid w:val="00420BC1"/>
    <w:rsid w:val="00421735"/>
    <w:rsid w:val="00421E70"/>
    <w:rsid w:val="0042278A"/>
    <w:rsid w:val="00422B20"/>
    <w:rsid w:val="00427E02"/>
    <w:rsid w:val="004306B7"/>
    <w:rsid w:val="004325C4"/>
    <w:rsid w:val="00433B89"/>
    <w:rsid w:val="00433EFE"/>
    <w:rsid w:val="00435688"/>
    <w:rsid w:val="00435841"/>
    <w:rsid w:val="00436135"/>
    <w:rsid w:val="00437915"/>
    <w:rsid w:val="004421BE"/>
    <w:rsid w:val="00443B21"/>
    <w:rsid w:val="00447222"/>
    <w:rsid w:val="00450F3F"/>
    <w:rsid w:val="0046276C"/>
    <w:rsid w:val="004628A9"/>
    <w:rsid w:val="0046326F"/>
    <w:rsid w:val="0046531D"/>
    <w:rsid w:val="00473144"/>
    <w:rsid w:val="00475180"/>
    <w:rsid w:val="00475371"/>
    <w:rsid w:val="00475D58"/>
    <w:rsid w:val="004761BE"/>
    <w:rsid w:val="004763E0"/>
    <w:rsid w:val="0047747C"/>
    <w:rsid w:val="00477FB1"/>
    <w:rsid w:val="00480501"/>
    <w:rsid w:val="004806B8"/>
    <w:rsid w:val="00481BE8"/>
    <w:rsid w:val="0048286F"/>
    <w:rsid w:val="004841B3"/>
    <w:rsid w:val="004863DA"/>
    <w:rsid w:val="004901F7"/>
    <w:rsid w:val="00490BCE"/>
    <w:rsid w:val="00493F29"/>
    <w:rsid w:val="004954EA"/>
    <w:rsid w:val="00495E79"/>
    <w:rsid w:val="00495F96"/>
    <w:rsid w:val="004A0BE0"/>
    <w:rsid w:val="004A1426"/>
    <w:rsid w:val="004A16E9"/>
    <w:rsid w:val="004A1AF8"/>
    <w:rsid w:val="004A2B23"/>
    <w:rsid w:val="004A65D3"/>
    <w:rsid w:val="004A6758"/>
    <w:rsid w:val="004A6E55"/>
    <w:rsid w:val="004A7213"/>
    <w:rsid w:val="004A7E45"/>
    <w:rsid w:val="004B38FB"/>
    <w:rsid w:val="004B4277"/>
    <w:rsid w:val="004B6E5F"/>
    <w:rsid w:val="004C0371"/>
    <w:rsid w:val="004C4B5A"/>
    <w:rsid w:val="004C5375"/>
    <w:rsid w:val="004C74B2"/>
    <w:rsid w:val="004C76CB"/>
    <w:rsid w:val="004D0356"/>
    <w:rsid w:val="004D145D"/>
    <w:rsid w:val="004D216F"/>
    <w:rsid w:val="004D2E84"/>
    <w:rsid w:val="004D3BCA"/>
    <w:rsid w:val="004D452C"/>
    <w:rsid w:val="004D4C8D"/>
    <w:rsid w:val="004D5434"/>
    <w:rsid w:val="004D6AC2"/>
    <w:rsid w:val="004D7B5B"/>
    <w:rsid w:val="004E17BF"/>
    <w:rsid w:val="004E3138"/>
    <w:rsid w:val="004E6A6F"/>
    <w:rsid w:val="004E75E7"/>
    <w:rsid w:val="004F226E"/>
    <w:rsid w:val="004F2EDC"/>
    <w:rsid w:val="004F4546"/>
    <w:rsid w:val="004F6511"/>
    <w:rsid w:val="004F6727"/>
    <w:rsid w:val="00506FED"/>
    <w:rsid w:val="00507E58"/>
    <w:rsid w:val="005137A2"/>
    <w:rsid w:val="0051466C"/>
    <w:rsid w:val="00515948"/>
    <w:rsid w:val="00520318"/>
    <w:rsid w:val="00520820"/>
    <w:rsid w:val="005208E8"/>
    <w:rsid w:val="00523B70"/>
    <w:rsid w:val="005260B7"/>
    <w:rsid w:val="00526B9E"/>
    <w:rsid w:val="005271F3"/>
    <w:rsid w:val="00527657"/>
    <w:rsid w:val="00534768"/>
    <w:rsid w:val="00535618"/>
    <w:rsid w:val="005405AC"/>
    <w:rsid w:val="005406F9"/>
    <w:rsid w:val="0054087E"/>
    <w:rsid w:val="00541442"/>
    <w:rsid w:val="00542342"/>
    <w:rsid w:val="00542A4C"/>
    <w:rsid w:val="005432A1"/>
    <w:rsid w:val="005435F3"/>
    <w:rsid w:val="00547DC0"/>
    <w:rsid w:val="005517E7"/>
    <w:rsid w:val="005532F6"/>
    <w:rsid w:val="0055335A"/>
    <w:rsid w:val="005615CA"/>
    <w:rsid w:val="005618B8"/>
    <w:rsid w:val="00563CD1"/>
    <w:rsid w:val="005648FD"/>
    <w:rsid w:val="005649A2"/>
    <w:rsid w:val="00566882"/>
    <w:rsid w:val="0057024F"/>
    <w:rsid w:val="00570B19"/>
    <w:rsid w:val="00570ED8"/>
    <w:rsid w:val="005716D5"/>
    <w:rsid w:val="0057355C"/>
    <w:rsid w:val="00574362"/>
    <w:rsid w:val="005748B5"/>
    <w:rsid w:val="00574C65"/>
    <w:rsid w:val="00575340"/>
    <w:rsid w:val="00577128"/>
    <w:rsid w:val="00577FA7"/>
    <w:rsid w:val="005810E5"/>
    <w:rsid w:val="0058198A"/>
    <w:rsid w:val="005824D3"/>
    <w:rsid w:val="00582D26"/>
    <w:rsid w:val="00586DA9"/>
    <w:rsid w:val="00586F3E"/>
    <w:rsid w:val="00587176"/>
    <w:rsid w:val="005916E1"/>
    <w:rsid w:val="00591E7D"/>
    <w:rsid w:val="00591EA2"/>
    <w:rsid w:val="00596ACC"/>
    <w:rsid w:val="005A07D6"/>
    <w:rsid w:val="005A0BAD"/>
    <w:rsid w:val="005A2770"/>
    <w:rsid w:val="005A28A1"/>
    <w:rsid w:val="005A2BBA"/>
    <w:rsid w:val="005A37F3"/>
    <w:rsid w:val="005A52C8"/>
    <w:rsid w:val="005A6C19"/>
    <w:rsid w:val="005B0466"/>
    <w:rsid w:val="005B416B"/>
    <w:rsid w:val="005B4BE7"/>
    <w:rsid w:val="005B6556"/>
    <w:rsid w:val="005C1163"/>
    <w:rsid w:val="005C2340"/>
    <w:rsid w:val="005C2506"/>
    <w:rsid w:val="005C3A6D"/>
    <w:rsid w:val="005C3D48"/>
    <w:rsid w:val="005C504B"/>
    <w:rsid w:val="005C6733"/>
    <w:rsid w:val="005C6907"/>
    <w:rsid w:val="005C6BD5"/>
    <w:rsid w:val="005C6F60"/>
    <w:rsid w:val="005C7562"/>
    <w:rsid w:val="005D1DDD"/>
    <w:rsid w:val="005D1F9E"/>
    <w:rsid w:val="005D205F"/>
    <w:rsid w:val="005D214D"/>
    <w:rsid w:val="005D3435"/>
    <w:rsid w:val="005D5825"/>
    <w:rsid w:val="005D5FB0"/>
    <w:rsid w:val="005E1EA3"/>
    <w:rsid w:val="005E23B5"/>
    <w:rsid w:val="005E2DDA"/>
    <w:rsid w:val="005E4B33"/>
    <w:rsid w:val="005E5194"/>
    <w:rsid w:val="005E5410"/>
    <w:rsid w:val="005E5F95"/>
    <w:rsid w:val="005F1E9F"/>
    <w:rsid w:val="005F2581"/>
    <w:rsid w:val="005F2A2F"/>
    <w:rsid w:val="005F2FD5"/>
    <w:rsid w:val="005F3BC6"/>
    <w:rsid w:val="005F3DE6"/>
    <w:rsid w:val="00600C40"/>
    <w:rsid w:val="00602078"/>
    <w:rsid w:val="00602312"/>
    <w:rsid w:val="00602DF4"/>
    <w:rsid w:val="00602FCB"/>
    <w:rsid w:val="0060343D"/>
    <w:rsid w:val="006052F7"/>
    <w:rsid w:val="0060581C"/>
    <w:rsid w:val="00606F86"/>
    <w:rsid w:val="00607E41"/>
    <w:rsid w:val="006131B2"/>
    <w:rsid w:val="0061385E"/>
    <w:rsid w:val="006166B6"/>
    <w:rsid w:val="00621F04"/>
    <w:rsid w:val="0062371D"/>
    <w:rsid w:val="006260EA"/>
    <w:rsid w:val="00627460"/>
    <w:rsid w:val="00632026"/>
    <w:rsid w:val="006327BC"/>
    <w:rsid w:val="006328A4"/>
    <w:rsid w:val="0063496A"/>
    <w:rsid w:val="00643665"/>
    <w:rsid w:val="00644975"/>
    <w:rsid w:val="00644B8C"/>
    <w:rsid w:val="00646CAB"/>
    <w:rsid w:val="0065081F"/>
    <w:rsid w:val="0065339A"/>
    <w:rsid w:val="00654B5B"/>
    <w:rsid w:val="00654B8E"/>
    <w:rsid w:val="0065563D"/>
    <w:rsid w:val="006563CA"/>
    <w:rsid w:val="00656EF3"/>
    <w:rsid w:val="00660F02"/>
    <w:rsid w:val="00661CAE"/>
    <w:rsid w:val="0066480A"/>
    <w:rsid w:val="00666C9E"/>
    <w:rsid w:val="006704A1"/>
    <w:rsid w:val="00671C8C"/>
    <w:rsid w:val="00673B5C"/>
    <w:rsid w:val="00674BC8"/>
    <w:rsid w:val="00681645"/>
    <w:rsid w:val="00682FD6"/>
    <w:rsid w:val="006842BB"/>
    <w:rsid w:val="006855CB"/>
    <w:rsid w:val="00691D7E"/>
    <w:rsid w:val="00692C34"/>
    <w:rsid w:val="0069410B"/>
    <w:rsid w:val="006941D6"/>
    <w:rsid w:val="0069550E"/>
    <w:rsid w:val="00696FD2"/>
    <w:rsid w:val="006A1213"/>
    <w:rsid w:val="006A27DD"/>
    <w:rsid w:val="006A29BC"/>
    <w:rsid w:val="006A5BC4"/>
    <w:rsid w:val="006A62DC"/>
    <w:rsid w:val="006A6434"/>
    <w:rsid w:val="006A6B17"/>
    <w:rsid w:val="006B00AF"/>
    <w:rsid w:val="006B1983"/>
    <w:rsid w:val="006B6EDF"/>
    <w:rsid w:val="006C08AF"/>
    <w:rsid w:val="006C3107"/>
    <w:rsid w:val="006C59F9"/>
    <w:rsid w:val="006C73F8"/>
    <w:rsid w:val="006D2D36"/>
    <w:rsid w:val="006D36CA"/>
    <w:rsid w:val="006E021E"/>
    <w:rsid w:val="006E11CF"/>
    <w:rsid w:val="006E53FA"/>
    <w:rsid w:val="006E5C3F"/>
    <w:rsid w:val="006E7644"/>
    <w:rsid w:val="006E7FA7"/>
    <w:rsid w:val="006F3813"/>
    <w:rsid w:val="006F5133"/>
    <w:rsid w:val="006F55B9"/>
    <w:rsid w:val="006F5BB8"/>
    <w:rsid w:val="00704AA5"/>
    <w:rsid w:val="00705E68"/>
    <w:rsid w:val="00706FDA"/>
    <w:rsid w:val="00707130"/>
    <w:rsid w:val="00711850"/>
    <w:rsid w:val="00711F3E"/>
    <w:rsid w:val="00713901"/>
    <w:rsid w:val="00713F0A"/>
    <w:rsid w:val="007149EA"/>
    <w:rsid w:val="0072199D"/>
    <w:rsid w:val="00722582"/>
    <w:rsid w:val="00723ECC"/>
    <w:rsid w:val="00724CAE"/>
    <w:rsid w:val="007260C4"/>
    <w:rsid w:val="00726601"/>
    <w:rsid w:val="007346CC"/>
    <w:rsid w:val="00734B3A"/>
    <w:rsid w:val="00742A6D"/>
    <w:rsid w:val="00742E0B"/>
    <w:rsid w:val="0074614E"/>
    <w:rsid w:val="007472DC"/>
    <w:rsid w:val="00747A93"/>
    <w:rsid w:val="00747DDE"/>
    <w:rsid w:val="0075055F"/>
    <w:rsid w:val="007508E4"/>
    <w:rsid w:val="00751DC8"/>
    <w:rsid w:val="00752A94"/>
    <w:rsid w:val="00753F86"/>
    <w:rsid w:val="007558B8"/>
    <w:rsid w:val="007615BE"/>
    <w:rsid w:val="00766501"/>
    <w:rsid w:val="0076678F"/>
    <w:rsid w:val="0077146F"/>
    <w:rsid w:val="0077167F"/>
    <w:rsid w:val="0077387A"/>
    <w:rsid w:val="007742E2"/>
    <w:rsid w:val="00774E12"/>
    <w:rsid w:val="00777921"/>
    <w:rsid w:val="00780C87"/>
    <w:rsid w:val="007824C8"/>
    <w:rsid w:val="007839A4"/>
    <w:rsid w:val="00784C43"/>
    <w:rsid w:val="00786852"/>
    <w:rsid w:val="007868C9"/>
    <w:rsid w:val="00786EA4"/>
    <w:rsid w:val="007931DF"/>
    <w:rsid w:val="00793B1B"/>
    <w:rsid w:val="00795A7A"/>
    <w:rsid w:val="00797296"/>
    <w:rsid w:val="007975C6"/>
    <w:rsid w:val="007A0267"/>
    <w:rsid w:val="007A05C0"/>
    <w:rsid w:val="007A32DD"/>
    <w:rsid w:val="007A374F"/>
    <w:rsid w:val="007A60D1"/>
    <w:rsid w:val="007A6202"/>
    <w:rsid w:val="007A6FBF"/>
    <w:rsid w:val="007B0066"/>
    <w:rsid w:val="007B2A0B"/>
    <w:rsid w:val="007B3DCC"/>
    <w:rsid w:val="007B51D2"/>
    <w:rsid w:val="007C0354"/>
    <w:rsid w:val="007C0540"/>
    <w:rsid w:val="007C1522"/>
    <w:rsid w:val="007C20C5"/>
    <w:rsid w:val="007C3901"/>
    <w:rsid w:val="007C3E37"/>
    <w:rsid w:val="007C4354"/>
    <w:rsid w:val="007C6DF9"/>
    <w:rsid w:val="007D010F"/>
    <w:rsid w:val="007D038E"/>
    <w:rsid w:val="007D14E3"/>
    <w:rsid w:val="007D7722"/>
    <w:rsid w:val="007E4A49"/>
    <w:rsid w:val="007F0EEE"/>
    <w:rsid w:val="007F3045"/>
    <w:rsid w:val="007F3810"/>
    <w:rsid w:val="007F4BB5"/>
    <w:rsid w:val="007F55BE"/>
    <w:rsid w:val="007F5D14"/>
    <w:rsid w:val="007F60DE"/>
    <w:rsid w:val="007F6CA8"/>
    <w:rsid w:val="007F7FCF"/>
    <w:rsid w:val="00801B26"/>
    <w:rsid w:val="00802C8D"/>
    <w:rsid w:val="008042FC"/>
    <w:rsid w:val="00804559"/>
    <w:rsid w:val="00807A9B"/>
    <w:rsid w:val="0081109C"/>
    <w:rsid w:val="00811A79"/>
    <w:rsid w:val="00814987"/>
    <w:rsid w:val="00815D79"/>
    <w:rsid w:val="0081704C"/>
    <w:rsid w:val="008176DA"/>
    <w:rsid w:val="008177FC"/>
    <w:rsid w:val="008210A7"/>
    <w:rsid w:val="008217E3"/>
    <w:rsid w:val="0082266F"/>
    <w:rsid w:val="008230EE"/>
    <w:rsid w:val="008233D0"/>
    <w:rsid w:val="008235D0"/>
    <w:rsid w:val="00823864"/>
    <w:rsid w:val="00824644"/>
    <w:rsid w:val="00831231"/>
    <w:rsid w:val="008315D5"/>
    <w:rsid w:val="008342C0"/>
    <w:rsid w:val="008355AE"/>
    <w:rsid w:val="00836EA7"/>
    <w:rsid w:val="0083749B"/>
    <w:rsid w:val="0084314A"/>
    <w:rsid w:val="008452CB"/>
    <w:rsid w:val="008453EA"/>
    <w:rsid w:val="00845FFA"/>
    <w:rsid w:val="00846DE8"/>
    <w:rsid w:val="00847BB4"/>
    <w:rsid w:val="00851082"/>
    <w:rsid w:val="00854586"/>
    <w:rsid w:val="00854880"/>
    <w:rsid w:val="00855405"/>
    <w:rsid w:val="00856575"/>
    <w:rsid w:val="00860C6B"/>
    <w:rsid w:val="00861150"/>
    <w:rsid w:val="00862D32"/>
    <w:rsid w:val="008632AA"/>
    <w:rsid w:val="0086335F"/>
    <w:rsid w:val="00871825"/>
    <w:rsid w:val="00871848"/>
    <w:rsid w:val="0087329A"/>
    <w:rsid w:val="0087355D"/>
    <w:rsid w:val="0087391B"/>
    <w:rsid w:val="00873D6A"/>
    <w:rsid w:val="0087404F"/>
    <w:rsid w:val="00875445"/>
    <w:rsid w:val="008759D0"/>
    <w:rsid w:val="00875C59"/>
    <w:rsid w:val="0087607F"/>
    <w:rsid w:val="00876D85"/>
    <w:rsid w:val="0088000E"/>
    <w:rsid w:val="00880D15"/>
    <w:rsid w:val="00881868"/>
    <w:rsid w:val="0088332C"/>
    <w:rsid w:val="008909CA"/>
    <w:rsid w:val="008921B7"/>
    <w:rsid w:val="0089460C"/>
    <w:rsid w:val="00894D5B"/>
    <w:rsid w:val="00895582"/>
    <w:rsid w:val="00895D02"/>
    <w:rsid w:val="00897899"/>
    <w:rsid w:val="00897D61"/>
    <w:rsid w:val="008A342A"/>
    <w:rsid w:val="008A42BA"/>
    <w:rsid w:val="008A5C7E"/>
    <w:rsid w:val="008A5CB7"/>
    <w:rsid w:val="008A60B7"/>
    <w:rsid w:val="008B159F"/>
    <w:rsid w:val="008B18CA"/>
    <w:rsid w:val="008B2491"/>
    <w:rsid w:val="008B2D51"/>
    <w:rsid w:val="008B30C1"/>
    <w:rsid w:val="008B543E"/>
    <w:rsid w:val="008B68C3"/>
    <w:rsid w:val="008C00E2"/>
    <w:rsid w:val="008C747F"/>
    <w:rsid w:val="008C74D8"/>
    <w:rsid w:val="008C75DC"/>
    <w:rsid w:val="008D0330"/>
    <w:rsid w:val="008D409B"/>
    <w:rsid w:val="008D42AE"/>
    <w:rsid w:val="008D4F57"/>
    <w:rsid w:val="008E1481"/>
    <w:rsid w:val="008E1D9A"/>
    <w:rsid w:val="008E38C8"/>
    <w:rsid w:val="008E506F"/>
    <w:rsid w:val="008E558D"/>
    <w:rsid w:val="008E5CFE"/>
    <w:rsid w:val="008E73E2"/>
    <w:rsid w:val="008E7FED"/>
    <w:rsid w:val="008F01C5"/>
    <w:rsid w:val="008F375B"/>
    <w:rsid w:val="008F4363"/>
    <w:rsid w:val="008F6A7B"/>
    <w:rsid w:val="008F6D0C"/>
    <w:rsid w:val="008F70CD"/>
    <w:rsid w:val="00900456"/>
    <w:rsid w:val="00900E76"/>
    <w:rsid w:val="00901017"/>
    <w:rsid w:val="00901D48"/>
    <w:rsid w:val="00904AC5"/>
    <w:rsid w:val="0090550E"/>
    <w:rsid w:val="00905512"/>
    <w:rsid w:val="00910639"/>
    <w:rsid w:val="00911672"/>
    <w:rsid w:val="00911DC5"/>
    <w:rsid w:val="00911DDA"/>
    <w:rsid w:val="00912393"/>
    <w:rsid w:val="009123FB"/>
    <w:rsid w:val="009126C7"/>
    <w:rsid w:val="00914DA5"/>
    <w:rsid w:val="00915637"/>
    <w:rsid w:val="00916C48"/>
    <w:rsid w:val="00916C74"/>
    <w:rsid w:val="009222C7"/>
    <w:rsid w:val="009236BC"/>
    <w:rsid w:val="009240ED"/>
    <w:rsid w:val="009259D0"/>
    <w:rsid w:val="009261B9"/>
    <w:rsid w:val="009308FA"/>
    <w:rsid w:val="00931DD9"/>
    <w:rsid w:val="00934A86"/>
    <w:rsid w:val="00935E0D"/>
    <w:rsid w:val="00936DC0"/>
    <w:rsid w:val="009376EA"/>
    <w:rsid w:val="00942CCF"/>
    <w:rsid w:val="00944057"/>
    <w:rsid w:val="00946E28"/>
    <w:rsid w:val="00946F6A"/>
    <w:rsid w:val="00950DB7"/>
    <w:rsid w:val="00951756"/>
    <w:rsid w:val="009521DF"/>
    <w:rsid w:val="00952E12"/>
    <w:rsid w:val="009536E6"/>
    <w:rsid w:val="00953839"/>
    <w:rsid w:val="00954831"/>
    <w:rsid w:val="00956827"/>
    <w:rsid w:val="00957EC3"/>
    <w:rsid w:val="00960655"/>
    <w:rsid w:val="00960E63"/>
    <w:rsid w:val="00961C0B"/>
    <w:rsid w:val="009622E2"/>
    <w:rsid w:val="009736CB"/>
    <w:rsid w:val="00973C71"/>
    <w:rsid w:val="00973D5D"/>
    <w:rsid w:val="00975180"/>
    <w:rsid w:val="009775C1"/>
    <w:rsid w:val="00980F9E"/>
    <w:rsid w:val="00981165"/>
    <w:rsid w:val="00984D5C"/>
    <w:rsid w:val="00987C41"/>
    <w:rsid w:val="009904BC"/>
    <w:rsid w:val="0099174E"/>
    <w:rsid w:val="00992599"/>
    <w:rsid w:val="00992791"/>
    <w:rsid w:val="00992968"/>
    <w:rsid w:val="00992B62"/>
    <w:rsid w:val="00994058"/>
    <w:rsid w:val="009958B9"/>
    <w:rsid w:val="00997874"/>
    <w:rsid w:val="009A0687"/>
    <w:rsid w:val="009A1254"/>
    <w:rsid w:val="009A2BC2"/>
    <w:rsid w:val="009A6CD0"/>
    <w:rsid w:val="009A74D4"/>
    <w:rsid w:val="009B605B"/>
    <w:rsid w:val="009C0215"/>
    <w:rsid w:val="009C0E3F"/>
    <w:rsid w:val="009C18CF"/>
    <w:rsid w:val="009C211F"/>
    <w:rsid w:val="009C2202"/>
    <w:rsid w:val="009C3A93"/>
    <w:rsid w:val="009C3D73"/>
    <w:rsid w:val="009C40A0"/>
    <w:rsid w:val="009C6743"/>
    <w:rsid w:val="009D170C"/>
    <w:rsid w:val="009D48BC"/>
    <w:rsid w:val="009D7726"/>
    <w:rsid w:val="009E0630"/>
    <w:rsid w:val="009E0667"/>
    <w:rsid w:val="009E1258"/>
    <w:rsid w:val="009E2F92"/>
    <w:rsid w:val="009E3A21"/>
    <w:rsid w:val="009E5112"/>
    <w:rsid w:val="009E5A24"/>
    <w:rsid w:val="009E769E"/>
    <w:rsid w:val="009F4476"/>
    <w:rsid w:val="009F6AAB"/>
    <w:rsid w:val="009F6F68"/>
    <w:rsid w:val="00A004B8"/>
    <w:rsid w:val="00A013A1"/>
    <w:rsid w:val="00A0248C"/>
    <w:rsid w:val="00A04157"/>
    <w:rsid w:val="00A05F56"/>
    <w:rsid w:val="00A12518"/>
    <w:rsid w:val="00A155E8"/>
    <w:rsid w:val="00A17E8E"/>
    <w:rsid w:val="00A20714"/>
    <w:rsid w:val="00A21092"/>
    <w:rsid w:val="00A216CC"/>
    <w:rsid w:val="00A23729"/>
    <w:rsid w:val="00A25E26"/>
    <w:rsid w:val="00A265EA"/>
    <w:rsid w:val="00A302B8"/>
    <w:rsid w:val="00A33A81"/>
    <w:rsid w:val="00A354CC"/>
    <w:rsid w:val="00A364C3"/>
    <w:rsid w:val="00A40D6A"/>
    <w:rsid w:val="00A43472"/>
    <w:rsid w:val="00A43DC5"/>
    <w:rsid w:val="00A4413B"/>
    <w:rsid w:val="00A45850"/>
    <w:rsid w:val="00A47516"/>
    <w:rsid w:val="00A52261"/>
    <w:rsid w:val="00A52498"/>
    <w:rsid w:val="00A53DC2"/>
    <w:rsid w:val="00A54C2E"/>
    <w:rsid w:val="00A61A7B"/>
    <w:rsid w:val="00A62F24"/>
    <w:rsid w:val="00A641AC"/>
    <w:rsid w:val="00A64445"/>
    <w:rsid w:val="00A647A0"/>
    <w:rsid w:val="00A64A4E"/>
    <w:rsid w:val="00A65E8B"/>
    <w:rsid w:val="00A66153"/>
    <w:rsid w:val="00A669AF"/>
    <w:rsid w:val="00A66DE4"/>
    <w:rsid w:val="00A676EB"/>
    <w:rsid w:val="00A67D20"/>
    <w:rsid w:val="00A72AED"/>
    <w:rsid w:val="00A73A6C"/>
    <w:rsid w:val="00A84016"/>
    <w:rsid w:val="00A87423"/>
    <w:rsid w:val="00A90A79"/>
    <w:rsid w:val="00A91507"/>
    <w:rsid w:val="00A926A1"/>
    <w:rsid w:val="00A9297E"/>
    <w:rsid w:val="00A93B17"/>
    <w:rsid w:val="00A94537"/>
    <w:rsid w:val="00A96712"/>
    <w:rsid w:val="00A96B6B"/>
    <w:rsid w:val="00A97408"/>
    <w:rsid w:val="00A97846"/>
    <w:rsid w:val="00A97D7B"/>
    <w:rsid w:val="00AA0EE7"/>
    <w:rsid w:val="00AA1C43"/>
    <w:rsid w:val="00AA369C"/>
    <w:rsid w:val="00AA3F7B"/>
    <w:rsid w:val="00AA5F39"/>
    <w:rsid w:val="00AA669B"/>
    <w:rsid w:val="00AB26BF"/>
    <w:rsid w:val="00AC1836"/>
    <w:rsid w:val="00AC2E3D"/>
    <w:rsid w:val="00AC3EEE"/>
    <w:rsid w:val="00AC6C2D"/>
    <w:rsid w:val="00AD0BAB"/>
    <w:rsid w:val="00AD2B83"/>
    <w:rsid w:val="00AD527F"/>
    <w:rsid w:val="00AD6D8E"/>
    <w:rsid w:val="00AE0F79"/>
    <w:rsid w:val="00AE1293"/>
    <w:rsid w:val="00AE295F"/>
    <w:rsid w:val="00AE66CA"/>
    <w:rsid w:val="00AE6AF5"/>
    <w:rsid w:val="00AF136E"/>
    <w:rsid w:val="00AF1544"/>
    <w:rsid w:val="00AF1A0E"/>
    <w:rsid w:val="00AF2150"/>
    <w:rsid w:val="00AF4745"/>
    <w:rsid w:val="00AF5993"/>
    <w:rsid w:val="00AF6A85"/>
    <w:rsid w:val="00B00052"/>
    <w:rsid w:val="00B0163A"/>
    <w:rsid w:val="00B01B10"/>
    <w:rsid w:val="00B01D62"/>
    <w:rsid w:val="00B022DA"/>
    <w:rsid w:val="00B05736"/>
    <w:rsid w:val="00B06801"/>
    <w:rsid w:val="00B0737F"/>
    <w:rsid w:val="00B1266A"/>
    <w:rsid w:val="00B136E2"/>
    <w:rsid w:val="00B1747C"/>
    <w:rsid w:val="00B205EB"/>
    <w:rsid w:val="00B20B93"/>
    <w:rsid w:val="00B21981"/>
    <w:rsid w:val="00B22DE8"/>
    <w:rsid w:val="00B232A7"/>
    <w:rsid w:val="00B25995"/>
    <w:rsid w:val="00B25AEB"/>
    <w:rsid w:val="00B26B4E"/>
    <w:rsid w:val="00B317F1"/>
    <w:rsid w:val="00B34167"/>
    <w:rsid w:val="00B343B2"/>
    <w:rsid w:val="00B34B20"/>
    <w:rsid w:val="00B43036"/>
    <w:rsid w:val="00B43299"/>
    <w:rsid w:val="00B43F71"/>
    <w:rsid w:val="00B466E7"/>
    <w:rsid w:val="00B50288"/>
    <w:rsid w:val="00B5059A"/>
    <w:rsid w:val="00B50663"/>
    <w:rsid w:val="00B50B59"/>
    <w:rsid w:val="00B5153B"/>
    <w:rsid w:val="00B51E06"/>
    <w:rsid w:val="00B5220B"/>
    <w:rsid w:val="00B530C3"/>
    <w:rsid w:val="00B55123"/>
    <w:rsid w:val="00B605E8"/>
    <w:rsid w:val="00B60E4E"/>
    <w:rsid w:val="00B60F36"/>
    <w:rsid w:val="00B61A3B"/>
    <w:rsid w:val="00B61CE0"/>
    <w:rsid w:val="00B61DDB"/>
    <w:rsid w:val="00B62D98"/>
    <w:rsid w:val="00B630B6"/>
    <w:rsid w:val="00B6383D"/>
    <w:rsid w:val="00B63D12"/>
    <w:rsid w:val="00B63FB0"/>
    <w:rsid w:val="00B6751A"/>
    <w:rsid w:val="00B70F27"/>
    <w:rsid w:val="00B7266F"/>
    <w:rsid w:val="00B74F3D"/>
    <w:rsid w:val="00B75510"/>
    <w:rsid w:val="00B804EE"/>
    <w:rsid w:val="00B82C44"/>
    <w:rsid w:val="00B82EB2"/>
    <w:rsid w:val="00B82F10"/>
    <w:rsid w:val="00B8380B"/>
    <w:rsid w:val="00B8604F"/>
    <w:rsid w:val="00B90C32"/>
    <w:rsid w:val="00B91EFA"/>
    <w:rsid w:val="00B92DDE"/>
    <w:rsid w:val="00B970E6"/>
    <w:rsid w:val="00B97D89"/>
    <w:rsid w:val="00B97E55"/>
    <w:rsid w:val="00BA05BA"/>
    <w:rsid w:val="00BA0F9A"/>
    <w:rsid w:val="00BA17A6"/>
    <w:rsid w:val="00BA2FAD"/>
    <w:rsid w:val="00BA30C5"/>
    <w:rsid w:val="00BA6887"/>
    <w:rsid w:val="00BB0742"/>
    <w:rsid w:val="00BB1630"/>
    <w:rsid w:val="00BB2BC6"/>
    <w:rsid w:val="00BB41EA"/>
    <w:rsid w:val="00BB4FAB"/>
    <w:rsid w:val="00BC10AD"/>
    <w:rsid w:val="00BC2165"/>
    <w:rsid w:val="00BD052C"/>
    <w:rsid w:val="00BD0AD3"/>
    <w:rsid w:val="00BD542F"/>
    <w:rsid w:val="00BD69A4"/>
    <w:rsid w:val="00BD7D73"/>
    <w:rsid w:val="00BE24DC"/>
    <w:rsid w:val="00BE3D58"/>
    <w:rsid w:val="00BE4D28"/>
    <w:rsid w:val="00BE53D1"/>
    <w:rsid w:val="00BE576D"/>
    <w:rsid w:val="00BE593F"/>
    <w:rsid w:val="00BE5BD7"/>
    <w:rsid w:val="00BE6C65"/>
    <w:rsid w:val="00BE70B4"/>
    <w:rsid w:val="00BE7ED6"/>
    <w:rsid w:val="00BF00F0"/>
    <w:rsid w:val="00BF0285"/>
    <w:rsid w:val="00BF1F40"/>
    <w:rsid w:val="00BF2133"/>
    <w:rsid w:val="00BF4932"/>
    <w:rsid w:val="00C0010B"/>
    <w:rsid w:val="00C02B22"/>
    <w:rsid w:val="00C02C9C"/>
    <w:rsid w:val="00C062A8"/>
    <w:rsid w:val="00C06420"/>
    <w:rsid w:val="00C07EA1"/>
    <w:rsid w:val="00C10946"/>
    <w:rsid w:val="00C11CE3"/>
    <w:rsid w:val="00C131AC"/>
    <w:rsid w:val="00C14C32"/>
    <w:rsid w:val="00C164EC"/>
    <w:rsid w:val="00C16C79"/>
    <w:rsid w:val="00C2008A"/>
    <w:rsid w:val="00C24F40"/>
    <w:rsid w:val="00C258B0"/>
    <w:rsid w:val="00C27F3D"/>
    <w:rsid w:val="00C30F89"/>
    <w:rsid w:val="00C32D77"/>
    <w:rsid w:val="00C34AD0"/>
    <w:rsid w:val="00C365C1"/>
    <w:rsid w:val="00C3661D"/>
    <w:rsid w:val="00C41184"/>
    <w:rsid w:val="00C43F9F"/>
    <w:rsid w:val="00C44986"/>
    <w:rsid w:val="00C44F2C"/>
    <w:rsid w:val="00C51E54"/>
    <w:rsid w:val="00C54895"/>
    <w:rsid w:val="00C60C6F"/>
    <w:rsid w:val="00C70E41"/>
    <w:rsid w:val="00C72EDF"/>
    <w:rsid w:val="00C7328A"/>
    <w:rsid w:val="00C754C2"/>
    <w:rsid w:val="00C765B2"/>
    <w:rsid w:val="00C76A63"/>
    <w:rsid w:val="00C77196"/>
    <w:rsid w:val="00C809FA"/>
    <w:rsid w:val="00C8122E"/>
    <w:rsid w:val="00C833F6"/>
    <w:rsid w:val="00C842A1"/>
    <w:rsid w:val="00C87937"/>
    <w:rsid w:val="00C87B9F"/>
    <w:rsid w:val="00C92BDC"/>
    <w:rsid w:val="00C94F42"/>
    <w:rsid w:val="00C9798A"/>
    <w:rsid w:val="00CA0718"/>
    <w:rsid w:val="00CA1DE2"/>
    <w:rsid w:val="00CA4FB7"/>
    <w:rsid w:val="00CA5E0B"/>
    <w:rsid w:val="00CB0408"/>
    <w:rsid w:val="00CB62B0"/>
    <w:rsid w:val="00CB684F"/>
    <w:rsid w:val="00CB7813"/>
    <w:rsid w:val="00CC1DF2"/>
    <w:rsid w:val="00CC239E"/>
    <w:rsid w:val="00CC4386"/>
    <w:rsid w:val="00CD38D2"/>
    <w:rsid w:val="00CD656C"/>
    <w:rsid w:val="00CD66D1"/>
    <w:rsid w:val="00CD7BF5"/>
    <w:rsid w:val="00CE2743"/>
    <w:rsid w:val="00CE41C2"/>
    <w:rsid w:val="00CE4286"/>
    <w:rsid w:val="00CE7F34"/>
    <w:rsid w:val="00CF097C"/>
    <w:rsid w:val="00CF0A7E"/>
    <w:rsid w:val="00CF2399"/>
    <w:rsid w:val="00CF586C"/>
    <w:rsid w:val="00CF7626"/>
    <w:rsid w:val="00D02BBD"/>
    <w:rsid w:val="00D02F18"/>
    <w:rsid w:val="00D0352D"/>
    <w:rsid w:val="00D049D8"/>
    <w:rsid w:val="00D0519E"/>
    <w:rsid w:val="00D05698"/>
    <w:rsid w:val="00D10670"/>
    <w:rsid w:val="00D147F7"/>
    <w:rsid w:val="00D17B5D"/>
    <w:rsid w:val="00D21CB8"/>
    <w:rsid w:val="00D25D43"/>
    <w:rsid w:val="00D310E1"/>
    <w:rsid w:val="00D32FC4"/>
    <w:rsid w:val="00D33AAE"/>
    <w:rsid w:val="00D345D6"/>
    <w:rsid w:val="00D34F82"/>
    <w:rsid w:val="00D3710C"/>
    <w:rsid w:val="00D37A39"/>
    <w:rsid w:val="00D40BDC"/>
    <w:rsid w:val="00D43038"/>
    <w:rsid w:val="00D449F0"/>
    <w:rsid w:val="00D46D9B"/>
    <w:rsid w:val="00D47ABC"/>
    <w:rsid w:val="00D53256"/>
    <w:rsid w:val="00D5449C"/>
    <w:rsid w:val="00D57DA9"/>
    <w:rsid w:val="00D6264C"/>
    <w:rsid w:val="00D62C10"/>
    <w:rsid w:val="00D62C4B"/>
    <w:rsid w:val="00D646C8"/>
    <w:rsid w:val="00D674EC"/>
    <w:rsid w:val="00D67C5A"/>
    <w:rsid w:val="00D7024A"/>
    <w:rsid w:val="00D74B0C"/>
    <w:rsid w:val="00D767E3"/>
    <w:rsid w:val="00D76E5C"/>
    <w:rsid w:val="00D8122D"/>
    <w:rsid w:val="00D81D0E"/>
    <w:rsid w:val="00D828AE"/>
    <w:rsid w:val="00D82988"/>
    <w:rsid w:val="00D8360B"/>
    <w:rsid w:val="00D83F6E"/>
    <w:rsid w:val="00D843DC"/>
    <w:rsid w:val="00D84CD6"/>
    <w:rsid w:val="00D90477"/>
    <w:rsid w:val="00D908F7"/>
    <w:rsid w:val="00D9123A"/>
    <w:rsid w:val="00D91CE1"/>
    <w:rsid w:val="00D927C6"/>
    <w:rsid w:val="00D9364F"/>
    <w:rsid w:val="00D975CB"/>
    <w:rsid w:val="00DA1195"/>
    <w:rsid w:val="00DA1EF3"/>
    <w:rsid w:val="00DA4847"/>
    <w:rsid w:val="00DA5D16"/>
    <w:rsid w:val="00DA666B"/>
    <w:rsid w:val="00DB0D3E"/>
    <w:rsid w:val="00DB1548"/>
    <w:rsid w:val="00DB1AF8"/>
    <w:rsid w:val="00DB3E95"/>
    <w:rsid w:val="00DB54BF"/>
    <w:rsid w:val="00DB6A48"/>
    <w:rsid w:val="00DC4C22"/>
    <w:rsid w:val="00DC663C"/>
    <w:rsid w:val="00DD173C"/>
    <w:rsid w:val="00DD2DD9"/>
    <w:rsid w:val="00DD6E3A"/>
    <w:rsid w:val="00DE07ED"/>
    <w:rsid w:val="00DE20D8"/>
    <w:rsid w:val="00DE3D6E"/>
    <w:rsid w:val="00DE6B14"/>
    <w:rsid w:val="00DF06CA"/>
    <w:rsid w:val="00DF0FC1"/>
    <w:rsid w:val="00DF36E2"/>
    <w:rsid w:val="00DF3777"/>
    <w:rsid w:val="00DF4062"/>
    <w:rsid w:val="00DF4CDE"/>
    <w:rsid w:val="00DF64F1"/>
    <w:rsid w:val="00E00886"/>
    <w:rsid w:val="00E00EBB"/>
    <w:rsid w:val="00E019C3"/>
    <w:rsid w:val="00E02080"/>
    <w:rsid w:val="00E020A2"/>
    <w:rsid w:val="00E02362"/>
    <w:rsid w:val="00E060CE"/>
    <w:rsid w:val="00E1328E"/>
    <w:rsid w:val="00E146B8"/>
    <w:rsid w:val="00E15C04"/>
    <w:rsid w:val="00E16C1A"/>
    <w:rsid w:val="00E2315B"/>
    <w:rsid w:val="00E23ACB"/>
    <w:rsid w:val="00E2781B"/>
    <w:rsid w:val="00E303C1"/>
    <w:rsid w:val="00E34DCF"/>
    <w:rsid w:val="00E361B9"/>
    <w:rsid w:val="00E379EF"/>
    <w:rsid w:val="00E43F46"/>
    <w:rsid w:val="00E44C86"/>
    <w:rsid w:val="00E50764"/>
    <w:rsid w:val="00E55C90"/>
    <w:rsid w:val="00E571DF"/>
    <w:rsid w:val="00E61912"/>
    <w:rsid w:val="00E6255D"/>
    <w:rsid w:val="00E62CF3"/>
    <w:rsid w:val="00E644DB"/>
    <w:rsid w:val="00E6556B"/>
    <w:rsid w:val="00E65A56"/>
    <w:rsid w:val="00E70B67"/>
    <w:rsid w:val="00E713C9"/>
    <w:rsid w:val="00E77DDA"/>
    <w:rsid w:val="00E81598"/>
    <w:rsid w:val="00E81773"/>
    <w:rsid w:val="00E81B77"/>
    <w:rsid w:val="00E83D3C"/>
    <w:rsid w:val="00E846F2"/>
    <w:rsid w:val="00E8483B"/>
    <w:rsid w:val="00E86A96"/>
    <w:rsid w:val="00E90813"/>
    <w:rsid w:val="00E9158D"/>
    <w:rsid w:val="00E91FB1"/>
    <w:rsid w:val="00E9257F"/>
    <w:rsid w:val="00E92670"/>
    <w:rsid w:val="00E93818"/>
    <w:rsid w:val="00E95876"/>
    <w:rsid w:val="00E96F99"/>
    <w:rsid w:val="00E970CD"/>
    <w:rsid w:val="00E97E96"/>
    <w:rsid w:val="00EA22C2"/>
    <w:rsid w:val="00EA3900"/>
    <w:rsid w:val="00EA6455"/>
    <w:rsid w:val="00EA6B0B"/>
    <w:rsid w:val="00EB16C9"/>
    <w:rsid w:val="00EB264C"/>
    <w:rsid w:val="00EB34E7"/>
    <w:rsid w:val="00EB397D"/>
    <w:rsid w:val="00EB6B30"/>
    <w:rsid w:val="00EB7F49"/>
    <w:rsid w:val="00EC1C48"/>
    <w:rsid w:val="00EC39C4"/>
    <w:rsid w:val="00EC5C99"/>
    <w:rsid w:val="00EC7A1C"/>
    <w:rsid w:val="00ED0B7C"/>
    <w:rsid w:val="00ED1768"/>
    <w:rsid w:val="00ED1C39"/>
    <w:rsid w:val="00ED2A61"/>
    <w:rsid w:val="00ED3A1C"/>
    <w:rsid w:val="00ED507B"/>
    <w:rsid w:val="00ED5851"/>
    <w:rsid w:val="00ED5893"/>
    <w:rsid w:val="00ED78DD"/>
    <w:rsid w:val="00ED7CB2"/>
    <w:rsid w:val="00EE23DA"/>
    <w:rsid w:val="00EE290F"/>
    <w:rsid w:val="00EE35FE"/>
    <w:rsid w:val="00EE6CD1"/>
    <w:rsid w:val="00EE73A6"/>
    <w:rsid w:val="00EE7BE1"/>
    <w:rsid w:val="00EF1124"/>
    <w:rsid w:val="00EF2CA3"/>
    <w:rsid w:val="00EF4F4E"/>
    <w:rsid w:val="00EF50D7"/>
    <w:rsid w:val="00EF53E4"/>
    <w:rsid w:val="00EF5AA7"/>
    <w:rsid w:val="00EF6B41"/>
    <w:rsid w:val="00EF7499"/>
    <w:rsid w:val="00F05B96"/>
    <w:rsid w:val="00F06C04"/>
    <w:rsid w:val="00F13B25"/>
    <w:rsid w:val="00F173E5"/>
    <w:rsid w:val="00F2070F"/>
    <w:rsid w:val="00F20B3B"/>
    <w:rsid w:val="00F20FD4"/>
    <w:rsid w:val="00F2138F"/>
    <w:rsid w:val="00F227DC"/>
    <w:rsid w:val="00F23AE3"/>
    <w:rsid w:val="00F265F7"/>
    <w:rsid w:val="00F276E1"/>
    <w:rsid w:val="00F27831"/>
    <w:rsid w:val="00F305D7"/>
    <w:rsid w:val="00F30D0F"/>
    <w:rsid w:val="00F31EC0"/>
    <w:rsid w:val="00F33B6D"/>
    <w:rsid w:val="00F361A9"/>
    <w:rsid w:val="00F366E1"/>
    <w:rsid w:val="00F3693A"/>
    <w:rsid w:val="00F377C9"/>
    <w:rsid w:val="00F462E8"/>
    <w:rsid w:val="00F46A06"/>
    <w:rsid w:val="00F46FD7"/>
    <w:rsid w:val="00F473BA"/>
    <w:rsid w:val="00F47888"/>
    <w:rsid w:val="00F50595"/>
    <w:rsid w:val="00F51101"/>
    <w:rsid w:val="00F5119D"/>
    <w:rsid w:val="00F52989"/>
    <w:rsid w:val="00F531A3"/>
    <w:rsid w:val="00F535B1"/>
    <w:rsid w:val="00F53B97"/>
    <w:rsid w:val="00F552AD"/>
    <w:rsid w:val="00F60243"/>
    <w:rsid w:val="00F604B8"/>
    <w:rsid w:val="00F63174"/>
    <w:rsid w:val="00F64294"/>
    <w:rsid w:val="00F656C0"/>
    <w:rsid w:val="00F66F15"/>
    <w:rsid w:val="00F721BF"/>
    <w:rsid w:val="00F75279"/>
    <w:rsid w:val="00F810D3"/>
    <w:rsid w:val="00F8448B"/>
    <w:rsid w:val="00F849E1"/>
    <w:rsid w:val="00F84CAC"/>
    <w:rsid w:val="00F90EFD"/>
    <w:rsid w:val="00F92607"/>
    <w:rsid w:val="00F92BB2"/>
    <w:rsid w:val="00F95D8F"/>
    <w:rsid w:val="00F97E6A"/>
    <w:rsid w:val="00FA587D"/>
    <w:rsid w:val="00FA5950"/>
    <w:rsid w:val="00FA7700"/>
    <w:rsid w:val="00FB0D6F"/>
    <w:rsid w:val="00FB2CB3"/>
    <w:rsid w:val="00FB3104"/>
    <w:rsid w:val="00FB5A43"/>
    <w:rsid w:val="00FB7310"/>
    <w:rsid w:val="00FC06C5"/>
    <w:rsid w:val="00FC4277"/>
    <w:rsid w:val="00FC6249"/>
    <w:rsid w:val="00FC677B"/>
    <w:rsid w:val="00FD6BFE"/>
    <w:rsid w:val="00FD704A"/>
    <w:rsid w:val="00FE049F"/>
    <w:rsid w:val="00FE1D2F"/>
    <w:rsid w:val="00FE271D"/>
    <w:rsid w:val="00FE3067"/>
    <w:rsid w:val="00FE36C7"/>
    <w:rsid w:val="00FE6D9D"/>
    <w:rsid w:val="00FE7B18"/>
    <w:rsid w:val="00FF05A1"/>
    <w:rsid w:val="00FF0F36"/>
    <w:rsid w:val="00FF25D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75"/>
    <o:shapelayout v:ext="edit">
      <o:idmap v:ext="edit" data="1"/>
    </o:shapelayout>
  </w:shapeDefaults>
  <w:decimalSymbol w:val=","/>
  <w:listSeparator w:val=";"/>
  <w14:docId w14:val="667FF0D4"/>
  <w15:chartTrackingRefBased/>
  <w15:docId w15:val="{F1764765-B4E9-48C1-BC49-4D992B635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imes New Roman"/>
        <w:color w:val="000000" w:themeColor="text1"/>
        <w:sz w:val="24"/>
        <w:szCs w:val="24"/>
        <w:lang w:val="hr-H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663"/>
  </w:style>
  <w:style w:type="paragraph" w:styleId="Heading1">
    <w:name w:val="heading 1"/>
    <w:basedOn w:val="Normal"/>
    <w:next w:val="Normal"/>
    <w:link w:val="Heading1Char"/>
    <w:uiPriority w:val="9"/>
    <w:qFormat/>
    <w:rsid w:val="00DF4062"/>
    <w:pPr>
      <w:keepNext/>
      <w:keepLines/>
      <w:numPr>
        <w:numId w:val="59"/>
      </w:numPr>
      <w:spacing w:before="240"/>
      <w:jc w:val="both"/>
      <w:outlineLvl w:val="0"/>
    </w:pPr>
    <w:rPr>
      <w:rFonts w:ascii="Segoe UI Semibold" w:eastAsiaTheme="majorEastAsia" w:hAnsi="Segoe UI Semibold" w:cstheme="majorBidi"/>
      <w:color w:val="1F3864" w:themeColor="accent1" w:themeShade="80"/>
      <w:sz w:val="32"/>
      <w:szCs w:val="32"/>
    </w:rPr>
  </w:style>
  <w:style w:type="paragraph" w:styleId="Heading2">
    <w:name w:val="heading 2"/>
    <w:basedOn w:val="Normal"/>
    <w:next w:val="Normal"/>
    <w:link w:val="Heading2Char"/>
    <w:uiPriority w:val="9"/>
    <w:unhideWhenUsed/>
    <w:qFormat/>
    <w:rsid w:val="00FE271D"/>
    <w:pPr>
      <w:keepNext/>
      <w:keepLines/>
      <w:numPr>
        <w:ilvl w:val="1"/>
        <w:numId w:val="59"/>
      </w:numPr>
      <w:spacing w:before="240" w:after="240"/>
      <w:jc w:val="both"/>
      <w:outlineLvl w:val="1"/>
    </w:pPr>
    <w:rPr>
      <w:rFonts w:ascii="Segoe UI Semibold" w:eastAsiaTheme="majorEastAsia" w:hAnsi="Segoe UI Semibold" w:cstheme="majorBidi"/>
      <w:color w:val="1F3864" w:themeColor="accent1" w:themeShade="80"/>
      <w:sz w:val="28"/>
      <w:szCs w:val="26"/>
    </w:rPr>
  </w:style>
  <w:style w:type="paragraph" w:styleId="Heading3">
    <w:name w:val="heading 3"/>
    <w:aliases w:val="Heading 3.1."/>
    <w:basedOn w:val="Normal"/>
    <w:next w:val="Normal"/>
    <w:link w:val="Heading3Char"/>
    <w:uiPriority w:val="9"/>
    <w:unhideWhenUsed/>
    <w:qFormat/>
    <w:rsid w:val="006B1983"/>
    <w:pPr>
      <w:keepNext/>
      <w:keepLines/>
      <w:numPr>
        <w:ilvl w:val="2"/>
        <w:numId w:val="59"/>
      </w:numPr>
      <w:spacing w:before="40"/>
      <w:jc w:val="both"/>
      <w:outlineLvl w:val="2"/>
    </w:pPr>
    <w:rPr>
      <w:rFonts w:ascii="Segoe UI Semibold" w:eastAsiaTheme="majorEastAsia" w:hAnsi="Segoe UI Semibold" w:cstheme="majorBidi"/>
      <w:color w:val="1F3763" w:themeColor="accent1" w:themeShade="7F"/>
    </w:rPr>
  </w:style>
  <w:style w:type="paragraph" w:styleId="Heading4">
    <w:name w:val="heading 4"/>
    <w:basedOn w:val="Normal"/>
    <w:next w:val="Normal"/>
    <w:link w:val="Heading4Char"/>
    <w:unhideWhenUsed/>
    <w:qFormat/>
    <w:rsid w:val="00FE271D"/>
    <w:pPr>
      <w:keepNext/>
      <w:keepLines/>
      <w:numPr>
        <w:ilvl w:val="3"/>
        <w:numId w:val="59"/>
      </w:numPr>
      <w:spacing w:before="40"/>
      <w:jc w:val="both"/>
      <w:outlineLvl w:val="3"/>
    </w:pPr>
    <w:rPr>
      <w:rFonts w:ascii="Segoe UI Semibold" w:eastAsiaTheme="majorEastAsia" w:hAnsi="Segoe UI Semibold" w:cstheme="majorBidi"/>
      <w:iCs/>
      <w:color w:val="1F3864" w:themeColor="accent1" w:themeShade="80"/>
      <w:lang w:eastAsia="hr-HR"/>
    </w:rPr>
  </w:style>
  <w:style w:type="paragraph" w:styleId="Heading5">
    <w:name w:val="heading 5"/>
    <w:basedOn w:val="Normal"/>
    <w:next w:val="Normal"/>
    <w:link w:val="Heading5Char"/>
    <w:uiPriority w:val="9"/>
    <w:unhideWhenUsed/>
    <w:qFormat/>
    <w:rsid w:val="00A641AC"/>
    <w:pPr>
      <w:keepNext/>
      <w:keepLines/>
      <w:numPr>
        <w:ilvl w:val="4"/>
        <w:numId w:val="59"/>
      </w:numPr>
      <w:spacing w:before="240" w:after="240"/>
      <w:jc w:val="both"/>
      <w:outlineLvl w:val="4"/>
    </w:pPr>
    <w:rPr>
      <w:rFonts w:ascii="Segoe UI Semibold" w:eastAsiaTheme="majorEastAsia" w:hAnsi="Segoe UI Semibold" w:cstheme="majorBidi"/>
      <w:color w:val="1F3864" w:themeColor="accent1" w:themeShade="80"/>
    </w:rPr>
  </w:style>
  <w:style w:type="paragraph" w:styleId="Heading6">
    <w:name w:val="heading 6"/>
    <w:basedOn w:val="Normal"/>
    <w:next w:val="Normal"/>
    <w:link w:val="Heading6Char"/>
    <w:uiPriority w:val="9"/>
    <w:unhideWhenUsed/>
    <w:qFormat/>
    <w:rsid w:val="00BA30C5"/>
    <w:pPr>
      <w:keepNext/>
      <w:keepLines/>
      <w:numPr>
        <w:ilvl w:val="5"/>
        <w:numId w:val="59"/>
      </w:numPr>
      <w:jc w:val="both"/>
      <w:outlineLvl w:val="5"/>
    </w:pPr>
    <w:rPr>
      <w:rFonts w:ascii="Segoe UI Semibold" w:eastAsiaTheme="majorEastAsia" w:hAnsi="Segoe UI Semibold" w:cstheme="majorBidi"/>
      <w:color w:val="1F3763" w:themeColor="accent1" w:themeShade="7F"/>
    </w:rPr>
  </w:style>
  <w:style w:type="paragraph" w:styleId="Heading7">
    <w:name w:val="heading 7"/>
    <w:basedOn w:val="Normal"/>
    <w:next w:val="Normal"/>
    <w:link w:val="Heading7Char"/>
    <w:uiPriority w:val="9"/>
    <w:unhideWhenUsed/>
    <w:qFormat/>
    <w:rsid w:val="00BA30C5"/>
    <w:pPr>
      <w:keepNext/>
      <w:keepLines/>
      <w:numPr>
        <w:ilvl w:val="6"/>
        <w:numId w:val="59"/>
      </w:numPr>
      <w:spacing w:before="40"/>
      <w:jc w:val="both"/>
      <w:outlineLvl w:val="6"/>
    </w:pPr>
    <w:rPr>
      <w:rFonts w:ascii="Segoe UI Semibold" w:eastAsiaTheme="majorEastAsia" w:hAnsi="Segoe UI Semibold" w:cstheme="majorBidi"/>
      <w:i/>
      <w:iCs/>
      <w:color w:val="1F3763" w:themeColor="accent1" w:themeShade="7F"/>
    </w:rPr>
  </w:style>
  <w:style w:type="paragraph" w:styleId="Heading8">
    <w:name w:val="heading 8"/>
    <w:basedOn w:val="Normal"/>
    <w:next w:val="Normal"/>
    <w:link w:val="Heading8Char"/>
    <w:uiPriority w:val="9"/>
    <w:unhideWhenUsed/>
    <w:qFormat/>
    <w:rsid w:val="00705E68"/>
    <w:pPr>
      <w:keepNext/>
      <w:keepLines/>
      <w:numPr>
        <w:ilvl w:val="7"/>
        <w:numId w:val="59"/>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705E68"/>
    <w:pPr>
      <w:keepNext/>
      <w:keepLines/>
      <w:numPr>
        <w:ilvl w:val="8"/>
        <w:numId w:val="5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7A0267"/>
    <w:pPr>
      <w:tabs>
        <w:tab w:val="center" w:pos="4703"/>
        <w:tab w:val="right" w:pos="9406"/>
      </w:tabs>
    </w:pPr>
  </w:style>
  <w:style w:type="character" w:customStyle="1" w:styleId="HeaderChar">
    <w:name w:val="Header Char"/>
    <w:basedOn w:val="DefaultParagraphFont"/>
    <w:link w:val="Header"/>
    <w:uiPriority w:val="99"/>
    <w:rsid w:val="007A0267"/>
  </w:style>
  <w:style w:type="paragraph" w:styleId="Footer">
    <w:name w:val="footer"/>
    <w:basedOn w:val="Normal"/>
    <w:link w:val="FooterChar"/>
    <w:uiPriority w:val="99"/>
    <w:unhideWhenUsed/>
    <w:rsid w:val="007A0267"/>
    <w:pPr>
      <w:tabs>
        <w:tab w:val="center" w:pos="4703"/>
        <w:tab w:val="right" w:pos="9406"/>
      </w:tabs>
    </w:pPr>
  </w:style>
  <w:style w:type="character" w:customStyle="1" w:styleId="FooterChar">
    <w:name w:val="Footer Char"/>
    <w:basedOn w:val="DefaultParagraphFont"/>
    <w:link w:val="Footer"/>
    <w:uiPriority w:val="99"/>
    <w:rsid w:val="007A0267"/>
  </w:style>
  <w:style w:type="paragraph" w:styleId="BalloonText">
    <w:name w:val="Balloon Text"/>
    <w:basedOn w:val="Normal"/>
    <w:link w:val="BalloonTextChar"/>
    <w:uiPriority w:val="99"/>
    <w:semiHidden/>
    <w:unhideWhenUsed/>
    <w:rsid w:val="007A026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0267"/>
    <w:rPr>
      <w:rFonts w:ascii="Segoe UI" w:hAnsi="Segoe UI" w:cs="Segoe UI"/>
      <w:sz w:val="18"/>
      <w:szCs w:val="18"/>
    </w:rPr>
  </w:style>
  <w:style w:type="character" w:customStyle="1" w:styleId="Heading1Char">
    <w:name w:val="Heading 1 Char"/>
    <w:basedOn w:val="DefaultParagraphFont"/>
    <w:link w:val="Heading1"/>
    <w:uiPriority w:val="9"/>
    <w:rsid w:val="00DF4062"/>
    <w:rPr>
      <w:rFonts w:ascii="Segoe UI Semibold" w:eastAsiaTheme="majorEastAsia" w:hAnsi="Segoe UI Semibold" w:cstheme="majorBidi"/>
      <w:color w:val="1F3864" w:themeColor="accent1" w:themeShade="80"/>
      <w:sz w:val="32"/>
      <w:szCs w:val="32"/>
    </w:rPr>
  </w:style>
  <w:style w:type="character" w:customStyle="1" w:styleId="Heading2Char">
    <w:name w:val="Heading 2 Char"/>
    <w:basedOn w:val="DefaultParagraphFont"/>
    <w:link w:val="Heading2"/>
    <w:uiPriority w:val="9"/>
    <w:rsid w:val="00FE271D"/>
    <w:rPr>
      <w:rFonts w:ascii="Segoe UI Semibold" w:eastAsiaTheme="majorEastAsia" w:hAnsi="Segoe UI Semibold" w:cstheme="majorBidi"/>
      <w:color w:val="1F3864" w:themeColor="accent1" w:themeShade="80"/>
      <w:sz w:val="28"/>
      <w:szCs w:val="26"/>
    </w:rPr>
  </w:style>
  <w:style w:type="character" w:customStyle="1" w:styleId="Heading3Char">
    <w:name w:val="Heading 3 Char"/>
    <w:aliases w:val="Heading 3.1. Char"/>
    <w:basedOn w:val="DefaultParagraphFont"/>
    <w:link w:val="Heading3"/>
    <w:uiPriority w:val="9"/>
    <w:rsid w:val="006B1983"/>
    <w:rPr>
      <w:rFonts w:ascii="Segoe UI Semibold" w:eastAsiaTheme="majorEastAsia" w:hAnsi="Segoe UI Semibold" w:cstheme="majorBidi"/>
      <w:color w:val="1F3763" w:themeColor="accent1" w:themeShade="7F"/>
    </w:rPr>
  </w:style>
  <w:style w:type="paragraph" w:styleId="FootnoteText">
    <w:name w:val="footnote text"/>
    <w:basedOn w:val="Normal"/>
    <w:link w:val="FootnoteTextChar"/>
    <w:rsid w:val="002D1709"/>
    <w:rPr>
      <w:rFonts w:ascii="Times New Roman" w:eastAsia="Times New Roman" w:hAnsi="Times New Roman"/>
      <w:sz w:val="20"/>
      <w:szCs w:val="20"/>
    </w:rPr>
  </w:style>
  <w:style w:type="character" w:customStyle="1" w:styleId="FootnoteTextChar">
    <w:name w:val="Footnote Text Char"/>
    <w:basedOn w:val="DefaultParagraphFont"/>
    <w:link w:val="FootnoteText"/>
    <w:uiPriority w:val="99"/>
    <w:rsid w:val="002D1709"/>
    <w:rPr>
      <w:rFonts w:ascii="Times New Roman" w:eastAsia="Times New Roman" w:hAnsi="Times New Roman" w:cs="Times New Roman"/>
      <w:sz w:val="20"/>
      <w:szCs w:val="20"/>
    </w:rPr>
  </w:style>
  <w:style w:type="character" w:styleId="FootnoteReference">
    <w:name w:val="footnote reference"/>
    <w:uiPriority w:val="99"/>
    <w:rsid w:val="002D1709"/>
    <w:rPr>
      <w:vertAlign w:val="superscript"/>
    </w:rPr>
  </w:style>
  <w:style w:type="character" w:styleId="CommentReference">
    <w:name w:val="annotation reference"/>
    <w:basedOn w:val="DefaultParagraphFont"/>
    <w:uiPriority w:val="99"/>
    <w:unhideWhenUsed/>
    <w:rsid w:val="002D1709"/>
    <w:rPr>
      <w:sz w:val="16"/>
      <w:szCs w:val="16"/>
    </w:rPr>
  </w:style>
  <w:style w:type="paragraph" w:styleId="CommentText">
    <w:name w:val="annotation text"/>
    <w:basedOn w:val="Normal"/>
    <w:link w:val="CommentTextChar1"/>
    <w:uiPriority w:val="99"/>
    <w:unhideWhenUsed/>
    <w:rsid w:val="002D1709"/>
    <w:rPr>
      <w:sz w:val="20"/>
      <w:szCs w:val="20"/>
    </w:rPr>
  </w:style>
  <w:style w:type="character" w:customStyle="1" w:styleId="CommentTextChar">
    <w:name w:val="Comment Text Char"/>
    <w:basedOn w:val="DefaultParagraphFont"/>
    <w:link w:val="CommentText1"/>
    <w:uiPriority w:val="99"/>
    <w:rsid w:val="002D1709"/>
    <w:rPr>
      <w:sz w:val="20"/>
      <w:szCs w:val="20"/>
    </w:rPr>
  </w:style>
  <w:style w:type="character" w:customStyle="1" w:styleId="CommentTextChar1">
    <w:name w:val="Comment Text Char1"/>
    <w:basedOn w:val="DefaultParagraphFont"/>
    <w:link w:val="CommentText"/>
    <w:uiPriority w:val="99"/>
    <w:rsid w:val="002D1709"/>
    <w:rPr>
      <w:sz w:val="20"/>
      <w:szCs w:val="20"/>
    </w:rPr>
  </w:style>
  <w:style w:type="paragraph" w:styleId="CommentSubject">
    <w:name w:val="annotation subject"/>
    <w:basedOn w:val="CommentText"/>
    <w:next w:val="CommentText"/>
    <w:link w:val="CommentSubjectChar"/>
    <w:uiPriority w:val="99"/>
    <w:semiHidden/>
    <w:unhideWhenUsed/>
    <w:rsid w:val="00D345D6"/>
    <w:rPr>
      <w:b/>
      <w:bCs/>
    </w:rPr>
  </w:style>
  <w:style w:type="character" w:customStyle="1" w:styleId="CommentSubjectChar">
    <w:name w:val="Comment Subject Char"/>
    <w:basedOn w:val="CommentTextChar1"/>
    <w:link w:val="CommentSubject"/>
    <w:uiPriority w:val="99"/>
    <w:semiHidden/>
    <w:rsid w:val="00D345D6"/>
    <w:rPr>
      <w:b/>
      <w:bCs/>
      <w:sz w:val="20"/>
      <w:szCs w:val="20"/>
    </w:rPr>
  </w:style>
  <w:style w:type="paragraph" w:styleId="ListParagraph">
    <w:name w:val="List Paragraph"/>
    <w:basedOn w:val="Normal"/>
    <w:link w:val="ListParagraphChar"/>
    <w:uiPriority w:val="34"/>
    <w:qFormat/>
    <w:rsid w:val="008E506F"/>
    <w:pPr>
      <w:ind w:left="720"/>
      <w:contextualSpacing/>
    </w:pPr>
  </w:style>
  <w:style w:type="paragraph" w:styleId="Caption">
    <w:name w:val="caption"/>
    <w:basedOn w:val="Normal"/>
    <w:next w:val="Normal"/>
    <w:uiPriority w:val="35"/>
    <w:unhideWhenUsed/>
    <w:qFormat/>
    <w:rsid w:val="000A6609"/>
    <w:pPr>
      <w:spacing w:after="200"/>
    </w:pPr>
    <w:rPr>
      <w:i/>
      <w:iCs/>
      <w:color w:val="44546A" w:themeColor="text2"/>
      <w:sz w:val="18"/>
      <w:szCs w:val="18"/>
    </w:rPr>
  </w:style>
  <w:style w:type="character" w:styleId="Hyperlink">
    <w:name w:val="Hyperlink"/>
    <w:basedOn w:val="DefaultParagraphFont"/>
    <w:uiPriority w:val="99"/>
    <w:unhideWhenUsed/>
    <w:rsid w:val="001454D6"/>
    <w:rPr>
      <w:color w:val="0563C1" w:themeColor="hyperlink"/>
      <w:u w:val="single"/>
    </w:rPr>
  </w:style>
  <w:style w:type="character" w:customStyle="1" w:styleId="Heading4Char">
    <w:name w:val="Heading 4 Char"/>
    <w:basedOn w:val="DefaultParagraphFont"/>
    <w:link w:val="Heading4"/>
    <w:rsid w:val="00FE271D"/>
    <w:rPr>
      <w:rFonts w:ascii="Segoe UI Semibold" w:eastAsiaTheme="majorEastAsia" w:hAnsi="Segoe UI Semibold" w:cstheme="majorBidi"/>
      <w:iCs/>
      <w:color w:val="1F3864" w:themeColor="accent1" w:themeShade="80"/>
      <w:lang w:eastAsia="hr-HR"/>
    </w:rPr>
  </w:style>
  <w:style w:type="character" w:customStyle="1" w:styleId="Heading5Char">
    <w:name w:val="Heading 5 Char"/>
    <w:basedOn w:val="DefaultParagraphFont"/>
    <w:link w:val="Heading5"/>
    <w:uiPriority w:val="9"/>
    <w:rsid w:val="00A641AC"/>
    <w:rPr>
      <w:rFonts w:ascii="Segoe UI Semibold" w:eastAsiaTheme="majorEastAsia" w:hAnsi="Segoe UI Semibold" w:cstheme="majorBidi"/>
      <w:color w:val="1F3864" w:themeColor="accent1" w:themeShade="80"/>
    </w:rPr>
  </w:style>
  <w:style w:type="character" w:customStyle="1" w:styleId="Heading6Char">
    <w:name w:val="Heading 6 Char"/>
    <w:basedOn w:val="DefaultParagraphFont"/>
    <w:link w:val="Heading6"/>
    <w:uiPriority w:val="9"/>
    <w:rsid w:val="00FE271D"/>
    <w:rPr>
      <w:rFonts w:ascii="Segoe UI Semibold" w:eastAsiaTheme="majorEastAsia" w:hAnsi="Segoe UI Semibold" w:cstheme="majorBidi"/>
      <w:color w:val="1F3763" w:themeColor="accent1" w:themeShade="7F"/>
    </w:rPr>
  </w:style>
  <w:style w:type="character" w:customStyle="1" w:styleId="Heading7Char">
    <w:name w:val="Heading 7 Char"/>
    <w:basedOn w:val="DefaultParagraphFont"/>
    <w:link w:val="Heading7"/>
    <w:uiPriority w:val="9"/>
    <w:rsid w:val="00901017"/>
    <w:rPr>
      <w:rFonts w:ascii="Segoe UI Semibold" w:eastAsiaTheme="majorEastAsia" w:hAnsi="Segoe UI Semibold" w:cstheme="majorBidi"/>
      <w:i/>
      <w:iCs/>
      <w:color w:val="1F3763" w:themeColor="accent1" w:themeShade="7F"/>
    </w:rPr>
  </w:style>
  <w:style w:type="character" w:customStyle="1" w:styleId="Heading8Char">
    <w:name w:val="Heading 8 Char"/>
    <w:basedOn w:val="DefaultParagraphFont"/>
    <w:link w:val="Heading8"/>
    <w:uiPriority w:val="9"/>
    <w:rsid w:val="00705E6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705E68"/>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DF4062"/>
    <w:pPr>
      <w:numPr>
        <w:numId w:val="0"/>
      </w:numPr>
      <w:spacing w:line="259" w:lineRule="auto"/>
      <w:outlineLvl w:val="9"/>
    </w:pPr>
    <w:rPr>
      <w:rFonts w:asciiTheme="majorHAnsi" w:hAnsiTheme="majorHAnsi"/>
      <w:color w:val="2F5496" w:themeColor="accent1" w:themeShade="BF"/>
      <w:lang w:val="en-US"/>
    </w:rPr>
  </w:style>
  <w:style w:type="paragraph" w:styleId="TOC1">
    <w:name w:val="toc 1"/>
    <w:basedOn w:val="Normal"/>
    <w:next w:val="Normal"/>
    <w:autoRedefine/>
    <w:uiPriority w:val="39"/>
    <w:unhideWhenUsed/>
    <w:rsid w:val="007C1522"/>
    <w:pPr>
      <w:tabs>
        <w:tab w:val="left" w:pos="480"/>
        <w:tab w:val="right" w:leader="dot" w:pos="9016"/>
      </w:tabs>
      <w:spacing w:after="120"/>
      <w:jc w:val="both"/>
    </w:pPr>
  </w:style>
  <w:style w:type="paragraph" w:styleId="TOC2">
    <w:name w:val="toc 2"/>
    <w:basedOn w:val="Normal"/>
    <w:next w:val="Normal"/>
    <w:autoRedefine/>
    <w:uiPriority w:val="39"/>
    <w:unhideWhenUsed/>
    <w:rsid w:val="00DF4062"/>
    <w:pPr>
      <w:spacing w:after="100"/>
      <w:ind w:left="240"/>
    </w:pPr>
  </w:style>
  <w:style w:type="paragraph" w:styleId="TOC3">
    <w:name w:val="toc 3"/>
    <w:basedOn w:val="Normal"/>
    <w:next w:val="Normal"/>
    <w:autoRedefine/>
    <w:uiPriority w:val="39"/>
    <w:unhideWhenUsed/>
    <w:rsid w:val="00DF4062"/>
    <w:pPr>
      <w:spacing w:after="100"/>
      <w:ind w:left="480"/>
    </w:pPr>
  </w:style>
  <w:style w:type="paragraph" w:styleId="TOC4">
    <w:name w:val="toc 4"/>
    <w:basedOn w:val="Normal"/>
    <w:next w:val="Normal"/>
    <w:autoRedefine/>
    <w:uiPriority w:val="39"/>
    <w:unhideWhenUsed/>
    <w:rsid w:val="00DF4062"/>
    <w:pPr>
      <w:spacing w:after="100"/>
      <w:ind w:left="720"/>
    </w:pPr>
  </w:style>
  <w:style w:type="paragraph" w:styleId="TOC5">
    <w:name w:val="toc 5"/>
    <w:basedOn w:val="Normal"/>
    <w:next w:val="Normal"/>
    <w:autoRedefine/>
    <w:uiPriority w:val="39"/>
    <w:unhideWhenUsed/>
    <w:rsid w:val="00DF4062"/>
    <w:pPr>
      <w:spacing w:after="100"/>
      <w:ind w:left="960"/>
    </w:pPr>
  </w:style>
  <w:style w:type="paragraph" w:styleId="TOC6">
    <w:name w:val="toc 6"/>
    <w:basedOn w:val="Normal"/>
    <w:next w:val="Normal"/>
    <w:autoRedefine/>
    <w:uiPriority w:val="39"/>
    <w:unhideWhenUsed/>
    <w:rsid w:val="00DF4062"/>
    <w:pPr>
      <w:spacing w:after="100"/>
      <w:ind w:left="1200"/>
    </w:pPr>
  </w:style>
  <w:style w:type="paragraph" w:styleId="TOC7">
    <w:name w:val="toc 7"/>
    <w:basedOn w:val="Normal"/>
    <w:next w:val="Normal"/>
    <w:autoRedefine/>
    <w:uiPriority w:val="39"/>
    <w:unhideWhenUsed/>
    <w:rsid w:val="00DF4062"/>
    <w:pPr>
      <w:spacing w:after="100"/>
      <w:ind w:left="1440"/>
    </w:pPr>
  </w:style>
  <w:style w:type="numbering" w:customStyle="1" w:styleId="Style1">
    <w:name w:val="Style1"/>
    <w:basedOn w:val="NoList"/>
    <w:uiPriority w:val="99"/>
    <w:rsid w:val="00DF4062"/>
    <w:pPr>
      <w:numPr>
        <w:numId w:val="7"/>
      </w:numPr>
    </w:pPr>
  </w:style>
  <w:style w:type="paragraph" w:customStyle="1" w:styleId="CommentText1">
    <w:name w:val="Comment Text1"/>
    <w:basedOn w:val="Normal"/>
    <w:next w:val="CommentText"/>
    <w:link w:val="CommentTextChar"/>
    <w:uiPriority w:val="99"/>
    <w:unhideWhenUsed/>
    <w:rsid w:val="00DF4062"/>
    <w:pPr>
      <w:spacing w:after="200"/>
    </w:pPr>
    <w:rPr>
      <w:sz w:val="20"/>
      <w:szCs w:val="20"/>
    </w:rPr>
  </w:style>
  <w:style w:type="paragraph" w:styleId="NoSpacing">
    <w:name w:val="No Spacing"/>
    <w:uiPriority w:val="1"/>
    <w:qFormat/>
    <w:rsid w:val="00DF4062"/>
    <w:rPr>
      <w:rFonts w:asciiTheme="minorHAnsi" w:eastAsiaTheme="minorEastAsia" w:hAnsiTheme="minorHAnsi" w:cstheme="minorBidi"/>
      <w:color w:val="auto"/>
      <w:sz w:val="22"/>
      <w:szCs w:val="22"/>
    </w:rPr>
  </w:style>
  <w:style w:type="paragraph" w:styleId="TOC8">
    <w:name w:val="toc 8"/>
    <w:basedOn w:val="Normal"/>
    <w:next w:val="Normal"/>
    <w:autoRedefine/>
    <w:unhideWhenUsed/>
    <w:rsid w:val="00A641AC"/>
    <w:pPr>
      <w:spacing w:after="100" w:line="259" w:lineRule="auto"/>
      <w:ind w:left="1540"/>
    </w:pPr>
    <w:rPr>
      <w:rFonts w:asciiTheme="minorHAnsi" w:eastAsiaTheme="minorEastAsia" w:hAnsiTheme="minorHAnsi" w:cstheme="minorBidi"/>
      <w:color w:val="auto"/>
      <w:sz w:val="22"/>
      <w:szCs w:val="22"/>
      <w:lang w:val="en-US"/>
    </w:rPr>
  </w:style>
  <w:style w:type="paragraph" w:styleId="TOC9">
    <w:name w:val="toc 9"/>
    <w:basedOn w:val="Normal"/>
    <w:next w:val="Normal"/>
    <w:autoRedefine/>
    <w:unhideWhenUsed/>
    <w:rsid w:val="00A641AC"/>
    <w:pPr>
      <w:spacing w:after="100" w:line="259" w:lineRule="auto"/>
      <w:ind w:left="1760"/>
    </w:pPr>
    <w:rPr>
      <w:rFonts w:asciiTheme="minorHAnsi" w:eastAsiaTheme="minorEastAsia" w:hAnsiTheme="minorHAnsi" w:cstheme="minorBidi"/>
      <w:color w:val="auto"/>
      <w:sz w:val="22"/>
      <w:szCs w:val="22"/>
      <w:lang w:val="en-US"/>
    </w:rPr>
  </w:style>
  <w:style w:type="character" w:customStyle="1" w:styleId="ListParagraphChar">
    <w:name w:val="List Paragraph Char"/>
    <w:link w:val="ListParagraph"/>
    <w:uiPriority w:val="34"/>
    <w:rsid w:val="0072199D"/>
  </w:style>
  <w:style w:type="paragraph" w:styleId="NormalWeb">
    <w:name w:val="Normal (Web)"/>
    <w:basedOn w:val="Normal"/>
    <w:rsid w:val="0072199D"/>
    <w:pPr>
      <w:spacing w:before="100" w:beforeAutospacing="1" w:after="100" w:afterAutospacing="1"/>
    </w:pPr>
    <w:rPr>
      <w:rFonts w:ascii="Times New Roman" w:eastAsia="Times New Roman" w:hAnsi="Times New Roman"/>
      <w:color w:val="auto"/>
      <w:lang w:eastAsia="hr-HR"/>
    </w:rPr>
  </w:style>
  <w:style w:type="character" w:styleId="IntenseEmphasis">
    <w:name w:val="Intense Emphasis"/>
    <w:uiPriority w:val="21"/>
    <w:qFormat/>
    <w:rsid w:val="0072199D"/>
    <w:rPr>
      <w:rFonts w:ascii="Cambria" w:hAnsi="Cambria"/>
      <w:b/>
      <w:bCs/>
      <w:i/>
      <w:color w:val="4F81BD"/>
    </w:rPr>
  </w:style>
  <w:style w:type="paragraph" w:customStyle="1" w:styleId="box471582">
    <w:name w:val="box_471582"/>
    <w:basedOn w:val="Normal"/>
    <w:rsid w:val="0072199D"/>
    <w:pPr>
      <w:spacing w:before="100" w:beforeAutospacing="1" w:after="100" w:afterAutospacing="1"/>
    </w:pPr>
    <w:rPr>
      <w:rFonts w:ascii="Times New Roman" w:eastAsia="Times New Roman" w:hAnsi="Times New Roman"/>
      <w:color w:val="auto"/>
      <w:lang w:val="en-US"/>
    </w:rPr>
  </w:style>
  <w:style w:type="paragraph" w:styleId="Revision">
    <w:name w:val="Revision"/>
    <w:hidden/>
    <w:uiPriority w:val="99"/>
    <w:semiHidden/>
    <w:rsid w:val="0072199D"/>
    <w:rPr>
      <w:rFonts w:ascii="Times New Roman" w:eastAsia="Times New Roman" w:hAnsi="Times New Roman"/>
      <w:color w:val="auto"/>
    </w:rPr>
  </w:style>
  <w:style w:type="table" w:styleId="TableGrid">
    <w:name w:val="Table Grid"/>
    <w:basedOn w:val="TableNormal"/>
    <w:uiPriority w:val="39"/>
    <w:rsid w:val="00010077"/>
    <w:pPr>
      <w:ind w:left="641" w:hanging="357"/>
      <w:jc w:val="both"/>
    </w:pPr>
    <w:rPr>
      <w:rFonts w:eastAsia="Calibri" w:cs="Arial"/>
      <w:color w:val="auto"/>
      <w:sz w:val="22"/>
      <w:szCs w:val="20"/>
      <w:lang w:val="h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nhideWhenUsed/>
    <w:rsid w:val="00B25AEB"/>
    <w:rPr>
      <w:color w:val="954F72" w:themeColor="followedHyperlink"/>
      <w:u w:val="single"/>
    </w:rPr>
  </w:style>
  <w:style w:type="paragraph" w:customStyle="1" w:styleId="HAT3">
    <w:name w:val="HAT3"/>
    <w:basedOn w:val="Normal"/>
    <w:rsid w:val="00B82EB2"/>
    <w:pPr>
      <w:ind w:left="709"/>
    </w:pPr>
    <w:rPr>
      <w:rFonts w:ascii="Times New Roman" w:eastAsia="Times New Roman" w:hAnsi="Times New Roman"/>
      <w:b/>
      <w:color w:val="auto"/>
    </w:rPr>
  </w:style>
  <w:style w:type="paragraph" w:customStyle="1" w:styleId="HAT4">
    <w:name w:val="HAT4"/>
    <w:basedOn w:val="Normal"/>
    <w:rsid w:val="00B82EB2"/>
    <w:pPr>
      <w:ind w:left="709"/>
    </w:pPr>
    <w:rPr>
      <w:rFonts w:ascii="Times New Roman" w:eastAsia="Times New Roman" w:hAnsi="Times New Roman"/>
      <w:color w:val="auto"/>
      <w:szCs w:val="28"/>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B82EB2"/>
    <w:pPr>
      <w:spacing w:after="160" w:line="240" w:lineRule="exact"/>
    </w:pPr>
    <w:rPr>
      <w:rFonts w:ascii="Tahoma" w:eastAsia="Times New Roman" w:hAnsi="Tahoma"/>
      <w:color w:val="auto"/>
      <w:sz w:val="20"/>
      <w:szCs w:val="20"/>
      <w:lang w:val="en-US"/>
    </w:rPr>
  </w:style>
  <w:style w:type="paragraph" w:customStyle="1" w:styleId="Stil1">
    <w:name w:val="Stil1"/>
    <w:basedOn w:val="Heading1"/>
    <w:rsid w:val="00B82EB2"/>
    <w:pPr>
      <w:numPr>
        <w:numId w:val="35"/>
      </w:numPr>
      <w:spacing w:before="0" w:line="276" w:lineRule="auto"/>
    </w:pPr>
    <w:rPr>
      <w:rFonts w:ascii="Times New Roman" w:eastAsia="Times New Roman" w:hAnsi="Times New Roman" w:cs="Times New Roman"/>
      <w:b/>
      <w:bCs/>
      <w:color w:val="365F91"/>
      <w:sz w:val="28"/>
      <w:szCs w:val="28"/>
      <w:lang w:eastAsia="hr-HR"/>
    </w:rPr>
  </w:style>
  <w:style w:type="character" w:styleId="PageNumber">
    <w:name w:val="page number"/>
    <w:basedOn w:val="DefaultParagraphFont"/>
    <w:rsid w:val="00B82EB2"/>
  </w:style>
  <w:style w:type="paragraph" w:customStyle="1" w:styleId="CharCharCharCharChar">
    <w:name w:val="Char Char Char Char Char"/>
    <w:basedOn w:val="Normal"/>
    <w:rsid w:val="00B82EB2"/>
    <w:pPr>
      <w:spacing w:after="160" w:line="240" w:lineRule="exact"/>
    </w:pPr>
    <w:rPr>
      <w:rFonts w:ascii="Tahoma" w:eastAsia="Times New Roman" w:hAnsi="Tahoma"/>
      <w:color w:val="auto"/>
      <w:sz w:val="20"/>
      <w:szCs w:val="20"/>
      <w:lang w:val="en-US"/>
    </w:rPr>
  </w:style>
  <w:style w:type="paragraph" w:customStyle="1" w:styleId="CharChar1">
    <w:name w:val="Char Char1"/>
    <w:basedOn w:val="Normal"/>
    <w:rsid w:val="00B82EB2"/>
    <w:pPr>
      <w:spacing w:after="160" w:line="240" w:lineRule="exact"/>
    </w:pPr>
    <w:rPr>
      <w:rFonts w:ascii="Tahoma" w:eastAsia="Times New Roman" w:hAnsi="Tahoma"/>
      <w:color w:val="auto"/>
      <w:sz w:val="20"/>
      <w:szCs w:val="20"/>
      <w:lang w:val="en-US"/>
    </w:rPr>
  </w:style>
  <w:style w:type="paragraph" w:styleId="BodyText">
    <w:name w:val="Body Text"/>
    <w:basedOn w:val="Normal"/>
    <w:link w:val="BodyTextChar"/>
    <w:rsid w:val="00B82EB2"/>
    <w:pPr>
      <w:jc w:val="both"/>
    </w:pPr>
    <w:rPr>
      <w:rFonts w:ascii="Times New Roman" w:eastAsia="Times New Roman" w:hAnsi="Times New Roman"/>
      <w:color w:val="auto"/>
      <w:lang w:val="en-GB" w:eastAsia="en-GB"/>
    </w:rPr>
  </w:style>
  <w:style w:type="character" w:customStyle="1" w:styleId="BodyTextChar">
    <w:name w:val="Body Text Char"/>
    <w:basedOn w:val="DefaultParagraphFont"/>
    <w:link w:val="BodyText"/>
    <w:rsid w:val="00B82EB2"/>
    <w:rPr>
      <w:rFonts w:ascii="Times New Roman" w:eastAsia="Times New Roman" w:hAnsi="Times New Roman"/>
      <w:color w:val="auto"/>
      <w:lang w:val="en-GB" w:eastAsia="en-GB"/>
    </w:rPr>
  </w:style>
  <w:style w:type="character" w:styleId="Emphasis">
    <w:name w:val="Emphasis"/>
    <w:qFormat/>
    <w:rsid w:val="00B82EB2"/>
    <w:rPr>
      <w:i/>
      <w:iCs/>
    </w:rPr>
  </w:style>
  <w:style w:type="paragraph" w:customStyle="1" w:styleId="CharChar">
    <w:name w:val="Char Char"/>
    <w:basedOn w:val="Normal"/>
    <w:rsid w:val="00B82EB2"/>
    <w:pPr>
      <w:spacing w:after="160" w:line="240" w:lineRule="exact"/>
    </w:pPr>
    <w:rPr>
      <w:rFonts w:ascii="Tahoma" w:eastAsia="Times New Roman" w:hAnsi="Tahoma"/>
      <w:color w:val="auto"/>
      <w:sz w:val="20"/>
      <w:szCs w:val="20"/>
      <w:lang w:val="en-US"/>
    </w:rPr>
  </w:style>
  <w:style w:type="paragraph" w:customStyle="1" w:styleId="Telobesedila">
    <w:name w:val="Telo besedila"/>
    <w:basedOn w:val="Normal"/>
    <w:next w:val="Normal"/>
    <w:rsid w:val="00B82EB2"/>
    <w:pPr>
      <w:autoSpaceDE w:val="0"/>
      <w:autoSpaceDN w:val="0"/>
      <w:adjustRightInd w:val="0"/>
    </w:pPr>
    <w:rPr>
      <w:rFonts w:ascii="Arial" w:eastAsia="Times New Roman" w:hAnsi="Arial"/>
      <w:color w:val="auto"/>
      <w:lang w:eastAsia="hr-HR"/>
    </w:rPr>
  </w:style>
  <w:style w:type="paragraph" w:customStyle="1" w:styleId="Naslov4">
    <w:name w:val="Naslov4"/>
    <w:basedOn w:val="Heading3"/>
    <w:rsid w:val="00B82EB2"/>
    <w:pPr>
      <w:numPr>
        <w:ilvl w:val="0"/>
        <w:numId w:val="0"/>
      </w:numPr>
      <w:spacing w:before="0"/>
      <w:ind w:firstLine="709"/>
    </w:pPr>
    <w:rPr>
      <w:rFonts w:ascii="Cambria" w:eastAsia="Times New Roman" w:hAnsi="Cambria" w:cs="Times New Roman"/>
      <w:b/>
      <w:bCs/>
      <w:color w:val="4F81BD"/>
      <w:lang w:eastAsia="hr-HR"/>
    </w:rPr>
  </w:style>
  <w:style w:type="table" w:styleId="TableContemporary">
    <w:name w:val="Table Contemporary"/>
    <w:basedOn w:val="TableNormal"/>
    <w:rsid w:val="00B82EB2"/>
    <w:rPr>
      <w:rFonts w:ascii="Times New Roman" w:eastAsia="Times New Roman" w:hAnsi="Times New Roman"/>
      <w:color w:val="auto"/>
      <w:sz w:val="20"/>
      <w:szCs w:val="20"/>
      <w:lang w:eastAsia="hr-HR"/>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1">
    <w:name w:val="Char1"/>
    <w:basedOn w:val="Normal"/>
    <w:rsid w:val="00B82EB2"/>
    <w:pPr>
      <w:spacing w:after="160" w:line="240" w:lineRule="exact"/>
    </w:pPr>
    <w:rPr>
      <w:rFonts w:ascii="Tahoma" w:eastAsia="Times New Roman" w:hAnsi="Tahoma"/>
      <w:color w:val="auto"/>
      <w:sz w:val="20"/>
      <w:szCs w:val="20"/>
    </w:rPr>
  </w:style>
  <w:style w:type="paragraph" w:customStyle="1" w:styleId="Char">
    <w:name w:val="Char"/>
    <w:basedOn w:val="Normal"/>
    <w:rsid w:val="00B82EB2"/>
    <w:pPr>
      <w:spacing w:after="160" w:line="240" w:lineRule="exact"/>
    </w:pPr>
    <w:rPr>
      <w:rFonts w:ascii="Tahoma" w:eastAsia="Times New Roman" w:hAnsi="Tahoma"/>
      <w:color w:val="auto"/>
      <w:sz w:val="20"/>
      <w:szCs w:val="20"/>
      <w:lang w:val="en-US"/>
    </w:rPr>
  </w:style>
  <w:style w:type="character" w:styleId="Strong">
    <w:name w:val="Strong"/>
    <w:qFormat/>
    <w:rsid w:val="00B82EB2"/>
    <w:rPr>
      <w:b/>
      <w:bCs/>
    </w:rPr>
  </w:style>
  <w:style w:type="character" w:customStyle="1" w:styleId="mw-headline">
    <w:name w:val="mw-headline"/>
    <w:basedOn w:val="DefaultParagraphFont"/>
    <w:rsid w:val="00B82EB2"/>
  </w:style>
  <w:style w:type="paragraph" w:styleId="DocumentMap">
    <w:name w:val="Document Map"/>
    <w:basedOn w:val="Normal"/>
    <w:link w:val="DocumentMapChar"/>
    <w:semiHidden/>
    <w:rsid w:val="00B82EB2"/>
    <w:pPr>
      <w:shd w:val="clear" w:color="auto" w:fill="000080"/>
    </w:pPr>
    <w:rPr>
      <w:rFonts w:ascii="Tahoma" w:eastAsia="Times New Roman" w:hAnsi="Tahoma" w:cs="Tahoma"/>
      <w:color w:val="auto"/>
      <w:sz w:val="20"/>
      <w:szCs w:val="20"/>
      <w:lang w:eastAsia="hr-HR"/>
    </w:rPr>
  </w:style>
  <w:style w:type="character" w:customStyle="1" w:styleId="DocumentMapChar">
    <w:name w:val="Document Map Char"/>
    <w:basedOn w:val="DefaultParagraphFont"/>
    <w:link w:val="DocumentMap"/>
    <w:semiHidden/>
    <w:rsid w:val="00B82EB2"/>
    <w:rPr>
      <w:rFonts w:ascii="Tahoma" w:eastAsia="Times New Roman" w:hAnsi="Tahoma" w:cs="Tahoma"/>
      <w:color w:val="auto"/>
      <w:sz w:val="20"/>
      <w:szCs w:val="20"/>
      <w:shd w:val="clear" w:color="auto" w:fill="000080"/>
      <w:lang w:eastAsia="hr-HR"/>
    </w:rPr>
  </w:style>
  <w:style w:type="paragraph" w:customStyle="1" w:styleId="Default">
    <w:name w:val="Default"/>
    <w:rsid w:val="00B82EB2"/>
    <w:pPr>
      <w:widowControl w:val="0"/>
      <w:autoSpaceDE w:val="0"/>
      <w:autoSpaceDN w:val="0"/>
      <w:adjustRightInd w:val="0"/>
    </w:pPr>
    <w:rPr>
      <w:rFonts w:ascii="Arial" w:eastAsia="Times New Roman" w:hAnsi="Arial" w:cs="Arial"/>
      <w:color w:val="000000"/>
      <w:lang w:eastAsia="hr-HR"/>
    </w:rPr>
  </w:style>
  <w:style w:type="paragraph" w:customStyle="1" w:styleId="default0">
    <w:name w:val="default"/>
    <w:basedOn w:val="Normal"/>
    <w:rsid w:val="00B82EB2"/>
    <w:pPr>
      <w:autoSpaceDE w:val="0"/>
      <w:autoSpaceDN w:val="0"/>
    </w:pPr>
    <w:rPr>
      <w:rFonts w:ascii="Arial" w:eastAsia="Times New Roman" w:hAnsi="Arial" w:cs="Arial"/>
      <w:color w:val="000000"/>
      <w:lang w:eastAsia="hr-HR"/>
    </w:rPr>
  </w:style>
  <w:style w:type="character" w:customStyle="1" w:styleId="fldtextrecip">
    <w:name w:val="fldtextrecip"/>
    <w:basedOn w:val="DefaultParagraphFont"/>
    <w:rsid w:val="00B82EB2"/>
  </w:style>
  <w:style w:type="paragraph" w:customStyle="1" w:styleId="normal10pt">
    <w:name w:val="normal10pt"/>
    <w:basedOn w:val="Normal"/>
    <w:rsid w:val="00B82EB2"/>
    <w:pPr>
      <w:jc w:val="both"/>
    </w:pPr>
    <w:rPr>
      <w:rFonts w:ascii="Times New Roman" w:eastAsia="Times New Roman" w:hAnsi="Times New Roman"/>
      <w:color w:val="0000FF"/>
      <w:sz w:val="20"/>
      <w:szCs w:val="20"/>
      <w:lang w:eastAsia="hr-HR"/>
    </w:rPr>
  </w:style>
  <w:style w:type="paragraph" w:styleId="PlainText">
    <w:name w:val="Plain Text"/>
    <w:basedOn w:val="Normal"/>
    <w:link w:val="PlainTextChar"/>
    <w:rsid w:val="00B82EB2"/>
    <w:pPr>
      <w:spacing w:before="100" w:beforeAutospacing="1" w:after="100" w:afterAutospacing="1"/>
    </w:pPr>
    <w:rPr>
      <w:rFonts w:ascii="Times New Roman" w:eastAsia="Times New Roman" w:hAnsi="Times New Roman"/>
      <w:color w:val="auto"/>
      <w:lang w:eastAsia="hr-HR"/>
    </w:rPr>
  </w:style>
  <w:style w:type="character" w:customStyle="1" w:styleId="PlainTextChar">
    <w:name w:val="Plain Text Char"/>
    <w:basedOn w:val="DefaultParagraphFont"/>
    <w:link w:val="PlainText"/>
    <w:rsid w:val="00B82EB2"/>
    <w:rPr>
      <w:rFonts w:ascii="Times New Roman" w:eastAsia="Times New Roman" w:hAnsi="Times New Roman"/>
      <w:color w:val="auto"/>
      <w:lang w:eastAsia="hr-HR"/>
    </w:rPr>
  </w:style>
  <w:style w:type="paragraph" w:styleId="TableofFigures">
    <w:name w:val="table of figures"/>
    <w:basedOn w:val="Normal"/>
    <w:next w:val="Normal"/>
    <w:uiPriority w:val="99"/>
    <w:rsid w:val="00B82EB2"/>
    <w:rPr>
      <w:rFonts w:ascii="Times New Roman" w:eastAsia="Times New Roman" w:hAnsi="Times New Roman"/>
      <w:color w:val="auto"/>
    </w:rPr>
  </w:style>
  <w:style w:type="paragraph" w:styleId="Subtitle">
    <w:name w:val="Subtitle"/>
    <w:basedOn w:val="Normal"/>
    <w:next w:val="Normal"/>
    <w:link w:val="SubtitleChar"/>
    <w:uiPriority w:val="11"/>
    <w:qFormat/>
    <w:rsid w:val="00B82EB2"/>
    <w:pPr>
      <w:numPr>
        <w:ilvl w:val="1"/>
      </w:numPr>
      <w:spacing w:after="200" w:line="276" w:lineRule="auto"/>
    </w:pPr>
    <w:rPr>
      <w:rFonts w:ascii="Cambria" w:eastAsia="Times New Roman" w:hAnsi="Cambria"/>
      <w:i/>
      <w:iCs/>
      <w:color w:val="4F81BD"/>
      <w:spacing w:val="15"/>
    </w:rPr>
  </w:style>
  <w:style w:type="character" w:customStyle="1" w:styleId="SubtitleChar">
    <w:name w:val="Subtitle Char"/>
    <w:basedOn w:val="DefaultParagraphFont"/>
    <w:link w:val="Subtitle"/>
    <w:uiPriority w:val="11"/>
    <w:rsid w:val="00B82EB2"/>
    <w:rPr>
      <w:rFonts w:ascii="Cambria" w:eastAsia="Times New Roman" w:hAnsi="Cambria"/>
      <w:i/>
      <w:iCs/>
      <w:color w:val="4F81BD"/>
      <w:spacing w:val="15"/>
    </w:rPr>
  </w:style>
  <w:style w:type="table" w:styleId="MediumList2-Accent1">
    <w:name w:val="Medium List 2 Accent 1"/>
    <w:basedOn w:val="TableNormal"/>
    <w:uiPriority w:val="66"/>
    <w:rsid w:val="00B82EB2"/>
    <w:rPr>
      <w:rFonts w:ascii="Cambria" w:eastAsia="Times New Roman" w:hAnsi="Cambria"/>
      <w:color w:val="000000"/>
      <w:sz w:val="22"/>
      <w:szCs w:val="22"/>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paragraph" w:customStyle="1" w:styleId="segment">
    <w:name w:val="segment"/>
    <w:basedOn w:val="Normal"/>
    <w:rsid w:val="00B82EB2"/>
    <w:pPr>
      <w:spacing w:before="100" w:beforeAutospacing="1" w:after="100" w:afterAutospacing="1"/>
    </w:pPr>
    <w:rPr>
      <w:rFonts w:ascii="Times New Roman" w:eastAsia="Times New Roman" w:hAnsi="Times New Roman"/>
      <w:color w:val="auto"/>
      <w:lang w:eastAsia="hr-HR"/>
    </w:rPr>
  </w:style>
  <w:style w:type="table" w:customStyle="1" w:styleId="export-amendments-table">
    <w:name w:val="export-amendments-table"/>
    <w:rsid w:val="00B82EB2"/>
    <w:rPr>
      <w:rFonts w:ascii="Times New Roman" w:eastAsia="Times New Roman" w:hAnsi="Times New Roman"/>
      <w:color w:val="auto"/>
      <w:sz w:val="20"/>
      <w:szCs w:val="20"/>
      <w:lang w:eastAsia="hr-HR"/>
    </w:rPr>
    <w:tblPr>
      <w:tblCellMar>
        <w:top w:w="0" w:type="dxa"/>
        <w:left w:w="0" w:type="dxa"/>
        <w:bottom w:w="0" w:type="dxa"/>
        <w:right w:w="0" w:type="dxa"/>
      </w:tblCellMar>
    </w:tblPr>
  </w:style>
  <w:style w:type="table" w:customStyle="1" w:styleId="TableGrid1">
    <w:name w:val="Table Grid1"/>
    <w:basedOn w:val="TableNormal"/>
    <w:next w:val="TableGrid"/>
    <w:uiPriority w:val="39"/>
    <w:rsid w:val="00B82EB2"/>
    <w:rPr>
      <w:rFonts w:asciiTheme="minorHAnsi" w:hAnsiTheme="minorHAnsi" w:cstheme="minorBidi"/>
      <w:color w:val="auto"/>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Normal"/>
    <w:next w:val="Normal"/>
    <w:uiPriority w:val="9"/>
    <w:qFormat/>
    <w:rsid w:val="00D7024A"/>
    <w:pPr>
      <w:keepNext/>
      <w:keepLines/>
      <w:spacing w:before="240"/>
      <w:ind w:left="432" w:hanging="432"/>
      <w:jc w:val="both"/>
      <w:outlineLvl w:val="0"/>
    </w:pPr>
    <w:rPr>
      <w:rFonts w:ascii="Segoe UI Semibold" w:eastAsia="Times New Roman" w:hAnsi="Segoe UI Semibold"/>
      <w:color w:val="1F3864"/>
      <w:sz w:val="32"/>
      <w:szCs w:val="32"/>
    </w:rPr>
  </w:style>
  <w:style w:type="paragraph" w:customStyle="1" w:styleId="Heading21">
    <w:name w:val="Heading 21"/>
    <w:basedOn w:val="Normal"/>
    <w:next w:val="Normal"/>
    <w:unhideWhenUsed/>
    <w:qFormat/>
    <w:rsid w:val="00D7024A"/>
    <w:pPr>
      <w:keepNext/>
      <w:keepLines/>
      <w:spacing w:before="240" w:after="240"/>
      <w:ind w:left="578" w:hanging="578"/>
      <w:jc w:val="both"/>
      <w:outlineLvl w:val="1"/>
    </w:pPr>
    <w:rPr>
      <w:rFonts w:ascii="Segoe UI Semibold" w:eastAsia="Times New Roman" w:hAnsi="Segoe UI Semibold"/>
      <w:color w:val="1F3864"/>
      <w:sz w:val="28"/>
      <w:szCs w:val="26"/>
    </w:rPr>
  </w:style>
  <w:style w:type="paragraph" w:customStyle="1" w:styleId="Heading311">
    <w:name w:val="Heading 3.1.1"/>
    <w:basedOn w:val="Normal"/>
    <w:next w:val="Normal"/>
    <w:uiPriority w:val="9"/>
    <w:unhideWhenUsed/>
    <w:qFormat/>
    <w:rsid w:val="00D7024A"/>
    <w:pPr>
      <w:keepNext/>
      <w:keepLines/>
      <w:spacing w:before="40"/>
      <w:ind w:left="720" w:hanging="720"/>
      <w:jc w:val="both"/>
      <w:outlineLvl w:val="2"/>
    </w:pPr>
    <w:rPr>
      <w:rFonts w:ascii="Segoe UI Semibold" w:eastAsia="Times New Roman" w:hAnsi="Segoe UI Semibold"/>
      <w:color w:val="1F3763"/>
    </w:rPr>
  </w:style>
  <w:style w:type="paragraph" w:customStyle="1" w:styleId="Heading41">
    <w:name w:val="Heading 41"/>
    <w:basedOn w:val="Normal"/>
    <w:next w:val="Normal"/>
    <w:unhideWhenUsed/>
    <w:qFormat/>
    <w:rsid w:val="00D7024A"/>
    <w:pPr>
      <w:keepNext/>
      <w:keepLines/>
      <w:spacing w:before="40"/>
      <w:ind w:left="864" w:hanging="864"/>
      <w:jc w:val="both"/>
      <w:outlineLvl w:val="3"/>
    </w:pPr>
    <w:rPr>
      <w:rFonts w:ascii="Segoe UI Semibold" w:eastAsia="Times New Roman" w:hAnsi="Segoe UI Semibold"/>
      <w:iCs/>
      <w:color w:val="1F3864"/>
      <w:lang w:eastAsia="hr-HR"/>
    </w:rPr>
  </w:style>
  <w:style w:type="paragraph" w:customStyle="1" w:styleId="Heading51">
    <w:name w:val="Heading 51"/>
    <w:basedOn w:val="Normal"/>
    <w:next w:val="Normal"/>
    <w:uiPriority w:val="9"/>
    <w:unhideWhenUsed/>
    <w:qFormat/>
    <w:rsid w:val="00D7024A"/>
    <w:pPr>
      <w:keepNext/>
      <w:keepLines/>
      <w:spacing w:before="240" w:after="240"/>
      <w:ind w:left="1434" w:hanging="1008"/>
      <w:jc w:val="both"/>
      <w:outlineLvl w:val="4"/>
    </w:pPr>
    <w:rPr>
      <w:rFonts w:ascii="Segoe UI Semibold" w:eastAsia="Times New Roman" w:hAnsi="Segoe UI Semibold"/>
      <w:color w:val="1F3864"/>
    </w:rPr>
  </w:style>
  <w:style w:type="paragraph" w:customStyle="1" w:styleId="Heading61">
    <w:name w:val="Heading 61"/>
    <w:basedOn w:val="Normal"/>
    <w:next w:val="Normal"/>
    <w:uiPriority w:val="9"/>
    <w:unhideWhenUsed/>
    <w:qFormat/>
    <w:rsid w:val="00D7024A"/>
    <w:pPr>
      <w:keepNext/>
      <w:keepLines/>
      <w:spacing w:before="40"/>
      <w:ind w:left="1152" w:hanging="1152"/>
      <w:jc w:val="both"/>
      <w:outlineLvl w:val="5"/>
    </w:pPr>
    <w:rPr>
      <w:rFonts w:ascii="Segoe UI Semibold" w:eastAsia="Times New Roman" w:hAnsi="Segoe UI Semibold"/>
      <w:color w:val="1F3763"/>
    </w:rPr>
  </w:style>
  <w:style w:type="paragraph" w:customStyle="1" w:styleId="Heading71">
    <w:name w:val="Heading 71"/>
    <w:basedOn w:val="Normal"/>
    <w:next w:val="Normal"/>
    <w:uiPriority w:val="9"/>
    <w:unhideWhenUsed/>
    <w:qFormat/>
    <w:rsid w:val="00D7024A"/>
    <w:pPr>
      <w:keepNext/>
      <w:keepLines/>
      <w:spacing w:before="40"/>
      <w:ind w:left="1296" w:hanging="1296"/>
      <w:jc w:val="both"/>
      <w:outlineLvl w:val="6"/>
    </w:pPr>
    <w:rPr>
      <w:rFonts w:ascii="Segoe UI Semibold" w:eastAsia="Times New Roman" w:hAnsi="Segoe UI Semibold"/>
      <w:iCs/>
      <w:color w:val="1F3763"/>
    </w:rPr>
  </w:style>
  <w:style w:type="paragraph" w:customStyle="1" w:styleId="Heading81">
    <w:name w:val="Heading 81"/>
    <w:basedOn w:val="Normal"/>
    <w:next w:val="Normal"/>
    <w:uiPriority w:val="9"/>
    <w:unhideWhenUsed/>
    <w:qFormat/>
    <w:rsid w:val="00D7024A"/>
    <w:pPr>
      <w:keepNext/>
      <w:keepLines/>
      <w:spacing w:before="40"/>
      <w:ind w:left="1440" w:hanging="1440"/>
      <w:outlineLvl w:val="7"/>
    </w:pPr>
    <w:rPr>
      <w:rFonts w:ascii="Calibri Light" w:eastAsia="Times New Roman" w:hAnsi="Calibri Light"/>
      <w:color w:val="272727"/>
      <w:sz w:val="21"/>
      <w:szCs w:val="21"/>
    </w:rPr>
  </w:style>
  <w:style w:type="paragraph" w:customStyle="1" w:styleId="Heading91">
    <w:name w:val="Heading 91"/>
    <w:basedOn w:val="Normal"/>
    <w:next w:val="Normal"/>
    <w:uiPriority w:val="9"/>
    <w:unhideWhenUsed/>
    <w:qFormat/>
    <w:rsid w:val="00D7024A"/>
    <w:pPr>
      <w:keepNext/>
      <w:keepLines/>
      <w:spacing w:before="40"/>
      <w:ind w:left="1584" w:hanging="1584"/>
      <w:outlineLvl w:val="8"/>
    </w:pPr>
    <w:rPr>
      <w:rFonts w:ascii="Calibri Light" w:eastAsia="Times New Roman" w:hAnsi="Calibri Light"/>
      <w:i/>
      <w:iCs/>
      <w:color w:val="272727"/>
      <w:sz w:val="21"/>
      <w:szCs w:val="21"/>
    </w:rPr>
  </w:style>
  <w:style w:type="numbering" w:customStyle="1" w:styleId="NoList1">
    <w:name w:val="No List1"/>
    <w:next w:val="NoList"/>
    <w:uiPriority w:val="99"/>
    <w:semiHidden/>
    <w:unhideWhenUsed/>
    <w:rsid w:val="00D7024A"/>
  </w:style>
  <w:style w:type="paragraph" w:customStyle="1" w:styleId="Caption1">
    <w:name w:val="Caption1"/>
    <w:basedOn w:val="Normal"/>
    <w:next w:val="Normal"/>
    <w:uiPriority w:val="35"/>
    <w:unhideWhenUsed/>
    <w:qFormat/>
    <w:rsid w:val="00D7024A"/>
    <w:pPr>
      <w:spacing w:after="200"/>
    </w:pPr>
    <w:rPr>
      <w:i/>
      <w:iCs/>
      <w:color w:val="44546A"/>
      <w:sz w:val="18"/>
      <w:szCs w:val="18"/>
    </w:rPr>
  </w:style>
  <w:style w:type="character" w:customStyle="1" w:styleId="Hyperlink1">
    <w:name w:val="Hyperlink1"/>
    <w:basedOn w:val="DefaultParagraphFont"/>
    <w:uiPriority w:val="99"/>
    <w:unhideWhenUsed/>
    <w:rsid w:val="00D7024A"/>
    <w:rPr>
      <w:color w:val="0563C1"/>
      <w:u w:val="single"/>
    </w:rPr>
  </w:style>
  <w:style w:type="paragraph" w:customStyle="1" w:styleId="TOCHeading1">
    <w:name w:val="TOC Heading1"/>
    <w:basedOn w:val="Heading1"/>
    <w:next w:val="Normal"/>
    <w:uiPriority w:val="39"/>
    <w:unhideWhenUsed/>
    <w:qFormat/>
    <w:rsid w:val="00D7024A"/>
    <w:pPr>
      <w:numPr>
        <w:numId w:val="0"/>
      </w:numPr>
      <w:spacing w:line="259" w:lineRule="auto"/>
      <w:jc w:val="left"/>
    </w:pPr>
    <w:rPr>
      <w:rFonts w:eastAsia="Times New Roman" w:cs="Times New Roman"/>
      <w:color w:val="1F3864"/>
      <w:lang w:val="en-US"/>
    </w:rPr>
  </w:style>
  <w:style w:type="paragraph" w:customStyle="1" w:styleId="NoSpacing1">
    <w:name w:val="No Spacing1"/>
    <w:next w:val="NoSpacing"/>
    <w:uiPriority w:val="1"/>
    <w:qFormat/>
    <w:rsid w:val="00D7024A"/>
    <w:rPr>
      <w:rFonts w:asciiTheme="minorHAnsi" w:eastAsia="Times New Roman" w:hAnsiTheme="minorHAnsi" w:cstheme="minorBidi"/>
      <w:color w:val="auto"/>
      <w:sz w:val="22"/>
      <w:szCs w:val="22"/>
    </w:rPr>
  </w:style>
  <w:style w:type="paragraph" w:customStyle="1" w:styleId="TOC81">
    <w:name w:val="TOC 81"/>
    <w:basedOn w:val="Normal"/>
    <w:next w:val="Normal"/>
    <w:autoRedefine/>
    <w:uiPriority w:val="39"/>
    <w:unhideWhenUsed/>
    <w:rsid w:val="00D7024A"/>
    <w:pPr>
      <w:spacing w:after="100" w:line="259" w:lineRule="auto"/>
      <w:ind w:left="1540"/>
    </w:pPr>
    <w:rPr>
      <w:rFonts w:asciiTheme="minorHAnsi" w:eastAsia="Times New Roman" w:hAnsiTheme="minorHAnsi" w:cstheme="minorBidi"/>
      <w:color w:val="auto"/>
      <w:sz w:val="22"/>
      <w:szCs w:val="22"/>
      <w:lang w:val="en-US"/>
    </w:rPr>
  </w:style>
  <w:style w:type="paragraph" w:customStyle="1" w:styleId="TOC91">
    <w:name w:val="TOC 91"/>
    <w:basedOn w:val="Normal"/>
    <w:next w:val="Normal"/>
    <w:autoRedefine/>
    <w:uiPriority w:val="39"/>
    <w:unhideWhenUsed/>
    <w:rsid w:val="00D7024A"/>
    <w:pPr>
      <w:spacing w:after="100" w:line="259" w:lineRule="auto"/>
      <w:ind w:left="1760"/>
    </w:pPr>
    <w:rPr>
      <w:rFonts w:asciiTheme="minorHAnsi" w:eastAsia="Times New Roman" w:hAnsiTheme="minorHAnsi" w:cstheme="minorBidi"/>
      <w:color w:val="auto"/>
      <w:sz w:val="22"/>
      <w:szCs w:val="22"/>
      <w:lang w:val="en-US"/>
    </w:rPr>
  </w:style>
  <w:style w:type="character" w:customStyle="1" w:styleId="Heading1Char1">
    <w:name w:val="Heading 1 Char1"/>
    <w:basedOn w:val="DefaultParagraphFont"/>
    <w:uiPriority w:val="9"/>
    <w:rsid w:val="00D7024A"/>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rsid w:val="00D7024A"/>
    <w:rPr>
      <w:rFonts w:asciiTheme="majorHAnsi" w:eastAsiaTheme="majorEastAsia" w:hAnsiTheme="majorHAnsi" w:cstheme="majorBidi"/>
      <w:color w:val="2F5496" w:themeColor="accent1" w:themeShade="BF"/>
      <w:sz w:val="26"/>
      <w:szCs w:val="26"/>
    </w:rPr>
  </w:style>
  <w:style w:type="character" w:customStyle="1" w:styleId="Heading3Char1">
    <w:name w:val="Heading 3 Char1"/>
    <w:basedOn w:val="DefaultParagraphFont"/>
    <w:uiPriority w:val="9"/>
    <w:semiHidden/>
    <w:rsid w:val="00D7024A"/>
    <w:rPr>
      <w:rFonts w:asciiTheme="majorHAnsi" w:eastAsiaTheme="majorEastAsia" w:hAnsiTheme="majorHAnsi" w:cstheme="majorBidi"/>
      <w:color w:val="1F3763" w:themeColor="accent1" w:themeShade="7F"/>
      <w:sz w:val="24"/>
      <w:szCs w:val="24"/>
    </w:rPr>
  </w:style>
  <w:style w:type="character" w:customStyle="1" w:styleId="Heading4Char1">
    <w:name w:val="Heading 4 Char1"/>
    <w:basedOn w:val="DefaultParagraphFont"/>
    <w:uiPriority w:val="9"/>
    <w:semiHidden/>
    <w:rsid w:val="00D7024A"/>
    <w:rPr>
      <w:rFonts w:asciiTheme="majorHAnsi" w:eastAsiaTheme="majorEastAsia" w:hAnsiTheme="majorHAnsi" w:cstheme="majorBidi"/>
      <w:i/>
      <w:iCs/>
      <w:color w:val="2F5496" w:themeColor="accent1" w:themeShade="BF"/>
    </w:rPr>
  </w:style>
  <w:style w:type="character" w:customStyle="1" w:styleId="Heading5Char1">
    <w:name w:val="Heading 5 Char1"/>
    <w:basedOn w:val="DefaultParagraphFont"/>
    <w:uiPriority w:val="9"/>
    <w:semiHidden/>
    <w:rsid w:val="00D7024A"/>
    <w:rPr>
      <w:rFonts w:asciiTheme="majorHAnsi" w:eastAsiaTheme="majorEastAsia" w:hAnsiTheme="majorHAnsi" w:cstheme="majorBidi"/>
      <w:color w:val="2F5496" w:themeColor="accent1" w:themeShade="BF"/>
    </w:rPr>
  </w:style>
  <w:style w:type="character" w:customStyle="1" w:styleId="Heading6Char1">
    <w:name w:val="Heading 6 Char1"/>
    <w:basedOn w:val="DefaultParagraphFont"/>
    <w:uiPriority w:val="9"/>
    <w:semiHidden/>
    <w:rsid w:val="00D7024A"/>
    <w:rPr>
      <w:rFonts w:asciiTheme="majorHAnsi" w:eastAsiaTheme="majorEastAsia" w:hAnsiTheme="majorHAnsi" w:cstheme="majorBidi"/>
      <w:color w:val="1F3763" w:themeColor="accent1" w:themeShade="7F"/>
    </w:rPr>
  </w:style>
  <w:style w:type="character" w:customStyle="1" w:styleId="Heading7Char1">
    <w:name w:val="Heading 7 Char1"/>
    <w:basedOn w:val="DefaultParagraphFont"/>
    <w:uiPriority w:val="9"/>
    <w:semiHidden/>
    <w:rsid w:val="00D7024A"/>
    <w:rPr>
      <w:rFonts w:asciiTheme="majorHAnsi" w:eastAsiaTheme="majorEastAsia" w:hAnsiTheme="majorHAnsi" w:cstheme="majorBidi"/>
      <w:i/>
      <w:iCs/>
      <w:color w:val="1F3763" w:themeColor="accent1" w:themeShade="7F"/>
    </w:rPr>
  </w:style>
  <w:style w:type="character" w:customStyle="1" w:styleId="Heading8Char1">
    <w:name w:val="Heading 8 Char1"/>
    <w:basedOn w:val="DefaultParagraphFont"/>
    <w:uiPriority w:val="9"/>
    <w:semiHidden/>
    <w:rsid w:val="00D7024A"/>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D7024A"/>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8273245">
      <w:bodyDiv w:val="1"/>
      <w:marLeft w:val="0"/>
      <w:marRight w:val="0"/>
      <w:marTop w:val="0"/>
      <w:marBottom w:val="0"/>
      <w:divBdr>
        <w:top w:val="none" w:sz="0" w:space="0" w:color="auto"/>
        <w:left w:val="none" w:sz="0" w:space="0" w:color="auto"/>
        <w:bottom w:val="none" w:sz="0" w:space="0" w:color="auto"/>
        <w:right w:val="none" w:sz="0" w:space="0" w:color="auto"/>
      </w:divBdr>
    </w:div>
    <w:div w:id="1412583454">
      <w:bodyDiv w:val="1"/>
      <w:marLeft w:val="0"/>
      <w:marRight w:val="0"/>
      <w:marTop w:val="0"/>
      <w:marBottom w:val="0"/>
      <w:divBdr>
        <w:top w:val="none" w:sz="0" w:space="0" w:color="auto"/>
        <w:left w:val="none" w:sz="0" w:space="0" w:color="auto"/>
        <w:bottom w:val="none" w:sz="0" w:space="0" w:color="auto"/>
        <w:right w:val="none" w:sz="0" w:space="0" w:color="auto"/>
      </w:divBdr>
    </w:div>
    <w:div w:id="1485244392">
      <w:bodyDiv w:val="1"/>
      <w:marLeft w:val="0"/>
      <w:marRight w:val="0"/>
      <w:marTop w:val="0"/>
      <w:marBottom w:val="0"/>
      <w:divBdr>
        <w:top w:val="none" w:sz="0" w:space="0" w:color="auto"/>
        <w:left w:val="none" w:sz="0" w:space="0" w:color="auto"/>
        <w:bottom w:val="none" w:sz="0" w:space="0" w:color="auto"/>
        <w:right w:val="none" w:sz="0" w:space="0" w:color="auto"/>
      </w:divBdr>
    </w:div>
    <w:div w:id="1521116163">
      <w:bodyDiv w:val="1"/>
      <w:marLeft w:val="0"/>
      <w:marRight w:val="0"/>
      <w:marTop w:val="0"/>
      <w:marBottom w:val="0"/>
      <w:divBdr>
        <w:top w:val="none" w:sz="0" w:space="0" w:color="auto"/>
        <w:left w:val="none" w:sz="0" w:space="0" w:color="auto"/>
        <w:bottom w:val="none" w:sz="0" w:space="0" w:color="auto"/>
        <w:right w:val="none" w:sz="0" w:space="0" w:color="auto"/>
      </w:divBdr>
      <w:divsChild>
        <w:div w:id="1208833089">
          <w:marLeft w:val="1426"/>
          <w:marRight w:val="0"/>
          <w:marTop w:val="0"/>
          <w:marBottom w:val="0"/>
          <w:divBdr>
            <w:top w:val="none" w:sz="0" w:space="0" w:color="auto"/>
            <w:left w:val="none" w:sz="0" w:space="0" w:color="auto"/>
            <w:bottom w:val="none" w:sz="0" w:space="0" w:color="auto"/>
            <w:right w:val="none" w:sz="0" w:space="0" w:color="auto"/>
          </w:divBdr>
        </w:div>
      </w:divsChild>
    </w:div>
    <w:div w:id="1580628835">
      <w:bodyDiv w:val="1"/>
      <w:marLeft w:val="0"/>
      <w:marRight w:val="0"/>
      <w:marTop w:val="0"/>
      <w:marBottom w:val="0"/>
      <w:divBdr>
        <w:top w:val="none" w:sz="0" w:space="0" w:color="auto"/>
        <w:left w:val="none" w:sz="0" w:space="0" w:color="auto"/>
        <w:bottom w:val="none" w:sz="0" w:space="0" w:color="auto"/>
        <w:right w:val="none" w:sz="0" w:space="0" w:color="auto"/>
      </w:divBdr>
    </w:div>
    <w:div w:id="1643539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image" Target="media/image12.emf"/><Relationship Id="rId11" Type="http://schemas.openxmlformats.org/officeDocument/2006/relationships/header" Target="header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32.png"/><Relationship Id="rId10" Type="http://schemas.openxmlformats.org/officeDocument/2006/relationships/endnotes" Target="endnotes.xml"/><Relationship Id="rId19" Type="http://schemas.openxmlformats.org/officeDocument/2006/relationships/header" Target="header7.xml"/><Relationship Id="rId31" Type="http://schemas.openxmlformats.org/officeDocument/2006/relationships/image" Target="media/image14.emf"/><Relationship Id="rId44" Type="http://schemas.openxmlformats.org/officeDocument/2006/relationships/image" Target="media/image27.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20" Type="http://schemas.openxmlformats.org/officeDocument/2006/relationships/image" Target="media/image3.jpe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HR/TXT/HTML/?uri=CELEX:32018R1971&amp;from=HR" TargetMode="External"/><Relationship Id="rId2" Type="http://schemas.openxmlformats.org/officeDocument/2006/relationships/hyperlink" Target="https://eur-lex.europa.eu/legal-content/HR/TXT/HTML/?uri=CELEX:52018XC0507(01)&amp;from=SV" TargetMode="External"/><Relationship Id="rId1" Type="http://schemas.openxmlformats.org/officeDocument/2006/relationships/hyperlink" Target="https://eur-lex.europa.eu/legal-content/HR/ALL/?uri=CELEX%3A32020H2245" TargetMode="External"/><Relationship Id="rId4" Type="http://schemas.openxmlformats.org/officeDocument/2006/relationships/hyperlink" Target="file:///C:\Users\mcavlovic\Downloads\staff_working_document_-_recommendation_on_relevant_markets_33639264-B9C7-DFFD-D21E9A15C6C46B9B_72442%20(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EA4D8-3E45-40B2-AD8E-CA161A2980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2699E5-1815-456B-AC18-4146622C57DA}">
  <ds:schemaRefs>
    <ds:schemaRef ds:uri="http://schemas.microsoft.com/sharepoint/v3/contenttype/forms"/>
  </ds:schemaRefs>
</ds:datastoreItem>
</file>

<file path=customXml/itemProps3.xml><?xml version="1.0" encoding="utf-8"?>
<ds:datastoreItem xmlns:ds="http://schemas.openxmlformats.org/officeDocument/2006/customXml" ds:itemID="{4003F56A-8043-49C6-919A-B2E848CCDD6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B6CE20F-702A-4CE7-BBDE-92B1BAE52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63294</Words>
  <Characters>360776</Characters>
  <Application>Microsoft Office Word</Application>
  <DocSecurity>0</DocSecurity>
  <Lines>3006</Lines>
  <Paragraphs>846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 Perkovic</dc:creator>
  <cp:keywords/>
  <dc:description/>
  <cp:lastModifiedBy>Jelena Barać</cp:lastModifiedBy>
  <cp:revision>9</cp:revision>
  <cp:lastPrinted>2023-01-13T14:11:00Z</cp:lastPrinted>
  <dcterms:created xsi:type="dcterms:W3CDTF">2023-01-27T12:02:00Z</dcterms:created>
  <dcterms:modified xsi:type="dcterms:W3CDTF">2023-01-27T12:57:00Z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