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1.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2.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065319" w14:textId="3CB31C82" w:rsidR="00CB4BB1" w:rsidRDefault="00CB4BB1" w:rsidP="00CB4BB1">
      <w:bookmarkStart w:id="0" w:name="_GoBack"/>
      <w:bookmarkEnd w:id="0"/>
      <w:r>
        <w:t xml:space="preserve">KLASA: </w:t>
      </w:r>
      <w:r w:rsidR="00CF6054" w:rsidRPr="00CF6054">
        <w:t>UP/I-344-01/2</w:t>
      </w:r>
      <w:r w:rsidR="00092530">
        <w:t>3</w:t>
      </w:r>
      <w:r w:rsidR="00CF6054" w:rsidRPr="00CF6054">
        <w:t>-05/0</w:t>
      </w:r>
      <w:r w:rsidR="00D075A6">
        <w:t>5</w:t>
      </w:r>
    </w:p>
    <w:p w14:paraId="50AE9FB4" w14:textId="002E731A" w:rsidR="00CB4BB1" w:rsidRDefault="00CB4BB1" w:rsidP="00CB4BB1">
      <w:r>
        <w:t xml:space="preserve">URBROJ: </w:t>
      </w:r>
      <w:r w:rsidR="008D5604">
        <w:t>376-05-1-</w:t>
      </w:r>
      <w:r w:rsidR="00092530">
        <w:t>23</w:t>
      </w:r>
      <w:r w:rsidR="00CF6054">
        <w:t>-</w:t>
      </w:r>
      <w:r w:rsidR="00D075A6">
        <w:t>01</w:t>
      </w:r>
    </w:p>
    <w:p w14:paraId="56318A04" w14:textId="1F5F0C5E" w:rsidR="00CB4BB1" w:rsidRDefault="00CB4BB1" w:rsidP="00CB4BB1">
      <w:pPr>
        <w:spacing w:after="240"/>
      </w:pPr>
      <w:r>
        <w:t>Zagreb,</w:t>
      </w:r>
      <w:r w:rsidR="009E7FB9">
        <w:t xml:space="preserve"> 2</w:t>
      </w:r>
      <w:r w:rsidR="00506462">
        <w:t>3</w:t>
      </w:r>
      <w:r w:rsidR="004A5506">
        <w:t xml:space="preserve">. </w:t>
      </w:r>
      <w:r w:rsidR="007C0336">
        <w:t>studen</w:t>
      </w:r>
      <w:r w:rsidR="003B0664">
        <w:t>og</w:t>
      </w:r>
      <w:r w:rsidR="007C0336">
        <w:t xml:space="preserve"> </w:t>
      </w:r>
      <w:r w:rsidR="00726B17">
        <w:t>202</w:t>
      </w:r>
      <w:r w:rsidR="007C0336">
        <w:t>3</w:t>
      </w:r>
      <w:r w:rsidR="004A5506">
        <w:t>.</w:t>
      </w:r>
    </w:p>
    <w:p w14:paraId="48EBBF7C" w14:textId="77777777" w:rsidR="00263632" w:rsidRDefault="00263632" w:rsidP="000F79E0">
      <w:pPr>
        <w:jc w:val="both"/>
      </w:pPr>
    </w:p>
    <w:p w14:paraId="45889C2F" w14:textId="51C2240F" w:rsidR="004A5506" w:rsidRPr="00A1065C" w:rsidRDefault="004A5506" w:rsidP="000F79E0">
      <w:pPr>
        <w:jc w:val="both"/>
      </w:pPr>
      <w:r w:rsidRPr="00C94C15">
        <w:t>Na temelju članka 1</w:t>
      </w:r>
      <w:r w:rsidR="007C0336">
        <w:t>6</w:t>
      </w:r>
      <w:r w:rsidRPr="00C94C15">
        <w:t xml:space="preserve">. stavka 1. točke </w:t>
      </w:r>
      <w:r w:rsidR="007C0336">
        <w:t>4</w:t>
      </w:r>
      <w:r w:rsidRPr="00C94C15">
        <w:t xml:space="preserve">. i članka </w:t>
      </w:r>
      <w:r w:rsidR="007C0336">
        <w:t>107</w:t>
      </w:r>
      <w:r w:rsidRPr="00C94C15">
        <w:t xml:space="preserve">. stavak </w:t>
      </w:r>
      <w:r w:rsidR="007C0336">
        <w:t>1</w:t>
      </w:r>
      <w:r w:rsidRPr="00C94C15">
        <w:t>. Zakona o elektroničkim komunikacijama (NN br.</w:t>
      </w:r>
      <w:r w:rsidR="00C20CE9">
        <w:t xml:space="preserve"> </w:t>
      </w:r>
      <w:r w:rsidR="007C0336">
        <w:t>76/22</w:t>
      </w:r>
      <w:r w:rsidRPr="00C94C15">
        <w:t xml:space="preserve">) </w:t>
      </w:r>
      <w:r>
        <w:t xml:space="preserve">radi provođenja regulatorne obveze </w:t>
      </w:r>
      <w:r w:rsidRPr="006659A1">
        <w:t xml:space="preserve">nadzora cijena </w:t>
      </w:r>
      <w:r w:rsidR="006E0B9D" w:rsidRPr="006659A1">
        <w:t xml:space="preserve">na tržištu </w:t>
      </w:r>
      <w:r w:rsidR="006659A1" w:rsidRPr="006659A1">
        <w:t>veleprodajnog lo</w:t>
      </w:r>
      <w:r w:rsidR="006659A1">
        <w:t>kalnog pristupa koji se pruža na fiksnoj lokaciji</w:t>
      </w:r>
      <w:r w:rsidRPr="00953F5C">
        <w:t xml:space="preserve">, Vijeće Hrvatske </w:t>
      </w:r>
      <w:r>
        <w:t>regulatorne agencije za mrežne djelatnosti</w:t>
      </w:r>
      <w:r w:rsidRPr="00953F5C">
        <w:t xml:space="preserve"> je na sjednici održanoj</w:t>
      </w:r>
      <w:r w:rsidR="00D075A6">
        <w:t xml:space="preserve"> </w:t>
      </w:r>
      <w:r w:rsidR="009E7FB9">
        <w:t>2</w:t>
      </w:r>
      <w:r w:rsidR="00506462">
        <w:t>3</w:t>
      </w:r>
      <w:r w:rsidRPr="00A1065C">
        <w:t xml:space="preserve">. </w:t>
      </w:r>
      <w:r w:rsidR="007C0336">
        <w:t xml:space="preserve">studenog </w:t>
      </w:r>
      <w:r w:rsidR="00726B17" w:rsidRPr="00A1065C">
        <w:t>20</w:t>
      </w:r>
      <w:r w:rsidR="00726B17">
        <w:t>2</w:t>
      </w:r>
      <w:r w:rsidR="007C0336">
        <w:t>3</w:t>
      </w:r>
      <w:r w:rsidRPr="00A1065C">
        <w:t>.</w:t>
      </w:r>
      <w:r w:rsidRPr="00953F5C">
        <w:t xml:space="preserve"> donijelo</w:t>
      </w:r>
    </w:p>
    <w:p w14:paraId="24DCA406" w14:textId="171DC8F9" w:rsidR="004A5506" w:rsidRDefault="004A5506" w:rsidP="000F79E0">
      <w:pPr>
        <w:jc w:val="both"/>
        <w:rPr>
          <w:b/>
          <w:color w:val="000000"/>
        </w:rPr>
      </w:pPr>
    </w:p>
    <w:p w14:paraId="6CB3B286" w14:textId="77777777" w:rsidR="00263632" w:rsidRDefault="00263632" w:rsidP="000F79E0">
      <w:pPr>
        <w:jc w:val="both"/>
        <w:rPr>
          <w:b/>
          <w:color w:val="000000"/>
        </w:rPr>
      </w:pPr>
    </w:p>
    <w:p w14:paraId="3F8D31B4" w14:textId="77777777" w:rsidR="004A5506" w:rsidRDefault="004A5506" w:rsidP="000F79E0">
      <w:pPr>
        <w:jc w:val="center"/>
        <w:rPr>
          <w:b/>
          <w:color w:val="000000"/>
        </w:rPr>
      </w:pPr>
      <w:r>
        <w:rPr>
          <w:b/>
          <w:color w:val="000000"/>
        </w:rPr>
        <w:t>ODLUKU</w:t>
      </w:r>
    </w:p>
    <w:p w14:paraId="26B890B9" w14:textId="44D4B61E" w:rsidR="00CB4BB1" w:rsidRDefault="00CB4BB1" w:rsidP="000F79E0">
      <w:pPr>
        <w:jc w:val="both"/>
      </w:pPr>
    </w:p>
    <w:p w14:paraId="2F5B650E" w14:textId="77777777" w:rsidR="00263632" w:rsidRDefault="00263632" w:rsidP="000F79E0">
      <w:pPr>
        <w:jc w:val="both"/>
      </w:pPr>
    </w:p>
    <w:p w14:paraId="1194C3E1" w14:textId="77777777" w:rsidR="000F79E0" w:rsidRDefault="00CF09E5" w:rsidP="006B1850">
      <w:pPr>
        <w:pStyle w:val="ListParagraph"/>
        <w:numPr>
          <w:ilvl w:val="0"/>
          <w:numId w:val="1"/>
        </w:numPr>
        <w:jc w:val="both"/>
      </w:pPr>
      <w:bookmarkStart w:id="1" w:name="_Ref53989237"/>
      <w:bookmarkStart w:id="2" w:name="_Ref53988858"/>
      <w:r w:rsidRPr="00A1065C">
        <w:t xml:space="preserve">Trgovačkom društvu Hrvatski Telekom d.d., Zagreb, </w:t>
      </w:r>
      <w:r w:rsidR="006B1850" w:rsidRPr="006B1850">
        <w:t>Radnička cesta 21</w:t>
      </w:r>
      <w:r w:rsidR="00F17B68">
        <w:t>, određuju</w:t>
      </w:r>
      <w:r w:rsidRPr="00A1065C">
        <w:t xml:space="preserve"> se </w:t>
      </w:r>
      <w:r w:rsidR="00F17B68">
        <w:t xml:space="preserve">cijene </w:t>
      </w:r>
      <w:r w:rsidR="00F17B68" w:rsidRPr="00F17B68">
        <w:t xml:space="preserve">na tržištu veleprodajnog lokalnog pristupa koji se pruža na fiksnoj lokaciji </w:t>
      </w:r>
      <w:r w:rsidR="000F79E0" w:rsidRPr="000F79E0">
        <w:t>kako slijedi, pri čemu definirane cijene predstavljaju najvišu razinu cijena</w:t>
      </w:r>
      <w:r w:rsidR="000F79E0">
        <w:t>:</w:t>
      </w:r>
      <w:bookmarkEnd w:id="1"/>
    </w:p>
    <w:p w14:paraId="132B4AD5" w14:textId="77777777" w:rsidR="000F79E0" w:rsidRDefault="000F79E0" w:rsidP="000F79E0">
      <w:pPr>
        <w:pStyle w:val="ListParagraph"/>
        <w:ind w:left="360"/>
        <w:jc w:val="both"/>
      </w:pPr>
    </w:p>
    <w:p w14:paraId="7EE29AC7" w14:textId="322BFA87" w:rsidR="004D2C9B" w:rsidRPr="000F79E0" w:rsidRDefault="008014F3" w:rsidP="000F79E0">
      <w:pPr>
        <w:pStyle w:val="ListParagraph"/>
        <w:numPr>
          <w:ilvl w:val="1"/>
          <w:numId w:val="1"/>
        </w:numPr>
        <w:jc w:val="both"/>
      </w:pPr>
      <w:r>
        <w:t>O</w:t>
      </w:r>
      <w:r w:rsidR="000F79E0">
        <w:t>dređuje se m</w:t>
      </w:r>
      <w:r w:rsidR="00F17B68">
        <w:t>jesečna naknada</w:t>
      </w:r>
      <w:r w:rsidR="00CF09E5">
        <w:t xml:space="preserve"> za </w:t>
      </w:r>
      <w:r w:rsidR="00CF09E5" w:rsidRPr="00A1065C">
        <w:t>uslug</w:t>
      </w:r>
      <w:r w:rsidR="004B5D02">
        <w:t xml:space="preserve">u </w:t>
      </w:r>
      <w:r w:rsidR="00A70522" w:rsidRPr="00A70522">
        <w:t>izdvojenog pristupa lokalnoj petlji na temelju bakrene parice (LLU)</w:t>
      </w:r>
      <w:r w:rsidRPr="008014F3">
        <w:t xml:space="preserve"> </w:t>
      </w:r>
      <w:r>
        <w:t>n</w:t>
      </w:r>
      <w:r w:rsidRPr="008014F3">
        <w:t>a tržištu veleprodajnog lokalnog pristupa malog kapaciteta koji se pruža na fiksnoj lokaciji</w:t>
      </w:r>
      <w:r w:rsidR="00A70522">
        <w:t xml:space="preserve"> na način da iznosi</w:t>
      </w:r>
      <w:r w:rsidR="00FD23B1">
        <w:rPr>
          <w:b/>
        </w:rPr>
        <w:t xml:space="preserve"> </w:t>
      </w:r>
      <w:r w:rsidR="00D146FE">
        <w:rPr>
          <w:b/>
        </w:rPr>
        <w:t>5,</w:t>
      </w:r>
      <w:r w:rsidR="008E0C2A">
        <w:rPr>
          <w:b/>
        </w:rPr>
        <w:t>74</w:t>
      </w:r>
      <w:r w:rsidR="00D146FE">
        <w:rPr>
          <w:b/>
        </w:rPr>
        <w:t xml:space="preserve"> </w:t>
      </w:r>
      <w:r w:rsidR="00D146FE" w:rsidRPr="00FD74AE">
        <w:t>EUR</w:t>
      </w:r>
      <w:r w:rsidR="00A70522" w:rsidRPr="000F79E0">
        <w:t>/mjesečno/liniji</w:t>
      </w:r>
      <w:r w:rsidR="004D2C9B" w:rsidRPr="000F79E0">
        <w:t>.</w:t>
      </w:r>
      <w:bookmarkEnd w:id="2"/>
    </w:p>
    <w:p w14:paraId="5658B67C" w14:textId="77777777" w:rsidR="000F79E0" w:rsidRDefault="000F79E0" w:rsidP="000F79E0">
      <w:pPr>
        <w:pStyle w:val="ListParagraph"/>
        <w:ind w:left="792"/>
        <w:jc w:val="both"/>
      </w:pPr>
    </w:p>
    <w:p w14:paraId="245D85FF" w14:textId="137BA428" w:rsidR="00F17B68" w:rsidRDefault="008014F3" w:rsidP="000F79E0">
      <w:pPr>
        <w:pStyle w:val="ListParagraph"/>
        <w:numPr>
          <w:ilvl w:val="1"/>
          <w:numId w:val="1"/>
        </w:numPr>
        <w:jc w:val="both"/>
      </w:pPr>
      <w:r>
        <w:t>O</w:t>
      </w:r>
      <w:r w:rsidR="00F17B68">
        <w:t>dređuje se mjesečna naknada za uslugu</w:t>
      </w:r>
      <w:r w:rsidR="00A70522" w:rsidRPr="00A70522">
        <w:t xml:space="preserve"> pristupa pasivnoj pristupnoj svjetlovodnoj mreži na lokaciji distribucijskog čvora (FA PON)</w:t>
      </w:r>
      <w:r w:rsidR="00F17B68" w:rsidRPr="00F17B68">
        <w:t xml:space="preserve"> sa svjetlovodnom instalacijom u zgradi </w:t>
      </w:r>
      <w:r>
        <w:t>n</w:t>
      </w:r>
      <w:r w:rsidRPr="008014F3">
        <w:t xml:space="preserve">a tržištu veleprodajnog lokalnog pristupa velikog kapaciteta koji se pruža na fiksnoj lokaciji – nekonkurentna područja </w:t>
      </w:r>
      <w:r w:rsidR="000F79E0">
        <w:t xml:space="preserve">na način da </w:t>
      </w:r>
      <w:r w:rsidR="00F17B68" w:rsidRPr="00F17B68">
        <w:t xml:space="preserve">iznosi </w:t>
      </w:r>
      <w:r w:rsidR="008F15EA">
        <w:rPr>
          <w:b/>
        </w:rPr>
        <w:t>7,0</w:t>
      </w:r>
      <w:r w:rsidR="008E0C2A">
        <w:rPr>
          <w:b/>
        </w:rPr>
        <w:t>0</w:t>
      </w:r>
      <w:r w:rsidR="00F17B68" w:rsidRPr="000F79E0">
        <w:rPr>
          <w:b/>
        </w:rPr>
        <w:t xml:space="preserve"> </w:t>
      </w:r>
      <w:r w:rsidR="00D146FE">
        <w:t>EUR</w:t>
      </w:r>
      <w:r w:rsidR="00F17B68" w:rsidRPr="00F17B68">
        <w:t>/mjesečno/</w:t>
      </w:r>
      <w:r w:rsidR="007B7291">
        <w:t>liniji</w:t>
      </w:r>
      <w:r w:rsidR="00984483">
        <w:t>.</w:t>
      </w:r>
    </w:p>
    <w:p w14:paraId="32EA3E09" w14:textId="77777777" w:rsidR="000F79E0" w:rsidRDefault="000F79E0" w:rsidP="000F79E0">
      <w:pPr>
        <w:pStyle w:val="ListParagraph"/>
        <w:jc w:val="both"/>
      </w:pPr>
    </w:p>
    <w:p w14:paraId="5F5AB429" w14:textId="09554E7A" w:rsidR="00F17B68" w:rsidRDefault="000F79E0" w:rsidP="000F79E0">
      <w:pPr>
        <w:pStyle w:val="ListParagraph"/>
        <w:numPr>
          <w:ilvl w:val="1"/>
          <w:numId w:val="1"/>
        </w:numPr>
        <w:jc w:val="both"/>
      </w:pPr>
      <w:r w:rsidRPr="000F79E0">
        <w:t>Određuje se mjesečna naknada za uslugu pristupa pasivnoj pristupnoj svjetlovodnoj mreži na lokaciji distribucijskog čvora (FA PON)</w:t>
      </w:r>
      <w:r>
        <w:t xml:space="preserve"> </w:t>
      </w:r>
      <w:r w:rsidR="00F17B68" w:rsidRPr="00F17B68">
        <w:t xml:space="preserve">usluge bez svjetlovodne instalacije u zgradi </w:t>
      </w:r>
      <w:r w:rsidR="007539DD" w:rsidRPr="007539DD">
        <w:t xml:space="preserve">na tržištu veleprodajnog lokalnog pristupa velikog kapaciteta koji se pruža na fiksnoj lokaciji – nekonkurentna područja </w:t>
      </w:r>
      <w:r>
        <w:t xml:space="preserve">na način da </w:t>
      </w:r>
      <w:r w:rsidR="00F17B68" w:rsidRPr="00F17B68">
        <w:t xml:space="preserve">iznosi </w:t>
      </w:r>
      <w:r w:rsidR="008F15EA">
        <w:rPr>
          <w:b/>
        </w:rPr>
        <w:t>6,1</w:t>
      </w:r>
      <w:r w:rsidR="008E0C2A">
        <w:rPr>
          <w:b/>
        </w:rPr>
        <w:t>6</w:t>
      </w:r>
      <w:r w:rsidR="00F17B68" w:rsidRPr="000F79E0">
        <w:rPr>
          <w:b/>
        </w:rPr>
        <w:t xml:space="preserve"> </w:t>
      </w:r>
      <w:r w:rsidR="004807E0">
        <w:t>EUR</w:t>
      </w:r>
      <w:r w:rsidR="00F17B68" w:rsidRPr="00F17B68">
        <w:t>/mjesečno/</w:t>
      </w:r>
      <w:r w:rsidR="007B7291">
        <w:t>liniji</w:t>
      </w:r>
      <w:r>
        <w:t>.</w:t>
      </w:r>
    </w:p>
    <w:p w14:paraId="35BE8161" w14:textId="77777777" w:rsidR="000F79E0" w:rsidRDefault="000F79E0" w:rsidP="00E46299">
      <w:pPr>
        <w:jc w:val="both"/>
      </w:pPr>
    </w:p>
    <w:p w14:paraId="68764313" w14:textId="28B05DC9" w:rsidR="00F17B68" w:rsidRDefault="000F79E0" w:rsidP="000F79E0">
      <w:pPr>
        <w:pStyle w:val="ListParagraph"/>
        <w:numPr>
          <w:ilvl w:val="1"/>
          <w:numId w:val="1"/>
        </w:numPr>
        <w:jc w:val="both"/>
      </w:pPr>
      <w:r w:rsidRPr="000F79E0">
        <w:t>Određuje se mjesečna naknada</w:t>
      </w:r>
      <w:r>
        <w:t xml:space="preserve"> </w:t>
      </w:r>
      <w:r w:rsidR="00F17B68" w:rsidRPr="00F17B68">
        <w:t>za najam kućne svjetlovodne instalacije u prostoru krajnjeg korisnika</w:t>
      </w:r>
      <w:r w:rsidR="007539DD" w:rsidRPr="007539DD">
        <w:t xml:space="preserve"> na tržištu veleprodajnog lokalnog pristupa velikog kapaciteta koji se pruža na fiksnoj lokaciji – nekonkurentna područja</w:t>
      </w:r>
      <w:r w:rsidR="004807E0">
        <w:t xml:space="preserve"> na način da</w:t>
      </w:r>
      <w:r w:rsidR="00F17B68" w:rsidRPr="000F79E0">
        <w:rPr>
          <w:b/>
        </w:rPr>
        <w:t xml:space="preserve"> </w:t>
      </w:r>
      <w:r w:rsidR="00F17B68" w:rsidRPr="00F17B68">
        <w:t xml:space="preserve">iznosi </w:t>
      </w:r>
      <w:r w:rsidR="00D146FE">
        <w:rPr>
          <w:b/>
        </w:rPr>
        <w:t>0,</w:t>
      </w:r>
      <w:r w:rsidR="004807E0">
        <w:rPr>
          <w:b/>
        </w:rPr>
        <w:t>3</w:t>
      </w:r>
      <w:r w:rsidR="008E0C2A">
        <w:rPr>
          <w:b/>
        </w:rPr>
        <w:t>5</w:t>
      </w:r>
      <w:r w:rsidR="00F17B68" w:rsidRPr="00F17B68">
        <w:t xml:space="preserve"> </w:t>
      </w:r>
      <w:r w:rsidR="00D146FE">
        <w:t>EUR</w:t>
      </w:r>
      <w:r w:rsidR="00F17B68" w:rsidRPr="00F17B68">
        <w:t>/mjesečno/</w:t>
      </w:r>
      <w:r w:rsidR="007B7291">
        <w:t>liniji</w:t>
      </w:r>
      <w:r w:rsidR="006F1EFD">
        <w:t>.</w:t>
      </w:r>
    </w:p>
    <w:p w14:paraId="1BF80BC4" w14:textId="77777777" w:rsidR="000F79E0" w:rsidRDefault="000F79E0" w:rsidP="000F79E0">
      <w:pPr>
        <w:pStyle w:val="ListParagraph"/>
        <w:jc w:val="both"/>
      </w:pPr>
    </w:p>
    <w:p w14:paraId="3B685022" w14:textId="77777777" w:rsidR="002848D3" w:rsidRDefault="000F79E0" w:rsidP="00B874DE">
      <w:pPr>
        <w:pStyle w:val="ListParagraph"/>
        <w:numPr>
          <w:ilvl w:val="1"/>
          <w:numId w:val="1"/>
        </w:numPr>
        <w:jc w:val="both"/>
      </w:pPr>
      <w:r w:rsidRPr="000F79E0">
        <w:t>Određuje se mjesečna naknada za veleprodajnu usl</w:t>
      </w:r>
      <w:r>
        <w:t xml:space="preserve">ugu najma svjetlovodne niti bez </w:t>
      </w:r>
      <w:r w:rsidRPr="000F79E0">
        <w:t>prijenosne opreme (eng.</w:t>
      </w:r>
      <w:r w:rsidRPr="002848D3">
        <w:rPr>
          <w:i/>
        </w:rPr>
        <w:t xml:space="preserve"> dark fibre</w:t>
      </w:r>
      <w:r w:rsidRPr="000F79E0">
        <w:t>) u svrhu omogućavanja pristupa operatorima korisnicima do pristupnih točaka</w:t>
      </w:r>
      <w:r w:rsidR="007539DD">
        <w:t xml:space="preserve"> </w:t>
      </w:r>
      <w:r w:rsidR="007539DD" w:rsidRPr="007539DD">
        <w:t>na kojima se pružaju veleprodajne usluge na tržištima veleprodajnog lokalnog pristupa malog kapaciteta koji se pruža na fiksnoj lokaciji i veleprodajnog lokalnog pristupa velikog kapaciteta koji se pruža na fiksnoj lokaciji – nekonkurentna područja</w:t>
      </w:r>
      <w:r w:rsidRPr="000F79E0">
        <w:t>, odnosno povezivanja pristupnih točaka i mreže operatora korisnika, na način</w:t>
      </w:r>
      <w:r>
        <w:t xml:space="preserve"> da iznosi</w:t>
      </w:r>
      <w:r w:rsidRPr="002848D3">
        <w:rPr>
          <w:b/>
        </w:rPr>
        <w:t xml:space="preserve"> 0,</w:t>
      </w:r>
      <w:r w:rsidR="004807E0" w:rsidRPr="002848D3">
        <w:rPr>
          <w:b/>
        </w:rPr>
        <w:t>01</w:t>
      </w:r>
      <w:r w:rsidR="00BC3E15" w:rsidRPr="002848D3">
        <w:rPr>
          <w:b/>
        </w:rPr>
        <w:t>7</w:t>
      </w:r>
      <w:r w:rsidR="004807E0" w:rsidRPr="002848D3">
        <w:rPr>
          <w:b/>
        </w:rPr>
        <w:t xml:space="preserve"> </w:t>
      </w:r>
      <w:r w:rsidR="004807E0">
        <w:t>EUR</w:t>
      </w:r>
      <w:r w:rsidRPr="005673CA">
        <w:t>/nit/m/mjesečno.</w:t>
      </w:r>
      <w:r w:rsidR="002848D3">
        <w:t xml:space="preserve"> </w:t>
      </w:r>
    </w:p>
    <w:p w14:paraId="2BD6FC33" w14:textId="77777777" w:rsidR="002848D3" w:rsidRDefault="002848D3" w:rsidP="002848D3">
      <w:pPr>
        <w:pStyle w:val="ListParagraph"/>
      </w:pPr>
    </w:p>
    <w:p w14:paraId="396A0A78" w14:textId="77777777" w:rsidR="002848D3" w:rsidRDefault="00245B3E" w:rsidP="002848D3">
      <w:pPr>
        <w:pStyle w:val="ListParagraph"/>
        <w:numPr>
          <w:ilvl w:val="1"/>
          <w:numId w:val="1"/>
        </w:numPr>
        <w:jc w:val="both"/>
      </w:pPr>
      <w:r w:rsidRPr="00865EB8">
        <w:lastRenderedPageBreak/>
        <w:t>Određuj</w:t>
      </w:r>
      <w:r w:rsidR="000213E0">
        <w:t>e</w:t>
      </w:r>
      <w:r w:rsidRPr="00865EB8">
        <w:t xml:space="preserve"> se mjesečn</w:t>
      </w:r>
      <w:r w:rsidR="000213E0">
        <w:t>a</w:t>
      </w:r>
      <w:r w:rsidRPr="00865EB8">
        <w:t xml:space="preserve"> naknad</w:t>
      </w:r>
      <w:r w:rsidR="000213E0">
        <w:t>a</w:t>
      </w:r>
      <w:r w:rsidRPr="00865EB8">
        <w:t xml:space="preserve"> za </w:t>
      </w:r>
      <w:r w:rsidR="0075671F">
        <w:t>uslugu bitstream pristupa</w:t>
      </w:r>
      <w:r w:rsidRPr="00865EB8">
        <w:t xml:space="preserve"> </w:t>
      </w:r>
      <w:r w:rsidR="008A078D">
        <w:t xml:space="preserve">na DSLAM razini </w:t>
      </w:r>
      <w:r w:rsidRPr="00865EB8">
        <w:t xml:space="preserve">na način </w:t>
      </w:r>
      <w:r w:rsidR="008A078D">
        <w:t xml:space="preserve">da naknada za korištenje pristupne mreže iznosi </w:t>
      </w:r>
      <w:r w:rsidR="008A078D" w:rsidRPr="002848D3">
        <w:rPr>
          <w:b/>
        </w:rPr>
        <w:t>5,74</w:t>
      </w:r>
      <w:r w:rsidR="008A078D">
        <w:t xml:space="preserve"> </w:t>
      </w:r>
      <w:r w:rsidR="008A078D" w:rsidRPr="00FD74AE">
        <w:t>EUR</w:t>
      </w:r>
      <w:r w:rsidR="008A078D" w:rsidRPr="000F79E0">
        <w:t>/mjesečno/</w:t>
      </w:r>
      <w:r w:rsidR="008A078D">
        <w:t xml:space="preserve">korisnik i naknada za korištenje širokopojasnog porta iznosi </w:t>
      </w:r>
      <w:r w:rsidR="008A078D" w:rsidRPr="002848D3">
        <w:rPr>
          <w:b/>
        </w:rPr>
        <w:t>1,98</w:t>
      </w:r>
      <w:r w:rsidR="008A078D">
        <w:t xml:space="preserve"> </w:t>
      </w:r>
      <w:r w:rsidR="008A078D" w:rsidRPr="00FD74AE">
        <w:t>EUR</w:t>
      </w:r>
      <w:r w:rsidR="008A078D" w:rsidRPr="000F79E0">
        <w:t>/mjesečno/</w:t>
      </w:r>
      <w:r w:rsidR="008A078D">
        <w:t>korisnik</w:t>
      </w:r>
      <w:r w:rsidR="002848D3">
        <w:t xml:space="preserve">. </w:t>
      </w:r>
    </w:p>
    <w:p w14:paraId="34207C9B" w14:textId="77777777" w:rsidR="002848D3" w:rsidRDefault="002848D3" w:rsidP="002848D3">
      <w:pPr>
        <w:pStyle w:val="ListParagraph"/>
      </w:pPr>
    </w:p>
    <w:p w14:paraId="75373284" w14:textId="4824766C" w:rsidR="004E3197" w:rsidRDefault="000213E0" w:rsidP="004F2D4F">
      <w:pPr>
        <w:pStyle w:val="ListParagraph"/>
        <w:numPr>
          <w:ilvl w:val="1"/>
          <w:numId w:val="1"/>
        </w:numPr>
        <w:jc w:val="both"/>
      </w:pPr>
      <w:r w:rsidRPr="00865EB8">
        <w:t>Određuj</w:t>
      </w:r>
      <w:r>
        <w:t>e</w:t>
      </w:r>
      <w:r w:rsidRPr="00865EB8">
        <w:t xml:space="preserve"> </w:t>
      </w:r>
      <w:r w:rsidR="008A078D" w:rsidRPr="00865EB8">
        <w:t xml:space="preserve">se </w:t>
      </w:r>
      <w:r w:rsidRPr="00865EB8">
        <w:t>mjesečn</w:t>
      </w:r>
      <w:r>
        <w:t>a</w:t>
      </w:r>
      <w:r w:rsidRPr="00865EB8">
        <w:t xml:space="preserve"> naknad</w:t>
      </w:r>
      <w:r>
        <w:t>a</w:t>
      </w:r>
      <w:r w:rsidRPr="00865EB8">
        <w:t xml:space="preserve"> </w:t>
      </w:r>
      <w:r w:rsidR="008A078D" w:rsidRPr="00865EB8">
        <w:t xml:space="preserve">za </w:t>
      </w:r>
      <w:r w:rsidR="0075671F">
        <w:t>uslugu veleprodajnog širokopojasnog</w:t>
      </w:r>
      <w:r w:rsidR="0075671F" w:rsidRPr="0075671F">
        <w:t xml:space="preserve"> pristup</w:t>
      </w:r>
      <w:r w:rsidR="0075671F">
        <w:t>a</w:t>
      </w:r>
      <w:r w:rsidR="0075671F" w:rsidRPr="0075671F">
        <w:t xml:space="preserve"> Internetu na OLT razini</w:t>
      </w:r>
      <w:r w:rsidR="008A078D">
        <w:t xml:space="preserve"> </w:t>
      </w:r>
      <w:r w:rsidR="002848D3">
        <w:t xml:space="preserve">koje se pružaju putem FTTH mreže, sa svjetlovodnom instalacijom unutar zgrade, </w:t>
      </w:r>
      <w:r w:rsidR="002848D3" w:rsidRPr="00865EB8">
        <w:t xml:space="preserve">na način </w:t>
      </w:r>
      <w:r w:rsidR="002848D3">
        <w:t>prikazan u tablici:</w:t>
      </w:r>
    </w:p>
    <w:p w14:paraId="28CDAB73" w14:textId="77777777" w:rsidR="004E3197" w:rsidRDefault="004E3197" w:rsidP="004E3197">
      <w:pPr>
        <w:pStyle w:val="ListParagraph"/>
        <w:ind w:left="792"/>
        <w:jc w:val="both"/>
      </w:pPr>
    </w:p>
    <w:tbl>
      <w:tblPr>
        <w:tblStyle w:val="TableGrid31"/>
        <w:tblW w:w="9908" w:type="dxa"/>
        <w:jc w:val="center"/>
        <w:tblLayout w:type="fixed"/>
        <w:tblLook w:val="04A0" w:firstRow="1" w:lastRow="0" w:firstColumn="1" w:lastColumn="0" w:noHBand="0" w:noVBand="1"/>
      </w:tblPr>
      <w:tblGrid>
        <w:gridCol w:w="4264"/>
        <w:gridCol w:w="1376"/>
        <w:gridCol w:w="1377"/>
        <w:gridCol w:w="1376"/>
        <w:gridCol w:w="1515"/>
      </w:tblGrid>
      <w:tr w:rsidR="002848D3" w:rsidRPr="00EB0717" w14:paraId="4BB6CCDA" w14:textId="77777777" w:rsidTr="00EC3E1E">
        <w:trPr>
          <w:trHeight w:val="193"/>
          <w:jc w:val="center"/>
        </w:trPr>
        <w:tc>
          <w:tcPr>
            <w:tcW w:w="4264" w:type="dxa"/>
            <w:vMerge w:val="restart"/>
            <w:tcBorders>
              <w:top w:val="single" w:sz="4" w:space="0" w:color="FFFFFF" w:themeColor="background1"/>
              <w:left w:val="single" w:sz="4" w:space="0" w:color="FFFFFF" w:themeColor="background1"/>
              <w:right w:val="single" w:sz="4" w:space="0" w:color="auto"/>
            </w:tcBorders>
            <w:shd w:val="clear" w:color="548DD4" w:themeColor="text2" w:themeTint="99" w:fill="0C2749"/>
            <w:vAlign w:val="center"/>
          </w:tcPr>
          <w:p w14:paraId="1407A116" w14:textId="77777777" w:rsidR="002848D3" w:rsidRPr="00EB0717" w:rsidRDefault="002848D3" w:rsidP="009F2054">
            <w:pPr>
              <w:jc w:val="center"/>
              <w:rPr>
                <w:rFonts w:ascii="Times New Roman" w:hAnsi="Times New Roman" w:cs="Times New Roman"/>
                <w:b/>
                <w:color w:val="FFFFFF" w:themeColor="background1"/>
                <w:sz w:val="20"/>
                <w:szCs w:val="20"/>
              </w:rPr>
            </w:pPr>
            <w:r w:rsidRPr="00EB0717">
              <w:rPr>
                <w:rFonts w:ascii="Times New Roman" w:hAnsi="Times New Roman" w:cs="Times New Roman"/>
                <w:b/>
                <w:color w:val="FFFFFF" w:themeColor="background1"/>
                <w:sz w:val="20"/>
                <w:szCs w:val="20"/>
              </w:rPr>
              <w:t>U</w:t>
            </w:r>
            <w:r>
              <w:rPr>
                <w:rFonts w:ascii="Times New Roman" w:hAnsi="Times New Roman" w:cs="Times New Roman"/>
                <w:b/>
                <w:color w:val="FFFFFF" w:themeColor="background1"/>
                <w:sz w:val="20"/>
                <w:szCs w:val="20"/>
              </w:rPr>
              <w:t>sluga</w:t>
            </w:r>
          </w:p>
        </w:tc>
        <w:tc>
          <w:tcPr>
            <w:tcW w:w="5644" w:type="dxa"/>
            <w:gridSpan w:val="4"/>
            <w:shd w:val="clear" w:color="auto" w:fill="0C2749"/>
          </w:tcPr>
          <w:p w14:paraId="03BB83AA" w14:textId="77777777" w:rsidR="002848D3" w:rsidRPr="00EB0717" w:rsidRDefault="002848D3" w:rsidP="009F2054">
            <w:pPr>
              <w:jc w:val="center"/>
              <w:rPr>
                <w:rFonts w:ascii="Times New Roman" w:hAnsi="Times New Roman" w:cs="Times New Roman"/>
                <w:b/>
                <w:sz w:val="20"/>
                <w:szCs w:val="20"/>
              </w:rPr>
            </w:pPr>
            <w:r w:rsidRPr="00EB0717">
              <w:rPr>
                <w:rFonts w:ascii="Times New Roman" w:hAnsi="Times New Roman" w:cs="Times New Roman"/>
                <w:b/>
                <w:color w:val="FFFFFF" w:themeColor="background1"/>
                <w:sz w:val="20"/>
                <w:szCs w:val="20"/>
              </w:rPr>
              <w:t>Nepromjenjivi dio</w:t>
            </w:r>
            <w:r w:rsidRPr="00EB0717">
              <w:rPr>
                <w:rFonts w:ascii="Times New Roman" w:hAnsi="Times New Roman" w:cs="Times New Roman"/>
                <w:b/>
                <w:color w:val="FFFFFF" w:themeColor="background1"/>
                <w:sz w:val="20"/>
                <w:szCs w:val="20"/>
                <w:vertAlign w:val="superscript"/>
              </w:rPr>
              <w:footnoteReference w:customMarkFollows="1" w:id="2"/>
              <w:sym w:font="Symbol" w:char="F02A"/>
            </w:r>
          </w:p>
        </w:tc>
      </w:tr>
      <w:tr w:rsidR="002848D3" w:rsidRPr="00EB0717" w14:paraId="1D9B43DF" w14:textId="77777777" w:rsidTr="004E3197">
        <w:trPr>
          <w:trHeight w:val="370"/>
          <w:jc w:val="center"/>
        </w:trPr>
        <w:tc>
          <w:tcPr>
            <w:tcW w:w="4264" w:type="dxa"/>
            <w:vMerge/>
            <w:tcBorders>
              <w:left w:val="single" w:sz="4" w:space="0" w:color="FFFFFF" w:themeColor="background1"/>
              <w:right w:val="single" w:sz="4" w:space="0" w:color="auto"/>
            </w:tcBorders>
            <w:shd w:val="clear" w:color="548DD4" w:themeColor="text2" w:themeTint="99" w:fill="0C2749"/>
            <w:vAlign w:val="center"/>
            <w:hideMark/>
          </w:tcPr>
          <w:p w14:paraId="3EDD9499" w14:textId="77777777" w:rsidR="002848D3" w:rsidRPr="00EB0717" w:rsidRDefault="002848D3" w:rsidP="009F2054">
            <w:pPr>
              <w:jc w:val="center"/>
              <w:rPr>
                <w:rFonts w:ascii="Times New Roman" w:hAnsi="Times New Roman" w:cs="Times New Roman"/>
                <w:sz w:val="20"/>
                <w:szCs w:val="20"/>
              </w:rPr>
            </w:pPr>
          </w:p>
        </w:tc>
        <w:tc>
          <w:tcPr>
            <w:tcW w:w="1376" w:type="dxa"/>
            <w:shd w:val="clear" w:color="auto" w:fill="0C2749"/>
            <w:vAlign w:val="center"/>
            <w:hideMark/>
          </w:tcPr>
          <w:p w14:paraId="559A7D69" w14:textId="77777777" w:rsidR="002848D3" w:rsidRPr="00EB0717" w:rsidRDefault="002848D3" w:rsidP="009F2054">
            <w:pPr>
              <w:jc w:val="center"/>
              <w:rPr>
                <w:rFonts w:ascii="Times New Roman" w:hAnsi="Times New Roman" w:cs="Times New Roman"/>
                <w:b/>
                <w:sz w:val="20"/>
                <w:szCs w:val="20"/>
              </w:rPr>
            </w:pPr>
            <w:r w:rsidRPr="00EB0717">
              <w:rPr>
                <w:rFonts w:ascii="Times New Roman" w:hAnsi="Times New Roman" w:cs="Times New Roman"/>
                <w:b/>
                <w:sz w:val="20"/>
                <w:szCs w:val="20"/>
              </w:rPr>
              <w:t>Pojedinačni pristup</w:t>
            </w:r>
          </w:p>
        </w:tc>
        <w:tc>
          <w:tcPr>
            <w:tcW w:w="1377" w:type="dxa"/>
            <w:shd w:val="clear" w:color="auto" w:fill="0C2749"/>
            <w:vAlign w:val="center"/>
            <w:hideMark/>
          </w:tcPr>
          <w:p w14:paraId="22C9F818" w14:textId="77777777" w:rsidR="002848D3" w:rsidRPr="00EB0717" w:rsidRDefault="002848D3" w:rsidP="009F2054">
            <w:pPr>
              <w:jc w:val="center"/>
              <w:rPr>
                <w:rFonts w:ascii="Times New Roman" w:hAnsi="Times New Roman" w:cs="Times New Roman"/>
                <w:b/>
                <w:sz w:val="20"/>
                <w:szCs w:val="20"/>
              </w:rPr>
            </w:pPr>
            <w:r w:rsidRPr="00EB0717">
              <w:rPr>
                <w:rFonts w:ascii="Times New Roman" w:hAnsi="Times New Roman" w:cs="Times New Roman"/>
                <w:b/>
                <w:sz w:val="20"/>
                <w:szCs w:val="20"/>
              </w:rPr>
              <w:t>OLT blok od 1% pristupa</w:t>
            </w:r>
          </w:p>
        </w:tc>
        <w:tc>
          <w:tcPr>
            <w:tcW w:w="1376" w:type="dxa"/>
            <w:shd w:val="clear" w:color="auto" w:fill="0C2749"/>
            <w:vAlign w:val="center"/>
            <w:hideMark/>
          </w:tcPr>
          <w:p w14:paraId="393F671E" w14:textId="77777777" w:rsidR="002848D3" w:rsidRPr="00EB0717" w:rsidRDefault="002848D3" w:rsidP="009F2054">
            <w:pPr>
              <w:jc w:val="center"/>
              <w:rPr>
                <w:rFonts w:ascii="Times New Roman" w:hAnsi="Times New Roman" w:cs="Times New Roman"/>
                <w:b/>
                <w:sz w:val="20"/>
                <w:szCs w:val="20"/>
              </w:rPr>
            </w:pPr>
            <w:r w:rsidRPr="00EB0717">
              <w:rPr>
                <w:rFonts w:ascii="Times New Roman" w:hAnsi="Times New Roman" w:cs="Times New Roman"/>
                <w:b/>
                <w:sz w:val="20"/>
                <w:szCs w:val="20"/>
              </w:rPr>
              <w:t>OLT blok od 2% pristupa</w:t>
            </w:r>
          </w:p>
        </w:tc>
        <w:tc>
          <w:tcPr>
            <w:tcW w:w="1515" w:type="dxa"/>
            <w:shd w:val="clear" w:color="auto" w:fill="0C2749"/>
            <w:vAlign w:val="center"/>
            <w:hideMark/>
          </w:tcPr>
          <w:p w14:paraId="5063BECB" w14:textId="77777777" w:rsidR="002848D3" w:rsidRPr="00EB0717" w:rsidRDefault="002848D3" w:rsidP="009F2054">
            <w:pPr>
              <w:jc w:val="center"/>
              <w:rPr>
                <w:rFonts w:ascii="Times New Roman" w:hAnsi="Times New Roman" w:cs="Times New Roman"/>
                <w:b/>
                <w:sz w:val="20"/>
                <w:szCs w:val="20"/>
              </w:rPr>
            </w:pPr>
            <w:r w:rsidRPr="00EB0717">
              <w:rPr>
                <w:rFonts w:ascii="Times New Roman" w:hAnsi="Times New Roman" w:cs="Times New Roman"/>
                <w:b/>
                <w:sz w:val="20"/>
                <w:szCs w:val="20"/>
              </w:rPr>
              <w:t>OLT blok od 3% pristupa</w:t>
            </w:r>
          </w:p>
        </w:tc>
      </w:tr>
      <w:tr w:rsidR="002848D3" w:rsidRPr="00EB0717" w14:paraId="3E30A0A5" w14:textId="77777777" w:rsidTr="00EC3E1E">
        <w:trPr>
          <w:trHeight w:val="192"/>
          <w:jc w:val="center"/>
        </w:trPr>
        <w:tc>
          <w:tcPr>
            <w:tcW w:w="4264" w:type="dxa"/>
            <w:vMerge/>
            <w:tcBorders>
              <w:left w:val="single" w:sz="4" w:space="0" w:color="FFFFFF" w:themeColor="background1"/>
              <w:bottom w:val="single" w:sz="4" w:space="0" w:color="FFFFFF" w:themeColor="background1"/>
              <w:right w:val="single" w:sz="4" w:space="0" w:color="auto"/>
            </w:tcBorders>
            <w:shd w:val="clear" w:color="548DD4" w:themeColor="text2" w:themeTint="99" w:fill="0C2749"/>
            <w:vAlign w:val="center"/>
          </w:tcPr>
          <w:p w14:paraId="6887787C" w14:textId="77777777" w:rsidR="002848D3" w:rsidRPr="00EB0717" w:rsidRDefault="002848D3" w:rsidP="009F2054">
            <w:pPr>
              <w:jc w:val="center"/>
              <w:rPr>
                <w:rFonts w:ascii="Times New Roman" w:hAnsi="Times New Roman" w:cs="Times New Roman"/>
                <w:b/>
                <w:color w:val="FFFFFF" w:themeColor="background1"/>
                <w:sz w:val="20"/>
                <w:szCs w:val="20"/>
              </w:rPr>
            </w:pPr>
          </w:p>
        </w:tc>
        <w:tc>
          <w:tcPr>
            <w:tcW w:w="5644" w:type="dxa"/>
            <w:gridSpan w:val="4"/>
            <w:shd w:val="clear" w:color="auto" w:fill="0C2749"/>
            <w:vAlign w:val="center"/>
          </w:tcPr>
          <w:p w14:paraId="302608E9" w14:textId="77777777" w:rsidR="002848D3" w:rsidRPr="00EB0717" w:rsidRDefault="002848D3" w:rsidP="009F2054">
            <w:pPr>
              <w:jc w:val="center"/>
              <w:rPr>
                <w:rFonts w:ascii="Times New Roman" w:hAnsi="Times New Roman" w:cs="Times New Roman"/>
                <w:b/>
                <w:sz w:val="20"/>
                <w:szCs w:val="20"/>
              </w:rPr>
            </w:pPr>
            <w:r>
              <w:rPr>
                <w:rFonts w:ascii="Times New Roman" w:hAnsi="Times New Roman" w:cs="Times New Roman"/>
                <w:b/>
                <w:sz w:val="20"/>
                <w:szCs w:val="20"/>
              </w:rPr>
              <w:t>EUR</w:t>
            </w:r>
            <w:r w:rsidRPr="00EB0717">
              <w:rPr>
                <w:rFonts w:ascii="Times New Roman" w:hAnsi="Times New Roman" w:cs="Times New Roman"/>
                <w:b/>
                <w:sz w:val="20"/>
                <w:szCs w:val="20"/>
              </w:rPr>
              <w:t>/mjesečno/korisnik</w:t>
            </w:r>
          </w:p>
        </w:tc>
      </w:tr>
      <w:tr w:rsidR="002848D3" w:rsidRPr="00EC5C39" w14:paraId="405607F3" w14:textId="77777777" w:rsidTr="004E3197">
        <w:trPr>
          <w:trHeight w:val="636"/>
          <w:jc w:val="center"/>
        </w:trPr>
        <w:tc>
          <w:tcPr>
            <w:tcW w:w="4264" w:type="dxa"/>
            <w:hideMark/>
          </w:tcPr>
          <w:p w14:paraId="6A8FB726" w14:textId="77777777" w:rsidR="002848D3" w:rsidRPr="00EC3E1E" w:rsidRDefault="002848D3" w:rsidP="009F2054">
            <w:pPr>
              <w:jc w:val="both"/>
              <w:rPr>
                <w:rFonts w:ascii="Times New Roman" w:hAnsi="Times New Roman" w:cs="Times New Roman"/>
              </w:rPr>
            </w:pPr>
            <w:r w:rsidRPr="00EC3E1E">
              <w:rPr>
                <w:rFonts w:ascii="Times New Roman" w:hAnsi="Times New Roman" w:cs="Times New Roman"/>
              </w:rPr>
              <w:t>Veleprodajni širokopojasni pristup za uslugu pristupa Internetu na OLT razini</w:t>
            </w:r>
          </w:p>
        </w:tc>
        <w:tc>
          <w:tcPr>
            <w:tcW w:w="1376" w:type="dxa"/>
            <w:vAlign w:val="center"/>
          </w:tcPr>
          <w:p w14:paraId="26722B83" w14:textId="77777777" w:rsidR="002848D3" w:rsidRPr="00EC3E1E" w:rsidRDefault="002848D3" w:rsidP="009F2054">
            <w:pPr>
              <w:jc w:val="center"/>
              <w:rPr>
                <w:rFonts w:ascii="Times New Roman" w:hAnsi="Times New Roman" w:cs="Times New Roman"/>
              </w:rPr>
            </w:pPr>
            <w:r w:rsidRPr="00EC3E1E">
              <w:rPr>
                <w:rFonts w:ascii="Times New Roman" w:hAnsi="Times New Roman" w:cs="Times New Roman"/>
              </w:rPr>
              <w:t xml:space="preserve">9,59   </w:t>
            </w:r>
          </w:p>
        </w:tc>
        <w:tc>
          <w:tcPr>
            <w:tcW w:w="1377" w:type="dxa"/>
            <w:vAlign w:val="center"/>
          </w:tcPr>
          <w:p w14:paraId="04FBF9FD" w14:textId="77777777" w:rsidR="002848D3" w:rsidRPr="00EC3E1E" w:rsidRDefault="002848D3" w:rsidP="009F2054">
            <w:pPr>
              <w:jc w:val="center"/>
              <w:rPr>
                <w:rFonts w:ascii="Times New Roman" w:hAnsi="Times New Roman" w:cs="Times New Roman"/>
              </w:rPr>
            </w:pPr>
            <w:r w:rsidRPr="00EC3E1E">
              <w:rPr>
                <w:rFonts w:ascii="Times New Roman" w:hAnsi="Times New Roman" w:cs="Times New Roman"/>
              </w:rPr>
              <w:t xml:space="preserve">9,22   </w:t>
            </w:r>
          </w:p>
        </w:tc>
        <w:tc>
          <w:tcPr>
            <w:tcW w:w="1376" w:type="dxa"/>
            <w:vAlign w:val="center"/>
          </w:tcPr>
          <w:p w14:paraId="51B217A1" w14:textId="77777777" w:rsidR="002848D3" w:rsidRPr="00EC3E1E" w:rsidRDefault="002848D3" w:rsidP="009F2054">
            <w:pPr>
              <w:jc w:val="center"/>
              <w:rPr>
                <w:rFonts w:ascii="Times New Roman" w:hAnsi="Times New Roman" w:cs="Times New Roman"/>
              </w:rPr>
            </w:pPr>
            <w:r w:rsidRPr="00EC3E1E">
              <w:rPr>
                <w:rFonts w:ascii="Times New Roman" w:hAnsi="Times New Roman" w:cs="Times New Roman"/>
              </w:rPr>
              <w:t xml:space="preserve">8,84   </w:t>
            </w:r>
          </w:p>
        </w:tc>
        <w:tc>
          <w:tcPr>
            <w:tcW w:w="1515" w:type="dxa"/>
            <w:vAlign w:val="center"/>
          </w:tcPr>
          <w:p w14:paraId="38416896" w14:textId="77777777" w:rsidR="002848D3" w:rsidRPr="00EC3E1E" w:rsidRDefault="002848D3" w:rsidP="009F2054">
            <w:pPr>
              <w:jc w:val="center"/>
              <w:rPr>
                <w:rFonts w:ascii="Times New Roman" w:hAnsi="Times New Roman" w:cs="Times New Roman"/>
              </w:rPr>
            </w:pPr>
            <w:r w:rsidRPr="00EC3E1E">
              <w:rPr>
                <w:rFonts w:ascii="Times New Roman" w:hAnsi="Times New Roman" w:cs="Times New Roman"/>
              </w:rPr>
              <w:t xml:space="preserve">8,47   </w:t>
            </w:r>
          </w:p>
        </w:tc>
      </w:tr>
      <w:tr w:rsidR="004E3197" w:rsidRPr="00EC5C39" w14:paraId="0AF34E2D" w14:textId="77777777" w:rsidTr="004E3197">
        <w:trPr>
          <w:trHeight w:val="636"/>
          <w:jc w:val="center"/>
        </w:trPr>
        <w:tc>
          <w:tcPr>
            <w:tcW w:w="4264" w:type="dxa"/>
            <w:vAlign w:val="center"/>
          </w:tcPr>
          <w:p w14:paraId="530C600C" w14:textId="46055F4B" w:rsidR="004E3197" w:rsidRPr="004E3197" w:rsidRDefault="004E3197" w:rsidP="004E3197">
            <w:pPr>
              <w:jc w:val="both"/>
              <w:rPr>
                <w:rFonts w:ascii="Times New Roman" w:hAnsi="Times New Roman" w:cs="Times New Roman"/>
              </w:rPr>
            </w:pPr>
            <w:r w:rsidRPr="004E3197">
              <w:rPr>
                <w:rFonts w:ascii="Times New Roman" w:hAnsi="Times New Roman" w:cs="Times New Roman"/>
              </w:rPr>
              <w:t>Korištenje svjetlovodne instalacije u stanu krajnjeg korisnika</w:t>
            </w:r>
          </w:p>
        </w:tc>
        <w:tc>
          <w:tcPr>
            <w:tcW w:w="5644" w:type="dxa"/>
            <w:gridSpan w:val="4"/>
            <w:vAlign w:val="center"/>
          </w:tcPr>
          <w:p w14:paraId="2510A76A" w14:textId="5FD332CF" w:rsidR="004E3197" w:rsidRPr="004E3197" w:rsidRDefault="004E3197" w:rsidP="004E3197">
            <w:pPr>
              <w:jc w:val="center"/>
              <w:rPr>
                <w:rFonts w:ascii="Times New Roman" w:hAnsi="Times New Roman" w:cs="Times New Roman"/>
              </w:rPr>
            </w:pPr>
            <w:r>
              <w:rPr>
                <w:rFonts w:ascii="Times New Roman" w:hAnsi="Times New Roman" w:cs="Times New Roman"/>
              </w:rPr>
              <w:t>0,32 EUR/mjesečno</w:t>
            </w:r>
          </w:p>
        </w:tc>
      </w:tr>
      <w:tr w:rsidR="004E3197" w:rsidRPr="00EC5C39" w14:paraId="0A28278C" w14:textId="77777777" w:rsidTr="004E3197">
        <w:trPr>
          <w:trHeight w:val="636"/>
          <w:jc w:val="center"/>
        </w:trPr>
        <w:tc>
          <w:tcPr>
            <w:tcW w:w="4264" w:type="dxa"/>
            <w:vAlign w:val="center"/>
          </w:tcPr>
          <w:p w14:paraId="6B553F53" w14:textId="53A45291" w:rsidR="004E3197" w:rsidRPr="004E3197" w:rsidRDefault="004E3197" w:rsidP="004E3197">
            <w:pPr>
              <w:jc w:val="both"/>
              <w:rPr>
                <w:rFonts w:ascii="Times New Roman" w:hAnsi="Times New Roman" w:cs="Times New Roman"/>
              </w:rPr>
            </w:pPr>
            <w:r w:rsidRPr="004E3197">
              <w:rPr>
                <w:rFonts w:ascii="Times New Roman" w:hAnsi="Times New Roman" w:cs="Times New Roman"/>
              </w:rPr>
              <w:t>Najam ONT-a</w:t>
            </w:r>
          </w:p>
        </w:tc>
        <w:tc>
          <w:tcPr>
            <w:tcW w:w="5644" w:type="dxa"/>
            <w:gridSpan w:val="4"/>
            <w:vAlign w:val="center"/>
          </w:tcPr>
          <w:p w14:paraId="07740D20" w14:textId="70C0047E" w:rsidR="004E3197" w:rsidRPr="004E3197" w:rsidRDefault="004E3197" w:rsidP="004E3197">
            <w:pPr>
              <w:jc w:val="center"/>
              <w:rPr>
                <w:rFonts w:ascii="Times New Roman" w:hAnsi="Times New Roman" w:cs="Times New Roman"/>
              </w:rPr>
            </w:pPr>
            <w:r w:rsidRPr="004E3197">
              <w:rPr>
                <w:rFonts w:ascii="Times New Roman" w:hAnsi="Times New Roman" w:cs="Times New Roman"/>
              </w:rPr>
              <w:t>0,19 EUR/mjesečno</w:t>
            </w:r>
          </w:p>
        </w:tc>
      </w:tr>
    </w:tbl>
    <w:p w14:paraId="6D3076B7" w14:textId="77777777" w:rsidR="002848D3" w:rsidRDefault="002848D3" w:rsidP="002848D3">
      <w:pPr>
        <w:contextualSpacing/>
        <w:jc w:val="both"/>
      </w:pPr>
    </w:p>
    <w:p w14:paraId="098D709B" w14:textId="731689C2" w:rsidR="002848D3" w:rsidRDefault="002848D3" w:rsidP="00BB5E25">
      <w:pPr>
        <w:pStyle w:val="ListParagraph"/>
        <w:numPr>
          <w:ilvl w:val="1"/>
          <w:numId w:val="1"/>
        </w:numPr>
        <w:ind w:left="360"/>
        <w:jc w:val="both"/>
      </w:pPr>
      <w:r w:rsidRPr="00865EB8">
        <w:t>Određuj</w:t>
      </w:r>
      <w:r>
        <w:t>e</w:t>
      </w:r>
      <w:r w:rsidRPr="00865EB8">
        <w:t xml:space="preserve"> se mjesečn</w:t>
      </w:r>
      <w:r>
        <w:t>a</w:t>
      </w:r>
      <w:r w:rsidRPr="00865EB8">
        <w:t xml:space="preserve"> naknad</w:t>
      </w:r>
      <w:r>
        <w:t>a</w:t>
      </w:r>
      <w:r w:rsidRPr="00865EB8">
        <w:t xml:space="preserve"> za </w:t>
      </w:r>
      <w:r>
        <w:t>uslugu veleprodajnog širokopojasnog</w:t>
      </w:r>
      <w:r w:rsidRPr="0075671F">
        <w:t xml:space="preserve"> pristup</w:t>
      </w:r>
      <w:r>
        <w:t>a</w:t>
      </w:r>
      <w:r w:rsidRPr="0075671F">
        <w:t xml:space="preserve"> Internetu na OLT razini</w:t>
      </w:r>
      <w:r>
        <w:t xml:space="preserve"> koje se pružaju putem FTTH mreže, bez svjetlovodne instalacije unutar zgrade, </w:t>
      </w:r>
      <w:r w:rsidRPr="00865EB8">
        <w:t xml:space="preserve">na način </w:t>
      </w:r>
      <w:r>
        <w:t>prikazan u tablici:</w:t>
      </w:r>
    </w:p>
    <w:p w14:paraId="42AFD26F" w14:textId="77777777" w:rsidR="004E3197" w:rsidRDefault="004E3197" w:rsidP="004E3197">
      <w:pPr>
        <w:pStyle w:val="ListParagraph"/>
        <w:ind w:left="360"/>
        <w:jc w:val="both"/>
      </w:pPr>
    </w:p>
    <w:tbl>
      <w:tblPr>
        <w:tblStyle w:val="TableGrid31"/>
        <w:tblW w:w="9929" w:type="dxa"/>
        <w:jc w:val="center"/>
        <w:tblLayout w:type="fixed"/>
        <w:tblLook w:val="04A0" w:firstRow="1" w:lastRow="0" w:firstColumn="1" w:lastColumn="0" w:noHBand="0" w:noVBand="1"/>
      </w:tblPr>
      <w:tblGrid>
        <w:gridCol w:w="4273"/>
        <w:gridCol w:w="1379"/>
        <w:gridCol w:w="1380"/>
        <w:gridCol w:w="1379"/>
        <w:gridCol w:w="1518"/>
      </w:tblGrid>
      <w:tr w:rsidR="00CC3566" w:rsidRPr="00EB0717" w14:paraId="20E5259A" w14:textId="77777777" w:rsidTr="00EC3E1E">
        <w:trPr>
          <w:trHeight w:val="250"/>
          <w:jc w:val="center"/>
        </w:trPr>
        <w:tc>
          <w:tcPr>
            <w:tcW w:w="4273" w:type="dxa"/>
            <w:vMerge w:val="restart"/>
            <w:tcBorders>
              <w:top w:val="single" w:sz="4" w:space="0" w:color="FFFFFF" w:themeColor="background1"/>
              <w:left w:val="single" w:sz="4" w:space="0" w:color="FFFFFF" w:themeColor="background1"/>
              <w:right w:val="single" w:sz="4" w:space="0" w:color="auto"/>
            </w:tcBorders>
            <w:shd w:val="clear" w:color="548DD4" w:themeColor="text2" w:themeTint="99" w:fill="0C2749"/>
            <w:vAlign w:val="center"/>
          </w:tcPr>
          <w:p w14:paraId="32CFE919" w14:textId="77777777" w:rsidR="00CC3566" w:rsidRPr="00EB0717" w:rsidRDefault="00CC3566" w:rsidP="009F2054">
            <w:pPr>
              <w:jc w:val="center"/>
              <w:rPr>
                <w:rFonts w:ascii="Times New Roman" w:hAnsi="Times New Roman" w:cs="Times New Roman"/>
                <w:b/>
                <w:color w:val="FFFFFF" w:themeColor="background1"/>
                <w:sz w:val="20"/>
                <w:szCs w:val="20"/>
              </w:rPr>
            </w:pPr>
            <w:r w:rsidRPr="00EB0717">
              <w:rPr>
                <w:rFonts w:ascii="Times New Roman" w:hAnsi="Times New Roman" w:cs="Times New Roman"/>
                <w:b/>
                <w:color w:val="FFFFFF" w:themeColor="background1"/>
                <w:sz w:val="20"/>
                <w:szCs w:val="20"/>
              </w:rPr>
              <w:t>U</w:t>
            </w:r>
            <w:r>
              <w:rPr>
                <w:rFonts w:ascii="Times New Roman" w:hAnsi="Times New Roman" w:cs="Times New Roman"/>
                <w:b/>
                <w:color w:val="FFFFFF" w:themeColor="background1"/>
                <w:sz w:val="20"/>
                <w:szCs w:val="20"/>
              </w:rPr>
              <w:t>sluga</w:t>
            </w:r>
          </w:p>
        </w:tc>
        <w:tc>
          <w:tcPr>
            <w:tcW w:w="5656" w:type="dxa"/>
            <w:gridSpan w:val="4"/>
            <w:shd w:val="clear" w:color="auto" w:fill="0C2749"/>
          </w:tcPr>
          <w:p w14:paraId="6D2E3647" w14:textId="77777777" w:rsidR="00CC3566" w:rsidRPr="00EB0717" w:rsidRDefault="00CC3566" w:rsidP="009F2054">
            <w:pPr>
              <w:jc w:val="center"/>
              <w:rPr>
                <w:rFonts w:ascii="Times New Roman" w:hAnsi="Times New Roman" w:cs="Times New Roman"/>
                <w:b/>
                <w:sz w:val="20"/>
                <w:szCs w:val="20"/>
              </w:rPr>
            </w:pPr>
            <w:r w:rsidRPr="00EB0717">
              <w:rPr>
                <w:rFonts w:ascii="Times New Roman" w:hAnsi="Times New Roman" w:cs="Times New Roman"/>
                <w:b/>
                <w:color w:val="FFFFFF" w:themeColor="background1"/>
                <w:sz w:val="20"/>
                <w:szCs w:val="20"/>
              </w:rPr>
              <w:t>Nepromjenjivi dio</w:t>
            </w:r>
            <w:r w:rsidRPr="00EB0717">
              <w:rPr>
                <w:rFonts w:ascii="Times New Roman" w:hAnsi="Times New Roman" w:cs="Times New Roman"/>
                <w:b/>
                <w:color w:val="FFFFFF" w:themeColor="background1"/>
                <w:sz w:val="20"/>
                <w:szCs w:val="20"/>
                <w:vertAlign w:val="superscript"/>
              </w:rPr>
              <w:footnoteReference w:customMarkFollows="1" w:id="3"/>
              <w:sym w:font="Symbol" w:char="F02A"/>
            </w:r>
          </w:p>
        </w:tc>
      </w:tr>
      <w:tr w:rsidR="00CC3566" w:rsidRPr="00EB0717" w14:paraId="6D982F9B" w14:textId="77777777" w:rsidTr="004E3197">
        <w:trPr>
          <w:trHeight w:val="480"/>
          <w:jc w:val="center"/>
        </w:trPr>
        <w:tc>
          <w:tcPr>
            <w:tcW w:w="4273" w:type="dxa"/>
            <w:vMerge/>
            <w:tcBorders>
              <w:left w:val="single" w:sz="4" w:space="0" w:color="FFFFFF" w:themeColor="background1"/>
              <w:right w:val="single" w:sz="4" w:space="0" w:color="auto"/>
            </w:tcBorders>
            <w:shd w:val="clear" w:color="548DD4" w:themeColor="text2" w:themeTint="99" w:fill="0C2749"/>
            <w:vAlign w:val="center"/>
            <w:hideMark/>
          </w:tcPr>
          <w:p w14:paraId="11E03654" w14:textId="77777777" w:rsidR="00CC3566" w:rsidRPr="00EB0717" w:rsidRDefault="00CC3566" w:rsidP="009F2054">
            <w:pPr>
              <w:jc w:val="center"/>
              <w:rPr>
                <w:rFonts w:ascii="Times New Roman" w:hAnsi="Times New Roman" w:cs="Times New Roman"/>
                <w:sz w:val="20"/>
                <w:szCs w:val="20"/>
              </w:rPr>
            </w:pPr>
          </w:p>
        </w:tc>
        <w:tc>
          <w:tcPr>
            <w:tcW w:w="1379" w:type="dxa"/>
            <w:shd w:val="clear" w:color="auto" w:fill="0C2749"/>
            <w:vAlign w:val="center"/>
            <w:hideMark/>
          </w:tcPr>
          <w:p w14:paraId="6190DC87" w14:textId="77777777" w:rsidR="00CC3566" w:rsidRPr="00EB0717" w:rsidRDefault="00CC3566" w:rsidP="009F2054">
            <w:pPr>
              <w:jc w:val="center"/>
              <w:rPr>
                <w:rFonts w:ascii="Times New Roman" w:hAnsi="Times New Roman" w:cs="Times New Roman"/>
                <w:b/>
                <w:sz w:val="20"/>
                <w:szCs w:val="20"/>
              </w:rPr>
            </w:pPr>
            <w:r w:rsidRPr="00EB0717">
              <w:rPr>
                <w:rFonts w:ascii="Times New Roman" w:hAnsi="Times New Roman" w:cs="Times New Roman"/>
                <w:b/>
                <w:sz w:val="20"/>
                <w:szCs w:val="20"/>
              </w:rPr>
              <w:t>Pojedinačni pristup</w:t>
            </w:r>
          </w:p>
        </w:tc>
        <w:tc>
          <w:tcPr>
            <w:tcW w:w="1380" w:type="dxa"/>
            <w:shd w:val="clear" w:color="auto" w:fill="0C2749"/>
            <w:vAlign w:val="center"/>
            <w:hideMark/>
          </w:tcPr>
          <w:p w14:paraId="0D6900BC" w14:textId="77777777" w:rsidR="00CC3566" w:rsidRPr="00EB0717" w:rsidRDefault="00CC3566" w:rsidP="009F2054">
            <w:pPr>
              <w:jc w:val="center"/>
              <w:rPr>
                <w:rFonts w:ascii="Times New Roman" w:hAnsi="Times New Roman" w:cs="Times New Roman"/>
                <w:b/>
                <w:sz w:val="20"/>
                <w:szCs w:val="20"/>
              </w:rPr>
            </w:pPr>
            <w:r w:rsidRPr="00EB0717">
              <w:rPr>
                <w:rFonts w:ascii="Times New Roman" w:hAnsi="Times New Roman" w:cs="Times New Roman"/>
                <w:b/>
                <w:sz w:val="20"/>
                <w:szCs w:val="20"/>
              </w:rPr>
              <w:t>OLT blok od 1% pristupa</w:t>
            </w:r>
          </w:p>
        </w:tc>
        <w:tc>
          <w:tcPr>
            <w:tcW w:w="1379" w:type="dxa"/>
            <w:shd w:val="clear" w:color="auto" w:fill="0C2749"/>
            <w:vAlign w:val="center"/>
            <w:hideMark/>
          </w:tcPr>
          <w:p w14:paraId="104DF009" w14:textId="77777777" w:rsidR="00CC3566" w:rsidRPr="00EB0717" w:rsidRDefault="00CC3566" w:rsidP="009F2054">
            <w:pPr>
              <w:jc w:val="center"/>
              <w:rPr>
                <w:rFonts w:ascii="Times New Roman" w:hAnsi="Times New Roman" w:cs="Times New Roman"/>
                <w:b/>
                <w:sz w:val="20"/>
                <w:szCs w:val="20"/>
              </w:rPr>
            </w:pPr>
            <w:r w:rsidRPr="00EB0717">
              <w:rPr>
                <w:rFonts w:ascii="Times New Roman" w:hAnsi="Times New Roman" w:cs="Times New Roman"/>
                <w:b/>
                <w:sz w:val="20"/>
                <w:szCs w:val="20"/>
              </w:rPr>
              <w:t>OLT blok od 2% pristupa</w:t>
            </w:r>
          </w:p>
        </w:tc>
        <w:tc>
          <w:tcPr>
            <w:tcW w:w="1518" w:type="dxa"/>
            <w:shd w:val="clear" w:color="auto" w:fill="0C2749"/>
            <w:vAlign w:val="center"/>
            <w:hideMark/>
          </w:tcPr>
          <w:p w14:paraId="18FE448A" w14:textId="77777777" w:rsidR="00CC3566" w:rsidRPr="00EB0717" w:rsidRDefault="00CC3566" w:rsidP="009F2054">
            <w:pPr>
              <w:jc w:val="center"/>
              <w:rPr>
                <w:rFonts w:ascii="Times New Roman" w:hAnsi="Times New Roman" w:cs="Times New Roman"/>
                <w:b/>
                <w:sz w:val="20"/>
                <w:szCs w:val="20"/>
              </w:rPr>
            </w:pPr>
            <w:r w:rsidRPr="00EB0717">
              <w:rPr>
                <w:rFonts w:ascii="Times New Roman" w:hAnsi="Times New Roman" w:cs="Times New Roman"/>
                <w:b/>
                <w:sz w:val="20"/>
                <w:szCs w:val="20"/>
              </w:rPr>
              <w:t>OLT blok od 3% pristupa</w:t>
            </w:r>
          </w:p>
        </w:tc>
      </w:tr>
      <w:tr w:rsidR="00CC3566" w:rsidRPr="00EB0717" w14:paraId="630F1DE1" w14:textId="77777777" w:rsidTr="00EC3E1E">
        <w:trPr>
          <w:trHeight w:val="249"/>
          <w:jc w:val="center"/>
        </w:trPr>
        <w:tc>
          <w:tcPr>
            <w:tcW w:w="4273" w:type="dxa"/>
            <w:vMerge/>
            <w:tcBorders>
              <w:left w:val="single" w:sz="4" w:space="0" w:color="FFFFFF" w:themeColor="background1"/>
              <w:bottom w:val="single" w:sz="4" w:space="0" w:color="FFFFFF" w:themeColor="background1"/>
              <w:right w:val="single" w:sz="4" w:space="0" w:color="auto"/>
            </w:tcBorders>
            <w:shd w:val="clear" w:color="548DD4" w:themeColor="text2" w:themeTint="99" w:fill="0C2749"/>
            <w:vAlign w:val="center"/>
          </w:tcPr>
          <w:p w14:paraId="02674679" w14:textId="77777777" w:rsidR="00CC3566" w:rsidRPr="00EB0717" w:rsidRDefault="00CC3566" w:rsidP="009F2054">
            <w:pPr>
              <w:jc w:val="center"/>
              <w:rPr>
                <w:rFonts w:ascii="Times New Roman" w:hAnsi="Times New Roman" w:cs="Times New Roman"/>
                <w:b/>
                <w:color w:val="FFFFFF" w:themeColor="background1"/>
                <w:sz w:val="20"/>
                <w:szCs w:val="20"/>
              </w:rPr>
            </w:pPr>
          </w:p>
        </w:tc>
        <w:tc>
          <w:tcPr>
            <w:tcW w:w="5656" w:type="dxa"/>
            <w:gridSpan w:val="4"/>
            <w:shd w:val="clear" w:color="auto" w:fill="0C2749"/>
            <w:vAlign w:val="center"/>
          </w:tcPr>
          <w:p w14:paraId="4F07387E" w14:textId="77777777" w:rsidR="00CC3566" w:rsidRPr="00EB0717" w:rsidRDefault="00CC3566" w:rsidP="009F2054">
            <w:pPr>
              <w:jc w:val="center"/>
              <w:rPr>
                <w:rFonts w:ascii="Times New Roman" w:hAnsi="Times New Roman" w:cs="Times New Roman"/>
                <w:b/>
                <w:sz w:val="20"/>
                <w:szCs w:val="20"/>
              </w:rPr>
            </w:pPr>
            <w:r>
              <w:rPr>
                <w:rFonts w:ascii="Times New Roman" w:hAnsi="Times New Roman" w:cs="Times New Roman"/>
                <w:b/>
                <w:sz w:val="20"/>
                <w:szCs w:val="20"/>
              </w:rPr>
              <w:t>EUR</w:t>
            </w:r>
            <w:r w:rsidRPr="00EB0717">
              <w:rPr>
                <w:rFonts w:ascii="Times New Roman" w:hAnsi="Times New Roman" w:cs="Times New Roman"/>
                <w:b/>
                <w:sz w:val="20"/>
                <w:szCs w:val="20"/>
              </w:rPr>
              <w:t>/mjesečno/korisnik</w:t>
            </w:r>
          </w:p>
        </w:tc>
      </w:tr>
      <w:tr w:rsidR="00CC3566" w:rsidRPr="00EC5C39" w14:paraId="15899405" w14:textId="77777777" w:rsidTr="004E3197">
        <w:trPr>
          <w:trHeight w:val="595"/>
          <w:jc w:val="center"/>
        </w:trPr>
        <w:tc>
          <w:tcPr>
            <w:tcW w:w="4273" w:type="dxa"/>
            <w:hideMark/>
          </w:tcPr>
          <w:p w14:paraId="55FA24FE" w14:textId="77777777" w:rsidR="00CC3566" w:rsidRPr="00EC3E1E" w:rsidRDefault="00CC3566" w:rsidP="009F2054">
            <w:pPr>
              <w:jc w:val="both"/>
              <w:rPr>
                <w:rFonts w:ascii="Times New Roman" w:hAnsi="Times New Roman" w:cs="Times New Roman"/>
              </w:rPr>
            </w:pPr>
            <w:r w:rsidRPr="00EC3E1E">
              <w:rPr>
                <w:rFonts w:ascii="Times New Roman" w:hAnsi="Times New Roman" w:cs="Times New Roman"/>
              </w:rPr>
              <w:t>Veleprodajni širokopojasni pristup za uslugu pristupa Internetu na OLT razini</w:t>
            </w:r>
          </w:p>
        </w:tc>
        <w:tc>
          <w:tcPr>
            <w:tcW w:w="1379" w:type="dxa"/>
            <w:vAlign w:val="center"/>
          </w:tcPr>
          <w:p w14:paraId="7869FF75" w14:textId="6B7FDA7B" w:rsidR="00CC3566" w:rsidRPr="00EC3E1E" w:rsidRDefault="002848D3" w:rsidP="002848D3">
            <w:pPr>
              <w:jc w:val="center"/>
              <w:rPr>
                <w:rFonts w:ascii="Times New Roman" w:hAnsi="Times New Roman" w:cs="Times New Roman"/>
              </w:rPr>
            </w:pPr>
            <w:r w:rsidRPr="00EC3E1E">
              <w:rPr>
                <w:rFonts w:ascii="Times New Roman" w:hAnsi="Times New Roman" w:cs="Times New Roman"/>
              </w:rPr>
              <w:t>8,84</w:t>
            </w:r>
            <w:r w:rsidR="00CC3566" w:rsidRPr="00EC3E1E">
              <w:rPr>
                <w:rFonts w:ascii="Times New Roman" w:hAnsi="Times New Roman" w:cs="Times New Roman"/>
              </w:rPr>
              <w:t xml:space="preserve">   </w:t>
            </w:r>
          </w:p>
        </w:tc>
        <w:tc>
          <w:tcPr>
            <w:tcW w:w="1380" w:type="dxa"/>
            <w:vAlign w:val="center"/>
          </w:tcPr>
          <w:p w14:paraId="157A2DE2" w14:textId="2464B0DE" w:rsidR="00CC3566" w:rsidRPr="00EC3E1E" w:rsidRDefault="002848D3" w:rsidP="009F2054">
            <w:pPr>
              <w:jc w:val="center"/>
              <w:rPr>
                <w:rFonts w:ascii="Times New Roman" w:hAnsi="Times New Roman" w:cs="Times New Roman"/>
              </w:rPr>
            </w:pPr>
            <w:r w:rsidRPr="00EC3E1E">
              <w:rPr>
                <w:rFonts w:ascii="Times New Roman" w:hAnsi="Times New Roman" w:cs="Times New Roman"/>
              </w:rPr>
              <w:t>8,51</w:t>
            </w:r>
            <w:r w:rsidR="00CC3566" w:rsidRPr="00EC3E1E">
              <w:rPr>
                <w:rFonts w:ascii="Times New Roman" w:hAnsi="Times New Roman" w:cs="Times New Roman"/>
              </w:rPr>
              <w:t xml:space="preserve">   </w:t>
            </w:r>
          </w:p>
        </w:tc>
        <w:tc>
          <w:tcPr>
            <w:tcW w:w="1379" w:type="dxa"/>
            <w:vAlign w:val="center"/>
          </w:tcPr>
          <w:p w14:paraId="0B3EECAE" w14:textId="0AEB5340" w:rsidR="00CC3566" w:rsidRPr="00EC3E1E" w:rsidRDefault="00CC3566" w:rsidP="002848D3">
            <w:pPr>
              <w:jc w:val="center"/>
              <w:rPr>
                <w:rFonts w:ascii="Times New Roman" w:hAnsi="Times New Roman" w:cs="Times New Roman"/>
              </w:rPr>
            </w:pPr>
            <w:r w:rsidRPr="00EC3E1E">
              <w:rPr>
                <w:rFonts w:ascii="Times New Roman" w:hAnsi="Times New Roman" w:cs="Times New Roman"/>
              </w:rPr>
              <w:t>8,</w:t>
            </w:r>
            <w:r w:rsidR="002848D3" w:rsidRPr="00EC3E1E">
              <w:rPr>
                <w:rFonts w:ascii="Times New Roman" w:hAnsi="Times New Roman" w:cs="Times New Roman"/>
              </w:rPr>
              <w:t>1</w:t>
            </w:r>
            <w:r w:rsidRPr="00EC3E1E">
              <w:rPr>
                <w:rFonts w:ascii="Times New Roman" w:hAnsi="Times New Roman" w:cs="Times New Roman"/>
              </w:rPr>
              <w:t xml:space="preserve">8   </w:t>
            </w:r>
          </w:p>
        </w:tc>
        <w:tc>
          <w:tcPr>
            <w:tcW w:w="1518" w:type="dxa"/>
            <w:vAlign w:val="center"/>
          </w:tcPr>
          <w:p w14:paraId="080A7DD2" w14:textId="4B28346F" w:rsidR="00CC3566" w:rsidRPr="00EC3E1E" w:rsidRDefault="002848D3" w:rsidP="002848D3">
            <w:pPr>
              <w:jc w:val="center"/>
              <w:rPr>
                <w:rFonts w:ascii="Times New Roman" w:hAnsi="Times New Roman" w:cs="Times New Roman"/>
              </w:rPr>
            </w:pPr>
            <w:r w:rsidRPr="00EC3E1E">
              <w:rPr>
                <w:rFonts w:ascii="Times New Roman" w:hAnsi="Times New Roman" w:cs="Times New Roman"/>
              </w:rPr>
              <w:t>7</w:t>
            </w:r>
            <w:r w:rsidR="00CC3566" w:rsidRPr="00EC3E1E">
              <w:rPr>
                <w:rFonts w:ascii="Times New Roman" w:hAnsi="Times New Roman" w:cs="Times New Roman"/>
              </w:rPr>
              <w:t>,</w:t>
            </w:r>
            <w:r w:rsidRPr="00EC3E1E">
              <w:rPr>
                <w:rFonts w:ascii="Times New Roman" w:hAnsi="Times New Roman" w:cs="Times New Roman"/>
              </w:rPr>
              <w:t>85</w:t>
            </w:r>
            <w:r w:rsidR="00CC3566" w:rsidRPr="00EC3E1E">
              <w:rPr>
                <w:rFonts w:ascii="Times New Roman" w:hAnsi="Times New Roman" w:cs="Times New Roman"/>
              </w:rPr>
              <w:t xml:space="preserve">   </w:t>
            </w:r>
          </w:p>
        </w:tc>
      </w:tr>
      <w:tr w:rsidR="004E3197" w:rsidRPr="00EC5C39" w14:paraId="5CF68E7E" w14:textId="77777777" w:rsidTr="004E3197">
        <w:trPr>
          <w:trHeight w:val="595"/>
          <w:jc w:val="center"/>
        </w:trPr>
        <w:tc>
          <w:tcPr>
            <w:tcW w:w="4273" w:type="dxa"/>
            <w:vAlign w:val="center"/>
          </w:tcPr>
          <w:p w14:paraId="5F839B87" w14:textId="749E2DF9" w:rsidR="004E3197" w:rsidRPr="004E3197" w:rsidRDefault="004E3197" w:rsidP="004E3197">
            <w:pPr>
              <w:jc w:val="both"/>
              <w:rPr>
                <w:rFonts w:ascii="Times New Roman" w:hAnsi="Times New Roman" w:cs="Times New Roman"/>
              </w:rPr>
            </w:pPr>
            <w:r w:rsidRPr="004E3197">
              <w:rPr>
                <w:rFonts w:ascii="Times New Roman" w:hAnsi="Times New Roman" w:cs="Times New Roman"/>
              </w:rPr>
              <w:t>Korištenje svjetlovodne instalacije u stanu krajnjeg korisnika</w:t>
            </w:r>
          </w:p>
        </w:tc>
        <w:tc>
          <w:tcPr>
            <w:tcW w:w="5656" w:type="dxa"/>
            <w:gridSpan w:val="4"/>
            <w:vAlign w:val="center"/>
          </w:tcPr>
          <w:p w14:paraId="1E23C2D8" w14:textId="729C6366" w:rsidR="004E3197" w:rsidRPr="004E3197" w:rsidRDefault="004E3197" w:rsidP="004E3197">
            <w:pPr>
              <w:jc w:val="center"/>
              <w:rPr>
                <w:rFonts w:ascii="Times New Roman" w:hAnsi="Times New Roman" w:cs="Times New Roman"/>
              </w:rPr>
            </w:pPr>
            <w:r w:rsidRPr="004E3197">
              <w:rPr>
                <w:rFonts w:ascii="Times New Roman" w:hAnsi="Times New Roman" w:cs="Times New Roman"/>
              </w:rPr>
              <w:t>0,32 EUR/mjesečno</w:t>
            </w:r>
          </w:p>
        </w:tc>
      </w:tr>
      <w:tr w:rsidR="004E3197" w:rsidRPr="00EC5C39" w14:paraId="580FD82B" w14:textId="77777777" w:rsidTr="004E3197">
        <w:trPr>
          <w:trHeight w:val="595"/>
          <w:jc w:val="center"/>
        </w:trPr>
        <w:tc>
          <w:tcPr>
            <w:tcW w:w="4273" w:type="dxa"/>
            <w:vAlign w:val="center"/>
          </w:tcPr>
          <w:p w14:paraId="650BBFBA" w14:textId="3E80E9F6" w:rsidR="004E3197" w:rsidRPr="004E3197" w:rsidRDefault="004E3197" w:rsidP="004E3197">
            <w:pPr>
              <w:jc w:val="both"/>
              <w:rPr>
                <w:rFonts w:ascii="Times New Roman" w:hAnsi="Times New Roman" w:cs="Times New Roman"/>
              </w:rPr>
            </w:pPr>
            <w:r w:rsidRPr="004E3197">
              <w:rPr>
                <w:rFonts w:ascii="Times New Roman" w:hAnsi="Times New Roman" w:cs="Times New Roman"/>
              </w:rPr>
              <w:t>Najam ONT-a</w:t>
            </w:r>
          </w:p>
        </w:tc>
        <w:tc>
          <w:tcPr>
            <w:tcW w:w="5656" w:type="dxa"/>
            <w:gridSpan w:val="4"/>
            <w:vAlign w:val="center"/>
          </w:tcPr>
          <w:p w14:paraId="7C2950DB" w14:textId="00D3200B" w:rsidR="004E3197" w:rsidRPr="004E3197" w:rsidRDefault="004E3197" w:rsidP="004E3197">
            <w:pPr>
              <w:jc w:val="center"/>
              <w:rPr>
                <w:rFonts w:ascii="Times New Roman" w:hAnsi="Times New Roman" w:cs="Times New Roman"/>
              </w:rPr>
            </w:pPr>
            <w:r w:rsidRPr="004E3197">
              <w:rPr>
                <w:rFonts w:ascii="Times New Roman" w:hAnsi="Times New Roman" w:cs="Times New Roman"/>
              </w:rPr>
              <w:t>0,19 EUR/mjesečno</w:t>
            </w:r>
          </w:p>
        </w:tc>
      </w:tr>
    </w:tbl>
    <w:p w14:paraId="32305CF2" w14:textId="3D78F529" w:rsidR="004E3197" w:rsidRDefault="004E3197" w:rsidP="002848D3">
      <w:pPr>
        <w:ind w:left="792"/>
        <w:contextualSpacing/>
        <w:jc w:val="both"/>
      </w:pPr>
    </w:p>
    <w:p w14:paraId="21BBD221" w14:textId="0E6AE724" w:rsidR="00CC3566" w:rsidRDefault="004E3197" w:rsidP="004E3197">
      <w:r>
        <w:br w:type="page"/>
      </w:r>
    </w:p>
    <w:p w14:paraId="24D22E78" w14:textId="09D82706" w:rsidR="002848D3" w:rsidRDefault="002848D3" w:rsidP="002848D3">
      <w:pPr>
        <w:pStyle w:val="ListParagraph"/>
        <w:numPr>
          <w:ilvl w:val="1"/>
          <w:numId w:val="1"/>
        </w:numPr>
        <w:jc w:val="both"/>
      </w:pPr>
      <w:r w:rsidRPr="00865EB8">
        <w:lastRenderedPageBreak/>
        <w:t>Određuj</w:t>
      </w:r>
      <w:r>
        <w:t>e</w:t>
      </w:r>
      <w:r w:rsidRPr="00865EB8">
        <w:t xml:space="preserve"> se mjesečn</w:t>
      </w:r>
      <w:r>
        <w:t>a</w:t>
      </w:r>
      <w:r w:rsidRPr="00865EB8">
        <w:t xml:space="preserve"> naknad</w:t>
      </w:r>
      <w:r>
        <w:t>a</w:t>
      </w:r>
      <w:r w:rsidRPr="00865EB8">
        <w:t xml:space="preserve"> za </w:t>
      </w:r>
      <w:r>
        <w:t>uslugu veleprodajnog širokopojasnog</w:t>
      </w:r>
      <w:r w:rsidRPr="0075671F">
        <w:t xml:space="preserve"> pristup</w:t>
      </w:r>
      <w:r>
        <w:t>a</w:t>
      </w:r>
      <w:r w:rsidRPr="0075671F">
        <w:t xml:space="preserve"> Internetu na OLT razini</w:t>
      </w:r>
      <w:r>
        <w:t xml:space="preserve"> koje se pružaju putem FTTB mreže </w:t>
      </w:r>
      <w:r w:rsidRPr="00865EB8">
        <w:t xml:space="preserve">na način </w:t>
      </w:r>
      <w:r>
        <w:t>prikazan u tablici:</w:t>
      </w:r>
    </w:p>
    <w:p w14:paraId="445DB8D1" w14:textId="77777777" w:rsidR="004E3197" w:rsidRDefault="004E3197" w:rsidP="004E3197">
      <w:pPr>
        <w:pStyle w:val="ListParagraph"/>
        <w:ind w:left="792"/>
        <w:jc w:val="both"/>
      </w:pPr>
    </w:p>
    <w:tbl>
      <w:tblPr>
        <w:tblStyle w:val="TableGrid31"/>
        <w:tblW w:w="9887" w:type="dxa"/>
        <w:jc w:val="center"/>
        <w:tblLayout w:type="fixed"/>
        <w:tblLook w:val="04A0" w:firstRow="1" w:lastRow="0" w:firstColumn="1" w:lastColumn="0" w:noHBand="0" w:noVBand="1"/>
      </w:tblPr>
      <w:tblGrid>
        <w:gridCol w:w="4255"/>
        <w:gridCol w:w="1373"/>
        <w:gridCol w:w="1374"/>
        <w:gridCol w:w="1373"/>
        <w:gridCol w:w="1512"/>
      </w:tblGrid>
      <w:tr w:rsidR="002848D3" w:rsidRPr="00EB0717" w14:paraId="4581B69C" w14:textId="77777777" w:rsidTr="00EC3E1E">
        <w:trPr>
          <w:trHeight w:val="214"/>
          <w:jc w:val="center"/>
        </w:trPr>
        <w:tc>
          <w:tcPr>
            <w:tcW w:w="4255" w:type="dxa"/>
            <w:vMerge w:val="restart"/>
            <w:tcBorders>
              <w:top w:val="single" w:sz="4" w:space="0" w:color="FFFFFF" w:themeColor="background1"/>
              <w:left w:val="single" w:sz="4" w:space="0" w:color="FFFFFF" w:themeColor="background1"/>
              <w:right w:val="single" w:sz="4" w:space="0" w:color="auto"/>
            </w:tcBorders>
            <w:shd w:val="clear" w:color="548DD4" w:themeColor="text2" w:themeTint="99" w:fill="0C2749"/>
            <w:vAlign w:val="center"/>
          </w:tcPr>
          <w:p w14:paraId="2E4D751B" w14:textId="77777777" w:rsidR="002848D3" w:rsidRPr="00EB0717" w:rsidRDefault="002848D3" w:rsidP="009F2054">
            <w:pPr>
              <w:jc w:val="center"/>
              <w:rPr>
                <w:rFonts w:ascii="Times New Roman" w:hAnsi="Times New Roman" w:cs="Times New Roman"/>
                <w:b/>
                <w:color w:val="FFFFFF" w:themeColor="background1"/>
                <w:sz w:val="20"/>
                <w:szCs w:val="20"/>
              </w:rPr>
            </w:pPr>
            <w:r w:rsidRPr="00EB0717">
              <w:rPr>
                <w:rFonts w:ascii="Times New Roman" w:hAnsi="Times New Roman" w:cs="Times New Roman"/>
                <w:b/>
                <w:color w:val="FFFFFF" w:themeColor="background1"/>
                <w:sz w:val="20"/>
                <w:szCs w:val="20"/>
              </w:rPr>
              <w:t>U</w:t>
            </w:r>
            <w:r>
              <w:rPr>
                <w:rFonts w:ascii="Times New Roman" w:hAnsi="Times New Roman" w:cs="Times New Roman"/>
                <w:b/>
                <w:color w:val="FFFFFF" w:themeColor="background1"/>
                <w:sz w:val="20"/>
                <w:szCs w:val="20"/>
              </w:rPr>
              <w:t>sluga</w:t>
            </w:r>
          </w:p>
        </w:tc>
        <w:tc>
          <w:tcPr>
            <w:tcW w:w="5632" w:type="dxa"/>
            <w:gridSpan w:val="4"/>
            <w:shd w:val="clear" w:color="auto" w:fill="0C2749"/>
          </w:tcPr>
          <w:p w14:paraId="6C925988" w14:textId="77777777" w:rsidR="002848D3" w:rsidRPr="00EB0717" w:rsidRDefault="002848D3" w:rsidP="009F2054">
            <w:pPr>
              <w:jc w:val="center"/>
              <w:rPr>
                <w:rFonts w:ascii="Times New Roman" w:hAnsi="Times New Roman" w:cs="Times New Roman"/>
                <w:b/>
                <w:sz w:val="20"/>
                <w:szCs w:val="20"/>
              </w:rPr>
            </w:pPr>
            <w:r w:rsidRPr="00EB0717">
              <w:rPr>
                <w:rFonts w:ascii="Times New Roman" w:hAnsi="Times New Roman" w:cs="Times New Roman"/>
                <w:b/>
                <w:color w:val="FFFFFF" w:themeColor="background1"/>
                <w:sz w:val="20"/>
                <w:szCs w:val="20"/>
              </w:rPr>
              <w:t>Nepromjenjivi dio</w:t>
            </w:r>
            <w:r w:rsidRPr="00EB0717">
              <w:rPr>
                <w:rFonts w:ascii="Times New Roman" w:hAnsi="Times New Roman" w:cs="Times New Roman"/>
                <w:b/>
                <w:color w:val="FFFFFF" w:themeColor="background1"/>
                <w:sz w:val="20"/>
                <w:szCs w:val="20"/>
                <w:vertAlign w:val="superscript"/>
              </w:rPr>
              <w:footnoteReference w:customMarkFollows="1" w:id="4"/>
              <w:sym w:font="Symbol" w:char="F02A"/>
            </w:r>
          </w:p>
        </w:tc>
      </w:tr>
      <w:tr w:rsidR="002848D3" w:rsidRPr="00EB0717" w14:paraId="3F954A47" w14:textId="77777777" w:rsidTr="00EC3E1E">
        <w:trPr>
          <w:trHeight w:val="411"/>
          <w:jc w:val="center"/>
        </w:trPr>
        <w:tc>
          <w:tcPr>
            <w:tcW w:w="4255" w:type="dxa"/>
            <w:vMerge/>
            <w:tcBorders>
              <w:left w:val="single" w:sz="4" w:space="0" w:color="FFFFFF" w:themeColor="background1"/>
              <w:right w:val="single" w:sz="4" w:space="0" w:color="auto"/>
            </w:tcBorders>
            <w:shd w:val="clear" w:color="548DD4" w:themeColor="text2" w:themeTint="99" w:fill="0C2749"/>
            <w:vAlign w:val="center"/>
            <w:hideMark/>
          </w:tcPr>
          <w:p w14:paraId="1C47506C" w14:textId="77777777" w:rsidR="002848D3" w:rsidRPr="00EB0717" w:rsidRDefault="002848D3" w:rsidP="009F2054">
            <w:pPr>
              <w:jc w:val="center"/>
              <w:rPr>
                <w:rFonts w:ascii="Times New Roman" w:hAnsi="Times New Roman" w:cs="Times New Roman"/>
                <w:sz w:val="20"/>
                <w:szCs w:val="20"/>
              </w:rPr>
            </w:pPr>
          </w:p>
        </w:tc>
        <w:tc>
          <w:tcPr>
            <w:tcW w:w="1373" w:type="dxa"/>
            <w:shd w:val="clear" w:color="auto" w:fill="0C2749"/>
            <w:vAlign w:val="center"/>
            <w:hideMark/>
          </w:tcPr>
          <w:p w14:paraId="76E4F93A" w14:textId="77777777" w:rsidR="002848D3" w:rsidRPr="00EB0717" w:rsidRDefault="002848D3" w:rsidP="009F2054">
            <w:pPr>
              <w:jc w:val="center"/>
              <w:rPr>
                <w:rFonts w:ascii="Times New Roman" w:hAnsi="Times New Roman" w:cs="Times New Roman"/>
                <w:b/>
                <w:sz w:val="20"/>
                <w:szCs w:val="20"/>
              </w:rPr>
            </w:pPr>
            <w:r w:rsidRPr="00EB0717">
              <w:rPr>
                <w:rFonts w:ascii="Times New Roman" w:hAnsi="Times New Roman" w:cs="Times New Roman"/>
                <w:b/>
                <w:sz w:val="20"/>
                <w:szCs w:val="20"/>
              </w:rPr>
              <w:t>Pojedinačni pristup</w:t>
            </w:r>
          </w:p>
        </w:tc>
        <w:tc>
          <w:tcPr>
            <w:tcW w:w="1374" w:type="dxa"/>
            <w:shd w:val="clear" w:color="auto" w:fill="0C2749"/>
            <w:vAlign w:val="center"/>
            <w:hideMark/>
          </w:tcPr>
          <w:p w14:paraId="493A168A" w14:textId="77777777" w:rsidR="002848D3" w:rsidRPr="00EB0717" w:rsidRDefault="002848D3" w:rsidP="009F2054">
            <w:pPr>
              <w:jc w:val="center"/>
              <w:rPr>
                <w:rFonts w:ascii="Times New Roman" w:hAnsi="Times New Roman" w:cs="Times New Roman"/>
                <w:b/>
                <w:sz w:val="20"/>
                <w:szCs w:val="20"/>
              </w:rPr>
            </w:pPr>
            <w:r w:rsidRPr="00EB0717">
              <w:rPr>
                <w:rFonts w:ascii="Times New Roman" w:hAnsi="Times New Roman" w:cs="Times New Roman"/>
                <w:b/>
                <w:sz w:val="20"/>
                <w:szCs w:val="20"/>
              </w:rPr>
              <w:t>OLT blok od 1% pristupa</w:t>
            </w:r>
          </w:p>
        </w:tc>
        <w:tc>
          <w:tcPr>
            <w:tcW w:w="1373" w:type="dxa"/>
            <w:shd w:val="clear" w:color="auto" w:fill="0C2749"/>
            <w:vAlign w:val="center"/>
            <w:hideMark/>
          </w:tcPr>
          <w:p w14:paraId="547F7855" w14:textId="77777777" w:rsidR="002848D3" w:rsidRPr="00EB0717" w:rsidRDefault="002848D3" w:rsidP="009F2054">
            <w:pPr>
              <w:jc w:val="center"/>
              <w:rPr>
                <w:rFonts w:ascii="Times New Roman" w:hAnsi="Times New Roman" w:cs="Times New Roman"/>
                <w:b/>
                <w:sz w:val="20"/>
                <w:szCs w:val="20"/>
              </w:rPr>
            </w:pPr>
            <w:r w:rsidRPr="00EB0717">
              <w:rPr>
                <w:rFonts w:ascii="Times New Roman" w:hAnsi="Times New Roman" w:cs="Times New Roman"/>
                <w:b/>
                <w:sz w:val="20"/>
                <w:szCs w:val="20"/>
              </w:rPr>
              <w:t>OLT blok od 2% pristupa</w:t>
            </w:r>
          </w:p>
        </w:tc>
        <w:tc>
          <w:tcPr>
            <w:tcW w:w="1512" w:type="dxa"/>
            <w:shd w:val="clear" w:color="auto" w:fill="0C2749"/>
            <w:vAlign w:val="center"/>
            <w:hideMark/>
          </w:tcPr>
          <w:p w14:paraId="39384AAB" w14:textId="77777777" w:rsidR="002848D3" w:rsidRPr="00EB0717" w:rsidRDefault="002848D3" w:rsidP="009F2054">
            <w:pPr>
              <w:jc w:val="center"/>
              <w:rPr>
                <w:rFonts w:ascii="Times New Roman" w:hAnsi="Times New Roman" w:cs="Times New Roman"/>
                <w:b/>
                <w:sz w:val="20"/>
                <w:szCs w:val="20"/>
              </w:rPr>
            </w:pPr>
            <w:r w:rsidRPr="00EB0717">
              <w:rPr>
                <w:rFonts w:ascii="Times New Roman" w:hAnsi="Times New Roman" w:cs="Times New Roman"/>
                <w:b/>
                <w:sz w:val="20"/>
                <w:szCs w:val="20"/>
              </w:rPr>
              <w:t>OLT blok od 3% pristupa</w:t>
            </w:r>
          </w:p>
        </w:tc>
      </w:tr>
      <w:tr w:rsidR="002848D3" w:rsidRPr="00EB0717" w14:paraId="0D58478E" w14:textId="77777777" w:rsidTr="00EC3E1E">
        <w:trPr>
          <w:trHeight w:val="213"/>
          <w:jc w:val="center"/>
        </w:trPr>
        <w:tc>
          <w:tcPr>
            <w:tcW w:w="4255" w:type="dxa"/>
            <w:vMerge/>
            <w:tcBorders>
              <w:left w:val="single" w:sz="4" w:space="0" w:color="FFFFFF" w:themeColor="background1"/>
              <w:bottom w:val="single" w:sz="4" w:space="0" w:color="FFFFFF" w:themeColor="background1"/>
              <w:right w:val="single" w:sz="4" w:space="0" w:color="auto"/>
            </w:tcBorders>
            <w:shd w:val="clear" w:color="548DD4" w:themeColor="text2" w:themeTint="99" w:fill="0C2749"/>
            <w:vAlign w:val="center"/>
          </w:tcPr>
          <w:p w14:paraId="5D4F5C8F" w14:textId="77777777" w:rsidR="002848D3" w:rsidRPr="00EB0717" w:rsidRDefault="002848D3" w:rsidP="009F2054">
            <w:pPr>
              <w:jc w:val="center"/>
              <w:rPr>
                <w:rFonts w:ascii="Times New Roman" w:hAnsi="Times New Roman" w:cs="Times New Roman"/>
                <w:b/>
                <w:color w:val="FFFFFF" w:themeColor="background1"/>
                <w:sz w:val="20"/>
                <w:szCs w:val="20"/>
              </w:rPr>
            </w:pPr>
          </w:p>
        </w:tc>
        <w:tc>
          <w:tcPr>
            <w:tcW w:w="5632" w:type="dxa"/>
            <w:gridSpan w:val="4"/>
            <w:shd w:val="clear" w:color="auto" w:fill="0C2749"/>
            <w:vAlign w:val="center"/>
          </w:tcPr>
          <w:p w14:paraId="489EC0D3" w14:textId="77777777" w:rsidR="002848D3" w:rsidRPr="00EB0717" w:rsidRDefault="002848D3" w:rsidP="009F2054">
            <w:pPr>
              <w:jc w:val="center"/>
              <w:rPr>
                <w:rFonts w:ascii="Times New Roman" w:hAnsi="Times New Roman" w:cs="Times New Roman"/>
                <w:b/>
                <w:sz w:val="20"/>
                <w:szCs w:val="20"/>
              </w:rPr>
            </w:pPr>
            <w:r>
              <w:rPr>
                <w:rFonts w:ascii="Times New Roman" w:hAnsi="Times New Roman" w:cs="Times New Roman"/>
                <w:b/>
                <w:sz w:val="20"/>
                <w:szCs w:val="20"/>
              </w:rPr>
              <w:t>EUR</w:t>
            </w:r>
            <w:r w:rsidRPr="00EB0717">
              <w:rPr>
                <w:rFonts w:ascii="Times New Roman" w:hAnsi="Times New Roman" w:cs="Times New Roman"/>
                <w:b/>
                <w:sz w:val="20"/>
                <w:szCs w:val="20"/>
              </w:rPr>
              <w:t>/mjesečno/korisnik</w:t>
            </w:r>
          </w:p>
        </w:tc>
      </w:tr>
      <w:tr w:rsidR="002848D3" w:rsidRPr="00EC5C39" w14:paraId="0C17CB9A" w14:textId="77777777" w:rsidTr="00EC3E1E">
        <w:trPr>
          <w:trHeight w:val="590"/>
          <w:jc w:val="center"/>
        </w:trPr>
        <w:tc>
          <w:tcPr>
            <w:tcW w:w="4255" w:type="dxa"/>
            <w:hideMark/>
          </w:tcPr>
          <w:p w14:paraId="0EBDD174" w14:textId="77777777" w:rsidR="002848D3" w:rsidRPr="00EC3E1E" w:rsidRDefault="002848D3" w:rsidP="009F2054">
            <w:pPr>
              <w:jc w:val="both"/>
              <w:rPr>
                <w:rFonts w:ascii="Times New Roman" w:hAnsi="Times New Roman" w:cs="Times New Roman"/>
              </w:rPr>
            </w:pPr>
            <w:r w:rsidRPr="00EC3E1E">
              <w:rPr>
                <w:rFonts w:ascii="Times New Roman" w:hAnsi="Times New Roman" w:cs="Times New Roman"/>
              </w:rPr>
              <w:t>Veleprodajni širokopojasni pristup za uslugu pristupa Internetu na OLT razini</w:t>
            </w:r>
          </w:p>
        </w:tc>
        <w:tc>
          <w:tcPr>
            <w:tcW w:w="1373" w:type="dxa"/>
            <w:vAlign w:val="center"/>
          </w:tcPr>
          <w:p w14:paraId="231911D4" w14:textId="200A76CE" w:rsidR="002848D3" w:rsidRPr="00EC3E1E" w:rsidRDefault="002848D3" w:rsidP="002848D3">
            <w:pPr>
              <w:jc w:val="center"/>
              <w:rPr>
                <w:rFonts w:ascii="Times New Roman" w:hAnsi="Times New Roman" w:cs="Times New Roman"/>
              </w:rPr>
            </w:pPr>
            <w:r w:rsidRPr="00EC3E1E">
              <w:rPr>
                <w:rFonts w:ascii="Times New Roman" w:hAnsi="Times New Roman" w:cs="Times New Roman"/>
              </w:rPr>
              <w:t xml:space="preserve">9,37   </w:t>
            </w:r>
          </w:p>
        </w:tc>
        <w:tc>
          <w:tcPr>
            <w:tcW w:w="1374" w:type="dxa"/>
            <w:vAlign w:val="center"/>
          </w:tcPr>
          <w:p w14:paraId="13CDBED2" w14:textId="1C6F3972" w:rsidR="002848D3" w:rsidRPr="00EC3E1E" w:rsidRDefault="002848D3" w:rsidP="002848D3">
            <w:pPr>
              <w:jc w:val="center"/>
              <w:rPr>
                <w:rFonts w:ascii="Times New Roman" w:hAnsi="Times New Roman" w:cs="Times New Roman"/>
              </w:rPr>
            </w:pPr>
            <w:r w:rsidRPr="00EC3E1E">
              <w:rPr>
                <w:rFonts w:ascii="Times New Roman" w:hAnsi="Times New Roman" w:cs="Times New Roman"/>
              </w:rPr>
              <w:t xml:space="preserve">9,06   </w:t>
            </w:r>
          </w:p>
        </w:tc>
        <w:tc>
          <w:tcPr>
            <w:tcW w:w="1373" w:type="dxa"/>
            <w:vAlign w:val="center"/>
          </w:tcPr>
          <w:p w14:paraId="571E38BB" w14:textId="4C591D42" w:rsidR="002848D3" w:rsidRPr="00EC3E1E" w:rsidRDefault="002848D3" w:rsidP="002848D3">
            <w:pPr>
              <w:jc w:val="center"/>
              <w:rPr>
                <w:rFonts w:ascii="Times New Roman" w:hAnsi="Times New Roman" w:cs="Times New Roman"/>
              </w:rPr>
            </w:pPr>
            <w:r w:rsidRPr="00EC3E1E">
              <w:rPr>
                <w:rFonts w:ascii="Times New Roman" w:hAnsi="Times New Roman" w:cs="Times New Roman"/>
              </w:rPr>
              <w:t xml:space="preserve">8,75   </w:t>
            </w:r>
          </w:p>
        </w:tc>
        <w:tc>
          <w:tcPr>
            <w:tcW w:w="1512" w:type="dxa"/>
            <w:vAlign w:val="center"/>
          </w:tcPr>
          <w:p w14:paraId="3D7351D9" w14:textId="49A24CA5" w:rsidR="002848D3" w:rsidRPr="00EC3E1E" w:rsidRDefault="002848D3" w:rsidP="002848D3">
            <w:pPr>
              <w:jc w:val="center"/>
              <w:rPr>
                <w:rFonts w:ascii="Times New Roman" w:hAnsi="Times New Roman" w:cs="Times New Roman"/>
              </w:rPr>
            </w:pPr>
            <w:r w:rsidRPr="00EC3E1E">
              <w:rPr>
                <w:rFonts w:ascii="Times New Roman" w:hAnsi="Times New Roman" w:cs="Times New Roman"/>
              </w:rPr>
              <w:t xml:space="preserve">8,44   </w:t>
            </w:r>
          </w:p>
        </w:tc>
      </w:tr>
      <w:tr w:rsidR="004E3197" w:rsidRPr="00EC5C39" w14:paraId="2D951069" w14:textId="77777777" w:rsidTr="004E3197">
        <w:trPr>
          <w:trHeight w:val="590"/>
          <w:jc w:val="center"/>
        </w:trPr>
        <w:tc>
          <w:tcPr>
            <w:tcW w:w="4255" w:type="dxa"/>
            <w:vAlign w:val="center"/>
          </w:tcPr>
          <w:p w14:paraId="72979EF8" w14:textId="23FD77E0" w:rsidR="004E3197" w:rsidRPr="004E3197" w:rsidRDefault="004E3197" w:rsidP="004E3197">
            <w:pPr>
              <w:jc w:val="both"/>
              <w:rPr>
                <w:rFonts w:ascii="Times New Roman" w:hAnsi="Times New Roman" w:cs="Times New Roman"/>
              </w:rPr>
            </w:pPr>
            <w:r w:rsidRPr="004E3197">
              <w:rPr>
                <w:rFonts w:ascii="Times New Roman" w:hAnsi="Times New Roman" w:cs="Times New Roman"/>
              </w:rPr>
              <w:t>Najam G.Fast uređaja</w:t>
            </w:r>
          </w:p>
        </w:tc>
        <w:tc>
          <w:tcPr>
            <w:tcW w:w="5632" w:type="dxa"/>
            <w:gridSpan w:val="4"/>
            <w:vAlign w:val="center"/>
          </w:tcPr>
          <w:p w14:paraId="1E408E05" w14:textId="5B81F76A" w:rsidR="004E3197" w:rsidRPr="004E3197" w:rsidRDefault="004E3197" w:rsidP="004E3197">
            <w:pPr>
              <w:jc w:val="center"/>
              <w:rPr>
                <w:rFonts w:ascii="Times New Roman" w:hAnsi="Times New Roman" w:cs="Times New Roman"/>
              </w:rPr>
            </w:pPr>
            <w:r w:rsidRPr="004E3197">
              <w:rPr>
                <w:rFonts w:ascii="Times New Roman" w:hAnsi="Times New Roman" w:cs="Times New Roman"/>
              </w:rPr>
              <w:t>0,19 EUR/mjesečno</w:t>
            </w:r>
          </w:p>
        </w:tc>
      </w:tr>
    </w:tbl>
    <w:p w14:paraId="4D27D7CF" w14:textId="4A54AC7E" w:rsidR="00CC3566" w:rsidRDefault="00CC3566" w:rsidP="00A33ECA">
      <w:pPr>
        <w:ind w:left="84" w:firstLine="708"/>
        <w:contextualSpacing/>
        <w:jc w:val="both"/>
      </w:pPr>
    </w:p>
    <w:p w14:paraId="3E446E7B" w14:textId="5B03D2D8" w:rsidR="002848D3" w:rsidRDefault="002848D3" w:rsidP="002848D3">
      <w:pPr>
        <w:pStyle w:val="ListParagraph"/>
        <w:numPr>
          <w:ilvl w:val="1"/>
          <w:numId w:val="1"/>
        </w:numPr>
        <w:jc w:val="both"/>
      </w:pPr>
      <w:r w:rsidRPr="00865EB8">
        <w:t>Određuj</w:t>
      </w:r>
      <w:r>
        <w:t>e</w:t>
      </w:r>
      <w:r w:rsidRPr="00865EB8">
        <w:t xml:space="preserve"> se mjesečn</w:t>
      </w:r>
      <w:r>
        <w:t>a</w:t>
      </w:r>
      <w:r w:rsidRPr="00865EB8">
        <w:t xml:space="preserve"> naknad</w:t>
      </w:r>
      <w:r>
        <w:t>a</w:t>
      </w:r>
      <w:r w:rsidRPr="00865EB8">
        <w:t xml:space="preserve"> za </w:t>
      </w:r>
      <w:r>
        <w:t>uslugu veleprodajnog širokopojasnog</w:t>
      </w:r>
      <w:r w:rsidRPr="0075671F">
        <w:t xml:space="preserve"> pristup</w:t>
      </w:r>
      <w:r>
        <w:t>a</w:t>
      </w:r>
      <w:r w:rsidRPr="0075671F">
        <w:t xml:space="preserve"> Internetu na OLT razini</w:t>
      </w:r>
      <w:r>
        <w:t xml:space="preserve"> koje se pružaju putem FTTDP mreže </w:t>
      </w:r>
      <w:r w:rsidRPr="00865EB8">
        <w:t xml:space="preserve">na način </w:t>
      </w:r>
      <w:r>
        <w:t>prikazan u tablici:</w:t>
      </w:r>
    </w:p>
    <w:p w14:paraId="3CBC878E" w14:textId="77777777" w:rsidR="004E3197" w:rsidRDefault="004E3197" w:rsidP="004E3197">
      <w:pPr>
        <w:pStyle w:val="ListParagraph"/>
        <w:ind w:left="792"/>
        <w:jc w:val="both"/>
      </w:pPr>
    </w:p>
    <w:tbl>
      <w:tblPr>
        <w:tblStyle w:val="TableGrid31"/>
        <w:tblW w:w="9904" w:type="dxa"/>
        <w:jc w:val="center"/>
        <w:tblLayout w:type="fixed"/>
        <w:tblLook w:val="04A0" w:firstRow="1" w:lastRow="0" w:firstColumn="1" w:lastColumn="0" w:noHBand="0" w:noVBand="1"/>
      </w:tblPr>
      <w:tblGrid>
        <w:gridCol w:w="4262"/>
        <w:gridCol w:w="1375"/>
        <w:gridCol w:w="1376"/>
        <w:gridCol w:w="1375"/>
        <w:gridCol w:w="1516"/>
      </w:tblGrid>
      <w:tr w:rsidR="002848D3" w:rsidRPr="00EB0717" w14:paraId="6A779EDA" w14:textId="77777777" w:rsidTr="00EC3E1E">
        <w:trPr>
          <w:trHeight w:val="25"/>
          <w:jc w:val="center"/>
        </w:trPr>
        <w:tc>
          <w:tcPr>
            <w:tcW w:w="4262" w:type="dxa"/>
            <w:vMerge w:val="restart"/>
            <w:tcBorders>
              <w:top w:val="single" w:sz="4" w:space="0" w:color="FFFFFF" w:themeColor="background1"/>
              <w:left w:val="single" w:sz="4" w:space="0" w:color="FFFFFF" w:themeColor="background1"/>
              <w:right w:val="single" w:sz="4" w:space="0" w:color="auto"/>
            </w:tcBorders>
            <w:shd w:val="clear" w:color="548DD4" w:themeColor="text2" w:themeTint="99" w:fill="0C2749"/>
            <w:vAlign w:val="center"/>
          </w:tcPr>
          <w:p w14:paraId="624F4796" w14:textId="77777777" w:rsidR="002848D3" w:rsidRPr="00EB0717" w:rsidRDefault="002848D3" w:rsidP="009F2054">
            <w:pPr>
              <w:jc w:val="center"/>
              <w:rPr>
                <w:rFonts w:ascii="Times New Roman" w:hAnsi="Times New Roman" w:cs="Times New Roman"/>
                <w:b/>
                <w:color w:val="FFFFFF" w:themeColor="background1"/>
                <w:sz w:val="20"/>
                <w:szCs w:val="20"/>
              </w:rPr>
            </w:pPr>
            <w:r w:rsidRPr="00EB0717">
              <w:rPr>
                <w:rFonts w:ascii="Times New Roman" w:hAnsi="Times New Roman" w:cs="Times New Roman"/>
                <w:b/>
                <w:color w:val="FFFFFF" w:themeColor="background1"/>
                <w:sz w:val="20"/>
                <w:szCs w:val="20"/>
              </w:rPr>
              <w:t>U</w:t>
            </w:r>
            <w:r>
              <w:rPr>
                <w:rFonts w:ascii="Times New Roman" w:hAnsi="Times New Roman" w:cs="Times New Roman"/>
                <w:b/>
                <w:color w:val="FFFFFF" w:themeColor="background1"/>
                <w:sz w:val="20"/>
                <w:szCs w:val="20"/>
              </w:rPr>
              <w:t>sluga</w:t>
            </w:r>
          </w:p>
        </w:tc>
        <w:tc>
          <w:tcPr>
            <w:tcW w:w="5642" w:type="dxa"/>
            <w:gridSpan w:val="4"/>
            <w:shd w:val="clear" w:color="auto" w:fill="0C2749"/>
          </w:tcPr>
          <w:p w14:paraId="167A3CB5" w14:textId="77777777" w:rsidR="002848D3" w:rsidRPr="00EB0717" w:rsidRDefault="002848D3" w:rsidP="009F2054">
            <w:pPr>
              <w:jc w:val="center"/>
              <w:rPr>
                <w:rFonts w:ascii="Times New Roman" w:hAnsi="Times New Roman" w:cs="Times New Roman"/>
                <w:b/>
                <w:sz w:val="20"/>
                <w:szCs w:val="20"/>
              </w:rPr>
            </w:pPr>
            <w:r w:rsidRPr="00EB0717">
              <w:rPr>
                <w:rFonts w:ascii="Times New Roman" w:hAnsi="Times New Roman" w:cs="Times New Roman"/>
                <w:b/>
                <w:color w:val="FFFFFF" w:themeColor="background1"/>
                <w:sz w:val="20"/>
                <w:szCs w:val="20"/>
              </w:rPr>
              <w:t>Nepromjenjivi dio</w:t>
            </w:r>
            <w:r w:rsidRPr="00EB0717">
              <w:rPr>
                <w:rFonts w:ascii="Times New Roman" w:hAnsi="Times New Roman" w:cs="Times New Roman"/>
                <w:b/>
                <w:color w:val="FFFFFF" w:themeColor="background1"/>
                <w:sz w:val="20"/>
                <w:szCs w:val="20"/>
                <w:vertAlign w:val="superscript"/>
              </w:rPr>
              <w:footnoteReference w:customMarkFollows="1" w:id="5"/>
              <w:sym w:font="Symbol" w:char="F02A"/>
            </w:r>
          </w:p>
        </w:tc>
      </w:tr>
      <w:tr w:rsidR="002848D3" w:rsidRPr="00EB0717" w14:paraId="1920C43D" w14:textId="77777777" w:rsidTr="00EC3E1E">
        <w:trPr>
          <w:trHeight w:val="49"/>
          <w:jc w:val="center"/>
        </w:trPr>
        <w:tc>
          <w:tcPr>
            <w:tcW w:w="4262" w:type="dxa"/>
            <w:vMerge/>
            <w:tcBorders>
              <w:left w:val="single" w:sz="4" w:space="0" w:color="FFFFFF" w:themeColor="background1"/>
              <w:right w:val="single" w:sz="4" w:space="0" w:color="auto"/>
            </w:tcBorders>
            <w:shd w:val="clear" w:color="548DD4" w:themeColor="text2" w:themeTint="99" w:fill="0C2749"/>
            <w:vAlign w:val="center"/>
            <w:hideMark/>
          </w:tcPr>
          <w:p w14:paraId="0A160CC1" w14:textId="77777777" w:rsidR="002848D3" w:rsidRPr="00EB0717" w:rsidRDefault="002848D3" w:rsidP="009F2054">
            <w:pPr>
              <w:jc w:val="center"/>
              <w:rPr>
                <w:rFonts w:ascii="Times New Roman" w:hAnsi="Times New Roman" w:cs="Times New Roman"/>
                <w:sz w:val="20"/>
                <w:szCs w:val="20"/>
              </w:rPr>
            </w:pPr>
          </w:p>
        </w:tc>
        <w:tc>
          <w:tcPr>
            <w:tcW w:w="1375" w:type="dxa"/>
            <w:shd w:val="clear" w:color="auto" w:fill="0C2749"/>
            <w:vAlign w:val="center"/>
            <w:hideMark/>
          </w:tcPr>
          <w:p w14:paraId="0AF40FC0" w14:textId="77777777" w:rsidR="002848D3" w:rsidRPr="00EB0717" w:rsidRDefault="002848D3" w:rsidP="009F2054">
            <w:pPr>
              <w:jc w:val="center"/>
              <w:rPr>
                <w:rFonts w:ascii="Times New Roman" w:hAnsi="Times New Roman" w:cs="Times New Roman"/>
                <w:b/>
                <w:sz w:val="20"/>
                <w:szCs w:val="20"/>
              </w:rPr>
            </w:pPr>
            <w:r w:rsidRPr="00EB0717">
              <w:rPr>
                <w:rFonts w:ascii="Times New Roman" w:hAnsi="Times New Roman" w:cs="Times New Roman"/>
                <w:b/>
                <w:sz w:val="20"/>
                <w:szCs w:val="20"/>
              </w:rPr>
              <w:t>Pojedinačni pristup</w:t>
            </w:r>
          </w:p>
        </w:tc>
        <w:tc>
          <w:tcPr>
            <w:tcW w:w="1376" w:type="dxa"/>
            <w:shd w:val="clear" w:color="auto" w:fill="0C2749"/>
            <w:vAlign w:val="center"/>
            <w:hideMark/>
          </w:tcPr>
          <w:p w14:paraId="500CDEBD" w14:textId="77777777" w:rsidR="002848D3" w:rsidRPr="00EB0717" w:rsidRDefault="002848D3" w:rsidP="009F2054">
            <w:pPr>
              <w:jc w:val="center"/>
              <w:rPr>
                <w:rFonts w:ascii="Times New Roman" w:hAnsi="Times New Roman" w:cs="Times New Roman"/>
                <w:b/>
                <w:sz w:val="20"/>
                <w:szCs w:val="20"/>
              </w:rPr>
            </w:pPr>
            <w:r w:rsidRPr="00EB0717">
              <w:rPr>
                <w:rFonts w:ascii="Times New Roman" w:hAnsi="Times New Roman" w:cs="Times New Roman"/>
                <w:b/>
                <w:sz w:val="20"/>
                <w:szCs w:val="20"/>
              </w:rPr>
              <w:t>OLT blok od 1% pristupa</w:t>
            </w:r>
          </w:p>
        </w:tc>
        <w:tc>
          <w:tcPr>
            <w:tcW w:w="1375" w:type="dxa"/>
            <w:shd w:val="clear" w:color="auto" w:fill="0C2749"/>
            <w:vAlign w:val="center"/>
            <w:hideMark/>
          </w:tcPr>
          <w:p w14:paraId="18C9D606" w14:textId="77777777" w:rsidR="002848D3" w:rsidRPr="00EB0717" w:rsidRDefault="002848D3" w:rsidP="009F2054">
            <w:pPr>
              <w:jc w:val="center"/>
              <w:rPr>
                <w:rFonts w:ascii="Times New Roman" w:hAnsi="Times New Roman" w:cs="Times New Roman"/>
                <w:b/>
                <w:sz w:val="20"/>
                <w:szCs w:val="20"/>
              </w:rPr>
            </w:pPr>
            <w:r w:rsidRPr="00EB0717">
              <w:rPr>
                <w:rFonts w:ascii="Times New Roman" w:hAnsi="Times New Roman" w:cs="Times New Roman"/>
                <w:b/>
                <w:sz w:val="20"/>
                <w:szCs w:val="20"/>
              </w:rPr>
              <w:t>OLT blok od 2% pristupa</w:t>
            </w:r>
          </w:p>
        </w:tc>
        <w:tc>
          <w:tcPr>
            <w:tcW w:w="1516" w:type="dxa"/>
            <w:shd w:val="clear" w:color="auto" w:fill="0C2749"/>
            <w:vAlign w:val="center"/>
            <w:hideMark/>
          </w:tcPr>
          <w:p w14:paraId="12246419" w14:textId="77777777" w:rsidR="002848D3" w:rsidRPr="00EB0717" w:rsidRDefault="002848D3" w:rsidP="009F2054">
            <w:pPr>
              <w:jc w:val="center"/>
              <w:rPr>
                <w:rFonts w:ascii="Times New Roman" w:hAnsi="Times New Roman" w:cs="Times New Roman"/>
                <w:b/>
                <w:sz w:val="20"/>
                <w:szCs w:val="20"/>
              </w:rPr>
            </w:pPr>
            <w:r w:rsidRPr="00EB0717">
              <w:rPr>
                <w:rFonts w:ascii="Times New Roman" w:hAnsi="Times New Roman" w:cs="Times New Roman"/>
                <w:b/>
                <w:sz w:val="20"/>
                <w:szCs w:val="20"/>
              </w:rPr>
              <w:t>OLT blok od 3% pristupa</w:t>
            </w:r>
          </w:p>
        </w:tc>
      </w:tr>
      <w:tr w:rsidR="002848D3" w:rsidRPr="00EB0717" w14:paraId="64901E1B" w14:textId="77777777" w:rsidTr="00EC3E1E">
        <w:trPr>
          <w:trHeight w:val="25"/>
          <w:jc w:val="center"/>
        </w:trPr>
        <w:tc>
          <w:tcPr>
            <w:tcW w:w="4262" w:type="dxa"/>
            <w:vMerge/>
            <w:tcBorders>
              <w:left w:val="single" w:sz="4" w:space="0" w:color="FFFFFF" w:themeColor="background1"/>
              <w:bottom w:val="single" w:sz="4" w:space="0" w:color="FFFFFF" w:themeColor="background1"/>
              <w:right w:val="single" w:sz="4" w:space="0" w:color="auto"/>
            </w:tcBorders>
            <w:shd w:val="clear" w:color="548DD4" w:themeColor="text2" w:themeTint="99" w:fill="0C2749"/>
            <w:vAlign w:val="center"/>
          </w:tcPr>
          <w:p w14:paraId="191511A2" w14:textId="77777777" w:rsidR="002848D3" w:rsidRPr="00EB0717" w:rsidRDefault="002848D3" w:rsidP="009F2054">
            <w:pPr>
              <w:jc w:val="center"/>
              <w:rPr>
                <w:rFonts w:ascii="Times New Roman" w:hAnsi="Times New Roman" w:cs="Times New Roman"/>
                <w:b/>
                <w:color w:val="FFFFFF" w:themeColor="background1"/>
                <w:sz w:val="20"/>
                <w:szCs w:val="20"/>
              </w:rPr>
            </w:pPr>
          </w:p>
        </w:tc>
        <w:tc>
          <w:tcPr>
            <w:tcW w:w="5642" w:type="dxa"/>
            <w:gridSpan w:val="4"/>
            <w:shd w:val="clear" w:color="auto" w:fill="0C2749"/>
            <w:vAlign w:val="center"/>
          </w:tcPr>
          <w:p w14:paraId="5852338A" w14:textId="77777777" w:rsidR="002848D3" w:rsidRPr="00EB0717" w:rsidRDefault="002848D3" w:rsidP="009F2054">
            <w:pPr>
              <w:jc w:val="center"/>
              <w:rPr>
                <w:rFonts w:ascii="Times New Roman" w:hAnsi="Times New Roman" w:cs="Times New Roman"/>
                <w:b/>
                <w:sz w:val="20"/>
                <w:szCs w:val="20"/>
              </w:rPr>
            </w:pPr>
            <w:r>
              <w:rPr>
                <w:rFonts w:ascii="Times New Roman" w:hAnsi="Times New Roman" w:cs="Times New Roman"/>
                <w:b/>
                <w:sz w:val="20"/>
                <w:szCs w:val="20"/>
              </w:rPr>
              <w:t>EUR</w:t>
            </w:r>
            <w:r w:rsidRPr="00EB0717">
              <w:rPr>
                <w:rFonts w:ascii="Times New Roman" w:hAnsi="Times New Roman" w:cs="Times New Roman"/>
                <w:b/>
                <w:sz w:val="20"/>
                <w:szCs w:val="20"/>
              </w:rPr>
              <w:t>/mjesečno/korisnik</w:t>
            </w:r>
          </w:p>
        </w:tc>
      </w:tr>
      <w:tr w:rsidR="002848D3" w:rsidRPr="00EC5C39" w14:paraId="5BCE4DA2" w14:textId="77777777" w:rsidTr="00EC3E1E">
        <w:trPr>
          <w:trHeight w:val="29"/>
          <w:jc w:val="center"/>
        </w:trPr>
        <w:tc>
          <w:tcPr>
            <w:tcW w:w="4262" w:type="dxa"/>
            <w:hideMark/>
          </w:tcPr>
          <w:p w14:paraId="07DFDE02" w14:textId="77777777" w:rsidR="002848D3" w:rsidRPr="00EC3E1E" w:rsidRDefault="002848D3" w:rsidP="009F2054">
            <w:pPr>
              <w:jc w:val="both"/>
              <w:rPr>
                <w:rFonts w:ascii="Times New Roman" w:hAnsi="Times New Roman" w:cs="Times New Roman"/>
              </w:rPr>
            </w:pPr>
            <w:r w:rsidRPr="00EC3E1E">
              <w:rPr>
                <w:rFonts w:ascii="Times New Roman" w:hAnsi="Times New Roman" w:cs="Times New Roman"/>
              </w:rPr>
              <w:t>Veleprodajni širokopojasni pristup za uslugu pristupa Internetu na OLT razini</w:t>
            </w:r>
          </w:p>
        </w:tc>
        <w:tc>
          <w:tcPr>
            <w:tcW w:w="1375" w:type="dxa"/>
            <w:vAlign w:val="center"/>
          </w:tcPr>
          <w:p w14:paraId="3254B14B" w14:textId="6F563D88" w:rsidR="002848D3" w:rsidRPr="00EC3E1E" w:rsidRDefault="002848D3" w:rsidP="00461F81">
            <w:pPr>
              <w:jc w:val="center"/>
              <w:rPr>
                <w:rFonts w:ascii="Times New Roman" w:hAnsi="Times New Roman" w:cs="Times New Roman"/>
              </w:rPr>
            </w:pPr>
            <w:r w:rsidRPr="00EC3E1E">
              <w:rPr>
                <w:rFonts w:ascii="Times New Roman" w:hAnsi="Times New Roman" w:cs="Times New Roman"/>
              </w:rPr>
              <w:t>9,</w:t>
            </w:r>
            <w:r w:rsidR="00461F81" w:rsidRPr="00EC3E1E">
              <w:rPr>
                <w:rFonts w:ascii="Times New Roman" w:hAnsi="Times New Roman" w:cs="Times New Roman"/>
              </w:rPr>
              <w:t>06</w:t>
            </w:r>
            <w:r w:rsidRPr="00EC3E1E">
              <w:rPr>
                <w:rFonts w:ascii="Times New Roman" w:hAnsi="Times New Roman" w:cs="Times New Roman"/>
              </w:rPr>
              <w:t xml:space="preserve">  </w:t>
            </w:r>
          </w:p>
        </w:tc>
        <w:tc>
          <w:tcPr>
            <w:tcW w:w="1376" w:type="dxa"/>
            <w:vAlign w:val="center"/>
          </w:tcPr>
          <w:p w14:paraId="7622576B" w14:textId="26E8C08C" w:rsidR="002848D3" w:rsidRPr="00EC3E1E" w:rsidRDefault="00461F81" w:rsidP="00461F81">
            <w:pPr>
              <w:jc w:val="center"/>
              <w:rPr>
                <w:rFonts w:ascii="Times New Roman" w:hAnsi="Times New Roman" w:cs="Times New Roman"/>
              </w:rPr>
            </w:pPr>
            <w:r w:rsidRPr="00EC3E1E">
              <w:rPr>
                <w:rFonts w:ascii="Times New Roman" w:hAnsi="Times New Roman" w:cs="Times New Roman"/>
              </w:rPr>
              <w:t>8</w:t>
            </w:r>
            <w:r w:rsidR="002848D3" w:rsidRPr="00EC3E1E">
              <w:rPr>
                <w:rFonts w:ascii="Times New Roman" w:hAnsi="Times New Roman" w:cs="Times New Roman"/>
              </w:rPr>
              <w:t>,</w:t>
            </w:r>
            <w:r w:rsidRPr="00EC3E1E">
              <w:rPr>
                <w:rFonts w:ascii="Times New Roman" w:hAnsi="Times New Roman" w:cs="Times New Roman"/>
              </w:rPr>
              <w:t>80</w:t>
            </w:r>
            <w:r w:rsidR="002848D3" w:rsidRPr="00EC3E1E">
              <w:rPr>
                <w:rFonts w:ascii="Times New Roman" w:hAnsi="Times New Roman" w:cs="Times New Roman"/>
              </w:rPr>
              <w:t xml:space="preserve">   </w:t>
            </w:r>
          </w:p>
        </w:tc>
        <w:tc>
          <w:tcPr>
            <w:tcW w:w="1375" w:type="dxa"/>
            <w:vAlign w:val="center"/>
          </w:tcPr>
          <w:p w14:paraId="1E80A786" w14:textId="1A49782A" w:rsidR="002848D3" w:rsidRPr="00EC3E1E" w:rsidRDefault="002848D3" w:rsidP="00461F81">
            <w:pPr>
              <w:jc w:val="center"/>
              <w:rPr>
                <w:rFonts w:ascii="Times New Roman" w:hAnsi="Times New Roman" w:cs="Times New Roman"/>
              </w:rPr>
            </w:pPr>
            <w:r w:rsidRPr="00EC3E1E">
              <w:rPr>
                <w:rFonts w:ascii="Times New Roman" w:hAnsi="Times New Roman" w:cs="Times New Roman"/>
              </w:rPr>
              <w:t>8,</w:t>
            </w:r>
            <w:r w:rsidR="00461F81" w:rsidRPr="00EC3E1E">
              <w:rPr>
                <w:rFonts w:ascii="Times New Roman" w:hAnsi="Times New Roman" w:cs="Times New Roman"/>
              </w:rPr>
              <w:t>5</w:t>
            </w:r>
            <w:r w:rsidRPr="00EC3E1E">
              <w:rPr>
                <w:rFonts w:ascii="Times New Roman" w:hAnsi="Times New Roman" w:cs="Times New Roman"/>
              </w:rPr>
              <w:t xml:space="preserve">5   </w:t>
            </w:r>
          </w:p>
        </w:tc>
        <w:tc>
          <w:tcPr>
            <w:tcW w:w="1516" w:type="dxa"/>
            <w:vAlign w:val="center"/>
          </w:tcPr>
          <w:p w14:paraId="48A778B3" w14:textId="36AC280E" w:rsidR="002848D3" w:rsidRPr="00EC3E1E" w:rsidRDefault="002848D3" w:rsidP="00461F81">
            <w:pPr>
              <w:jc w:val="center"/>
              <w:rPr>
                <w:rFonts w:ascii="Times New Roman" w:hAnsi="Times New Roman" w:cs="Times New Roman"/>
              </w:rPr>
            </w:pPr>
            <w:r w:rsidRPr="00EC3E1E">
              <w:rPr>
                <w:rFonts w:ascii="Times New Roman" w:hAnsi="Times New Roman" w:cs="Times New Roman"/>
              </w:rPr>
              <w:t>8,</w:t>
            </w:r>
            <w:r w:rsidR="00461F81" w:rsidRPr="00EC3E1E">
              <w:rPr>
                <w:rFonts w:ascii="Times New Roman" w:hAnsi="Times New Roman" w:cs="Times New Roman"/>
              </w:rPr>
              <w:t>29</w:t>
            </w:r>
            <w:r w:rsidRPr="00EC3E1E">
              <w:rPr>
                <w:rFonts w:ascii="Times New Roman" w:hAnsi="Times New Roman" w:cs="Times New Roman"/>
              </w:rPr>
              <w:t xml:space="preserve">   </w:t>
            </w:r>
          </w:p>
        </w:tc>
      </w:tr>
      <w:tr w:rsidR="004E3197" w:rsidRPr="00EC5C39" w14:paraId="0364E145" w14:textId="77777777" w:rsidTr="00EF1DB9">
        <w:trPr>
          <w:trHeight w:val="29"/>
          <w:jc w:val="center"/>
        </w:trPr>
        <w:tc>
          <w:tcPr>
            <w:tcW w:w="4262" w:type="dxa"/>
          </w:tcPr>
          <w:p w14:paraId="39CA02C1" w14:textId="6BC52F7C" w:rsidR="004E3197" w:rsidRPr="004E3197" w:rsidRDefault="004E3197" w:rsidP="004E3197">
            <w:pPr>
              <w:jc w:val="both"/>
              <w:rPr>
                <w:rFonts w:ascii="Times New Roman" w:hAnsi="Times New Roman" w:cs="Times New Roman"/>
              </w:rPr>
            </w:pPr>
            <w:r w:rsidRPr="004E3197">
              <w:rPr>
                <w:rFonts w:ascii="Times New Roman" w:hAnsi="Times New Roman" w:cs="Times New Roman"/>
              </w:rPr>
              <w:t>Najam G.Fast uređaja</w:t>
            </w:r>
          </w:p>
        </w:tc>
        <w:tc>
          <w:tcPr>
            <w:tcW w:w="5642" w:type="dxa"/>
            <w:gridSpan w:val="4"/>
          </w:tcPr>
          <w:p w14:paraId="17E9E78E" w14:textId="2C559F18" w:rsidR="004E3197" w:rsidRPr="004E3197" w:rsidRDefault="004E3197" w:rsidP="004E3197">
            <w:pPr>
              <w:jc w:val="center"/>
              <w:rPr>
                <w:rFonts w:ascii="Times New Roman" w:hAnsi="Times New Roman" w:cs="Times New Roman"/>
              </w:rPr>
            </w:pPr>
            <w:r w:rsidRPr="004E3197">
              <w:rPr>
                <w:rFonts w:ascii="Times New Roman" w:hAnsi="Times New Roman" w:cs="Times New Roman"/>
              </w:rPr>
              <w:t>0,19 EUR/mjesečno</w:t>
            </w:r>
          </w:p>
        </w:tc>
      </w:tr>
    </w:tbl>
    <w:p w14:paraId="2D6A4B18" w14:textId="77777777" w:rsidR="002848D3" w:rsidRDefault="002848D3" w:rsidP="00A33ECA">
      <w:pPr>
        <w:ind w:left="84" w:firstLine="708"/>
        <w:contextualSpacing/>
        <w:jc w:val="both"/>
      </w:pPr>
    </w:p>
    <w:p w14:paraId="724851C8" w14:textId="5C02B979" w:rsidR="000F79E0" w:rsidRDefault="000F79E0" w:rsidP="00461F81">
      <w:pPr>
        <w:pStyle w:val="ListParagraph"/>
        <w:numPr>
          <w:ilvl w:val="0"/>
          <w:numId w:val="1"/>
        </w:numPr>
        <w:jc w:val="both"/>
      </w:pPr>
      <w:r>
        <w:t xml:space="preserve">Mjesečne naknade iz točke </w:t>
      </w:r>
      <w:r>
        <w:fldChar w:fldCharType="begin"/>
      </w:r>
      <w:r>
        <w:instrText xml:space="preserve"> REF _Ref53989237 \r \h  \* MERGEFORMAT </w:instrText>
      </w:r>
      <w:r>
        <w:fldChar w:fldCharType="separate"/>
      </w:r>
      <w:r w:rsidR="004E3197">
        <w:t>I</w:t>
      </w:r>
      <w:r>
        <w:fldChar w:fldCharType="end"/>
      </w:r>
      <w:r w:rsidR="00984483">
        <w:t>.</w:t>
      </w:r>
      <w:r w:rsidRPr="000F79E0">
        <w:t xml:space="preserve"> izreke ove odluke vrijede 3 (tri) godine od datuma početka njihove primjene.</w:t>
      </w:r>
    </w:p>
    <w:p w14:paraId="047B159B" w14:textId="77777777" w:rsidR="00461F81" w:rsidRPr="000F79E0" w:rsidRDefault="00461F81" w:rsidP="00461F81">
      <w:pPr>
        <w:pStyle w:val="ListParagraph"/>
        <w:ind w:left="360"/>
        <w:jc w:val="both"/>
      </w:pPr>
    </w:p>
    <w:p w14:paraId="69119086" w14:textId="559D9CD5" w:rsidR="004D2C9B" w:rsidRDefault="004D2C9B" w:rsidP="00461F81">
      <w:pPr>
        <w:numPr>
          <w:ilvl w:val="0"/>
          <w:numId w:val="1"/>
        </w:numPr>
        <w:jc w:val="both"/>
      </w:pPr>
      <w:r>
        <w:t xml:space="preserve">Trgovačko društvo Hrvatski Telekom d.d. obvezno je </w:t>
      </w:r>
      <w:r w:rsidRPr="000B62F0">
        <w:t xml:space="preserve">najkasnije </w:t>
      </w:r>
      <w:r w:rsidRPr="008D1FA7">
        <w:t xml:space="preserve">15 dana od </w:t>
      </w:r>
      <w:r w:rsidRPr="000B62F0">
        <w:t>donošenja</w:t>
      </w:r>
      <w:r w:rsidRPr="008D1FA7">
        <w:t xml:space="preserve"> ove odluke objaviti na svojim internetskim stranicama izmijenjenu Standardnu ponudu Hrvatskog Telekoma d.d. </w:t>
      </w:r>
      <w:r>
        <w:t xml:space="preserve">za uslugu </w:t>
      </w:r>
      <w:r w:rsidR="006659A1">
        <w:t xml:space="preserve">izdvojenog pristupa lokalnoj petlji </w:t>
      </w:r>
      <w:r w:rsidR="00F17B68">
        <w:t>usklađen</w:t>
      </w:r>
      <w:r w:rsidR="00734753">
        <w:t>u</w:t>
      </w:r>
      <w:r w:rsidR="00F17B68">
        <w:t xml:space="preserve"> s točkom </w:t>
      </w:r>
      <w:r w:rsidR="00F17B68">
        <w:fldChar w:fldCharType="begin"/>
      </w:r>
      <w:r w:rsidR="00F17B68">
        <w:instrText xml:space="preserve"> REF _Ref53988858 \r \h </w:instrText>
      </w:r>
      <w:r w:rsidR="000F79E0">
        <w:instrText xml:space="preserve"> \* MERGEFORMAT </w:instrText>
      </w:r>
      <w:r w:rsidR="00F17B68">
        <w:fldChar w:fldCharType="separate"/>
      </w:r>
      <w:r w:rsidR="004E3197">
        <w:t>I</w:t>
      </w:r>
      <w:r w:rsidR="00F17B68">
        <w:fldChar w:fldCharType="end"/>
      </w:r>
      <w:r w:rsidR="008D5F63">
        <w:t>.</w:t>
      </w:r>
      <w:r w:rsidR="00F17B68">
        <w:t xml:space="preserve"> </w:t>
      </w:r>
      <w:r w:rsidR="00F17B68" w:rsidRPr="00F17B68">
        <w:t xml:space="preserve">izreke ove odluke, pri čemu se izmjene primjenjuju od </w:t>
      </w:r>
      <w:r w:rsidR="004F2A44">
        <w:t>1. travnja 202</w:t>
      </w:r>
      <w:r w:rsidR="008E1E03">
        <w:t>4</w:t>
      </w:r>
      <w:r w:rsidRPr="000B62F0">
        <w:t>.</w:t>
      </w:r>
    </w:p>
    <w:p w14:paraId="61E25FB6" w14:textId="77777777" w:rsidR="00726B17" w:rsidRPr="000B62F0" w:rsidRDefault="00726B17" w:rsidP="00726B17">
      <w:pPr>
        <w:ind w:left="360"/>
        <w:jc w:val="both"/>
      </w:pPr>
    </w:p>
    <w:p w14:paraId="447EACB2" w14:textId="77777777" w:rsidR="004D2C9B" w:rsidRPr="00A1065C" w:rsidRDefault="004D2C9B" w:rsidP="000F79E0">
      <w:pPr>
        <w:jc w:val="center"/>
        <w:rPr>
          <w:b/>
          <w:i/>
        </w:rPr>
      </w:pPr>
      <w:r w:rsidRPr="00A1065C">
        <w:rPr>
          <w:b/>
          <w:i/>
        </w:rPr>
        <w:t>Obrazloženje</w:t>
      </w:r>
    </w:p>
    <w:p w14:paraId="4AB411DD" w14:textId="77777777" w:rsidR="004A5506" w:rsidRDefault="004A5506" w:rsidP="000F79E0">
      <w:pPr>
        <w:jc w:val="both"/>
      </w:pPr>
    </w:p>
    <w:p w14:paraId="791E2605" w14:textId="5F53319A" w:rsidR="007A381C" w:rsidRDefault="007A381C" w:rsidP="000F79E0">
      <w:pPr>
        <w:jc w:val="both"/>
      </w:pPr>
      <w:r>
        <w:t>Hrvatska regulatorna agencija za mrežne djelatnosti (dalje: HAKOM) je odlukom o analizi tržišta veleprodajnog lokalnog pristupa koji se pruža na fiksnoj lokaciji (dalje: tržište M</w:t>
      </w:r>
      <w:r w:rsidR="00C014A3">
        <w:t>1</w:t>
      </w:r>
      <w:r>
        <w:t xml:space="preserve">) od </w:t>
      </w:r>
      <w:r w:rsidR="00C014A3">
        <w:t>27</w:t>
      </w:r>
      <w:r>
        <w:t xml:space="preserve">. </w:t>
      </w:r>
      <w:r w:rsidR="00C014A3">
        <w:t>sr</w:t>
      </w:r>
      <w:r>
        <w:t>pnja 20</w:t>
      </w:r>
      <w:r w:rsidR="00C014A3">
        <w:t>23</w:t>
      </w:r>
      <w:r>
        <w:t>. (KLASA: UP/I-344-01/</w:t>
      </w:r>
      <w:r w:rsidR="00C014A3">
        <w:t>22</w:t>
      </w:r>
      <w:r>
        <w:t>-03/0</w:t>
      </w:r>
      <w:r w:rsidR="00C014A3">
        <w:t>3</w:t>
      </w:r>
      <w:r>
        <w:t>, URBROJ: 376-05-1-</w:t>
      </w:r>
      <w:r w:rsidR="00C014A3">
        <w:t>23</w:t>
      </w:r>
      <w:r>
        <w:t>-</w:t>
      </w:r>
      <w:r w:rsidR="00C014A3">
        <w:t>26</w:t>
      </w:r>
      <w:r>
        <w:t>; dalje: Analiza tržišta) odredila trgovačkom društvu Hrvatski Telekom d.d. (dalje: HT)</w:t>
      </w:r>
      <w:r w:rsidR="005D3C53">
        <w:t xml:space="preserve"> između ostalog i</w:t>
      </w:r>
      <w:r>
        <w:t xml:space="preserve"> obvezu nadzora cijena</w:t>
      </w:r>
      <w:r w:rsidR="00C014A3">
        <w:t xml:space="preserve"> i vođenja troškovnog računovodstva</w:t>
      </w:r>
      <w:r>
        <w:t xml:space="preserve"> za usluge veleprodajnog lokalnog pristupa</w:t>
      </w:r>
      <w:r w:rsidR="00C014A3">
        <w:t xml:space="preserve"> na tržištu veleprodajnog lokalnog pristupa malog kapaciteta koji se pruža na fiksnoj lokaciji i tržištu v</w:t>
      </w:r>
      <w:r w:rsidR="00446D5D">
        <w:t>e</w:t>
      </w:r>
      <w:r w:rsidR="00C014A3">
        <w:t>leprodajnog lokalnog pristupa velikog kapaciteta koji se pruža na fiksnoj lokaciji – nekonkurentna područja.</w:t>
      </w:r>
    </w:p>
    <w:p w14:paraId="3B96D4A5" w14:textId="7019F1DE" w:rsidR="005B0E43" w:rsidRDefault="005B0E43" w:rsidP="005B0E43">
      <w:pPr>
        <w:jc w:val="both"/>
      </w:pPr>
    </w:p>
    <w:p w14:paraId="2E60C69D" w14:textId="18375F66" w:rsidR="00B42F5E" w:rsidRDefault="00B42F5E" w:rsidP="005B0E43">
      <w:pPr>
        <w:jc w:val="both"/>
      </w:pPr>
      <w:r>
        <w:t>Navedenom analizom tržišta HAKOM je odredio da</w:t>
      </w:r>
      <w:r w:rsidR="009B6CB6">
        <w:t xml:space="preserve"> analizom neće određivati nove cijene nego da trenutno važeće cijene</w:t>
      </w:r>
      <w:r w:rsidR="00755380">
        <w:t xml:space="preserve"> </w:t>
      </w:r>
      <w:r>
        <w:t xml:space="preserve">vrijede do 1. travnja 2024. te </w:t>
      </w:r>
      <w:r w:rsidR="009B6CB6">
        <w:t xml:space="preserve">da </w:t>
      </w:r>
      <w:r>
        <w:t>će o</w:t>
      </w:r>
      <w:r w:rsidRPr="00B42F5E">
        <w:t xml:space="preserve">dređivanje </w:t>
      </w:r>
      <w:r>
        <w:t xml:space="preserve">novih cijena za </w:t>
      </w:r>
      <w:r w:rsidR="008C0E42">
        <w:t>veleprodajne usluge na tržištima</w:t>
      </w:r>
      <w:r>
        <w:t xml:space="preserve"> </w:t>
      </w:r>
      <w:r w:rsidR="008C0E42" w:rsidRPr="008C0E42">
        <w:t>veleprodajnog lokalnog pristupa malog kapaciteta koji se pruž</w:t>
      </w:r>
      <w:r w:rsidR="008C0E42">
        <w:t xml:space="preserve">a na fiksnoj lokaciji i </w:t>
      </w:r>
      <w:r w:rsidR="008C0E42" w:rsidRPr="008C0E42">
        <w:t>veleprodajnog lokalnog pristupa velikog kapaciteta koji se pruža na fiksnoj lokaciji – nekonkurentna područja</w:t>
      </w:r>
      <w:r w:rsidR="008C0E42">
        <w:t>, (dalje: cijene reguliranih veleprodajnih usluga na tržištu M1)</w:t>
      </w:r>
      <w:r>
        <w:t xml:space="preserve"> </w:t>
      </w:r>
      <w:r w:rsidRPr="00B42F5E">
        <w:t>bit</w:t>
      </w:r>
      <w:r>
        <w:t>i</w:t>
      </w:r>
      <w:r w:rsidRPr="00B42F5E">
        <w:t xml:space="preserve"> predmet zasebnog</w:t>
      </w:r>
      <w:r>
        <w:t xml:space="preserve"> </w:t>
      </w:r>
      <w:r w:rsidRPr="00B42F5E">
        <w:t>postupka.</w:t>
      </w:r>
    </w:p>
    <w:p w14:paraId="046FEC83" w14:textId="70ECD8BE" w:rsidR="005B0E43" w:rsidRDefault="005B0E43" w:rsidP="000F79E0">
      <w:pPr>
        <w:jc w:val="both"/>
      </w:pPr>
    </w:p>
    <w:p w14:paraId="4943EE3A" w14:textId="127682CC" w:rsidR="00245B3E" w:rsidRDefault="00245B3E" w:rsidP="000F79E0">
      <w:pPr>
        <w:jc w:val="both"/>
      </w:pPr>
      <w:r>
        <w:t>Dodatno, HAKOM je ovom analizom tržišta uslugu bitstream pristupa na DSLAM/OLT razini uvrstio na tržište M1 iz razloga što se bitstream pristup na OLT/DSLAM razini pruža na lokalnom čvoru pristupne mreže (primjerice LLU usluga se također pruža na lokaciji MDF-a na kojem se nalazi i DSLAM) te je po svojim tehničkim značajkama usluga bitstream pristupa na OLT/DSLAM razini identična usluzi VULA s tržišta veleprodajnog lokalnog pristupa koji se pruža na fiksnoj lokaciji.</w:t>
      </w:r>
    </w:p>
    <w:p w14:paraId="678495C3" w14:textId="77777777" w:rsidR="00245B3E" w:rsidRDefault="00245B3E" w:rsidP="000F79E0">
      <w:pPr>
        <w:jc w:val="both"/>
      </w:pPr>
    </w:p>
    <w:p w14:paraId="3CDE6F76" w14:textId="5C538211" w:rsidR="003F4365" w:rsidRPr="00AC438F" w:rsidRDefault="00A27C06">
      <w:pPr>
        <w:jc w:val="both"/>
      </w:pPr>
      <w:r>
        <w:t>T</w:t>
      </w:r>
      <w:r w:rsidR="009B6CB6">
        <w:t xml:space="preserve">renutno važeće </w:t>
      </w:r>
      <w:r w:rsidR="008C0E42" w:rsidRPr="008C0E42">
        <w:t>cijene reguliranih veleprodajnih usluga na tržištu M1</w:t>
      </w:r>
      <w:r w:rsidR="008C0E42">
        <w:t xml:space="preserve"> </w:t>
      </w:r>
      <w:r>
        <w:t xml:space="preserve">HAKOM je odredio odlukom </w:t>
      </w:r>
      <w:r w:rsidRPr="00A27C06">
        <w:t>KLASA: UP/I-344-01/20-05/04, URBROJ: 376-05-1-21-27</w:t>
      </w:r>
      <w:r w:rsidR="0075671F">
        <w:t xml:space="preserve"> i</w:t>
      </w:r>
      <w:r w:rsidR="0075671F" w:rsidRPr="0075671F">
        <w:t xml:space="preserve"> URBROJ: 376-05-1-21-28</w:t>
      </w:r>
      <w:r w:rsidR="0075671F">
        <w:rPr>
          <w:rStyle w:val="FootnoteReference"/>
        </w:rPr>
        <w:footnoteReference w:id="6"/>
      </w:r>
      <w:r w:rsidR="0075671F" w:rsidRPr="0075671F">
        <w:t xml:space="preserve"> </w:t>
      </w:r>
      <w:r w:rsidRPr="00A27C06">
        <w:t>iz veljače 2021</w:t>
      </w:r>
      <w:r w:rsidR="00984483">
        <w:t>.</w:t>
      </w:r>
      <w:r>
        <w:t xml:space="preserve"> n</w:t>
      </w:r>
      <w:r w:rsidR="001A21EF" w:rsidRPr="00AC438F">
        <w:t>a temelju rezultata BU-LRIC</w:t>
      </w:r>
      <w:r w:rsidR="005B0E43">
        <w:t>+</w:t>
      </w:r>
      <w:r w:rsidR="001A21EF" w:rsidRPr="00AC438F">
        <w:t xml:space="preserve"> troškovnog modela</w:t>
      </w:r>
      <w:r w:rsidR="001A21EF">
        <w:t xml:space="preserve"> </w:t>
      </w:r>
      <w:r w:rsidR="001A21EF" w:rsidRPr="00AC438F">
        <w:t>(dalje: Troškovni model),</w:t>
      </w:r>
      <w:r w:rsidR="005B0E43">
        <w:t xml:space="preserve"> koji je izrađen prema metodološkim načelima koja slijede Preporuku Europske komisije 2013/466/EU a, kako je opisano u </w:t>
      </w:r>
      <w:r w:rsidR="005B0E43" w:rsidRPr="00613FAF">
        <w:t>dokument</w:t>
      </w:r>
      <w:r w:rsidR="00DD3D21">
        <w:t>u</w:t>
      </w:r>
      <w:r w:rsidR="005B0E43" w:rsidRPr="00613FAF">
        <w:t xml:space="preserve"> „</w:t>
      </w:r>
      <w:r w:rsidR="005B0E43" w:rsidRPr="00613FAF">
        <w:rPr>
          <w:i/>
        </w:rPr>
        <w:t>Određivanje cijena veleprodajnih usluga na tržištu veleprodajnog lokalnog pristupa koji se pruža na fiksnoj lokaciji (M3a)</w:t>
      </w:r>
      <w:r w:rsidR="005B0E43" w:rsidRPr="00613FAF">
        <w:t>“</w:t>
      </w:r>
      <w:r w:rsidR="00DD3D21">
        <w:t xml:space="preserve"> </w:t>
      </w:r>
      <w:r>
        <w:t>koji je sastavni dio navedene odluke.</w:t>
      </w:r>
    </w:p>
    <w:p w14:paraId="5C0C2A47" w14:textId="5C6ED79D" w:rsidR="00984483" w:rsidRDefault="00B24673" w:rsidP="00B24673">
      <w:pPr>
        <w:jc w:val="both"/>
      </w:pPr>
      <w:r w:rsidRPr="00B24673">
        <w:t>Od izrade trenutno važećeg troškovnog modela, odnosno donošenja odluke o trenutno važećim cijenama veleprodajnih usluga, dogodile su se brojne promjene ulaznih parametara u Troškovn</w:t>
      </w:r>
      <w:r w:rsidR="00156378">
        <w:t>om</w:t>
      </w:r>
      <w:r w:rsidRPr="00B24673">
        <w:t xml:space="preserve"> model</w:t>
      </w:r>
      <w:r w:rsidR="00156378">
        <w:t>u</w:t>
      </w:r>
      <w:r w:rsidRPr="00B24673">
        <w:t xml:space="preserve"> u odnosu na pretpostavljene, a koji imaju značajan utjecaj na troškove reguliranih veleprodajnih usluga. Stoga je HAKOM smatrao da je iste potrebno ažurirati te je pokrenuo projekt ažuriranja ulaznih vrijednosti parametara u Troškovnom modelu,</w:t>
      </w:r>
      <w:r w:rsidRPr="00B24673" w:rsidDel="00AF7935">
        <w:t xml:space="preserve"> </w:t>
      </w:r>
      <w:r w:rsidRPr="00B24673">
        <w:t>a kako bi, uzevši u obzir relevantne troškove i ostale ulazne parametre, mogao odrediti cijene reguliranih veleprodajnih usluga za buduća razdoblja.</w:t>
      </w:r>
    </w:p>
    <w:p w14:paraId="6E1CE92B" w14:textId="22BAF748" w:rsidR="00FA0B2E" w:rsidRDefault="00FA0B2E" w:rsidP="00FA0B2E">
      <w:pPr>
        <w:jc w:val="both"/>
      </w:pPr>
    </w:p>
    <w:p w14:paraId="59C489F0" w14:textId="79AD4704" w:rsidR="00F523CC" w:rsidRDefault="00F523CC" w:rsidP="00F523CC">
      <w:pPr>
        <w:jc w:val="both"/>
      </w:pPr>
      <w:r>
        <w:t>U</w:t>
      </w:r>
      <w:r w:rsidRPr="00FA0B2E">
        <w:t xml:space="preserve"> </w:t>
      </w:r>
      <w:r>
        <w:t>T</w:t>
      </w:r>
      <w:r w:rsidRPr="00FA0B2E">
        <w:t>roškovno</w:t>
      </w:r>
      <w:r>
        <w:t>m</w:t>
      </w:r>
      <w:r w:rsidRPr="00FA0B2E">
        <w:t xml:space="preserve"> model</w:t>
      </w:r>
      <w:r>
        <w:t>u ažurirani su</w:t>
      </w:r>
      <w:r w:rsidRPr="00FA0B2E">
        <w:t xml:space="preserve"> </w:t>
      </w:r>
      <w:r>
        <w:t>sljedeći</w:t>
      </w:r>
      <w:r w:rsidRPr="00FA0B2E">
        <w:t xml:space="preserve"> ulazni parametri</w:t>
      </w:r>
      <w:r>
        <w:t>:</w:t>
      </w:r>
      <w:r w:rsidRPr="00FA0B2E">
        <w:t xml:space="preserve"> </w:t>
      </w:r>
      <w:r w:rsidRPr="00E92038">
        <w:t>potražnja, distribucija potražnje, pokrivanje, jedinični troškovi mrežnih resursa, ne-mrežni opći troškovi, potpuno amortizirana imovina, ostali</w:t>
      </w:r>
      <w:r w:rsidRPr="00353797">
        <w:t xml:space="preserve"> </w:t>
      </w:r>
      <w:r>
        <w:t>ulazni</w:t>
      </w:r>
      <w:r w:rsidRPr="00E92038">
        <w:t xml:space="preserve"> parametri</w:t>
      </w:r>
      <w:r>
        <w:t xml:space="preserve"> za dimenzioniranje mreže</w:t>
      </w:r>
      <w:r w:rsidRPr="00353797">
        <w:t xml:space="preserve"> </w:t>
      </w:r>
      <w:r>
        <w:t xml:space="preserve">te </w:t>
      </w:r>
      <w:r w:rsidRPr="00FA0B2E">
        <w:t>vrijednost WACC-a</w:t>
      </w:r>
      <w:r w:rsidRPr="00353797">
        <w:t>.</w:t>
      </w:r>
      <w:r>
        <w:t xml:space="preserve"> Vrijednost WACC-a </w:t>
      </w:r>
      <w:r w:rsidRPr="00FA0B2E">
        <w:t xml:space="preserve">se, temeljem Obavijesti o izračunu troška kapitala za postojeću infrastrukturu koju je Europska komisija donijela u studenom 2019., ažurira godišnje i </w:t>
      </w:r>
      <w:r w:rsidR="00E56F04" w:rsidRPr="00FA0B2E">
        <w:t>primjenjuje</w:t>
      </w:r>
      <w:r w:rsidRPr="00FA0B2E">
        <w:t xml:space="preserve"> u postupku donošenja svih relevantnih odluka u koje je potrebno implementirati WACC, na način da će se ažurirani WACC koristiti u svim novim ili izmijenjenim odlukama o cijenama. </w:t>
      </w:r>
      <w:r>
        <w:t>Sve ostale pretpostavke i algoritmi u Troškovnom modelu ostali su nepromijenjeni.</w:t>
      </w:r>
    </w:p>
    <w:p w14:paraId="3E8A73FB" w14:textId="2CBCFC76" w:rsidR="00F523CC" w:rsidRDefault="00F523CC" w:rsidP="00FA0B2E">
      <w:pPr>
        <w:jc w:val="both"/>
      </w:pPr>
    </w:p>
    <w:p w14:paraId="3C7B40B1" w14:textId="692E07BE" w:rsidR="00FA0B2E" w:rsidRDefault="00FA0B2E" w:rsidP="00FA0B2E">
      <w:pPr>
        <w:jc w:val="both"/>
      </w:pPr>
      <w:r w:rsidRPr="00FA0B2E">
        <w:t>Tijek projekta</w:t>
      </w:r>
      <w:r>
        <w:t xml:space="preserve"> ažuriranja Troškovnog modela</w:t>
      </w:r>
      <w:r w:rsidRPr="00FA0B2E">
        <w:t>, osnovne značajke i metodološka načela za ažuriranje troškovnog modela</w:t>
      </w:r>
      <w:r>
        <w:t xml:space="preserve"> te </w:t>
      </w:r>
      <w:r w:rsidRPr="00FA0B2E">
        <w:t xml:space="preserve">rezultati troškovnog modela </w:t>
      </w:r>
      <w:r>
        <w:t>na temelju kojih</w:t>
      </w:r>
      <w:r w:rsidRPr="00FA0B2E">
        <w:t xml:space="preserve"> su određene cijene reguliranih veleprodajnih usluga na tržištu M1 opisani su u dokumentu „</w:t>
      </w:r>
      <w:r w:rsidRPr="00FA0B2E">
        <w:rPr>
          <w:i/>
        </w:rPr>
        <w:t>Izvještaj o ažuriranju BU LRIC+ modela</w:t>
      </w:r>
      <w:r w:rsidRPr="00FA0B2E">
        <w:t>“, koji</w:t>
      </w:r>
      <w:r w:rsidR="00445383">
        <w:t xml:space="preserve"> se nalazi u Privitku </w:t>
      </w:r>
      <w:r w:rsidR="00445383" w:rsidRPr="00E46299">
        <w:t>1</w:t>
      </w:r>
      <w:r w:rsidR="00445383">
        <w:t xml:space="preserve"> kao</w:t>
      </w:r>
      <w:r w:rsidRPr="00FA0B2E">
        <w:t xml:space="preserve"> sastavni dio ove odluke. </w:t>
      </w:r>
    </w:p>
    <w:p w14:paraId="004A93F5" w14:textId="14B68996" w:rsidR="001971E6" w:rsidRPr="001971E6" w:rsidRDefault="001971E6" w:rsidP="001971E6">
      <w:pPr>
        <w:jc w:val="both"/>
      </w:pPr>
      <w:r w:rsidRPr="001971E6">
        <w:t>Osim razmatranja promjena ulaznih parametara u Troškovn</w:t>
      </w:r>
      <w:r w:rsidR="00156378">
        <w:t>om</w:t>
      </w:r>
      <w:r w:rsidRPr="001971E6">
        <w:t xml:space="preserve"> model</w:t>
      </w:r>
      <w:r w:rsidR="00156378">
        <w:t>u</w:t>
      </w:r>
      <w:r w:rsidRPr="001971E6">
        <w:t xml:space="preserve">, zbog kojih je HAKOM smatrao potrebnim ažurirati Troškovni model, HAKOM je razmatrao i utjecaj trenutno važećih cijena reguliranih veleprodajnih usluga na tržište širokopojasnog pristupa internetu. </w:t>
      </w:r>
    </w:p>
    <w:p w14:paraId="481AC950" w14:textId="77777777" w:rsidR="001971E6" w:rsidRPr="001971E6" w:rsidRDefault="001971E6" w:rsidP="001971E6">
      <w:pPr>
        <w:jc w:val="both"/>
      </w:pPr>
    </w:p>
    <w:p w14:paraId="3870050D" w14:textId="79009C13" w:rsidR="001971E6" w:rsidRPr="00FA0B2E" w:rsidRDefault="001971E6" w:rsidP="00FA0B2E">
      <w:pPr>
        <w:jc w:val="both"/>
      </w:pPr>
      <w:r w:rsidRPr="001971E6">
        <w:t>U razdoblju od kada je usvojena odluka o trenutno važećim cijenama veleprodajnih usluga iz točke I. ove odluke, bilježi se kontinuirani blagi porast ukupnog broja priključaka</w:t>
      </w:r>
      <w:r w:rsidRPr="001971E6">
        <w:rPr>
          <w:vertAlign w:val="superscript"/>
        </w:rPr>
        <w:footnoteReference w:id="7"/>
      </w:r>
      <w:r w:rsidRPr="001971E6">
        <w:t xml:space="preserve"> usluge širokopojasnog pristupa internetu na maloprodajnoj razini. Pri tome je tržišni udio HT grupe u blagom padu</w:t>
      </w:r>
      <w:r>
        <w:t xml:space="preserve"> (</w:t>
      </w:r>
      <w:r>
        <w:fldChar w:fldCharType="begin"/>
      </w:r>
      <w:r>
        <w:instrText xml:space="preserve"> REF _Ref151038946 \h </w:instrText>
      </w:r>
      <w:r>
        <w:fldChar w:fldCharType="separate"/>
      </w:r>
      <w:r w:rsidR="004E3197">
        <w:t xml:space="preserve">Slika </w:t>
      </w:r>
      <w:r w:rsidR="004E3197">
        <w:rPr>
          <w:noProof/>
        </w:rPr>
        <w:t>1</w:t>
      </w:r>
      <w:r>
        <w:fldChar w:fldCharType="end"/>
      </w:r>
      <w:r>
        <w:t>).</w:t>
      </w:r>
    </w:p>
    <w:p w14:paraId="5330E3D3" w14:textId="77777777" w:rsidR="001971E6" w:rsidRDefault="001971E6" w:rsidP="001971E6">
      <w:pPr>
        <w:jc w:val="center"/>
      </w:pPr>
    </w:p>
    <w:p w14:paraId="15A104EC" w14:textId="2E3AA66A" w:rsidR="001971E6" w:rsidRDefault="001971E6" w:rsidP="00E46299">
      <w:pPr>
        <w:pStyle w:val="Caption"/>
        <w:keepNext/>
      </w:pPr>
      <w:bookmarkStart w:id="3" w:name="_Ref151038946"/>
      <w:r>
        <w:t xml:space="preserve">Slika </w:t>
      </w:r>
      <w:fldSimple w:instr=" SEQ Slika \* ARABIC ">
        <w:r w:rsidR="004E3197">
          <w:rPr>
            <w:noProof/>
          </w:rPr>
          <w:t>1</w:t>
        </w:r>
      </w:fldSimple>
      <w:bookmarkEnd w:id="3"/>
      <w:r>
        <w:t>-</w:t>
      </w:r>
      <w:r w:rsidRPr="008577C0">
        <w:t>Kretanje broja priključaka usluge širokopojasnog pristupa internetu</w:t>
      </w:r>
      <w:r>
        <w:t xml:space="preserve"> (Izvor: HAKOM)</w:t>
      </w:r>
    </w:p>
    <w:p w14:paraId="562102B0" w14:textId="42958B85" w:rsidR="008638F5" w:rsidRDefault="001971E6" w:rsidP="00E46299">
      <w:r>
        <w:rPr>
          <w:noProof/>
        </w:rPr>
        <w:drawing>
          <wp:inline distT="0" distB="0" distL="0" distR="0" wp14:anchorId="380BD9F5" wp14:editId="39B55177">
            <wp:extent cx="5818910" cy="2415580"/>
            <wp:effectExtent l="0" t="0" r="10795" b="381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2D01E1C" w14:textId="77777777" w:rsidR="00205563" w:rsidRDefault="00205563" w:rsidP="00A446C5">
      <w:pPr>
        <w:jc w:val="both"/>
      </w:pPr>
    </w:p>
    <w:p w14:paraId="0BC10AF3" w14:textId="10957759" w:rsidR="00EF5F19" w:rsidRPr="00EF5F19" w:rsidRDefault="00EF5F19" w:rsidP="00EF5F19">
      <w:pPr>
        <w:jc w:val="both"/>
      </w:pPr>
      <w:r w:rsidRPr="00EF5F19">
        <w:t xml:space="preserve">Kretanje broja priključaka usluge širokopojasnog pristupa internetu alternativnih operatora koji nisu dio HT grupe ostvarenih putem reguliranih veleprodajnih usluga na tržištu </w:t>
      </w:r>
      <w:r>
        <w:t>M1</w:t>
      </w:r>
      <w:r w:rsidRPr="00EF5F19">
        <w:t xml:space="preserve"> od donošenja odluke o trenutno važećim cijenama navedenih veleprodajnih usluga prikazuje dijagram na donjoj slici </w:t>
      </w:r>
      <w:r>
        <w:t>(</w:t>
      </w:r>
      <w:r>
        <w:fldChar w:fldCharType="begin"/>
      </w:r>
      <w:r>
        <w:instrText xml:space="preserve"> REF _Ref151100703 \h </w:instrText>
      </w:r>
      <w:r>
        <w:fldChar w:fldCharType="separate"/>
      </w:r>
      <w:r w:rsidR="004E3197">
        <w:t xml:space="preserve">Slika </w:t>
      </w:r>
      <w:r w:rsidR="004E3197">
        <w:rPr>
          <w:noProof/>
        </w:rPr>
        <w:t>2</w:t>
      </w:r>
      <w:r>
        <w:fldChar w:fldCharType="end"/>
      </w:r>
      <w:r w:rsidRPr="00EF5F19">
        <w:t xml:space="preserve">). </w:t>
      </w:r>
    </w:p>
    <w:p w14:paraId="4F305A4C" w14:textId="575FA81B" w:rsidR="00205563" w:rsidRDefault="00205563" w:rsidP="00A446C5">
      <w:pPr>
        <w:jc w:val="both"/>
      </w:pPr>
    </w:p>
    <w:p w14:paraId="3B21E9AF" w14:textId="7D7AE13E" w:rsidR="00EF5F19" w:rsidRPr="00EF5F19" w:rsidRDefault="00EF5F19" w:rsidP="00EF5F19">
      <w:pPr>
        <w:jc w:val="both"/>
      </w:pPr>
      <w:r w:rsidRPr="00EF5F19">
        <w:t xml:space="preserve">Kao što je vidljivo iz donjeg dijagrama, nakon donošenja odluke o trenutno važećim cijenama reguliranih veleprodajnih usluga,  </w:t>
      </w:r>
      <w:r>
        <w:t>nastavlj</w:t>
      </w:r>
      <w:r w:rsidR="00E56F04">
        <w:t>en je pad broja priključaka ost</w:t>
      </w:r>
      <w:r>
        <w:t>v</w:t>
      </w:r>
      <w:r w:rsidR="00E56F04">
        <w:t>a</w:t>
      </w:r>
      <w:r>
        <w:t xml:space="preserve">renih putem LLU usluge, dok se usluga FA-PON tek počela koristiti. </w:t>
      </w:r>
      <w:r w:rsidR="00E56F04">
        <w:t>Trend pada korištenja LLU usluge te p</w:t>
      </w:r>
      <w:r>
        <w:t>očetak korištenja FA-PON usluge,</w:t>
      </w:r>
      <w:r w:rsidRPr="00EF5F19">
        <w:t xml:space="preserve"> </w:t>
      </w:r>
      <w:r w:rsidR="00E56F04">
        <w:t xml:space="preserve">i to </w:t>
      </w:r>
      <w:r w:rsidRPr="00EF5F19">
        <w:t xml:space="preserve">unatoč činjenici da alternativni operatori sve više korisnika </w:t>
      </w:r>
      <w:r w:rsidR="00E56F04" w:rsidRPr="00EF5F19">
        <w:t>migriraju</w:t>
      </w:r>
      <w:r w:rsidRPr="00EF5F19">
        <w:t xml:space="preserve"> na vlastite svjetlovodne mreže čija</w:t>
      </w:r>
      <w:r>
        <w:t xml:space="preserve"> su područja pokrivanja </w:t>
      </w:r>
      <w:r w:rsidRPr="00EF5F19">
        <w:t>sve veća uslijed porasta ulaganja koja se bilježe zadnjih nekoliko godina</w:t>
      </w:r>
      <w:r w:rsidR="00E56F04">
        <w:t>,</w:t>
      </w:r>
      <w:r>
        <w:t xml:space="preserve"> ukazuj</w:t>
      </w:r>
      <w:r w:rsidR="00E56F04">
        <w:t>e na to da</w:t>
      </w:r>
      <w:r>
        <w:t xml:space="preserve"> trenutno važeće regulirane cijene </w:t>
      </w:r>
      <w:r w:rsidR="00E56F04">
        <w:t>reguliranih veleprodajnih usluga na tržištu M1 daju ispravan „</w:t>
      </w:r>
      <w:r w:rsidR="00E56F04">
        <w:rPr>
          <w:i/>
        </w:rPr>
        <w:t>b</w:t>
      </w:r>
      <w:r w:rsidR="00E56F04" w:rsidRPr="00E46299">
        <w:rPr>
          <w:i/>
        </w:rPr>
        <w:t>uild or buy</w:t>
      </w:r>
      <w:r w:rsidR="00E56F04">
        <w:t>“ signal, pa alternativni operatori u područjima u kojima im je to više isplativo grade vlastitu svjetlovodnu mrežu što se ogleda u padu korištenja LLU usluge, dok u područjima gdje im se ne isplati graditi vlastitu, koriste HT-ovu FA-PON uslugu.</w:t>
      </w:r>
    </w:p>
    <w:p w14:paraId="26F23938" w14:textId="4F08BB5A" w:rsidR="00205563" w:rsidRDefault="00205563" w:rsidP="00A446C5">
      <w:pPr>
        <w:jc w:val="both"/>
      </w:pPr>
    </w:p>
    <w:p w14:paraId="1D085100" w14:textId="2250ED86" w:rsidR="00205563" w:rsidRDefault="00205563" w:rsidP="00A446C5">
      <w:pPr>
        <w:jc w:val="both"/>
      </w:pPr>
    </w:p>
    <w:p w14:paraId="77F4207B" w14:textId="6E2BA02C" w:rsidR="00205563" w:rsidRDefault="00205563" w:rsidP="00E46299">
      <w:pPr>
        <w:pStyle w:val="Caption"/>
        <w:keepNext/>
        <w:jc w:val="both"/>
      </w:pPr>
      <w:bookmarkStart w:id="4" w:name="_Ref151100703"/>
      <w:r>
        <w:t xml:space="preserve">Slika </w:t>
      </w:r>
      <w:fldSimple w:instr=" SEQ Slika \* ARABIC ">
        <w:r w:rsidR="004E3197">
          <w:rPr>
            <w:noProof/>
          </w:rPr>
          <w:t>2</w:t>
        </w:r>
      </w:fldSimple>
      <w:bookmarkEnd w:id="4"/>
      <w:r>
        <w:t>-Kretanje broja priključaka širokopojasnog pristupa internetu ostvarenih veleprodajnim uslugama na tržištu M1(</w:t>
      </w:r>
      <w:r w:rsidR="00E56F04">
        <w:t>Izvor: HAKOM</w:t>
      </w:r>
      <w:r>
        <w:t>)</w:t>
      </w:r>
      <w:r w:rsidR="00EF5F19">
        <w:rPr>
          <w:rStyle w:val="FootnoteReference"/>
        </w:rPr>
        <w:footnoteReference w:id="8"/>
      </w:r>
    </w:p>
    <w:p w14:paraId="15B4FA56" w14:textId="6D468DCF" w:rsidR="00205563" w:rsidRDefault="00EF5F19" w:rsidP="00A446C5">
      <w:pPr>
        <w:jc w:val="both"/>
      </w:pPr>
      <w:r>
        <w:rPr>
          <w:noProof/>
        </w:rPr>
        <w:drawing>
          <wp:inline distT="0" distB="0" distL="0" distR="0" wp14:anchorId="46BB205B" wp14:editId="0342E21E">
            <wp:extent cx="5324475" cy="2343150"/>
            <wp:effectExtent l="0" t="0" r="9525"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610A369" w14:textId="75876CC6" w:rsidR="00205563" w:rsidRDefault="00205563" w:rsidP="00A446C5">
      <w:pPr>
        <w:jc w:val="both"/>
      </w:pPr>
      <w:r w:rsidRPr="00E46299">
        <w:rPr>
          <w:sz w:val="16"/>
          <w:szCs w:val="16"/>
        </w:rPr>
        <w:t>*</w:t>
      </w:r>
      <w:r w:rsidR="00EF5F19" w:rsidRPr="00E46299">
        <w:rPr>
          <w:sz w:val="16"/>
          <w:szCs w:val="16"/>
        </w:rPr>
        <w:t>Podaci za FA-PON uslugu HT-a su dostupni samo za razdoblja od Q42021</w:t>
      </w:r>
    </w:p>
    <w:p w14:paraId="2DD04375" w14:textId="77777777" w:rsidR="00205563" w:rsidRDefault="00205563" w:rsidP="00A446C5">
      <w:pPr>
        <w:jc w:val="both"/>
      </w:pPr>
    </w:p>
    <w:p w14:paraId="010F8B6F" w14:textId="77777777" w:rsidR="00E56F04" w:rsidRDefault="00E56F04" w:rsidP="00E56F04">
      <w:pPr>
        <w:jc w:val="both"/>
      </w:pPr>
      <w:r>
        <w:t>Od donošenja odluke o trenutno važećim cijenama veleprodajnih usluga koje su predmet ove odluke, ulaganja u nepokretnu mrežu</w:t>
      </w:r>
      <w:r w:rsidRPr="00785C34">
        <w:t xml:space="preserve"> </w:t>
      </w:r>
      <w:r>
        <w:t xml:space="preserve">su u porastu, a što je prvenstveno posljedica rasta ulaganja u mreže vrlo velikog kapaciteta (eng. </w:t>
      </w:r>
      <w:r w:rsidRPr="00E92038">
        <w:rPr>
          <w:i/>
        </w:rPr>
        <w:t>VHCN, Very High Capacity Networks</w:t>
      </w:r>
      <w:r>
        <w:t xml:space="preserve">), kako HT-a, tako i alternativnih operatora. </w:t>
      </w:r>
    </w:p>
    <w:p w14:paraId="4C64DED7" w14:textId="77777777" w:rsidR="00E56F04" w:rsidRDefault="00E56F04" w:rsidP="00E56F04">
      <w:pPr>
        <w:jc w:val="both"/>
      </w:pPr>
    </w:p>
    <w:p w14:paraId="13CAAE68" w14:textId="5D08B081" w:rsidR="00E56F04" w:rsidRDefault="00E56F04" w:rsidP="00E46299">
      <w:pPr>
        <w:pStyle w:val="Caption"/>
        <w:keepNext/>
      </w:pPr>
      <w:r>
        <w:t xml:space="preserve">Slika </w:t>
      </w:r>
      <w:fldSimple w:instr=" SEQ Slika \* ARABIC ">
        <w:r w:rsidR="004E3197">
          <w:rPr>
            <w:noProof/>
          </w:rPr>
          <w:t>3</w:t>
        </w:r>
      </w:fldSimple>
      <w:r>
        <w:t>-</w:t>
      </w:r>
      <w:r w:rsidRPr="008A4904">
        <w:t>Ulaganja u VHCN mreže</w:t>
      </w:r>
      <w:r>
        <w:t xml:space="preserve"> (Izvor: HAKOM)</w:t>
      </w:r>
    </w:p>
    <w:p w14:paraId="40E973A5" w14:textId="77777777" w:rsidR="00E56F04" w:rsidRPr="00D23F48" w:rsidRDefault="00E56F04" w:rsidP="00E56F04">
      <w:r>
        <w:rPr>
          <w:noProof/>
        </w:rPr>
        <w:drawing>
          <wp:inline distT="0" distB="0" distL="0" distR="0" wp14:anchorId="611B17CF" wp14:editId="0C881894">
            <wp:extent cx="5399405" cy="2024393"/>
            <wp:effectExtent l="0" t="0" r="10795" b="1397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70652FD" w14:textId="77777777" w:rsidR="00E56F04" w:rsidRDefault="00E56F04" w:rsidP="00E56F04">
      <w:pPr>
        <w:jc w:val="both"/>
      </w:pPr>
    </w:p>
    <w:p w14:paraId="28AA89C8" w14:textId="7FC28A60" w:rsidR="00E56F04" w:rsidRDefault="00E56F04" w:rsidP="00E56F04">
      <w:pPr>
        <w:jc w:val="both"/>
      </w:pPr>
      <w:r>
        <w:t>Rezultat tih ulaganja je porast pokrivenosti VHCN mrežama (</w:t>
      </w:r>
      <w:r>
        <w:fldChar w:fldCharType="begin"/>
      </w:r>
      <w:r>
        <w:instrText xml:space="preserve"> REF _Ref151101300 \h </w:instrText>
      </w:r>
      <w:r>
        <w:fldChar w:fldCharType="separate"/>
      </w:r>
      <w:r w:rsidR="004E3197">
        <w:t xml:space="preserve">Slika </w:t>
      </w:r>
      <w:r w:rsidR="004E3197">
        <w:rPr>
          <w:noProof/>
        </w:rPr>
        <w:t>4</w:t>
      </w:r>
      <w:r>
        <w:fldChar w:fldCharType="end"/>
      </w:r>
      <w:r>
        <w:t>) i povećanje infrastrukturne konkurentnosti.</w:t>
      </w:r>
    </w:p>
    <w:p w14:paraId="31747747" w14:textId="77777777" w:rsidR="00E56F04" w:rsidRDefault="00E56F04" w:rsidP="00E56F04">
      <w:pPr>
        <w:jc w:val="both"/>
      </w:pPr>
    </w:p>
    <w:p w14:paraId="5E095F77" w14:textId="517449C4" w:rsidR="00E56F04" w:rsidRDefault="00E56F04" w:rsidP="00E46299">
      <w:pPr>
        <w:pStyle w:val="Caption"/>
        <w:keepNext/>
        <w:jc w:val="both"/>
      </w:pPr>
      <w:bookmarkStart w:id="5" w:name="_Ref151101300"/>
      <w:r>
        <w:t xml:space="preserve">Slika </w:t>
      </w:r>
      <w:fldSimple w:instr=" SEQ Slika \* ARABIC ">
        <w:r w:rsidR="004E3197">
          <w:rPr>
            <w:noProof/>
          </w:rPr>
          <w:t>4</w:t>
        </w:r>
      </w:fldSimple>
      <w:bookmarkEnd w:id="5"/>
      <w:r>
        <w:t>-</w:t>
      </w:r>
      <w:r w:rsidRPr="0001480D">
        <w:t>Pokrivenost VHCN mrežama</w:t>
      </w:r>
      <w:r>
        <w:t xml:space="preserve"> (Izvor: DESI)</w:t>
      </w:r>
    </w:p>
    <w:p w14:paraId="06B3659B" w14:textId="77777777" w:rsidR="00E56F04" w:rsidRDefault="00E56F04" w:rsidP="00E56F04">
      <w:pPr>
        <w:jc w:val="both"/>
      </w:pPr>
      <w:r>
        <w:rPr>
          <w:noProof/>
        </w:rPr>
        <w:drawing>
          <wp:inline distT="0" distB="0" distL="0" distR="0" wp14:anchorId="656C56E3" wp14:editId="084E363C">
            <wp:extent cx="5501070" cy="2141750"/>
            <wp:effectExtent l="0" t="0" r="4445" b="1143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B4DB1E5" w14:textId="77777777" w:rsidR="00E56F04" w:rsidRDefault="00E56F04" w:rsidP="00E56F04">
      <w:pPr>
        <w:jc w:val="both"/>
      </w:pPr>
    </w:p>
    <w:p w14:paraId="1AD12B7C" w14:textId="6CA30482" w:rsidR="00E56F04" w:rsidRDefault="00E56F04" w:rsidP="00A446C5">
      <w:pPr>
        <w:jc w:val="both"/>
      </w:pPr>
      <w:r>
        <w:t>Gore navedeni podaci ukazuju na to da su pretpostavke korištene kod određivanja trenutno važećih veleprodajnih cijena rezultirale takvim veleprodajnim cijenama koje daju ispravan „</w:t>
      </w:r>
      <w:r w:rsidRPr="00E46299">
        <w:rPr>
          <w:i/>
        </w:rPr>
        <w:t>build or buy</w:t>
      </w:r>
      <w:r>
        <w:t>“ signal, tj. da u situacijama kada je trošak gradnje novih VHCN mreža veći od veleprodajnog troška alternativni operatori koriste reguliranu veleprodajnu uslugu, dok u područjima gdje je više isplativo grade vlastitu VHCN mrežu.</w:t>
      </w:r>
    </w:p>
    <w:p w14:paraId="544F6112" w14:textId="77777777" w:rsidR="00E56F04" w:rsidRDefault="00E56F04" w:rsidP="00A446C5">
      <w:pPr>
        <w:jc w:val="both"/>
      </w:pPr>
    </w:p>
    <w:p w14:paraId="480678EA" w14:textId="4ADC573A" w:rsidR="00A446C5" w:rsidRDefault="00630342" w:rsidP="00A446C5">
      <w:pPr>
        <w:jc w:val="both"/>
      </w:pPr>
      <w:r>
        <w:t xml:space="preserve">Na samom početku </w:t>
      </w:r>
      <w:r w:rsidR="001617C9">
        <w:t>postupk</w:t>
      </w:r>
      <w:r>
        <w:t>a</w:t>
      </w:r>
      <w:r w:rsidR="008638F5" w:rsidRPr="00C22F5A">
        <w:t xml:space="preserve"> određivanja cijena</w:t>
      </w:r>
      <w:r>
        <w:t xml:space="preserve"> reguliranih veleprodajnih usluga</w:t>
      </w:r>
      <w:r w:rsidR="008638F5" w:rsidRPr="00C22F5A">
        <w:t xml:space="preserve">, HAKOM je </w:t>
      </w:r>
      <w:r w:rsidR="001617C9">
        <w:t xml:space="preserve">u </w:t>
      </w:r>
      <w:r w:rsidR="008638F5">
        <w:t>listop</w:t>
      </w:r>
      <w:r w:rsidR="008638F5" w:rsidRPr="00C22F5A">
        <w:t>a</w:t>
      </w:r>
      <w:r w:rsidR="008638F5">
        <w:t>d</w:t>
      </w:r>
      <w:r w:rsidR="001617C9">
        <w:t>u</w:t>
      </w:r>
      <w:r w:rsidR="008638F5" w:rsidRPr="00C22F5A">
        <w:t xml:space="preserve"> 202</w:t>
      </w:r>
      <w:r w:rsidR="008638F5">
        <w:t>3</w:t>
      </w:r>
      <w:r w:rsidR="008638F5" w:rsidRPr="00C22F5A">
        <w:t xml:space="preserve">. uputio poziv operatorima da dostave svoje mišljenje o </w:t>
      </w:r>
      <w:r w:rsidR="008638F5">
        <w:t>prijedlogu HAKOM-a vezano uz opseg ulaznih podataka i parametara koje je HAKOM ažurirao</w:t>
      </w:r>
      <w:r>
        <w:t xml:space="preserve"> u Troškovnom modelu</w:t>
      </w:r>
      <w:r w:rsidR="008638F5">
        <w:t>.</w:t>
      </w:r>
      <w:r>
        <w:t xml:space="preserve"> Osim za davanje mišljenja vezano uz ažuriranje ulaznih parametara u Troškovnom modelu, HAKOM je pozvao operatore da </w:t>
      </w:r>
      <w:r w:rsidR="00661004">
        <w:t xml:space="preserve">u okviru javnog poziva </w:t>
      </w:r>
      <w:r>
        <w:t>daju svoje prijedloge i mišlj</w:t>
      </w:r>
      <w:r w:rsidR="00B24673">
        <w:t xml:space="preserve">enja </w:t>
      </w:r>
      <w:r w:rsidR="00661004">
        <w:t>o bilo kojem drugom aspektu koji je bitan za</w:t>
      </w:r>
      <w:r w:rsidR="00B24673">
        <w:t xml:space="preserve"> postupak</w:t>
      </w:r>
      <w:r>
        <w:t xml:space="preserve"> određivanja cijena veleprodajnih usluga</w:t>
      </w:r>
      <w:r w:rsidR="00661004">
        <w:t>, a nije obuhvaćen ažuriranjem Troškovnog modela</w:t>
      </w:r>
      <w:r>
        <w:t xml:space="preserve">. </w:t>
      </w:r>
      <w:r w:rsidR="008638F5">
        <w:t xml:space="preserve"> </w:t>
      </w:r>
    </w:p>
    <w:p w14:paraId="336E24F0" w14:textId="77777777" w:rsidR="00A446C5" w:rsidRDefault="00A446C5" w:rsidP="00A446C5">
      <w:pPr>
        <w:jc w:val="both"/>
        <w:rPr>
          <w:rFonts w:cstheme="minorHAnsi"/>
        </w:rPr>
      </w:pPr>
      <w:r>
        <w:t xml:space="preserve">Javni poziv je trajao od 3. listopada do 8. studenoga 2023. </w:t>
      </w:r>
      <w:r>
        <w:rPr>
          <w:rFonts w:cstheme="minorHAnsi"/>
        </w:rPr>
        <w:t>Svoje komentare i mišljenja vezano uz ažuriranje troškovnog modela</w:t>
      </w:r>
      <w:r w:rsidRPr="00C22F5A">
        <w:rPr>
          <w:rFonts w:cstheme="minorHAnsi"/>
        </w:rPr>
        <w:t xml:space="preserve"> </w:t>
      </w:r>
      <w:r>
        <w:rPr>
          <w:rFonts w:cstheme="minorHAnsi"/>
        </w:rPr>
        <w:t xml:space="preserve">dostavili su; HT, A1 Hrvatska d.o.o. i </w:t>
      </w:r>
      <w:r w:rsidRPr="008660FD">
        <w:t>Telemach Hrvatska d.o.o</w:t>
      </w:r>
      <w:r>
        <w:rPr>
          <w:rFonts w:cstheme="minorHAnsi"/>
        </w:rPr>
        <w:t>.</w:t>
      </w:r>
      <w:r w:rsidRPr="00630342">
        <w:rPr>
          <w:rFonts w:cstheme="minorHAnsi"/>
        </w:rPr>
        <w:t xml:space="preserve"> </w:t>
      </w:r>
    </w:p>
    <w:p w14:paraId="238BDF69" w14:textId="77777777" w:rsidR="00A446C5" w:rsidRDefault="00A446C5" w:rsidP="00A446C5">
      <w:pPr>
        <w:jc w:val="both"/>
        <w:rPr>
          <w:rFonts w:cstheme="minorHAnsi"/>
        </w:rPr>
      </w:pPr>
    </w:p>
    <w:p w14:paraId="047D728D" w14:textId="20030F87" w:rsidR="00661004" w:rsidRPr="00661004" w:rsidRDefault="00246E20" w:rsidP="00661004">
      <w:pPr>
        <w:jc w:val="both"/>
      </w:pPr>
      <w:r>
        <w:rPr>
          <w:rFonts w:cstheme="minorHAnsi"/>
        </w:rPr>
        <w:t xml:space="preserve">HAKOM </w:t>
      </w:r>
      <w:r w:rsidRPr="00C22F5A">
        <w:rPr>
          <w:rFonts w:cstheme="minorHAnsi"/>
        </w:rPr>
        <w:t xml:space="preserve">je pristigle komentare analizirao te </w:t>
      </w:r>
      <w:r w:rsidR="00630342">
        <w:rPr>
          <w:rFonts w:cstheme="minorHAnsi"/>
        </w:rPr>
        <w:t>ih je u najvećoj mogućoj mjeri uzeo u obzir kod izrade konačne verzije ažuriranog Troškovnog modela i određivanja cijena reguliranih veleprodajnih usluga iz ove odluke</w:t>
      </w:r>
      <w:r>
        <w:t>.</w:t>
      </w:r>
      <w:r w:rsidR="00445383" w:rsidRPr="00445383">
        <w:t xml:space="preserve"> </w:t>
      </w:r>
      <w:r w:rsidR="00445383">
        <w:t>K</w:t>
      </w:r>
      <w:r w:rsidR="00445383" w:rsidRPr="00630342">
        <w:t>omentari i prijedlozi operatora pristigli u javnom pozivu te odgovori HAKOM-a nalaze</w:t>
      </w:r>
      <w:r w:rsidR="00445383">
        <w:t xml:space="preserve"> se</w:t>
      </w:r>
      <w:r w:rsidR="00445383" w:rsidRPr="00630342">
        <w:t xml:space="preserve"> </w:t>
      </w:r>
      <w:r w:rsidR="00445383" w:rsidRPr="00355570">
        <w:t xml:space="preserve">u </w:t>
      </w:r>
      <w:r w:rsidR="00445383" w:rsidRPr="00C55DFC">
        <w:t xml:space="preserve">Privitku </w:t>
      </w:r>
      <w:r w:rsidR="00E46299" w:rsidRPr="00E46299">
        <w:t>2</w:t>
      </w:r>
      <w:r w:rsidR="00445383" w:rsidRPr="00355570">
        <w:t xml:space="preserve"> „</w:t>
      </w:r>
      <w:r w:rsidR="00445383" w:rsidRPr="002F63BA">
        <w:rPr>
          <w:i/>
        </w:rPr>
        <w:t>Odgovori na pristigle komentare</w:t>
      </w:r>
      <w:r w:rsidR="00445383" w:rsidRPr="00630342">
        <w:t>“</w:t>
      </w:r>
      <w:r w:rsidR="00445383">
        <w:t>,</w:t>
      </w:r>
      <w:r w:rsidR="00445383" w:rsidRPr="00630342">
        <w:t xml:space="preserve"> </w:t>
      </w:r>
      <w:r w:rsidR="00445383">
        <w:t xml:space="preserve">a </w:t>
      </w:r>
      <w:r w:rsidR="00445383" w:rsidRPr="00630342">
        <w:t>koji s</w:t>
      </w:r>
      <w:r w:rsidR="00445383">
        <w:t>u sastavni dio</w:t>
      </w:r>
      <w:r w:rsidR="00445383" w:rsidRPr="00630342">
        <w:t xml:space="preserve"> </w:t>
      </w:r>
      <w:r w:rsidR="00445383" w:rsidRPr="00355570">
        <w:t>ove odluke</w:t>
      </w:r>
      <w:r w:rsidR="00445383">
        <w:t xml:space="preserve">. </w:t>
      </w:r>
      <w:r w:rsidR="00661004" w:rsidRPr="00661004">
        <w:t>U okviru javnog poziva, osim prijedloga i komentara vezano uz ažuriranje Troškovnog modela, operatori nisu iznijeli nikakve prijedloge vezano uz sam način i postupak određivanja cijena.</w:t>
      </w:r>
    </w:p>
    <w:p w14:paraId="092F1A8F" w14:textId="07F79975" w:rsidR="00FA0B2E" w:rsidRDefault="00FA0B2E" w:rsidP="00FA0B2E">
      <w:pPr>
        <w:jc w:val="both"/>
      </w:pPr>
    </w:p>
    <w:p w14:paraId="47E65837" w14:textId="75BA1153" w:rsidR="00661004" w:rsidRPr="00661004" w:rsidRDefault="00661004" w:rsidP="00661004">
      <w:pPr>
        <w:jc w:val="both"/>
      </w:pPr>
      <w:r w:rsidRPr="00661004">
        <w:t>Nastavno na sve navedeno, te uzimajući u najvećoj mogućoj mjeri u obzir prijedloge i komentare operatora pristigle tijekom javnog poziva, HAKOM je cijene veleprodajnih usluga iz točke I. ove odluke odredio na način da je zadržana postojeća struktura predmetnih cijena već</w:t>
      </w:r>
      <w:r w:rsidRPr="00661004" w:rsidDel="00785C34">
        <w:t xml:space="preserve"> </w:t>
      </w:r>
      <w:r w:rsidRPr="00661004">
        <w:t xml:space="preserve">određena odlukom KLASA: UP/I-344-01/20-05/04, URBROJ: 376-05-1-21-27 iz veljače 2021., odnosno zadržane su sve pretpostavke koje su vrijedile i prilikom donošenja navedene odluke o cijenama. Također je bitno istaknuti da su cijene veleprodajnih usluga određene kao prosjek troška odgovarajućih usluga iz ažuriranog Troškovnog modela za godine 2024, 2025 i 2026. </w:t>
      </w:r>
    </w:p>
    <w:p w14:paraId="065312BD" w14:textId="116BB8B8" w:rsidR="00040D85" w:rsidRDefault="00661004" w:rsidP="00040D85">
      <w:pPr>
        <w:jc w:val="both"/>
        <w:rPr>
          <w:b/>
          <w:i/>
        </w:rPr>
      </w:pPr>
      <w:r w:rsidRPr="00661004" w:rsidDel="00661004">
        <w:t xml:space="preserve"> </w:t>
      </w:r>
      <w:r>
        <w:t xml:space="preserve"> </w:t>
      </w:r>
    </w:p>
    <w:p w14:paraId="18D5502A" w14:textId="6C9A1D0B" w:rsidR="00E17353" w:rsidRDefault="00630342" w:rsidP="00040D85">
      <w:pPr>
        <w:jc w:val="both"/>
      </w:pPr>
      <w:r>
        <w:t>Najvažnije p</w:t>
      </w:r>
      <w:r w:rsidR="00E17353" w:rsidRPr="00E17353">
        <w:t xml:space="preserve">retpostavke koje su vrijedile prilikom </w:t>
      </w:r>
      <w:r w:rsidR="00E17353" w:rsidRPr="008A50B5">
        <w:t>donošenja postojećih odluka o cijenama</w:t>
      </w:r>
      <w:r w:rsidR="00E17353">
        <w:t xml:space="preserve"> su opisane dalje u nastavku.</w:t>
      </w:r>
    </w:p>
    <w:p w14:paraId="3769D4DC" w14:textId="77777777" w:rsidR="00E17353" w:rsidRDefault="00E17353" w:rsidP="00040D85">
      <w:pPr>
        <w:jc w:val="both"/>
        <w:rPr>
          <w:b/>
          <w:i/>
        </w:rPr>
      </w:pPr>
    </w:p>
    <w:p w14:paraId="4916C064" w14:textId="45DAC477" w:rsidR="00040D85" w:rsidRPr="00E67889" w:rsidRDefault="00040D85" w:rsidP="00040D85">
      <w:pPr>
        <w:jc w:val="both"/>
        <w:rPr>
          <w:b/>
          <w:i/>
        </w:rPr>
      </w:pPr>
      <w:r>
        <w:rPr>
          <w:b/>
          <w:i/>
        </w:rPr>
        <w:t>Pretpostavke za o</w:t>
      </w:r>
      <w:r w:rsidRPr="00E67889">
        <w:rPr>
          <w:b/>
          <w:i/>
        </w:rPr>
        <w:t>dređivanje cijene usluge izdvojenog pristupa lokalnoj petlji na temelju bakrene parice (LLU)</w:t>
      </w:r>
      <w:r w:rsidR="00E17353">
        <w:rPr>
          <w:b/>
          <w:i/>
        </w:rPr>
        <w:t xml:space="preserve"> </w:t>
      </w:r>
    </w:p>
    <w:p w14:paraId="06BDA892" w14:textId="77777777" w:rsidR="00BC2283" w:rsidRDefault="00BC2283" w:rsidP="00040D85">
      <w:pPr>
        <w:jc w:val="both"/>
      </w:pPr>
    </w:p>
    <w:p w14:paraId="2AEB8D31" w14:textId="73BBE53F" w:rsidR="00EA56A5" w:rsidRDefault="00005741" w:rsidP="00040D85">
      <w:pPr>
        <w:jc w:val="both"/>
      </w:pPr>
      <w:r w:rsidRPr="00005741">
        <w:t>Određuje se jedinstvena cijena LLU usluge i naknade za korištenje bakrene pristupne mreže kao dio cijene usluge bitstream pristupa putem bakrene pristupne mreže kada se DSL</w:t>
      </w:r>
      <w:r w:rsidR="00E46299">
        <w:t>AM nalazi na staroj CO lokaciji</w:t>
      </w:r>
      <w:r w:rsidRPr="00005741">
        <w:t xml:space="preserve"> ili FTTN lokaciji. </w:t>
      </w:r>
      <w:r>
        <w:t>Pri tom, t</w:t>
      </w:r>
      <w:r w:rsidR="00EA56A5">
        <w:t>rošak LLU usluge se računa na način da se uzimaju u obzir troškovi bakrenih parica duljine do 2300 m, tj.</w:t>
      </w:r>
      <w:r w:rsidR="008316AB">
        <w:t xml:space="preserve"> parica</w:t>
      </w:r>
      <w:r w:rsidR="00EA56A5">
        <w:t xml:space="preserve"> koje omogućavaju silaznu brzinu (brzinu u smjeru prema korisniku, </w:t>
      </w:r>
      <w:r w:rsidR="00EA56A5" w:rsidRPr="00EA56A5">
        <w:rPr>
          <w:i/>
        </w:rPr>
        <w:t>eng</w:t>
      </w:r>
      <w:r w:rsidR="00EA56A5">
        <w:t xml:space="preserve">. </w:t>
      </w:r>
      <w:r w:rsidR="00EA56A5" w:rsidRPr="00EA56A5">
        <w:rPr>
          <w:i/>
        </w:rPr>
        <w:t>download</w:t>
      </w:r>
      <w:r w:rsidR="00EA56A5">
        <w:t xml:space="preserve">) od barem 8 Mbit/s, u područjima pokrivanja MDF-ova na kojima se koristi LLU usluga. </w:t>
      </w:r>
      <w:r>
        <w:t>Nadalje, t</w:t>
      </w:r>
      <w:r w:rsidR="00EA56A5">
        <w:t>rošak bakrene pristupne mreže</w:t>
      </w:r>
      <w:r w:rsidR="008316AB">
        <w:t>,</w:t>
      </w:r>
      <w:r w:rsidR="00EA56A5">
        <w:t xml:space="preserve"> koji se uzima u obzir kod određivanja naknade za korištenje bakrene pristupne mreže kao dijela cijene usluge bitstream pristupa koja se pruža putem bakrene mreže za slučaj kada je DSLAM smješten na staroj CO lokaciji ili FTTN lokaciji</w:t>
      </w:r>
      <w:r w:rsidR="008316AB">
        <w:t>,</w:t>
      </w:r>
      <w:r w:rsidR="00EA56A5">
        <w:t xml:space="preserve"> određuje se na način da se uzme ponderirani prosječni trošak (</w:t>
      </w:r>
      <w:r w:rsidR="00EA56A5" w:rsidRPr="00E46299">
        <w:t>eng.</w:t>
      </w:r>
      <w:r w:rsidR="00EA56A5" w:rsidRPr="00EA56A5">
        <w:rPr>
          <w:i/>
        </w:rPr>
        <w:t xml:space="preserve"> weighted average</w:t>
      </w:r>
      <w:r w:rsidR="00EA56A5">
        <w:t>) bakrene pristupne mreže u područjima pokrivanja MDF-ova na kojima se koristi LLU usluga i bakrene pristupne mreže u područjima pokrivanja MDF</w:t>
      </w:r>
      <w:r w:rsidR="002275F8">
        <w:t>-</w:t>
      </w:r>
      <w:r w:rsidR="00EA56A5">
        <w:t xml:space="preserve">ova na kojima se ne koristi LLU usluga uz sljedeće uvjete: </w:t>
      </w:r>
    </w:p>
    <w:p w14:paraId="4FE75A96" w14:textId="6D350A21" w:rsidR="00EA56A5" w:rsidRDefault="00EA56A5" w:rsidP="00E46299">
      <w:pPr>
        <w:pStyle w:val="ListParagraph"/>
        <w:numPr>
          <w:ilvl w:val="0"/>
          <w:numId w:val="9"/>
        </w:numPr>
        <w:jc w:val="both"/>
      </w:pPr>
      <w:r>
        <w:t>u obzir se uzima trošak bakrenih parica duljine do 2300 m koje omogućuju prijenosne brzine u silaznom smjeru barem od 8 Mbit/s</w:t>
      </w:r>
      <w:r w:rsidR="00134FE6">
        <w:t>;</w:t>
      </w:r>
    </w:p>
    <w:p w14:paraId="260588F0" w14:textId="75A90345" w:rsidR="00EA56A5" w:rsidRDefault="00EA56A5" w:rsidP="00E46299">
      <w:pPr>
        <w:pStyle w:val="ListParagraph"/>
        <w:numPr>
          <w:ilvl w:val="0"/>
          <w:numId w:val="9"/>
        </w:numPr>
        <w:jc w:val="both"/>
      </w:pPr>
      <w:r>
        <w:t xml:space="preserve">težinski faktori (ponderi) jednaki su </w:t>
      </w:r>
      <w:r w:rsidR="002E133D">
        <w:t xml:space="preserve">udjelu </w:t>
      </w:r>
      <w:r>
        <w:t>bitstream linija u području pokrivanja MDF-ova na kojima se koristi LLU usluga, odnosno u području pokrivanja MDF-ova na kojima se ne koristi LLU usluga.</w:t>
      </w:r>
    </w:p>
    <w:p w14:paraId="52931E52" w14:textId="6FEF7695" w:rsidR="001C685D" w:rsidRDefault="001C685D" w:rsidP="00040D85">
      <w:pPr>
        <w:jc w:val="both"/>
      </w:pPr>
    </w:p>
    <w:p w14:paraId="110C4778" w14:textId="6C43BBBA" w:rsidR="00040D85" w:rsidRDefault="00EA56A5" w:rsidP="00040D85">
      <w:pPr>
        <w:jc w:val="both"/>
      </w:pPr>
      <w:r>
        <w:t>Na temelju tako dobivenih troškova, određuje se jedinstvena veleprodajna cijena LLU usluge i naknade za korištenje bakrene pristupne mreže kao dijela cijene usluge bitstream pristupa putem bakrene mreže u slučaju kada se DSLAM nalazi na staroj CO ili FTTN lokaciji i to kao ponderirani prosjek ta dva troška gdje su težinski faktori (ponderi) jedna</w:t>
      </w:r>
      <w:r w:rsidR="008316AB">
        <w:t>k</w:t>
      </w:r>
      <w:r>
        <w:t xml:space="preserve">i </w:t>
      </w:r>
      <w:r w:rsidR="00963254">
        <w:t xml:space="preserve">udjelu </w:t>
      </w:r>
      <w:r>
        <w:t>LLU, odnosno bitstream veleprodajnih linija u ukupnom broj veleprodajnih linija (bitstream pristup + LLU).</w:t>
      </w:r>
    </w:p>
    <w:p w14:paraId="06125548" w14:textId="49A0948B" w:rsidR="001C685D" w:rsidRDefault="001C685D" w:rsidP="00040D85">
      <w:pPr>
        <w:jc w:val="both"/>
      </w:pPr>
    </w:p>
    <w:p w14:paraId="7A89B0DF" w14:textId="7873750B" w:rsidR="001C685D" w:rsidRDefault="001C685D" w:rsidP="00E46299">
      <w:pPr>
        <w:pStyle w:val="Caption"/>
        <w:keepNext/>
      </w:pPr>
      <w:r>
        <w:t xml:space="preserve">Tablica </w:t>
      </w:r>
      <w:fldSimple w:instr=" SEQ Tablica \* ARABIC ">
        <w:r w:rsidR="004E3197">
          <w:rPr>
            <w:noProof/>
          </w:rPr>
          <w:t>1</w:t>
        </w:r>
      </w:fldSimple>
      <w:r>
        <w:t>-</w:t>
      </w:r>
      <w:r w:rsidRPr="009618A7">
        <w:t>Jedinični trošak i cijena LLU usluge (Izvor: Troškovni model)</w:t>
      </w:r>
    </w:p>
    <w:tbl>
      <w:tblPr>
        <w:tblW w:w="492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4A0" w:firstRow="1" w:lastRow="0" w:firstColumn="1" w:lastColumn="0" w:noHBand="0" w:noVBand="1"/>
      </w:tblPr>
      <w:tblGrid>
        <w:gridCol w:w="4474"/>
        <w:gridCol w:w="1225"/>
        <w:gridCol w:w="771"/>
        <w:gridCol w:w="771"/>
        <w:gridCol w:w="926"/>
        <w:gridCol w:w="1539"/>
      </w:tblGrid>
      <w:tr w:rsidR="001C685D" w:rsidRPr="001C685D" w14:paraId="326E2C00" w14:textId="77777777" w:rsidTr="006F52B6">
        <w:trPr>
          <w:trHeight w:val="262"/>
          <w:jc w:val="center"/>
        </w:trPr>
        <w:tc>
          <w:tcPr>
            <w:tcW w:w="2305" w:type="pct"/>
            <w:shd w:val="clear" w:color="auto" w:fill="0C2749"/>
            <w:vAlign w:val="center"/>
            <w:hideMark/>
          </w:tcPr>
          <w:p w14:paraId="3428D3D2" w14:textId="77777777" w:rsidR="001C685D" w:rsidRPr="00E46299" w:rsidRDefault="001C685D" w:rsidP="001C685D">
            <w:pPr>
              <w:jc w:val="center"/>
              <w:rPr>
                <w:b/>
                <w:bCs/>
                <w:color w:val="FFFFFF" w:themeColor="background1"/>
                <w:sz w:val="20"/>
                <w:szCs w:val="20"/>
                <w:lang w:eastAsia="en-US"/>
              </w:rPr>
            </w:pPr>
            <w:r w:rsidRPr="00E46299">
              <w:rPr>
                <w:b/>
                <w:bCs/>
                <w:color w:val="FFFFFF" w:themeColor="background1"/>
                <w:sz w:val="20"/>
                <w:szCs w:val="20"/>
                <w:lang w:eastAsia="en-US"/>
              </w:rPr>
              <w:t>USLUGA</w:t>
            </w:r>
          </w:p>
        </w:tc>
        <w:tc>
          <w:tcPr>
            <w:tcW w:w="631" w:type="pct"/>
            <w:shd w:val="clear" w:color="auto" w:fill="0C2749"/>
            <w:vAlign w:val="center"/>
            <w:hideMark/>
          </w:tcPr>
          <w:p w14:paraId="1D52F0AA" w14:textId="77777777" w:rsidR="001C685D" w:rsidRPr="00E46299" w:rsidRDefault="001C685D" w:rsidP="001C685D">
            <w:pPr>
              <w:jc w:val="center"/>
              <w:rPr>
                <w:b/>
                <w:bCs/>
                <w:color w:val="FFFFFF" w:themeColor="background1"/>
                <w:sz w:val="20"/>
                <w:szCs w:val="20"/>
                <w:lang w:eastAsia="en-US"/>
              </w:rPr>
            </w:pPr>
            <w:r w:rsidRPr="00E46299">
              <w:rPr>
                <w:b/>
                <w:bCs/>
                <w:color w:val="FFFFFF" w:themeColor="background1"/>
                <w:sz w:val="20"/>
                <w:szCs w:val="20"/>
                <w:lang w:eastAsia="en-US"/>
              </w:rPr>
              <w:t>Jedinica</w:t>
            </w:r>
          </w:p>
        </w:tc>
        <w:tc>
          <w:tcPr>
            <w:tcW w:w="397" w:type="pct"/>
            <w:tcBorders>
              <w:bottom w:val="single" w:sz="4" w:space="0" w:color="auto"/>
            </w:tcBorders>
            <w:shd w:val="clear" w:color="auto" w:fill="0C2749"/>
            <w:vAlign w:val="center"/>
            <w:hideMark/>
          </w:tcPr>
          <w:p w14:paraId="11E76747" w14:textId="03FF0B11" w:rsidR="001C685D" w:rsidRPr="00E46299" w:rsidRDefault="001C685D" w:rsidP="001C685D">
            <w:pPr>
              <w:jc w:val="center"/>
              <w:rPr>
                <w:b/>
                <w:bCs/>
                <w:color w:val="FFFFFF" w:themeColor="background1"/>
                <w:sz w:val="20"/>
                <w:szCs w:val="20"/>
                <w:lang w:eastAsia="en-US"/>
              </w:rPr>
            </w:pPr>
            <w:r w:rsidRPr="00E46299">
              <w:rPr>
                <w:b/>
                <w:bCs/>
                <w:color w:val="FFFFFF" w:themeColor="background1"/>
                <w:sz w:val="20"/>
                <w:szCs w:val="20"/>
                <w:lang w:eastAsia="en-US"/>
              </w:rPr>
              <w:t>2024</w:t>
            </w:r>
          </w:p>
        </w:tc>
        <w:tc>
          <w:tcPr>
            <w:tcW w:w="397" w:type="pct"/>
            <w:tcBorders>
              <w:bottom w:val="single" w:sz="4" w:space="0" w:color="auto"/>
            </w:tcBorders>
            <w:shd w:val="clear" w:color="auto" w:fill="0C2749"/>
            <w:vAlign w:val="center"/>
            <w:hideMark/>
          </w:tcPr>
          <w:p w14:paraId="7571C723" w14:textId="72BAE608" w:rsidR="001C685D" w:rsidRPr="00E46299" w:rsidRDefault="001C685D" w:rsidP="001C685D">
            <w:pPr>
              <w:jc w:val="center"/>
              <w:rPr>
                <w:b/>
                <w:bCs/>
                <w:color w:val="FFFFFF" w:themeColor="background1"/>
                <w:sz w:val="20"/>
                <w:szCs w:val="20"/>
                <w:lang w:eastAsia="en-US"/>
              </w:rPr>
            </w:pPr>
            <w:r w:rsidRPr="00E46299">
              <w:rPr>
                <w:b/>
                <w:bCs/>
                <w:color w:val="FFFFFF" w:themeColor="background1"/>
                <w:sz w:val="20"/>
                <w:szCs w:val="20"/>
                <w:lang w:eastAsia="en-US"/>
              </w:rPr>
              <w:t>2025</w:t>
            </w:r>
          </w:p>
        </w:tc>
        <w:tc>
          <w:tcPr>
            <w:tcW w:w="477" w:type="pct"/>
            <w:tcBorders>
              <w:bottom w:val="single" w:sz="4" w:space="0" w:color="auto"/>
            </w:tcBorders>
            <w:shd w:val="clear" w:color="auto" w:fill="0C2749"/>
            <w:vAlign w:val="center"/>
            <w:hideMark/>
          </w:tcPr>
          <w:p w14:paraId="28F17A55" w14:textId="7F7B3BB3" w:rsidR="001C685D" w:rsidRPr="00E46299" w:rsidRDefault="001C685D" w:rsidP="001C685D">
            <w:pPr>
              <w:jc w:val="center"/>
              <w:rPr>
                <w:b/>
                <w:bCs/>
                <w:color w:val="FFFFFF" w:themeColor="background1"/>
                <w:sz w:val="20"/>
                <w:szCs w:val="20"/>
                <w:lang w:eastAsia="en-US"/>
              </w:rPr>
            </w:pPr>
            <w:r w:rsidRPr="00E46299">
              <w:rPr>
                <w:b/>
                <w:bCs/>
                <w:color w:val="FFFFFF" w:themeColor="background1"/>
                <w:sz w:val="20"/>
                <w:szCs w:val="20"/>
                <w:lang w:eastAsia="en-US"/>
              </w:rPr>
              <w:t>2026</w:t>
            </w:r>
          </w:p>
        </w:tc>
        <w:tc>
          <w:tcPr>
            <w:tcW w:w="793" w:type="pct"/>
            <w:tcBorders>
              <w:bottom w:val="single" w:sz="4" w:space="0" w:color="auto"/>
            </w:tcBorders>
            <w:shd w:val="clear" w:color="auto" w:fill="0C2749"/>
            <w:vAlign w:val="center"/>
            <w:hideMark/>
          </w:tcPr>
          <w:p w14:paraId="52EEE904" w14:textId="4735BFC2" w:rsidR="001C685D" w:rsidRPr="00E46299" w:rsidRDefault="001C685D">
            <w:pPr>
              <w:jc w:val="center"/>
              <w:rPr>
                <w:b/>
                <w:bCs/>
                <w:color w:val="FFFFFF" w:themeColor="background1"/>
                <w:sz w:val="20"/>
                <w:szCs w:val="20"/>
                <w:lang w:eastAsia="en-US"/>
              </w:rPr>
            </w:pPr>
            <w:r w:rsidRPr="00E46299">
              <w:rPr>
                <w:b/>
                <w:bCs/>
                <w:color w:val="FFFFFF" w:themeColor="background1"/>
                <w:sz w:val="20"/>
                <w:szCs w:val="20"/>
                <w:lang w:eastAsia="en-US"/>
              </w:rPr>
              <w:t>Prosjek 2024-2026</w:t>
            </w:r>
          </w:p>
        </w:tc>
      </w:tr>
      <w:tr w:rsidR="001C685D" w:rsidRPr="001C685D" w14:paraId="3C11F756" w14:textId="77777777" w:rsidTr="006F52B6">
        <w:trPr>
          <w:trHeight w:val="288"/>
          <w:jc w:val="center"/>
        </w:trPr>
        <w:tc>
          <w:tcPr>
            <w:tcW w:w="2305" w:type="pct"/>
            <w:shd w:val="clear" w:color="auto" w:fill="FFFFFF" w:themeFill="background1"/>
            <w:noWrap/>
            <w:vAlign w:val="center"/>
            <w:hideMark/>
          </w:tcPr>
          <w:p w14:paraId="479AC4E8" w14:textId="77777777" w:rsidR="001C685D" w:rsidRPr="00E46299" w:rsidRDefault="001C685D" w:rsidP="001C685D">
            <w:pPr>
              <w:rPr>
                <w:color w:val="000000"/>
                <w:sz w:val="18"/>
                <w:szCs w:val="18"/>
                <w:lang w:eastAsia="en-US"/>
              </w:rPr>
            </w:pPr>
            <w:r w:rsidRPr="00E46299">
              <w:rPr>
                <w:color w:val="000000"/>
                <w:sz w:val="18"/>
                <w:szCs w:val="18"/>
                <w:lang w:eastAsia="en-US"/>
              </w:rPr>
              <w:t>Access.LLU.Wholesale - Local Access Lines - Market 3A.Access</w:t>
            </w:r>
          </w:p>
        </w:tc>
        <w:tc>
          <w:tcPr>
            <w:tcW w:w="631" w:type="pct"/>
            <w:vMerge w:val="restart"/>
            <w:shd w:val="clear" w:color="auto" w:fill="FFFFFF" w:themeFill="background1"/>
            <w:noWrap/>
            <w:vAlign w:val="center"/>
            <w:hideMark/>
          </w:tcPr>
          <w:p w14:paraId="1780C802" w14:textId="31069979" w:rsidR="001C685D" w:rsidRPr="00E46299" w:rsidRDefault="001C685D" w:rsidP="001C685D">
            <w:pPr>
              <w:jc w:val="center"/>
              <w:rPr>
                <w:color w:val="000000"/>
                <w:sz w:val="18"/>
                <w:szCs w:val="18"/>
                <w:lang w:eastAsia="en-US"/>
              </w:rPr>
            </w:pPr>
            <w:r w:rsidRPr="00E46299">
              <w:rPr>
                <w:color w:val="000000"/>
                <w:sz w:val="18"/>
                <w:szCs w:val="18"/>
                <w:lang w:eastAsia="en-US"/>
              </w:rPr>
              <w:t>EUR / Mjesečno / Liniji</w:t>
            </w:r>
          </w:p>
        </w:tc>
        <w:tc>
          <w:tcPr>
            <w:tcW w:w="397" w:type="pct"/>
            <w:tcBorders>
              <w:top w:val="single" w:sz="4" w:space="0" w:color="auto"/>
              <w:left w:val="single" w:sz="8" w:space="0" w:color="113F80"/>
              <w:bottom w:val="single" w:sz="4" w:space="0" w:color="113F80"/>
              <w:right w:val="single" w:sz="4" w:space="0" w:color="113F80"/>
            </w:tcBorders>
            <w:shd w:val="clear" w:color="000000" w:fill="auto"/>
            <w:noWrap/>
            <w:vAlign w:val="center"/>
            <w:hideMark/>
          </w:tcPr>
          <w:p w14:paraId="4285B265" w14:textId="7D85C51A" w:rsidR="001C685D" w:rsidRPr="00E46299" w:rsidRDefault="00B71500" w:rsidP="001C685D">
            <w:pPr>
              <w:jc w:val="center"/>
              <w:rPr>
                <w:sz w:val="20"/>
                <w:szCs w:val="20"/>
                <w:lang w:eastAsia="en-US"/>
              </w:rPr>
            </w:pPr>
            <w:r w:rsidRPr="00E46299">
              <w:rPr>
                <w:rFonts w:eastAsiaTheme="minorHAnsi"/>
                <w:sz w:val="20"/>
                <w:szCs w:val="20"/>
                <w:lang w:eastAsia="en-US"/>
              </w:rPr>
              <w:t>4,99</w:t>
            </w:r>
          </w:p>
        </w:tc>
        <w:tc>
          <w:tcPr>
            <w:tcW w:w="397" w:type="pct"/>
            <w:tcBorders>
              <w:top w:val="single" w:sz="4" w:space="0" w:color="auto"/>
              <w:left w:val="nil"/>
              <w:bottom w:val="single" w:sz="4" w:space="0" w:color="113F80"/>
              <w:right w:val="single" w:sz="4" w:space="0" w:color="113F80"/>
            </w:tcBorders>
            <w:shd w:val="clear" w:color="000000" w:fill="auto"/>
            <w:noWrap/>
            <w:vAlign w:val="center"/>
            <w:hideMark/>
          </w:tcPr>
          <w:p w14:paraId="1E1992FA" w14:textId="0FE78470" w:rsidR="001C685D" w:rsidRPr="00E46299" w:rsidRDefault="00B71500" w:rsidP="001C685D">
            <w:pPr>
              <w:jc w:val="center"/>
              <w:rPr>
                <w:sz w:val="20"/>
                <w:szCs w:val="20"/>
                <w:lang w:eastAsia="en-US"/>
              </w:rPr>
            </w:pPr>
            <w:r w:rsidRPr="00E46299">
              <w:rPr>
                <w:rFonts w:eastAsiaTheme="minorHAnsi"/>
                <w:sz w:val="20"/>
                <w:szCs w:val="20"/>
                <w:lang w:eastAsia="en-US"/>
              </w:rPr>
              <w:t>5,36</w:t>
            </w:r>
          </w:p>
        </w:tc>
        <w:tc>
          <w:tcPr>
            <w:tcW w:w="477" w:type="pct"/>
            <w:tcBorders>
              <w:top w:val="single" w:sz="4" w:space="0" w:color="auto"/>
              <w:left w:val="nil"/>
              <w:bottom w:val="single" w:sz="4" w:space="0" w:color="113F80"/>
              <w:right w:val="single" w:sz="4" w:space="0" w:color="113F80"/>
            </w:tcBorders>
            <w:shd w:val="clear" w:color="000000" w:fill="auto"/>
            <w:noWrap/>
            <w:vAlign w:val="center"/>
            <w:hideMark/>
          </w:tcPr>
          <w:p w14:paraId="562842D5" w14:textId="3BA23EF7" w:rsidR="001C685D" w:rsidRPr="00E46299" w:rsidRDefault="00B71500" w:rsidP="001C685D">
            <w:pPr>
              <w:jc w:val="center"/>
              <w:rPr>
                <w:sz w:val="20"/>
                <w:szCs w:val="20"/>
                <w:lang w:eastAsia="en-US"/>
              </w:rPr>
            </w:pPr>
            <w:r w:rsidRPr="00E46299">
              <w:rPr>
                <w:rFonts w:eastAsiaTheme="minorHAnsi"/>
                <w:sz w:val="20"/>
                <w:szCs w:val="20"/>
                <w:lang w:eastAsia="en-US"/>
              </w:rPr>
              <w:t>6,02</w:t>
            </w:r>
          </w:p>
        </w:tc>
        <w:tc>
          <w:tcPr>
            <w:tcW w:w="793" w:type="pct"/>
            <w:tcBorders>
              <w:top w:val="single" w:sz="4" w:space="0" w:color="auto"/>
              <w:left w:val="single" w:sz="8" w:space="0" w:color="113F80"/>
              <w:bottom w:val="single" w:sz="4" w:space="0" w:color="113F80"/>
              <w:right w:val="single" w:sz="8" w:space="0" w:color="113F80"/>
            </w:tcBorders>
            <w:shd w:val="clear" w:color="000000" w:fill="auto"/>
            <w:noWrap/>
            <w:vAlign w:val="center"/>
          </w:tcPr>
          <w:p w14:paraId="6198C031" w14:textId="5A564C0A" w:rsidR="001C685D" w:rsidRPr="00E46299" w:rsidRDefault="00B71500" w:rsidP="001C685D">
            <w:pPr>
              <w:jc w:val="center"/>
              <w:rPr>
                <w:sz w:val="20"/>
                <w:szCs w:val="20"/>
                <w:lang w:eastAsia="en-US"/>
              </w:rPr>
            </w:pPr>
            <w:r w:rsidRPr="00E46299">
              <w:rPr>
                <w:rFonts w:eastAsiaTheme="minorHAnsi"/>
                <w:sz w:val="20"/>
                <w:szCs w:val="20"/>
                <w:lang w:eastAsia="en-US"/>
              </w:rPr>
              <w:t>5,29</w:t>
            </w:r>
          </w:p>
        </w:tc>
      </w:tr>
      <w:tr w:rsidR="001C685D" w:rsidRPr="001C685D" w14:paraId="2FA1F204" w14:textId="77777777" w:rsidTr="006F52B6">
        <w:trPr>
          <w:trHeight w:val="288"/>
          <w:jc w:val="center"/>
        </w:trPr>
        <w:tc>
          <w:tcPr>
            <w:tcW w:w="2305" w:type="pct"/>
            <w:shd w:val="clear" w:color="auto" w:fill="FFFFFF" w:themeFill="background1"/>
            <w:noWrap/>
            <w:vAlign w:val="center"/>
          </w:tcPr>
          <w:p w14:paraId="184A686D" w14:textId="77777777" w:rsidR="001C685D" w:rsidRPr="00E46299" w:rsidRDefault="001C685D" w:rsidP="001C685D">
            <w:pPr>
              <w:rPr>
                <w:color w:val="000000"/>
                <w:sz w:val="18"/>
                <w:szCs w:val="18"/>
                <w:lang w:eastAsia="en-US"/>
              </w:rPr>
            </w:pPr>
            <w:r w:rsidRPr="00E46299">
              <w:rPr>
                <w:color w:val="000000"/>
                <w:sz w:val="18"/>
                <w:szCs w:val="18"/>
                <w:lang w:eastAsia="en-US"/>
              </w:rPr>
              <w:t>Access.Copper.Wholesale - Central Access Lines - Market 3B.Access</w:t>
            </w:r>
          </w:p>
        </w:tc>
        <w:tc>
          <w:tcPr>
            <w:tcW w:w="631" w:type="pct"/>
            <w:vMerge/>
            <w:shd w:val="clear" w:color="auto" w:fill="FFFFFF" w:themeFill="background1"/>
            <w:noWrap/>
            <w:vAlign w:val="center"/>
          </w:tcPr>
          <w:p w14:paraId="7994CA54" w14:textId="77777777" w:rsidR="001C685D" w:rsidRPr="00E46299" w:rsidRDefault="001C685D" w:rsidP="001C685D">
            <w:pPr>
              <w:jc w:val="center"/>
              <w:rPr>
                <w:color w:val="000000"/>
                <w:sz w:val="18"/>
                <w:szCs w:val="18"/>
                <w:lang w:eastAsia="en-US"/>
              </w:rPr>
            </w:pPr>
          </w:p>
        </w:tc>
        <w:tc>
          <w:tcPr>
            <w:tcW w:w="397" w:type="pct"/>
            <w:tcBorders>
              <w:top w:val="single" w:sz="4" w:space="0" w:color="113F80"/>
              <w:left w:val="single" w:sz="8" w:space="0" w:color="113F80"/>
              <w:bottom w:val="single" w:sz="4" w:space="0" w:color="113F80"/>
              <w:right w:val="single" w:sz="4" w:space="0" w:color="113F80"/>
            </w:tcBorders>
            <w:shd w:val="clear" w:color="000000" w:fill="auto"/>
            <w:noWrap/>
            <w:vAlign w:val="center"/>
          </w:tcPr>
          <w:p w14:paraId="5C22E336" w14:textId="3BB01252" w:rsidR="001C685D" w:rsidRPr="00E46299" w:rsidRDefault="00B71500" w:rsidP="001C685D">
            <w:pPr>
              <w:jc w:val="center"/>
              <w:rPr>
                <w:rFonts w:eastAsiaTheme="minorHAnsi"/>
                <w:sz w:val="20"/>
                <w:szCs w:val="20"/>
                <w:lang w:eastAsia="en-US"/>
              </w:rPr>
            </w:pPr>
            <w:r w:rsidRPr="00E46299">
              <w:rPr>
                <w:rFonts w:eastAsiaTheme="minorHAnsi"/>
                <w:sz w:val="20"/>
                <w:szCs w:val="20"/>
                <w:lang w:eastAsia="en-US"/>
              </w:rPr>
              <w:t>6,09</w:t>
            </w:r>
          </w:p>
        </w:tc>
        <w:tc>
          <w:tcPr>
            <w:tcW w:w="397" w:type="pct"/>
            <w:tcBorders>
              <w:top w:val="single" w:sz="4" w:space="0" w:color="113F80"/>
              <w:left w:val="nil"/>
              <w:bottom w:val="single" w:sz="4" w:space="0" w:color="113F80"/>
              <w:right w:val="single" w:sz="4" w:space="0" w:color="113F80"/>
            </w:tcBorders>
            <w:shd w:val="clear" w:color="000000" w:fill="auto"/>
            <w:noWrap/>
            <w:vAlign w:val="center"/>
          </w:tcPr>
          <w:p w14:paraId="417381A2" w14:textId="6CBBA2D6" w:rsidR="001C685D" w:rsidRPr="00E46299" w:rsidRDefault="00B71500" w:rsidP="001C685D">
            <w:pPr>
              <w:jc w:val="center"/>
              <w:rPr>
                <w:rFonts w:eastAsiaTheme="minorHAnsi"/>
                <w:sz w:val="20"/>
                <w:szCs w:val="20"/>
                <w:lang w:eastAsia="en-US"/>
              </w:rPr>
            </w:pPr>
            <w:r w:rsidRPr="00E46299">
              <w:rPr>
                <w:rFonts w:eastAsiaTheme="minorHAnsi"/>
                <w:sz w:val="20"/>
                <w:szCs w:val="20"/>
                <w:lang w:eastAsia="en-US"/>
              </w:rPr>
              <w:t>6,01</w:t>
            </w:r>
          </w:p>
        </w:tc>
        <w:tc>
          <w:tcPr>
            <w:tcW w:w="477" w:type="pct"/>
            <w:tcBorders>
              <w:top w:val="single" w:sz="4" w:space="0" w:color="113F80"/>
              <w:left w:val="nil"/>
              <w:bottom w:val="single" w:sz="4" w:space="0" w:color="113F80"/>
              <w:right w:val="single" w:sz="4" w:space="0" w:color="113F80"/>
            </w:tcBorders>
            <w:shd w:val="clear" w:color="000000" w:fill="auto"/>
            <w:noWrap/>
            <w:vAlign w:val="center"/>
          </w:tcPr>
          <w:p w14:paraId="0740F6BA" w14:textId="7562DDC8" w:rsidR="001C685D" w:rsidRPr="00E46299" w:rsidRDefault="00B71500" w:rsidP="001C685D">
            <w:pPr>
              <w:jc w:val="center"/>
              <w:rPr>
                <w:rFonts w:eastAsiaTheme="minorHAnsi"/>
                <w:sz w:val="20"/>
                <w:szCs w:val="20"/>
                <w:lang w:eastAsia="en-US"/>
              </w:rPr>
            </w:pPr>
            <w:r w:rsidRPr="00E46299">
              <w:rPr>
                <w:rFonts w:eastAsiaTheme="minorHAnsi"/>
                <w:sz w:val="20"/>
                <w:szCs w:val="20"/>
                <w:lang w:eastAsia="en-US"/>
              </w:rPr>
              <w:t>5.96</w:t>
            </w:r>
          </w:p>
        </w:tc>
        <w:tc>
          <w:tcPr>
            <w:tcW w:w="793" w:type="pct"/>
            <w:tcBorders>
              <w:top w:val="single" w:sz="4" w:space="0" w:color="113F80"/>
              <w:left w:val="single" w:sz="8" w:space="0" w:color="113F80"/>
              <w:bottom w:val="single" w:sz="4" w:space="0" w:color="113F80"/>
              <w:right w:val="single" w:sz="8" w:space="0" w:color="113F80"/>
            </w:tcBorders>
            <w:shd w:val="clear" w:color="000000" w:fill="auto"/>
            <w:noWrap/>
            <w:vAlign w:val="center"/>
          </w:tcPr>
          <w:p w14:paraId="6245ED00" w14:textId="6CE32D2D" w:rsidR="001C685D" w:rsidRPr="00E46299" w:rsidDel="00586B80" w:rsidRDefault="00B71500" w:rsidP="001C685D">
            <w:pPr>
              <w:jc w:val="center"/>
              <w:rPr>
                <w:rFonts w:eastAsiaTheme="minorHAnsi"/>
                <w:sz w:val="20"/>
                <w:szCs w:val="20"/>
                <w:lang w:eastAsia="en-US"/>
              </w:rPr>
            </w:pPr>
            <w:r w:rsidRPr="00E46299">
              <w:rPr>
                <w:rFonts w:eastAsiaTheme="minorHAnsi"/>
                <w:sz w:val="20"/>
                <w:szCs w:val="20"/>
                <w:lang w:eastAsia="en-US"/>
              </w:rPr>
              <w:t>6,02</w:t>
            </w:r>
          </w:p>
        </w:tc>
      </w:tr>
      <w:tr w:rsidR="001C685D" w:rsidRPr="001C685D" w14:paraId="6D8B02D4" w14:textId="77777777" w:rsidTr="006F52B6">
        <w:trPr>
          <w:trHeight w:val="288"/>
          <w:jc w:val="center"/>
        </w:trPr>
        <w:tc>
          <w:tcPr>
            <w:tcW w:w="2305" w:type="pct"/>
            <w:shd w:val="clear" w:color="auto" w:fill="FFFFFF" w:themeFill="background1"/>
            <w:noWrap/>
            <w:vAlign w:val="center"/>
          </w:tcPr>
          <w:p w14:paraId="72CE5532" w14:textId="77777777" w:rsidR="001C685D" w:rsidRPr="00E46299" w:rsidRDefault="001C685D" w:rsidP="001C685D">
            <w:pPr>
              <w:rPr>
                <w:b/>
                <w:color w:val="000000"/>
                <w:sz w:val="18"/>
                <w:szCs w:val="18"/>
                <w:lang w:eastAsia="en-US"/>
              </w:rPr>
            </w:pPr>
            <w:r w:rsidRPr="00E46299">
              <w:rPr>
                <w:b/>
                <w:color w:val="000000"/>
                <w:sz w:val="18"/>
                <w:szCs w:val="18"/>
                <w:lang w:eastAsia="en-US"/>
              </w:rPr>
              <w:t>Jedinstvena cijena LLU usluge i naknade za korištenje bakrene pristupne mreže kao dijela cijene usluge bitstream pristupa (ponderirani prosjek)</w:t>
            </w:r>
          </w:p>
        </w:tc>
        <w:tc>
          <w:tcPr>
            <w:tcW w:w="631" w:type="pct"/>
            <w:vMerge/>
            <w:shd w:val="clear" w:color="auto" w:fill="FFFFFF" w:themeFill="background1"/>
            <w:noWrap/>
            <w:vAlign w:val="center"/>
          </w:tcPr>
          <w:p w14:paraId="70A765E2" w14:textId="77777777" w:rsidR="001C685D" w:rsidRPr="00E46299" w:rsidRDefault="001C685D" w:rsidP="001C685D">
            <w:pPr>
              <w:jc w:val="center"/>
              <w:rPr>
                <w:color w:val="000000"/>
                <w:sz w:val="18"/>
                <w:szCs w:val="18"/>
                <w:lang w:eastAsia="en-US"/>
              </w:rPr>
            </w:pPr>
          </w:p>
        </w:tc>
        <w:tc>
          <w:tcPr>
            <w:tcW w:w="397" w:type="pct"/>
            <w:tcBorders>
              <w:top w:val="single" w:sz="4" w:space="0" w:color="113F80"/>
              <w:left w:val="single" w:sz="8" w:space="0" w:color="113F80"/>
              <w:bottom w:val="single" w:sz="4" w:space="0" w:color="113F80"/>
              <w:right w:val="single" w:sz="4" w:space="0" w:color="113F80"/>
            </w:tcBorders>
            <w:shd w:val="clear" w:color="000000" w:fill="auto"/>
            <w:noWrap/>
            <w:vAlign w:val="center"/>
          </w:tcPr>
          <w:p w14:paraId="60FC7FB8" w14:textId="62490A5C" w:rsidR="001C685D" w:rsidRPr="00E46299" w:rsidRDefault="00B71500" w:rsidP="001C685D">
            <w:pPr>
              <w:jc w:val="center"/>
              <w:rPr>
                <w:rFonts w:eastAsiaTheme="minorHAnsi"/>
                <w:sz w:val="20"/>
                <w:szCs w:val="20"/>
                <w:lang w:eastAsia="en-US"/>
              </w:rPr>
            </w:pPr>
            <w:r w:rsidRPr="00E46299">
              <w:rPr>
                <w:rFonts w:eastAsiaTheme="minorHAnsi"/>
                <w:sz w:val="20"/>
                <w:szCs w:val="20"/>
                <w:lang w:eastAsia="en-US"/>
              </w:rPr>
              <w:t>5,90</w:t>
            </w:r>
          </w:p>
        </w:tc>
        <w:tc>
          <w:tcPr>
            <w:tcW w:w="397" w:type="pct"/>
            <w:tcBorders>
              <w:top w:val="single" w:sz="4" w:space="0" w:color="113F80"/>
              <w:left w:val="nil"/>
              <w:bottom w:val="single" w:sz="4" w:space="0" w:color="113F80"/>
              <w:right w:val="single" w:sz="4" w:space="0" w:color="113F80"/>
            </w:tcBorders>
            <w:shd w:val="clear" w:color="000000" w:fill="auto"/>
            <w:noWrap/>
            <w:vAlign w:val="center"/>
          </w:tcPr>
          <w:p w14:paraId="51BC8FFB" w14:textId="271F64BC" w:rsidR="001C685D" w:rsidRPr="00E46299" w:rsidRDefault="00B71500" w:rsidP="001C685D">
            <w:pPr>
              <w:jc w:val="center"/>
              <w:rPr>
                <w:rFonts w:eastAsiaTheme="minorHAnsi"/>
                <w:sz w:val="20"/>
                <w:szCs w:val="20"/>
                <w:lang w:eastAsia="en-US"/>
              </w:rPr>
            </w:pPr>
            <w:r w:rsidRPr="00E46299">
              <w:rPr>
                <w:rFonts w:eastAsiaTheme="minorHAnsi"/>
                <w:sz w:val="20"/>
                <w:szCs w:val="20"/>
                <w:lang w:eastAsia="en-US"/>
              </w:rPr>
              <w:t>5,93</w:t>
            </w:r>
          </w:p>
        </w:tc>
        <w:tc>
          <w:tcPr>
            <w:tcW w:w="477" w:type="pct"/>
            <w:tcBorders>
              <w:top w:val="single" w:sz="4" w:space="0" w:color="113F80"/>
              <w:left w:val="nil"/>
              <w:bottom w:val="single" w:sz="4" w:space="0" w:color="113F80"/>
              <w:right w:val="single" w:sz="4" w:space="0" w:color="113F80"/>
            </w:tcBorders>
            <w:shd w:val="clear" w:color="000000" w:fill="auto"/>
            <w:noWrap/>
            <w:vAlign w:val="center"/>
          </w:tcPr>
          <w:p w14:paraId="49EC7DBA" w14:textId="7A6836B1" w:rsidR="001C685D" w:rsidRPr="00E46299" w:rsidRDefault="00B71500" w:rsidP="001C685D">
            <w:pPr>
              <w:jc w:val="center"/>
              <w:rPr>
                <w:rFonts w:eastAsiaTheme="minorHAnsi"/>
                <w:sz w:val="20"/>
                <w:szCs w:val="20"/>
                <w:lang w:eastAsia="en-US"/>
              </w:rPr>
            </w:pPr>
            <w:r w:rsidRPr="00E46299">
              <w:rPr>
                <w:rFonts w:eastAsiaTheme="minorHAnsi"/>
                <w:sz w:val="20"/>
                <w:szCs w:val="20"/>
                <w:lang w:eastAsia="en-US"/>
              </w:rPr>
              <w:t>5,96</w:t>
            </w:r>
          </w:p>
        </w:tc>
        <w:tc>
          <w:tcPr>
            <w:tcW w:w="793" w:type="pct"/>
            <w:tcBorders>
              <w:top w:val="single" w:sz="4" w:space="0" w:color="113F80"/>
              <w:left w:val="single" w:sz="8" w:space="0" w:color="113F80"/>
              <w:bottom w:val="single" w:sz="4" w:space="0" w:color="113F80"/>
              <w:right w:val="single" w:sz="8" w:space="0" w:color="113F80"/>
            </w:tcBorders>
            <w:shd w:val="clear" w:color="000000" w:fill="auto"/>
            <w:noWrap/>
            <w:vAlign w:val="center"/>
          </w:tcPr>
          <w:p w14:paraId="10A037D8" w14:textId="0B071F90" w:rsidR="001C685D" w:rsidRPr="00E46299" w:rsidDel="00586B80" w:rsidRDefault="00B71500" w:rsidP="001C685D">
            <w:pPr>
              <w:jc w:val="center"/>
              <w:rPr>
                <w:rFonts w:eastAsiaTheme="minorHAnsi"/>
                <w:b/>
                <w:sz w:val="20"/>
                <w:szCs w:val="20"/>
                <w:lang w:eastAsia="en-US"/>
              </w:rPr>
            </w:pPr>
            <w:r w:rsidRPr="00E46299">
              <w:rPr>
                <w:rFonts w:eastAsiaTheme="minorHAnsi"/>
                <w:b/>
                <w:sz w:val="20"/>
                <w:szCs w:val="20"/>
                <w:lang w:eastAsia="en-US"/>
              </w:rPr>
              <w:t>5,74</w:t>
            </w:r>
          </w:p>
        </w:tc>
      </w:tr>
    </w:tbl>
    <w:p w14:paraId="07E1D16C" w14:textId="5D25B713" w:rsidR="00040D85" w:rsidRPr="00E67889" w:rsidRDefault="00040D85" w:rsidP="00040D85">
      <w:pPr>
        <w:jc w:val="both"/>
      </w:pPr>
    </w:p>
    <w:p w14:paraId="7D2BE19D" w14:textId="2E144DB8" w:rsidR="00040D85" w:rsidRPr="00E67889" w:rsidRDefault="00040D85" w:rsidP="00040D85">
      <w:pPr>
        <w:jc w:val="both"/>
        <w:rPr>
          <w:b/>
          <w:i/>
        </w:rPr>
      </w:pPr>
      <w:r>
        <w:rPr>
          <w:b/>
          <w:i/>
        </w:rPr>
        <w:t>Pretpostavke za o</w:t>
      </w:r>
      <w:r w:rsidRPr="00E67889">
        <w:rPr>
          <w:b/>
          <w:i/>
        </w:rPr>
        <w:t>dređivanje cijene usluge pristupa pasivnoj pristupnoj svjetlovodnoj mreži na lokaciji distribucijskog čvora (FA PON)</w:t>
      </w:r>
    </w:p>
    <w:p w14:paraId="1468D61D" w14:textId="77777777" w:rsidR="00040D85" w:rsidRDefault="00040D85" w:rsidP="00040D85">
      <w:pPr>
        <w:jc w:val="both"/>
      </w:pPr>
    </w:p>
    <w:p w14:paraId="4C649A90" w14:textId="25561C94" w:rsidR="00005741" w:rsidRPr="00005741" w:rsidRDefault="00005741" w:rsidP="00005741">
      <w:pPr>
        <w:jc w:val="both"/>
      </w:pPr>
      <w:r>
        <w:t>J</w:t>
      </w:r>
      <w:r w:rsidRPr="00005741">
        <w:t xml:space="preserve">edinični troškovi </w:t>
      </w:r>
      <w:r>
        <w:t xml:space="preserve">veleprodajnih </w:t>
      </w:r>
      <w:r w:rsidRPr="00005741">
        <w:t xml:space="preserve">usluga </w:t>
      </w:r>
      <w:r>
        <w:t>su jako</w:t>
      </w:r>
      <w:r w:rsidRPr="00005741">
        <w:t xml:space="preserve"> osjetljivi na predviđanje </w:t>
      </w:r>
      <w:r w:rsidRPr="00E46299">
        <w:t>potražnje</w:t>
      </w:r>
      <w:r>
        <w:rPr>
          <w:i/>
        </w:rPr>
        <w:t xml:space="preserve"> </w:t>
      </w:r>
      <w:r w:rsidRPr="00005741">
        <w:t>u budućem razdoblju. Drugim riječima ako se prognozira viš</w:t>
      </w:r>
      <w:r w:rsidR="0096737E">
        <w:t>a potražnja</w:t>
      </w:r>
      <w:r w:rsidRPr="00005741">
        <w:t xml:space="preserve"> u budućnosti, to kao rezultat donosi niže jedinične troškove i obrnuto. Stoga je vrlo važno pravilno prognozirati taj podatak, kako bi se izbjegla situacija prekomjernog povrata troškova u slučaju neopravdano visokih cijena kao rezultat procjene niže</w:t>
      </w:r>
      <w:r w:rsidR="0096737E">
        <w:t xml:space="preserve"> potražnje</w:t>
      </w:r>
      <w:r w:rsidRPr="00005741">
        <w:t xml:space="preserve">, ali i situacija s neopravdano nižim cijenama kojima se ne bi u potpunosti nadoknadili troškovi u slučaju procjene više razine </w:t>
      </w:r>
      <w:r w:rsidR="0096737E">
        <w:t>potražnje od realne</w:t>
      </w:r>
      <w:r w:rsidRPr="00005741">
        <w:t xml:space="preserve">. </w:t>
      </w:r>
    </w:p>
    <w:p w14:paraId="1D8579D3" w14:textId="139EB834" w:rsidR="00073C41" w:rsidRDefault="008316AB" w:rsidP="00040D85">
      <w:pPr>
        <w:jc w:val="both"/>
      </w:pPr>
      <w:r>
        <w:t>K</w:t>
      </w:r>
      <w:r w:rsidRPr="00E67889">
        <w:t xml:space="preserve">ao ulazni podatak u Troškovnom modelu </w:t>
      </w:r>
      <w:r w:rsidR="00040D85" w:rsidRPr="00E67889">
        <w:t>HAKOM je</w:t>
      </w:r>
      <w:r w:rsidR="0096737E">
        <w:t xml:space="preserve">, jednako kao i pri određivanju trenutno važećih cijena veleprodajnih usluga putem svjetlovodne mreže HT-a, </w:t>
      </w:r>
      <w:r w:rsidR="00040D85" w:rsidRPr="00E67889">
        <w:t>koristio alternativne podatke o</w:t>
      </w:r>
      <w:r w:rsidR="00E846DE">
        <w:t xml:space="preserve"> proc</w:t>
      </w:r>
      <w:r w:rsidR="0061038E">
        <w:t>i</w:t>
      </w:r>
      <w:r w:rsidR="00E846DE">
        <w:t xml:space="preserve">jenjenoj </w:t>
      </w:r>
      <w:r w:rsidR="00040D85" w:rsidRPr="00E67889">
        <w:t>potražnji za uslugama na svjetlovodnim pristupnim mrežama</w:t>
      </w:r>
      <w:r w:rsidR="00E846DE">
        <w:t xml:space="preserve"> za razdoblje nakon 2022.</w:t>
      </w:r>
      <w:r w:rsidR="00040D85" w:rsidRPr="00E67889">
        <w:t xml:space="preserve"> umjesto podataka o potražnji koje je dostavio HT u postupku prikupljanja podataka. </w:t>
      </w:r>
      <w:r w:rsidR="00E846DE">
        <w:t>Naime, umjesto podataka koje je dostavio HT,</w:t>
      </w:r>
      <w:r w:rsidR="00E846DE" w:rsidRPr="00E846DE">
        <w:t xml:space="preserve"> potražnja </w:t>
      </w:r>
      <w:r w:rsidR="00E846DE">
        <w:t xml:space="preserve">se </w:t>
      </w:r>
      <w:r w:rsidR="00E846DE" w:rsidRPr="00E846DE">
        <w:t xml:space="preserve">izračunala kao postotak korisničkih jedinica s aktivnim svjetlovodnim linijama u odnosu na ukupan broj korisničkih jedinica pokrivenih svjetlovodnom mrežom (dalje: </w:t>
      </w:r>
      <w:r w:rsidR="00E846DE" w:rsidRPr="00E846DE">
        <w:rPr>
          <w:i/>
        </w:rPr>
        <w:t>take-up</w:t>
      </w:r>
      <w:r w:rsidR="00E846DE" w:rsidRPr="00E846DE">
        <w:t>)</w:t>
      </w:r>
      <w:r w:rsidR="00E846DE">
        <w:t xml:space="preserve">. </w:t>
      </w:r>
      <w:r w:rsidR="00040D85" w:rsidRPr="00E67889">
        <w:t>Ti a</w:t>
      </w:r>
      <w:r>
        <w:t xml:space="preserve">lternativni podaci o potražnji </w:t>
      </w:r>
      <w:r w:rsidR="00E846DE">
        <w:t xml:space="preserve">koji su uneseni u Troškovni model za razdoblje nakon 2022. </w:t>
      </w:r>
      <w:r w:rsidR="00040D85" w:rsidRPr="00E67889">
        <w:t xml:space="preserve">izračunati su temeljem pretpostavke da učinkoviti operator mora imati </w:t>
      </w:r>
      <w:r w:rsidR="00040D85" w:rsidRPr="00073C41">
        <w:rPr>
          <w:i/>
        </w:rPr>
        <w:t>take up</w:t>
      </w:r>
      <w:r w:rsidR="00040D85" w:rsidRPr="00E67889">
        <w:t xml:space="preserve"> svjetlovodne pristupne mreže u 2027. od barem 45% na komercijalnim područjima, odnosno 60% na mrežama koje će se graditi uz pomoć sredstava državnih potpora iz ONP-a. </w:t>
      </w:r>
    </w:p>
    <w:p w14:paraId="6F5B4748" w14:textId="0E87C787" w:rsidR="00EA56A5" w:rsidRDefault="00EA56A5" w:rsidP="00040D85">
      <w:pPr>
        <w:jc w:val="both"/>
      </w:pPr>
    </w:p>
    <w:p w14:paraId="43BFD3F7" w14:textId="374AFFD2" w:rsidR="00EA56A5" w:rsidRDefault="00040D85" w:rsidP="00EA56A5">
      <w:pPr>
        <w:jc w:val="both"/>
      </w:pPr>
      <w:r w:rsidRPr="00E67889">
        <w:t xml:space="preserve">Pretpostavka o </w:t>
      </w:r>
      <w:r w:rsidRPr="00E17353">
        <w:rPr>
          <w:i/>
        </w:rPr>
        <w:t>take up</w:t>
      </w:r>
      <w:r w:rsidRPr="00E67889">
        <w:t>-u od 45% na komercijalnim područjima je prema mišljenju HAKOM-a prilično konzervativna budući da je u</w:t>
      </w:r>
      <w:r w:rsidR="003F5D9E">
        <w:t xml:space="preserve"> zemljama članicama Europske Unije (EU27)</w:t>
      </w:r>
      <w:r w:rsidRPr="00E67889">
        <w:t xml:space="preserve"> prosječni </w:t>
      </w:r>
      <w:r w:rsidRPr="00E17353">
        <w:rPr>
          <w:i/>
        </w:rPr>
        <w:t>take up</w:t>
      </w:r>
      <w:r w:rsidRPr="00E67889">
        <w:t xml:space="preserve"> već sada </w:t>
      </w:r>
      <w:r w:rsidR="00630342">
        <w:t>iznad</w:t>
      </w:r>
      <w:r w:rsidRPr="00E67889">
        <w:t xml:space="preserve"> </w:t>
      </w:r>
      <w:r w:rsidR="003F5D9E">
        <w:t>50%</w:t>
      </w:r>
      <w:r w:rsidR="003F5D9E">
        <w:rPr>
          <w:rStyle w:val="FootnoteReference"/>
        </w:rPr>
        <w:footnoteReference w:id="9"/>
      </w:r>
      <w:r w:rsidRPr="00E67889">
        <w:t xml:space="preserve"> i stalno raste, dok je </w:t>
      </w:r>
      <w:r w:rsidRPr="008316AB">
        <w:rPr>
          <w:i/>
        </w:rPr>
        <w:t>take up</w:t>
      </w:r>
      <w:r w:rsidRPr="00E67889">
        <w:t xml:space="preserve"> od 60% na nekomercijalnim područjima temeljen na specifičnostima projekata koji se financiraju sredstvima državnih potpora te činjenicom da se na tim područjima ne očekuje gradnja paralelnih infrastruktura drugih operatora na koje bi se mogao spojiti dio korisnika i time smanjiti </w:t>
      </w:r>
      <w:r w:rsidRPr="00E17353">
        <w:rPr>
          <w:i/>
        </w:rPr>
        <w:t>take up</w:t>
      </w:r>
      <w:r w:rsidRPr="00E67889">
        <w:t xml:space="preserve"> na HT-ovo</w:t>
      </w:r>
      <w:r w:rsidR="00E17353">
        <w:t>j</w:t>
      </w:r>
      <w:r w:rsidRPr="00E67889">
        <w:t xml:space="preserve"> svjetlovodnoj mreži. </w:t>
      </w:r>
      <w:r w:rsidR="003F5D9E">
        <w:t>Osim navedenih pretpostavki na osnovu kojih je izračunata potražnja za uslugama putem HT-ove svjetlovodne mreže, u Troškovnom modelu je zadržana i pretpostavka da će se potpuna migracija na svjetlovodnu mrežu završiti od 2030. nadalje (Opcija A u Troškovnom modelu).</w:t>
      </w:r>
    </w:p>
    <w:p w14:paraId="2012CAFB" w14:textId="77777777" w:rsidR="00EA56A5" w:rsidRDefault="00EA56A5" w:rsidP="00EA56A5">
      <w:pPr>
        <w:jc w:val="both"/>
      </w:pPr>
    </w:p>
    <w:p w14:paraId="5E6C6D74" w14:textId="2CDE663C" w:rsidR="0096737E" w:rsidRDefault="00EA56A5" w:rsidP="00EA56A5">
      <w:pPr>
        <w:jc w:val="both"/>
      </w:pPr>
      <w:r>
        <w:t>V</w:t>
      </w:r>
      <w:r w:rsidR="00040D85" w:rsidRPr="00E67889">
        <w:t>eleprodajna cijena za FA PON uslugu odre</w:t>
      </w:r>
      <w:r>
        <w:t>đena</w:t>
      </w:r>
      <w:r w:rsidR="00040D85" w:rsidRPr="00E67889">
        <w:t xml:space="preserve"> </w:t>
      </w:r>
      <w:r>
        <w:t>j</w:t>
      </w:r>
      <w:r w:rsidR="00040D85" w:rsidRPr="00E67889">
        <w:t xml:space="preserve">e na temelju rezultata troškova veleprodajne usluge </w:t>
      </w:r>
      <w:r w:rsidR="00040D85" w:rsidRPr="00E67889">
        <w:rPr>
          <w:i/>
        </w:rPr>
        <w:t>Access.FTTH - Unbundled at DN level (PTP) .Wholesale - Local Access Lines - Market 3A.Access</w:t>
      </w:r>
      <w:r w:rsidR="00040D85" w:rsidRPr="00E67889">
        <w:t xml:space="preserve"> iz Troškovnog modela. Struktura same cijene osta</w:t>
      </w:r>
      <w:r>
        <w:t>je</w:t>
      </w:r>
      <w:r w:rsidR="00040D85" w:rsidRPr="00E67889">
        <w:t xml:space="preserve"> nepromijenjena, </w:t>
      </w:r>
      <w:r>
        <w:t xml:space="preserve">odnosno </w:t>
      </w:r>
      <w:r w:rsidR="00040D85" w:rsidRPr="00E67889">
        <w:t>jednaka</w:t>
      </w:r>
      <w:r w:rsidR="008316AB">
        <w:t xml:space="preserve"> je</w:t>
      </w:r>
      <w:r w:rsidR="00040D85" w:rsidRPr="00E67889">
        <w:t xml:space="preserve"> trošku gore navedene veleprodajne usluge iz Troškovnog modela. Također, odre</w:t>
      </w:r>
      <w:r>
        <w:t>đene su</w:t>
      </w:r>
      <w:r w:rsidR="00040D85" w:rsidRPr="00E67889">
        <w:t xml:space="preserve"> dvije cijene, s uključenom i bez uključene svjetlovodne instalacije unutar višestambene zgrade, ovisno o tome da li je ista u vlasništvu HT-a ili ne. Nakon toga </w:t>
      </w:r>
      <w:r>
        <w:t>j</w:t>
      </w:r>
      <w:r w:rsidR="00040D85" w:rsidRPr="00E67889">
        <w:t>e izračunat</w:t>
      </w:r>
      <w:r>
        <w:t>a</w:t>
      </w:r>
      <w:r w:rsidR="00040D85" w:rsidRPr="00E67889">
        <w:t xml:space="preserve"> jedinstvena cijena kao prosjek dobivenih cijena za godine 202</w:t>
      </w:r>
      <w:r w:rsidR="007E42BA">
        <w:t>4</w:t>
      </w:r>
      <w:r w:rsidR="00040D85" w:rsidRPr="00E67889">
        <w:t>, 202</w:t>
      </w:r>
      <w:r w:rsidR="007E42BA">
        <w:t>5</w:t>
      </w:r>
      <w:r w:rsidR="00040D85" w:rsidRPr="00E67889">
        <w:t xml:space="preserve"> i 202</w:t>
      </w:r>
      <w:r w:rsidR="007E42BA">
        <w:t>6</w:t>
      </w:r>
      <w:r w:rsidR="00040D85" w:rsidRPr="00E67889">
        <w:t>.</w:t>
      </w:r>
    </w:p>
    <w:p w14:paraId="2CBC418F" w14:textId="77777777" w:rsidR="00BC43BE" w:rsidRDefault="0096737E" w:rsidP="00BC43BE">
      <w:pPr>
        <w:jc w:val="both"/>
      </w:pPr>
      <w:r>
        <w:t xml:space="preserve">Potrebno je naglasiti da je HAKOM razmatrao mogućnost da se u izračun troška FA-PON usluge uključi i trošak distribucijskog čvora (koji se trenutno naplaćuje kroz </w:t>
      </w:r>
      <w:r w:rsidR="00BC43BE">
        <w:t xml:space="preserve">zasebnu </w:t>
      </w:r>
      <w:r>
        <w:t>naknadu za najam prostora u distribucijskom čvoru)</w:t>
      </w:r>
      <w:r w:rsidR="00BC43BE">
        <w:t xml:space="preserve">. </w:t>
      </w:r>
    </w:p>
    <w:p w14:paraId="0E23A676" w14:textId="58C9D144" w:rsidR="00BC43BE" w:rsidRDefault="00BC43BE" w:rsidP="00BC43BE">
      <w:pPr>
        <w:jc w:val="both"/>
      </w:pPr>
      <w:r>
        <w:t xml:space="preserve">Stoga je HAKOM na </w:t>
      </w:r>
      <w:r w:rsidR="002275F8">
        <w:t>javnom</w:t>
      </w:r>
      <w:r>
        <w:t xml:space="preserve"> pozivu tražio očitovanje operatora o tome da se </w:t>
      </w:r>
      <w:r w:rsidRPr="00BC43BE">
        <w:t>trošak prostora u distribucijskom čvoru, koji se trenutno nadoknađuje kroz zasebnu mjesečnu naknadu, nadoknadi na način da se troškovi prostora u distribucijskom čvoru nadoknade kroz uslugu najma niti u distribucijskom čvoru (FA-PON) te da se postojeća mjesečna naknada za najam prostora u distribucijskom čvoru ukine. To bi s jedne strane rezultiralo određenim povećanjem mjesečne naknade za uslugu najma niti jer bi se trošak prostora u distribucijskom čvoru prenio na uslugu najma niti, dok bi se s druge strane pojednostavnio sustav mjesečnih naknada.</w:t>
      </w:r>
    </w:p>
    <w:p w14:paraId="2831B9D0" w14:textId="0BADF5DB" w:rsidR="00BC43BE" w:rsidRPr="00BC43BE" w:rsidRDefault="00BC43BE" w:rsidP="00BC43BE">
      <w:pPr>
        <w:jc w:val="both"/>
      </w:pPr>
      <w:r>
        <w:t xml:space="preserve">Na javnom pozivu operatori su se izjasnili ili da žele da se zadrži zasebna naknada za najam prostora u </w:t>
      </w:r>
      <w:r w:rsidR="002275F8">
        <w:t>distribucijskom</w:t>
      </w:r>
      <w:r>
        <w:t xml:space="preserve"> čvoru ili se nisu mogli izjasniti dok se točno ne definiraju stavke koje ulaze u izračun troška najma prostora distribucijskog čvora koji bi se dodijelio na FA-PON uslugu. Naime, </w:t>
      </w:r>
      <w:r w:rsidR="002275F8">
        <w:t>operatori</w:t>
      </w:r>
      <w:r>
        <w:t xml:space="preserve"> su na javnom pozivu istaknuli da se uz uslugu najma prostora u distribucijskom čvoru dodatno naplaćuju i određene jednokratne naknade kojima se nadoknađuju neki troškovi distribucijskog čvora. Stoga bi bilo potrebno jasno definirati koji troškovi se nadoknađuju naplatom naknade za najam prostora zbog izbjegavanja dvostruke nadoknade troškova. HAKOM je uzimajući u obzir komentare operatora na javnom pozivu te uzimajući u obzir odredbe mjerodavne standardne ponude</w:t>
      </w:r>
      <w:r>
        <w:rPr>
          <w:rStyle w:val="FootnoteReference"/>
        </w:rPr>
        <w:footnoteReference w:id="10"/>
      </w:r>
      <w:r>
        <w:t xml:space="preserve"> koje potvrđuju navode operatora</w:t>
      </w:r>
      <w:r w:rsidR="001971E6">
        <w:t>, zaključio da će se ostaviti na snazi isti sustav naplate po kojem će se trošak prostora u distribucijskom čvoru nastaviti naplaćivati kroz zasebnu mjesečnu naknadu, a koju će HAKOM odrediti naknadno u zasebnom postupku.</w:t>
      </w:r>
    </w:p>
    <w:p w14:paraId="539C9D8B" w14:textId="75FFF720" w:rsidR="001C685D" w:rsidRDefault="001C685D" w:rsidP="00EA56A5">
      <w:pPr>
        <w:jc w:val="both"/>
      </w:pPr>
    </w:p>
    <w:p w14:paraId="52931967" w14:textId="20002A87" w:rsidR="001C685D" w:rsidRDefault="001C685D" w:rsidP="00E46299">
      <w:pPr>
        <w:pStyle w:val="Caption"/>
        <w:keepNext/>
      </w:pPr>
      <w:r>
        <w:t xml:space="preserve">Tablica </w:t>
      </w:r>
      <w:fldSimple w:instr=" SEQ Tablica \* ARABIC ">
        <w:r w:rsidR="004E3197">
          <w:rPr>
            <w:noProof/>
          </w:rPr>
          <w:t>2</w:t>
        </w:r>
      </w:fldSimple>
      <w:r>
        <w:t>-Cijene FA-PON usluge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46"/>
        <w:gridCol w:w="1419"/>
        <w:gridCol w:w="1110"/>
        <w:gridCol w:w="769"/>
        <w:gridCol w:w="672"/>
        <w:gridCol w:w="1638"/>
      </w:tblGrid>
      <w:tr w:rsidR="001C685D" w:rsidRPr="001C685D" w14:paraId="5F5108B5" w14:textId="77777777" w:rsidTr="00E46299">
        <w:trPr>
          <w:trHeight w:val="300"/>
          <w:jc w:val="center"/>
        </w:trPr>
        <w:tc>
          <w:tcPr>
            <w:tcW w:w="2155" w:type="pct"/>
            <w:shd w:val="clear" w:color="000000" w:fill="0C2749"/>
            <w:vAlign w:val="center"/>
            <w:hideMark/>
          </w:tcPr>
          <w:p w14:paraId="681635AE" w14:textId="32053356" w:rsidR="001C685D" w:rsidRPr="00E46299" w:rsidRDefault="001C685D" w:rsidP="001C685D">
            <w:pPr>
              <w:jc w:val="center"/>
              <w:rPr>
                <w:b/>
                <w:bCs/>
                <w:color w:val="FFFFFF"/>
                <w:sz w:val="16"/>
                <w:szCs w:val="16"/>
                <w:lang w:eastAsia="en-US"/>
              </w:rPr>
            </w:pPr>
            <w:r w:rsidRPr="00E46299">
              <w:rPr>
                <w:b/>
                <w:bCs/>
                <w:color w:val="FFFFFF"/>
                <w:sz w:val="16"/>
                <w:szCs w:val="16"/>
                <w:lang w:eastAsia="en-US"/>
              </w:rPr>
              <w:t>U</w:t>
            </w:r>
            <w:r w:rsidR="009C6A67">
              <w:rPr>
                <w:b/>
                <w:bCs/>
                <w:color w:val="FFFFFF"/>
                <w:sz w:val="16"/>
                <w:szCs w:val="16"/>
                <w:lang w:eastAsia="en-US"/>
              </w:rPr>
              <w:t>sluga</w:t>
            </w:r>
          </w:p>
        </w:tc>
        <w:tc>
          <w:tcPr>
            <w:tcW w:w="720" w:type="pct"/>
            <w:shd w:val="clear" w:color="000000" w:fill="0C2749"/>
            <w:vAlign w:val="center"/>
            <w:hideMark/>
          </w:tcPr>
          <w:p w14:paraId="37163252" w14:textId="77777777" w:rsidR="001C685D" w:rsidRPr="00E46299" w:rsidRDefault="001C685D" w:rsidP="001C685D">
            <w:pPr>
              <w:jc w:val="center"/>
              <w:rPr>
                <w:b/>
                <w:bCs/>
                <w:color w:val="FFFFFF"/>
                <w:sz w:val="16"/>
                <w:szCs w:val="16"/>
                <w:lang w:eastAsia="en-US"/>
              </w:rPr>
            </w:pPr>
            <w:r w:rsidRPr="00E46299">
              <w:rPr>
                <w:b/>
                <w:bCs/>
                <w:color w:val="FFFFFF"/>
                <w:sz w:val="16"/>
                <w:szCs w:val="16"/>
                <w:lang w:eastAsia="en-US"/>
              </w:rPr>
              <w:t>Jedinica</w:t>
            </w:r>
          </w:p>
        </w:tc>
        <w:tc>
          <w:tcPr>
            <w:tcW w:w="563" w:type="pct"/>
            <w:shd w:val="clear" w:color="000000" w:fill="0C2749"/>
            <w:vAlign w:val="center"/>
            <w:hideMark/>
          </w:tcPr>
          <w:p w14:paraId="69955305" w14:textId="32EBD2E6" w:rsidR="001C685D" w:rsidRPr="00E46299" w:rsidRDefault="001C685D" w:rsidP="001C685D">
            <w:pPr>
              <w:jc w:val="center"/>
              <w:rPr>
                <w:b/>
                <w:bCs/>
                <w:color w:val="FFFFFF"/>
                <w:sz w:val="16"/>
                <w:szCs w:val="16"/>
                <w:lang w:eastAsia="en-US"/>
              </w:rPr>
            </w:pPr>
            <w:r w:rsidRPr="00E46299">
              <w:rPr>
                <w:b/>
                <w:bCs/>
                <w:color w:val="FFFFFF"/>
                <w:sz w:val="16"/>
                <w:szCs w:val="16"/>
                <w:lang w:eastAsia="en-US"/>
              </w:rPr>
              <w:t>2024</w:t>
            </w:r>
          </w:p>
        </w:tc>
        <w:tc>
          <w:tcPr>
            <w:tcW w:w="390" w:type="pct"/>
            <w:shd w:val="clear" w:color="000000" w:fill="0C2749"/>
            <w:vAlign w:val="center"/>
            <w:hideMark/>
          </w:tcPr>
          <w:p w14:paraId="209EE1DA" w14:textId="35360EC7" w:rsidR="001C685D" w:rsidRPr="00E46299" w:rsidRDefault="001C685D" w:rsidP="001C685D">
            <w:pPr>
              <w:jc w:val="center"/>
              <w:rPr>
                <w:b/>
                <w:bCs/>
                <w:color w:val="FFFFFF"/>
                <w:sz w:val="16"/>
                <w:szCs w:val="16"/>
                <w:lang w:eastAsia="en-US"/>
              </w:rPr>
            </w:pPr>
            <w:r w:rsidRPr="00E46299">
              <w:rPr>
                <w:b/>
                <w:bCs/>
                <w:color w:val="FFFFFF"/>
                <w:sz w:val="16"/>
                <w:szCs w:val="16"/>
                <w:lang w:eastAsia="en-US"/>
              </w:rPr>
              <w:t>2025</w:t>
            </w:r>
          </w:p>
        </w:tc>
        <w:tc>
          <w:tcPr>
            <w:tcW w:w="341" w:type="pct"/>
            <w:shd w:val="clear" w:color="000000" w:fill="0C2749"/>
            <w:vAlign w:val="center"/>
            <w:hideMark/>
          </w:tcPr>
          <w:p w14:paraId="0A4B256A" w14:textId="4B5D2FB5" w:rsidR="001C685D" w:rsidRPr="00E46299" w:rsidRDefault="001C685D" w:rsidP="001C685D">
            <w:pPr>
              <w:jc w:val="center"/>
              <w:rPr>
                <w:b/>
                <w:bCs/>
                <w:color w:val="FFFFFF"/>
                <w:sz w:val="16"/>
                <w:szCs w:val="16"/>
                <w:lang w:eastAsia="en-US"/>
              </w:rPr>
            </w:pPr>
            <w:r w:rsidRPr="00E46299">
              <w:rPr>
                <w:b/>
                <w:bCs/>
                <w:color w:val="FFFFFF"/>
                <w:sz w:val="16"/>
                <w:szCs w:val="16"/>
                <w:lang w:eastAsia="en-US"/>
              </w:rPr>
              <w:t>2026</w:t>
            </w:r>
          </w:p>
        </w:tc>
        <w:tc>
          <w:tcPr>
            <w:tcW w:w="831" w:type="pct"/>
            <w:shd w:val="clear" w:color="000000" w:fill="0C2749"/>
            <w:vAlign w:val="center"/>
            <w:hideMark/>
          </w:tcPr>
          <w:p w14:paraId="7FE71657" w14:textId="7897CC89" w:rsidR="001C685D" w:rsidRPr="00E46299" w:rsidRDefault="001C685D" w:rsidP="001C685D">
            <w:pPr>
              <w:jc w:val="center"/>
              <w:rPr>
                <w:b/>
                <w:bCs/>
                <w:color w:val="FFFFFF"/>
                <w:sz w:val="16"/>
                <w:szCs w:val="16"/>
                <w:lang w:eastAsia="en-US"/>
              </w:rPr>
            </w:pPr>
            <w:r w:rsidRPr="00E46299">
              <w:rPr>
                <w:b/>
                <w:bCs/>
                <w:color w:val="FFFFFF"/>
                <w:sz w:val="16"/>
                <w:szCs w:val="16"/>
                <w:lang w:eastAsia="en-US"/>
              </w:rPr>
              <w:t>Prosjek 2024-2026</w:t>
            </w:r>
          </w:p>
        </w:tc>
      </w:tr>
      <w:tr w:rsidR="001C685D" w:rsidRPr="001C685D" w14:paraId="3B4F8D9E" w14:textId="77777777" w:rsidTr="00E46299">
        <w:trPr>
          <w:trHeight w:val="288"/>
          <w:jc w:val="center"/>
        </w:trPr>
        <w:tc>
          <w:tcPr>
            <w:tcW w:w="2155" w:type="pct"/>
            <w:shd w:val="clear" w:color="auto" w:fill="auto"/>
            <w:noWrap/>
            <w:vAlign w:val="center"/>
            <w:hideMark/>
          </w:tcPr>
          <w:p w14:paraId="42C7E065" w14:textId="77777777" w:rsidR="001C685D" w:rsidRPr="00E46299" w:rsidRDefault="001C685D" w:rsidP="001C685D">
            <w:pPr>
              <w:rPr>
                <w:color w:val="000000"/>
                <w:sz w:val="20"/>
                <w:szCs w:val="20"/>
                <w:lang w:eastAsia="en-US"/>
              </w:rPr>
            </w:pPr>
            <w:r w:rsidRPr="00E46299">
              <w:rPr>
                <w:color w:val="000000"/>
                <w:sz w:val="20"/>
                <w:szCs w:val="20"/>
                <w:lang w:eastAsia="en-US"/>
              </w:rPr>
              <w:t>FA PON sa svjetlovodnom instalacijom zgrade</w:t>
            </w:r>
          </w:p>
        </w:tc>
        <w:tc>
          <w:tcPr>
            <w:tcW w:w="720" w:type="pct"/>
            <w:vMerge w:val="restart"/>
            <w:shd w:val="clear" w:color="auto" w:fill="auto"/>
            <w:noWrap/>
            <w:vAlign w:val="center"/>
            <w:hideMark/>
          </w:tcPr>
          <w:p w14:paraId="08F857F7" w14:textId="1EF309AD" w:rsidR="001C685D" w:rsidRPr="00E46299" w:rsidRDefault="001C685D" w:rsidP="001C685D">
            <w:pPr>
              <w:jc w:val="center"/>
              <w:rPr>
                <w:color w:val="000000"/>
                <w:sz w:val="20"/>
                <w:szCs w:val="20"/>
                <w:lang w:eastAsia="en-US"/>
              </w:rPr>
            </w:pPr>
            <w:r w:rsidRPr="00E46299">
              <w:rPr>
                <w:color w:val="000000"/>
                <w:sz w:val="20"/>
                <w:szCs w:val="20"/>
                <w:lang w:eastAsia="en-US"/>
              </w:rPr>
              <w:t>EUR / Mjesečno / liniji</w:t>
            </w:r>
          </w:p>
        </w:tc>
        <w:tc>
          <w:tcPr>
            <w:tcW w:w="563" w:type="pct"/>
            <w:tcBorders>
              <w:top w:val="single" w:sz="4" w:space="0" w:color="113F80"/>
              <w:left w:val="single" w:sz="8" w:space="0" w:color="113F80"/>
              <w:bottom w:val="single" w:sz="4" w:space="0" w:color="113F80"/>
              <w:right w:val="single" w:sz="4" w:space="0" w:color="113F80"/>
            </w:tcBorders>
            <w:shd w:val="clear" w:color="auto" w:fill="auto"/>
            <w:noWrap/>
            <w:vAlign w:val="center"/>
            <w:hideMark/>
          </w:tcPr>
          <w:p w14:paraId="3A5346F8" w14:textId="6B04C531" w:rsidR="001C685D" w:rsidRPr="00E46299" w:rsidRDefault="00B71500" w:rsidP="001C685D">
            <w:pPr>
              <w:jc w:val="center"/>
              <w:rPr>
                <w:sz w:val="20"/>
                <w:szCs w:val="20"/>
                <w:lang w:eastAsia="en-US"/>
              </w:rPr>
            </w:pPr>
            <w:r w:rsidRPr="00E46299">
              <w:rPr>
                <w:rFonts w:eastAsiaTheme="minorHAnsi"/>
                <w:sz w:val="20"/>
                <w:szCs w:val="20"/>
                <w:lang w:eastAsia="en-US"/>
              </w:rPr>
              <w:t>6,81</w:t>
            </w:r>
          </w:p>
        </w:tc>
        <w:tc>
          <w:tcPr>
            <w:tcW w:w="390" w:type="pct"/>
            <w:tcBorders>
              <w:top w:val="single" w:sz="4" w:space="0" w:color="113F80"/>
              <w:left w:val="single" w:sz="8" w:space="0" w:color="113F80"/>
              <w:bottom w:val="single" w:sz="4" w:space="0" w:color="113F80"/>
              <w:right w:val="single" w:sz="4" w:space="0" w:color="113F80"/>
            </w:tcBorders>
            <w:shd w:val="clear" w:color="auto" w:fill="auto"/>
            <w:noWrap/>
            <w:vAlign w:val="center"/>
            <w:hideMark/>
          </w:tcPr>
          <w:p w14:paraId="27D66054" w14:textId="310DC7E3" w:rsidR="001C685D" w:rsidRPr="00E46299" w:rsidRDefault="00B71500" w:rsidP="001C685D">
            <w:pPr>
              <w:jc w:val="center"/>
              <w:rPr>
                <w:sz w:val="20"/>
                <w:szCs w:val="20"/>
                <w:lang w:eastAsia="en-US"/>
              </w:rPr>
            </w:pPr>
            <w:r w:rsidRPr="00E46299">
              <w:rPr>
                <w:rFonts w:eastAsiaTheme="minorHAnsi"/>
                <w:sz w:val="20"/>
                <w:szCs w:val="20"/>
                <w:lang w:eastAsia="en-US"/>
              </w:rPr>
              <w:t>6,96</w:t>
            </w:r>
          </w:p>
        </w:tc>
        <w:tc>
          <w:tcPr>
            <w:tcW w:w="341" w:type="pct"/>
            <w:tcBorders>
              <w:top w:val="single" w:sz="4" w:space="0" w:color="113F80"/>
              <w:left w:val="single" w:sz="8" w:space="0" w:color="113F80"/>
              <w:bottom w:val="single" w:sz="4" w:space="0" w:color="113F80"/>
              <w:right w:val="single" w:sz="4" w:space="0" w:color="113F80"/>
            </w:tcBorders>
            <w:shd w:val="clear" w:color="auto" w:fill="auto"/>
            <w:noWrap/>
            <w:vAlign w:val="center"/>
            <w:hideMark/>
          </w:tcPr>
          <w:p w14:paraId="663A2DE3" w14:textId="78BA1645" w:rsidR="001C685D" w:rsidRPr="00E46299" w:rsidRDefault="00B71500" w:rsidP="001C685D">
            <w:pPr>
              <w:jc w:val="center"/>
              <w:rPr>
                <w:sz w:val="20"/>
                <w:szCs w:val="20"/>
                <w:lang w:eastAsia="en-US"/>
              </w:rPr>
            </w:pPr>
            <w:r w:rsidRPr="00E46299">
              <w:rPr>
                <w:rFonts w:eastAsiaTheme="minorHAnsi"/>
                <w:sz w:val="20"/>
                <w:szCs w:val="20"/>
                <w:lang w:eastAsia="en-US"/>
              </w:rPr>
              <w:t>7,08</w:t>
            </w:r>
          </w:p>
        </w:tc>
        <w:tc>
          <w:tcPr>
            <w:tcW w:w="831" w:type="pct"/>
            <w:shd w:val="clear" w:color="auto" w:fill="auto"/>
            <w:noWrap/>
            <w:vAlign w:val="center"/>
            <w:hideMark/>
          </w:tcPr>
          <w:p w14:paraId="3929EE93" w14:textId="355A83FF" w:rsidR="00B71500" w:rsidRPr="00E46299" w:rsidRDefault="006B573D" w:rsidP="001C685D">
            <w:pPr>
              <w:jc w:val="center"/>
              <w:rPr>
                <w:rFonts w:eastAsiaTheme="minorHAnsi"/>
                <w:b/>
                <w:sz w:val="20"/>
                <w:szCs w:val="20"/>
                <w:lang w:eastAsia="en-US"/>
              </w:rPr>
            </w:pPr>
            <w:r w:rsidRPr="00E46299">
              <w:rPr>
                <w:rFonts w:eastAsiaTheme="minorHAnsi"/>
                <w:b/>
                <w:sz w:val="20"/>
                <w:szCs w:val="20"/>
                <w:lang w:eastAsia="en-US"/>
              </w:rPr>
              <w:t>7,00</w:t>
            </w:r>
          </w:p>
          <w:p w14:paraId="60FF4038" w14:textId="15F547DC" w:rsidR="001C685D" w:rsidRPr="00E46299" w:rsidRDefault="001C685D" w:rsidP="001C685D">
            <w:pPr>
              <w:jc w:val="center"/>
              <w:rPr>
                <w:b/>
                <w:sz w:val="20"/>
                <w:szCs w:val="20"/>
                <w:lang w:eastAsia="en-US"/>
              </w:rPr>
            </w:pPr>
          </w:p>
        </w:tc>
      </w:tr>
      <w:tr w:rsidR="001C685D" w:rsidRPr="001C685D" w14:paraId="27B0D993" w14:textId="77777777" w:rsidTr="00E46299">
        <w:trPr>
          <w:trHeight w:val="288"/>
          <w:jc w:val="center"/>
        </w:trPr>
        <w:tc>
          <w:tcPr>
            <w:tcW w:w="2155" w:type="pct"/>
            <w:shd w:val="clear" w:color="auto" w:fill="auto"/>
            <w:noWrap/>
            <w:vAlign w:val="center"/>
          </w:tcPr>
          <w:p w14:paraId="75F8C81A" w14:textId="77777777" w:rsidR="001C685D" w:rsidRPr="00E46299" w:rsidRDefault="001C685D" w:rsidP="001C685D">
            <w:pPr>
              <w:rPr>
                <w:color w:val="000000"/>
                <w:sz w:val="20"/>
                <w:szCs w:val="20"/>
                <w:lang w:eastAsia="en-US"/>
              </w:rPr>
            </w:pPr>
            <w:r w:rsidRPr="00E46299">
              <w:rPr>
                <w:color w:val="000000"/>
                <w:sz w:val="20"/>
                <w:szCs w:val="20"/>
                <w:lang w:eastAsia="en-US"/>
              </w:rPr>
              <w:t>FA PON bez svjetlovodne instalacije u zgradi</w:t>
            </w:r>
          </w:p>
        </w:tc>
        <w:tc>
          <w:tcPr>
            <w:tcW w:w="720" w:type="pct"/>
            <w:vMerge/>
            <w:shd w:val="clear" w:color="auto" w:fill="auto"/>
            <w:noWrap/>
            <w:vAlign w:val="center"/>
          </w:tcPr>
          <w:p w14:paraId="64218840" w14:textId="77777777" w:rsidR="001C685D" w:rsidRPr="00E46299" w:rsidRDefault="001C685D" w:rsidP="001C685D">
            <w:pPr>
              <w:jc w:val="center"/>
              <w:rPr>
                <w:color w:val="000000"/>
                <w:sz w:val="16"/>
                <w:szCs w:val="16"/>
                <w:lang w:eastAsia="en-US"/>
              </w:rPr>
            </w:pPr>
          </w:p>
        </w:tc>
        <w:tc>
          <w:tcPr>
            <w:tcW w:w="563" w:type="pct"/>
            <w:shd w:val="clear" w:color="auto" w:fill="auto"/>
            <w:noWrap/>
            <w:vAlign w:val="center"/>
          </w:tcPr>
          <w:p w14:paraId="7574F45C" w14:textId="0FA766A0" w:rsidR="001C685D" w:rsidRPr="00E46299" w:rsidRDefault="00EC1CBB" w:rsidP="001C685D">
            <w:pPr>
              <w:jc w:val="center"/>
              <w:rPr>
                <w:rFonts w:eastAsiaTheme="minorHAnsi"/>
                <w:sz w:val="20"/>
                <w:szCs w:val="20"/>
                <w:lang w:eastAsia="en-US"/>
              </w:rPr>
            </w:pPr>
            <w:r w:rsidRPr="00E46299">
              <w:rPr>
                <w:rFonts w:eastAsiaTheme="minorHAnsi"/>
                <w:sz w:val="20"/>
                <w:szCs w:val="20"/>
                <w:lang w:eastAsia="en-US"/>
              </w:rPr>
              <w:t>5,95</w:t>
            </w:r>
          </w:p>
        </w:tc>
        <w:tc>
          <w:tcPr>
            <w:tcW w:w="390" w:type="pct"/>
            <w:shd w:val="clear" w:color="auto" w:fill="auto"/>
            <w:noWrap/>
            <w:vAlign w:val="center"/>
          </w:tcPr>
          <w:p w14:paraId="22CF69F4" w14:textId="2418B9CE" w:rsidR="001C685D" w:rsidRPr="00E46299" w:rsidRDefault="00EC1CBB" w:rsidP="001C685D">
            <w:pPr>
              <w:jc w:val="center"/>
              <w:rPr>
                <w:rFonts w:eastAsiaTheme="minorHAnsi"/>
                <w:sz w:val="20"/>
                <w:szCs w:val="20"/>
                <w:lang w:eastAsia="en-US"/>
              </w:rPr>
            </w:pPr>
            <w:r w:rsidRPr="00E46299">
              <w:rPr>
                <w:rFonts w:eastAsiaTheme="minorHAnsi"/>
                <w:sz w:val="20"/>
                <w:szCs w:val="20"/>
                <w:lang w:eastAsia="en-US"/>
              </w:rPr>
              <w:t>6,09</w:t>
            </w:r>
          </w:p>
        </w:tc>
        <w:tc>
          <w:tcPr>
            <w:tcW w:w="341" w:type="pct"/>
            <w:shd w:val="clear" w:color="auto" w:fill="auto"/>
            <w:noWrap/>
            <w:vAlign w:val="center"/>
          </w:tcPr>
          <w:p w14:paraId="0A208B4A" w14:textId="639CD7B8" w:rsidR="001C685D" w:rsidRPr="00E46299" w:rsidRDefault="00EC1CBB" w:rsidP="001C685D">
            <w:pPr>
              <w:jc w:val="center"/>
              <w:rPr>
                <w:rFonts w:eastAsiaTheme="minorHAnsi"/>
                <w:sz w:val="20"/>
                <w:szCs w:val="20"/>
                <w:lang w:eastAsia="en-US"/>
              </w:rPr>
            </w:pPr>
            <w:r w:rsidRPr="00E46299">
              <w:rPr>
                <w:rFonts w:eastAsiaTheme="minorHAnsi"/>
                <w:sz w:val="20"/>
                <w:szCs w:val="20"/>
                <w:lang w:eastAsia="en-US"/>
              </w:rPr>
              <w:t>6,21</w:t>
            </w:r>
          </w:p>
        </w:tc>
        <w:tc>
          <w:tcPr>
            <w:tcW w:w="831" w:type="pct"/>
            <w:shd w:val="clear" w:color="auto" w:fill="auto"/>
            <w:noWrap/>
            <w:vAlign w:val="center"/>
          </w:tcPr>
          <w:p w14:paraId="1D8C3A9A" w14:textId="130C9D6A" w:rsidR="001C685D" w:rsidRPr="00E46299" w:rsidRDefault="00EC1CBB" w:rsidP="001C685D">
            <w:pPr>
              <w:jc w:val="center"/>
              <w:rPr>
                <w:rFonts w:eastAsiaTheme="minorHAnsi"/>
                <w:b/>
                <w:sz w:val="20"/>
                <w:szCs w:val="20"/>
                <w:lang w:eastAsia="en-US"/>
              </w:rPr>
            </w:pPr>
            <w:r w:rsidRPr="00E46299">
              <w:rPr>
                <w:rFonts w:eastAsiaTheme="minorHAnsi"/>
                <w:b/>
                <w:sz w:val="20"/>
                <w:szCs w:val="20"/>
                <w:lang w:eastAsia="en-US"/>
              </w:rPr>
              <w:t>6,16</w:t>
            </w:r>
          </w:p>
        </w:tc>
      </w:tr>
      <w:tr w:rsidR="001C685D" w:rsidRPr="001C685D" w14:paraId="46A9B11D" w14:textId="77777777" w:rsidTr="00E46299">
        <w:trPr>
          <w:trHeight w:val="288"/>
          <w:jc w:val="center"/>
        </w:trPr>
        <w:tc>
          <w:tcPr>
            <w:tcW w:w="2155" w:type="pct"/>
            <w:shd w:val="clear" w:color="auto" w:fill="auto"/>
            <w:noWrap/>
            <w:vAlign w:val="center"/>
          </w:tcPr>
          <w:p w14:paraId="469795A6" w14:textId="23DDE09D" w:rsidR="001C685D" w:rsidRPr="00E46299" w:rsidRDefault="001C685D">
            <w:pPr>
              <w:rPr>
                <w:color w:val="000000"/>
                <w:sz w:val="20"/>
                <w:szCs w:val="20"/>
                <w:lang w:eastAsia="en-US"/>
              </w:rPr>
            </w:pPr>
            <w:r w:rsidRPr="00E46299">
              <w:rPr>
                <w:color w:val="000000"/>
                <w:sz w:val="20"/>
                <w:szCs w:val="20"/>
                <w:lang w:eastAsia="en-US"/>
              </w:rPr>
              <w:t>Cijena najma kućne svjetlovodne instalacije u prostoru krajnjeg korisnika</w:t>
            </w:r>
          </w:p>
        </w:tc>
        <w:tc>
          <w:tcPr>
            <w:tcW w:w="720" w:type="pct"/>
            <w:vMerge/>
            <w:shd w:val="clear" w:color="auto" w:fill="auto"/>
            <w:noWrap/>
            <w:vAlign w:val="center"/>
          </w:tcPr>
          <w:p w14:paraId="4054D274" w14:textId="77777777" w:rsidR="001C685D" w:rsidRPr="00E46299" w:rsidRDefault="001C685D" w:rsidP="001C685D">
            <w:pPr>
              <w:jc w:val="center"/>
              <w:rPr>
                <w:color w:val="000000"/>
                <w:sz w:val="16"/>
                <w:szCs w:val="16"/>
                <w:lang w:eastAsia="en-US"/>
              </w:rPr>
            </w:pPr>
          </w:p>
        </w:tc>
        <w:tc>
          <w:tcPr>
            <w:tcW w:w="563" w:type="pct"/>
            <w:shd w:val="clear" w:color="auto" w:fill="auto"/>
            <w:noWrap/>
            <w:vAlign w:val="center"/>
          </w:tcPr>
          <w:p w14:paraId="111A7B1E" w14:textId="65FFB0BD" w:rsidR="001C685D" w:rsidRPr="00E46299" w:rsidRDefault="00EC1CBB" w:rsidP="001C685D">
            <w:pPr>
              <w:jc w:val="center"/>
              <w:rPr>
                <w:rFonts w:eastAsiaTheme="minorHAnsi"/>
                <w:sz w:val="20"/>
                <w:szCs w:val="20"/>
                <w:lang w:eastAsia="en-US"/>
              </w:rPr>
            </w:pPr>
            <w:r w:rsidRPr="00E46299">
              <w:rPr>
                <w:rFonts w:eastAsiaTheme="minorHAnsi"/>
                <w:sz w:val="22"/>
                <w:szCs w:val="22"/>
                <w:lang w:eastAsia="en-US"/>
              </w:rPr>
              <w:t>0,35</w:t>
            </w:r>
          </w:p>
        </w:tc>
        <w:tc>
          <w:tcPr>
            <w:tcW w:w="390" w:type="pct"/>
            <w:shd w:val="clear" w:color="auto" w:fill="auto"/>
            <w:noWrap/>
            <w:vAlign w:val="center"/>
          </w:tcPr>
          <w:p w14:paraId="3FF1F29C" w14:textId="1D2C3C92" w:rsidR="001C685D" w:rsidRPr="00E46299" w:rsidRDefault="00EC1CBB" w:rsidP="001C685D">
            <w:pPr>
              <w:jc w:val="center"/>
              <w:rPr>
                <w:rFonts w:eastAsiaTheme="minorHAnsi"/>
                <w:sz w:val="20"/>
                <w:szCs w:val="20"/>
                <w:lang w:eastAsia="en-US"/>
              </w:rPr>
            </w:pPr>
            <w:r w:rsidRPr="00E46299">
              <w:rPr>
                <w:rFonts w:eastAsiaTheme="minorHAnsi"/>
                <w:sz w:val="22"/>
                <w:szCs w:val="22"/>
                <w:lang w:eastAsia="en-US"/>
              </w:rPr>
              <w:t>0,36</w:t>
            </w:r>
          </w:p>
        </w:tc>
        <w:tc>
          <w:tcPr>
            <w:tcW w:w="341" w:type="pct"/>
            <w:shd w:val="clear" w:color="auto" w:fill="auto"/>
            <w:noWrap/>
            <w:vAlign w:val="center"/>
          </w:tcPr>
          <w:p w14:paraId="3FF513CD" w14:textId="451C74D2" w:rsidR="001C685D" w:rsidRPr="00E46299" w:rsidRDefault="00EC1CBB" w:rsidP="001C685D">
            <w:pPr>
              <w:jc w:val="center"/>
              <w:rPr>
                <w:rFonts w:eastAsiaTheme="minorHAnsi"/>
                <w:sz w:val="20"/>
                <w:szCs w:val="20"/>
                <w:lang w:eastAsia="en-US"/>
              </w:rPr>
            </w:pPr>
            <w:r w:rsidRPr="00E46299">
              <w:rPr>
                <w:rFonts w:eastAsiaTheme="minorHAnsi"/>
                <w:sz w:val="22"/>
                <w:szCs w:val="22"/>
                <w:lang w:eastAsia="en-US"/>
              </w:rPr>
              <w:t>0,36</w:t>
            </w:r>
          </w:p>
        </w:tc>
        <w:tc>
          <w:tcPr>
            <w:tcW w:w="831" w:type="pct"/>
            <w:shd w:val="clear" w:color="auto" w:fill="auto"/>
            <w:noWrap/>
            <w:vAlign w:val="center"/>
          </w:tcPr>
          <w:p w14:paraId="3805841A" w14:textId="6FBA7693" w:rsidR="001C685D" w:rsidRPr="00E46299" w:rsidRDefault="00EC1CBB" w:rsidP="001C685D">
            <w:pPr>
              <w:jc w:val="center"/>
              <w:rPr>
                <w:rFonts w:eastAsiaTheme="minorHAnsi"/>
                <w:b/>
                <w:sz w:val="20"/>
                <w:szCs w:val="20"/>
                <w:lang w:eastAsia="en-US"/>
              </w:rPr>
            </w:pPr>
            <w:r w:rsidRPr="00E46299">
              <w:rPr>
                <w:rFonts w:eastAsiaTheme="minorHAnsi"/>
                <w:b/>
                <w:sz w:val="20"/>
                <w:szCs w:val="20"/>
                <w:lang w:eastAsia="en-US"/>
              </w:rPr>
              <w:t>0,35</w:t>
            </w:r>
          </w:p>
        </w:tc>
      </w:tr>
    </w:tbl>
    <w:p w14:paraId="54940588" w14:textId="0A08055B" w:rsidR="00E17353" w:rsidRDefault="00E17353" w:rsidP="00EA56A5">
      <w:pPr>
        <w:jc w:val="both"/>
      </w:pPr>
    </w:p>
    <w:p w14:paraId="02D4C0E1" w14:textId="77777777" w:rsidR="004E3197" w:rsidRDefault="004E3197" w:rsidP="004E3197">
      <w:pPr>
        <w:jc w:val="both"/>
        <w:rPr>
          <w:b/>
          <w:i/>
        </w:rPr>
      </w:pPr>
      <w:r>
        <w:rPr>
          <w:b/>
          <w:i/>
        </w:rPr>
        <w:t>Pretpostavke za o</w:t>
      </w:r>
      <w:r w:rsidRPr="00E67889">
        <w:rPr>
          <w:b/>
          <w:i/>
        </w:rPr>
        <w:t xml:space="preserve">dređivanje </w:t>
      </w:r>
      <w:r>
        <w:rPr>
          <w:b/>
          <w:i/>
        </w:rPr>
        <w:t>naknade za korištenje bakrene pristupne mreže</w:t>
      </w:r>
    </w:p>
    <w:p w14:paraId="36F8334F" w14:textId="77777777" w:rsidR="004E3197" w:rsidRDefault="004E3197" w:rsidP="004E3197">
      <w:pPr>
        <w:jc w:val="both"/>
      </w:pPr>
    </w:p>
    <w:p w14:paraId="6AD520AF" w14:textId="77777777" w:rsidR="004E3197" w:rsidRDefault="004E3197" w:rsidP="004E3197">
      <w:pPr>
        <w:jc w:val="both"/>
      </w:pPr>
      <w:r>
        <w:t xml:space="preserve">Trošak bakrene pristupne mreže, koji se uzima u obzir kod određivanja naknade za korištenje bakrene pristupne mreže kao dijela cijene usluge bitstream pristupa koja se pruža putem bakrene mreže za slučaj kada je DSLAM smješten na staroj CO lokaciji ili FTTN lokaciji, </w:t>
      </w:r>
      <w:r w:rsidRPr="00715A1A">
        <w:t>a posebno za slučaj FTTC rješenja kada se DSLAM nalazi u novom FTTC čvoru</w:t>
      </w:r>
      <w:r>
        <w:t>, određuje se na način da se uzme ponderirani prosječni trošak (</w:t>
      </w:r>
      <w:r w:rsidRPr="00684897">
        <w:t>eng.</w:t>
      </w:r>
      <w:r w:rsidRPr="00EA56A5">
        <w:rPr>
          <w:i/>
        </w:rPr>
        <w:t xml:space="preserve"> weighted average</w:t>
      </w:r>
      <w:r>
        <w:t xml:space="preserve">) bakrene pristupne mreže u područjima pokrivanja MDF-ova na kojima se koristi LLU usluga i bakrene pristupne mreže u područjima pokrivanja MDFova na kojima se ne koristi LLU usluga uz sljedeće uvjete: </w:t>
      </w:r>
    </w:p>
    <w:p w14:paraId="0D53D941" w14:textId="77777777" w:rsidR="004E3197" w:rsidRDefault="004E3197" w:rsidP="004E3197">
      <w:pPr>
        <w:pStyle w:val="ListParagraph"/>
        <w:numPr>
          <w:ilvl w:val="0"/>
          <w:numId w:val="16"/>
        </w:numPr>
        <w:jc w:val="both"/>
      </w:pPr>
      <w:r>
        <w:t xml:space="preserve">u obzir se uzima trošak bakrenih parica duljine do 2300 m koje omogućuju prijenosne brzine u silaznom smjeru barem od 8 Mbit/s </w:t>
      </w:r>
    </w:p>
    <w:p w14:paraId="64C259DE" w14:textId="77777777" w:rsidR="004E3197" w:rsidRPr="004E6C29" w:rsidRDefault="004E3197" w:rsidP="004E3197">
      <w:pPr>
        <w:pStyle w:val="ListParagraph"/>
        <w:numPr>
          <w:ilvl w:val="0"/>
          <w:numId w:val="16"/>
        </w:numPr>
        <w:jc w:val="both"/>
      </w:pPr>
      <w:r>
        <w:t>težinski faktori (ponderi) jednaki su udjelu bitstream linija u području pokrivanja MDF-ova na kojima se koristi LLU usluga, odnosno u području pokrivanja MDF-ova na kojima se ne koristi LLU usluga.</w:t>
      </w:r>
    </w:p>
    <w:p w14:paraId="0EFE8FE3" w14:textId="77777777" w:rsidR="004E3197" w:rsidRDefault="004E3197" w:rsidP="004E3197">
      <w:pPr>
        <w:jc w:val="both"/>
      </w:pPr>
    </w:p>
    <w:p w14:paraId="56E2C311" w14:textId="77777777" w:rsidR="004E3197" w:rsidRDefault="004E3197" w:rsidP="004E3197">
      <w:pPr>
        <w:jc w:val="both"/>
      </w:pPr>
      <w:r>
        <w:t>Na temelju tako dobivenih troškova, određuje se jedinstvena veleprodajna cijena LLU usluge i naknade za korištenje bakrene pristupne mreže kao dijela cijene usluge bitstream pristupa putem bakrene mreže u slučaju kada se DSLAM nalazi na staroj CO ili FTTN lokaciji i to kao ponderirani prosjek ta dva troška gdje su težinski faktori (ponderi) jednaki udjelu LLU, odnosno bitstream veleprodajnih linija u ukupnom broju veleprodajnih linija (bitstream pristup + LLU).</w:t>
      </w:r>
    </w:p>
    <w:p w14:paraId="54624794" w14:textId="77777777" w:rsidR="004E3197" w:rsidRDefault="004E3197" w:rsidP="004E3197">
      <w:pPr>
        <w:pStyle w:val="Caption"/>
        <w:spacing w:after="120"/>
      </w:pPr>
      <w:bookmarkStart w:id="6" w:name="_Ref51595162"/>
      <w:bookmarkStart w:id="7" w:name="_Toc52890327"/>
      <w:bookmarkStart w:id="8" w:name="_Toc52891265"/>
      <w:bookmarkStart w:id="9" w:name="_Toc53670696"/>
      <w:bookmarkStart w:id="10" w:name="_Toc53942339"/>
      <w:bookmarkStart w:id="11" w:name="_Toc64638566"/>
    </w:p>
    <w:bookmarkEnd w:id="6"/>
    <w:bookmarkEnd w:id="7"/>
    <w:bookmarkEnd w:id="8"/>
    <w:bookmarkEnd w:id="9"/>
    <w:bookmarkEnd w:id="10"/>
    <w:bookmarkEnd w:id="11"/>
    <w:p w14:paraId="5960E1E4" w14:textId="34189971" w:rsidR="004E3197" w:rsidRDefault="004E3197" w:rsidP="004E3197">
      <w:pPr>
        <w:pStyle w:val="Caption"/>
        <w:keepNext/>
      </w:pPr>
      <w:r>
        <w:t xml:space="preserve">Tablica </w:t>
      </w:r>
      <w:fldSimple w:instr=" SEQ Tablica \* ARABIC ">
        <w:r>
          <w:rPr>
            <w:noProof/>
          </w:rPr>
          <w:t>3</w:t>
        </w:r>
      </w:fldSimple>
      <w:r>
        <w:t xml:space="preserve">- </w:t>
      </w:r>
      <w:r w:rsidRPr="00B37136">
        <w:t>Jedinični trošak i cijena LLU usluge (Izvor: Troškovni model)</w:t>
      </w:r>
    </w:p>
    <w:tbl>
      <w:tblPr>
        <w:tblW w:w="492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4A0" w:firstRow="1" w:lastRow="0" w:firstColumn="1" w:lastColumn="0" w:noHBand="0" w:noVBand="1"/>
      </w:tblPr>
      <w:tblGrid>
        <w:gridCol w:w="4474"/>
        <w:gridCol w:w="1225"/>
        <w:gridCol w:w="771"/>
        <w:gridCol w:w="771"/>
        <w:gridCol w:w="926"/>
        <w:gridCol w:w="1539"/>
      </w:tblGrid>
      <w:tr w:rsidR="004E3197" w:rsidRPr="001C685D" w14:paraId="0780CCAD" w14:textId="77777777" w:rsidTr="00C14812">
        <w:trPr>
          <w:trHeight w:val="262"/>
          <w:jc w:val="center"/>
        </w:trPr>
        <w:tc>
          <w:tcPr>
            <w:tcW w:w="2305" w:type="pct"/>
            <w:shd w:val="clear" w:color="auto" w:fill="0C2749"/>
            <w:vAlign w:val="center"/>
            <w:hideMark/>
          </w:tcPr>
          <w:p w14:paraId="74C6BB98" w14:textId="77777777" w:rsidR="004E3197" w:rsidRPr="00904DCD" w:rsidRDefault="004E3197" w:rsidP="00C14812">
            <w:pPr>
              <w:jc w:val="center"/>
              <w:rPr>
                <w:b/>
                <w:bCs/>
                <w:color w:val="FFFFFF" w:themeColor="background1"/>
                <w:sz w:val="20"/>
                <w:szCs w:val="20"/>
                <w:lang w:eastAsia="en-US"/>
              </w:rPr>
            </w:pPr>
            <w:r w:rsidRPr="00904DCD">
              <w:rPr>
                <w:b/>
                <w:bCs/>
                <w:color w:val="FFFFFF" w:themeColor="background1"/>
                <w:sz w:val="20"/>
                <w:szCs w:val="20"/>
                <w:lang w:eastAsia="en-US"/>
              </w:rPr>
              <w:t>USLUGA</w:t>
            </w:r>
          </w:p>
        </w:tc>
        <w:tc>
          <w:tcPr>
            <w:tcW w:w="631" w:type="pct"/>
            <w:shd w:val="clear" w:color="auto" w:fill="0C2749"/>
            <w:vAlign w:val="center"/>
            <w:hideMark/>
          </w:tcPr>
          <w:p w14:paraId="0717B946" w14:textId="77777777" w:rsidR="004E3197" w:rsidRPr="00904DCD" w:rsidRDefault="004E3197" w:rsidP="00C14812">
            <w:pPr>
              <w:jc w:val="center"/>
              <w:rPr>
                <w:b/>
                <w:bCs/>
                <w:color w:val="FFFFFF" w:themeColor="background1"/>
                <w:sz w:val="20"/>
                <w:szCs w:val="20"/>
                <w:lang w:eastAsia="en-US"/>
              </w:rPr>
            </w:pPr>
            <w:r w:rsidRPr="00904DCD">
              <w:rPr>
                <w:b/>
                <w:bCs/>
                <w:color w:val="FFFFFF" w:themeColor="background1"/>
                <w:sz w:val="20"/>
                <w:szCs w:val="20"/>
                <w:lang w:eastAsia="en-US"/>
              </w:rPr>
              <w:t>Jedinica</w:t>
            </w:r>
          </w:p>
        </w:tc>
        <w:tc>
          <w:tcPr>
            <w:tcW w:w="397" w:type="pct"/>
            <w:tcBorders>
              <w:bottom w:val="single" w:sz="4" w:space="0" w:color="auto"/>
            </w:tcBorders>
            <w:shd w:val="clear" w:color="auto" w:fill="0C2749"/>
            <w:vAlign w:val="center"/>
            <w:hideMark/>
          </w:tcPr>
          <w:p w14:paraId="342B5A11" w14:textId="77777777" w:rsidR="004E3197" w:rsidRPr="00904DCD" w:rsidRDefault="004E3197" w:rsidP="00C14812">
            <w:pPr>
              <w:jc w:val="center"/>
              <w:rPr>
                <w:b/>
                <w:bCs/>
                <w:color w:val="FFFFFF" w:themeColor="background1"/>
                <w:sz w:val="20"/>
                <w:szCs w:val="20"/>
                <w:lang w:eastAsia="en-US"/>
              </w:rPr>
            </w:pPr>
            <w:r w:rsidRPr="00904DCD">
              <w:rPr>
                <w:b/>
                <w:bCs/>
                <w:color w:val="FFFFFF" w:themeColor="background1"/>
                <w:sz w:val="20"/>
                <w:szCs w:val="20"/>
                <w:lang w:eastAsia="en-US"/>
              </w:rPr>
              <w:t>2024</w:t>
            </w:r>
          </w:p>
        </w:tc>
        <w:tc>
          <w:tcPr>
            <w:tcW w:w="397" w:type="pct"/>
            <w:tcBorders>
              <w:bottom w:val="single" w:sz="4" w:space="0" w:color="auto"/>
            </w:tcBorders>
            <w:shd w:val="clear" w:color="auto" w:fill="0C2749"/>
            <w:vAlign w:val="center"/>
            <w:hideMark/>
          </w:tcPr>
          <w:p w14:paraId="7E2B1B62" w14:textId="77777777" w:rsidR="004E3197" w:rsidRPr="00904DCD" w:rsidRDefault="004E3197" w:rsidP="00C14812">
            <w:pPr>
              <w:jc w:val="center"/>
              <w:rPr>
                <w:b/>
                <w:bCs/>
                <w:color w:val="FFFFFF" w:themeColor="background1"/>
                <w:sz w:val="20"/>
                <w:szCs w:val="20"/>
                <w:lang w:eastAsia="en-US"/>
              </w:rPr>
            </w:pPr>
            <w:r w:rsidRPr="00904DCD">
              <w:rPr>
                <w:b/>
                <w:bCs/>
                <w:color w:val="FFFFFF" w:themeColor="background1"/>
                <w:sz w:val="20"/>
                <w:szCs w:val="20"/>
                <w:lang w:eastAsia="en-US"/>
              </w:rPr>
              <w:t>2025</w:t>
            </w:r>
          </w:p>
        </w:tc>
        <w:tc>
          <w:tcPr>
            <w:tcW w:w="477" w:type="pct"/>
            <w:tcBorders>
              <w:bottom w:val="single" w:sz="4" w:space="0" w:color="auto"/>
            </w:tcBorders>
            <w:shd w:val="clear" w:color="auto" w:fill="0C2749"/>
            <w:vAlign w:val="center"/>
            <w:hideMark/>
          </w:tcPr>
          <w:p w14:paraId="56C67D4E" w14:textId="77777777" w:rsidR="004E3197" w:rsidRPr="00904DCD" w:rsidRDefault="004E3197" w:rsidP="00C14812">
            <w:pPr>
              <w:jc w:val="center"/>
              <w:rPr>
                <w:b/>
                <w:bCs/>
                <w:color w:val="FFFFFF" w:themeColor="background1"/>
                <w:sz w:val="20"/>
                <w:szCs w:val="20"/>
                <w:lang w:eastAsia="en-US"/>
              </w:rPr>
            </w:pPr>
            <w:r w:rsidRPr="00904DCD">
              <w:rPr>
                <w:b/>
                <w:bCs/>
                <w:color w:val="FFFFFF" w:themeColor="background1"/>
                <w:sz w:val="20"/>
                <w:szCs w:val="20"/>
                <w:lang w:eastAsia="en-US"/>
              </w:rPr>
              <w:t>2026</w:t>
            </w:r>
          </w:p>
        </w:tc>
        <w:tc>
          <w:tcPr>
            <w:tcW w:w="793" w:type="pct"/>
            <w:tcBorders>
              <w:bottom w:val="single" w:sz="4" w:space="0" w:color="auto"/>
            </w:tcBorders>
            <w:shd w:val="clear" w:color="auto" w:fill="0C2749"/>
            <w:vAlign w:val="center"/>
            <w:hideMark/>
          </w:tcPr>
          <w:p w14:paraId="17C1F92C" w14:textId="77777777" w:rsidR="004E3197" w:rsidRPr="00904DCD" w:rsidRDefault="004E3197" w:rsidP="00C14812">
            <w:pPr>
              <w:jc w:val="center"/>
              <w:rPr>
                <w:b/>
                <w:bCs/>
                <w:color w:val="FFFFFF" w:themeColor="background1"/>
                <w:sz w:val="20"/>
                <w:szCs w:val="20"/>
                <w:lang w:eastAsia="en-US"/>
              </w:rPr>
            </w:pPr>
            <w:r w:rsidRPr="00904DCD">
              <w:rPr>
                <w:b/>
                <w:bCs/>
                <w:color w:val="FFFFFF" w:themeColor="background1"/>
                <w:sz w:val="20"/>
                <w:szCs w:val="20"/>
                <w:lang w:eastAsia="en-US"/>
              </w:rPr>
              <w:t>Prosjek 2024-2026</w:t>
            </w:r>
          </w:p>
        </w:tc>
      </w:tr>
      <w:tr w:rsidR="004E3197" w:rsidRPr="001C685D" w14:paraId="1EDF7B8E" w14:textId="77777777" w:rsidTr="00C14812">
        <w:trPr>
          <w:trHeight w:val="288"/>
          <w:jc w:val="center"/>
        </w:trPr>
        <w:tc>
          <w:tcPr>
            <w:tcW w:w="2305" w:type="pct"/>
            <w:shd w:val="clear" w:color="auto" w:fill="FFFFFF" w:themeFill="background1"/>
            <w:noWrap/>
            <w:vAlign w:val="center"/>
            <w:hideMark/>
          </w:tcPr>
          <w:p w14:paraId="7338CB75" w14:textId="77777777" w:rsidR="004E3197" w:rsidRPr="00904DCD" w:rsidRDefault="004E3197" w:rsidP="00C14812">
            <w:pPr>
              <w:rPr>
                <w:color w:val="000000"/>
                <w:sz w:val="18"/>
                <w:szCs w:val="18"/>
                <w:lang w:eastAsia="en-US"/>
              </w:rPr>
            </w:pPr>
            <w:r w:rsidRPr="00904DCD">
              <w:rPr>
                <w:color w:val="000000"/>
                <w:sz w:val="18"/>
                <w:szCs w:val="18"/>
                <w:lang w:eastAsia="en-US"/>
              </w:rPr>
              <w:t>Access.LLU.Wholesale - Local Access Lines - Market 3A.Access</w:t>
            </w:r>
          </w:p>
        </w:tc>
        <w:tc>
          <w:tcPr>
            <w:tcW w:w="631" w:type="pct"/>
            <w:vMerge w:val="restart"/>
            <w:shd w:val="clear" w:color="auto" w:fill="FFFFFF" w:themeFill="background1"/>
            <w:noWrap/>
            <w:vAlign w:val="center"/>
            <w:hideMark/>
          </w:tcPr>
          <w:p w14:paraId="64E233B3" w14:textId="77777777" w:rsidR="004E3197" w:rsidRPr="00904DCD" w:rsidRDefault="004E3197" w:rsidP="00C14812">
            <w:pPr>
              <w:jc w:val="center"/>
              <w:rPr>
                <w:color w:val="000000"/>
                <w:sz w:val="18"/>
                <w:szCs w:val="18"/>
                <w:lang w:eastAsia="en-US"/>
              </w:rPr>
            </w:pPr>
            <w:r w:rsidRPr="00904DCD">
              <w:rPr>
                <w:color w:val="000000"/>
                <w:sz w:val="18"/>
                <w:szCs w:val="18"/>
                <w:lang w:eastAsia="en-US"/>
              </w:rPr>
              <w:t>EUR / Mjesečno / Liniji</w:t>
            </w:r>
          </w:p>
        </w:tc>
        <w:tc>
          <w:tcPr>
            <w:tcW w:w="397" w:type="pct"/>
            <w:tcBorders>
              <w:top w:val="single" w:sz="4" w:space="0" w:color="auto"/>
              <w:left w:val="single" w:sz="8" w:space="0" w:color="113F80"/>
              <w:bottom w:val="single" w:sz="4" w:space="0" w:color="113F80"/>
              <w:right w:val="single" w:sz="4" w:space="0" w:color="113F80"/>
            </w:tcBorders>
            <w:shd w:val="clear" w:color="000000" w:fill="auto"/>
            <w:noWrap/>
            <w:vAlign w:val="center"/>
            <w:hideMark/>
          </w:tcPr>
          <w:p w14:paraId="54E63EF4" w14:textId="77777777" w:rsidR="004E3197" w:rsidRPr="00684897" w:rsidRDefault="004E3197" w:rsidP="00C14812">
            <w:pPr>
              <w:jc w:val="center"/>
              <w:rPr>
                <w:sz w:val="20"/>
                <w:szCs w:val="20"/>
                <w:lang w:eastAsia="en-US"/>
              </w:rPr>
            </w:pPr>
            <w:r w:rsidRPr="00684897">
              <w:rPr>
                <w:rFonts w:eastAsiaTheme="minorHAnsi"/>
                <w:sz w:val="20"/>
                <w:szCs w:val="20"/>
                <w:lang w:eastAsia="en-US"/>
              </w:rPr>
              <w:t>4,99</w:t>
            </w:r>
          </w:p>
        </w:tc>
        <w:tc>
          <w:tcPr>
            <w:tcW w:w="397" w:type="pct"/>
            <w:tcBorders>
              <w:top w:val="single" w:sz="4" w:space="0" w:color="auto"/>
              <w:left w:val="nil"/>
              <w:bottom w:val="single" w:sz="4" w:space="0" w:color="113F80"/>
              <w:right w:val="single" w:sz="4" w:space="0" w:color="113F80"/>
            </w:tcBorders>
            <w:shd w:val="clear" w:color="000000" w:fill="auto"/>
            <w:noWrap/>
            <w:vAlign w:val="center"/>
            <w:hideMark/>
          </w:tcPr>
          <w:p w14:paraId="200A0A2F" w14:textId="77777777" w:rsidR="004E3197" w:rsidRPr="00684897" w:rsidRDefault="004E3197" w:rsidP="00C14812">
            <w:pPr>
              <w:jc w:val="center"/>
              <w:rPr>
                <w:sz w:val="20"/>
                <w:szCs w:val="20"/>
                <w:lang w:eastAsia="en-US"/>
              </w:rPr>
            </w:pPr>
            <w:r w:rsidRPr="00684897">
              <w:rPr>
                <w:rFonts w:eastAsiaTheme="minorHAnsi"/>
                <w:sz w:val="20"/>
                <w:szCs w:val="20"/>
                <w:lang w:eastAsia="en-US"/>
              </w:rPr>
              <w:t>5,36</w:t>
            </w:r>
          </w:p>
        </w:tc>
        <w:tc>
          <w:tcPr>
            <w:tcW w:w="477" w:type="pct"/>
            <w:tcBorders>
              <w:top w:val="single" w:sz="4" w:space="0" w:color="auto"/>
              <w:left w:val="nil"/>
              <w:bottom w:val="single" w:sz="4" w:space="0" w:color="113F80"/>
              <w:right w:val="single" w:sz="4" w:space="0" w:color="113F80"/>
            </w:tcBorders>
            <w:shd w:val="clear" w:color="000000" w:fill="auto"/>
            <w:noWrap/>
            <w:vAlign w:val="center"/>
            <w:hideMark/>
          </w:tcPr>
          <w:p w14:paraId="3C3563FF" w14:textId="77777777" w:rsidR="004E3197" w:rsidRPr="00684897" w:rsidRDefault="004E3197" w:rsidP="00C14812">
            <w:pPr>
              <w:jc w:val="center"/>
              <w:rPr>
                <w:sz w:val="20"/>
                <w:szCs w:val="20"/>
                <w:lang w:eastAsia="en-US"/>
              </w:rPr>
            </w:pPr>
            <w:r w:rsidRPr="00684897">
              <w:rPr>
                <w:rFonts w:eastAsiaTheme="minorHAnsi"/>
                <w:sz w:val="20"/>
                <w:szCs w:val="20"/>
                <w:lang w:eastAsia="en-US"/>
              </w:rPr>
              <w:t>6,02</w:t>
            </w:r>
          </w:p>
        </w:tc>
        <w:tc>
          <w:tcPr>
            <w:tcW w:w="793" w:type="pct"/>
            <w:tcBorders>
              <w:top w:val="single" w:sz="4" w:space="0" w:color="auto"/>
              <w:left w:val="single" w:sz="8" w:space="0" w:color="113F80"/>
              <w:bottom w:val="single" w:sz="4" w:space="0" w:color="113F80"/>
              <w:right w:val="single" w:sz="8" w:space="0" w:color="113F80"/>
            </w:tcBorders>
            <w:shd w:val="clear" w:color="000000" w:fill="auto"/>
            <w:noWrap/>
            <w:vAlign w:val="center"/>
          </w:tcPr>
          <w:p w14:paraId="674A0CF2" w14:textId="77777777" w:rsidR="004E3197" w:rsidRPr="00684897" w:rsidRDefault="004E3197" w:rsidP="00C14812">
            <w:pPr>
              <w:jc w:val="center"/>
              <w:rPr>
                <w:sz w:val="20"/>
                <w:szCs w:val="20"/>
                <w:lang w:eastAsia="en-US"/>
              </w:rPr>
            </w:pPr>
            <w:r w:rsidRPr="00684897">
              <w:rPr>
                <w:rFonts w:eastAsiaTheme="minorHAnsi"/>
                <w:sz w:val="20"/>
                <w:szCs w:val="20"/>
                <w:lang w:eastAsia="en-US"/>
              </w:rPr>
              <w:t>5,29</w:t>
            </w:r>
          </w:p>
        </w:tc>
      </w:tr>
      <w:tr w:rsidR="004E3197" w:rsidRPr="001C685D" w14:paraId="70E1C331" w14:textId="77777777" w:rsidTr="00C14812">
        <w:trPr>
          <w:trHeight w:val="288"/>
          <w:jc w:val="center"/>
        </w:trPr>
        <w:tc>
          <w:tcPr>
            <w:tcW w:w="2305" w:type="pct"/>
            <w:shd w:val="clear" w:color="auto" w:fill="FFFFFF" w:themeFill="background1"/>
            <w:noWrap/>
            <w:vAlign w:val="center"/>
          </w:tcPr>
          <w:p w14:paraId="7E93AFAE" w14:textId="77777777" w:rsidR="004E3197" w:rsidRPr="00904DCD" w:rsidRDefault="004E3197" w:rsidP="00C14812">
            <w:pPr>
              <w:rPr>
                <w:color w:val="000000"/>
                <w:sz w:val="18"/>
                <w:szCs w:val="18"/>
                <w:lang w:eastAsia="en-US"/>
              </w:rPr>
            </w:pPr>
            <w:r w:rsidRPr="00904DCD">
              <w:rPr>
                <w:color w:val="000000"/>
                <w:sz w:val="18"/>
                <w:szCs w:val="18"/>
                <w:lang w:eastAsia="en-US"/>
              </w:rPr>
              <w:t>Access.Copper.Wholesale - Central Access Lines - Market 3B.Access</w:t>
            </w:r>
          </w:p>
        </w:tc>
        <w:tc>
          <w:tcPr>
            <w:tcW w:w="631" w:type="pct"/>
            <w:vMerge/>
            <w:shd w:val="clear" w:color="auto" w:fill="FFFFFF" w:themeFill="background1"/>
            <w:noWrap/>
            <w:vAlign w:val="center"/>
          </w:tcPr>
          <w:p w14:paraId="02C78FCA" w14:textId="77777777" w:rsidR="004E3197" w:rsidRPr="00904DCD" w:rsidRDefault="004E3197" w:rsidP="00C14812">
            <w:pPr>
              <w:jc w:val="center"/>
              <w:rPr>
                <w:color w:val="000000"/>
                <w:sz w:val="18"/>
                <w:szCs w:val="18"/>
                <w:lang w:eastAsia="en-US"/>
              </w:rPr>
            </w:pPr>
          </w:p>
        </w:tc>
        <w:tc>
          <w:tcPr>
            <w:tcW w:w="397" w:type="pct"/>
            <w:tcBorders>
              <w:top w:val="single" w:sz="4" w:space="0" w:color="113F80"/>
              <w:left w:val="single" w:sz="8" w:space="0" w:color="113F80"/>
              <w:bottom w:val="single" w:sz="4" w:space="0" w:color="113F80"/>
              <w:right w:val="single" w:sz="4" w:space="0" w:color="113F80"/>
            </w:tcBorders>
            <w:shd w:val="clear" w:color="000000" w:fill="auto"/>
            <w:noWrap/>
            <w:vAlign w:val="center"/>
          </w:tcPr>
          <w:p w14:paraId="3CE3E950" w14:textId="77777777" w:rsidR="004E3197" w:rsidRPr="00684897" w:rsidRDefault="004E3197" w:rsidP="00C14812">
            <w:pPr>
              <w:jc w:val="center"/>
              <w:rPr>
                <w:rFonts w:eastAsiaTheme="minorHAnsi"/>
                <w:sz w:val="20"/>
                <w:szCs w:val="20"/>
                <w:lang w:eastAsia="en-US"/>
              </w:rPr>
            </w:pPr>
            <w:r w:rsidRPr="00684897">
              <w:rPr>
                <w:rFonts w:eastAsiaTheme="minorHAnsi"/>
                <w:sz w:val="20"/>
                <w:szCs w:val="20"/>
                <w:lang w:eastAsia="en-US"/>
              </w:rPr>
              <w:t>6,09</w:t>
            </w:r>
          </w:p>
        </w:tc>
        <w:tc>
          <w:tcPr>
            <w:tcW w:w="397" w:type="pct"/>
            <w:tcBorders>
              <w:top w:val="single" w:sz="4" w:space="0" w:color="113F80"/>
              <w:left w:val="nil"/>
              <w:bottom w:val="single" w:sz="4" w:space="0" w:color="113F80"/>
              <w:right w:val="single" w:sz="4" w:space="0" w:color="113F80"/>
            </w:tcBorders>
            <w:shd w:val="clear" w:color="000000" w:fill="auto"/>
            <w:noWrap/>
            <w:vAlign w:val="center"/>
          </w:tcPr>
          <w:p w14:paraId="0E7A6CFF" w14:textId="77777777" w:rsidR="004E3197" w:rsidRPr="00684897" w:rsidRDefault="004E3197" w:rsidP="00C14812">
            <w:pPr>
              <w:jc w:val="center"/>
              <w:rPr>
                <w:rFonts w:eastAsiaTheme="minorHAnsi"/>
                <w:sz w:val="20"/>
                <w:szCs w:val="20"/>
                <w:lang w:eastAsia="en-US"/>
              </w:rPr>
            </w:pPr>
            <w:r w:rsidRPr="00684897">
              <w:rPr>
                <w:rFonts w:eastAsiaTheme="minorHAnsi"/>
                <w:sz w:val="20"/>
                <w:szCs w:val="20"/>
                <w:lang w:eastAsia="en-US"/>
              </w:rPr>
              <w:t>6,01</w:t>
            </w:r>
          </w:p>
        </w:tc>
        <w:tc>
          <w:tcPr>
            <w:tcW w:w="477" w:type="pct"/>
            <w:tcBorders>
              <w:top w:val="single" w:sz="4" w:space="0" w:color="113F80"/>
              <w:left w:val="nil"/>
              <w:bottom w:val="single" w:sz="4" w:space="0" w:color="113F80"/>
              <w:right w:val="single" w:sz="4" w:space="0" w:color="113F80"/>
            </w:tcBorders>
            <w:shd w:val="clear" w:color="000000" w:fill="auto"/>
            <w:noWrap/>
            <w:vAlign w:val="center"/>
          </w:tcPr>
          <w:p w14:paraId="09B42F55" w14:textId="77777777" w:rsidR="004E3197" w:rsidRPr="00684897" w:rsidRDefault="004E3197" w:rsidP="00C14812">
            <w:pPr>
              <w:jc w:val="center"/>
              <w:rPr>
                <w:rFonts w:eastAsiaTheme="minorHAnsi"/>
                <w:sz w:val="20"/>
                <w:szCs w:val="20"/>
                <w:lang w:eastAsia="en-US"/>
              </w:rPr>
            </w:pPr>
            <w:r w:rsidRPr="00684897">
              <w:rPr>
                <w:rFonts w:eastAsiaTheme="minorHAnsi"/>
                <w:sz w:val="20"/>
                <w:szCs w:val="20"/>
                <w:lang w:eastAsia="en-US"/>
              </w:rPr>
              <w:t>5.96</w:t>
            </w:r>
          </w:p>
        </w:tc>
        <w:tc>
          <w:tcPr>
            <w:tcW w:w="793" w:type="pct"/>
            <w:tcBorders>
              <w:top w:val="single" w:sz="4" w:space="0" w:color="113F80"/>
              <w:left w:val="single" w:sz="8" w:space="0" w:color="113F80"/>
              <w:bottom w:val="single" w:sz="4" w:space="0" w:color="113F80"/>
              <w:right w:val="single" w:sz="8" w:space="0" w:color="113F80"/>
            </w:tcBorders>
            <w:shd w:val="clear" w:color="000000" w:fill="auto"/>
            <w:noWrap/>
            <w:vAlign w:val="center"/>
          </w:tcPr>
          <w:p w14:paraId="6088884C" w14:textId="77777777" w:rsidR="004E3197" w:rsidRPr="00684897" w:rsidDel="00586B80" w:rsidRDefault="004E3197" w:rsidP="00C14812">
            <w:pPr>
              <w:jc w:val="center"/>
              <w:rPr>
                <w:rFonts w:eastAsiaTheme="minorHAnsi"/>
                <w:sz w:val="20"/>
                <w:szCs w:val="20"/>
                <w:lang w:eastAsia="en-US"/>
              </w:rPr>
            </w:pPr>
            <w:r w:rsidRPr="00684897">
              <w:rPr>
                <w:rFonts w:eastAsiaTheme="minorHAnsi"/>
                <w:sz w:val="20"/>
                <w:szCs w:val="20"/>
                <w:lang w:eastAsia="en-US"/>
              </w:rPr>
              <w:t>6,02</w:t>
            </w:r>
          </w:p>
        </w:tc>
      </w:tr>
      <w:tr w:rsidR="004E3197" w:rsidRPr="001C685D" w14:paraId="12B6AA39" w14:textId="77777777" w:rsidTr="00C14812">
        <w:trPr>
          <w:trHeight w:val="288"/>
          <w:jc w:val="center"/>
        </w:trPr>
        <w:tc>
          <w:tcPr>
            <w:tcW w:w="2305" w:type="pct"/>
            <w:shd w:val="clear" w:color="auto" w:fill="FFFFFF" w:themeFill="background1"/>
            <w:noWrap/>
            <w:vAlign w:val="center"/>
          </w:tcPr>
          <w:p w14:paraId="200A2B1C" w14:textId="77777777" w:rsidR="004E3197" w:rsidRPr="00904DCD" w:rsidRDefault="004E3197" w:rsidP="00C14812">
            <w:pPr>
              <w:rPr>
                <w:b/>
                <w:color w:val="000000"/>
                <w:sz w:val="18"/>
                <w:szCs w:val="18"/>
                <w:lang w:eastAsia="en-US"/>
              </w:rPr>
            </w:pPr>
            <w:r w:rsidRPr="00904DCD">
              <w:rPr>
                <w:b/>
                <w:color w:val="000000"/>
                <w:sz w:val="18"/>
                <w:szCs w:val="18"/>
                <w:lang w:eastAsia="en-US"/>
              </w:rPr>
              <w:t>Jedinstvena cijena LLU usluge i naknade za korištenje bakrene pristupne mreže kao dijela cijene usluge bitstream pristupa (ponderirani prosjek)</w:t>
            </w:r>
          </w:p>
        </w:tc>
        <w:tc>
          <w:tcPr>
            <w:tcW w:w="631" w:type="pct"/>
            <w:vMerge/>
            <w:shd w:val="clear" w:color="auto" w:fill="FFFFFF" w:themeFill="background1"/>
            <w:noWrap/>
            <w:vAlign w:val="center"/>
          </w:tcPr>
          <w:p w14:paraId="412491D6" w14:textId="77777777" w:rsidR="004E3197" w:rsidRPr="00904DCD" w:rsidRDefault="004E3197" w:rsidP="00C14812">
            <w:pPr>
              <w:jc w:val="center"/>
              <w:rPr>
                <w:color w:val="000000"/>
                <w:sz w:val="18"/>
                <w:szCs w:val="18"/>
                <w:lang w:eastAsia="en-US"/>
              </w:rPr>
            </w:pPr>
          </w:p>
        </w:tc>
        <w:tc>
          <w:tcPr>
            <w:tcW w:w="397" w:type="pct"/>
            <w:tcBorders>
              <w:top w:val="single" w:sz="4" w:space="0" w:color="113F80"/>
              <w:left w:val="single" w:sz="8" w:space="0" w:color="113F80"/>
              <w:bottom w:val="single" w:sz="4" w:space="0" w:color="113F80"/>
              <w:right w:val="single" w:sz="4" w:space="0" w:color="113F80"/>
            </w:tcBorders>
            <w:shd w:val="clear" w:color="000000" w:fill="auto"/>
            <w:noWrap/>
            <w:vAlign w:val="center"/>
          </w:tcPr>
          <w:p w14:paraId="32FB8F37" w14:textId="77777777" w:rsidR="004E3197" w:rsidRPr="00684897" w:rsidRDefault="004E3197" w:rsidP="00C14812">
            <w:pPr>
              <w:jc w:val="center"/>
              <w:rPr>
                <w:rFonts w:eastAsiaTheme="minorHAnsi"/>
                <w:sz w:val="20"/>
                <w:szCs w:val="20"/>
                <w:lang w:eastAsia="en-US"/>
              </w:rPr>
            </w:pPr>
            <w:r w:rsidRPr="00684897">
              <w:rPr>
                <w:rFonts w:eastAsiaTheme="minorHAnsi"/>
                <w:sz w:val="20"/>
                <w:szCs w:val="20"/>
                <w:lang w:eastAsia="en-US"/>
              </w:rPr>
              <w:t>5,90</w:t>
            </w:r>
          </w:p>
        </w:tc>
        <w:tc>
          <w:tcPr>
            <w:tcW w:w="397" w:type="pct"/>
            <w:tcBorders>
              <w:top w:val="single" w:sz="4" w:space="0" w:color="113F80"/>
              <w:left w:val="nil"/>
              <w:bottom w:val="single" w:sz="4" w:space="0" w:color="113F80"/>
              <w:right w:val="single" w:sz="4" w:space="0" w:color="113F80"/>
            </w:tcBorders>
            <w:shd w:val="clear" w:color="000000" w:fill="auto"/>
            <w:noWrap/>
            <w:vAlign w:val="center"/>
          </w:tcPr>
          <w:p w14:paraId="77B20DF7" w14:textId="77777777" w:rsidR="004E3197" w:rsidRPr="00684897" w:rsidRDefault="004E3197" w:rsidP="00C14812">
            <w:pPr>
              <w:jc w:val="center"/>
              <w:rPr>
                <w:rFonts w:eastAsiaTheme="minorHAnsi"/>
                <w:sz w:val="20"/>
                <w:szCs w:val="20"/>
                <w:lang w:eastAsia="en-US"/>
              </w:rPr>
            </w:pPr>
            <w:r w:rsidRPr="00684897">
              <w:rPr>
                <w:rFonts w:eastAsiaTheme="minorHAnsi"/>
                <w:sz w:val="20"/>
                <w:szCs w:val="20"/>
                <w:lang w:eastAsia="en-US"/>
              </w:rPr>
              <w:t>5,93</w:t>
            </w:r>
          </w:p>
        </w:tc>
        <w:tc>
          <w:tcPr>
            <w:tcW w:w="477" w:type="pct"/>
            <w:tcBorders>
              <w:top w:val="single" w:sz="4" w:space="0" w:color="113F80"/>
              <w:left w:val="nil"/>
              <w:bottom w:val="single" w:sz="4" w:space="0" w:color="113F80"/>
              <w:right w:val="single" w:sz="4" w:space="0" w:color="113F80"/>
            </w:tcBorders>
            <w:shd w:val="clear" w:color="000000" w:fill="auto"/>
            <w:noWrap/>
            <w:vAlign w:val="center"/>
          </w:tcPr>
          <w:p w14:paraId="04CEA688" w14:textId="77777777" w:rsidR="004E3197" w:rsidRPr="00684897" w:rsidRDefault="004E3197" w:rsidP="00C14812">
            <w:pPr>
              <w:jc w:val="center"/>
              <w:rPr>
                <w:rFonts w:eastAsiaTheme="minorHAnsi"/>
                <w:sz w:val="20"/>
                <w:szCs w:val="20"/>
                <w:lang w:eastAsia="en-US"/>
              </w:rPr>
            </w:pPr>
            <w:r w:rsidRPr="00684897">
              <w:rPr>
                <w:rFonts w:eastAsiaTheme="minorHAnsi"/>
                <w:sz w:val="20"/>
                <w:szCs w:val="20"/>
                <w:lang w:eastAsia="en-US"/>
              </w:rPr>
              <w:t>5,96</w:t>
            </w:r>
          </w:p>
        </w:tc>
        <w:tc>
          <w:tcPr>
            <w:tcW w:w="793" w:type="pct"/>
            <w:tcBorders>
              <w:top w:val="single" w:sz="4" w:space="0" w:color="113F80"/>
              <w:left w:val="single" w:sz="8" w:space="0" w:color="113F80"/>
              <w:bottom w:val="single" w:sz="4" w:space="0" w:color="113F80"/>
              <w:right w:val="single" w:sz="8" w:space="0" w:color="113F80"/>
            </w:tcBorders>
            <w:shd w:val="clear" w:color="000000" w:fill="auto"/>
            <w:noWrap/>
            <w:vAlign w:val="center"/>
          </w:tcPr>
          <w:p w14:paraId="06D7752B" w14:textId="77777777" w:rsidR="004E3197" w:rsidRPr="00684897" w:rsidDel="00586B80" w:rsidRDefault="004E3197" w:rsidP="00C14812">
            <w:pPr>
              <w:jc w:val="center"/>
              <w:rPr>
                <w:rFonts w:eastAsiaTheme="minorHAnsi"/>
                <w:b/>
                <w:sz w:val="20"/>
                <w:szCs w:val="20"/>
                <w:lang w:eastAsia="en-US"/>
              </w:rPr>
            </w:pPr>
            <w:r w:rsidRPr="00684897">
              <w:rPr>
                <w:rFonts w:eastAsiaTheme="minorHAnsi"/>
                <w:b/>
                <w:sz w:val="20"/>
                <w:szCs w:val="20"/>
                <w:lang w:eastAsia="en-US"/>
              </w:rPr>
              <w:t>5,74</w:t>
            </w:r>
          </w:p>
        </w:tc>
      </w:tr>
    </w:tbl>
    <w:p w14:paraId="7AA52B7C" w14:textId="195BB7C1" w:rsidR="004E3197" w:rsidRDefault="004E3197" w:rsidP="004E3197">
      <w:pPr>
        <w:jc w:val="both"/>
      </w:pPr>
    </w:p>
    <w:p w14:paraId="2D823D3E" w14:textId="77777777" w:rsidR="004E3197" w:rsidRPr="00715A1A" w:rsidRDefault="004E3197" w:rsidP="004E3197">
      <w:pPr>
        <w:jc w:val="both"/>
      </w:pPr>
      <w:r w:rsidRPr="00715A1A">
        <w:t>HAKOM</w:t>
      </w:r>
      <w:r>
        <w:t xml:space="preserve"> je</w:t>
      </w:r>
      <w:r w:rsidRPr="00715A1A">
        <w:t xml:space="preserve"> definirao posebnu naknadu za pristupnu mrežu kada se DSLAM nalazi u FTTC čvoru koja je za cca 25% viša od naknade za pristup mreži kada se DSLAM nalazi na CO/FTTN lokaciji, čime HAKOM želi potaknuti HT na daljnje skraćivanje dugačkih bakrenih petlji.</w:t>
      </w:r>
    </w:p>
    <w:p w14:paraId="78743D79" w14:textId="77777777" w:rsidR="004E3197" w:rsidRDefault="004E3197" w:rsidP="004E3197">
      <w:pPr>
        <w:jc w:val="both"/>
      </w:pPr>
    </w:p>
    <w:p w14:paraId="1E6755E0" w14:textId="77777777" w:rsidR="004E3197" w:rsidRPr="00E67889" w:rsidRDefault="004E3197" w:rsidP="004E3197">
      <w:pPr>
        <w:jc w:val="both"/>
        <w:rPr>
          <w:b/>
          <w:i/>
        </w:rPr>
      </w:pPr>
      <w:r>
        <w:rPr>
          <w:b/>
          <w:i/>
        </w:rPr>
        <w:t>Pretpostavke za o</w:t>
      </w:r>
      <w:r w:rsidRPr="00E67889">
        <w:rPr>
          <w:b/>
          <w:i/>
        </w:rPr>
        <w:t xml:space="preserve">dređivanje </w:t>
      </w:r>
      <w:r>
        <w:rPr>
          <w:b/>
          <w:i/>
        </w:rPr>
        <w:t>naknade za korištenje širokopojasnog porta na DSLAM-u</w:t>
      </w:r>
    </w:p>
    <w:p w14:paraId="7D564338" w14:textId="77777777" w:rsidR="004E3197" w:rsidRPr="00E67889" w:rsidRDefault="004E3197" w:rsidP="004E3197">
      <w:pPr>
        <w:jc w:val="both"/>
        <w:rPr>
          <w:b/>
          <w:i/>
        </w:rPr>
      </w:pPr>
    </w:p>
    <w:p w14:paraId="715DBB2B" w14:textId="77777777" w:rsidR="004E3197" w:rsidRDefault="004E3197" w:rsidP="004E3197">
      <w:pPr>
        <w:jc w:val="both"/>
      </w:pPr>
      <w:r w:rsidRPr="00731C0D">
        <w:t xml:space="preserve">Naknada za korištenje širokopojasnog porta na DSLAM-u u slučaju kada je DSLAM smješten na staroj CO lokaciji ili na lokaciji FTTN čvora jednaka je ponderiranom prosječnom trošku jediničnih troškova </w:t>
      </w:r>
      <w:r w:rsidRPr="00731C0D">
        <w:rPr>
          <w:i/>
        </w:rPr>
        <w:t>Broadband.Copper–ADSL.Wholesale.Broadband</w:t>
      </w:r>
      <w:r w:rsidRPr="00731C0D">
        <w:t xml:space="preserve"> i </w:t>
      </w:r>
      <w:r w:rsidRPr="00731C0D">
        <w:rPr>
          <w:i/>
        </w:rPr>
        <w:t>Broadband.Copper–VDSL.Wholesale.</w:t>
      </w:r>
      <w:r>
        <w:rPr>
          <w:i/>
        </w:rPr>
        <w:t xml:space="preserve"> </w:t>
      </w:r>
      <w:r w:rsidRPr="00731C0D">
        <w:rPr>
          <w:i/>
        </w:rPr>
        <w:t xml:space="preserve">Broadband </w:t>
      </w:r>
      <w:r w:rsidRPr="00731C0D">
        <w:t>usluga</w:t>
      </w:r>
      <w:r>
        <w:t>.</w:t>
      </w:r>
      <w:r w:rsidRPr="00731C0D">
        <w:t xml:space="preserve"> U slučaju kada se DSLAM nalazi na lokaciji FTTC čvora, naknada za korištenje širokopojasnog porta na DSLAM-u jednaka je jediničnom trošku </w:t>
      </w:r>
      <w:r w:rsidRPr="00731C0D">
        <w:rPr>
          <w:i/>
        </w:rPr>
        <w:t>Broadband.Copper-VDSL.</w:t>
      </w:r>
      <w:r>
        <w:rPr>
          <w:i/>
        </w:rPr>
        <w:t xml:space="preserve"> </w:t>
      </w:r>
      <w:r w:rsidRPr="00731C0D">
        <w:rPr>
          <w:i/>
        </w:rPr>
        <w:t>Wholesale.Broadband</w:t>
      </w:r>
      <w:r w:rsidRPr="00731C0D">
        <w:t xml:space="preserve"> usluge</w:t>
      </w:r>
      <w:r w:rsidRPr="00E67889">
        <w:t>.</w:t>
      </w:r>
    </w:p>
    <w:p w14:paraId="33E25C54" w14:textId="77777777" w:rsidR="004E3197" w:rsidRDefault="004E3197" w:rsidP="004E3197">
      <w:pPr>
        <w:jc w:val="both"/>
      </w:pPr>
    </w:p>
    <w:p w14:paraId="0DFCD829" w14:textId="77777777" w:rsidR="004E3197" w:rsidRPr="00E67889" w:rsidRDefault="004E3197" w:rsidP="004E3197">
      <w:pPr>
        <w:jc w:val="both"/>
        <w:rPr>
          <w:b/>
          <w:i/>
        </w:rPr>
      </w:pPr>
      <w:r>
        <w:rPr>
          <w:b/>
          <w:i/>
        </w:rPr>
        <w:t>Pretpostavke za o</w:t>
      </w:r>
      <w:r w:rsidRPr="00E67889">
        <w:rPr>
          <w:b/>
          <w:i/>
        </w:rPr>
        <w:t>dređivanje</w:t>
      </w:r>
      <w:r>
        <w:rPr>
          <w:b/>
          <w:i/>
        </w:rPr>
        <w:t xml:space="preserve"> naknade</w:t>
      </w:r>
      <w:r w:rsidRPr="00E67889">
        <w:rPr>
          <w:b/>
          <w:i/>
        </w:rPr>
        <w:t xml:space="preserve"> </w:t>
      </w:r>
      <w:r>
        <w:rPr>
          <w:b/>
          <w:i/>
        </w:rPr>
        <w:t>za</w:t>
      </w:r>
      <w:r w:rsidRPr="00E67889">
        <w:rPr>
          <w:b/>
          <w:i/>
        </w:rPr>
        <w:t xml:space="preserve"> </w:t>
      </w:r>
      <w:r>
        <w:rPr>
          <w:b/>
          <w:i/>
        </w:rPr>
        <w:t>korištenje svjetlovodne pristupne mreže</w:t>
      </w:r>
    </w:p>
    <w:p w14:paraId="0F4B747C" w14:textId="57756711" w:rsidR="004E3197" w:rsidRDefault="004E3197" w:rsidP="004E3197">
      <w:pPr>
        <w:jc w:val="both"/>
      </w:pPr>
    </w:p>
    <w:p w14:paraId="5966FA2A" w14:textId="77777777" w:rsidR="004F2D4F" w:rsidRDefault="004E3197" w:rsidP="004E3197">
      <w:pPr>
        <w:jc w:val="both"/>
      </w:pPr>
      <w:r w:rsidRPr="00731C0D">
        <w:t xml:space="preserve">Naknada za korištenje svjetlovodne mreže obuhvaća troškove svjetlovodne pristupne mreže od krajnjeg korisnika do OLT-a (ne uključujući OLT). </w:t>
      </w:r>
      <w:r w:rsidR="004F2D4F">
        <w:t xml:space="preserve">Kod određivanja te naknade, jednkao kao i kod naknade za FA-PON uslugu važna je potražnja za uslugama putema svjetlovodne pristupne mreže za čije određivanje su korištene iste pretpostavke o </w:t>
      </w:r>
      <w:r w:rsidR="004F2D4F">
        <w:rPr>
          <w:i/>
        </w:rPr>
        <w:t xml:space="preserve">take up-u </w:t>
      </w:r>
      <w:r w:rsidR="004F2D4F">
        <w:t xml:space="preserve">kao i kod FA-PON usluge. </w:t>
      </w:r>
    </w:p>
    <w:p w14:paraId="0A2846A4" w14:textId="77777777" w:rsidR="004F2D4F" w:rsidRDefault="004F2D4F" w:rsidP="004E3197">
      <w:pPr>
        <w:jc w:val="both"/>
      </w:pPr>
    </w:p>
    <w:p w14:paraId="5CC0822D" w14:textId="5E980C9A" w:rsidR="004E3197" w:rsidRDefault="004E3197" w:rsidP="004E3197">
      <w:pPr>
        <w:jc w:val="both"/>
      </w:pPr>
      <w:r w:rsidRPr="00731C0D">
        <w:t>S obzirom na različite arhitekture koje postoje u HT-ovoj svjetlovodnoj pristupnoj mreži u smislu do koje točke u mreži doseže svjetlovodna nit, HAKOM je odredio tri različite naknade za korištenje svjetlovodne pristupne mreže:</w:t>
      </w:r>
    </w:p>
    <w:p w14:paraId="604EDCFA" w14:textId="77777777" w:rsidR="004E3197" w:rsidRPr="00731C0D" w:rsidRDefault="004E3197" w:rsidP="004E3197">
      <w:pPr>
        <w:jc w:val="both"/>
      </w:pPr>
    </w:p>
    <w:p w14:paraId="4C803A7C" w14:textId="77777777" w:rsidR="004E3197" w:rsidRPr="00731C0D" w:rsidRDefault="004E3197" w:rsidP="004E3197">
      <w:pPr>
        <w:pStyle w:val="ListParagraph"/>
        <w:numPr>
          <w:ilvl w:val="0"/>
          <w:numId w:val="17"/>
        </w:numPr>
        <w:jc w:val="both"/>
      </w:pPr>
      <w:r w:rsidRPr="00731C0D">
        <w:t>naknada za korištenje svjetlovodne pristupne mreže za slučaj FTTH rješenja (kada se na cijelom putu između OLT-a i opreme u vlasništvu HT-a koja se nalazi u prostoru krajnjeg korisnika signal prenosi svjetlovodnom niti). U slučaju FTTH rješenja određuju se dvije naknade ovisno o tome je li u naknadu uključeno korištenje svjetlovodne instalacije unutar višestambene zgrade Također, određuju se naknade za korištenje svjetlovodne instalacije u stanu krajnjeg korisnika te ONT-a, koje se plaćaju ovisno o tome jesu li ti resursi dio usluge bitstream pristupa, odnosno koristi li ih operator korisnik od HT-a ili ih osigurava sam</w:t>
      </w:r>
      <w:r>
        <w:t>;</w:t>
      </w:r>
    </w:p>
    <w:p w14:paraId="6E5094D0" w14:textId="42BE365C" w:rsidR="004E3197" w:rsidRPr="00731C0D" w:rsidRDefault="004E3197" w:rsidP="004E3197">
      <w:pPr>
        <w:pStyle w:val="ListParagraph"/>
        <w:numPr>
          <w:ilvl w:val="0"/>
          <w:numId w:val="17"/>
        </w:numPr>
        <w:jc w:val="both"/>
      </w:pPr>
      <w:r w:rsidRPr="00731C0D">
        <w:t>naknada za korištenje svjetlovodne pristupne mreže za slučaj FTTB rješenja (svjetlovodna nit se proteže od OLT-a do DSLAM-a koji se nalazi u prostoru zgrade u kojoj se nalazi krajn</w:t>
      </w:r>
      <w:r>
        <w:t>j</w:t>
      </w:r>
      <w:r w:rsidRPr="00731C0D">
        <w:t>i korisnik, a signal se od DSLAM-a do krajnjeg korisnika prenosi putem VDSL</w:t>
      </w:r>
      <w:r>
        <w:t>,</w:t>
      </w:r>
      <w:r w:rsidRPr="00731C0D">
        <w:t xml:space="preserve"> odnosno G.fast tehnologije). Određuje</w:t>
      </w:r>
      <w:r>
        <w:t xml:space="preserve"> se i naknada za najam G.Fast</w:t>
      </w:r>
      <w:r w:rsidRPr="00731C0D">
        <w:t xml:space="preserve"> uređaja</w:t>
      </w:r>
      <w:r>
        <w:t>; te</w:t>
      </w:r>
    </w:p>
    <w:p w14:paraId="2469F3BD" w14:textId="1D9FD1B6" w:rsidR="004E3197" w:rsidRDefault="004E3197" w:rsidP="004E3197">
      <w:pPr>
        <w:pStyle w:val="ListParagraph"/>
        <w:numPr>
          <w:ilvl w:val="0"/>
          <w:numId w:val="17"/>
        </w:numPr>
        <w:jc w:val="both"/>
      </w:pPr>
      <w:r w:rsidRPr="00731C0D">
        <w:t>naknada za korištenje svjetlovodne pristupne mreže za slučaj FTTDP rješenja (svjetlovodna nit se proteže od OLT-a do DSLAM-a koji se nalazi u DP-u na koji je spojen krajnji korisnik putem bakrene parice, a signal se od DSLAM-a do krajnjeg korisnika prenosi putem VDSL</w:t>
      </w:r>
      <w:r>
        <w:t>,</w:t>
      </w:r>
      <w:r w:rsidRPr="00731C0D">
        <w:t xml:space="preserve"> odnosno G.fast tehnologije). Određuje</w:t>
      </w:r>
      <w:r>
        <w:t xml:space="preserve"> se i naknada za najam G.Fast</w:t>
      </w:r>
      <w:r w:rsidRPr="00731C0D">
        <w:t xml:space="preserve"> uređaja.</w:t>
      </w:r>
    </w:p>
    <w:p w14:paraId="4CE8A52D" w14:textId="7F62CE0F" w:rsidR="004E3197" w:rsidRPr="00AC438F" w:rsidRDefault="004E3197" w:rsidP="004E3197">
      <w:pPr>
        <w:spacing w:after="120"/>
        <w:jc w:val="both"/>
      </w:pPr>
    </w:p>
    <w:p w14:paraId="0CE86DE3" w14:textId="607A4FD6" w:rsidR="004E3197" w:rsidRDefault="004E3197" w:rsidP="004E3197">
      <w:pPr>
        <w:pStyle w:val="Caption"/>
        <w:keepNext/>
      </w:pPr>
      <w:r>
        <w:t xml:space="preserve">Tablica </w:t>
      </w:r>
      <w:r w:rsidR="001530D7">
        <w:fldChar w:fldCharType="begin"/>
      </w:r>
      <w:r w:rsidR="001530D7">
        <w:instrText xml:space="preserve"> SEQ Tablica \* ARABIC </w:instrText>
      </w:r>
      <w:r w:rsidR="001530D7">
        <w:fldChar w:fldCharType="separate"/>
      </w:r>
      <w:r>
        <w:rPr>
          <w:noProof/>
        </w:rPr>
        <w:t>4</w:t>
      </w:r>
      <w:r w:rsidR="001530D7">
        <w:rPr>
          <w:noProof/>
        </w:rPr>
        <w:fldChar w:fldCharType="end"/>
      </w:r>
      <w:r>
        <w:t xml:space="preserve"> - </w:t>
      </w:r>
      <w:r w:rsidRPr="00140867">
        <w:t>Jedinične cijene za veleprodajne usluge pristupa svjetlovodnoj mreži  (Izvor: Troškovni model)</w:t>
      </w:r>
    </w:p>
    <w:tbl>
      <w:tblPr>
        <w:tblW w:w="9628" w:type="dxa"/>
        <w:tblLook w:val="04A0" w:firstRow="1" w:lastRow="0" w:firstColumn="1" w:lastColumn="0" w:noHBand="0" w:noVBand="1"/>
      </w:tblPr>
      <w:tblGrid>
        <w:gridCol w:w="2222"/>
        <w:gridCol w:w="994"/>
        <w:gridCol w:w="916"/>
        <w:gridCol w:w="916"/>
        <w:gridCol w:w="916"/>
        <w:gridCol w:w="916"/>
        <w:gridCol w:w="916"/>
        <w:gridCol w:w="916"/>
        <w:gridCol w:w="916"/>
      </w:tblGrid>
      <w:tr w:rsidR="004E3197" w:rsidRPr="003A1788" w14:paraId="13FDA46A" w14:textId="77777777" w:rsidTr="004E3197">
        <w:trPr>
          <w:trHeight w:val="277"/>
        </w:trPr>
        <w:tc>
          <w:tcPr>
            <w:tcW w:w="22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14158046" w14:textId="77777777" w:rsidR="004E3197" w:rsidRPr="00684897" w:rsidRDefault="004E3197" w:rsidP="00C14812">
            <w:pPr>
              <w:jc w:val="center"/>
              <w:rPr>
                <w:b/>
                <w:bCs/>
                <w:color w:val="FFFFFF"/>
                <w:sz w:val="20"/>
                <w:szCs w:val="20"/>
                <w:lang w:val="en-US"/>
              </w:rPr>
            </w:pPr>
            <w:r w:rsidRPr="00684897">
              <w:rPr>
                <w:b/>
                <w:bCs/>
                <w:color w:val="FFFFFF"/>
                <w:sz w:val="20"/>
                <w:szCs w:val="20"/>
                <w:lang w:val="en-US"/>
              </w:rPr>
              <w:t>Usluga</w:t>
            </w:r>
          </w:p>
        </w:tc>
        <w:tc>
          <w:tcPr>
            <w:tcW w:w="99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17E6B780" w14:textId="77777777" w:rsidR="004E3197" w:rsidRPr="00684897" w:rsidRDefault="004E3197" w:rsidP="00C14812">
            <w:pPr>
              <w:jc w:val="center"/>
              <w:rPr>
                <w:b/>
                <w:bCs/>
                <w:color w:val="FFFFFF"/>
                <w:sz w:val="20"/>
                <w:szCs w:val="20"/>
              </w:rPr>
            </w:pPr>
            <w:r w:rsidRPr="00684897">
              <w:rPr>
                <w:b/>
                <w:bCs/>
                <w:color w:val="FFFFFF"/>
                <w:sz w:val="20"/>
                <w:szCs w:val="20"/>
              </w:rPr>
              <w:t>Jedinica</w:t>
            </w:r>
          </w:p>
        </w:tc>
        <w:tc>
          <w:tcPr>
            <w:tcW w:w="9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091A7A93" w14:textId="77777777" w:rsidR="004E3197" w:rsidRPr="00684897" w:rsidRDefault="004E3197" w:rsidP="00C14812">
            <w:pPr>
              <w:jc w:val="center"/>
              <w:rPr>
                <w:b/>
                <w:bCs/>
                <w:color w:val="FFFFFF"/>
                <w:sz w:val="20"/>
                <w:szCs w:val="20"/>
                <w:lang w:val="en-US"/>
              </w:rPr>
            </w:pPr>
            <w:r w:rsidRPr="00684897">
              <w:rPr>
                <w:b/>
                <w:bCs/>
                <w:color w:val="FFFFFF"/>
                <w:sz w:val="20"/>
                <w:szCs w:val="20"/>
                <w:lang w:val="en-US"/>
              </w:rPr>
              <w:t>2021</w:t>
            </w:r>
          </w:p>
        </w:tc>
        <w:tc>
          <w:tcPr>
            <w:tcW w:w="9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57DD2168" w14:textId="77777777" w:rsidR="004E3197" w:rsidRPr="00684897" w:rsidRDefault="004E3197" w:rsidP="00C14812">
            <w:pPr>
              <w:jc w:val="center"/>
              <w:rPr>
                <w:b/>
                <w:bCs/>
                <w:color w:val="FFFFFF"/>
                <w:sz w:val="20"/>
                <w:szCs w:val="20"/>
                <w:lang w:val="en-US"/>
              </w:rPr>
            </w:pPr>
            <w:r w:rsidRPr="00684897">
              <w:rPr>
                <w:b/>
                <w:bCs/>
                <w:color w:val="FFFFFF"/>
                <w:sz w:val="20"/>
                <w:szCs w:val="20"/>
                <w:lang w:val="en-US"/>
              </w:rPr>
              <w:t>2022</w:t>
            </w:r>
          </w:p>
        </w:tc>
        <w:tc>
          <w:tcPr>
            <w:tcW w:w="9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595781F9" w14:textId="77777777" w:rsidR="004E3197" w:rsidRPr="00684897" w:rsidRDefault="004E3197" w:rsidP="00C14812">
            <w:pPr>
              <w:jc w:val="center"/>
              <w:rPr>
                <w:b/>
                <w:bCs/>
                <w:color w:val="FFFFFF"/>
                <w:sz w:val="20"/>
                <w:szCs w:val="20"/>
                <w:lang w:val="en-US"/>
              </w:rPr>
            </w:pPr>
            <w:r w:rsidRPr="00684897">
              <w:rPr>
                <w:b/>
                <w:bCs/>
                <w:color w:val="FFFFFF"/>
                <w:sz w:val="20"/>
                <w:szCs w:val="20"/>
                <w:lang w:val="en-US"/>
              </w:rPr>
              <w:t>2023</w:t>
            </w:r>
          </w:p>
        </w:tc>
        <w:tc>
          <w:tcPr>
            <w:tcW w:w="9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0D221C94" w14:textId="77777777" w:rsidR="004E3197" w:rsidRPr="00684897" w:rsidRDefault="004E3197" w:rsidP="00C14812">
            <w:pPr>
              <w:jc w:val="center"/>
              <w:rPr>
                <w:b/>
                <w:bCs/>
                <w:color w:val="FFFFFF"/>
                <w:sz w:val="20"/>
                <w:szCs w:val="20"/>
                <w:lang w:val="en-US"/>
              </w:rPr>
            </w:pPr>
            <w:r w:rsidRPr="00684897">
              <w:rPr>
                <w:b/>
                <w:bCs/>
                <w:color w:val="FFFFFF"/>
                <w:sz w:val="20"/>
                <w:szCs w:val="20"/>
                <w:lang w:val="en-US"/>
              </w:rPr>
              <w:t>2024</w:t>
            </w:r>
          </w:p>
        </w:tc>
        <w:tc>
          <w:tcPr>
            <w:tcW w:w="9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70AF1B8D" w14:textId="77777777" w:rsidR="004E3197" w:rsidRPr="00684897" w:rsidRDefault="004E3197" w:rsidP="00C14812">
            <w:pPr>
              <w:jc w:val="center"/>
              <w:rPr>
                <w:b/>
                <w:bCs/>
                <w:color w:val="FFFFFF"/>
                <w:sz w:val="20"/>
                <w:szCs w:val="20"/>
                <w:lang w:val="en-US"/>
              </w:rPr>
            </w:pPr>
            <w:r w:rsidRPr="00684897">
              <w:rPr>
                <w:b/>
                <w:bCs/>
                <w:color w:val="FFFFFF"/>
                <w:sz w:val="20"/>
                <w:szCs w:val="20"/>
                <w:lang w:val="en-US"/>
              </w:rPr>
              <w:t>2025</w:t>
            </w:r>
          </w:p>
        </w:tc>
        <w:tc>
          <w:tcPr>
            <w:tcW w:w="9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08C0DC7F" w14:textId="77777777" w:rsidR="004E3197" w:rsidRPr="00684897" w:rsidRDefault="004E3197" w:rsidP="00C14812">
            <w:pPr>
              <w:jc w:val="center"/>
              <w:rPr>
                <w:b/>
                <w:bCs/>
                <w:color w:val="FFFFFF"/>
                <w:sz w:val="20"/>
                <w:szCs w:val="20"/>
                <w:lang w:val="en-US"/>
              </w:rPr>
            </w:pPr>
            <w:r w:rsidRPr="00684897">
              <w:rPr>
                <w:b/>
                <w:bCs/>
                <w:color w:val="FFFFFF"/>
                <w:sz w:val="20"/>
                <w:szCs w:val="20"/>
                <w:lang w:val="en-US"/>
              </w:rPr>
              <w:t>2026</w:t>
            </w:r>
          </w:p>
        </w:tc>
        <w:tc>
          <w:tcPr>
            <w:tcW w:w="9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69D7B9BE" w14:textId="77777777" w:rsidR="004E3197" w:rsidRPr="00684897" w:rsidRDefault="004E3197" w:rsidP="00C14812">
            <w:pPr>
              <w:jc w:val="center"/>
              <w:rPr>
                <w:b/>
                <w:bCs/>
                <w:color w:val="FFFFFF"/>
                <w:sz w:val="20"/>
                <w:szCs w:val="20"/>
                <w:lang w:val="en-US"/>
              </w:rPr>
            </w:pPr>
            <w:r w:rsidRPr="00684897">
              <w:rPr>
                <w:b/>
                <w:bCs/>
                <w:color w:val="FFFFFF"/>
                <w:sz w:val="20"/>
                <w:szCs w:val="20"/>
                <w:lang w:val="en-US"/>
              </w:rPr>
              <w:t>2027</w:t>
            </w:r>
          </w:p>
        </w:tc>
      </w:tr>
      <w:tr w:rsidR="004E3197" w:rsidRPr="003A1788" w14:paraId="4B52A0AA" w14:textId="77777777" w:rsidTr="004E3197">
        <w:trPr>
          <w:trHeight w:val="538"/>
        </w:trPr>
        <w:tc>
          <w:tcPr>
            <w:tcW w:w="2222" w:type="dxa"/>
            <w:tcBorders>
              <w:top w:val="single" w:sz="4" w:space="0" w:color="FFFFFF" w:themeColor="background1"/>
              <w:left w:val="single" w:sz="4" w:space="0" w:color="0C2749"/>
              <w:bottom w:val="single" w:sz="4" w:space="0" w:color="0C2749"/>
              <w:right w:val="single" w:sz="4" w:space="0" w:color="0C2749"/>
            </w:tcBorders>
            <w:shd w:val="clear" w:color="auto" w:fill="auto"/>
            <w:vAlign w:val="bottom"/>
            <w:hideMark/>
          </w:tcPr>
          <w:p w14:paraId="049929B0" w14:textId="77777777" w:rsidR="004E3197" w:rsidRPr="00684897" w:rsidRDefault="004E3197" w:rsidP="00C14812">
            <w:pPr>
              <w:rPr>
                <w:color w:val="000000"/>
                <w:sz w:val="20"/>
                <w:szCs w:val="20"/>
                <w:lang w:val="en-US"/>
              </w:rPr>
            </w:pPr>
            <w:r w:rsidRPr="00684897">
              <w:rPr>
                <w:color w:val="000000"/>
                <w:sz w:val="20"/>
                <w:szCs w:val="20"/>
                <w:lang w:val="en-US"/>
              </w:rPr>
              <w:t>Access FTTH Wholesale - Central Access Lines - Market 3B.Access</w:t>
            </w:r>
          </w:p>
        </w:tc>
        <w:tc>
          <w:tcPr>
            <w:tcW w:w="994" w:type="dxa"/>
            <w:tcBorders>
              <w:top w:val="single" w:sz="4" w:space="0" w:color="FFFFFF" w:themeColor="background1"/>
              <w:left w:val="nil"/>
              <w:bottom w:val="single" w:sz="4" w:space="0" w:color="0C2749"/>
              <w:right w:val="single" w:sz="4" w:space="0" w:color="0C2749"/>
            </w:tcBorders>
            <w:shd w:val="clear" w:color="auto" w:fill="auto"/>
            <w:vAlign w:val="bottom"/>
            <w:hideMark/>
          </w:tcPr>
          <w:p w14:paraId="02E0FABD" w14:textId="77777777" w:rsidR="004E3197" w:rsidRPr="00684897" w:rsidRDefault="004E3197" w:rsidP="00C14812">
            <w:pPr>
              <w:jc w:val="center"/>
              <w:rPr>
                <w:color w:val="000000"/>
                <w:sz w:val="20"/>
                <w:szCs w:val="20"/>
              </w:rPr>
            </w:pPr>
            <w:r w:rsidRPr="00684897">
              <w:rPr>
                <w:color w:val="000000"/>
                <w:sz w:val="20"/>
                <w:szCs w:val="20"/>
              </w:rPr>
              <w:t>EUR / Mjesečno / Linija</w:t>
            </w:r>
          </w:p>
        </w:tc>
        <w:tc>
          <w:tcPr>
            <w:tcW w:w="916" w:type="dxa"/>
            <w:tcBorders>
              <w:top w:val="single" w:sz="4" w:space="0" w:color="FFFFFF" w:themeColor="background1"/>
              <w:left w:val="nil"/>
              <w:bottom w:val="single" w:sz="4" w:space="0" w:color="0C2749"/>
              <w:right w:val="single" w:sz="4" w:space="0" w:color="0C2749"/>
            </w:tcBorders>
            <w:shd w:val="clear" w:color="000000" w:fill="FFFFFF"/>
            <w:noWrap/>
            <w:vAlign w:val="center"/>
            <w:hideMark/>
          </w:tcPr>
          <w:p w14:paraId="0BFFE82D" w14:textId="77777777" w:rsidR="004E3197" w:rsidRPr="00684897" w:rsidRDefault="004E3197" w:rsidP="00C14812">
            <w:pPr>
              <w:jc w:val="center"/>
              <w:rPr>
                <w:color w:val="000000"/>
                <w:sz w:val="20"/>
                <w:szCs w:val="20"/>
                <w:highlight w:val="yellow"/>
                <w:lang w:val="en-US"/>
              </w:rPr>
            </w:pPr>
            <w:r w:rsidRPr="00684897">
              <w:rPr>
                <w:sz w:val="20"/>
                <w:szCs w:val="20"/>
              </w:rPr>
              <w:t>8,18</w:t>
            </w:r>
          </w:p>
        </w:tc>
        <w:tc>
          <w:tcPr>
            <w:tcW w:w="916" w:type="dxa"/>
            <w:tcBorders>
              <w:top w:val="single" w:sz="4" w:space="0" w:color="FFFFFF" w:themeColor="background1"/>
              <w:left w:val="nil"/>
              <w:bottom w:val="single" w:sz="4" w:space="0" w:color="0C2749"/>
              <w:right w:val="single" w:sz="4" w:space="0" w:color="0C2749"/>
            </w:tcBorders>
            <w:shd w:val="clear" w:color="000000" w:fill="FFFFFF"/>
            <w:noWrap/>
            <w:vAlign w:val="center"/>
            <w:hideMark/>
          </w:tcPr>
          <w:p w14:paraId="737AACB6" w14:textId="77777777" w:rsidR="004E3197" w:rsidRPr="00684897" w:rsidRDefault="004E3197" w:rsidP="00C14812">
            <w:pPr>
              <w:jc w:val="center"/>
              <w:rPr>
                <w:color w:val="000000"/>
                <w:sz w:val="20"/>
                <w:szCs w:val="20"/>
                <w:highlight w:val="yellow"/>
                <w:lang w:val="en-US"/>
              </w:rPr>
            </w:pPr>
            <w:r w:rsidRPr="00684897">
              <w:rPr>
                <w:sz w:val="20"/>
                <w:szCs w:val="20"/>
              </w:rPr>
              <w:t>8,76</w:t>
            </w:r>
          </w:p>
        </w:tc>
        <w:tc>
          <w:tcPr>
            <w:tcW w:w="916" w:type="dxa"/>
            <w:tcBorders>
              <w:top w:val="single" w:sz="4" w:space="0" w:color="FFFFFF" w:themeColor="background1"/>
              <w:left w:val="nil"/>
              <w:bottom w:val="single" w:sz="4" w:space="0" w:color="0C2749"/>
              <w:right w:val="single" w:sz="4" w:space="0" w:color="0C2749"/>
            </w:tcBorders>
            <w:shd w:val="clear" w:color="000000" w:fill="FFFFFF"/>
            <w:noWrap/>
            <w:vAlign w:val="center"/>
            <w:hideMark/>
          </w:tcPr>
          <w:p w14:paraId="4440B2F3" w14:textId="77777777" w:rsidR="004E3197" w:rsidRPr="00684897" w:rsidRDefault="004E3197" w:rsidP="00C14812">
            <w:pPr>
              <w:jc w:val="center"/>
              <w:rPr>
                <w:color w:val="000000"/>
                <w:sz w:val="20"/>
                <w:szCs w:val="20"/>
                <w:highlight w:val="yellow"/>
                <w:lang w:val="en-US"/>
              </w:rPr>
            </w:pPr>
            <w:r w:rsidRPr="00684897">
              <w:rPr>
                <w:sz w:val="20"/>
                <w:szCs w:val="20"/>
              </w:rPr>
              <w:t>9,03</w:t>
            </w:r>
          </w:p>
        </w:tc>
        <w:tc>
          <w:tcPr>
            <w:tcW w:w="916" w:type="dxa"/>
            <w:tcBorders>
              <w:top w:val="single" w:sz="4" w:space="0" w:color="FFFFFF" w:themeColor="background1"/>
              <w:left w:val="nil"/>
              <w:bottom w:val="single" w:sz="4" w:space="0" w:color="0C2749"/>
              <w:right w:val="single" w:sz="4" w:space="0" w:color="0C2749"/>
            </w:tcBorders>
            <w:shd w:val="clear" w:color="000000" w:fill="FFFFFF"/>
            <w:noWrap/>
            <w:vAlign w:val="center"/>
            <w:hideMark/>
          </w:tcPr>
          <w:p w14:paraId="011DF41D" w14:textId="77777777" w:rsidR="004E3197" w:rsidRPr="00684897" w:rsidRDefault="004E3197" w:rsidP="00C14812">
            <w:pPr>
              <w:jc w:val="center"/>
              <w:rPr>
                <w:color w:val="000000"/>
                <w:sz w:val="20"/>
                <w:szCs w:val="20"/>
                <w:highlight w:val="yellow"/>
                <w:lang w:val="en-US"/>
              </w:rPr>
            </w:pPr>
            <w:r w:rsidRPr="00684897">
              <w:rPr>
                <w:sz w:val="20"/>
                <w:szCs w:val="20"/>
              </w:rPr>
              <w:t>9,22</w:t>
            </w:r>
          </w:p>
        </w:tc>
        <w:tc>
          <w:tcPr>
            <w:tcW w:w="916" w:type="dxa"/>
            <w:tcBorders>
              <w:top w:val="single" w:sz="4" w:space="0" w:color="FFFFFF" w:themeColor="background1"/>
              <w:left w:val="nil"/>
              <w:bottom w:val="single" w:sz="4" w:space="0" w:color="0C2749"/>
              <w:right w:val="single" w:sz="4" w:space="0" w:color="0C2749"/>
            </w:tcBorders>
            <w:shd w:val="clear" w:color="000000" w:fill="FFFFFF"/>
            <w:noWrap/>
            <w:vAlign w:val="center"/>
            <w:hideMark/>
          </w:tcPr>
          <w:p w14:paraId="752ABC39" w14:textId="77777777" w:rsidR="004E3197" w:rsidRPr="00684897" w:rsidRDefault="004E3197" w:rsidP="00C14812">
            <w:pPr>
              <w:jc w:val="center"/>
              <w:rPr>
                <w:color w:val="000000"/>
                <w:sz w:val="20"/>
                <w:szCs w:val="20"/>
                <w:highlight w:val="yellow"/>
                <w:lang w:val="en-US"/>
              </w:rPr>
            </w:pPr>
            <w:r w:rsidRPr="00684897">
              <w:rPr>
                <w:sz w:val="20"/>
                <w:szCs w:val="20"/>
              </w:rPr>
              <w:t>9,41</w:t>
            </w:r>
          </w:p>
        </w:tc>
        <w:tc>
          <w:tcPr>
            <w:tcW w:w="916" w:type="dxa"/>
            <w:tcBorders>
              <w:top w:val="single" w:sz="4" w:space="0" w:color="FFFFFF" w:themeColor="background1"/>
              <w:left w:val="nil"/>
              <w:bottom w:val="single" w:sz="4" w:space="0" w:color="0C2749"/>
              <w:right w:val="single" w:sz="4" w:space="0" w:color="0C2749"/>
            </w:tcBorders>
            <w:shd w:val="clear" w:color="000000" w:fill="FFFFFF"/>
            <w:noWrap/>
            <w:vAlign w:val="center"/>
            <w:hideMark/>
          </w:tcPr>
          <w:p w14:paraId="0383BFB0" w14:textId="77777777" w:rsidR="004E3197" w:rsidRPr="00684897" w:rsidRDefault="004E3197" w:rsidP="00C14812">
            <w:pPr>
              <w:jc w:val="center"/>
              <w:rPr>
                <w:color w:val="000000"/>
                <w:sz w:val="20"/>
                <w:szCs w:val="20"/>
                <w:highlight w:val="yellow"/>
                <w:lang w:val="en-US"/>
              </w:rPr>
            </w:pPr>
            <w:r w:rsidRPr="00684897">
              <w:rPr>
                <w:sz w:val="20"/>
                <w:szCs w:val="20"/>
              </w:rPr>
              <w:t>9,56</w:t>
            </w:r>
          </w:p>
        </w:tc>
        <w:tc>
          <w:tcPr>
            <w:tcW w:w="916" w:type="dxa"/>
            <w:tcBorders>
              <w:top w:val="single" w:sz="4" w:space="0" w:color="FFFFFF" w:themeColor="background1"/>
              <w:left w:val="nil"/>
              <w:bottom w:val="single" w:sz="4" w:space="0" w:color="0C2749"/>
              <w:right w:val="single" w:sz="4" w:space="0" w:color="0C2749"/>
            </w:tcBorders>
            <w:shd w:val="clear" w:color="000000" w:fill="FFFFFF"/>
            <w:noWrap/>
            <w:vAlign w:val="center"/>
            <w:hideMark/>
          </w:tcPr>
          <w:p w14:paraId="705D6E05" w14:textId="77777777" w:rsidR="004E3197" w:rsidRPr="00684897" w:rsidRDefault="004E3197" w:rsidP="00C14812">
            <w:pPr>
              <w:jc w:val="center"/>
              <w:rPr>
                <w:color w:val="000000"/>
                <w:sz w:val="20"/>
                <w:szCs w:val="20"/>
                <w:highlight w:val="yellow"/>
                <w:lang w:val="en-US"/>
              </w:rPr>
            </w:pPr>
            <w:r w:rsidRPr="00684897">
              <w:rPr>
                <w:sz w:val="20"/>
                <w:szCs w:val="20"/>
              </w:rPr>
              <w:t>9,69</w:t>
            </w:r>
          </w:p>
        </w:tc>
      </w:tr>
      <w:tr w:rsidR="004E3197" w:rsidRPr="003A1788" w14:paraId="0DDC342B" w14:textId="77777777" w:rsidTr="004E3197">
        <w:trPr>
          <w:trHeight w:val="538"/>
        </w:trPr>
        <w:tc>
          <w:tcPr>
            <w:tcW w:w="2222" w:type="dxa"/>
            <w:tcBorders>
              <w:top w:val="nil"/>
              <w:left w:val="single" w:sz="4" w:space="0" w:color="0C2749"/>
              <w:bottom w:val="single" w:sz="4" w:space="0" w:color="0C2749"/>
              <w:right w:val="single" w:sz="4" w:space="0" w:color="0C2749"/>
            </w:tcBorders>
            <w:shd w:val="clear" w:color="auto" w:fill="auto"/>
            <w:vAlign w:val="bottom"/>
            <w:hideMark/>
          </w:tcPr>
          <w:p w14:paraId="3BEA747F" w14:textId="77777777" w:rsidR="004E3197" w:rsidRPr="00684897" w:rsidRDefault="004E3197" w:rsidP="00C14812">
            <w:pPr>
              <w:rPr>
                <w:color w:val="000000"/>
                <w:sz w:val="20"/>
                <w:szCs w:val="20"/>
                <w:lang w:val="en-US"/>
              </w:rPr>
            </w:pPr>
            <w:r w:rsidRPr="00684897">
              <w:rPr>
                <w:color w:val="000000"/>
                <w:sz w:val="20"/>
                <w:szCs w:val="20"/>
                <w:lang w:val="en-US"/>
              </w:rPr>
              <w:t>Access FTTB Wholesale - Central Access Lines - Market 3B.Access</w:t>
            </w:r>
          </w:p>
        </w:tc>
        <w:tc>
          <w:tcPr>
            <w:tcW w:w="994" w:type="dxa"/>
            <w:tcBorders>
              <w:top w:val="nil"/>
              <w:left w:val="nil"/>
              <w:bottom w:val="single" w:sz="4" w:space="0" w:color="0C2749"/>
              <w:right w:val="single" w:sz="4" w:space="0" w:color="0C2749"/>
            </w:tcBorders>
            <w:shd w:val="clear" w:color="auto" w:fill="auto"/>
            <w:vAlign w:val="bottom"/>
            <w:hideMark/>
          </w:tcPr>
          <w:p w14:paraId="2C8404B4" w14:textId="77777777" w:rsidR="004E3197" w:rsidRPr="00684897" w:rsidRDefault="004E3197" w:rsidP="00C14812">
            <w:pPr>
              <w:jc w:val="center"/>
              <w:rPr>
                <w:color w:val="000000"/>
                <w:sz w:val="20"/>
                <w:szCs w:val="20"/>
              </w:rPr>
            </w:pPr>
            <w:r w:rsidRPr="00684897">
              <w:rPr>
                <w:color w:val="000000"/>
                <w:sz w:val="20"/>
                <w:szCs w:val="20"/>
              </w:rPr>
              <w:t>EUR / Mjesečno / Linija</w:t>
            </w:r>
          </w:p>
        </w:tc>
        <w:tc>
          <w:tcPr>
            <w:tcW w:w="916" w:type="dxa"/>
            <w:tcBorders>
              <w:top w:val="nil"/>
              <w:left w:val="nil"/>
              <w:bottom w:val="single" w:sz="4" w:space="0" w:color="0C2749"/>
              <w:right w:val="single" w:sz="4" w:space="0" w:color="0C2749"/>
            </w:tcBorders>
            <w:shd w:val="clear" w:color="000000" w:fill="FFFFFF"/>
            <w:noWrap/>
            <w:vAlign w:val="center"/>
            <w:hideMark/>
          </w:tcPr>
          <w:p w14:paraId="5FB53BB0" w14:textId="77777777" w:rsidR="004E3197" w:rsidRPr="00684897" w:rsidRDefault="004E3197" w:rsidP="00C14812">
            <w:pPr>
              <w:jc w:val="center"/>
              <w:rPr>
                <w:color w:val="000000"/>
                <w:sz w:val="20"/>
                <w:szCs w:val="20"/>
                <w:highlight w:val="yellow"/>
                <w:lang w:val="en-US"/>
              </w:rPr>
            </w:pPr>
            <w:r w:rsidRPr="00684897">
              <w:rPr>
                <w:sz w:val="20"/>
                <w:szCs w:val="20"/>
              </w:rPr>
              <w:t>7,42</w:t>
            </w:r>
          </w:p>
        </w:tc>
        <w:tc>
          <w:tcPr>
            <w:tcW w:w="916" w:type="dxa"/>
            <w:tcBorders>
              <w:top w:val="nil"/>
              <w:left w:val="nil"/>
              <w:bottom w:val="single" w:sz="4" w:space="0" w:color="0C2749"/>
              <w:right w:val="single" w:sz="4" w:space="0" w:color="0C2749"/>
            </w:tcBorders>
            <w:shd w:val="clear" w:color="000000" w:fill="FFFFFF"/>
            <w:noWrap/>
            <w:vAlign w:val="center"/>
            <w:hideMark/>
          </w:tcPr>
          <w:p w14:paraId="46BFC806" w14:textId="77777777" w:rsidR="004E3197" w:rsidRPr="00684897" w:rsidRDefault="004E3197" w:rsidP="00C14812">
            <w:pPr>
              <w:jc w:val="center"/>
              <w:rPr>
                <w:color w:val="000000"/>
                <w:sz w:val="20"/>
                <w:szCs w:val="20"/>
                <w:highlight w:val="yellow"/>
                <w:lang w:val="en-US"/>
              </w:rPr>
            </w:pPr>
            <w:r w:rsidRPr="00684897">
              <w:rPr>
                <w:sz w:val="20"/>
                <w:szCs w:val="20"/>
              </w:rPr>
              <w:t>8,03</w:t>
            </w:r>
          </w:p>
        </w:tc>
        <w:tc>
          <w:tcPr>
            <w:tcW w:w="916" w:type="dxa"/>
            <w:tcBorders>
              <w:top w:val="nil"/>
              <w:left w:val="nil"/>
              <w:bottom w:val="single" w:sz="4" w:space="0" w:color="0C2749"/>
              <w:right w:val="single" w:sz="4" w:space="0" w:color="0C2749"/>
            </w:tcBorders>
            <w:shd w:val="clear" w:color="000000" w:fill="FFFFFF"/>
            <w:noWrap/>
            <w:vAlign w:val="center"/>
            <w:hideMark/>
          </w:tcPr>
          <w:p w14:paraId="46695609" w14:textId="77777777" w:rsidR="004E3197" w:rsidRPr="00684897" w:rsidRDefault="004E3197" w:rsidP="00C14812">
            <w:pPr>
              <w:jc w:val="center"/>
              <w:rPr>
                <w:color w:val="000000"/>
                <w:sz w:val="20"/>
                <w:szCs w:val="20"/>
                <w:highlight w:val="yellow"/>
                <w:lang w:val="en-US"/>
              </w:rPr>
            </w:pPr>
            <w:r w:rsidRPr="00684897">
              <w:rPr>
                <w:sz w:val="20"/>
                <w:szCs w:val="20"/>
              </w:rPr>
              <w:t>8,28</w:t>
            </w:r>
          </w:p>
        </w:tc>
        <w:tc>
          <w:tcPr>
            <w:tcW w:w="916" w:type="dxa"/>
            <w:tcBorders>
              <w:top w:val="nil"/>
              <w:left w:val="nil"/>
              <w:bottom w:val="single" w:sz="4" w:space="0" w:color="0C2749"/>
              <w:right w:val="single" w:sz="4" w:space="0" w:color="0C2749"/>
            </w:tcBorders>
            <w:shd w:val="clear" w:color="000000" w:fill="FFFFFF"/>
            <w:noWrap/>
            <w:vAlign w:val="center"/>
            <w:hideMark/>
          </w:tcPr>
          <w:p w14:paraId="52167887" w14:textId="77777777" w:rsidR="004E3197" w:rsidRPr="00684897" w:rsidRDefault="004E3197" w:rsidP="00C14812">
            <w:pPr>
              <w:jc w:val="center"/>
              <w:rPr>
                <w:color w:val="000000"/>
                <w:sz w:val="20"/>
                <w:szCs w:val="20"/>
                <w:highlight w:val="yellow"/>
                <w:lang w:val="en-US"/>
              </w:rPr>
            </w:pPr>
            <w:r w:rsidRPr="00684897">
              <w:rPr>
                <w:sz w:val="20"/>
                <w:szCs w:val="20"/>
              </w:rPr>
              <w:t>8,47</w:t>
            </w:r>
          </w:p>
        </w:tc>
        <w:tc>
          <w:tcPr>
            <w:tcW w:w="916" w:type="dxa"/>
            <w:tcBorders>
              <w:top w:val="nil"/>
              <w:left w:val="nil"/>
              <w:bottom w:val="single" w:sz="4" w:space="0" w:color="0C2749"/>
              <w:right w:val="single" w:sz="4" w:space="0" w:color="0C2749"/>
            </w:tcBorders>
            <w:shd w:val="clear" w:color="000000" w:fill="FFFFFF"/>
            <w:noWrap/>
            <w:vAlign w:val="center"/>
            <w:hideMark/>
          </w:tcPr>
          <w:p w14:paraId="431AA40A" w14:textId="77777777" w:rsidR="004E3197" w:rsidRPr="00684897" w:rsidRDefault="004E3197" w:rsidP="00C14812">
            <w:pPr>
              <w:jc w:val="center"/>
              <w:rPr>
                <w:color w:val="000000"/>
                <w:sz w:val="20"/>
                <w:szCs w:val="20"/>
                <w:highlight w:val="yellow"/>
                <w:lang w:val="en-US"/>
              </w:rPr>
            </w:pPr>
            <w:r w:rsidRPr="00684897">
              <w:rPr>
                <w:sz w:val="20"/>
                <w:szCs w:val="20"/>
              </w:rPr>
              <w:t>8,66</w:t>
            </w:r>
          </w:p>
        </w:tc>
        <w:tc>
          <w:tcPr>
            <w:tcW w:w="916" w:type="dxa"/>
            <w:tcBorders>
              <w:top w:val="nil"/>
              <w:left w:val="nil"/>
              <w:bottom w:val="single" w:sz="4" w:space="0" w:color="0C2749"/>
              <w:right w:val="single" w:sz="4" w:space="0" w:color="0C2749"/>
            </w:tcBorders>
            <w:shd w:val="clear" w:color="000000" w:fill="FFFFFF"/>
            <w:noWrap/>
            <w:vAlign w:val="center"/>
            <w:hideMark/>
          </w:tcPr>
          <w:p w14:paraId="7013FB08" w14:textId="77777777" w:rsidR="004E3197" w:rsidRPr="00684897" w:rsidRDefault="004E3197" w:rsidP="00C14812">
            <w:pPr>
              <w:jc w:val="center"/>
              <w:rPr>
                <w:color w:val="000000"/>
                <w:sz w:val="20"/>
                <w:szCs w:val="20"/>
                <w:highlight w:val="yellow"/>
                <w:lang w:val="en-US"/>
              </w:rPr>
            </w:pPr>
            <w:r w:rsidRPr="00684897">
              <w:rPr>
                <w:sz w:val="20"/>
                <w:szCs w:val="20"/>
              </w:rPr>
              <w:t>8,81</w:t>
            </w:r>
          </w:p>
        </w:tc>
        <w:tc>
          <w:tcPr>
            <w:tcW w:w="916" w:type="dxa"/>
            <w:tcBorders>
              <w:top w:val="nil"/>
              <w:left w:val="nil"/>
              <w:bottom w:val="single" w:sz="4" w:space="0" w:color="0C2749"/>
              <w:right w:val="single" w:sz="4" w:space="0" w:color="0C2749"/>
            </w:tcBorders>
            <w:shd w:val="clear" w:color="000000" w:fill="FFFFFF"/>
            <w:noWrap/>
            <w:vAlign w:val="center"/>
            <w:hideMark/>
          </w:tcPr>
          <w:p w14:paraId="49925538" w14:textId="77777777" w:rsidR="004E3197" w:rsidRPr="00684897" w:rsidRDefault="004E3197" w:rsidP="00C14812">
            <w:pPr>
              <w:jc w:val="center"/>
              <w:rPr>
                <w:color w:val="000000"/>
                <w:sz w:val="20"/>
                <w:szCs w:val="20"/>
                <w:highlight w:val="yellow"/>
                <w:lang w:val="en-US"/>
              </w:rPr>
            </w:pPr>
            <w:r w:rsidRPr="00684897">
              <w:rPr>
                <w:sz w:val="20"/>
                <w:szCs w:val="20"/>
              </w:rPr>
              <w:t>8,93</w:t>
            </w:r>
          </w:p>
        </w:tc>
      </w:tr>
      <w:tr w:rsidR="004E3197" w:rsidRPr="003A1788" w14:paraId="7A970BD5" w14:textId="77777777" w:rsidTr="004E3197">
        <w:trPr>
          <w:trHeight w:val="416"/>
        </w:trPr>
        <w:tc>
          <w:tcPr>
            <w:tcW w:w="2222" w:type="dxa"/>
            <w:tcBorders>
              <w:top w:val="nil"/>
              <w:left w:val="single" w:sz="4" w:space="0" w:color="0C2749"/>
              <w:bottom w:val="single" w:sz="4" w:space="0" w:color="0C2749"/>
              <w:right w:val="single" w:sz="4" w:space="0" w:color="0C2749"/>
            </w:tcBorders>
            <w:shd w:val="clear" w:color="auto" w:fill="auto"/>
            <w:vAlign w:val="bottom"/>
            <w:hideMark/>
          </w:tcPr>
          <w:p w14:paraId="53C9FB89" w14:textId="77777777" w:rsidR="004E3197" w:rsidRPr="00684897" w:rsidRDefault="004E3197" w:rsidP="00C14812">
            <w:pPr>
              <w:rPr>
                <w:color w:val="000000"/>
                <w:sz w:val="20"/>
                <w:szCs w:val="20"/>
                <w:lang w:val="en-US"/>
              </w:rPr>
            </w:pPr>
            <w:r w:rsidRPr="00684897">
              <w:rPr>
                <w:color w:val="000000"/>
                <w:sz w:val="20"/>
                <w:szCs w:val="20"/>
                <w:lang w:val="en-US"/>
              </w:rPr>
              <w:t>Access FTTDP Wholesale - Central Access Lines - Market 3B.Access</w:t>
            </w:r>
          </w:p>
        </w:tc>
        <w:tc>
          <w:tcPr>
            <w:tcW w:w="994" w:type="dxa"/>
            <w:tcBorders>
              <w:top w:val="nil"/>
              <w:left w:val="nil"/>
              <w:bottom w:val="single" w:sz="4" w:space="0" w:color="0C2749"/>
              <w:right w:val="single" w:sz="4" w:space="0" w:color="0C2749"/>
            </w:tcBorders>
            <w:shd w:val="clear" w:color="auto" w:fill="auto"/>
            <w:vAlign w:val="bottom"/>
            <w:hideMark/>
          </w:tcPr>
          <w:p w14:paraId="06C38D2A" w14:textId="77777777" w:rsidR="004E3197" w:rsidRPr="00684897" w:rsidRDefault="004E3197" w:rsidP="00C14812">
            <w:pPr>
              <w:jc w:val="center"/>
              <w:rPr>
                <w:color w:val="000000"/>
                <w:sz w:val="20"/>
                <w:szCs w:val="20"/>
              </w:rPr>
            </w:pPr>
            <w:r w:rsidRPr="00684897">
              <w:rPr>
                <w:color w:val="000000"/>
                <w:sz w:val="20"/>
                <w:szCs w:val="20"/>
              </w:rPr>
              <w:t>EUR / Mjesečno / Linija</w:t>
            </w:r>
          </w:p>
        </w:tc>
        <w:tc>
          <w:tcPr>
            <w:tcW w:w="916" w:type="dxa"/>
            <w:tcBorders>
              <w:top w:val="nil"/>
              <w:left w:val="nil"/>
              <w:bottom w:val="single" w:sz="4" w:space="0" w:color="0C2749"/>
              <w:right w:val="single" w:sz="4" w:space="0" w:color="0C2749"/>
            </w:tcBorders>
            <w:shd w:val="clear" w:color="000000" w:fill="FFFFFF"/>
            <w:noWrap/>
            <w:vAlign w:val="center"/>
            <w:hideMark/>
          </w:tcPr>
          <w:p w14:paraId="170B484C" w14:textId="77777777" w:rsidR="004E3197" w:rsidRPr="00684897" w:rsidRDefault="004E3197" w:rsidP="00C14812">
            <w:pPr>
              <w:jc w:val="center"/>
              <w:rPr>
                <w:color w:val="000000"/>
                <w:sz w:val="20"/>
                <w:szCs w:val="20"/>
                <w:highlight w:val="yellow"/>
                <w:lang w:val="en-US"/>
              </w:rPr>
            </w:pPr>
            <w:r w:rsidRPr="00684897">
              <w:rPr>
                <w:sz w:val="20"/>
                <w:szCs w:val="20"/>
              </w:rPr>
              <w:t>6,81</w:t>
            </w:r>
          </w:p>
        </w:tc>
        <w:tc>
          <w:tcPr>
            <w:tcW w:w="916" w:type="dxa"/>
            <w:tcBorders>
              <w:top w:val="nil"/>
              <w:left w:val="nil"/>
              <w:bottom w:val="single" w:sz="4" w:space="0" w:color="0C2749"/>
              <w:right w:val="single" w:sz="4" w:space="0" w:color="0C2749"/>
            </w:tcBorders>
            <w:shd w:val="clear" w:color="000000" w:fill="FFFFFF"/>
            <w:noWrap/>
            <w:vAlign w:val="center"/>
            <w:hideMark/>
          </w:tcPr>
          <w:p w14:paraId="26E13C64" w14:textId="77777777" w:rsidR="004E3197" w:rsidRPr="00684897" w:rsidRDefault="004E3197" w:rsidP="00C14812">
            <w:pPr>
              <w:jc w:val="center"/>
              <w:rPr>
                <w:color w:val="000000"/>
                <w:sz w:val="20"/>
                <w:szCs w:val="20"/>
                <w:highlight w:val="yellow"/>
                <w:lang w:val="en-US"/>
              </w:rPr>
            </w:pPr>
            <w:r w:rsidRPr="00684897">
              <w:rPr>
                <w:sz w:val="20"/>
                <w:szCs w:val="20"/>
              </w:rPr>
              <w:t>7,67</w:t>
            </w:r>
          </w:p>
        </w:tc>
        <w:tc>
          <w:tcPr>
            <w:tcW w:w="916" w:type="dxa"/>
            <w:tcBorders>
              <w:top w:val="nil"/>
              <w:left w:val="nil"/>
              <w:bottom w:val="single" w:sz="4" w:space="0" w:color="0C2749"/>
              <w:right w:val="single" w:sz="4" w:space="0" w:color="0C2749"/>
            </w:tcBorders>
            <w:shd w:val="clear" w:color="000000" w:fill="FFFFFF"/>
            <w:noWrap/>
            <w:vAlign w:val="center"/>
            <w:hideMark/>
          </w:tcPr>
          <w:p w14:paraId="29D68552" w14:textId="77777777" w:rsidR="004E3197" w:rsidRPr="00684897" w:rsidRDefault="004E3197" w:rsidP="00C14812">
            <w:pPr>
              <w:jc w:val="center"/>
              <w:rPr>
                <w:color w:val="000000"/>
                <w:sz w:val="20"/>
                <w:szCs w:val="20"/>
                <w:highlight w:val="yellow"/>
                <w:lang w:val="en-US"/>
              </w:rPr>
            </w:pPr>
            <w:r w:rsidRPr="00684897">
              <w:rPr>
                <w:sz w:val="20"/>
                <w:szCs w:val="20"/>
              </w:rPr>
              <w:t>7,93</w:t>
            </w:r>
          </w:p>
        </w:tc>
        <w:tc>
          <w:tcPr>
            <w:tcW w:w="916" w:type="dxa"/>
            <w:tcBorders>
              <w:top w:val="nil"/>
              <w:left w:val="nil"/>
              <w:bottom w:val="single" w:sz="4" w:space="0" w:color="0C2749"/>
              <w:right w:val="single" w:sz="4" w:space="0" w:color="0C2749"/>
            </w:tcBorders>
            <w:shd w:val="clear" w:color="000000" w:fill="FFFFFF"/>
            <w:noWrap/>
            <w:vAlign w:val="center"/>
            <w:hideMark/>
          </w:tcPr>
          <w:p w14:paraId="25C56F16" w14:textId="77777777" w:rsidR="004E3197" w:rsidRPr="00684897" w:rsidRDefault="004E3197" w:rsidP="00C14812">
            <w:pPr>
              <w:jc w:val="center"/>
              <w:rPr>
                <w:color w:val="000000"/>
                <w:sz w:val="20"/>
                <w:szCs w:val="20"/>
                <w:highlight w:val="yellow"/>
                <w:lang w:val="en-US"/>
              </w:rPr>
            </w:pPr>
            <w:r w:rsidRPr="00684897">
              <w:rPr>
                <w:sz w:val="20"/>
                <w:szCs w:val="20"/>
              </w:rPr>
              <w:t>8,13</w:t>
            </w:r>
          </w:p>
        </w:tc>
        <w:tc>
          <w:tcPr>
            <w:tcW w:w="916" w:type="dxa"/>
            <w:tcBorders>
              <w:top w:val="nil"/>
              <w:left w:val="nil"/>
              <w:bottom w:val="single" w:sz="4" w:space="0" w:color="0C2749"/>
              <w:right w:val="single" w:sz="4" w:space="0" w:color="0C2749"/>
            </w:tcBorders>
            <w:shd w:val="clear" w:color="000000" w:fill="FFFFFF"/>
            <w:noWrap/>
            <w:vAlign w:val="center"/>
            <w:hideMark/>
          </w:tcPr>
          <w:p w14:paraId="22435FBB" w14:textId="77777777" w:rsidR="004E3197" w:rsidRPr="00684897" w:rsidRDefault="004E3197" w:rsidP="00C14812">
            <w:pPr>
              <w:jc w:val="center"/>
              <w:rPr>
                <w:color w:val="000000"/>
                <w:sz w:val="20"/>
                <w:szCs w:val="20"/>
                <w:highlight w:val="yellow"/>
                <w:lang w:val="en-US"/>
              </w:rPr>
            </w:pPr>
            <w:r w:rsidRPr="00684897">
              <w:rPr>
                <w:sz w:val="20"/>
                <w:szCs w:val="20"/>
              </w:rPr>
              <w:t>8,38</w:t>
            </w:r>
          </w:p>
        </w:tc>
        <w:tc>
          <w:tcPr>
            <w:tcW w:w="916" w:type="dxa"/>
            <w:tcBorders>
              <w:top w:val="nil"/>
              <w:left w:val="nil"/>
              <w:bottom w:val="single" w:sz="4" w:space="0" w:color="0C2749"/>
              <w:right w:val="single" w:sz="4" w:space="0" w:color="0C2749"/>
            </w:tcBorders>
            <w:shd w:val="clear" w:color="000000" w:fill="FFFFFF"/>
            <w:noWrap/>
            <w:vAlign w:val="center"/>
            <w:hideMark/>
          </w:tcPr>
          <w:p w14:paraId="0DBC6061" w14:textId="77777777" w:rsidR="004E3197" w:rsidRPr="00684897" w:rsidRDefault="004E3197" w:rsidP="00C14812">
            <w:pPr>
              <w:jc w:val="center"/>
              <w:rPr>
                <w:color w:val="000000"/>
                <w:sz w:val="20"/>
                <w:szCs w:val="20"/>
                <w:highlight w:val="yellow"/>
                <w:lang w:val="en-US"/>
              </w:rPr>
            </w:pPr>
            <w:r w:rsidRPr="00684897">
              <w:rPr>
                <w:sz w:val="20"/>
                <w:szCs w:val="20"/>
              </w:rPr>
              <w:t>8,66</w:t>
            </w:r>
          </w:p>
        </w:tc>
        <w:tc>
          <w:tcPr>
            <w:tcW w:w="916" w:type="dxa"/>
            <w:tcBorders>
              <w:top w:val="nil"/>
              <w:left w:val="nil"/>
              <w:bottom w:val="single" w:sz="4" w:space="0" w:color="0C2749"/>
              <w:right w:val="single" w:sz="4" w:space="0" w:color="0C2749"/>
            </w:tcBorders>
            <w:shd w:val="clear" w:color="000000" w:fill="FFFFFF"/>
            <w:noWrap/>
            <w:vAlign w:val="center"/>
            <w:hideMark/>
          </w:tcPr>
          <w:p w14:paraId="0ECA1BBE" w14:textId="77777777" w:rsidR="004E3197" w:rsidRPr="00684897" w:rsidRDefault="004E3197" w:rsidP="00C14812">
            <w:pPr>
              <w:jc w:val="center"/>
              <w:rPr>
                <w:color w:val="000000"/>
                <w:sz w:val="20"/>
                <w:szCs w:val="20"/>
                <w:highlight w:val="yellow"/>
                <w:lang w:val="en-US"/>
              </w:rPr>
            </w:pPr>
            <w:r w:rsidRPr="00684897">
              <w:rPr>
                <w:sz w:val="20"/>
                <w:szCs w:val="20"/>
              </w:rPr>
              <w:t>8,99</w:t>
            </w:r>
          </w:p>
        </w:tc>
      </w:tr>
    </w:tbl>
    <w:p w14:paraId="53E9C41C" w14:textId="57DF330E" w:rsidR="004E3197" w:rsidRDefault="004E3197" w:rsidP="004E3197">
      <w:pPr>
        <w:jc w:val="both"/>
        <w:rPr>
          <w:b/>
          <w:i/>
        </w:rPr>
      </w:pPr>
    </w:p>
    <w:p w14:paraId="4A15396B" w14:textId="77777777" w:rsidR="004E3197" w:rsidRDefault="004E3197" w:rsidP="004E3197">
      <w:pPr>
        <w:jc w:val="both"/>
        <w:rPr>
          <w:b/>
          <w:i/>
        </w:rPr>
      </w:pPr>
      <w:r w:rsidRPr="00AA4797">
        <w:rPr>
          <w:b/>
          <w:i/>
        </w:rPr>
        <w:t xml:space="preserve">Pretpostavke za određivanje naknade korištenje </w:t>
      </w:r>
      <w:r>
        <w:rPr>
          <w:b/>
          <w:i/>
        </w:rPr>
        <w:t>širokopojasnog porta na OLT-u</w:t>
      </w:r>
    </w:p>
    <w:p w14:paraId="2B489025" w14:textId="77777777" w:rsidR="004E3197" w:rsidRDefault="004E3197" w:rsidP="004E3197">
      <w:pPr>
        <w:jc w:val="both"/>
      </w:pPr>
    </w:p>
    <w:p w14:paraId="46942031" w14:textId="5A7ED371" w:rsidR="004E3197" w:rsidRPr="00C10025" w:rsidRDefault="004E3197" w:rsidP="00040D85">
      <w:pPr>
        <w:jc w:val="both"/>
      </w:pPr>
      <w:r w:rsidRPr="00731C0D">
        <w:t xml:space="preserve">Naknada za korištenje širokopojasnog porta na OLT-u određena je na temelju rezultata Troškovnog modela, odnosno jediničnih troškova </w:t>
      </w:r>
      <w:r w:rsidRPr="00731C0D">
        <w:rPr>
          <w:i/>
        </w:rPr>
        <w:t xml:space="preserve">Broadband.Fibre.Wholesale.Broadband </w:t>
      </w:r>
      <w:r w:rsidRPr="00731C0D">
        <w:t>usluge. Ta naknada je jednaka za FTTH, FTTB i FTTDP rješenje.</w:t>
      </w:r>
    </w:p>
    <w:p w14:paraId="63560328" w14:textId="77777777" w:rsidR="004E3197" w:rsidRDefault="004E3197" w:rsidP="00040D85">
      <w:pPr>
        <w:jc w:val="both"/>
        <w:rPr>
          <w:b/>
          <w:i/>
        </w:rPr>
      </w:pPr>
    </w:p>
    <w:p w14:paraId="00AFD49C" w14:textId="5E4DA23E" w:rsidR="00040D85" w:rsidRPr="00E67889" w:rsidRDefault="00E17353" w:rsidP="00040D85">
      <w:pPr>
        <w:jc w:val="both"/>
        <w:rPr>
          <w:b/>
          <w:i/>
        </w:rPr>
      </w:pPr>
      <w:r>
        <w:rPr>
          <w:b/>
          <w:i/>
        </w:rPr>
        <w:t>Pretpostavke za o</w:t>
      </w:r>
      <w:r w:rsidR="00040D85" w:rsidRPr="00E67889">
        <w:rPr>
          <w:b/>
          <w:i/>
        </w:rPr>
        <w:t>dređivanje cijen</w:t>
      </w:r>
      <w:r>
        <w:rPr>
          <w:b/>
          <w:i/>
        </w:rPr>
        <w:t>a</w:t>
      </w:r>
      <w:r w:rsidR="00040D85" w:rsidRPr="00E67889">
        <w:rPr>
          <w:b/>
          <w:i/>
        </w:rPr>
        <w:t xml:space="preserve"> usluge najma svjetlovodne niti bez prijenosne opreme (dark fibre)</w:t>
      </w:r>
    </w:p>
    <w:p w14:paraId="3F6798D0" w14:textId="77777777" w:rsidR="00E17353" w:rsidRDefault="00E17353" w:rsidP="00040D85">
      <w:pPr>
        <w:jc w:val="both"/>
      </w:pPr>
    </w:p>
    <w:p w14:paraId="4B2F7A7C" w14:textId="79AF46B4" w:rsidR="008316AB" w:rsidRDefault="00040D85" w:rsidP="00040D85">
      <w:pPr>
        <w:jc w:val="both"/>
      </w:pPr>
      <w:r w:rsidRPr="00E67889">
        <w:t>HAKOM je odredio jedinstvenu cijenu bez obzira u kojem dijelu mreže HT-a se ista pruža</w:t>
      </w:r>
      <w:r w:rsidR="008316AB">
        <w:t xml:space="preserve"> (pristupna ili prijenosna mreža)</w:t>
      </w:r>
      <w:r w:rsidRPr="00E67889">
        <w:t xml:space="preserve"> iz razloga jednostavnosti primjene i izbjegavanja</w:t>
      </w:r>
      <w:r w:rsidR="008316AB">
        <w:t xml:space="preserve"> budućih</w:t>
      </w:r>
      <w:r w:rsidRPr="00E67889">
        <w:t xml:space="preserve"> sporova koji bi se mogli očekivati u vezi toga koja cijena se primjenjuje, ukoliko bi postojale dvije cijene. </w:t>
      </w:r>
    </w:p>
    <w:p w14:paraId="54386BCA" w14:textId="77777777" w:rsidR="00A2576A" w:rsidRDefault="00A2576A" w:rsidP="00040D85">
      <w:pPr>
        <w:jc w:val="both"/>
      </w:pPr>
    </w:p>
    <w:p w14:paraId="747C1380" w14:textId="2E183376" w:rsidR="00040D85" w:rsidRDefault="00040D85" w:rsidP="00040D85">
      <w:pPr>
        <w:jc w:val="both"/>
      </w:pPr>
      <w:r w:rsidRPr="00E67889">
        <w:t xml:space="preserve">Jedinstvena cijena je utvrđena na sljedeći način. Prvo je na osnovu jediničnih troškova usluge </w:t>
      </w:r>
      <w:r w:rsidRPr="00E67889">
        <w:rPr>
          <w:i/>
        </w:rPr>
        <w:t>(Dark Fibre – prijenosna mreža i Dark Fibre – pristupna mreža)</w:t>
      </w:r>
      <w:r w:rsidRPr="00E67889">
        <w:t xml:space="preserve"> izračunata prosječna cijena po godinama (kao ponderirani trošak između jediničnih troškova u pristupnoj i prijenosnoj mreži). Nakon toga je izračunata jedinstvena cijena kao prosjek dobivenih cijena za godine 202</w:t>
      </w:r>
      <w:r w:rsidR="001C685D">
        <w:t>4</w:t>
      </w:r>
      <w:r w:rsidRPr="00E67889">
        <w:t>, 202</w:t>
      </w:r>
      <w:r w:rsidR="001C685D">
        <w:t>5</w:t>
      </w:r>
      <w:r w:rsidRPr="00E67889">
        <w:t xml:space="preserve"> i 202</w:t>
      </w:r>
      <w:r w:rsidR="001C685D">
        <w:t>6</w:t>
      </w:r>
      <w:r w:rsidRPr="00E67889">
        <w:t>.</w:t>
      </w:r>
    </w:p>
    <w:p w14:paraId="61BB93C4" w14:textId="2D67B4BD" w:rsidR="001C685D" w:rsidRDefault="001C685D" w:rsidP="00040D85">
      <w:pPr>
        <w:jc w:val="both"/>
      </w:pPr>
    </w:p>
    <w:p w14:paraId="0761B08D" w14:textId="1E8721E7" w:rsidR="001C685D" w:rsidRDefault="001C685D" w:rsidP="00E46299">
      <w:pPr>
        <w:pStyle w:val="Caption"/>
        <w:keepNext/>
      </w:pPr>
      <w:r>
        <w:t xml:space="preserve">Tablica </w:t>
      </w:r>
      <w:fldSimple w:instr=" SEQ Tablica \* ARABIC ">
        <w:r w:rsidR="004E3197">
          <w:rPr>
            <w:noProof/>
          </w:rPr>
          <w:t>5</w:t>
        </w:r>
      </w:fldSimple>
      <w:r>
        <w:t>-Cijena usluge najma svjetlovodne niti bez prijenosne opreme</w:t>
      </w:r>
    </w:p>
    <w:tbl>
      <w:tblPr>
        <w:tblW w:w="9776" w:type="dxa"/>
        <w:tblLook w:val="04A0" w:firstRow="1" w:lastRow="0" w:firstColumn="1" w:lastColumn="0" w:noHBand="0" w:noVBand="1"/>
      </w:tblPr>
      <w:tblGrid>
        <w:gridCol w:w="3397"/>
        <w:gridCol w:w="2061"/>
        <w:gridCol w:w="866"/>
        <w:gridCol w:w="1025"/>
        <w:gridCol w:w="961"/>
        <w:gridCol w:w="1466"/>
      </w:tblGrid>
      <w:tr w:rsidR="001C685D" w:rsidRPr="001C685D" w14:paraId="3694AFF3" w14:textId="77777777" w:rsidTr="00BB4EEE">
        <w:trPr>
          <w:trHeight w:val="300"/>
        </w:trPr>
        <w:tc>
          <w:tcPr>
            <w:tcW w:w="3397" w:type="dxa"/>
            <w:tcBorders>
              <w:top w:val="nil"/>
              <w:left w:val="single" w:sz="4" w:space="0" w:color="FFFFFF"/>
              <w:bottom w:val="single" w:sz="8" w:space="0" w:color="auto"/>
              <w:right w:val="single" w:sz="4" w:space="0" w:color="FFFFFF"/>
            </w:tcBorders>
            <w:shd w:val="clear" w:color="000000" w:fill="0C2749"/>
            <w:vAlign w:val="center"/>
            <w:hideMark/>
          </w:tcPr>
          <w:p w14:paraId="1133CD4C" w14:textId="107A9369" w:rsidR="001C685D" w:rsidRPr="00E46299" w:rsidRDefault="001C685D" w:rsidP="001C685D">
            <w:pPr>
              <w:jc w:val="center"/>
              <w:rPr>
                <w:b/>
                <w:bCs/>
                <w:color w:val="FFFFFF"/>
                <w:sz w:val="20"/>
                <w:szCs w:val="20"/>
                <w:lang w:eastAsia="en-US"/>
              </w:rPr>
            </w:pPr>
            <w:r w:rsidRPr="00E46299">
              <w:rPr>
                <w:b/>
                <w:bCs/>
                <w:color w:val="FFFFFF"/>
                <w:sz w:val="20"/>
                <w:szCs w:val="20"/>
                <w:lang w:eastAsia="en-US"/>
              </w:rPr>
              <w:t>U</w:t>
            </w:r>
            <w:r w:rsidR="00BB4EEE">
              <w:rPr>
                <w:b/>
                <w:bCs/>
                <w:color w:val="FFFFFF"/>
                <w:sz w:val="20"/>
                <w:szCs w:val="20"/>
                <w:lang w:eastAsia="en-US"/>
              </w:rPr>
              <w:t>sluga</w:t>
            </w:r>
          </w:p>
        </w:tc>
        <w:tc>
          <w:tcPr>
            <w:tcW w:w="2061" w:type="dxa"/>
            <w:tcBorders>
              <w:top w:val="nil"/>
              <w:left w:val="nil"/>
              <w:bottom w:val="single" w:sz="8" w:space="0" w:color="auto"/>
              <w:right w:val="single" w:sz="4" w:space="0" w:color="FFFFFF"/>
            </w:tcBorders>
            <w:shd w:val="clear" w:color="000000" w:fill="0C2749"/>
            <w:vAlign w:val="center"/>
            <w:hideMark/>
          </w:tcPr>
          <w:p w14:paraId="0B57914A" w14:textId="2C561264" w:rsidR="001C685D" w:rsidRPr="00E46299" w:rsidRDefault="001C685D" w:rsidP="001C685D">
            <w:pPr>
              <w:jc w:val="center"/>
              <w:rPr>
                <w:b/>
                <w:bCs/>
                <w:color w:val="FFFFFF"/>
                <w:sz w:val="20"/>
                <w:szCs w:val="20"/>
                <w:lang w:eastAsia="en-US"/>
              </w:rPr>
            </w:pPr>
            <w:r w:rsidRPr="00E46299">
              <w:rPr>
                <w:b/>
                <w:bCs/>
                <w:color w:val="FFFFFF"/>
                <w:sz w:val="20"/>
                <w:szCs w:val="20"/>
                <w:lang w:eastAsia="en-US"/>
              </w:rPr>
              <w:t>J</w:t>
            </w:r>
            <w:r w:rsidR="00BB4EEE">
              <w:rPr>
                <w:b/>
                <w:bCs/>
                <w:color w:val="FFFFFF"/>
                <w:sz w:val="20"/>
                <w:szCs w:val="20"/>
                <w:lang w:eastAsia="en-US"/>
              </w:rPr>
              <w:t>edinica</w:t>
            </w:r>
          </w:p>
        </w:tc>
        <w:tc>
          <w:tcPr>
            <w:tcW w:w="866" w:type="dxa"/>
            <w:tcBorders>
              <w:top w:val="nil"/>
              <w:left w:val="nil"/>
              <w:bottom w:val="single" w:sz="8" w:space="0" w:color="auto"/>
              <w:right w:val="single" w:sz="4" w:space="0" w:color="FFFFFF"/>
            </w:tcBorders>
            <w:shd w:val="clear" w:color="000000" w:fill="0C2749"/>
            <w:vAlign w:val="center"/>
            <w:hideMark/>
          </w:tcPr>
          <w:p w14:paraId="396D6B98" w14:textId="22087358" w:rsidR="001C685D" w:rsidRPr="00E46299" w:rsidRDefault="001C685D" w:rsidP="001C685D">
            <w:pPr>
              <w:jc w:val="center"/>
              <w:rPr>
                <w:b/>
                <w:bCs/>
                <w:color w:val="FFFFFF"/>
                <w:sz w:val="20"/>
                <w:szCs w:val="20"/>
                <w:lang w:eastAsia="en-US"/>
              </w:rPr>
            </w:pPr>
            <w:r w:rsidRPr="00E46299">
              <w:rPr>
                <w:b/>
                <w:bCs/>
                <w:color w:val="FFFFFF"/>
                <w:sz w:val="20"/>
                <w:szCs w:val="20"/>
                <w:lang w:eastAsia="en-US"/>
              </w:rPr>
              <w:t>202</w:t>
            </w:r>
            <w:r>
              <w:rPr>
                <w:b/>
                <w:bCs/>
                <w:color w:val="FFFFFF"/>
                <w:sz w:val="20"/>
                <w:szCs w:val="20"/>
                <w:lang w:eastAsia="en-US"/>
              </w:rPr>
              <w:t>4</w:t>
            </w:r>
          </w:p>
        </w:tc>
        <w:tc>
          <w:tcPr>
            <w:tcW w:w="1025" w:type="dxa"/>
            <w:tcBorders>
              <w:top w:val="nil"/>
              <w:left w:val="nil"/>
              <w:bottom w:val="single" w:sz="8" w:space="0" w:color="auto"/>
              <w:right w:val="single" w:sz="4" w:space="0" w:color="FFFFFF"/>
            </w:tcBorders>
            <w:shd w:val="clear" w:color="000000" w:fill="0C2749"/>
            <w:vAlign w:val="center"/>
            <w:hideMark/>
          </w:tcPr>
          <w:p w14:paraId="35C58A66" w14:textId="526B9727" w:rsidR="001C685D" w:rsidRPr="00E46299" w:rsidRDefault="001C685D" w:rsidP="001C685D">
            <w:pPr>
              <w:jc w:val="center"/>
              <w:rPr>
                <w:b/>
                <w:bCs/>
                <w:color w:val="FFFFFF"/>
                <w:sz w:val="20"/>
                <w:szCs w:val="20"/>
                <w:lang w:eastAsia="en-US"/>
              </w:rPr>
            </w:pPr>
            <w:r w:rsidRPr="00E46299">
              <w:rPr>
                <w:b/>
                <w:bCs/>
                <w:color w:val="FFFFFF"/>
                <w:sz w:val="20"/>
                <w:szCs w:val="20"/>
                <w:lang w:eastAsia="en-US"/>
              </w:rPr>
              <w:t>202</w:t>
            </w:r>
            <w:r>
              <w:rPr>
                <w:b/>
                <w:bCs/>
                <w:color w:val="FFFFFF"/>
                <w:sz w:val="20"/>
                <w:szCs w:val="20"/>
                <w:lang w:eastAsia="en-US"/>
              </w:rPr>
              <w:t>5</w:t>
            </w:r>
          </w:p>
        </w:tc>
        <w:tc>
          <w:tcPr>
            <w:tcW w:w="961" w:type="dxa"/>
            <w:tcBorders>
              <w:top w:val="nil"/>
              <w:left w:val="nil"/>
              <w:bottom w:val="single" w:sz="8" w:space="0" w:color="auto"/>
              <w:right w:val="single" w:sz="4" w:space="0" w:color="FFFFFF"/>
            </w:tcBorders>
            <w:shd w:val="clear" w:color="000000" w:fill="0C2749"/>
            <w:vAlign w:val="center"/>
            <w:hideMark/>
          </w:tcPr>
          <w:p w14:paraId="765B3F45" w14:textId="04861F6C" w:rsidR="001C685D" w:rsidRPr="00E46299" w:rsidRDefault="001C685D">
            <w:pPr>
              <w:jc w:val="center"/>
              <w:rPr>
                <w:b/>
                <w:bCs/>
                <w:color w:val="FFFFFF"/>
                <w:sz w:val="20"/>
                <w:szCs w:val="20"/>
                <w:lang w:eastAsia="en-US"/>
              </w:rPr>
            </w:pPr>
            <w:r w:rsidRPr="00E46299">
              <w:rPr>
                <w:b/>
                <w:bCs/>
                <w:color w:val="FFFFFF"/>
                <w:sz w:val="20"/>
                <w:szCs w:val="20"/>
                <w:lang w:eastAsia="en-US"/>
              </w:rPr>
              <w:t>202</w:t>
            </w:r>
            <w:r>
              <w:rPr>
                <w:b/>
                <w:bCs/>
                <w:color w:val="FFFFFF"/>
                <w:sz w:val="20"/>
                <w:szCs w:val="20"/>
                <w:lang w:eastAsia="en-US"/>
              </w:rPr>
              <w:t>6</w:t>
            </w:r>
          </w:p>
        </w:tc>
        <w:tc>
          <w:tcPr>
            <w:tcW w:w="1466" w:type="dxa"/>
            <w:tcBorders>
              <w:top w:val="nil"/>
              <w:left w:val="nil"/>
              <w:bottom w:val="single" w:sz="8" w:space="0" w:color="auto"/>
              <w:right w:val="single" w:sz="4" w:space="0" w:color="FFFFFF"/>
            </w:tcBorders>
            <w:shd w:val="clear" w:color="000000" w:fill="0C2749"/>
          </w:tcPr>
          <w:p w14:paraId="25974091" w14:textId="02FAF47B" w:rsidR="001C685D" w:rsidRPr="00E46299" w:rsidRDefault="001C685D" w:rsidP="001C685D">
            <w:pPr>
              <w:jc w:val="center"/>
              <w:rPr>
                <w:b/>
                <w:bCs/>
                <w:color w:val="FFFFFF"/>
                <w:sz w:val="20"/>
                <w:szCs w:val="20"/>
                <w:lang w:eastAsia="en-US"/>
              </w:rPr>
            </w:pPr>
            <w:r w:rsidRPr="00E46299">
              <w:rPr>
                <w:b/>
                <w:bCs/>
                <w:color w:val="FFFFFF"/>
                <w:sz w:val="20"/>
                <w:szCs w:val="20"/>
                <w:lang w:eastAsia="en-US"/>
              </w:rPr>
              <w:t xml:space="preserve">Prosjek </w:t>
            </w:r>
            <w:r>
              <w:rPr>
                <w:b/>
                <w:bCs/>
                <w:color w:val="FFFFFF"/>
                <w:sz w:val="20"/>
                <w:szCs w:val="20"/>
                <w:lang w:eastAsia="en-US"/>
              </w:rPr>
              <w:t>202</w:t>
            </w:r>
            <w:r w:rsidR="00EC20BC">
              <w:rPr>
                <w:b/>
                <w:bCs/>
                <w:color w:val="FFFFFF"/>
                <w:sz w:val="20"/>
                <w:szCs w:val="20"/>
                <w:lang w:eastAsia="en-US"/>
              </w:rPr>
              <w:t>4</w:t>
            </w:r>
            <w:r w:rsidRPr="00E46299">
              <w:rPr>
                <w:b/>
                <w:bCs/>
                <w:color w:val="FFFFFF"/>
                <w:sz w:val="20"/>
                <w:szCs w:val="20"/>
                <w:lang w:eastAsia="en-US"/>
              </w:rPr>
              <w:t>-202</w:t>
            </w:r>
            <w:r>
              <w:rPr>
                <w:b/>
                <w:bCs/>
                <w:color w:val="FFFFFF"/>
                <w:sz w:val="20"/>
                <w:szCs w:val="20"/>
                <w:lang w:eastAsia="en-US"/>
              </w:rPr>
              <w:t>6</w:t>
            </w:r>
          </w:p>
        </w:tc>
      </w:tr>
      <w:tr w:rsidR="00BB4EEE" w:rsidRPr="001C685D" w14:paraId="0DC0F4FD" w14:textId="77777777" w:rsidTr="00E46299">
        <w:trPr>
          <w:trHeight w:val="300"/>
        </w:trPr>
        <w:tc>
          <w:tcPr>
            <w:tcW w:w="339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12EDCBD" w14:textId="77777777" w:rsidR="00BB4EEE" w:rsidRPr="00E46299" w:rsidRDefault="00BB4EEE" w:rsidP="00BB4EEE">
            <w:pPr>
              <w:jc w:val="center"/>
              <w:rPr>
                <w:color w:val="000000"/>
                <w:sz w:val="20"/>
                <w:szCs w:val="20"/>
                <w:lang w:eastAsia="en-US"/>
              </w:rPr>
            </w:pPr>
            <w:r w:rsidRPr="00E46299">
              <w:rPr>
                <w:color w:val="000000"/>
                <w:sz w:val="20"/>
                <w:szCs w:val="20"/>
                <w:lang w:eastAsia="en-US"/>
              </w:rPr>
              <w:t>Najam svjetlovodne niti bez prijenosne opreme (dark fibre)</w:t>
            </w:r>
          </w:p>
        </w:tc>
        <w:tc>
          <w:tcPr>
            <w:tcW w:w="2061"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DD701DE" w14:textId="28A3079F" w:rsidR="00BB4EEE" w:rsidRPr="00E46299" w:rsidRDefault="00BB4EEE" w:rsidP="00BB4EEE">
            <w:pPr>
              <w:jc w:val="center"/>
              <w:rPr>
                <w:color w:val="000000"/>
                <w:sz w:val="20"/>
                <w:szCs w:val="20"/>
                <w:lang w:eastAsia="en-US"/>
              </w:rPr>
            </w:pPr>
            <w:r>
              <w:rPr>
                <w:color w:val="000000"/>
                <w:sz w:val="20"/>
                <w:szCs w:val="20"/>
                <w:lang w:eastAsia="en-US"/>
              </w:rPr>
              <w:t>EUR</w:t>
            </w:r>
            <w:r w:rsidRPr="00E46299">
              <w:rPr>
                <w:color w:val="000000"/>
                <w:sz w:val="20"/>
                <w:szCs w:val="20"/>
                <w:lang w:eastAsia="en-US"/>
              </w:rPr>
              <w:t>/nit/m/mjesečno</w:t>
            </w:r>
          </w:p>
        </w:tc>
        <w:tc>
          <w:tcPr>
            <w:tcW w:w="86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C6F9F3B" w14:textId="717B12DA" w:rsidR="00BB4EEE" w:rsidRPr="00E46299" w:rsidRDefault="00BB4EEE" w:rsidP="00BB4EEE">
            <w:pPr>
              <w:jc w:val="center"/>
              <w:rPr>
                <w:color w:val="000000"/>
                <w:sz w:val="20"/>
                <w:szCs w:val="20"/>
                <w:highlight w:val="yellow"/>
                <w:lang w:eastAsia="en-US"/>
              </w:rPr>
            </w:pPr>
            <w:r w:rsidRPr="00E46299">
              <w:rPr>
                <w:sz w:val="20"/>
                <w:szCs w:val="20"/>
              </w:rPr>
              <w:t>0,017</w:t>
            </w:r>
          </w:p>
        </w:tc>
        <w:tc>
          <w:tcPr>
            <w:tcW w:w="102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13C69EF" w14:textId="198F1EFF" w:rsidR="00BB4EEE" w:rsidRPr="00E46299" w:rsidRDefault="00BB4EEE" w:rsidP="00BB4EEE">
            <w:pPr>
              <w:jc w:val="center"/>
              <w:rPr>
                <w:color w:val="000000"/>
                <w:sz w:val="20"/>
                <w:szCs w:val="20"/>
                <w:highlight w:val="yellow"/>
                <w:lang w:eastAsia="en-US"/>
              </w:rPr>
            </w:pPr>
            <w:r w:rsidRPr="00E46299">
              <w:rPr>
                <w:sz w:val="20"/>
                <w:szCs w:val="20"/>
              </w:rPr>
              <w:t>0,017</w:t>
            </w:r>
          </w:p>
        </w:tc>
        <w:tc>
          <w:tcPr>
            <w:tcW w:w="961"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5B8C4F3" w14:textId="22A4E266" w:rsidR="00BB4EEE" w:rsidRPr="00E46299" w:rsidRDefault="00BB4EEE" w:rsidP="00BB4EEE">
            <w:pPr>
              <w:jc w:val="center"/>
              <w:rPr>
                <w:color w:val="000000"/>
                <w:sz w:val="20"/>
                <w:szCs w:val="20"/>
                <w:highlight w:val="yellow"/>
                <w:lang w:eastAsia="en-US"/>
              </w:rPr>
            </w:pPr>
            <w:r w:rsidRPr="00E46299">
              <w:rPr>
                <w:sz w:val="20"/>
                <w:szCs w:val="20"/>
              </w:rPr>
              <w:t>0,018</w:t>
            </w:r>
          </w:p>
        </w:tc>
        <w:tc>
          <w:tcPr>
            <w:tcW w:w="1466" w:type="dxa"/>
            <w:tcBorders>
              <w:top w:val="single" w:sz="8" w:space="0" w:color="auto"/>
              <w:left w:val="single" w:sz="8" w:space="0" w:color="auto"/>
              <w:bottom w:val="single" w:sz="8" w:space="0" w:color="auto"/>
              <w:right w:val="single" w:sz="8" w:space="0" w:color="auto"/>
            </w:tcBorders>
            <w:vAlign w:val="center"/>
          </w:tcPr>
          <w:p w14:paraId="3C6870EC" w14:textId="2A8E1AA7" w:rsidR="00BB4EEE" w:rsidRPr="00E46299" w:rsidRDefault="00BB4EEE" w:rsidP="00BB4EEE">
            <w:pPr>
              <w:keepNext/>
              <w:jc w:val="center"/>
              <w:rPr>
                <w:b/>
                <w:color w:val="000000"/>
                <w:sz w:val="20"/>
                <w:szCs w:val="20"/>
                <w:highlight w:val="yellow"/>
                <w:lang w:eastAsia="en-US"/>
              </w:rPr>
            </w:pPr>
            <w:r w:rsidRPr="00E46299">
              <w:rPr>
                <w:sz w:val="20"/>
                <w:szCs w:val="20"/>
              </w:rPr>
              <w:t>0,017</w:t>
            </w:r>
          </w:p>
        </w:tc>
      </w:tr>
    </w:tbl>
    <w:p w14:paraId="7E8D870E" w14:textId="77777777" w:rsidR="001C685D" w:rsidRPr="00E67889" w:rsidRDefault="001C685D" w:rsidP="00040D85">
      <w:pPr>
        <w:jc w:val="both"/>
      </w:pPr>
    </w:p>
    <w:p w14:paraId="5705037F" w14:textId="77777777" w:rsidR="00040D85" w:rsidRPr="00E67889" w:rsidRDefault="00040D85" w:rsidP="00040D85">
      <w:pPr>
        <w:jc w:val="both"/>
      </w:pPr>
    </w:p>
    <w:p w14:paraId="1E745129" w14:textId="48532F70" w:rsidR="00FA0B2E" w:rsidRPr="00FA0B2E" w:rsidRDefault="00FA0B2E" w:rsidP="00FA0B2E">
      <w:pPr>
        <w:jc w:val="both"/>
      </w:pPr>
      <w:r w:rsidRPr="00FA0B2E">
        <w:t>Slijedom svega navedenog, HAKOM je temeljem članka 16. stavka 1. točke 4. i članka 107. stavak 1. ZEK-a odlučio kao u izreci ove odluke.</w:t>
      </w:r>
    </w:p>
    <w:p w14:paraId="6F5A4272" w14:textId="77777777" w:rsidR="00FA0B2E" w:rsidRPr="00FA0B2E" w:rsidRDefault="00FA0B2E" w:rsidP="00FA0B2E">
      <w:pPr>
        <w:jc w:val="both"/>
      </w:pPr>
    </w:p>
    <w:p w14:paraId="74B40439" w14:textId="1588E5CC" w:rsidR="00FA0B2E" w:rsidRPr="00FA0B2E" w:rsidRDefault="00FA0B2E" w:rsidP="00FA0B2E">
      <w:pPr>
        <w:jc w:val="both"/>
      </w:pPr>
      <w:r>
        <w:t>Sukladno članku 30</w:t>
      </w:r>
      <w:r w:rsidRPr="00FA0B2E">
        <w:t>. ZEK-a o ovom prijedlogu provest će se jav</w:t>
      </w:r>
      <w:r>
        <w:t>no savjetovanje</w:t>
      </w:r>
      <w:r w:rsidRPr="00FA0B2E">
        <w:t xml:space="preserve">. </w:t>
      </w:r>
    </w:p>
    <w:p w14:paraId="137F1EA2" w14:textId="77777777" w:rsidR="00FD74AE" w:rsidRDefault="00FD74AE" w:rsidP="008579E9">
      <w:pPr>
        <w:jc w:val="both"/>
      </w:pPr>
    </w:p>
    <w:p w14:paraId="3CA50EDE" w14:textId="77777777" w:rsidR="008A50B5" w:rsidRDefault="008A50B5" w:rsidP="008638F5">
      <w:pPr>
        <w:jc w:val="both"/>
      </w:pPr>
    </w:p>
    <w:p w14:paraId="0E4BDA05" w14:textId="77777777" w:rsidR="003F4365" w:rsidRDefault="003F4365" w:rsidP="000F79E0">
      <w:pPr>
        <w:jc w:val="both"/>
      </w:pPr>
    </w:p>
    <w:p w14:paraId="7733C42B" w14:textId="4F962A41" w:rsidR="00CB4BB1" w:rsidRPr="00B30976" w:rsidRDefault="00CB4BB1" w:rsidP="00CB4BB1">
      <w:pPr>
        <w:rPr>
          <w:rFonts w:eastAsiaTheme="minorHAnsi"/>
        </w:rPr>
      </w:pPr>
    </w:p>
    <w:tbl>
      <w:tblPr>
        <w:tblW w:w="0" w:type="auto"/>
        <w:tblLook w:val="01E0" w:firstRow="1" w:lastRow="1" w:firstColumn="1" w:lastColumn="1" w:noHBand="0" w:noVBand="0"/>
      </w:tblPr>
      <w:tblGrid>
        <w:gridCol w:w="4801"/>
        <w:gridCol w:w="4837"/>
      </w:tblGrid>
      <w:tr w:rsidR="004A5506" w14:paraId="6F59CA80" w14:textId="77777777" w:rsidTr="004A5506">
        <w:tc>
          <w:tcPr>
            <w:tcW w:w="4801" w:type="dxa"/>
            <w:shd w:val="clear" w:color="auto" w:fill="auto"/>
          </w:tcPr>
          <w:p w14:paraId="17F9A048" w14:textId="77777777" w:rsidR="004A5506" w:rsidRDefault="004A5506" w:rsidP="004A5506"/>
        </w:tc>
        <w:tc>
          <w:tcPr>
            <w:tcW w:w="4837" w:type="dxa"/>
            <w:shd w:val="clear" w:color="auto" w:fill="auto"/>
          </w:tcPr>
          <w:p w14:paraId="5E86AAF8" w14:textId="77777777" w:rsidR="004A5506" w:rsidRDefault="004A5506" w:rsidP="004A5506">
            <w:pPr>
              <w:pStyle w:val="Uloga"/>
              <w:jc w:val="center"/>
            </w:pPr>
            <w:r>
              <w:t>Predsjednik Vijeća</w:t>
            </w:r>
          </w:p>
        </w:tc>
      </w:tr>
      <w:tr w:rsidR="004A5506" w14:paraId="46BFCD82" w14:textId="77777777" w:rsidTr="004A5506">
        <w:tc>
          <w:tcPr>
            <w:tcW w:w="4801" w:type="dxa"/>
            <w:shd w:val="clear" w:color="auto" w:fill="auto"/>
          </w:tcPr>
          <w:p w14:paraId="62BA8B9B" w14:textId="77777777" w:rsidR="004A5506" w:rsidRDefault="004A5506" w:rsidP="004A5506"/>
        </w:tc>
        <w:tc>
          <w:tcPr>
            <w:tcW w:w="4837" w:type="dxa"/>
            <w:shd w:val="clear" w:color="auto" w:fill="auto"/>
          </w:tcPr>
          <w:p w14:paraId="298AA3EF" w14:textId="77777777" w:rsidR="004A5506" w:rsidRDefault="004A5506" w:rsidP="004A5506">
            <w:pPr>
              <w:pStyle w:val="Uloga-ime"/>
              <w:jc w:val="center"/>
            </w:pPr>
            <w:r>
              <w:t>Tonko Obuljen</w:t>
            </w:r>
          </w:p>
        </w:tc>
      </w:tr>
    </w:tbl>
    <w:p w14:paraId="473BCB38" w14:textId="77777777" w:rsidR="00A615C9" w:rsidRDefault="00A615C9" w:rsidP="00335BCE"/>
    <w:p w14:paraId="56B698DE" w14:textId="77777777" w:rsidR="003D6073" w:rsidRDefault="003D6073" w:rsidP="00335BCE"/>
    <w:p w14:paraId="5BEFF8C3" w14:textId="612D084D" w:rsidR="003939F5" w:rsidRPr="00E46299" w:rsidRDefault="00263632" w:rsidP="00335BCE">
      <w:pPr>
        <w:rPr>
          <w:sz w:val="20"/>
          <w:szCs w:val="20"/>
        </w:rPr>
      </w:pPr>
      <w:r w:rsidRPr="00E46299">
        <w:rPr>
          <w:sz w:val="20"/>
          <w:szCs w:val="20"/>
        </w:rPr>
        <w:t>Privitak</w:t>
      </w:r>
      <w:r w:rsidR="00A82459">
        <w:rPr>
          <w:sz w:val="20"/>
          <w:szCs w:val="20"/>
        </w:rPr>
        <w:t xml:space="preserve"> 1</w:t>
      </w:r>
      <w:r w:rsidRPr="00E46299">
        <w:rPr>
          <w:sz w:val="20"/>
          <w:szCs w:val="20"/>
        </w:rPr>
        <w:t>: Dokument „Izvještaj o ažuriranju BU LRIC+ modela“</w:t>
      </w:r>
    </w:p>
    <w:p w14:paraId="4E4BB700" w14:textId="585D503C" w:rsidR="00EC20BC" w:rsidRPr="00E46299" w:rsidRDefault="00A82459" w:rsidP="00EC20BC">
      <w:pPr>
        <w:rPr>
          <w:sz w:val="20"/>
          <w:szCs w:val="20"/>
        </w:rPr>
      </w:pPr>
      <w:r>
        <w:rPr>
          <w:sz w:val="20"/>
          <w:szCs w:val="20"/>
        </w:rPr>
        <w:t>Privitak</w:t>
      </w:r>
      <w:r w:rsidR="00EC20BC" w:rsidRPr="00E46299">
        <w:rPr>
          <w:sz w:val="20"/>
          <w:szCs w:val="20"/>
        </w:rPr>
        <w:t xml:space="preserve"> 2: Odgovori na komentare </w:t>
      </w:r>
      <w:r w:rsidR="00A2576A">
        <w:rPr>
          <w:sz w:val="20"/>
          <w:szCs w:val="20"/>
        </w:rPr>
        <w:t>pristigle na javnom pozivu</w:t>
      </w:r>
    </w:p>
    <w:sectPr w:rsidR="00EC20BC" w:rsidRPr="00E46299" w:rsidSect="00C00627">
      <w:headerReference w:type="default" r:id="rId15"/>
      <w:footerReference w:type="default" r:id="rId16"/>
      <w:headerReference w:type="first" r:id="rId17"/>
      <w:footerReference w:type="first" r:id="rId18"/>
      <w:pgSz w:w="11906" w:h="16838" w:code="9"/>
      <w:pgMar w:top="1644" w:right="1021" w:bottom="1644" w:left="1021" w:header="340"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D34454" w14:textId="77777777" w:rsidR="00AB23BC" w:rsidRDefault="00AB23BC">
      <w:r>
        <w:separator/>
      </w:r>
    </w:p>
  </w:endnote>
  <w:endnote w:type="continuationSeparator" w:id="0">
    <w:p w14:paraId="668AD787" w14:textId="77777777" w:rsidR="00AB23BC" w:rsidRDefault="00AB23BC">
      <w:r>
        <w:continuationSeparator/>
      </w:r>
    </w:p>
  </w:endnote>
  <w:endnote w:type="continuationNotice" w:id="1">
    <w:p w14:paraId="4FF0B458" w14:textId="77777777" w:rsidR="00AB23BC" w:rsidRDefault="00AB23B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11590959"/>
      <w:docPartObj>
        <w:docPartGallery w:val="Page Numbers (Bottom of Page)"/>
        <w:docPartUnique/>
      </w:docPartObj>
    </w:sdtPr>
    <w:sdtEndPr>
      <w:rPr>
        <w:noProof/>
      </w:rPr>
    </w:sdtEndPr>
    <w:sdtContent>
      <w:p w14:paraId="67618772" w14:textId="55B55530" w:rsidR="006D6631" w:rsidRDefault="006D6631">
        <w:pPr>
          <w:pStyle w:val="Footer"/>
          <w:jc w:val="right"/>
        </w:pPr>
        <w:r>
          <w:fldChar w:fldCharType="begin"/>
        </w:r>
        <w:r>
          <w:instrText xml:space="preserve"> PAGE   \* MERGEFORMAT </w:instrText>
        </w:r>
        <w:r>
          <w:fldChar w:fldCharType="separate"/>
        </w:r>
        <w:r w:rsidR="001530D7">
          <w:rPr>
            <w:noProof/>
          </w:rPr>
          <w:t>12</w:t>
        </w:r>
        <w:r>
          <w:rPr>
            <w:noProof/>
          </w:rPr>
          <w:fldChar w:fldCharType="end"/>
        </w:r>
      </w:p>
    </w:sdtContent>
  </w:sdt>
  <w:p w14:paraId="57206014" w14:textId="77777777" w:rsidR="006D6631" w:rsidRDefault="006D663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B2C857" w14:textId="77777777" w:rsidR="006D6631" w:rsidRPr="008639AE" w:rsidRDefault="006D6631" w:rsidP="006D6631">
    <w:pPr>
      <w:pStyle w:val="Footer"/>
      <w:tabs>
        <w:tab w:val="clear" w:pos="4320"/>
        <w:tab w:val="clear" w:pos="8640"/>
      </w:tabs>
      <w:spacing w:line="240" w:lineRule="auto"/>
      <w:ind w:left="-357" w:right="-357"/>
      <w:rPr>
        <w:rFonts w:ascii="DINCE-Regular" w:hAnsi="DINCE-Regular"/>
      </w:rPr>
    </w:pPr>
    <w:r w:rsidRPr="008639AE">
      <w:rPr>
        <w:rFonts w:ascii="DINCE-Regular" w:hAnsi="DINCE-Regular"/>
        <w:noProof/>
      </w:rPr>
      <mc:AlternateContent>
        <mc:Choice Requires="wps">
          <w:drawing>
            <wp:inline distT="0" distB="0" distL="0" distR="0" wp14:anchorId="522A41FA" wp14:editId="3A320364">
              <wp:extent cx="6480175" cy="0"/>
              <wp:effectExtent l="9525" t="9525" r="6350" b="9525"/>
              <wp:docPr id="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36CD2E7"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obFAIAACk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ArWlob&#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58BC7048" w14:textId="77777777" w:rsidR="006D6631" w:rsidRPr="00605B1D" w:rsidRDefault="006D6631" w:rsidP="006D6631">
    <w:pPr>
      <w:pStyle w:val="Footer"/>
      <w:tabs>
        <w:tab w:val="clear" w:pos="4320"/>
        <w:tab w:val="clear" w:pos="8640"/>
      </w:tabs>
      <w:spacing w:before="80"/>
      <w:rPr>
        <w:rFonts w:ascii="Corbel" w:hAnsi="Corbel"/>
        <w:b/>
        <w:sz w:val="15"/>
        <w:szCs w:val="15"/>
      </w:rPr>
    </w:pPr>
    <w:r w:rsidRPr="00605B1D">
      <w:rPr>
        <w:rFonts w:ascii="Corbel" w:hAnsi="Corbel"/>
        <w:b/>
        <w:sz w:val="15"/>
        <w:szCs w:val="15"/>
      </w:rPr>
      <w:t>HRVATSKA REGULATORNA AGENCIJA ZA MREŽNE DJELATNOSTI</w:t>
    </w:r>
  </w:p>
  <w:p w14:paraId="502C64F7" w14:textId="77777777" w:rsidR="006D6631" w:rsidRPr="00AF569C" w:rsidRDefault="006D6631" w:rsidP="006D6631">
    <w:pPr>
      <w:pStyle w:val="Footer"/>
      <w:tabs>
        <w:tab w:val="clear" w:pos="4320"/>
        <w:tab w:val="clear" w:pos="8640"/>
      </w:tabs>
      <w:ind w:left="-142" w:right="-143"/>
      <w:rPr>
        <w:rFonts w:ascii="Corbel" w:hAnsi="Corbel"/>
        <w:sz w:val="15"/>
        <w:szCs w:val="15"/>
      </w:rPr>
    </w:pPr>
    <w:r>
      <w:rPr>
        <w:rFonts w:ascii="Corbel" w:hAnsi="Corbel"/>
        <w:sz w:val="15"/>
        <w:szCs w:val="15"/>
      </w:rPr>
      <w:t xml:space="preserve">Ulica </w:t>
    </w:r>
    <w:r w:rsidRPr="00605B1D">
      <w:rPr>
        <w:rFonts w:ascii="Corbel" w:hAnsi="Corbel"/>
        <w:sz w:val="15"/>
        <w:szCs w:val="15"/>
      </w:rPr>
      <w:t>Roberta Frangeša</w:t>
    </w:r>
    <w:r>
      <w:rPr>
        <w:rFonts w:ascii="Corbel" w:hAnsi="Corbel"/>
        <w:sz w:val="15"/>
        <w:szCs w:val="15"/>
      </w:rPr>
      <w:t>-</w:t>
    </w:r>
    <w:r w:rsidRPr="00605B1D">
      <w:rPr>
        <w:rFonts w:ascii="Corbel" w:hAnsi="Corbel"/>
        <w:sz w:val="15"/>
        <w:szCs w:val="15"/>
      </w:rPr>
      <w:t>Mihanovi</w:t>
    </w:r>
    <w:r w:rsidRPr="00605B1D">
      <w:rPr>
        <w:rFonts w:ascii="Corbel" w:hAnsi="Corbel" w:cs="Cambria"/>
        <w:sz w:val="15"/>
        <w:szCs w:val="15"/>
      </w:rPr>
      <w:t>ć</w:t>
    </w:r>
    <w:r w:rsidRPr="00605B1D">
      <w:rPr>
        <w:rFonts w:ascii="Corbel" w:hAnsi="Corbel"/>
        <w:sz w:val="15"/>
        <w:szCs w:val="15"/>
      </w:rPr>
      <w:t>a 9, 10110 Zagreb / OIB: 87950783661 / Tel: (01) 7007 007, Faks: (01) 7007 070 / www.hakom.hr</w:t>
    </w:r>
  </w:p>
  <w:p w14:paraId="11262DE7" w14:textId="2E29ABDB" w:rsidR="006F52B6" w:rsidRPr="006D6631" w:rsidRDefault="006F52B6" w:rsidP="006D663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3EE971" w14:textId="77777777" w:rsidR="00AB23BC" w:rsidRDefault="00AB23BC">
      <w:r>
        <w:separator/>
      </w:r>
    </w:p>
  </w:footnote>
  <w:footnote w:type="continuationSeparator" w:id="0">
    <w:p w14:paraId="7735225F" w14:textId="77777777" w:rsidR="00AB23BC" w:rsidRDefault="00AB23BC">
      <w:r>
        <w:continuationSeparator/>
      </w:r>
    </w:p>
  </w:footnote>
  <w:footnote w:type="continuationNotice" w:id="1">
    <w:p w14:paraId="314ACAD8" w14:textId="77777777" w:rsidR="00AB23BC" w:rsidRDefault="00AB23BC"/>
  </w:footnote>
  <w:footnote w:id="2">
    <w:p w14:paraId="3F7BDDBA" w14:textId="77777777" w:rsidR="002848D3" w:rsidRPr="00047B3E" w:rsidRDefault="002848D3" w:rsidP="002848D3">
      <w:pPr>
        <w:pStyle w:val="FootnoteText"/>
        <w:jc w:val="both"/>
      </w:pPr>
      <w:r w:rsidRPr="00121A6F">
        <w:rPr>
          <w:rStyle w:val="FootnoteReference"/>
          <w:rFonts w:eastAsiaTheme="majorEastAsia"/>
        </w:rPr>
        <w:sym w:font="Symbol" w:char="F02A"/>
      </w:r>
      <w:r>
        <w:t xml:space="preserve"> </w:t>
      </w:r>
      <w:r w:rsidRPr="00047B3E">
        <w:t>Nepromjenjivi dio naknade uključuje naknadu za korištenje svjetlovodne pristupne mreže, naknadu za korištenje širokopojasnog porta na OLT-u i naknadu za nepromjenjivi dio naknade za korištenje kapaciteta prijenosne i jezgrene mreže</w:t>
      </w:r>
    </w:p>
  </w:footnote>
  <w:footnote w:id="3">
    <w:p w14:paraId="5A00362B" w14:textId="77777777" w:rsidR="00CC3566" w:rsidRPr="00047B3E" w:rsidRDefault="00CC3566" w:rsidP="00CC3566">
      <w:pPr>
        <w:pStyle w:val="FootnoteText"/>
        <w:jc w:val="both"/>
      </w:pPr>
      <w:r w:rsidRPr="00121A6F">
        <w:rPr>
          <w:rStyle w:val="FootnoteReference"/>
          <w:rFonts w:eastAsiaTheme="majorEastAsia"/>
        </w:rPr>
        <w:sym w:font="Symbol" w:char="F02A"/>
      </w:r>
      <w:r>
        <w:t xml:space="preserve"> </w:t>
      </w:r>
      <w:r w:rsidRPr="00047B3E">
        <w:t>Nepromjenjivi dio naknade uključuje naknadu za korištenje svjetlovodne pristupne mreže, naknadu za korištenje širokopojasnog porta na OLT-u i naknadu za nepromjenjivi dio naknade za korištenje kapaciteta prijenosne i jezgrene mreže</w:t>
      </w:r>
    </w:p>
  </w:footnote>
  <w:footnote w:id="4">
    <w:p w14:paraId="07EA774A" w14:textId="77777777" w:rsidR="002848D3" w:rsidRPr="00047B3E" w:rsidRDefault="002848D3" w:rsidP="002848D3">
      <w:pPr>
        <w:pStyle w:val="FootnoteText"/>
        <w:jc w:val="both"/>
      </w:pPr>
      <w:r w:rsidRPr="00121A6F">
        <w:rPr>
          <w:rStyle w:val="FootnoteReference"/>
          <w:rFonts w:eastAsiaTheme="majorEastAsia"/>
        </w:rPr>
        <w:sym w:font="Symbol" w:char="F02A"/>
      </w:r>
      <w:r>
        <w:t xml:space="preserve"> </w:t>
      </w:r>
      <w:r w:rsidRPr="00047B3E">
        <w:t>Nepromjenjivi dio naknade uključuje naknadu za korištenje svjetlovodne pristupne mreže, naknadu za korištenje širokopojasnog porta na OLT-u i naknadu za nepromjenjivi dio naknade za korištenje kapaciteta prijenosne i jezgrene mreže</w:t>
      </w:r>
    </w:p>
  </w:footnote>
  <w:footnote w:id="5">
    <w:p w14:paraId="14851B31" w14:textId="77777777" w:rsidR="002848D3" w:rsidRPr="00047B3E" w:rsidRDefault="002848D3" w:rsidP="002848D3">
      <w:pPr>
        <w:pStyle w:val="FootnoteText"/>
        <w:jc w:val="both"/>
      </w:pPr>
      <w:r w:rsidRPr="00121A6F">
        <w:rPr>
          <w:rStyle w:val="FootnoteReference"/>
          <w:rFonts w:eastAsiaTheme="majorEastAsia"/>
        </w:rPr>
        <w:sym w:font="Symbol" w:char="F02A"/>
      </w:r>
      <w:r>
        <w:t xml:space="preserve"> </w:t>
      </w:r>
      <w:r w:rsidRPr="00047B3E">
        <w:t>Nepromjenjivi dio naknade uključuje naknadu za korištenje svjetlovodne pristupne mreže, naknadu za korištenje širokopojasnog porta na OLT-u i naknadu za nepromjenjivi dio naknade za korištenje kapaciteta prijenosne i jezgrene mreže</w:t>
      </w:r>
    </w:p>
  </w:footnote>
  <w:footnote w:id="6">
    <w:p w14:paraId="510BAFE5" w14:textId="58C17E28" w:rsidR="0075671F" w:rsidRDefault="0075671F" w:rsidP="00A33ECA">
      <w:pPr>
        <w:pStyle w:val="FootnoteText"/>
        <w:jc w:val="both"/>
      </w:pPr>
      <w:r>
        <w:rPr>
          <w:rStyle w:val="FootnoteReference"/>
        </w:rPr>
        <w:footnoteRef/>
      </w:r>
      <w:r>
        <w:t xml:space="preserve"> Odlukom KLASA: </w:t>
      </w:r>
      <w:r w:rsidRPr="0075671F">
        <w:t>UP/I-344-01/20-05/04, URBROJ: 376-05-1-21-2</w:t>
      </w:r>
      <w:r>
        <w:t>8 su određene veleprodajne naknade za usluge veleprodajnog širokopojasnog pristupa na DSLAM/OLT razini</w:t>
      </w:r>
    </w:p>
  </w:footnote>
  <w:footnote w:id="7">
    <w:p w14:paraId="7D54CDC0" w14:textId="6539D2EE" w:rsidR="006F52B6" w:rsidRDefault="006F52B6" w:rsidP="001971E6">
      <w:pPr>
        <w:pStyle w:val="FootnoteText"/>
        <w:jc w:val="both"/>
      </w:pPr>
      <w:r>
        <w:rPr>
          <w:rStyle w:val="FootnoteReference"/>
        </w:rPr>
        <w:footnoteRef/>
      </w:r>
      <w:r>
        <w:t xml:space="preserve"> U ukupan broj priključaka su uključene sve maloprodajne usluge koje su sastavni dio maloprodajnog tržišta širokopojasnog pristupa sukladno Analizi tržišta</w:t>
      </w:r>
    </w:p>
  </w:footnote>
  <w:footnote w:id="8">
    <w:p w14:paraId="4EE3D72E" w14:textId="09726C83" w:rsidR="00EF5F19" w:rsidRDefault="00EF5F19">
      <w:pPr>
        <w:pStyle w:val="FootnoteText"/>
      </w:pPr>
      <w:r>
        <w:rPr>
          <w:rStyle w:val="FootnoteReference"/>
        </w:rPr>
        <w:footnoteRef/>
      </w:r>
      <w:r>
        <w:t xml:space="preserve"> Prikazani su priključci alternativnih operatora koji nisu dio HT grupe</w:t>
      </w:r>
    </w:p>
  </w:footnote>
  <w:footnote w:id="9">
    <w:p w14:paraId="66C88CE2" w14:textId="220EABE2" w:rsidR="006F52B6" w:rsidRDefault="006F52B6" w:rsidP="00DC6B7A">
      <w:pPr>
        <w:pStyle w:val="FootnoteText"/>
        <w:jc w:val="both"/>
      </w:pPr>
      <w:r>
        <w:rPr>
          <w:rStyle w:val="FootnoteReference"/>
        </w:rPr>
        <w:footnoteRef/>
      </w:r>
      <w:r>
        <w:t xml:space="preserve">Izvor: </w:t>
      </w:r>
      <w:r w:rsidRPr="003F5D9E">
        <w:t>https://www.ftthcouncil.eu/knowledge-centre/all-publications-and-assets/1707/european-ftth-b-market-panorama-2023</w:t>
      </w:r>
    </w:p>
  </w:footnote>
  <w:footnote w:id="10">
    <w:p w14:paraId="4391B315" w14:textId="2319F6A6" w:rsidR="006F52B6" w:rsidRDefault="006F52B6" w:rsidP="000213E0">
      <w:pPr>
        <w:pStyle w:val="FootnoteText"/>
        <w:jc w:val="both"/>
      </w:pPr>
      <w:r>
        <w:rPr>
          <w:rStyle w:val="FootnoteReference"/>
        </w:rPr>
        <w:footnoteRef/>
      </w:r>
      <w:r>
        <w:t xml:space="preserve"> Standardna ponuda </w:t>
      </w:r>
      <w:r w:rsidRPr="00BC43BE">
        <w:t>HT-a za uslugu pristupa pasivnoj pristupnoj svjetlovodnoj mreži na lokaciji distribucijskog čvora za svjetlovodne distribucijske mreže (FA-PON)</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4B2D9E" w14:textId="77777777" w:rsidR="006F52B6" w:rsidRDefault="006F52B6" w:rsidP="00731423">
    <w:pPr>
      <w:pStyle w:val="Header"/>
      <w:tabs>
        <w:tab w:val="clear" w:pos="4536"/>
        <w:tab w:val="clear" w:pos="9072"/>
      </w:tabs>
      <w:ind w:left="-360" w:right="-442"/>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2EB19" w14:textId="77777777" w:rsidR="006F52B6" w:rsidRDefault="006F52B6" w:rsidP="00192D15">
    <w:pPr>
      <w:pStyle w:val="Header"/>
      <w:tabs>
        <w:tab w:val="clear" w:pos="4536"/>
        <w:tab w:val="clear" w:pos="9072"/>
      </w:tabs>
      <w:ind w:left="-357" w:right="-357"/>
      <w:jc w:val="center"/>
    </w:pPr>
    <w:r w:rsidRPr="009F6CDB">
      <w:rPr>
        <w:noProof/>
      </w:rPr>
      <w:drawing>
        <wp:inline distT="0" distB="0" distL="0" distR="0" wp14:anchorId="02A75369" wp14:editId="6837A77A">
          <wp:extent cx="1057523" cy="1025220"/>
          <wp:effectExtent l="0" t="0" r="0" b="3810"/>
          <wp:docPr id="2" name="Picture 2"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5E51FAB1" w14:textId="77777777" w:rsidR="006F52B6" w:rsidRDefault="006F52B6" w:rsidP="00192D15">
    <w:pPr>
      <w:pStyle w:val="Header"/>
      <w:tabs>
        <w:tab w:val="clear" w:pos="4536"/>
        <w:tab w:val="clear" w:pos="9072"/>
      </w:tabs>
      <w:ind w:left="-357" w:right="-357"/>
      <w:jc w:val="center"/>
    </w:pPr>
  </w:p>
  <w:p w14:paraId="083AE767" w14:textId="77777777" w:rsidR="006F52B6" w:rsidRDefault="006F52B6" w:rsidP="006C77C3">
    <w:pPr>
      <w:pStyle w:val="Header"/>
      <w:tabs>
        <w:tab w:val="clear" w:pos="4536"/>
        <w:tab w:val="clear" w:pos="9072"/>
      </w:tabs>
      <w:ind w:left="-357" w:right="-357"/>
      <w:jc w:val="right"/>
    </w:pPr>
    <w:r>
      <w:rPr>
        <w:rFonts w:ascii="Times New Roman" w:hAnsi="Times New Roman"/>
        <w:b/>
        <w:sz w:val="24"/>
      </w:rPr>
      <w:t>PRIJEDLOG ZA JAVNO SAVJETOVANJE</w:t>
    </w:r>
  </w:p>
  <w:p w14:paraId="6D7ABF1F" w14:textId="77777777" w:rsidR="006F52B6" w:rsidRDefault="006F52B6" w:rsidP="006C77C3">
    <w:pPr>
      <w:pStyle w:val="Header"/>
      <w:tabs>
        <w:tab w:val="clear" w:pos="4536"/>
        <w:tab w:val="clear" w:pos="9072"/>
      </w:tabs>
      <w:spacing w:after="60"/>
      <w:ind w:right="9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7E1D55"/>
    <w:multiLevelType w:val="hybridMultilevel"/>
    <w:tmpl w:val="323805DC"/>
    <w:lvl w:ilvl="0" w:tplc="D988C6DA">
      <w:numFmt w:val="bullet"/>
      <w:lvlText w:val="•"/>
      <w:lvlJc w:val="left"/>
      <w:pPr>
        <w:ind w:left="1068" w:hanging="708"/>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C470FE"/>
    <w:multiLevelType w:val="multilevel"/>
    <w:tmpl w:val="0409001F"/>
    <w:styleLink w:val="Style2"/>
    <w:lvl w:ilvl="0">
      <w:start w:val="1"/>
      <w:numFmt w:val="upperRoman"/>
      <w:lvlText w:val="%1."/>
      <w:lvlJc w:val="left"/>
      <w:pPr>
        <w:ind w:left="360" w:hanging="360"/>
      </w:pPr>
      <w:rPr>
        <w:rFonts w:hint="default"/>
        <w:b/>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7BA5E0A"/>
    <w:multiLevelType w:val="multilevel"/>
    <w:tmpl w:val="0409001F"/>
    <w:numStyleLink w:val="Style2"/>
  </w:abstractNum>
  <w:abstractNum w:abstractNumId="3" w15:restartNumberingAfterBreak="0">
    <w:nsid w:val="19F02F5B"/>
    <w:multiLevelType w:val="hybridMultilevel"/>
    <w:tmpl w:val="CECAB0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4AB357A"/>
    <w:multiLevelType w:val="multilevel"/>
    <w:tmpl w:val="0F62A7E6"/>
    <w:numStyleLink w:val="Style1"/>
  </w:abstractNum>
  <w:abstractNum w:abstractNumId="5" w15:restartNumberingAfterBreak="0">
    <w:nsid w:val="37A5669C"/>
    <w:multiLevelType w:val="hybridMultilevel"/>
    <w:tmpl w:val="555876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4539590A"/>
    <w:multiLevelType w:val="multilevel"/>
    <w:tmpl w:val="0409001F"/>
    <w:lvl w:ilvl="0">
      <w:start w:val="1"/>
      <w:numFmt w:val="upperRoman"/>
      <w:lvlText w:val="%1."/>
      <w:lvlJc w:val="left"/>
      <w:pPr>
        <w:ind w:left="360" w:hanging="360"/>
      </w:pPr>
      <w:rPr>
        <w:rFonts w:hint="default"/>
        <w:b/>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8EE153A"/>
    <w:multiLevelType w:val="multilevel"/>
    <w:tmpl w:val="0409001F"/>
    <w:lvl w:ilvl="0">
      <w:start w:val="1"/>
      <w:numFmt w:val="upperRoman"/>
      <w:lvlText w:val="%1."/>
      <w:lvlJc w:val="left"/>
      <w:pPr>
        <w:ind w:left="360" w:hanging="360"/>
      </w:pPr>
      <w:rPr>
        <w:rFonts w:hint="default"/>
        <w:b/>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17073DB"/>
    <w:multiLevelType w:val="multilevel"/>
    <w:tmpl w:val="0409001F"/>
    <w:lvl w:ilvl="0">
      <w:start w:val="1"/>
      <w:numFmt w:val="upperRoman"/>
      <w:lvlText w:val="%1."/>
      <w:lvlJc w:val="left"/>
      <w:pPr>
        <w:ind w:left="360" w:hanging="360"/>
      </w:pPr>
      <w:rPr>
        <w:rFonts w:hint="default"/>
        <w:b/>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7496184"/>
    <w:multiLevelType w:val="hybridMultilevel"/>
    <w:tmpl w:val="950EB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3394FA6"/>
    <w:multiLevelType w:val="hybridMultilevel"/>
    <w:tmpl w:val="3B520C0C"/>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1" w15:restartNumberingAfterBreak="0">
    <w:nsid w:val="694703A8"/>
    <w:multiLevelType w:val="hybridMultilevel"/>
    <w:tmpl w:val="E60CF6DA"/>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69DC65D4"/>
    <w:multiLevelType w:val="hybridMultilevel"/>
    <w:tmpl w:val="A7249F4C"/>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6E411401"/>
    <w:multiLevelType w:val="multilevel"/>
    <w:tmpl w:val="E26611E8"/>
    <w:lvl w:ilvl="0">
      <w:start w:val="1"/>
      <w:numFmt w:val="upperRoman"/>
      <w:lvlText w:val="%1."/>
      <w:lvlJc w:val="left"/>
      <w:pPr>
        <w:ind w:left="360" w:hanging="360"/>
      </w:pPr>
      <w:rPr>
        <w:rFonts w:hint="default"/>
        <w:b/>
      </w:rPr>
    </w:lvl>
    <w:lvl w:ilvl="1">
      <w:start w:val="1"/>
      <w:numFmt w:val="decimal"/>
      <w:lvlText w:val="%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7B095429"/>
    <w:multiLevelType w:val="multilevel"/>
    <w:tmpl w:val="0F62A7E6"/>
    <w:styleLink w:val="Style1"/>
    <w:lvl w:ilvl="0">
      <w:start w:val="1"/>
      <w:numFmt w:val="upperRoman"/>
      <w:lvlText w:val="%1."/>
      <w:lvlJc w:val="left"/>
      <w:pPr>
        <w:ind w:left="360" w:hanging="360"/>
      </w:pPr>
      <w:rPr>
        <w:rFonts w:hint="default"/>
        <w:b/>
      </w:rPr>
    </w:lvl>
    <w:lvl w:ilvl="1">
      <w:numFmt w:val="bullet"/>
      <w:lvlText w:val="-"/>
      <w:lvlJc w:val="left"/>
      <w:pPr>
        <w:ind w:left="4058" w:hanging="360"/>
      </w:pPr>
      <w:rPr>
        <w:rFonts w:ascii="Times New Roman" w:eastAsia="Times New Roman" w:hAnsi="Times New Roman" w:cs="Times New Roman" w:hint="default"/>
      </w:rPr>
    </w:lvl>
    <w:lvl w:ilvl="2">
      <w:start w:val="1"/>
      <w:numFmt w:val="lowerRoman"/>
      <w:lvlText w:val="%3."/>
      <w:lvlJc w:val="right"/>
      <w:pPr>
        <w:ind w:left="4778" w:hanging="180"/>
      </w:pPr>
    </w:lvl>
    <w:lvl w:ilvl="3">
      <w:start w:val="1"/>
      <w:numFmt w:val="decimal"/>
      <w:lvlText w:val="%4."/>
      <w:lvlJc w:val="left"/>
      <w:pPr>
        <w:ind w:left="5498" w:hanging="360"/>
      </w:pPr>
    </w:lvl>
    <w:lvl w:ilvl="4">
      <w:start w:val="1"/>
      <w:numFmt w:val="lowerLetter"/>
      <w:lvlText w:val="%5."/>
      <w:lvlJc w:val="left"/>
      <w:pPr>
        <w:ind w:left="6218" w:hanging="360"/>
      </w:pPr>
    </w:lvl>
    <w:lvl w:ilvl="5">
      <w:start w:val="1"/>
      <w:numFmt w:val="lowerRoman"/>
      <w:lvlText w:val="%6."/>
      <w:lvlJc w:val="right"/>
      <w:pPr>
        <w:ind w:left="6938" w:hanging="180"/>
      </w:pPr>
    </w:lvl>
    <w:lvl w:ilvl="6">
      <w:start w:val="1"/>
      <w:numFmt w:val="decimal"/>
      <w:lvlText w:val="%7."/>
      <w:lvlJc w:val="left"/>
      <w:pPr>
        <w:ind w:left="7658" w:hanging="360"/>
      </w:pPr>
    </w:lvl>
    <w:lvl w:ilvl="7">
      <w:start w:val="1"/>
      <w:numFmt w:val="lowerLetter"/>
      <w:lvlText w:val="%8."/>
      <w:lvlJc w:val="left"/>
      <w:pPr>
        <w:ind w:left="8378" w:hanging="360"/>
      </w:pPr>
    </w:lvl>
    <w:lvl w:ilvl="8">
      <w:start w:val="1"/>
      <w:numFmt w:val="lowerRoman"/>
      <w:lvlText w:val="%9."/>
      <w:lvlJc w:val="right"/>
      <w:pPr>
        <w:ind w:left="9098" w:hanging="180"/>
      </w:pPr>
    </w:lvl>
  </w:abstractNum>
  <w:num w:numId="1">
    <w:abstractNumId w:val="2"/>
  </w:num>
  <w:num w:numId="2">
    <w:abstractNumId w:val="3"/>
  </w:num>
  <w:num w:numId="3">
    <w:abstractNumId w:val="0"/>
  </w:num>
  <w:num w:numId="4">
    <w:abstractNumId w:val="9"/>
  </w:num>
  <w:num w:numId="5">
    <w:abstractNumId w:val="14"/>
  </w:num>
  <w:num w:numId="6">
    <w:abstractNumId w:val="1"/>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10"/>
  </w:num>
  <w:num w:numId="10">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lvl w:ilvl="0">
        <w:start w:val="1"/>
        <w:numFmt w:val="upperRoman"/>
        <w:lvlText w:val="%1."/>
        <w:lvlJc w:val="left"/>
        <w:pPr>
          <w:ind w:left="360" w:hanging="360"/>
        </w:pPr>
        <w:rPr>
          <w:b/>
        </w:rPr>
      </w:lvl>
    </w:lvlOverride>
  </w:num>
  <w:num w:numId="12">
    <w:abstractNumId w:val="13"/>
  </w:num>
  <w:num w:numId="13">
    <w:abstractNumId w:val="6"/>
  </w:num>
  <w:num w:numId="14">
    <w:abstractNumId w:val="7"/>
  </w:num>
  <w:num w:numId="15">
    <w:abstractNumId w:val="8"/>
  </w:num>
  <w:num w:numId="16">
    <w:abstractNumId w:val="11"/>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6625">
      <o:colormru v:ext="edit" colors="#024182"/>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0217E"/>
    <w:rsid w:val="00005741"/>
    <w:rsid w:val="00012A08"/>
    <w:rsid w:val="00013A21"/>
    <w:rsid w:val="00017189"/>
    <w:rsid w:val="000213E0"/>
    <w:rsid w:val="00031F0C"/>
    <w:rsid w:val="000347B9"/>
    <w:rsid w:val="000363FA"/>
    <w:rsid w:val="00040D85"/>
    <w:rsid w:val="0005023A"/>
    <w:rsid w:val="0006010F"/>
    <w:rsid w:val="00064A4F"/>
    <w:rsid w:val="0006690E"/>
    <w:rsid w:val="00073C41"/>
    <w:rsid w:val="00086536"/>
    <w:rsid w:val="000917F6"/>
    <w:rsid w:val="00092530"/>
    <w:rsid w:val="00097FDB"/>
    <w:rsid w:val="000C0A11"/>
    <w:rsid w:val="000C4706"/>
    <w:rsid w:val="000D41FE"/>
    <w:rsid w:val="000E7CA8"/>
    <w:rsid w:val="000F79E0"/>
    <w:rsid w:val="00102A27"/>
    <w:rsid w:val="00102E51"/>
    <w:rsid w:val="00116965"/>
    <w:rsid w:val="00120AA8"/>
    <w:rsid w:val="00121580"/>
    <w:rsid w:val="00124418"/>
    <w:rsid w:val="00134FE6"/>
    <w:rsid w:val="00143E74"/>
    <w:rsid w:val="00145C97"/>
    <w:rsid w:val="001530D7"/>
    <w:rsid w:val="00155AFF"/>
    <w:rsid w:val="00156378"/>
    <w:rsid w:val="001617C9"/>
    <w:rsid w:val="00165B16"/>
    <w:rsid w:val="0017155C"/>
    <w:rsid w:val="00175C6D"/>
    <w:rsid w:val="00192148"/>
    <w:rsid w:val="00192D15"/>
    <w:rsid w:val="001971E6"/>
    <w:rsid w:val="001A148E"/>
    <w:rsid w:val="001A21EF"/>
    <w:rsid w:val="001A592A"/>
    <w:rsid w:val="001C685D"/>
    <w:rsid w:val="002014FF"/>
    <w:rsid w:val="00205563"/>
    <w:rsid w:val="00206F40"/>
    <w:rsid w:val="0021043F"/>
    <w:rsid w:val="00211FC2"/>
    <w:rsid w:val="00212C24"/>
    <w:rsid w:val="002275F8"/>
    <w:rsid w:val="002307B2"/>
    <w:rsid w:val="00232E77"/>
    <w:rsid w:val="002342D3"/>
    <w:rsid w:val="00234A38"/>
    <w:rsid w:val="00244A64"/>
    <w:rsid w:val="00245B3E"/>
    <w:rsid w:val="00246E20"/>
    <w:rsid w:val="00263632"/>
    <w:rsid w:val="002709D4"/>
    <w:rsid w:val="002848D3"/>
    <w:rsid w:val="002B1C67"/>
    <w:rsid w:val="002B6E48"/>
    <w:rsid w:val="002C0848"/>
    <w:rsid w:val="002C7E41"/>
    <w:rsid w:val="002E133D"/>
    <w:rsid w:val="002F3914"/>
    <w:rsid w:val="002F7806"/>
    <w:rsid w:val="00310964"/>
    <w:rsid w:val="00313223"/>
    <w:rsid w:val="00313F16"/>
    <w:rsid w:val="00316395"/>
    <w:rsid w:val="0032262F"/>
    <w:rsid w:val="00335BCE"/>
    <w:rsid w:val="00336599"/>
    <w:rsid w:val="003462FD"/>
    <w:rsid w:val="00354549"/>
    <w:rsid w:val="003663A0"/>
    <w:rsid w:val="00370283"/>
    <w:rsid w:val="0037227A"/>
    <w:rsid w:val="003766B4"/>
    <w:rsid w:val="003939F5"/>
    <w:rsid w:val="003955C7"/>
    <w:rsid w:val="003A6B22"/>
    <w:rsid w:val="003A75B4"/>
    <w:rsid w:val="003B0664"/>
    <w:rsid w:val="003D6073"/>
    <w:rsid w:val="003D77EC"/>
    <w:rsid w:val="003D7AE9"/>
    <w:rsid w:val="003F37AE"/>
    <w:rsid w:val="003F4365"/>
    <w:rsid w:val="003F5D9E"/>
    <w:rsid w:val="00406EAB"/>
    <w:rsid w:val="00407BB1"/>
    <w:rsid w:val="00414A9E"/>
    <w:rsid w:val="004161EC"/>
    <w:rsid w:val="004244A6"/>
    <w:rsid w:val="00425124"/>
    <w:rsid w:val="00426033"/>
    <w:rsid w:val="00431576"/>
    <w:rsid w:val="004321CA"/>
    <w:rsid w:val="00441FAE"/>
    <w:rsid w:val="00445383"/>
    <w:rsid w:val="00446D5D"/>
    <w:rsid w:val="00461F81"/>
    <w:rsid w:val="00467F65"/>
    <w:rsid w:val="004807E0"/>
    <w:rsid w:val="004842B7"/>
    <w:rsid w:val="004873AC"/>
    <w:rsid w:val="004A5506"/>
    <w:rsid w:val="004A6DDC"/>
    <w:rsid w:val="004B5D02"/>
    <w:rsid w:val="004C5382"/>
    <w:rsid w:val="004D2C9B"/>
    <w:rsid w:val="004D5BF5"/>
    <w:rsid w:val="004E1AFD"/>
    <w:rsid w:val="004E3197"/>
    <w:rsid w:val="004F2A44"/>
    <w:rsid w:val="004F2D4F"/>
    <w:rsid w:val="00506462"/>
    <w:rsid w:val="00507DEB"/>
    <w:rsid w:val="0051069A"/>
    <w:rsid w:val="005347E9"/>
    <w:rsid w:val="005457F5"/>
    <w:rsid w:val="00551520"/>
    <w:rsid w:val="005673CA"/>
    <w:rsid w:val="00572354"/>
    <w:rsid w:val="00572A77"/>
    <w:rsid w:val="00597F74"/>
    <w:rsid w:val="005A3610"/>
    <w:rsid w:val="005B0E43"/>
    <w:rsid w:val="005B56E5"/>
    <w:rsid w:val="005B7122"/>
    <w:rsid w:val="005D00F7"/>
    <w:rsid w:val="005D3C53"/>
    <w:rsid w:val="005D633C"/>
    <w:rsid w:val="005D7CAB"/>
    <w:rsid w:val="005F357B"/>
    <w:rsid w:val="005F3BAF"/>
    <w:rsid w:val="006057B8"/>
    <w:rsid w:val="0061038E"/>
    <w:rsid w:val="00613FAF"/>
    <w:rsid w:val="00616BF1"/>
    <w:rsid w:val="006208C6"/>
    <w:rsid w:val="00623919"/>
    <w:rsid w:val="00630342"/>
    <w:rsid w:val="0065292C"/>
    <w:rsid w:val="006560D9"/>
    <w:rsid w:val="00661004"/>
    <w:rsid w:val="00662682"/>
    <w:rsid w:val="006659A1"/>
    <w:rsid w:val="00667974"/>
    <w:rsid w:val="00670C71"/>
    <w:rsid w:val="00676F84"/>
    <w:rsid w:val="00693ADD"/>
    <w:rsid w:val="006A082D"/>
    <w:rsid w:val="006A160D"/>
    <w:rsid w:val="006B1850"/>
    <w:rsid w:val="006B573D"/>
    <w:rsid w:val="006B78DA"/>
    <w:rsid w:val="006C77C3"/>
    <w:rsid w:val="006D461E"/>
    <w:rsid w:val="006D6631"/>
    <w:rsid w:val="006E0B9D"/>
    <w:rsid w:val="006F1EFD"/>
    <w:rsid w:val="006F32B7"/>
    <w:rsid w:val="006F52B6"/>
    <w:rsid w:val="00702429"/>
    <w:rsid w:val="0072124E"/>
    <w:rsid w:val="00726B17"/>
    <w:rsid w:val="00731423"/>
    <w:rsid w:val="00734753"/>
    <w:rsid w:val="00741C05"/>
    <w:rsid w:val="007447D5"/>
    <w:rsid w:val="007512D0"/>
    <w:rsid w:val="007539DD"/>
    <w:rsid w:val="00755380"/>
    <w:rsid w:val="0075671F"/>
    <w:rsid w:val="0077730E"/>
    <w:rsid w:val="00793180"/>
    <w:rsid w:val="00794EF8"/>
    <w:rsid w:val="00795CD5"/>
    <w:rsid w:val="00797CF7"/>
    <w:rsid w:val="007A08B5"/>
    <w:rsid w:val="007A381C"/>
    <w:rsid w:val="007B24A0"/>
    <w:rsid w:val="007B7291"/>
    <w:rsid w:val="007C0336"/>
    <w:rsid w:val="007C504C"/>
    <w:rsid w:val="007D24E5"/>
    <w:rsid w:val="007E42BA"/>
    <w:rsid w:val="007E5A69"/>
    <w:rsid w:val="007F2FD7"/>
    <w:rsid w:val="007F4D9A"/>
    <w:rsid w:val="007F4F92"/>
    <w:rsid w:val="008014F3"/>
    <w:rsid w:val="00803542"/>
    <w:rsid w:val="00805473"/>
    <w:rsid w:val="00814EA6"/>
    <w:rsid w:val="00816926"/>
    <w:rsid w:val="008316AB"/>
    <w:rsid w:val="008501D6"/>
    <w:rsid w:val="008552EF"/>
    <w:rsid w:val="008579E9"/>
    <w:rsid w:val="008638F5"/>
    <w:rsid w:val="008639AE"/>
    <w:rsid w:val="00871283"/>
    <w:rsid w:val="008762A4"/>
    <w:rsid w:val="008765E4"/>
    <w:rsid w:val="00895989"/>
    <w:rsid w:val="008A078D"/>
    <w:rsid w:val="008A50B5"/>
    <w:rsid w:val="008C0B8A"/>
    <w:rsid w:val="008C0E42"/>
    <w:rsid w:val="008C50C7"/>
    <w:rsid w:val="008D1FA7"/>
    <w:rsid w:val="008D3944"/>
    <w:rsid w:val="008D49E0"/>
    <w:rsid w:val="008D5604"/>
    <w:rsid w:val="008D5F63"/>
    <w:rsid w:val="008E0C2A"/>
    <w:rsid w:val="008E1E03"/>
    <w:rsid w:val="008E53DC"/>
    <w:rsid w:val="008F1418"/>
    <w:rsid w:val="008F15EA"/>
    <w:rsid w:val="008F1E8B"/>
    <w:rsid w:val="008F32E5"/>
    <w:rsid w:val="0091001E"/>
    <w:rsid w:val="00914CC5"/>
    <w:rsid w:val="009210C6"/>
    <w:rsid w:val="00934408"/>
    <w:rsid w:val="00935CFC"/>
    <w:rsid w:val="00943DC3"/>
    <w:rsid w:val="009568E1"/>
    <w:rsid w:val="00963254"/>
    <w:rsid w:val="00964B0D"/>
    <w:rsid w:val="0096737E"/>
    <w:rsid w:val="0097796B"/>
    <w:rsid w:val="00977F66"/>
    <w:rsid w:val="00984483"/>
    <w:rsid w:val="00986F67"/>
    <w:rsid w:val="009A57FC"/>
    <w:rsid w:val="009A7313"/>
    <w:rsid w:val="009B6CB6"/>
    <w:rsid w:val="009C6A67"/>
    <w:rsid w:val="009E7FB9"/>
    <w:rsid w:val="009F3FBB"/>
    <w:rsid w:val="009F4BBF"/>
    <w:rsid w:val="00A03BA2"/>
    <w:rsid w:val="00A03CA8"/>
    <w:rsid w:val="00A12DA3"/>
    <w:rsid w:val="00A24D14"/>
    <w:rsid w:val="00A2576A"/>
    <w:rsid w:val="00A27C06"/>
    <w:rsid w:val="00A31AE4"/>
    <w:rsid w:val="00A33ECA"/>
    <w:rsid w:val="00A41300"/>
    <w:rsid w:val="00A446C5"/>
    <w:rsid w:val="00A5276E"/>
    <w:rsid w:val="00A55535"/>
    <w:rsid w:val="00A615C9"/>
    <w:rsid w:val="00A651B0"/>
    <w:rsid w:val="00A65C08"/>
    <w:rsid w:val="00A70522"/>
    <w:rsid w:val="00A7509E"/>
    <w:rsid w:val="00A82459"/>
    <w:rsid w:val="00A87EE6"/>
    <w:rsid w:val="00AB23BC"/>
    <w:rsid w:val="00AC089E"/>
    <w:rsid w:val="00AD3E6A"/>
    <w:rsid w:val="00AE2703"/>
    <w:rsid w:val="00AF02D7"/>
    <w:rsid w:val="00AF7935"/>
    <w:rsid w:val="00B01212"/>
    <w:rsid w:val="00B24673"/>
    <w:rsid w:val="00B42A6A"/>
    <w:rsid w:val="00B42F5E"/>
    <w:rsid w:val="00B66E6A"/>
    <w:rsid w:val="00B71500"/>
    <w:rsid w:val="00B972D7"/>
    <w:rsid w:val="00BA2BD4"/>
    <w:rsid w:val="00BB4EEE"/>
    <w:rsid w:val="00BC1C56"/>
    <w:rsid w:val="00BC2283"/>
    <w:rsid w:val="00BC3566"/>
    <w:rsid w:val="00BC3E15"/>
    <w:rsid w:val="00BC43BE"/>
    <w:rsid w:val="00BC5BC2"/>
    <w:rsid w:val="00BD144C"/>
    <w:rsid w:val="00BD3224"/>
    <w:rsid w:val="00BE10C2"/>
    <w:rsid w:val="00C00627"/>
    <w:rsid w:val="00C014A3"/>
    <w:rsid w:val="00C10025"/>
    <w:rsid w:val="00C11AF6"/>
    <w:rsid w:val="00C16B18"/>
    <w:rsid w:val="00C20CE9"/>
    <w:rsid w:val="00C255B6"/>
    <w:rsid w:val="00C31729"/>
    <w:rsid w:val="00C511C1"/>
    <w:rsid w:val="00C51CE0"/>
    <w:rsid w:val="00C548F8"/>
    <w:rsid w:val="00C56F5F"/>
    <w:rsid w:val="00C71216"/>
    <w:rsid w:val="00CA47AB"/>
    <w:rsid w:val="00CB4BB1"/>
    <w:rsid w:val="00CB65AD"/>
    <w:rsid w:val="00CC3566"/>
    <w:rsid w:val="00CD240F"/>
    <w:rsid w:val="00CF09E5"/>
    <w:rsid w:val="00CF6054"/>
    <w:rsid w:val="00D075A6"/>
    <w:rsid w:val="00D11282"/>
    <w:rsid w:val="00D146FE"/>
    <w:rsid w:val="00D26DFB"/>
    <w:rsid w:val="00D40346"/>
    <w:rsid w:val="00D91324"/>
    <w:rsid w:val="00D925CA"/>
    <w:rsid w:val="00DA4028"/>
    <w:rsid w:val="00DC2C85"/>
    <w:rsid w:val="00DC4BA7"/>
    <w:rsid w:val="00DC6B7A"/>
    <w:rsid w:val="00DD243E"/>
    <w:rsid w:val="00DD3D21"/>
    <w:rsid w:val="00DE6EA9"/>
    <w:rsid w:val="00DF565B"/>
    <w:rsid w:val="00DF755C"/>
    <w:rsid w:val="00E06889"/>
    <w:rsid w:val="00E12428"/>
    <w:rsid w:val="00E131D8"/>
    <w:rsid w:val="00E17104"/>
    <w:rsid w:val="00E17353"/>
    <w:rsid w:val="00E24BB1"/>
    <w:rsid w:val="00E35E24"/>
    <w:rsid w:val="00E46299"/>
    <w:rsid w:val="00E51307"/>
    <w:rsid w:val="00E56F04"/>
    <w:rsid w:val="00E57DCB"/>
    <w:rsid w:val="00E744D6"/>
    <w:rsid w:val="00E8066C"/>
    <w:rsid w:val="00E846DE"/>
    <w:rsid w:val="00E9407B"/>
    <w:rsid w:val="00EA42DC"/>
    <w:rsid w:val="00EA56A5"/>
    <w:rsid w:val="00EC1CBB"/>
    <w:rsid w:val="00EC20BC"/>
    <w:rsid w:val="00EC3E1E"/>
    <w:rsid w:val="00EC68D2"/>
    <w:rsid w:val="00EE6009"/>
    <w:rsid w:val="00EF5818"/>
    <w:rsid w:val="00EF5F19"/>
    <w:rsid w:val="00F06E1A"/>
    <w:rsid w:val="00F11CCE"/>
    <w:rsid w:val="00F15C71"/>
    <w:rsid w:val="00F17B68"/>
    <w:rsid w:val="00F506B2"/>
    <w:rsid w:val="00F523CC"/>
    <w:rsid w:val="00F55C6F"/>
    <w:rsid w:val="00F569BD"/>
    <w:rsid w:val="00F751EE"/>
    <w:rsid w:val="00FA0B2E"/>
    <w:rsid w:val="00FA3130"/>
    <w:rsid w:val="00FA67E0"/>
    <w:rsid w:val="00FC0886"/>
    <w:rsid w:val="00FC392C"/>
    <w:rsid w:val="00FC6319"/>
    <w:rsid w:val="00FD1707"/>
    <w:rsid w:val="00FD23B1"/>
    <w:rsid w:val="00FD74AE"/>
    <w:rsid w:val="00FD7E3B"/>
    <w:rsid w:val="00FE5A85"/>
    <w:rsid w:val="00FF339A"/>
    <w:rsid w:val="00FF57AC"/>
    <w:rsid w:val="00FF7FA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colormru v:ext="edit" colors="#024182"/>
    </o:shapedefaults>
    <o:shapelayout v:ext="edit">
      <o:idmap v:ext="edit" data="1"/>
    </o:shapelayout>
  </w:shapeDefaults>
  <w:decimalSymbol w:val=","/>
  <w:listSeparator w:val=";"/>
  <w14:docId w14:val="0EC7D3A7"/>
  <w15:docId w15:val="{78199B3E-ABC5-46E5-99F7-B9956E167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AF02D7"/>
    <w:rPr>
      <w:rFonts w:ascii="Tahoma" w:hAnsi="Tahoma" w:cs="Tahoma"/>
      <w:sz w:val="16"/>
      <w:szCs w:val="16"/>
    </w:rPr>
  </w:style>
  <w:style w:type="character" w:customStyle="1" w:styleId="BalloonTextChar">
    <w:name w:val="Balloon Text Char"/>
    <w:basedOn w:val="DefaultParagraphFont"/>
    <w:link w:val="BalloonText"/>
    <w:rsid w:val="00AF02D7"/>
    <w:rPr>
      <w:rFonts w:ascii="Tahoma" w:hAnsi="Tahoma" w:cs="Tahoma"/>
      <w:sz w:val="16"/>
      <w:szCs w:val="16"/>
    </w:rPr>
  </w:style>
  <w:style w:type="paragraph" w:styleId="ListParagraph">
    <w:name w:val="List Paragraph"/>
    <w:basedOn w:val="Normal"/>
    <w:uiPriority w:val="34"/>
    <w:qFormat/>
    <w:rsid w:val="004D2C9B"/>
    <w:pPr>
      <w:ind w:left="720"/>
      <w:contextualSpacing/>
    </w:pPr>
  </w:style>
  <w:style w:type="character" w:styleId="CommentReference">
    <w:name w:val="annotation reference"/>
    <w:basedOn w:val="DefaultParagraphFont"/>
    <w:uiPriority w:val="99"/>
    <w:unhideWhenUsed/>
    <w:rsid w:val="00795CD5"/>
    <w:rPr>
      <w:sz w:val="16"/>
      <w:szCs w:val="16"/>
    </w:rPr>
  </w:style>
  <w:style w:type="paragraph" w:styleId="CommentText">
    <w:name w:val="annotation text"/>
    <w:basedOn w:val="Normal"/>
    <w:link w:val="CommentTextChar"/>
    <w:uiPriority w:val="99"/>
    <w:semiHidden/>
    <w:unhideWhenUsed/>
    <w:rsid w:val="00795CD5"/>
    <w:rPr>
      <w:sz w:val="20"/>
      <w:szCs w:val="20"/>
    </w:rPr>
  </w:style>
  <w:style w:type="character" w:customStyle="1" w:styleId="CommentTextChar">
    <w:name w:val="Comment Text Char"/>
    <w:basedOn w:val="DefaultParagraphFont"/>
    <w:link w:val="CommentText"/>
    <w:semiHidden/>
    <w:rsid w:val="00795CD5"/>
  </w:style>
  <w:style w:type="paragraph" w:styleId="CommentSubject">
    <w:name w:val="annotation subject"/>
    <w:basedOn w:val="CommentText"/>
    <w:next w:val="CommentText"/>
    <w:link w:val="CommentSubjectChar"/>
    <w:semiHidden/>
    <w:unhideWhenUsed/>
    <w:rsid w:val="00795CD5"/>
    <w:rPr>
      <w:b/>
      <w:bCs/>
    </w:rPr>
  </w:style>
  <w:style w:type="character" w:customStyle="1" w:styleId="CommentSubjectChar">
    <w:name w:val="Comment Subject Char"/>
    <w:basedOn w:val="CommentTextChar"/>
    <w:link w:val="CommentSubject"/>
    <w:semiHidden/>
    <w:rsid w:val="00795CD5"/>
    <w:rPr>
      <w:b/>
      <w:bCs/>
    </w:rPr>
  </w:style>
  <w:style w:type="numbering" w:customStyle="1" w:styleId="Style1">
    <w:name w:val="Style1"/>
    <w:uiPriority w:val="99"/>
    <w:rsid w:val="00F17B68"/>
    <w:pPr>
      <w:numPr>
        <w:numId w:val="5"/>
      </w:numPr>
    </w:pPr>
  </w:style>
  <w:style w:type="numbering" w:customStyle="1" w:styleId="Style2">
    <w:name w:val="Style2"/>
    <w:uiPriority w:val="99"/>
    <w:rsid w:val="00F17B68"/>
    <w:pPr>
      <w:numPr>
        <w:numId w:val="6"/>
      </w:numPr>
    </w:pPr>
  </w:style>
  <w:style w:type="paragraph" w:styleId="NormalWeb">
    <w:name w:val="Normal (Web)"/>
    <w:basedOn w:val="Normal"/>
    <w:uiPriority w:val="99"/>
    <w:semiHidden/>
    <w:unhideWhenUsed/>
    <w:rsid w:val="002709D4"/>
    <w:pPr>
      <w:spacing w:before="100" w:beforeAutospacing="1" w:after="100" w:afterAutospacing="1"/>
    </w:pPr>
    <w:rPr>
      <w:lang w:val="en-US" w:eastAsia="en-US"/>
    </w:rPr>
  </w:style>
  <w:style w:type="paragraph" w:styleId="FootnoteText">
    <w:name w:val="footnote text"/>
    <w:basedOn w:val="Normal"/>
    <w:link w:val="FootnoteTextChar"/>
    <w:uiPriority w:val="99"/>
    <w:unhideWhenUsed/>
    <w:rsid w:val="004F2A44"/>
    <w:rPr>
      <w:sz w:val="20"/>
      <w:szCs w:val="20"/>
    </w:rPr>
  </w:style>
  <w:style w:type="character" w:customStyle="1" w:styleId="FootnoteTextChar">
    <w:name w:val="Footnote Text Char"/>
    <w:basedOn w:val="DefaultParagraphFont"/>
    <w:link w:val="FootnoteText"/>
    <w:uiPriority w:val="99"/>
    <w:rsid w:val="004F2A44"/>
  </w:style>
  <w:style w:type="character" w:styleId="FootnoteReference">
    <w:name w:val="footnote reference"/>
    <w:aliases w:val="Footnote Reference Superscript,Ref,de nota al pie,FC,Appel note de bas de p,referencia nota al pie,Footnote symbol,Texto de nota al pie,Footnotes refss,Appel note de bas de page,fr,o,Style 6,Style 12,(NECG) Footnote Reference,Nota"/>
    <w:basedOn w:val="DefaultParagraphFont"/>
    <w:uiPriority w:val="99"/>
    <w:unhideWhenUsed/>
    <w:qFormat/>
    <w:rsid w:val="004F2A44"/>
    <w:rPr>
      <w:vertAlign w:val="superscript"/>
    </w:rPr>
  </w:style>
  <w:style w:type="paragraph" w:styleId="Revision">
    <w:name w:val="Revision"/>
    <w:hidden/>
    <w:uiPriority w:val="99"/>
    <w:semiHidden/>
    <w:rsid w:val="008638F5"/>
    <w:rPr>
      <w:sz w:val="24"/>
      <w:szCs w:val="24"/>
    </w:rPr>
  </w:style>
  <w:style w:type="paragraph" w:styleId="Caption">
    <w:name w:val="caption"/>
    <w:basedOn w:val="Normal"/>
    <w:next w:val="Normal"/>
    <w:link w:val="CaptionChar"/>
    <w:uiPriority w:val="35"/>
    <w:unhideWhenUsed/>
    <w:qFormat/>
    <w:rsid w:val="001C685D"/>
    <w:pPr>
      <w:spacing w:after="200"/>
    </w:pPr>
    <w:rPr>
      <w:i/>
      <w:iCs/>
      <w:color w:val="1F497D" w:themeColor="text2"/>
      <w:sz w:val="18"/>
      <w:szCs w:val="18"/>
    </w:rPr>
  </w:style>
  <w:style w:type="character" w:customStyle="1" w:styleId="CaptionChar">
    <w:name w:val="Caption Char"/>
    <w:link w:val="Caption"/>
    <w:rsid w:val="00E56F04"/>
    <w:rPr>
      <w:i/>
      <w:iCs/>
      <w:color w:val="1F497D" w:themeColor="text2"/>
      <w:sz w:val="18"/>
      <w:szCs w:val="18"/>
    </w:rPr>
  </w:style>
  <w:style w:type="table" w:customStyle="1" w:styleId="TableGrid31">
    <w:name w:val="Table Grid31"/>
    <w:basedOn w:val="TableNormal"/>
    <w:next w:val="TableGrid"/>
    <w:uiPriority w:val="39"/>
    <w:rsid w:val="00CC3566"/>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rsid w:val="006D6631"/>
    <w:rPr>
      <w:rFonts w:ascii="Calibri" w:hAnsi="Calibri"/>
      <w:color w:val="024182"/>
      <w:sz w:val="16"/>
      <w:szCs w:val="24"/>
    </w:rPr>
  </w:style>
  <w:style w:type="character" w:customStyle="1" w:styleId="FooterChar">
    <w:name w:val="Footer Char"/>
    <w:basedOn w:val="DefaultParagraphFont"/>
    <w:link w:val="Footer"/>
    <w:uiPriority w:val="99"/>
    <w:rsid w:val="006D6631"/>
    <w:rPr>
      <w:rFonts w:ascii="Calibri" w:hAnsi="Calibri"/>
      <w:color w:val="024182"/>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1946149">
      <w:bodyDiv w:val="1"/>
      <w:marLeft w:val="0"/>
      <w:marRight w:val="0"/>
      <w:marTop w:val="0"/>
      <w:marBottom w:val="0"/>
      <w:divBdr>
        <w:top w:val="none" w:sz="0" w:space="0" w:color="auto"/>
        <w:left w:val="none" w:sz="0" w:space="0" w:color="auto"/>
        <w:bottom w:val="none" w:sz="0" w:space="0" w:color="auto"/>
        <w:right w:val="none" w:sz="0" w:space="0" w:color="auto"/>
      </w:divBdr>
    </w:div>
    <w:div w:id="1396512465">
      <w:bodyDiv w:val="1"/>
      <w:marLeft w:val="0"/>
      <w:marRight w:val="0"/>
      <w:marTop w:val="0"/>
      <w:marBottom w:val="0"/>
      <w:divBdr>
        <w:top w:val="none" w:sz="0" w:space="0" w:color="auto"/>
        <w:left w:val="none" w:sz="0" w:space="0" w:color="auto"/>
        <w:bottom w:val="none" w:sz="0" w:space="0" w:color="auto"/>
        <w:right w:val="none" w:sz="0" w:space="0" w:color="auto"/>
      </w:divBdr>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3.xm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4.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Chart%20in%20Microsoft%20PowerPoint"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maloprodaja!$F$79</c:f>
              <c:strCache>
                <c:ptCount val="1"/>
                <c:pt idx="0">
                  <c:v>HT grupa</c:v>
                </c:pt>
              </c:strCache>
            </c:strRef>
          </c:tx>
          <c:spPr>
            <a:solidFill>
              <a:srgbClr val="F715B6"/>
            </a:solidFill>
            <a:ln>
              <a:noFill/>
            </a:ln>
            <a:effectLst/>
          </c:spPr>
          <c:invertIfNegative val="0"/>
          <c:cat>
            <c:strRef>
              <c:f>maloprodaja!$E$80:$E$89</c:f>
              <c:strCache>
                <c:ptCount val="10"/>
                <c:pt idx="0">
                  <c:v>Q1 2021</c:v>
                </c:pt>
                <c:pt idx="1">
                  <c:v>Q2 2021</c:v>
                </c:pt>
                <c:pt idx="2">
                  <c:v>Q3 2021</c:v>
                </c:pt>
                <c:pt idx="3">
                  <c:v>Q4 2021</c:v>
                </c:pt>
                <c:pt idx="4">
                  <c:v>Q1 2022</c:v>
                </c:pt>
                <c:pt idx="5">
                  <c:v>Q2 2022</c:v>
                </c:pt>
                <c:pt idx="6">
                  <c:v>Q3 2022</c:v>
                </c:pt>
                <c:pt idx="7">
                  <c:v>Q4 2022</c:v>
                </c:pt>
                <c:pt idx="8">
                  <c:v>Q1 2023</c:v>
                </c:pt>
                <c:pt idx="9">
                  <c:v>Q2 2023</c:v>
                </c:pt>
              </c:strCache>
            </c:strRef>
          </c:cat>
          <c:val>
            <c:numRef>
              <c:f>maloprodaja!$F$80:$F$89</c:f>
              <c:numCache>
                <c:formatCode>General</c:formatCode>
                <c:ptCount val="10"/>
                <c:pt idx="0">
                  <c:v>629793</c:v>
                </c:pt>
                <c:pt idx="1">
                  <c:v>633796</c:v>
                </c:pt>
                <c:pt idx="2">
                  <c:v>636085</c:v>
                </c:pt>
                <c:pt idx="3">
                  <c:v>636814</c:v>
                </c:pt>
                <c:pt idx="4">
                  <c:v>666206</c:v>
                </c:pt>
                <c:pt idx="5">
                  <c:v>674653</c:v>
                </c:pt>
                <c:pt idx="6">
                  <c:v>679358</c:v>
                </c:pt>
                <c:pt idx="7">
                  <c:v>680198</c:v>
                </c:pt>
                <c:pt idx="8">
                  <c:v>679889</c:v>
                </c:pt>
                <c:pt idx="9">
                  <c:v>687075</c:v>
                </c:pt>
              </c:numCache>
            </c:numRef>
          </c:val>
          <c:extLst>
            <c:ext xmlns:c16="http://schemas.microsoft.com/office/drawing/2014/chart" uri="{C3380CC4-5D6E-409C-BE32-E72D297353CC}">
              <c16:uniqueId val="{00000000-25FB-4461-AFF5-5C38BC8C6096}"/>
            </c:ext>
          </c:extLst>
        </c:ser>
        <c:ser>
          <c:idx val="1"/>
          <c:order val="1"/>
          <c:tx>
            <c:strRef>
              <c:f>maloprodaja!$G$79</c:f>
              <c:strCache>
                <c:ptCount val="1"/>
                <c:pt idx="0">
                  <c:v>Alternativni operatori</c:v>
                </c:pt>
              </c:strCache>
            </c:strRef>
          </c:tx>
          <c:spPr>
            <a:solidFill>
              <a:srgbClr val="00B0F0"/>
            </a:solidFill>
            <a:ln>
              <a:noFill/>
            </a:ln>
            <a:effectLst/>
          </c:spPr>
          <c:invertIfNegative val="0"/>
          <c:cat>
            <c:strRef>
              <c:f>maloprodaja!$E$80:$E$89</c:f>
              <c:strCache>
                <c:ptCount val="10"/>
                <c:pt idx="0">
                  <c:v>Q1 2021</c:v>
                </c:pt>
                <c:pt idx="1">
                  <c:v>Q2 2021</c:v>
                </c:pt>
                <c:pt idx="2">
                  <c:v>Q3 2021</c:v>
                </c:pt>
                <c:pt idx="3">
                  <c:v>Q4 2021</c:v>
                </c:pt>
                <c:pt idx="4">
                  <c:v>Q1 2022</c:v>
                </c:pt>
                <c:pt idx="5">
                  <c:v>Q2 2022</c:v>
                </c:pt>
                <c:pt idx="6">
                  <c:v>Q3 2022</c:v>
                </c:pt>
                <c:pt idx="7">
                  <c:v>Q4 2022</c:v>
                </c:pt>
                <c:pt idx="8">
                  <c:v>Q1 2023</c:v>
                </c:pt>
                <c:pt idx="9">
                  <c:v>Q2 2023</c:v>
                </c:pt>
              </c:strCache>
            </c:strRef>
          </c:cat>
          <c:val>
            <c:numRef>
              <c:f>maloprodaja!$G$80:$G$89</c:f>
              <c:numCache>
                <c:formatCode>General</c:formatCode>
                <c:ptCount val="10"/>
                <c:pt idx="0">
                  <c:v>560804</c:v>
                </c:pt>
                <c:pt idx="1">
                  <c:v>570004</c:v>
                </c:pt>
                <c:pt idx="2">
                  <c:v>576366</c:v>
                </c:pt>
                <c:pt idx="3">
                  <c:v>581956</c:v>
                </c:pt>
                <c:pt idx="4">
                  <c:v>645122</c:v>
                </c:pt>
                <c:pt idx="5">
                  <c:v>658541</c:v>
                </c:pt>
                <c:pt idx="6">
                  <c:v>657940</c:v>
                </c:pt>
                <c:pt idx="7">
                  <c:v>655975</c:v>
                </c:pt>
                <c:pt idx="8">
                  <c:v>658536</c:v>
                </c:pt>
                <c:pt idx="9">
                  <c:v>677306</c:v>
                </c:pt>
              </c:numCache>
            </c:numRef>
          </c:val>
          <c:extLst>
            <c:ext xmlns:c16="http://schemas.microsoft.com/office/drawing/2014/chart" uri="{C3380CC4-5D6E-409C-BE32-E72D297353CC}">
              <c16:uniqueId val="{00000001-25FB-4461-AFF5-5C38BC8C6096}"/>
            </c:ext>
          </c:extLst>
        </c:ser>
        <c:dLbls>
          <c:showLegendKey val="0"/>
          <c:showVal val="0"/>
          <c:showCatName val="0"/>
          <c:showSerName val="0"/>
          <c:showPercent val="0"/>
          <c:showBubbleSize val="0"/>
        </c:dLbls>
        <c:gapWidth val="150"/>
        <c:overlap val="100"/>
        <c:axId val="2037616319"/>
        <c:axId val="2037618399"/>
      </c:barChart>
      <c:lineChart>
        <c:grouping val="standard"/>
        <c:varyColors val="0"/>
        <c:ser>
          <c:idx val="2"/>
          <c:order val="2"/>
          <c:tx>
            <c:strRef>
              <c:f>maloprodaja!$H$79</c:f>
              <c:strCache>
                <c:ptCount val="1"/>
                <c:pt idx="0">
                  <c:v>Ukupno</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maloprodaja!$E$80:$E$89</c:f>
              <c:strCache>
                <c:ptCount val="10"/>
                <c:pt idx="0">
                  <c:v>Q1 2021</c:v>
                </c:pt>
                <c:pt idx="1">
                  <c:v>Q2 2021</c:v>
                </c:pt>
                <c:pt idx="2">
                  <c:v>Q3 2021</c:v>
                </c:pt>
                <c:pt idx="3">
                  <c:v>Q4 2021</c:v>
                </c:pt>
                <c:pt idx="4">
                  <c:v>Q1 2022</c:v>
                </c:pt>
                <c:pt idx="5">
                  <c:v>Q2 2022</c:v>
                </c:pt>
                <c:pt idx="6">
                  <c:v>Q3 2022</c:v>
                </c:pt>
                <c:pt idx="7">
                  <c:v>Q4 2022</c:v>
                </c:pt>
                <c:pt idx="8">
                  <c:v>Q1 2023</c:v>
                </c:pt>
                <c:pt idx="9">
                  <c:v>Q2 2023</c:v>
                </c:pt>
              </c:strCache>
            </c:strRef>
          </c:cat>
          <c:val>
            <c:numRef>
              <c:f>maloprodaja!$H$80:$H$89</c:f>
              <c:numCache>
                <c:formatCode>General</c:formatCode>
                <c:ptCount val="10"/>
                <c:pt idx="0">
                  <c:v>1190597</c:v>
                </c:pt>
                <c:pt idx="1">
                  <c:v>1203800</c:v>
                </c:pt>
                <c:pt idx="2">
                  <c:v>1212451</c:v>
                </c:pt>
                <c:pt idx="3">
                  <c:v>1218770</c:v>
                </c:pt>
                <c:pt idx="4">
                  <c:v>1311328</c:v>
                </c:pt>
                <c:pt idx="5">
                  <c:v>1333194</c:v>
                </c:pt>
                <c:pt idx="6">
                  <c:v>1337298</c:v>
                </c:pt>
                <c:pt idx="7">
                  <c:v>1336173</c:v>
                </c:pt>
                <c:pt idx="8">
                  <c:v>1338425</c:v>
                </c:pt>
                <c:pt idx="9">
                  <c:v>1364381</c:v>
                </c:pt>
              </c:numCache>
            </c:numRef>
          </c:val>
          <c:smooth val="0"/>
          <c:extLst>
            <c:ext xmlns:c16="http://schemas.microsoft.com/office/drawing/2014/chart" uri="{C3380CC4-5D6E-409C-BE32-E72D297353CC}">
              <c16:uniqueId val="{00000002-25FB-4461-AFF5-5C38BC8C6096}"/>
            </c:ext>
          </c:extLst>
        </c:ser>
        <c:dLbls>
          <c:showLegendKey val="0"/>
          <c:showVal val="0"/>
          <c:showCatName val="0"/>
          <c:showSerName val="0"/>
          <c:showPercent val="0"/>
          <c:showBubbleSize val="0"/>
        </c:dLbls>
        <c:marker val="1"/>
        <c:smooth val="0"/>
        <c:axId val="2037616319"/>
        <c:axId val="2037618399"/>
      </c:lineChart>
      <c:catAx>
        <c:axId val="20376163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crossAx val="2037618399"/>
        <c:crosses val="autoZero"/>
        <c:auto val="1"/>
        <c:lblAlgn val="ctr"/>
        <c:lblOffset val="100"/>
        <c:noMultiLvlLbl val="0"/>
      </c:catAx>
      <c:valAx>
        <c:axId val="20376183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crossAx val="2037616319"/>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'M1'!$C$4</c:f>
              <c:strCache>
                <c:ptCount val="1"/>
                <c:pt idx="0">
                  <c:v>LLU</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r-Latn-R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'M1'!$D$3:$H$3</c:f>
              <c:strCache>
                <c:ptCount val="5"/>
                <c:pt idx="0">
                  <c:v>Q12021</c:v>
                </c:pt>
                <c:pt idx="1">
                  <c:v>Q42021</c:v>
                </c:pt>
                <c:pt idx="2">
                  <c:v>Q12022</c:v>
                </c:pt>
                <c:pt idx="3">
                  <c:v>Q42022</c:v>
                </c:pt>
                <c:pt idx="4">
                  <c:v>Q22023</c:v>
                </c:pt>
              </c:strCache>
            </c:strRef>
          </c:cat>
          <c:val>
            <c:numRef>
              <c:f>'M1'!$D$4:$H$4</c:f>
              <c:numCache>
                <c:formatCode>General</c:formatCode>
                <c:ptCount val="5"/>
                <c:pt idx="0">
                  <c:v>70103</c:v>
                </c:pt>
                <c:pt idx="1">
                  <c:v>62406</c:v>
                </c:pt>
                <c:pt idx="2">
                  <c:v>59784</c:v>
                </c:pt>
                <c:pt idx="3">
                  <c:v>55878</c:v>
                </c:pt>
                <c:pt idx="4">
                  <c:v>44174</c:v>
                </c:pt>
              </c:numCache>
            </c:numRef>
          </c:val>
          <c:extLst>
            <c:ext xmlns:c16="http://schemas.microsoft.com/office/drawing/2014/chart" uri="{C3380CC4-5D6E-409C-BE32-E72D297353CC}">
              <c16:uniqueId val="{00000000-4D47-40C8-9E9C-44861B5A8513}"/>
            </c:ext>
          </c:extLst>
        </c:ser>
        <c:ser>
          <c:idx val="1"/>
          <c:order val="1"/>
          <c:tx>
            <c:strRef>
              <c:f>'M1'!$C$5</c:f>
              <c:strCache>
                <c:ptCount val="1"/>
                <c:pt idx="0">
                  <c:v>FA-PON*</c:v>
                </c:pt>
              </c:strCache>
            </c:strRef>
          </c:tx>
          <c:spPr>
            <a:solidFill>
              <a:schemeClr val="accent2"/>
            </a:solidFill>
            <a:ln>
              <a:noFill/>
            </a:ln>
            <a:effectLst/>
          </c:spPr>
          <c:invertIfNegative val="0"/>
          <c:dLbls>
            <c:dLbl>
              <c:idx val="0"/>
              <c:layout/>
              <c:tx>
                <c:rich>
                  <a:bodyPr/>
                  <a:lstStyle/>
                  <a:p>
                    <a:r>
                      <a:rPr lang="en-US"/>
                      <a:t>N/A</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4D47-40C8-9E9C-44861B5A851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r-Latn-R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'M1'!$D$3:$H$3</c:f>
              <c:strCache>
                <c:ptCount val="5"/>
                <c:pt idx="0">
                  <c:v>Q12021</c:v>
                </c:pt>
                <c:pt idx="1">
                  <c:v>Q42021</c:v>
                </c:pt>
                <c:pt idx="2">
                  <c:v>Q12022</c:v>
                </c:pt>
                <c:pt idx="3">
                  <c:v>Q42022</c:v>
                </c:pt>
                <c:pt idx="4">
                  <c:v>Q22023</c:v>
                </c:pt>
              </c:strCache>
            </c:strRef>
          </c:cat>
          <c:val>
            <c:numRef>
              <c:f>'M1'!$D$5:$H$5</c:f>
              <c:numCache>
                <c:formatCode>General</c:formatCode>
                <c:ptCount val="5"/>
                <c:pt idx="0">
                  <c:v>0</c:v>
                </c:pt>
                <c:pt idx="1">
                  <c:v>278</c:v>
                </c:pt>
                <c:pt idx="2">
                  <c:v>473</c:v>
                </c:pt>
                <c:pt idx="3">
                  <c:v>1236</c:v>
                </c:pt>
                <c:pt idx="4">
                  <c:v>1874</c:v>
                </c:pt>
              </c:numCache>
            </c:numRef>
          </c:val>
          <c:extLst>
            <c:ext xmlns:c16="http://schemas.microsoft.com/office/drawing/2014/chart" uri="{C3380CC4-5D6E-409C-BE32-E72D297353CC}">
              <c16:uniqueId val="{00000002-4D47-40C8-9E9C-44861B5A8513}"/>
            </c:ext>
          </c:extLst>
        </c:ser>
        <c:dLbls>
          <c:dLblPos val="outEnd"/>
          <c:showLegendKey val="0"/>
          <c:showVal val="1"/>
          <c:showCatName val="0"/>
          <c:showSerName val="0"/>
          <c:showPercent val="0"/>
          <c:showBubbleSize val="0"/>
        </c:dLbls>
        <c:gapWidth val="150"/>
        <c:axId val="1825244240"/>
        <c:axId val="745902976"/>
      </c:barChart>
      <c:catAx>
        <c:axId val="1825244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crossAx val="745902976"/>
        <c:crosses val="autoZero"/>
        <c:auto val="1"/>
        <c:lblAlgn val="ctr"/>
        <c:lblOffset val="100"/>
        <c:noMultiLvlLbl val="0"/>
      </c:catAx>
      <c:valAx>
        <c:axId val="745902976"/>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crossAx val="1825244240"/>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'[Chart in Microsoft PowerPoint]Sheet1'!$V$17</c:f>
              <c:strCache>
                <c:ptCount val="1"/>
                <c:pt idx="0">
                  <c:v>Nepokretna mreža-ukupno</c:v>
                </c:pt>
              </c:strCache>
            </c:strRef>
          </c:tx>
          <c:spPr>
            <a:ln w="28575" cap="rnd">
              <a:solidFill>
                <a:schemeClr val="accent1"/>
              </a:solidFill>
              <a:round/>
            </a:ln>
            <a:effectLst/>
          </c:spPr>
          <c:marker>
            <c:symbol val="none"/>
          </c:marker>
          <c:cat>
            <c:numRef>
              <c:f>'[Chart in Microsoft PowerPoint]Sheet1'!$W$16:$AB$16</c:f>
              <c:numCache>
                <c:formatCode>General</c:formatCode>
                <c:ptCount val="3"/>
                <c:pt idx="0">
                  <c:v>2020</c:v>
                </c:pt>
                <c:pt idx="1">
                  <c:v>2021</c:v>
                </c:pt>
                <c:pt idx="2">
                  <c:v>2022</c:v>
                </c:pt>
              </c:numCache>
              <c:extLst/>
            </c:numRef>
          </c:cat>
          <c:val>
            <c:numRef>
              <c:f>'[Chart in Microsoft PowerPoint]Sheet1'!$W$17:$AB$17</c:f>
              <c:numCache>
                <c:formatCode>General</c:formatCode>
                <c:ptCount val="3"/>
                <c:pt idx="0">
                  <c:v>101</c:v>
                </c:pt>
                <c:pt idx="1">
                  <c:v>144</c:v>
                </c:pt>
                <c:pt idx="2">
                  <c:v>162</c:v>
                </c:pt>
              </c:numCache>
              <c:extLst/>
            </c:numRef>
          </c:val>
          <c:smooth val="0"/>
          <c:extLst>
            <c:ext xmlns:c16="http://schemas.microsoft.com/office/drawing/2014/chart" uri="{C3380CC4-5D6E-409C-BE32-E72D297353CC}">
              <c16:uniqueId val="{00000000-74A5-413A-9F4E-9070CEAB6A99}"/>
            </c:ext>
          </c:extLst>
        </c:ser>
        <c:ser>
          <c:idx val="1"/>
          <c:order val="1"/>
          <c:tx>
            <c:strRef>
              <c:f>'[Chart in Microsoft PowerPoint]Sheet1'!$V$18</c:f>
              <c:strCache>
                <c:ptCount val="1"/>
                <c:pt idx="0">
                  <c:v>VHCN</c:v>
                </c:pt>
              </c:strCache>
            </c:strRef>
          </c:tx>
          <c:spPr>
            <a:ln w="28575" cap="rnd">
              <a:solidFill>
                <a:schemeClr val="accent2"/>
              </a:solidFill>
              <a:round/>
            </a:ln>
            <a:effectLst/>
          </c:spPr>
          <c:marker>
            <c:symbol val="none"/>
          </c:marker>
          <c:cat>
            <c:numRef>
              <c:f>'[Chart in Microsoft PowerPoint]Sheet1'!$W$16:$AB$16</c:f>
              <c:numCache>
                <c:formatCode>General</c:formatCode>
                <c:ptCount val="3"/>
                <c:pt idx="0">
                  <c:v>2020</c:v>
                </c:pt>
                <c:pt idx="1">
                  <c:v>2021</c:v>
                </c:pt>
                <c:pt idx="2">
                  <c:v>2022</c:v>
                </c:pt>
              </c:numCache>
              <c:extLst/>
            </c:numRef>
          </c:cat>
          <c:val>
            <c:numRef>
              <c:f>'[Chart in Microsoft PowerPoint]Sheet1'!$W$18:$AB$18</c:f>
              <c:numCache>
                <c:formatCode>General</c:formatCode>
                <c:ptCount val="3"/>
                <c:pt idx="0">
                  <c:v>38</c:v>
                </c:pt>
                <c:pt idx="1">
                  <c:v>82</c:v>
                </c:pt>
                <c:pt idx="2">
                  <c:v>95</c:v>
                </c:pt>
              </c:numCache>
              <c:extLst/>
            </c:numRef>
          </c:val>
          <c:smooth val="0"/>
          <c:extLst>
            <c:ext xmlns:c16="http://schemas.microsoft.com/office/drawing/2014/chart" uri="{C3380CC4-5D6E-409C-BE32-E72D297353CC}">
              <c16:uniqueId val="{00000001-74A5-413A-9F4E-9070CEAB6A99}"/>
            </c:ext>
          </c:extLst>
        </c:ser>
        <c:dLbls>
          <c:showLegendKey val="0"/>
          <c:showVal val="0"/>
          <c:showCatName val="0"/>
          <c:showSerName val="0"/>
          <c:showPercent val="0"/>
          <c:showBubbleSize val="0"/>
        </c:dLbls>
        <c:smooth val="0"/>
        <c:axId val="1979908175"/>
        <c:axId val="1979909839"/>
      </c:lineChart>
      <c:catAx>
        <c:axId val="19799081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crossAx val="1979909839"/>
        <c:crosses val="autoZero"/>
        <c:auto val="1"/>
        <c:lblAlgn val="ctr"/>
        <c:lblOffset val="100"/>
        <c:noMultiLvlLbl val="0"/>
      </c:catAx>
      <c:valAx>
        <c:axId val="197990983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hr-HR">
                    <a:latin typeface="Times New Roman" panose="02020603050405020304" pitchFamily="18" charset="0"/>
                    <a:cs typeface="Times New Roman" panose="02020603050405020304" pitchFamily="18" charset="0"/>
                  </a:rPr>
                  <a:t>Ulaganja</a:t>
                </a:r>
                <a:r>
                  <a:rPr lang="hr-HR" baseline="0">
                    <a:latin typeface="Times New Roman" panose="02020603050405020304" pitchFamily="18" charset="0"/>
                    <a:cs typeface="Times New Roman" panose="02020603050405020304" pitchFamily="18" charset="0"/>
                  </a:rPr>
                  <a:t> u milijunima EUR</a:t>
                </a:r>
                <a:endParaRPr lang="hr-HR">
                  <a:latin typeface="Times New Roman" panose="02020603050405020304" pitchFamily="18" charset="0"/>
                  <a:cs typeface="Times New Roman" panose="02020603050405020304" pitchFamily="18" charset="0"/>
                </a:endParaRP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crossAx val="1979908175"/>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'[Chart in Microsoft PowerPoint]Sheet1'!$I$21</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r-Latn-R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'[Chart in Microsoft PowerPoint]Sheet1'!$J$20:$M$20</c:f>
              <c:numCache>
                <c:formatCode>General</c:formatCode>
                <c:ptCount val="4"/>
                <c:pt idx="0">
                  <c:v>2019</c:v>
                </c:pt>
                <c:pt idx="1">
                  <c:v>2020</c:v>
                </c:pt>
                <c:pt idx="2">
                  <c:v>2021</c:v>
                </c:pt>
                <c:pt idx="3">
                  <c:v>2022</c:v>
                </c:pt>
              </c:numCache>
            </c:numRef>
          </c:cat>
          <c:val>
            <c:numRef>
              <c:f>'[Chart in Microsoft PowerPoint]Sheet1'!$J$21:$M$21</c:f>
              <c:numCache>
                <c:formatCode>0.00%</c:formatCode>
                <c:ptCount val="4"/>
                <c:pt idx="0">
                  <c:v>0.43217245745342969</c:v>
                </c:pt>
                <c:pt idx="1">
                  <c:v>0.46511561298376536</c:v>
                </c:pt>
                <c:pt idx="2">
                  <c:v>0.51696200998177178</c:v>
                </c:pt>
                <c:pt idx="3">
                  <c:v>0.61476106074954073</c:v>
                </c:pt>
              </c:numCache>
            </c:numRef>
          </c:val>
          <c:extLst>
            <c:ext xmlns:c16="http://schemas.microsoft.com/office/drawing/2014/chart" uri="{C3380CC4-5D6E-409C-BE32-E72D297353CC}">
              <c16:uniqueId val="{00000000-6511-4C33-BFE3-A4A8705421C5}"/>
            </c:ext>
          </c:extLst>
        </c:ser>
        <c:ser>
          <c:idx val="1"/>
          <c:order val="1"/>
          <c:tx>
            <c:strRef>
              <c:f>'[Chart in Microsoft PowerPoint]Sheet1'!$I$22</c:f>
              <c:strCache>
                <c:ptCount val="1"/>
                <c:pt idx="0">
                  <c:v>Rural</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r-Latn-R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'[Chart in Microsoft PowerPoint]Sheet1'!$J$20:$M$20</c:f>
              <c:numCache>
                <c:formatCode>General</c:formatCode>
                <c:ptCount val="4"/>
                <c:pt idx="0">
                  <c:v>2019</c:v>
                </c:pt>
                <c:pt idx="1">
                  <c:v>2020</c:v>
                </c:pt>
                <c:pt idx="2">
                  <c:v>2021</c:v>
                </c:pt>
                <c:pt idx="3">
                  <c:v>2022</c:v>
                </c:pt>
              </c:numCache>
            </c:numRef>
          </c:cat>
          <c:val>
            <c:numRef>
              <c:f>'[Chart in Microsoft PowerPoint]Sheet1'!$J$22:$M$22</c:f>
              <c:numCache>
                <c:formatCode>0.00%</c:formatCode>
                <c:ptCount val="4"/>
                <c:pt idx="0">
                  <c:v>9.5381752831014924E-2</c:v>
                </c:pt>
                <c:pt idx="1">
                  <c:v>0.1059116057903266</c:v>
                </c:pt>
                <c:pt idx="2">
                  <c:v>0.1402039248945825</c:v>
                </c:pt>
                <c:pt idx="3">
                  <c:v>0.19199290147230907</c:v>
                </c:pt>
              </c:numCache>
            </c:numRef>
          </c:val>
          <c:extLst>
            <c:ext xmlns:c16="http://schemas.microsoft.com/office/drawing/2014/chart" uri="{C3380CC4-5D6E-409C-BE32-E72D297353CC}">
              <c16:uniqueId val="{00000001-6511-4C33-BFE3-A4A8705421C5}"/>
            </c:ext>
          </c:extLst>
        </c:ser>
        <c:dLbls>
          <c:dLblPos val="outEnd"/>
          <c:showLegendKey val="0"/>
          <c:showVal val="1"/>
          <c:showCatName val="0"/>
          <c:showSerName val="0"/>
          <c:showPercent val="0"/>
          <c:showBubbleSize val="0"/>
        </c:dLbls>
        <c:gapWidth val="219"/>
        <c:overlap val="-27"/>
        <c:axId val="905180464"/>
        <c:axId val="905178384"/>
      </c:barChart>
      <c:catAx>
        <c:axId val="905180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crossAx val="905178384"/>
        <c:crosses val="autoZero"/>
        <c:auto val="1"/>
        <c:lblAlgn val="ctr"/>
        <c:lblOffset val="100"/>
        <c:noMultiLvlLbl val="0"/>
      </c:catAx>
      <c:valAx>
        <c:axId val="90517838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crossAx val="905180464"/>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legendEntry>
      <c:legendEntry>
        <c:idx val="1"/>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5666A3-FCF7-43B2-9553-FBAAAB389D5E}">
  <ds:schemaRefs>
    <ds:schemaRef ds:uri="http://schemas.microsoft.com/office/2006/metadata/properties"/>
    <ds:schemaRef ds:uri="http://schemas.openxmlformats.org/package/2006/metadata/core-properties"/>
    <ds:schemaRef ds:uri="http://www.w3.org/XML/1998/namespace"/>
    <ds:schemaRef ds:uri="http://schemas.microsoft.com/office/infopath/2007/PartnerControls"/>
    <ds:schemaRef ds:uri="http://schemas.microsoft.com/office/2006/documentManagement/types"/>
    <ds:schemaRef ds:uri="http://purl.org/dc/terms/"/>
    <ds:schemaRef ds:uri="f45d8b5b-b624-41fb-afb8-da03212d0f19"/>
    <ds:schemaRef ds:uri="http://purl.org/dc/dcmitype/"/>
    <ds:schemaRef ds:uri="http://purl.org/dc/elements/1.1/"/>
  </ds:schemaRefs>
</ds:datastoreItem>
</file>

<file path=customXml/itemProps2.xml><?xml version="1.0" encoding="utf-8"?>
<ds:datastoreItem xmlns:ds="http://schemas.openxmlformats.org/officeDocument/2006/customXml" ds:itemID="{0E21F885-87C8-419C-A7E2-6E6EF0AD4BFF}">
  <ds:schemaRefs>
    <ds:schemaRef ds:uri="http://schemas.microsoft.com/sharepoint/v3/contenttype/forms"/>
  </ds:schemaRefs>
</ds:datastoreItem>
</file>

<file path=customXml/itemProps3.xml><?xml version="1.0" encoding="utf-8"?>
<ds:datastoreItem xmlns:ds="http://schemas.openxmlformats.org/officeDocument/2006/customXml" ds:itemID="{1D60532D-22EE-4440-9FEC-C556C95DF6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709D3F7-48D5-489D-B6B5-6B20F364AF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4141</Words>
  <Characters>25220</Characters>
  <Application>Microsoft Office Word</Application>
  <DocSecurity>0</DocSecurity>
  <Lines>210</Lines>
  <Paragraphs>58</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Manager/>
  <Company>HAKOM</Company>
  <LinksUpToDate>false</LinksUpToDate>
  <CharactersWithSpaces>29303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Memorandum</dc:subject>
  <dc:creator>HAKOM</dc:creator>
  <cp:keywords>English version</cp:keywords>
  <cp:lastModifiedBy>Nataša Oliva Prgeša</cp:lastModifiedBy>
  <cp:revision>2</cp:revision>
  <cp:lastPrinted>2021-02-24T10:36:00Z</cp:lastPrinted>
  <dcterms:created xsi:type="dcterms:W3CDTF">2023-11-22T13:38:00Z</dcterms:created>
  <dcterms:modified xsi:type="dcterms:W3CDTF">2023-11-22T13:38:00Z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0x0101004FD06513E61F7742953E5F36630C0129</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