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65319" w14:textId="450998C0" w:rsidR="00CB4BB1" w:rsidRDefault="00CB4BB1" w:rsidP="00CB4BB1">
      <w:r>
        <w:t xml:space="preserve">KLASA: </w:t>
      </w:r>
      <w:r w:rsidR="00CF6054" w:rsidRPr="00CF6054">
        <w:t>UP/I-344-01/2</w:t>
      </w:r>
      <w:r w:rsidR="00092530">
        <w:t>3</w:t>
      </w:r>
      <w:r w:rsidR="00CF6054" w:rsidRPr="00CF6054">
        <w:t>-05/0</w:t>
      </w:r>
      <w:r w:rsidR="00D075A6">
        <w:t>5</w:t>
      </w:r>
    </w:p>
    <w:p w14:paraId="50AE9FB4" w14:textId="7A0FDE02" w:rsidR="00CB4BB1" w:rsidRDefault="00CB4BB1" w:rsidP="00CB4BB1">
      <w:r>
        <w:t xml:space="preserve">URBROJ: </w:t>
      </w:r>
      <w:r w:rsidR="008D5604">
        <w:t>376-05-1-</w:t>
      </w:r>
      <w:r w:rsidR="00092530">
        <w:t>2</w:t>
      </w:r>
      <w:r w:rsidR="008561D9">
        <w:t>4</w:t>
      </w:r>
      <w:r w:rsidR="00CF6054">
        <w:t>-</w:t>
      </w:r>
      <w:r w:rsidR="009C4AA6">
        <w:t>3</w:t>
      </w:r>
      <w:r w:rsidR="007E0D6A">
        <w:t>4</w:t>
      </w:r>
    </w:p>
    <w:p w14:paraId="56318A04" w14:textId="2D992B28" w:rsidR="00CB4BB1" w:rsidRDefault="00CB4BB1" w:rsidP="00CB4BB1">
      <w:pPr>
        <w:spacing w:after="240"/>
      </w:pPr>
      <w:r>
        <w:t>Zagreb,</w:t>
      </w:r>
      <w:r w:rsidR="009E7FB9">
        <w:t xml:space="preserve"> </w:t>
      </w:r>
      <w:r w:rsidR="0050076C">
        <w:t>29. svibnja</w:t>
      </w:r>
      <w:r w:rsidR="007C0336">
        <w:t xml:space="preserve"> </w:t>
      </w:r>
      <w:r w:rsidR="00726B17">
        <w:t>202</w:t>
      </w:r>
      <w:r w:rsidR="008561D9">
        <w:t>4</w:t>
      </w:r>
      <w:r w:rsidR="004A5506">
        <w:t>.</w:t>
      </w:r>
    </w:p>
    <w:p w14:paraId="48EBBF7C" w14:textId="77777777" w:rsidR="00263632" w:rsidRDefault="00263632" w:rsidP="000F79E0">
      <w:pPr>
        <w:jc w:val="both"/>
      </w:pPr>
    </w:p>
    <w:p w14:paraId="45889C2F" w14:textId="5CD8A110" w:rsidR="004A5506" w:rsidRPr="00A1065C" w:rsidRDefault="004A5506" w:rsidP="000F79E0">
      <w:pPr>
        <w:jc w:val="both"/>
      </w:pPr>
      <w:r w:rsidRPr="00C94C15">
        <w:t>Na temelju članka 1</w:t>
      </w:r>
      <w:r w:rsidR="007C0336">
        <w:t>6</w:t>
      </w:r>
      <w:r w:rsidRPr="00C94C15">
        <w:t xml:space="preserve">. stavka 1. točke </w:t>
      </w:r>
      <w:r w:rsidR="007C0336">
        <w:t>4</w:t>
      </w:r>
      <w:r w:rsidRPr="00C94C15">
        <w:t xml:space="preserve">. i članka </w:t>
      </w:r>
      <w:r w:rsidR="007C0336">
        <w:t>107</w:t>
      </w:r>
      <w:r w:rsidRPr="00C94C15">
        <w:t xml:space="preserve">. stavak </w:t>
      </w:r>
      <w:r w:rsidR="007C0336">
        <w:t>1</w:t>
      </w:r>
      <w:r w:rsidRPr="00C94C15">
        <w:t>. Zakona o elektroničkim komunikacijama (NN br.</w:t>
      </w:r>
      <w:r w:rsidR="00C20CE9">
        <w:t xml:space="preserve"> </w:t>
      </w:r>
      <w:r w:rsidR="007C0336">
        <w:t>76/22</w:t>
      </w:r>
      <w:r w:rsidR="009C4AA6">
        <w:t xml:space="preserve"> </w:t>
      </w:r>
      <w:r w:rsidR="009C4AA6" w:rsidRPr="00AA2CF3">
        <w:t>i 14/24</w:t>
      </w:r>
      <w:r w:rsidRPr="00C94C15">
        <w:t xml:space="preserve">) </w:t>
      </w:r>
      <w:r>
        <w:t xml:space="preserve">radi provođenja regulatorne obveze </w:t>
      </w:r>
      <w:r w:rsidRPr="006659A1">
        <w:t xml:space="preserve">nadzora cijena </w:t>
      </w:r>
      <w:r w:rsidR="006E0B9D" w:rsidRPr="006659A1">
        <w:t xml:space="preserve">na tržištu </w:t>
      </w:r>
      <w:r w:rsidR="006659A1" w:rsidRPr="006659A1">
        <w:t>veleprodajnog lo</w:t>
      </w:r>
      <w:r w:rsidR="006659A1">
        <w:t>kalnog pristupa koji se pruža na fiksnoj lokaciji</w:t>
      </w:r>
      <w:r w:rsidRPr="00953F5C">
        <w:t xml:space="preserve">, Vijeće Hrvatske </w:t>
      </w:r>
      <w:r>
        <w:t>regulatorne agencije za mrežne djelatnosti</w:t>
      </w:r>
      <w:r w:rsidRPr="00953F5C">
        <w:t xml:space="preserve"> je na sjednici održanoj</w:t>
      </w:r>
      <w:r w:rsidR="00D075A6">
        <w:t xml:space="preserve"> </w:t>
      </w:r>
      <w:r w:rsidR="00FD2517">
        <w:t>29. svibnja</w:t>
      </w:r>
      <w:r w:rsidR="007C0336">
        <w:t xml:space="preserve"> </w:t>
      </w:r>
      <w:r w:rsidR="00726B17" w:rsidRPr="00A1065C">
        <w:t>20</w:t>
      </w:r>
      <w:r w:rsidR="00726B17">
        <w:t>2</w:t>
      </w:r>
      <w:r w:rsidR="008561D9">
        <w:t>4</w:t>
      </w:r>
      <w:r w:rsidRPr="00A1065C">
        <w:t>.</w:t>
      </w:r>
      <w:r w:rsidRPr="00953F5C">
        <w:t xml:space="preserve"> donijelo</w:t>
      </w:r>
    </w:p>
    <w:p w14:paraId="24DCA406" w14:textId="171DC8F9" w:rsidR="004A5506" w:rsidRDefault="004A5506" w:rsidP="000F79E0">
      <w:pPr>
        <w:jc w:val="both"/>
        <w:rPr>
          <w:b/>
          <w:color w:val="000000"/>
        </w:rPr>
      </w:pPr>
    </w:p>
    <w:p w14:paraId="6CB3B286" w14:textId="77777777" w:rsidR="00263632" w:rsidRDefault="00263632" w:rsidP="000F79E0">
      <w:pPr>
        <w:jc w:val="both"/>
        <w:rPr>
          <w:b/>
          <w:color w:val="000000"/>
        </w:rPr>
      </w:pPr>
    </w:p>
    <w:p w14:paraId="3F8D31B4" w14:textId="77777777" w:rsidR="004A5506" w:rsidRDefault="004A5506" w:rsidP="000F79E0">
      <w:pPr>
        <w:jc w:val="center"/>
        <w:rPr>
          <w:b/>
          <w:color w:val="000000"/>
        </w:rPr>
      </w:pPr>
      <w:r>
        <w:rPr>
          <w:b/>
          <w:color w:val="000000"/>
        </w:rPr>
        <w:t>ODLUKU</w:t>
      </w:r>
    </w:p>
    <w:p w14:paraId="26B890B9" w14:textId="44D4B61E" w:rsidR="00CB4BB1" w:rsidRDefault="00CB4BB1" w:rsidP="000F79E0">
      <w:pPr>
        <w:jc w:val="both"/>
      </w:pPr>
    </w:p>
    <w:p w14:paraId="2F5B650E" w14:textId="77777777" w:rsidR="00263632" w:rsidRDefault="00263632" w:rsidP="000F79E0">
      <w:pPr>
        <w:jc w:val="both"/>
      </w:pPr>
    </w:p>
    <w:p w14:paraId="1194C3E1" w14:textId="16BA50FB" w:rsidR="000F79E0" w:rsidRDefault="00CF09E5" w:rsidP="006B1850">
      <w:pPr>
        <w:pStyle w:val="ListParagraph"/>
        <w:numPr>
          <w:ilvl w:val="0"/>
          <w:numId w:val="1"/>
        </w:numPr>
        <w:jc w:val="both"/>
      </w:pPr>
      <w:bookmarkStart w:id="0" w:name="_Ref53989237"/>
      <w:bookmarkStart w:id="1" w:name="_Ref53988858"/>
      <w:r w:rsidRPr="00A1065C">
        <w:t xml:space="preserve">Trgovačkom društvu Hrvatski Telekom d.d., Zagreb, </w:t>
      </w:r>
      <w:r w:rsidR="006B1850" w:rsidRPr="006B1850">
        <w:t>Radnička cesta 21</w:t>
      </w:r>
      <w:r w:rsidR="00F17B68">
        <w:t>,</w:t>
      </w:r>
      <w:r w:rsidR="00056A8A">
        <w:t xml:space="preserve"> OIB 81793146560</w:t>
      </w:r>
      <w:r w:rsidR="00F17B68">
        <w:t xml:space="preserve"> određuju</w:t>
      </w:r>
      <w:r w:rsidRPr="00A1065C">
        <w:t xml:space="preserve"> se </w:t>
      </w:r>
      <w:r w:rsidR="00F17B68">
        <w:t xml:space="preserve">cijene </w:t>
      </w:r>
      <w:r w:rsidR="00F17B68" w:rsidRPr="00F17B68">
        <w:t xml:space="preserve">na tržištu veleprodajnog lokalnog pristupa koji se pruža na fiksnoj lokaciji </w:t>
      </w:r>
      <w:r w:rsidR="000F79E0" w:rsidRPr="000F79E0">
        <w:t>kako slijedi, pri čemu definirane cijene predstavljaju najvišu razinu cijena</w:t>
      </w:r>
      <w:r w:rsidR="000F79E0">
        <w:t>:</w:t>
      </w:r>
      <w:bookmarkEnd w:id="0"/>
    </w:p>
    <w:bookmarkEnd w:id="1"/>
    <w:p w14:paraId="5658B67C" w14:textId="4493777D" w:rsidR="000F79E0" w:rsidRDefault="000F79E0" w:rsidP="00FD2517">
      <w:pPr>
        <w:jc w:val="both"/>
      </w:pPr>
    </w:p>
    <w:p w14:paraId="245D85FF" w14:textId="6258FCC1" w:rsidR="00F17B68" w:rsidRDefault="00FD2517" w:rsidP="009D2B49">
      <w:pPr>
        <w:pStyle w:val="ListParagraph"/>
        <w:numPr>
          <w:ilvl w:val="1"/>
          <w:numId w:val="1"/>
        </w:numPr>
        <w:jc w:val="both"/>
      </w:pPr>
      <w:r w:rsidRPr="00FD2517">
        <w:t>Određuje se</w:t>
      </w:r>
      <w:r>
        <w:rPr>
          <w:b/>
        </w:rPr>
        <w:t xml:space="preserve"> m</w:t>
      </w:r>
      <w:r w:rsidRPr="00FD2517">
        <w:rPr>
          <w:b/>
        </w:rPr>
        <w:t>jesečna naknada za najam prostora u distribucijskom čvoru za smještaj djelitelja - jedinica (RU) visine 44,45mm (unutarnji HT prostor)</w:t>
      </w:r>
      <w:r w:rsidRPr="00FD2517">
        <w:t xml:space="preserve"> koja s</w:t>
      </w:r>
      <w:r>
        <w:t>e naplaćuje pri pružanju usluge</w:t>
      </w:r>
      <w:r w:rsidR="00A70522" w:rsidRPr="00A70522">
        <w:t xml:space="preserve"> pristupa pasivnoj pristupnoj svjetlovodnoj mreži na lokaciji distribucijskog čvora (FA PON)</w:t>
      </w:r>
      <w:r w:rsidR="00F17B68" w:rsidRPr="00F17B68">
        <w:t xml:space="preserve"> </w:t>
      </w:r>
      <w:r w:rsidR="008014F3">
        <w:t>n</w:t>
      </w:r>
      <w:r w:rsidR="008014F3" w:rsidRPr="008014F3">
        <w:t xml:space="preserve">a tržištu veleprodajnog lokalnog pristupa velikog kapaciteta koji se pruža na fiksnoj lokaciji – nekonkurentna područja </w:t>
      </w:r>
      <w:r w:rsidR="000F79E0">
        <w:t xml:space="preserve">na način da </w:t>
      </w:r>
      <w:r w:rsidR="00F17B68" w:rsidRPr="00F17B68">
        <w:t xml:space="preserve">iznosi </w:t>
      </w:r>
      <w:r w:rsidR="009D2B49" w:rsidRPr="009D2B49">
        <w:rPr>
          <w:b/>
        </w:rPr>
        <w:t>4,</w:t>
      </w:r>
      <w:r w:rsidR="00287CEF">
        <w:rPr>
          <w:b/>
        </w:rPr>
        <w:t>03</w:t>
      </w:r>
      <w:r w:rsidR="009D2B49" w:rsidRPr="009D2B49">
        <w:rPr>
          <w:b/>
        </w:rPr>
        <w:t xml:space="preserve"> </w:t>
      </w:r>
      <w:r>
        <w:rPr>
          <w:b/>
        </w:rPr>
        <w:t>EUR/RU/mjesečno</w:t>
      </w:r>
      <w:r w:rsidR="00984483">
        <w:t>.</w:t>
      </w:r>
    </w:p>
    <w:p w14:paraId="2F773C25" w14:textId="77777777" w:rsidR="00FD2517" w:rsidRDefault="00FD2517" w:rsidP="00FD2517">
      <w:pPr>
        <w:pStyle w:val="ListParagraph"/>
        <w:ind w:left="792"/>
        <w:jc w:val="both"/>
      </w:pPr>
    </w:p>
    <w:p w14:paraId="32EA3E09" w14:textId="31B3B42A" w:rsidR="000F79E0" w:rsidRDefault="00FD2517" w:rsidP="002F12B7">
      <w:pPr>
        <w:pStyle w:val="ListParagraph"/>
        <w:numPr>
          <w:ilvl w:val="1"/>
          <w:numId w:val="1"/>
        </w:numPr>
        <w:jc w:val="both"/>
      </w:pPr>
      <w:r w:rsidRPr="00FD2517">
        <w:t>Određuje se</w:t>
      </w:r>
      <w:r>
        <w:rPr>
          <w:b/>
        </w:rPr>
        <w:t xml:space="preserve"> m</w:t>
      </w:r>
      <w:r w:rsidRPr="00FD2517">
        <w:rPr>
          <w:b/>
        </w:rPr>
        <w:t>jesečna naknada za najam prostora u distribucijskom čvoru za smještaj djelitelja - jedinica (RU) visine 44,45mm (vanjski HT kabinet i unutarnji unajmljeni prostor)</w:t>
      </w:r>
      <w:r w:rsidRPr="00FD2517">
        <w:t xml:space="preserve"> koja s</w:t>
      </w:r>
      <w:r>
        <w:t>e naplaćuje pri pružanju usluge</w:t>
      </w:r>
      <w:r w:rsidRPr="00A70522">
        <w:t xml:space="preserve"> pristupa pasivnoj pristupnoj svjetlovodnoj mreži na lokaciji distribucijskog čvora (FA PON)</w:t>
      </w:r>
      <w:r w:rsidRPr="00F17B68">
        <w:t xml:space="preserve"> </w:t>
      </w:r>
      <w:r>
        <w:t>n</w:t>
      </w:r>
      <w:r w:rsidRPr="008014F3">
        <w:t xml:space="preserve">a tržištu veleprodajnog lokalnog pristupa velikog kapaciteta koji se pruža na fiksnoj lokaciji – nekonkurentna područja </w:t>
      </w:r>
      <w:r>
        <w:t xml:space="preserve">na način da </w:t>
      </w:r>
      <w:r w:rsidRPr="00F17B68">
        <w:t xml:space="preserve">iznosi </w:t>
      </w:r>
      <w:r w:rsidR="002F12B7" w:rsidRPr="002F12B7">
        <w:rPr>
          <w:b/>
        </w:rPr>
        <w:t xml:space="preserve">6,16 </w:t>
      </w:r>
      <w:r>
        <w:rPr>
          <w:b/>
        </w:rPr>
        <w:t>EUR/RU/mjesečno</w:t>
      </w:r>
      <w:r>
        <w:t>.</w:t>
      </w:r>
    </w:p>
    <w:p w14:paraId="2D6A4B18" w14:textId="77777777" w:rsidR="002848D3" w:rsidRDefault="002848D3" w:rsidP="00A33ECA">
      <w:pPr>
        <w:ind w:left="84" w:firstLine="708"/>
        <w:contextualSpacing/>
        <w:jc w:val="both"/>
      </w:pPr>
    </w:p>
    <w:p w14:paraId="724851C8" w14:textId="5C02B979" w:rsidR="000F79E0" w:rsidRDefault="000F79E0" w:rsidP="00461F81">
      <w:pPr>
        <w:pStyle w:val="ListParagraph"/>
        <w:numPr>
          <w:ilvl w:val="0"/>
          <w:numId w:val="1"/>
        </w:numPr>
        <w:jc w:val="both"/>
      </w:pPr>
      <w:r>
        <w:t xml:space="preserve">Mjesečne naknade iz točke </w:t>
      </w:r>
      <w:r>
        <w:fldChar w:fldCharType="begin"/>
      </w:r>
      <w:r>
        <w:instrText xml:space="preserve"> REF _Ref53989237 \r \h  \* MERGEFORMAT </w:instrText>
      </w:r>
      <w:r>
        <w:fldChar w:fldCharType="separate"/>
      </w:r>
      <w:r w:rsidR="004E3197">
        <w:t>I</w:t>
      </w:r>
      <w:r>
        <w:fldChar w:fldCharType="end"/>
      </w:r>
      <w:r w:rsidR="00984483">
        <w:t>.</w:t>
      </w:r>
      <w:r w:rsidRPr="000F79E0">
        <w:t xml:space="preserve"> izreke ove odluke vrijede 3 (tri) godine od datuma početka njihove primjene.</w:t>
      </w:r>
    </w:p>
    <w:p w14:paraId="047B159B" w14:textId="77777777" w:rsidR="00461F81" w:rsidRPr="000F79E0" w:rsidRDefault="00461F81" w:rsidP="00461F81">
      <w:pPr>
        <w:pStyle w:val="ListParagraph"/>
        <w:ind w:left="360"/>
        <w:jc w:val="both"/>
      </w:pPr>
    </w:p>
    <w:p w14:paraId="69119086" w14:textId="53DC007A" w:rsidR="004D2C9B" w:rsidRDefault="004D2C9B" w:rsidP="00E05C7C">
      <w:pPr>
        <w:numPr>
          <w:ilvl w:val="0"/>
          <w:numId w:val="1"/>
        </w:numPr>
        <w:jc w:val="both"/>
      </w:pPr>
      <w:r>
        <w:t xml:space="preserve">Trgovačko društvo Hrvatski Telekom d.d. obvezno je </w:t>
      </w:r>
      <w:r w:rsidRPr="000B62F0">
        <w:t xml:space="preserve">najkasnije </w:t>
      </w:r>
      <w:r w:rsidR="00632B76">
        <w:t>8</w:t>
      </w:r>
      <w:r w:rsidRPr="008D1FA7">
        <w:t xml:space="preserve"> dana od </w:t>
      </w:r>
      <w:r w:rsidRPr="000B62F0">
        <w:t>donošenja</w:t>
      </w:r>
      <w:r w:rsidRPr="008D1FA7">
        <w:t xml:space="preserve"> ove odluke objaviti na svojim internetskim stranicama izmijenjenu </w:t>
      </w:r>
      <w:r w:rsidR="00E05C7C">
        <w:t>Standardnu ponudu</w:t>
      </w:r>
      <w:r w:rsidR="00E05C7C" w:rsidRPr="00E05C7C">
        <w:t xml:space="preserve"> Hrvatskog Telekoma d.d. za uslugu pristupa pasivnoj pristupnoj svjetlovodnoj mreži na lokaciji distribucijskog čvora za svjetlovodne distribucijske mreže</w:t>
      </w:r>
      <w:r w:rsidR="00E05C7C">
        <w:t xml:space="preserve"> (FA-PON) </w:t>
      </w:r>
      <w:r w:rsidR="00F17B68">
        <w:t>usklađen</w:t>
      </w:r>
      <w:r w:rsidR="00734753">
        <w:t>u</w:t>
      </w:r>
      <w:r w:rsidR="00F17B68">
        <w:t xml:space="preserve"> s točkom </w:t>
      </w:r>
      <w:r w:rsidR="00F17B68">
        <w:fldChar w:fldCharType="begin"/>
      </w:r>
      <w:r w:rsidR="00F17B68">
        <w:instrText xml:space="preserve"> REF _Ref53988858 \r \h </w:instrText>
      </w:r>
      <w:r w:rsidR="000F79E0">
        <w:instrText xml:space="preserve"> \* MERGEFORMAT </w:instrText>
      </w:r>
      <w:r w:rsidR="00F17B68">
        <w:fldChar w:fldCharType="separate"/>
      </w:r>
      <w:r w:rsidR="004E3197">
        <w:t>I</w:t>
      </w:r>
      <w:r w:rsidR="00F17B68">
        <w:fldChar w:fldCharType="end"/>
      </w:r>
      <w:r w:rsidR="008D5F63">
        <w:t>.</w:t>
      </w:r>
      <w:r w:rsidR="00F17B68">
        <w:t xml:space="preserve"> </w:t>
      </w:r>
      <w:r w:rsidR="00F17B68" w:rsidRPr="00F17B68">
        <w:t xml:space="preserve">izreke ove odluke, pri čemu se izmjene primjenjuju od </w:t>
      </w:r>
      <w:r w:rsidR="00E05C7C" w:rsidRPr="004644A1">
        <w:t>1. listopada</w:t>
      </w:r>
      <w:r w:rsidR="004F2A44" w:rsidRPr="004644A1">
        <w:t xml:space="preserve"> 202</w:t>
      </w:r>
      <w:r w:rsidR="008E1E03" w:rsidRPr="004644A1">
        <w:t>4</w:t>
      </w:r>
      <w:r w:rsidRPr="004644A1">
        <w:t>.</w:t>
      </w:r>
    </w:p>
    <w:p w14:paraId="61E25FB6" w14:textId="77777777" w:rsidR="00726B17" w:rsidRPr="000B62F0" w:rsidRDefault="00726B17" w:rsidP="00726B17">
      <w:pPr>
        <w:ind w:left="360"/>
        <w:jc w:val="both"/>
      </w:pPr>
    </w:p>
    <w:p w14:paraId="447EACB2" w14:textId="77777777" w:rsidR="004D2C9B" w:rsidRPr="00A1065C" w:rsidRDefault="004D2C9B" w:rsidP="000F79E0">
      <w:pPr>
        <w:jc w:val="center"/>
        <w:rPr>
          <w:b/>
          <w:i/>
        </w:rPr>
      </w:pPr>
      <w:r w:rsidRPr="00A1065C">
        <w:rPr>
          <w:b/>
          <w:i/>
        </w:rPr>
        <w:t>Obrazloženje</w:t>
      </w:r>
    </w:p>
    <w:p w14:paraId="4AB411DD" w14:textId="77777777" w:rsidR="004A5506" w:rsidRDefault="004A5506" w:rsidP="000F79E0">
      <w:pPr>
        <w:jc w:val="both"/>
      </w:pPr>
    </w:p>
    <w:p w14:paraId="791E2605" w14:textId="5F53319A" w:rsidR="007A381C" w:rsidRDefault="007A381C" w:rsidP="000F79E0">
      <w:pPr>
        <w:jc w:val="both"/>
      </w:pPr>
      <w:r>
        <w:t>Hrvatska regulatorna agencija za mrežne djelatnosti (dalje: HAKOM) je odlukom o analizi tržišta veleprodajnog lokalnog pristupa koji se pruža na fiksnoj lokaciji (dalje: tržište M</w:t>
      </w:r>
      <w:r w:rsidR="00C014A3">
        <w:t>1</w:t>
      </w:r>
      <w:r>
        <w:t xml:space="preserve">) od </w:t>
      </w:r>
      <w:r w:rsidR="00C014A3">
        <w:t>27</w:t>
      </w:r>
      <w:r>
        <w:t xml:space="preserve">. </w:t>
      </w:r>
      <w:r w:rsidR="00C014A3">
        <w:t>sr</w:t>
      </w:r>
      <w:r>
        <w:t>pnja 20</w:t>
      </w:r>
      <w:r w:rsidR="00C014A3">
        <w:t>23</w:t>
      </w:r>
      <w:r>
        <w:t xml:space="preserve">. </w:t>
      </w:r>
      <w:r>
        <w:lastRenderedPageBreak/>
        <w:t>(KLASA: UP/I-344-01/</w:t>
      </w:r>
      <w:r w:rsidR="00C014A3">
        <w:t>22</w:t>
      </w:r>
      <w:r>
        <w:t>-03/0</w:t>
      </w:r>
      <w:r w:rsidR="00C014A3">
        <w:t>3</w:t>
      </w:r>
      <w:r>
        <w:t>, URBROJ: 376-05-1-</w:t>
      </w:r>
      <w:r w:rsidR="00C014A3">
        <w:t>23</w:t>
      </w:r>
      <w:r>
        <w:t>-</w:t>
      </w:r>
      <w:r w:rsidR="00C014A3">
        <w:t>26</w:t>
      </w:r>
      <w:r>
        <w:t>; dalje: Analiza tržišta) odredila trgovačkom društvu Hrvatski Telekom d.d. (dalje: HT)</w:t>
      </w:r>
      <w:r w:rsidR="005D3C53">
        <w:t xml:space="preserve"> između ostalog i</w:t>
      </w:r>
      <w:r>
        <w:t xml:space="preserve"> obvezu nadzora cijena</w:t>
      </w:r>
      <w:r w:rsidR="00C014A3">
        <w:t xml:space="preserve"> i vođenja troškovnog računovodstva</w:t>
      </w:r>
      <w:r>
        <w:t xml:space="preserve"> za usluge veleprodajnog lokalnog pristupa</w:t>
      </w:r>
      <w:r w:rsidR="00C014A3">
        <w:t xml:space="preserve"> na tržištu veleprodajnog lokalnog pristupa malog kapaciteta koji se pruža na fiksnoj lokaciji i tržištu v</w:t>
      </w:r>
      <w:r w:rsidR="00446D5D">
        <w:t>e</w:t>
      </w:r>
      <w:r w:rsidR="00C014A3">
        <w:t>leprodajnog lokalnog pristupa velikog kapaciteta koji se pruža na fiksnoj lokaciji – nekonkurentna područja.</w:t>
      </w:r>
    </w:p>
    <w:p w14:paraId="3B96D4A5" w14:textId="7019F1DE" w:rsidR="005B0E43" w:rsidRDefault="005B0E43" w:rsidP="005B0E43">
      <w:pPr>
        <w:jc w:val="both"/>
      </w:pPr>
    </w:p>
    <w:p w14:paraId="2E60C69D" w14:textId="18375F66" w:rsidR="00B42F5E" w:rsidRDefault="00B42F5E" w:rsidP="005B0E43">
      <w:pPr>
        <w:jc w:val="both"/>
      </w:pPr>
      <w:r>
        <w:t>Navedenom analizom tržišta HAKOM je odredio da</w:t>
      </w:r>
      <w:r w:rsidR="009B6CB6">
        <w:t xml:space="preserve"> analizom neće određivati nove cijene nego da trenutno važeće cijene</w:t>
      </w:r>
      <w:r w:rsidR="00755380">
        <w:t xml:space="preserve"> </w:t>
      </w:r>
      <w:r>
        <w:t xml:space="preserve">vrijede do 1. travnja 2024. te </w:t>
      </w:r>
      <w:r w:rsidR="009B6CB6">
        <w:t xml:space="preserve">da </w:t>
      </w:r>
      <w:r>
        <w:t>će o</w:t>
      </w:r>
      <w:r w:rsidRPr="00B42F5E">
        <w:t xml:space="preserve">dređivanje </w:t>
      </w:r>
      <w:r>
        <w:t xml:space="preserve">novih cijena za </w:t>
      </w:r>
      <w:r w:rsidR="008C0E42">
        <w:t>veleprodajne usluge na tržištima</w:t>
      </w:r>
      <w:r>
        <w:t xml:space="preserve"> </w:t>
      </w:r>
      <w:r w:rsidR="008C0E42" w:rsidRPr="008C0E42">
        <w:t>veleprodajnog lokalnog pristupa malog kapaciteta koji se pruž</w:t>
      </w:r>
      <w:r w:rsidR="008C0E42">
        <w:t xml:space="preserve">a na fiksnoj lokaciji i </w:t>
      </w:r>
      <w:r w:rsidR="008C0E42" w:rsidRPr="008C0E42">
        <w:t>veleprodajnog lokalnog pristupa velikog kapaciteta koji se pruža na fiksnoj lokaciji – nekonkurentna područja</w:t>
      </w:r>
      <w:r w:rsidR="008C0E42">
        <w:t>, (dalje: cijene reguliranih veleprodajnih usluga na tržištu M1)</w:t>
      </w:r>
      <w:r>
        <w:t xml:space="preserve"> </w:t>
      </w:r>
      <w:r w:rsidRPr="00B42F5E">
        <w:t>bit</w:t>
      </w:r>
      <w:r>
        <w:t>i</w:t>
      </w:r>
      <w:r w:rsidRPr="00B42F5E">
        <w:t xml:space="preserve"> predmet zasebnog</w:t>
      </w:r>
      <w:r>
        <w:t xml:space="preserve"> </w:t>
      </w:r>
      <w:r w:rsidRPr="00B42F5E">
        <w:t>postupka.</w:t>
      </w:r>
    </w:p>
    <w:p w14:paraId="046FEC83" w14:textId="70ECD8BE" w:rsidR="005B0E43" w:rsidRDefault="005B0E43" w:rsidP="000F79E0">
      <w:pPr>
        <w:jc w:val="both"/>
      </w:pPr>
    </w:p>
    <w:p w14:paraId="4943EE3A" w14:textId="52DC5C1C" w:rsidR="00245B3E" w:rsidRDefault="00245B3E" w:rsidP="000F79E0">
      <w:pPr>
        <w:jc w:val="both"/>
      </w:pPr>
      <w:r>
        <w:t xml:space="preserve">Dodatno, HAKOM je ovom analizom tržišta uslugu </w:t>
      </w:r>
      <w:proofErr w:type="spellStart"/>
      <w:r>
        <w:t>bitstream</w:t>
      </w:r>
      <w:proofErr w:type="spellEnd"/>
      <w:r>
        <w:t xml:space="preserve"> pristupa na DSLAM/OLT razini uvrstio na tržište M1 iz razloga što se </w:t>
      </w:r>
      <w:proofErr w:type="spellStart"/>
      <w:r>
        <w:t>bitstream</w:t>
      </w:r>
      <w:proofErr w:type="spellEnd"/>
      <w:r>
        <w:t xml:space="preserve"> pristup na OLT/DSLAM razini pruža na lokalnom čvoru pristupne mreže (primjerice LLU usluga se također pruža na lokaciji MDF-a na kojem se nalazi i DSLAM) te je</w:t>
      </w:r>
      <w:r w:rsidR="009C4AA6">
        <w:t>,</w:t>
      </w:r>
      <w:r>
        <w:t xml:space="preserve"> po svojim tehničkim značajkama</w:t>
      </w:r>
      <w:r w:rsidR="009C4AA6">
        <w:t>,</w:t>
      </w:r>
      <w:r>
        <w:t xml:space="preserve"> usluga </w:t>
      </w:r>
      <w:proofErr w:type="spellStart"/>
      <w:r>
        <w:t>bitstream</w:t>
      </w:r>
      <w:proofErr w:type="spellEnd"/>
      <w:r>
        <w:t xml:space="preserve"> pristupa na OLT/DSLAM razini identična usluzi VULA s tržišta veleprodajnog lokalnog pristupa koji se pruža na fiksnoj lokaciji.</w:t>
      </w:r>
    </w:p>
    <w:p w14:paraId="678495C3" w14:textId="77777777" w:rsidR="00245B3E" w:rsidRDefault="00245B3E" w:rsidP="000F79E0">
      <w:pPr>
        <w:jc w:val="both"/>
      </w:pPr>
    </w:p>
    <w:p w14:paraId="4588599C" w14:textId="1DB22C21" w:rsidR="005A7E8C" w:rsidRDefault="00E05C7C">
      <w:pPr>
        <w:jc w:val="both"/>
      </w:pPr>
      <w:r>
        <w:t xml:space="preserve">HAKOM je </w:t>
      </w:r>
      <w:r w:rsidR="00A27C06">
        <w:t xml:space="preserve">odlukom </w:t>
      </w:r>
      <w:r w:rsidR="00A27C06" w:rsidRPr="00A27C06">
        <w:t>KLASA: UP/I-344-01/20-05/04, URBROJ: 376-05-1-21-27</w:t>
      </w:r>
      <w:r w:rsidR="0075671F">
        <w:t xml:space="preserve"> i</w:t>
      </w:r>
      <w:r w:rsidR="0075671F" w:rsidRPr="0075671F">
        <w:t xml:space="preserve"> URBROJ: 376-05-1-21-28</w:t>
      </w:r>
      <w:r w:rsidR="0075671F">
        <w:rPr>
          <w:rStyle w:val="FootnoteReference"/>
        </w:rPr>
        <w:footnoteReference w:id="2"/>
      </w:r>
      <w:r w:rsidR="0075671F" w:rsidRPr="0075671F">
        <w:t xml:space="preserve"> </w:t>
      </w:r>
      <w:r w:rsidR="00A27C06" w:rsidRPr="00A27C06">
        <w:t>iz veljače 2021</w:t>
      </w:r>
      <w:r w:rsidR="00984483">
        <w:t>.</w:t>
      </w:r>
      <w:r w:rsidR="00A27C06">
        <w:t xml:space="preserve"> </w:t>
      </w:r>
      <w:r>
        <w:t xml:space="preserve">cijene reguliranih veleprodajnih usluga na tržištu M1 po prvi puta odredio </w:t>
      </w:r>
      <w:r w:rsidR="00A27C06">
        <w:t>n</w:t>
      </w:r>
      <w:r w:rsidR="001A21EF" w:rsidRPr="00AC438F">
        <w:t>a temelju rezultata BU-LRIC</w:t>
      </w:r>
      <w:r w:rsidR="005B0E43">
        <w:t>+</w:t>
      </w:r>
      <w:r w:rsidR="001A21EF" w:rsidRPr="00AC438F">
        <w:t xml:space="preserve"> troškovnog modela</w:t>
      </w:r>
      <w:r w:rsidR="001A21EF">
        <w:t xml:space="preserve"> </w:t>
      </w:r>
      <w:r w:rsidR="001A21EF" w:rsidRPr="00AC438F">
        <w:t>(dalje: Troškovni model),</w:t>
      </w:r>
      <w:r w:rsidR="005B0E43">
        <w:t xml:space="preserve"> koji je izrađen prema metodološkim načelima koja slijede Preporuku Europske komisije 2013/466/EU a, kako je opisano u </w:t>
      </w:r>
      <w:r w:rsidR="005B0E43" w:rsidRPr="00613FAF">
        <w:t>dokument</w:t>
      </w:r>
      <w:r w:rsidR="00DD3D21">
        <w:t>u</w:t>
      </w:r>
      <w:r w:rsidR="005B0E43" w:rsidRPr="00613FAF">
        <w:t xml:space="preserve"> „</w:t>
      </w:r>
      <w:r w:rsidR="005B0E43" w:rsidRPr="00613FAF">
        <w:rPr>
          <w:i/>
        </w:rPr>
        <w:t>Određivanje cijena veleprodajnih usluga na tržištu veleprodajnog lokalnog pristupa koji se pruža na fiksnoj lokaciji (M3a)</w:t>
      </w:r>
      <w:r w:rsidR="005B0E43" w:rsidRPr="00613FAF">
        <w:t>“</w:t>
      </w:r>
      <w:r w:rsidR="00DD3D21">
        <w:t xml:space="preserve"> </w:t>
      </w:r>
      <w:r w:rsidR="00A27C06">
        <w:t>koji je sastavni dio navedene odluke</w:t>
      </w:r>
      <w:r>
        <w:t xml:space="preserve">. Međutim, mjesečne naknade iz točke </w:t>
      </w:r>
      <w:r>
        <w:fldChar w:fldCharType="begin"/>
      </w:r>
      <w:r>
        <w:instrText xml:space="preserve"> REF _Ref53989237 \r \h </w:instrText>
      </w:r>
      <w:r>
        <w:fldChar w:fldCharType="separate"/>
      </w:r>
      <w:r>
        <w:t>I</w:t>
      </w:r>
      <w:r>
        <w:fldChar w:fldCharType="end"/>
      </w:r>
      <w:r>
        <w:t>. ove odluke nisu određene navedenom odlukom, nego su tada zadržane postojeće naknade koje su izračunate ranije i određene u tada važećoj Standardnoj ponudi</w:t>
      </w:r>
      <w:r w:rsidRPr="00E05C7C">
        <w:t xml:space="preserve"> Hrvatskog Telekoma d.d. za uslugu pristupa pasivnoj pristupnoj svjetlovodnoj mreži na lokaciji distribucijskog čvora za svjetlovodne distribucijske mreže</w:t>
      </w:r>
      <w:r>
        <w:t xml:space="preserve"> (FA-PON) (dalje: Standardna ponuda).</w:t>
      </w:r>
      <w:r w:rsidR="00F665AB">
        <w:t xml:space="preserve"> </w:t>
      </w:r>
    </w:p>
    <w:p w14:paraId="5739FC3A" w14:textId="5AD8BAE4" w:rsidR="005A7E8C" w:rsidRDefault="005A7E8C">
      <w:pPr>
        <w:jc w:val="both"/>
      </w:pPr>
    </w:p>
    <w:p w14:paraId="5321B306" w14:textId="11068A73" w:rsidR="005A7E8C" w:rsidRDefault="005A7E8C" w:rsidP="005A7E8C">
      <w:pPr>
        <w:pStyle w:val="Caption"/>
        <w:keepNext/>
      </w:pPr>
      <w:bookmarkStart w:id="2" w:name="_Ref166660996"/>
      <w:r>
        <w:t xml:space="preserve">Slika </w:t>
      </w:r>
      <w:r w:rsidR="00474093">
        <w:fldChar w:fldCharType="begin"/>
      </w:r>
      <w:r w:rsidR="00474093">
        <w:instrText xml:space="preserve"> SEQ Slika \* ARABIC </w:instrText>
      </w:r>
      <w:r w:rsidR="00474093">
        <w:fldChar w:fldCharType="separate"/>
      </w:r>
      <w:r w:rsidR="001A7140">
        <w:rPr>
          <w:noProof/>
        </w:rPr>
        <w:t>1</w:t>
      </w:r>
      <w:r w:rsidR="00474093">
        <w:rPr>
          <w:noProof/>
        </w:rPr>
        <w:fldChar w:fldCharType="end"/>
      </w:r>
      <w:bookmarkEnd w:id="2"/>
      <w:r>
        <w:t>-</w:t>
      </w:r>
      <w:r w:rsidR="004C621E">
        <w:t>Prosječni b</w:t>
      </w:r>
      <w:r>
        <w:t xml:space="preserve">roj </w:t>
      </w:r>
      <w:r w:rsidR="004C621E">
        <w:t>aktivnih FA-PON linija (Izvor: HAKOM na temelju podataka operatora)</w:t>
      </w:r>
    </w:p>
    <w:p w14:paraId="4786AC19" w14:textId="22F390D4" w:rsidR="005A7E8C" w:rsidRDefault="005A7E8C" w:rsidP="005A7E8C">
      <w:r>
        <w:rPr>
          <w:noProof/>
        </w:rPr>
        <w:drawing>
          <wp:inline distT="0" distB="0" distL="0" distR="0" wp14:anchorId="7507E809" wp14:editId="3B89CACC">
            <wp:extent cx="5158853" cy="2094865"/>
            <wp:effectExtent l="0" t="0" r="3810" b="635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E685B1F" w14:textId="6FD45B6D" w:rsidR="005A7E8C" w:rsidRDefault="005A7E8C">
      <w:pPr>
        <w:jc w:val="both"/>
      </w:pPr>
    </w:p>
    <w:p w14:paraId="4F6BE111" w14:textId="77777777" w:rsidR="004C621E" w:rsidRDefault="004C621E" w:rsidP="005A7E8C">
      <w:pPr>
        <w:jc w:val="both"/>
      </w:pPr>
    </w:p>
    <w:p w14:paraId="7D863E96" w14:textId="5E2BBFD9" w:rsidR="005A7E8C" w:rsidRPr="005A7E8C" w:rsidRDefault="005A7E8C" w:rsidP="005A7E8C">
      <w:pPr>
        <w:jc w:val="both"/>
      </w:pPr>
      <w:r w:rsidRPr="005A7E8C">
        <w:lastRenderedPageBreak/>
        <w:t>S obzirom da se od izrade Troškovnog modela potražnja za uslugom pristupa pasivnoj pristupnoj svjetlovodnoj mreži na lokaciji distribucijskog čvora (FA PON) (dalje: FA-PON usluga) konstantno povećava</w:t>
      </w:r>
      <w:r w:rsidR="004C621E">
        <w:t xml:space="preserve"> (</w:t>
      </w:r>
      <w:r w:rsidR="004C621E">
        <w:fldChar w:fldCharType="begin"/>
      </w:r>
      <w:r w:rsidR="004C621E">
        <w:instrText xml:space="preserve"> REF _Ref166660996 \h </w:instrText>
      </w:r>
      <w:r w:rsidR="004C621E">
        <w:fldChar w:fldCharType="separate"/>
      </w:r>
      <w:r w:rsidR="004C621E">
        <w:t xml:space="preserve">Slika </w:t>
      </w:r>
      <w:r w:rsidR="004C621E">
        <w:rPr>
          <w:noProof/>
        </w:rPr>
        <w:t>1</w:t>
      </w:r>
      <w:r w:rsidR="004C621E">
        <w:fldChar w:fldCharType="end"/>
      </w:r>
      <w:r w:rsidR="004C621E">
        <w:t>)</w:t>
      </w:r>
      <w:r w:rsidRPr="005A7E8C">
        <w:t xml:space="preserve">, HAKOM smatra opravdanim radi konzistentnosti s cijenama ostalih usluga koje su određene temeljem rezultata Troškovnog modela i naknade iz točke </w:t>
      </w:r>
      <w:r w:rsidRPr="005A7E8C">
        <w:fldChar w:fldCharType="begin"/>
      </w:r>
      <w:r w:rsidRPr="005A7E8C">
        <w:instrText xml:space="preserve"> REF _Ref53989237 \r \h </w:instrText>
      </w:r>
      <w:r w:rsidRPr="005A7E8C">
        <w:fldChar w:fldCharType="separate"/>
      </w:r>
      <w:r w:rsidRPr="005A7E8C">
        <w:t>I</w:t>
      </w:r>
      <w:r w:rsidRPr="005A7E8C">
        <w:fldChar w:fldCharType="end"/>
      </w:r>
      <w:r w:rsidRPr="005A7E8C">
        <w:t>. izreke ove odluke odrediti također temeljem rezultata Troškovnog modela. U tu svrhu izrađen je zaseban modul unutar Troškovnog modela u radnom listu „ADD. MOD. COLLOC DN“ koji služi za izračun navedenih naknada.</w:t>
      </w:r>
    </w:p>
    <w:p w14:paraId="13489A24" w14:textId="280BAC0A" w:rsidR="00F665AB" w:rsidRPr="00AC438F" w:rsidRDefault="00F665AB">
      <w:pPr>
        <w:jc w:val="both"/>
      </w:pPr>
    </w:p>
    <w:p w14:paraId="5C0C2A47" w14:textId="5C6ED79D" w:rsidR="00984483" w:rsidRDefault="00B24673" w:rsidP="00B24673">
      <w:pPr>
        <w:jc w:val="both"/>
      </w:pPr>
      <w:r w:rsidRPr="00B24673">
        <w:t>Od izrade trenutno važećeg troškovnog modela, odnosno donošenja odluke o trenutno važećim cijenama veleprodajnih usluga, dogodile su se brojne promjene ulaznih parametara u Troškovn</w:t>
      </w:r>
      <w:r w:rsidR="00156378">
        <w:t>om</w:t>
      </w:r>
      <w:r w:rsidRPr="00B24673">
        <w:t xml:space="preserve"> model</w:t>
      </w:r>
      <w:r w:rsidR="00156378">
        <w:t>u</w:t>
      </w:r>
      <w:r w:rsidRPr="00B24673">
        <w:t xml:space="preserve"> u odnosu na pretpostavljene, a koji imaju značajan utjecaj na troškove reguliranih veleprodajnih usluga. Stoga je HAKOM smatrao da je iste potrebno ažurirati te je pokrenuo projekt ažuriranja ulaznih vrijednosti parametara u Troškovnom modelu,</w:t>
      </w:r>
      <w:r w:rsidRPr="00B24673" w:rsidDel="00AF7935">
        <w:t xml:space="preserve"> </w:t>
      </w:r>
      <w:r w:rsidRPr="00B24673">
        <w:t>a kako bi, uzevši u obzir relevantne troškove i ostale ulazne parametre, mogao odrediti cijene reguliranih veleprodajnih usluga za buduća razdoblja.</w:t>
      </w:r>
    </w:p>
    <w:p w14:paraId="6E1CE92B" w14:textId="22BAF748" w:rsidR="00FA0B2E" w:rsidRDefault="00FA0B2E" w:rsidP="00FA0B2E">
      <w:pPr>
        <w:jc w:val="both"/>
      </w:pPr>
    </w:p>
    <w:p w14:paraId="59C489F0" w14:textId="79AD4704" w:rsidR="00F523CC" w:rsidRDefault="00F523CC" w:rsidP="00F523CC">
      <w:pPr>
        <w:jc w:val="both"/>
      </w:pPr>
      <w:r>
        <w:t>U</w:t>
      </w:r>
      <w:r w:rsidRPr="00FA0B2E">
        <w:t xml:space="preserve"> </w:t>
      </w:r>
      <w:r>
        <w:t>T</w:t>
      </w:r>
      <w:r w:rsidRPr="00FA0B2E">
        <w:t>roškovno</w:t>
      </w:r>
      <w:r>
        <w:t>m</w:t>
      </w:r>
      <w:r w:rsidRPr="00FA0B2E">
        <w:t xml:space="preserve"> model</w:t>
      </w:r>
      <w:r>
        <w:t>u ažurirani su</w:t>
      </w:r>
      <w:r w:rsidRPr="00FA0B2E">
        <w:t xml:space="preserve"> </w:t>
      </w:r>
      <w:r>
        <w:t>sljedeći</w:t>
      </w:r>
      <w:r w:rsidRPr="00FA0B2E">
        <w:t xml:space="preserve"> ulazni parametri</w:t>
      </w:r>
      <w:r>
        <w:t>:</w:t>
      </w:r>
      <w:r w:rsidRPr="00FA0B2E">
        <w:t xml:space="preserve"> </w:t>
      </w:r>
      <w:r w:rsidRPr="00E92038">
        <w:t>potražnja, distribucija potražnje, pokrivanje, jedinični troškovi mrežnih resursa, ne-mrežni opći troškovi, potpuno amortizirana imovina, ostali</w:t>
      </w:r>
      <w:r w:rsidRPr="00353797">
        <w:t xml:space="preserve"> </w:t>
      </w:r>
      <w:r>
        <w:t>ulazni</w:t>
      </w:r>
      <w:r w:rsidRPr="00E92038">
        <w:t xml:space="preserve"> parametri</w:t>
      </w:r>
      <w:r>
        <w:t xml:space="preserve"> za dimenzioniranje mreže</w:t>
      </w:r>
      <w:r w:rsidRPr="00353797">
        <w:t xml:space="preserve"> </w:t>
      </w:r>
      <w:r>
        <w:t xml:space="preserve">te </w:t>
      </w:r>
      <w:r w:rsidRPr="00FA0B2E">
        <w:t>vrijednost WACC-a</w:t>
      </w:r>
      <w:r w:rsidRPr="00353797">
        <w:t>.</w:t>
      </w:r>
      <w:r>
        <w:t xml:space="preserve"> Vrijednost WACC-a </w:t>
      </w:r>
      <w:r w:rsidRPr="00FA0B2E">
        <w:t xml:space="preserve">se, temeljem Obavijesti o izračunu troška kapitala za postojeću infrastrukturu koju je Europska komisija donijela u studenom 2019., ažurira godišnje i </w:t>
      </w:r>
      <w:r w:rsidR="00E56F04" w:rsidRPr="00FA0B2E">
        <w:t>primjenjuje</w:t>
      </w:r>
      <w:r w:rsidRPr="00FA0B2E">
        <w:t xml:space="preserve"> u postupku donošenja svih relevantnih odluka u koje je potrebno implementirati WACC, na način da će se ažurirani WACC koristiti u svim novim ili izmijenjenim odlukama o cijenama. </w:t>
      </w:r>
      <w:r>
        <w:t>Sve ostale pretpostavke i algoritmi u Troškovnom modelu ostali su nepromijenjeni.</w:t>
      </w:r>
    </w:p>
    <w:p w14:paraId="3E8A73FB" w14:textId="2CBCFC76" w:rsidR="00F523CC" w:rsidRDefault="00F523CC" w:rsidP="00FA0B2E">
      <w:pPr>
        <w:jc w:val="both"/>
      </w:pPr>
    </w:p>
    <w:p w14:paraId="3F727FF8" w14:textId="77777777" w:rsidR="007E0D6A" w:rsidRDefault="00FA0B2E" w:rsidP="00FA0B2E">
      <w:pPr>
        <w:jc w:val="both"/>
      </w:pPr>
      <w:r w:rsidRPr="00FA0B2E">
        <w:t>Tijek projekta</w:t>
      </w:r>
      <w:r>
        <w:t xml:space="preserve"> ažuriranja Troškovnog modela</w:t>
      </w:r>
      <w:r w:rsidRPr="00FA0B2E">
        <w:t>, osnovne značajke i metodološka načela za ažuriranje troškovnog modela</w:t>
      </w:r>
      <w:r>
        <w:t xml:space="preserve"> te </w:t>
      </w:r>
      <w:r w:rsidRPr="00FA0B2E">
        <w:t xml:space="preserve">rezultati troškovnog modela </w:t>
      </w:r>
      <w:r>
        <w:t>na temelju kojih</w:t>
      </w:r>
      <w:r w:rsidRPr="00FA0B2E">
        <w:t xml:space="preserve"> su određene cijene reguliranih veleprodajnih usluga na tržištu M1 opisani su u dokumentu „</w:t>
      </w:r>
      <w:r w:rsidRPr="00FA0B2E">
        <w:rPr>
          <w:i/>
        </w:rPr>
        <w:t>Izvještaj o ažuriranju BU LRIC+ modela</w:t>
      </w:r>
      <w:r w:rsidRPr="00FA0B2E">
        <w:t>“, koji</w:t>
      </w:r>
      <w:r w:rsidR="00445383">
        <w:t xml:space="preserve"> se nalazi u Privitku </w:t>
      </w:r>
      <w:r w:rsidR="00445383" w:rsidRPr="00E46299">
        <w:t>1</w:t>
      </w:r>
      <w:r w:rsidR="00445383">
        <w:t xml:space="preserve"> kao</w:t>
      </w:r>
      <w:r w:rsidRPr="00FA0B2E">
        <w:t xml:space="preserve"> sastavni dio ove odluke. </w:t>
      </w:r>
    </w:p>
    <w:p w14:paraId="30C6002A" w14:textId="77777777" w:rsidR="007E0D6A" w:rsidRDefault="007E0D6A" w:rsidP="00FA0B2E">
      <w:pPr>
        <w:jc w:val="both"/>
      </w:pPr>
    </w:p>
    <w:p w14:paraId="3C7B40B1" w14:textId="4780BC56" w:rsidR="00FA0B2E" w:rsidRDefault="00080528" w:rsidP="00FA0B2E">
      <w:pPr>
        <w:jc w:val="both"/>
      </w:pPr>
      <w:r w:rsidRPr="00080528">
        <w:t xml:space="preserve">Na samom početku postupka određivanja cijena reguliranih veleprodajnih usluga, HAKOM je u listopadu 2023. uputio poziv operatorima da dostave svoje mišljenje o prijedlogu HAKOM-a vezano uz opseg ulaznih podataka i parametara koje je HAKOM ažurirao u Troškovnom modelu. Osim za davanje mišljenja vezano uz ažuriranje ulaznih parametara u Troškovnom modelu, HAKOM je pozvao operatore da u okviru javnog poziva daju svoje prijedloge i mišljenja o bilo kojem drugom aspektu koji je bitan za postupak određivanja cijena veleprodajnih usluga, a nije obuhvaćen ažuriranjem Troškovnog modela. HAKOM je u okviru rečenog javnog poziva objavio i zaseban modul unutar Troškovnog modela u radnom listu „ADD. MOD. COLLOC DN“ koji služi za izračun naknada iz točke </w:t>
      </w:r>
      <w:r w:rsidRPr="00080528">
        <w:fldChar w:fldCharType="begin"/>
      </w:r>
      <w:r w:rsidRPr="00080528">
        <w:instrText xml:space="preserve"> REF _Ref53989237 \r \h </w:instrText>
      </w:r>
      <w:r w:rsidRPr="00080528">
        <w:fldChar w:fldCharType="separate"/>
      </w:r>
      <w:r w:rsidRPr="00080528">
        <w:t>I</w:t>
      </w:r>
      <w:r w:rsidRPr="00080528">
        <w:fldChar w:fldCharType="end"/>
      </w:r>
      <w:r w:rsidRPr="00080528">
        <w:t>. izreke ove odluke te je pozvao operatore da iznesu svoje mišljenje o predloženom načinu izračuna i dobivenim vrijednostima mjesečnih naknada za najam prostora u distribucijskom čvoru (</w:t>
      </w:r>
      <w:r w:rsidRPr="00080528">
        <w:fldChar w:fldCharType="begin"/>
      </w:r>
      <w:r w:rsidRPr="00080528">
        <w:instrText xml:space="preserve"> REF _Ref166668281 \h </w:instrText>
      </w:r>
      <w:r w:rsidRPr="00080528">
        <w:fldChar w:fldCharType="separate"/>
      </w:r>
      <w:r w:rsidRPr="00080528">
        <w:t>Tablica 1</w:t>
      </w:r>
      <w:r w:rsidRPr="00080528">
        <w:fldChar w:fldCharType="end"/>
      </w:r>
      <w:r w:rsidRPr="00080528">
        <w:t>).</w:t>
      </w:r>
    </w:p>
    <w:p w14:paraId="4728F5B1" w14:textId="6AC52310" w:rsidR="001A7140" w:rsidRDefault="001A7140" w:rsidP="00FA0B2E">
      <w:pPr>
        <w:jc w:val="both"/>
      </w:pPr>
    </w:p>
    <w:p w14:paraId="61537620" w14:textId="3A1191DD" w:rsidR="001A7140" w:rsidRDefault="001A7140" w:rsidP="00FA0B2E">
      <w:pPr>
        <w:jc w:val="both"/>
      </w:pPr>
      <w:r>
        <w:t>U ovom postupku određuje se mjesečna naknada za najam prostora u distribucijskom čvoru koja je potreban za smještaj optičkog djelitelja (</w:t>
      </w:r>
      <w:proofErr w:type="spellStart"/>
      <w:r>
        <w:t>eng</w:t>
      </w:r>
      <w:proofErr w:type="spellEnd"/>
      <w:r>
        <w:t xml:space="preserve">. </w:t>
      </w:r>
      <w:proofErr w:type="spellStart"/>
      <w:r w:rsidRPr="001A7140">
        <w:rPr>
          <w:i/>
        </w:rPr>
        <w:t>splitter</w:t>
      </w:r>
      <w:proofErr w:type="spellEnd"/>
      <w:r>
        <w:t>) prilikom korištenja HT-ove FA-PON usluge. Na donjoj slici (</w:t>
      </w:r>
      <w:r>
        <w:fldChar w:fldCharType="begin"/>
      </w:r>
      <w:r>
        <w:instrText xml:space="preserve"> REF _Ref167100843 \h </w:instrText>
      </w:r>
      <w:r>
        <w:fldChar w:fldCharType="separate"/>
      </w:r>
      <w:r>
        <w:t xml:space="preserve">Slika </w:t>
      </w:r>
      <w:r>
        <w:rPr>
          <w:noProof/>
        </w:rPr>
        <w:t>2</w:t>
      </w:r>
      <w:r>
        <w:fldChar w:fldCharType="end"/>
      </w:r>
      <w:r>
        <w:t>) shematski je prikazana unutrašnjost distribucijskog čvora prilikom korištenja usluge FA-PON. Prostor potreban za smještaj optičkih djelitelja se obračunava u tzv. RU (</w:t>
      </w:r>
      <w:proofErr w:type="spellStart"/>
      <w:r>
        <w:t>eng</w:t>
      </w:r>
      <w:proofErr w:type="spellEnd"/>
      <w:r>
        <w:t xml:space="preserve">. </w:t>
      </w:r>
      <w:proofErr w:type="spellStart"/>
      <w:r w:rsidRPr="001A7140">
        <w:rPr>
          <w:i/>
        </w:rPr>
        <w:t>Rack</w:t>
      </w:r>
      <w:proofErr w:type="spellEnd"/>
      <w:r w:rsidRPr="001A7140">
        <w:rPr>
          <w:i/>
        </w:rPr>
        <w:t xml:space="preserve"> </w:t>
      </w:r>
      <w:proofErr w:type="spellStart"/>
      <w:r w:rsidRPr="001A7140">
        <w:rPr>
          <w:i/>
        </w:rPr>
        <w:t>Unit</w:t>
      </w:r>
      <w:proofErr w:type="spellEnd"/>
      <w:r>
        <w:t>, 1 RU = 44,45 mm visine ). Pri tome je potrebno naglasiti da operatori korisnici</w:t>
      </w:r>
      <w:r w:rsidR="00080528">
        <w:t xml:space="preserve">, prilikom </w:t>
      </w:r>
      <w:proofErr w:type="spellStart"/>
      <w:r w:rsidR="00080528">
        <w:t>incijalne</w:t>
      </w:r>
      <w:proofErr w:type="spellEnd"/>
      <w:r w:rsidR="00080528">
        <w:t xml:space="preserve"> uspostave pristupa distribucijskom čvoru, </w:t>
      </w:r>
      <w:r>
        <w:t xml:space="preserve">pored mjesečne naknade za najam prostora za smještaj optičkih djelitelja </w:t>
      </w:r>
      <w:r w:rsidR="00080528">
        <w:t xml:space="preserve">plaćaju i troškove uspostave pristupa u </w:t>
      </w:r>
      <w:proofErr w:type="spellStart"/>
      <w:r w:rsidR="00080528">
        <w:t>distribuciskom</w:t>
      </w:r>
      <w:proofErr w:type="spellEnd"/>
      <w:r w:rsidR="00080528">
        <w:t xml:space="preserve"> čvoru koje je prilikom izračuna mjesečne naknade za najam prostora potrebno izuzet iz izračuna kako bi se izbjegla dvostruka nadoknada troškova. </w:t>
      </w:r>
      <w:r w:rsidR="00FC70BA">
        <w:t xml:space="preserve">Također, potrebno je istaknuti da troškovi distribucijskog čvora nisu </w:t>
      </w:r>
      <w:proofErr w:type="spellStart"/>
      <w:r w:rsidR="00FC70BA">
        <w:t>uljučeni</w:t>
      </w:r>
      <w:proofErr w:type="spellEnd"/>
      <w:r w:rsidR="00FC70BA">
        <w:t xml:space="preserve"> u izračun visine mjesečne naknade za uslugu FA-PON upravo iz razloga jer se trošak distribucijskog </w:t>
      </w:r>
      <w:r w:rsidR="00FC70BA">
        <w:lastRenderedPageBreak/>
        <w:t>čvora, odnosno trošak prostora za smještaj optičkih djelitelja (</w:t>
      </w:r>
      <w:proofErr w:type="spellStart"/>
      <w:r w:rsidR="00FC70BA">
        <w:t>splittera</w:t>
      </w:r>
      <w:proofErr w:type="spellEnd"/>
      <w:r w:rsidR="00FC70BA">
        <w:t>) operatora korisnika nadoknađuje kroz naknadu koja je predmet ove odluke.</w:t>
      </w:r>
    </w:p>
    <w:p w14:paraId="4F15AB0B" w14:textId="135432CB" w:rsidR="00FC70BA" w:rsidRDefault="00FC70BA" w:rsidP="00FA0B2E">
      <w:pPr>
        <w:jc w:val="both"/>
      </w:pPr>
    </w:p>
    <w:p w14:paraId="202D53DD" w14:textId="77777777" w:rsidR="00FC70BA" w:rsidRDefault="00FC70BA" w:rsidP="00FA0B2E">
      <w:pPr>
        <w:jc w:val="both"/>
      </w:pPr>
    </w:p>
    <w:p w14:paraId="451847F6" w14:textId="5ED49AAF" w:rsidR="001A7140" w:rsidRDefault="001A7140" w:rsidP="001A7140">
      <w:pPr>
        <w:pStyle w:val="Caption"/>
        <w:keepNext/>
      </w:pPr>
      <w:bookmarkStart w:id="3" w:name="_Ref167100843"/>
      <w:r>
        <w:t xml:space="preserve">Slika </w:t>
      </w:r>
      <w:r w:rsidR="00474093">
        <w:fldChar w:fldCharType="begin"/>
      </w:r>
      <w:r w:rsidR="00474093">
        <w:instrText xml:space="preserve"> SEQ Slika \* ARABIC </w:instrText>
      </w:r>
      <w:r w:rsidR="00474093">
        <w:fldChar w:fldCharType="separate"/>
      </w:r>
      <w:r>
        <w:rPr>
          <w:noProof/>
        </w:rPr>
        <w:t>2</w:t>
      </w:r>
      <w:r w:rsidR="00474093">
        <w:rPr>
          <w:noProof/>
        </w:rPr>
        <w:fldChar w:fldCharType="end"/>
      </w:r>
      <w:bookmarkEnd w:id="3"/>
      <w:r>
        <w:t>-</w:t>
      </w:r>
      <w:r w:rsidRPr="00207E4B">
        <w:t>Shematski prikaz svjetlovodnog distribucijskog čvora (Izvor. Standardna ponuda)</w:t>
      </w:r>
    </w:p>
    <w:p w14:paraId="2E17F5C5" w14:textId="4F760A0A" w:rsidR="001A7140" w:rsidRDefault="007E0D6A" w:rsidP="001A7140">
      <w:r w:rsidRPr="000D2199">
        <w:rPr>
          <w:rFonts w:ascii="Tele-GroteskNor" w:hAnsi="Tele-GroteskNor"/>
        </w:rPr>
        <w:object w:dxaOrig="9598" w:dyaOrig="6801" w14:anchorId="35B9D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4.5pt;height:256.5pt" o:ole="">
            <v:imagedata r:id="rId12" o:title=""/>
          </v:shape>
          <o:OLEObject Type="Embed" ProgID="Visio.Drawing.11" ShapeID="_x0000_i1025" DrawAspect="Content" ObjectID="_1778495423" r:id="rId13"/>
        </w:object>
      </w:r>
    </w:p>
    <w:p w14:paraId="544F6112" w14:textId="77777777" w:rsidR="00E56F04" w:rsidRDefault="00E56F04" w:rsidP="00A446C5">
      <w:pPr>
        <w:jc w:val="both"/>
      </w:pPr>
    </w:p>
    <w:p w14:paraId="6C3E8411" w14:textId="77777777" w:rsidR="007E0D6A" w:rsidRDefault="007E0D6A" w:rsidP="004C621E">
      <w:pPr>
        <w:jc w:val="both"/>
      </w:pPr>
    </w:p>
    <w:p w14:paraId="57364C0C" w14:textId="4CA83678" w:rsidR="004C621E" w:rsidRDefault="00080528" w:rsidP="004C621E">
      <w:pPr>
        <w:jc w:val="both"/>
      </w:pPr>
      <w:r>
        <w:t>Prije gore spomenutog</w:t>
      </w:r>
      <w:r w:rsidR="005717DC">
        <w:t xml:space="preserve"> javnog poziva HAKOM je od HT prikupio ulazne podatke potrebne za izračun troškova modula (</w:t>
      </w:r>
      <w:proofErr w:type="spellStart"/>
      <w:r w:rsidR="009C4AA6">
        <w:rPr>
          <w:rFonts w:cstheme="minorHAnsi"/>
        </w:rPr>
        <w:t>rack</w:t>
      </w:r>
      <w:proofErr w:type="spellEnd"/>
      <w:r w:rsidR="009C4AA6">
        <w:rPr>
          <w:rFonts w:cstheme="minorHAnsi"/>
        </w:rPr>
        <w:t xml:space="preserve"> </w:t>
      </w:r>
      <w:proofErr w:type="spellStart"/>
      <w:r w:rsidR="009C4AA6">
        <w:rPr>
          <w:rFonts w:cstheme="minorHAnsi"/>
        </w:rPr>
        <w:t>unit</w:t>
      </w:r>
      <w:proofErr w:type="spellEnd"/>
      <w:r w:rsidR="009C4AA6">
        <w:rPr>
          <w:rFonts w:cstheme="minorHAnsi"/>
        </w:rPr>
        <w:t xml:space="preserve"> - </w:t>
      </w:r>
      <w:r w:rsidR="005717DC">
        <w:t>RU) unutarnjih i vanjskih distribucijskih čvorova, poput podatka o jediničnim troškovima modula (RU) sa svim stavkama izračuna, jediničnim troškovima lokacija za s</w:t>
      </w:r>
      <w:r w:rsidR="009C4AA6">
        <w:t>m</w:t>
      </w:r>
      <w:r w:rsidR="005717DC">
        <w:t xml:space="preserve">ještaj distribucijskih čvorova, prosječni broj modula (RU) po lokaciji kao i sam izračun. Prikupljene podatke HAKOM je </w:t>
      </w:r>
      <w:proofErr w:type="spellStart"/>
      <w:r w:rsidR="005717DC">
        <w:t>validirao</w:t>
      </w:r>
      <w:proofErr w:type="spellEnd"/>
      <w:r w:rsidR="005717DC">
        <w:t xml:space="preserve"> te ih ugradio u </w:t>
      </w:r>
      <w:r w:rsidR="005717DC" w:rsidRPr="005717DC">
        <w:t>zaseban modul unutar Troškovnog modela u radnom listu „ADD. MOD. COLLOC DN“</w:t>
      </w:r>
      <w:r w:rsidR="005717DC">
        <w:t>. Pri tome je potrebno napomenuti da su ostali ulazni podaci korišteni iz Troškovnog modela. Rezultati prvog izračuna koji su bili predmet javnog poziva dani su u donjoj tablici (</w:t>
      </w:r>
      <w:r w:rsidR="005717DC">
        <w:fldChar w:fldCharType="begin"/>
      </w:r>
      <w:r w:rsidR="005717DC">
        <w:instrText xml:space="preserve"> REF _Ref166668281 \h </w:instrText>
      </w:r>
      <w:r w:rsidR="005717DC">
        <w:fldChar w:fldCharType="separate"/>
      </w:r>
      <w:r w:rsidR="005717DC">
        <w:t xml:space="preserve">Tablica </w:t>
      </w:r>
      <w:r w:rsidR="005717DC">
        <w:rPr>
          <w:noProof/>
        </w:rPr>
        <w:t>1</w:t>
      </w:r>
      <w:r w:rsidR="005717DC">
        <w:fldChar w:fldCharType="end"/>
      </w:r>
      <w:r w:rsidR="005717DC">
        <w:t>).</w:t>
      </w:r>
    </w:p>
    <w:p w14:paraId="6A8B1DD6" w14:textId="0E8593B5" w:rsidR="00057D32" w:rsidRDefault="00057D32" w:rsidP="00057D32">
      <w:pPr>
        <w:pStyle w:val="Caption"/>
        <w:keepNext/>
      </w:pPr>
    </w:p>
    <w:p w14:paraId="5A41780A" w14:textId="3180FD27" w:rsidR="00057D32" w:rsidRDefault="00057D32" w:rsidP="00057D32">
      <w:pPr>
        <w:pStyle w:val="Caption"/>
        <w:keepNext/>
      </w:pPr>
      <w:bookmarkStart w:id="4" w:name="_Ref166668281"/>
      <w:bookmarkStart w:id="5" w:name="_Ref166684804"/>
      <w:r>
        <w:t xml:space="preserve">Tablica </w:t>
      </w:r>
      <w:r w:rsidR="00474093">
        <w:fldChar w:fldCharType="begin"/>
      </w:r>
      <w:r w:rsidR="00474093">
        <w:instrText xml:space="preserve"> SEQ Tablica \* ARABIC </w:instrText>
      </w:r>
      <w:r w:rsidR="00474093">
        <w:fldChar w:fldCharType="separate"/>
      </w:r>
      <w:r w:rsidR="00833780">
        <w:rPr>
          <w:noProof/>
        </w:rPr>
        <w:t>1</w:t>
      </w:r>
      <w:r w:rsidR="00474093">
        <w:rPr>
          <w:noProof/>
        </w:rPr>
        <w:fldChar w:fldCharType="end"/>
      </w:r>
      <w:bookmarkEnd w:id="4"/>
      <w:r>
        <w:t>-</w:t>
      </w:r>
      <w:r w:rsidRPr="00364C87">
        <w:t>Prikaz izračuna mjesečnog troška najma prostora u distribucijskom prostoru na javnom pozivu</w:t>
      </w:r>
      <w:bookmarkEnd w:id="5"/>
    </w:p>
    <w:tbl>
      <w:tblPr>
        <w:tblW w:w="0" w:type="auto"/>
        <w:tblLook w:val="04A0" w:firstRow="1" w:lastRow="0" w:firstColumn="1" w:lastColumn="0" w:noHBand="0" w:noVBand="1"/>
      </w:tblPr>
      <w:tblGrid>
        <w:gridCol w:w="5949"/>
        <w:gridCol w:w="1650"/>
        <w:gridCol w:w="1650"/>
      </w:tblGrid>
      <w:tr w:rsidR="00233962" w:rsidRPr="00233962" w14:paraId="0F700A61" w14:textId="77777777" w:rsidTr="00474093">
        <w:trPr>
          <w:trHeight w:val="6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C2749"/>
            <w:vAlign w:val="center"/>
            <w:hideMark/>
          </w:tcPr>
          <w:p w14:paraId="543870D0" w14:textId="77777777" w:rsidR="00057D32" w:rsidRPr="00474093" w:rsidRDefault="00057D32" w:rsidP="00FB4D75">
            <w:pPr>
              <w:jc w:val="center"/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</w:pPr>
            <w:r w:rsidRPr="00474093"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  <w:t>Resource</w:t>
            </w:r>
          </w:p>
        </w:tc>
        <w:tc>
          <w:tcPr>
            <w:tcW w:w="1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C2749"/>
            <w:vAlign w:val="center"/>
            <w:hideMark/>
          </w:tcPr>
          <w:p w14:paraId="144CBD32" w14:textId="77777777" w:rsidR="00057D32" w:rsidRPr="00474093" w:rsidRDefault="00057D32" w:rsidP="00FB4D75">
            <w:pPr>
              <w:jc w:val="center"/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</w:pPr>
            <w:r w:rsidRPr="00474093"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  <w:t>Unit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C2749"/>
            <w:vAlign w:val="center"/>
            <w:hideMark/>
          </w:tcPr>
          <w:p w14:paraId="5F02F4A3" w14:textId="77777777" w:rsidR="00057D32" w:rsidRPr="00474093" w:rsidRDefault="00057D32" w:rsidP="00FB4D75">
            <w:pPr>
              <w:jc w:val="center"/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</w:pPr>
            <w:r w:rsidRPr="00474093">
              <w:rPr>
                <w:b/>
                <w:bCs/>
                <w:color w:val="FFFFFF" w:themeColor="background1"/>
                <w:sz w:val="20"/>
                <w:szCs w:val="20"/>
                <w:lang w:val="en-US"/>
              </w:rPr>
              <w:t>Monthly Cost</w:t>
            </w:r>
          </w:p>
        </w:tc>
      </w:tr>
      <w:tr w:rsidR="00057D32" w:rsidRPr="00233962" w14:paraId="4DA57F5E" w14:textId="77777777" w:rsidTr="005717DC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AD3B3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Indoor site belonging to HT used for placing Distribution Node (DN)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8572A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EUR/Site/month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4B7A1" w14:textId="77777777" w:rsidR="00057D32" w:rsidRPr="00233962" w:rsidRDefault="00057D32" w:rsidP="00233962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-</w:t>
            </w:r>
          </w:p>
        </w:tc>
      </w:tr>
      <w:tr w:rsidR="00057D32" w:rsidRPr="00233962" w14:paraId="434E9FB9" w14:textId="77777777" w:rsidTr="005717DC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417DB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Outdoor site belonging to HT used for placing Distribution Node (DN)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41D2D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EUR/Site/month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02168" w14:textId="3D58E186" w:rsidR="00057D32" w:rsidRPr="00233962" w:rsidRDefault="004644A1" w:rsidP="00233962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</w:tr>
      <w:tr w:rsidR="00057D32" w:rsidRPr="00233962" w14:paraId="1839075F" w14:textId="77777777" w:rsidTr="005717DC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2494F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Rack Unit of DN Indoor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33205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EUR/Rack/month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2A6E3" w14:textId="057C1C1A" w:rsidR="00057D32" w:rsidRPr="00233962" w:rsidRDefault="004644A1" w:rsidP="00233962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</w:tr>
      <w:tr w:rsidR="00057D32" w:rsidRPr="00233962" w14:paraId="195A49B7" w14:textId="77777777" w:rsidTr="005717DC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C74C4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Rack Unit of DN Outdoor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87851" w14:textId="77777777" w:rsidR="00057D32" w:rsidRPr="00233962" w:rsidRDefault="00057D32" w:rsidP="00FB4D75">
            <w:pPr>
              <w:rPr>
                <w:color w:val="000000"/>
                <w:sz w:val="20"/>
                <w:szCs w:val="20"/>
                <w:lang w:val="en-US"/>
              </w:rPr>
            </w:pPr>
            <w:r w:rsidRPr="00233962">
              <w:rPr>
                <w:color w:val="000000"/>
                <w:sz w:val="20"/>
                <w:szCs w:val="20"/>
                <w:lang w:val="en-US"/>
              </w:rPr>
              <w:t>EUR/Rack/month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C9199" w14:textId="2E37E32A" w:rsidR="00057D32" w:rsidRPr="00233962" w:rsidRDefault="004644A1" w:rsidP="00233962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</w:tr>
    </w:tbl>
    <w:p w14:paraId="7C68FCB1" w14:textId="77777777" w:rsidR="005717DC" w:rsidRDefault="005717DC" w:rsidP="00A446C5">
      <w:pPr>
        <w:jc w:val="both"/>
      </w:pPr>
      <w:bookmarkStart w:id="6" w:name="_GoBack"/>
      <w:bookmarkEnd w:id="6"/>
    </w:p>
    <w:p w14:paraId="336E24F0" w14:textId="569710B6" w:rsidR="00A446C5" w:rsidRDefault="00A446C5" w:rsidP="00A446C5">
      <w:pPr>
        <w:jc w:val="both"/>
        <w:rPr>
          <w:rFonts w:cstheme="minorHAnsi"/>
        </w:rPr>
      </w:pPr>
      <w:r>
        <w:t xml:space="preserve">Javni poziv je trajao od 3. listopada do 8. studenoga 2023. </w:t>
      </w:r>
      <w:r>
        <w:rPr>
          <w:rFonts w:cstheme="minorHAnsi"/>
        </w:rPr>
        <w:t>Svoje komentare i mišljenja vezano uz ažuriranje troškovnog modela</w:t>
      </w:r>
      <w:r w:rsidR="009D2B49">
        <w:rPr>
          <w:rFonts w:cstheme="minorHAnsi"/>
        </w:rPr>
        <w:t xml:space="preserve">, odnosno predloženog načina izračuna cijene usluge iz točke </w:t>
      </w:r>
      <w:r w:rsidR="009D2B49">
        <w:rPr>
          <w:rFonts w:cstheme="minorHAnsi"/>
        </w:rPr>
        <w:fldChar w:fldCharType="begin"/>
      </w:r>
      <w:r w:rsidR="009D2B49">
        <w:rPr>
          <w:rFonts w:cstheme="minorHAnsi"/>
        </w:rPr>
        <w:instrText xml:space="preserve"> REF _Ref53989237 \r \h </w:instrText>
      </w:r>
      <w:r w:rsidR="009D2B49">
        <w:rPr>
          <w:rFonts w:cstheme="minorHAnsi"/>
        </w:rPr>
      </w:r>
      <w:r w:rsidR="009D2B49">
        <w:rPr>
          <w:rFonts w:cstheme="minorHAnsi"/>
        </w:rPr>
        <w:fldChar w:fldCharType="separate"/>
      </w:r>
      <w:r w:rsidR="009D2B49">
        <w:rPr>
          <w:rFonts w:cstheme="minorHAnsi"/>
        </w:rPr>
        <w:t>I</w:t>
      </w:r>
      <w:r w:rsidR="009D2B49">
        <w:rPr>
          <w:rFonts w:cstheme="minorHAnsi"/>
        </w:rPr>
        <w:fldChar w:fldCharType="end"/>
      </w:r>
      <w:r w:rsidR="009D2B49">
        <w:rPr>
          <w:rFonts w:cstheme="minorHAnsi"/>
        </w:rPr>
        <w:t xml:space="preserve">. izreke ove odluke, </w:t>
      </w:r>
      <w:r>
        <w:rPr>
          <w:rFonts w:cstheme="minorHAnsi"/>
        </w:rPr>
        <w:t xml:space="preserve">dostavili su; HT, A1 Hrvatska d.o.o. </w:t>
      </w:r>
      <w:r w:rsidR="003C51FD">
        <w:rPr>
          <w:rFonts w:cstheme="minorHAnsi"/>
        </w:rPr>
        <w:t xml:space="preserve"> (dalje: A1)</w:t>
      </w:r>
      <w:r>
        <w:rPr>
          <w:rFonts w:cstheme="minorHAnsi"/>
        </w:rPr>
        <w:t xml:space="preserve">i </w:t>
      </w:r>
      <w:proofErr w:type="spellStart"/>
      <w:r w:rsidRPr="008660FD">
        <w:t>Telemach</w:t>
      </w:r>
      <w:proofErr w:type="spellEnd"/>
      <w:r w:rsidRPr="008660FD">
        <w:t xml:space="preserve"> Hrvatska d.o.o</w:t>
      </w:r>
      <w:r>
        <w:rPr>
          <w:rFonts w:cstheme="minorHAnsi"/>
        </w:rPr>
        <w:t>.</w:t>
      </w:r>
      <w:r w:rsidR="003C51FD">
        <w:rPr>
          <w:rFonts w:cstheme="minorHAnsi"/>
        </w:rPr>
        <w:t>(dalje</w:t>
      </w:r>
      <w:r w:rsidR="00057D32">
        <w:rPr>
          <w:rFonts w:cstheme="minorHAnsi"/>
        </w:rPr>
        <w:t>:</w:t>
      </w:r>
      <w:r w:rsidR="003C51FD">
        <w:rPr>
          <w:rFonts w:cstheme="minorHAnsi"/>
        </w:rPr>
        <w:t xml:space="preserve"> </w:t>
      </w:r>
      <w:proofErr w:type="spellStart"/>
      <w:r w:rsidR="003C51FD">
        <w:rPr>
          <w:rFonts w:cstheme="minorHAnsi"/>
        </w:rPr>
        <w:t>Telemach</w:t>
      </w:r>
      <w:proofErr w:type="spellEnd"/>
      <w:r w:rsidR="003C51FD">
        <w:rPr>
          <w:rFonts w:cstheme="minorHAnsi"/>
        </w:rPr>
        <w:t>).</w:t>
      </w:r>
      <w:r w:rsidRPr="00630342">
        <w:rPr>
          <w:rFonts w:cstheme="minorHAnsi"/>
        </w:rPr>
        <w:t xml:space="preserve"> </w:t>
      </w:r>
    </w:p>
    <w:p w14:paraId="238BDF69" w14:textId="7371990B" w:rsidR="00A446C5" w:rsidRDefault="00A446C5" w:rsidP="00A446C5">
      <w:pPr>
        <w:jc w:val="both"/>
        <w:rPr>
          <w:rFonts w:cstheme="minorHAnsi"/>
        </w:rPr>
      </w:pPr>
    </w:p>
    <w:p w14:paraId="7CA09116" w14:textId="40868ADC" w:rsidR="00C009C4" w:rsidRDefault="00246E20" w:rsidP="00C009C4">
      <w:pPr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HAKOM </w:t>
      </w:r>
      <w:r w:rsidRPr="00C22F5A">
        <w:rPr>
          <w:rFonts w:cstheme="minorHAnsi"/>
        </w:rPr>
        <w:t xml:space="preserve">je pristigle komentare analizirao te </w:t>
      </w:r>
      <w:r w:rsidR="00630342">
        <w:rPr>
          <w:rFonts w:cstheme="minorHAnsi"/>
        </w:rPr>
        <w:t xml:space="preserve">ih je u najvećoj mogućoj mjeri uzeo u obzir kod izrade konačne verzije ažuriranog Troškovnog modela i </w:t>
      </w:r>
      <w:r w:rsidR="00C009C4">
        <w:rPr>
          <w:rFonts w:cstheme="minorHAnsi"/>
        </w:rPr>
        <w:t xml:space="preserve">nastavku postupka </w:t>
      </w:r>
      <w:r w:rsidR="00630342">
        <w:rPr>
          <w:rFonts w:cstheme="minorHAnsi"/>
        </w:rPr>
        <w:t xml:space="preserve">određivanja cijena reguliranih veleprodajnih usluga </w:t>
      </w:r>
      <w:r w:rsidR="009D2B49">
        <w:rPr>
          <w:rFonts w:cstheme="minorHAnsi"/>
        </w:rPr>
        <w:t>na tržištu M1 koje su</w:t>
      </w:r>
      <w:r w:rsidR="00C009C4">
        <w:rPr>
          <w:rFonts w:cstheme="minorHAnsi"/>
        </w:rPr>
        <w:t xml:space="preserve"> određene </w:t>
      </w:r>
      <w:r w:rsidR="009D2B49">
        <w:rPr>
          <w:rFonts w:cstheme="minorHAnsi"/>
        </w:rPr>
        <w:t>odlukom</w:t>
      </w:r>
      <w:r w:rsidR="00C009C4" w:rsidRPr="00C009C4">
        <w:t xml:space="preserve"> </w:t>
      </w:r>
      <w:r w:rsidR="00C009C4" w:rsidRPr="00C009C4">
        <w:rPr>
          <w:rFonts w:cstheme="minorHAnsi"/>
        </w:rPr>
        <w:t>KLASA: UP/I-344-01/23-05/05</w:t>
      </w:r>
      <w:r w:rsidR="00C009C4">
        <w:rPr>
          <w:rFonts w:cstheme="minorHAnsi"/>
        </w:rPr>
        <w:t xml:space="preserve">, </w:t>
      </w:r>
      <w:r w:rsidR="00C009C4" w:rsidRPr="00C009C4">
        <w:rPr>
          <w:rFonts w:cstheme="minorHAnsi"/>
        </w:rPr>
        <w:t>URBROJ: 376-05-1-24-</w:t>
      </w:r>
      <w:r w:rsidR="00C009C4">
        <w:rPr>
          <w:rFonts w:cstheme="minorHAnsi"/>
        </w:rPr>
        <w:t>24 od 22. ožujka 2024.</w:t>
      </w:r>
    </w:p>
    <w:p w14:paraId="451E8E05" w14:textId="77777777" w:rsidR="00C009C4" w:rsidRDefault="00C009C4" w:rsidP="00C009C4">
      <w:pPr>
        <w:jc w:val="both"/>
        <w:rPr>
          <w:rFonts w:cstheme="minorHAnsi"/>
        </w:rPr>
      </w:pPr>
    </w:p>
    <w:p w14:paraId="5FE63E72" w14:textId="15C8DD0C" w:rsidR="003C51FD" w:rsidRDefault="00C009C4" w:rsidP="003C51FD">
      <w:pPr>
        <w:jc w:val="both"/>
        <w:rPr>
          <w:rFonts w:cstheme="minorHAnsi"/>
        </w:rPr>
      </w:pPr>
      <w:r>
        <w:rPr>
          <w:rFonts w:cstheme="minorHAnsi"/>
        </w:rPr>
        <w:t>S druge strane, s obzirom da su se A</w:t>
      </w:r>
      <w:r w:rsidR="003C51FD">
        <w:rPr>
          <w:rFonts w:cstheme="minorHAnsi"/>
        </w:rPr>
        <w:t>1</w:t>
      </w:r>
      <w:r>
        <w:rPr>
          <w:rFonts w:cstheme="minorHAnsi"/>
        </w:rPr>
        <w:t xml:space="preserve"> i </w:t>
      </w:r>
      <w:proofErr w:type="spellStart"/>
      <w:r>
        <w:rPr>
          <w:rFonts w:cstheme="minorHAnsi"/>
        </w:rPr>
        <w:t>T</w:t>
      </w:r>
      <w:r w:rsidR="003C51FD">
        <w:rPr>
          <w:rFonts w:cstheme="minorHAnsi"/>
        </w:rPr>
        <w:t>elemach</w:t>
      </w:r>
      <w:proofErr w:type="spellEnd"/>
      <w:r>
        <w:rPr>
          <w:rFonts w:cstheme="minorHAnsi"/>
        </w:rPr>
        <w:t xml:space="preserve"> </w:t>
      </w:r>
      <w:r w:rsidR="003C51FD">
        <w:rPr>
          <w:rFonts w:cstheme="minorHAnsi"/>
        </w:rPr>
        <w:t xml:space="preserve">u javnom pozivu </w:t>
      </w:r>
      <w:r>
        <w:rPr>
          <w:rFonts w:cstheme="minorHAnsi"/>
        </w:rPr>
        <w:t>snažno protivil</w:t>
      </w:r>
      <w:r w:rsidR="009C4AA6">
        <w:rPr>
          <w:rFonts w:cstheme="minorHAnsi"/>
        </w:rPr>
        <w:t>i</w:t>
      </w:r>
      <w:r>
        <w:rPr>
          <w:rFonts w:cstheme="minorHAnsi"/>
        </w:rPr>
        <w:t xml:space="preserve"> predloženom načinu izračuna dovodeći u pitanje rezultate i </w:t>
      </w:r>
      <w:r w:rsidR="003C51FD">
        <w:rPr>
          <w:rFonts w:cstheme="minorHAnsi"/>
        </w:rPr>
        <w:t>ul</w:t>
      </w:r>
      <w:r>
        <w:rPr>
          <w:rFonts w:cstheme="minorHAnsi"/>
        </w:rPr>
        <w:t>azne podatke na osnovu kojih je izračun napravlje</w:t>
      </w:r>
      <w:r w:rsidR="003C51FD">
        <w:rPr>
          <w:rFonts w:cstheme="minorHAnsi"/>
        </w:rPr>
        <w:t>n</w:t>
      </w:r>
      <w:r>
        <w:rPr>
          <w:rFonts w:cstheme="minorHAnsi"/>
        </w:rPr>
        <w:t xml:space="preserve">, HAKOM je odlučio preispitati izračun te odrediti cijene usluga iz točke </w:t>
      </w:r>
      <w:r>
        <w:rPr>
          <w:rFonts w:cstheme="minorHAnsi"/>
        </w:rPr>
        <w:fldChar w:fldCharType="begin"/>
      </w:r>
      <w:r>
        <w:rPr>
          <w:rFonts w:cstheme="minorHAnsi"/>
        </w:rPr>
        <w:instrText xml:space="preserve"> REF _Ref53989237 \r \h </w:instrText>
      </w:r>
      <w:r>
        <w:rPr>
          <w:rFonts w:cstheme="minorHAnsi"/>
        </w:rPr>
      </w:r>
      <w:r>
        <w:rPr>
          <w:rFonts w:cstheme="minorHAnsi"/>
        </w:rPr>
        <w:fldChar w:fldCharType="separate"/>
      </w:r>
      <w:r>
        <w:rPr>
          <w:rFonts w:cstheme="minorHAnsi"/>
        </w:rPr>
        <w:t>I</w:t>
      </w:r>
      <w:r>
        <w:rPr>
          <w:rFonts w:cstheme="minorHAnsi"/>
        </w:rPr>
        <w:fldChar w:fldCharType="end"/>
      </w:r>
      <w:r>
        <w:rPr>
          <w:rFonts w:cstheme="minorHAnsi"/>
        </w:rPr>
        <w:t>. u zasebnom postupku.</w:t>
      </w:r>
      <w:r w:rsidR="003C51FD">
        <w:rPr>
          <w:rFonts w:cstheme="minorHAnsi"/>
        </w:rPr>
        <w:t xml:space="preserve"> </w:t>
      </w:r>
    </w:p>
    <w:p w14:paraId="23563D95" w14:textId="77777777" w:rsidR="003C51FD" w:rsidRDefault="003C51FD" w:rsidP="003C51FD">
      <w:pPr>
        <w:jc w:val="both"/>
        <w:rPr>
          <w:rFonts w:cstheme="minorHAnsi"/>
        </w:rPr>
      </w:pPr>
    </w:p>
    <w:p w14:paraId="6C64B494" w14:textId="05E70053" w:rsidR="003C51FD" w:rsidRPr="003C51FD" w:rsidRDefault="003C51FD" w:rsidP="003C51FD">
      <w:pPr>
        <w:jc w:val="both"/>
        <w:rPr>
          <w:rFonts w:cstheme="minorHAnsi"/>
        </w:rPr>
      </w:pPr>
      <w:r>
        <w:rPr>
          <w:rFonts w:cstheme="minorHAnsi"/>
        </w:rPr>
        <w:t xml:space="preserve">A1 se u svom komentaru </w:t>
      </w:r>
      <w:r w:rsidRPr="003C51FD">
        <w:rPr>
          <w:rFonts w:cstheme="minorHAnsi"/>
        </w:rPr>
        <w:t xml:space="preserve">snažno protivi predloženom izračunu jer je isti netransparentan i praktički se temelji na jednom trošku (trošak </w:t>
      </w:r>
      <w:r w:rsidR="009C4AA6">
        <w:rPr>
          <w:rFonts w:cstheme="minorHAnsi"/>
        </w:rPr>
        <w:t>RU</w:t>
      </w:r>
      <w:r w:rsidRPr="003C51FD">
        <w:rPr>
          <w:rFonts w:cstheme="minorHAnsi"/>
        </w:rPr>
        <w:t>) za koji uopće nije jasno što točno predstavlja.</w:t>
      </w:r>
    </w:p>
    <w:p w14:paraId="0489F364" w14:textId="3BC289E1" w:rsidR="00C009C4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A1 </w:t>
      </w:r>
      <w:r>
        <w:rPr>
          <w:rFonts w:cstheme="minorHAnsi"/>
        </w:rPr>
        <w:t xml:space="preserve">također </w:t>
      </w:r>
      <w:r w:rsidRPr="003C51FD">
        <w:rPr>
          <w:rFonts w:cstheme="minorHAnsi"/>
        </w:rPr>
        <w:t>smatra da HAKOM treba najprije dostaviti operatorima korisnicima specifikaciju navedenog troška kako bi se moglo utvrditi što HT točno pokušava naplatiti kroz navedenu naknadu, a posebno imajući na umu da kod ostvarivanja pristupa određenom distribucijskom čvoru operatori korisnici već plaćaju značajne iznose u vidu jednokratnih troškova koje HT fakturira. Stoga je</w:t>
      </w:r>
      <w:r>
        <w:rPr>
          <w:rFonts w:cstheme="minorHAnsi"/>
        </w:rPr>
        <w:t xml:space="preserve">, prema mišljenju A1, </w:t>
      </w:r>
      <w:r w:rsidRPr="003C51FD">
        <w:rPr>
          <w:rFonts w:cstheme="minorHAnsi"/>
        </w:rPr>
        <w:t xml:space="preserve">potrebno jasno definirati što uključuje predmetni trošak </w:t>
      </w:r>
      <w:proofErr w:type="spellStart"/>
      <w:r w:rsidRPr="003C51FD">
        <w:rPr>
          <w:rFonts w:cstheme="minorHAnsi"/>
        </w:rPr>
        <w:t>rack</w:t>
      </w:r>
      <w:proofErr w:type="spellEnd"/>
      <w:r w:rsidRPr="003C51FD">
        <w:rPr>
          <w:rFonts w:cstheme="minorHAnsi"/>
        </w:rPr>
        <w:t xml:space="preserve"> </w:t>
      </w:r>
      <w:proofErr w:type="spellStart"/>
      <w:r w:rsidRPr="003C51FD">
        <w:rPr>
          <w:rFonts w:cstheme="minorHAnsi"/>
        </w:rPr>
        <w:t>unita</w:t>
      </w:r>
      <w:proofErr w:type="spellEnd"/>
      <w:r w:rsidRPr="003C51FD">
        <w:rPr>
          <w:rFonts w:cstheme="minorHAnsi"/>
        </w:rPr>
        <w:t xml:space="preserve"> kako se ne bi dogodilo da je u isti uključen dio troškova koje operatori plaćaju i kroz spomenute jednokratne </w:t>
      </w:r>
      <w:proofErr w:type="spellStart"/>
      <w:r w:rsidRPr="003C51FD">
        <w:rPr>
          <w:rFonts w:cstheme="minorHAnsi"/>
        </w:rPr>
        <w:t>naknade.Tek</w:t>
      </w:r>
      <w:proofErr w:type="spellEnd"/>
      <w:r w:rsidRPr="003C51FD">
        <w:rPr>
          <w:rFonts w:cstheme="minorHAnsi"/>
        </w:rPr>
        <w:t xml:space="preserve"> po dostavi navedenih specifikacija predmetnog jediničnog troška A1 će biti u mogućnosti detaljnije komentirati predmetni izračun i opravdanost ovako značajnog poskupljenja predmetne naknade.</w:t>
      </w:r>
    </w:p>
    <w:p w14:paraId="31305036" w14:textId="5F6A8915" w:rsidR="003C51FD" w:rsidRDefault="003C51FD" w:rsidP="003C51FD">
      <w:pPr>
        <w:jc w:val="both"/>
        <w:rPr>
          <w:rFonts w:cstheme="minorHAnsi"/>
        </w:rPr>
      </w:pPr>
    </w:p>
    <w:p w14:paraId="6B3ADAFB" w14:textId="0C1A98BF" w:rsidR="003C51FD" w:rsidRDefault="003C51FD" w:rsidP="003C51FD">
      <w:pPr>
        <w:jc w:val="both"/>
        <w:rPr>
          <w:rFonts w:cstheme="minorHAnsi"/>
        </w:rPr>
      </w:pPr>
      <w:r>
        <w:rPr>
          <w:rFonts w:cstheme="minorHAnsi"/>
        </w:rPr>
        <w:t xml:space="preserve">U svom komentaru na javnom pozivu, </w:t>
      </w:r>
      <w:proofErr w:type="spellStart"/>
      <w:r w:rsidRPr="003C51FD">
        <w:rPr>
          <w:rFonts w:cstheme="minorHAnsi"/>
        </w:rPr>
        <w:t>Telemach</w:t>
      </w:r>
      <w:proofErr w:type="spellEnd"/>
      <w:r w:rsidRPr="003C51FD">
        <w:rPr>
          <w:rFonts w:cstheme="minorHAnsi"/>
        </w:rPr>
        <w:t xml:space="preserve"> prije svega ističe kako se apsolutno protivi izračunu vrijednosti mjesečnih naknada i to kako za najam unutarnjeg HT prostora tako i za najam vanjskog HT kabineta te unutarnjeg unajmljenog prostora. </w:t>
      </w:r>
      <w:proofErr w:type="spellStart"/>
      <w:r>
        <w:rPr>
          <w:rFonts w:cstheme="minorHAnsi"/>
        </w:rPr>
        <w:t>Telemach</w:t>
      </w:r>
      <w:proofErr w:type="spellEnd"/>
      <w:r>
        <w:rPr>
          <w:rFonts w:cstheme="minorHAnsi"/>
        </w:rPr>
        <w:t xml:space="preserve"> smatra kako d</w:t>
      </w:r>
      <w:r w:rsidRPr="003C51FD">
        <w:rPr>
          <w:rFonts w:cstheme="minorHAnsi"/>
        </w:rPr>
        <w:t>obivene naknade za vlastiti HT prostor predstavljaju drastično</w:t>
      </w:r>
      <w:r w:rsidR="009C4AA6">
        <w:rPr>
          <w:rFonts w:cstheme="minorHAnsi"/>
        </w:rPr>
        <w:t>,</w:t>
      </w:r>
      <w:r w:rsidRPr="003C51FD">
        <w:rPr>
          <w:rFonts w:cstheme="minorHAnsi"/>
        </w:rPr>
        <w:t xml:space="preserve"> deseterostruko</w:t>
      </w:r>
      <w:r w:rsidR="009C4AA6">
        <w:rPr>
          <w:rFonts w:cstheme="minorHAnsi"/>
        </w:rPr>
        <w:t>,</w:t>
      </w:r>
      <w:r w:rsidRPr="003C51FD">
        <w:rPr>
          <w:rFonts w:cstheme="minorHAnsi"/>
        </w:rPr>
        <w:t xml:space="preserve"> mjesečno povećanje koje ni s čim nije opravdano. </w:t>
      </w:r>
      <w:r>
        <w:rPr>
          <w:rFonts w:cstheme="minorHAnsi"/>
        </w:rPr>
        <w:t xml:space="preserve">Prema mišljenju </w:t>
      </w:r>
      <w:proofErr w:type="spellStart"/>
      <w:r>
        <w:rPr>
          <w:rFonts w:cstheme="minorHAnsi"/>
        </w:rPr>
        <w:t>Telemacha</w:t>
      </w:r>
      <w:proofErr w:type="spellEnd"/>
      <w:r>
        <w:rPr>
          <w:rFonts w:cstheme="minorHAnsi"/>
        </w:rPr>
        <w:t>, s</w:t>
      </w:r>
      <w:r w:rsidRPr="003C51FD">
        <w:rPr>
          <w:rFonts w:cstheme="minorHAnsi"/>
        </w:rPr>
        <w:t xml:space="preserve">mještaj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, fizičkog panela veličine veće ladice u bilo kakav prostor, ne može biti popraćen naknadom od 25 EUR ili 12 EUR mjesečno jer za to nema nikakvog opravdanja pogotovo ako se u obzir uzme cijena koja je na snazi danas. </w:t>
      </w:r>
    </w:p>
    <w:p w14:paraId="7362892C" w14:textId="77777777" w:rsidR="007E0D6A" w:rsidRPr="003C51FD" w:rsidRDefault="007E0D6A" w:rsidP="003C51FD">
      <w:pPr>
        <w:jc w:val="both"/>
        <w:rPr>
          <w:rFonts w:cstheme="minorHAnsi"/>
        </w:rPr>
      </w:pPr>
    </w:p>
    <w:p w14:paraId="3F592D13" w14:textId="6E033E63" w:rsidR="003C51FD" w:rsidRPr="003C51FD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Ono što je </w:t>
      </w:r>
      <w:r w:rsidR="00057D32">
        <w:rPr>
          <w:rFonts w:cstheme="minorHAnsi"/>
        </w:rPr>
        <w:t xml:space="preserve">prema </w:t>
      </w:r>
      <w:proofErr w:type="spellStart"/>
      <w:r w:rsidR="00057D32">
        <w:rPr>
          <w:rFonts w:cstheme="minorHAnsi"/>
        </w:rPr>
        <w:t>Telemachu</w:t>
      </w:r>
      <w:proofErr w:type="spellEnd"/>
      <w:r w:rsidR="00057D32">
        <w:rPr>
          <w:rFonts w:cstheme="minorHAnsi"/>
        </w:rPr>
        <w:t xml:space="preserve"> </w:t>
      </w:r>
      <w:r w:rsidRPr="003C51FD">
        <w:rPr>
          <w:rFonts w:cstheme="minorHAnsi"/>
        </w:rPr>
        <w:t xml:space="preserve">dodatno nelogično je da cijena smještaja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 košta dvostruko više ako se radi o unutarnjem HT objektu u odnosu na vanjski objekt ili zakupljeni prostor.</w:t>
      </w:r>
      <w:r w:rsidR="00057D32">
        <w:rPr>
          <w:rFonts w:cstheme="minorHAnsi"/>
        </w:rPr>
        <w:t xml:space="preserve"> Naime, </w:t>
      </w:r>
      <w:r w:rsidRPr="003C51FD">
        <w:rPr>
          <w:rFonts w:cstheme="minorHAnsi"/>
        </w:rPr>
        <w:t xml:space="preserve">HT čvorovi kojima pristupaju operatori korisnici se nalaze u HT objektima koji su ciljano građeni prije 10-tak i više godina te su namijenjeni za smještaj TK opreme. Zbog čega bi danas, godinama nakon što su se ti čvorovi izgradili, naknada za smještaj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 bila deset puta viša nego do sada jednostavno nije opravdano niti je isto moguće potkrijepiti bilo kakvih porastom troškova. </w:t>
      </w:r>
      <w:proofErr w:type="spellStart"/>
      <w:r w:rsidR="00057D32">
        <w:rPr>
          <w:rFonts w:cstheme="minorHAnsi"/>
        </w:rPr>
        <w:t>Telemach</w:t>
      </w:r>
      <w:proofErr w:type="spellEnd"/>
      <w:r w:rsidR="00057D32">
        <w:rPr>
          <w:rFonts w:cstheme="minorHAnsi"/>
        </w:rPr>
        <w:t xml:space="preserve"> smatra kako n</w:t>
      </w:r>
      <w:r w:rsidRPr="003C51FD">
        <w:rPr>
          <w:rFonts w:cstheme="minorHAnsi"/>
        </w:rPr>
        <w:t xml:space="preserve">iti jedan trošak nije porastao deseterostruko, a obzirom da se radi o isključivo pasivnom/fizičkom komadu opreme koje ne zahtijeva nikakvo napajanje/hlađenje itd., sve i da su troškovi u tom dijelu porasli, na smještaj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 to ne bi trebalo biti od utjecaja. No čak i da su troškovi porasli te da imaju utjecaj na smještaj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, udio jednog </w:t>
      </w:r>
      <w:proofErr w:type="spellStart"/>
      <w:r w:rsidRPr="003C51FD">
        <w:rPr>
          <w:rFonts w:cstheme="minorHAnsi"/>
        </w:rPr>
        <w:t>splittera</w:t>
      </w:r>
      <w:proofErr w:type="spellEnd"/>
      <w:r w:rsidRPr="003C51FD">
        <w:rPr>
          <w:rFonts w:cstheme="minorHAnsi"/>
        </w:rPr>
        <w:t xml:space="preserve"> u snošenju tog troška nužno bi morao biti minimalan, a svakako se ne može odraziti u deseterostrukom povećanju mjesečne naknade. Štoviše, umjesto da naknada za smještaj djelitelja u postojećem već izgrađenom objektu HT-a raste deset puta, bilo bi logičnije da ista pada obzirom na manjak ulaganja u te objekte od strane HT-a. </w:t>
      </w:r>
    </w:p>
    <w:p w14:paraId="709A799A" w14:textId="77777777" w:rsidR="007E0D6A" w:rsidRDefault="007E0D6A" w:rsidP="003C51FD">
      <w:pPr>
        <w:jc w:val="both"/>
        <w:rPr>
          <w:rFonts w:cstheme="minorHAnsi"/>
        </w:rPr>
      </w:pPr>
    </w:p>
    <w:p w14:paraId="2ED35096" w14:textId="09E9FCF8" w:rsidR="00233962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Dodatno, nije jasno kako je moguće da HT ima veći trošak za vlastitu, dobrim dijelom amortiziranu imovinu, od imovine u zakupu, a za koju bi bilo donekle jasno da su se troškovi povećali uslijed ekonomskih okolnosti u kojima se svi nalazimo. Međutim, ni ti troškovi ne mogu biti dvostruko veći (kako se danas odražavaju u modelu) jer to naprosto nije odraz tržišnih kretanja. </w:t>
      </w:r>
    </w:p>
    <w:p w14:paraId="4D33A75A" w14:textId="77777777" w:rsidR="007E0D6A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>Također,</w:t>
      </w:r>
      <w:r w:rsidR="00057D32">
        <w:rPr>
          <w:rFonts w:cstheme="minorHAnsi"/>
        </w:rPr>
        <w:t xml:space="preserve"> </w:t>
      </w:r>
      <w:proofErr w:type="spellStart"/>
      <w:r w:rsidR="00057D32">
        <w:rPr>
          <w:rFonts w:cstheme="minorHAnsi"/>
        </w:rPr>
        <w:t>Telemachu</w:t>
      </w:r>
      <w:proofErr w:type="spellEnd"/>
      <w:r w:rsidRPr="003C51FD">
        <w:rPr>
          <w:rFonts w:cstheme="minorHAnsi"/>
        </w:rPr>
        <w:t xml:space="preserve"> nije jasno ni koji je argument za porast troškova vanjskih kabineta. Prema našim saznanjima niti se zakup javnih površina povećao da bi opravdao dvostruko poskupljenje naknade niti </w:t>
      </w:r>
      <w:r w:rsidRPr="003C51FD">
        <w:rPr>
          <w:rFonts w:cstheme="minorHAnsi"/>
        </w:rPr>
        <w:lastRenderedPageBreak/>
        <w:t>je oprema (ulični ormar) poskupila da bi ovakvo povećanje opravdala. Dapače, oprema (ulični ormari) je unazad nekoliko godina značajno pojeftinila u odnosu na prethodne godine.</w:t>
      </w:r>
    </w:p>
    <w:p w14:paraId="6AD10655" w14:textId="7B642D88" w:rsidR="003C51FD" w:rsidRPr="003C51FD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 </w:t>
      </w:r>
    </w:p>
    <w:p w14:paraId="6FECCC35" w14:textId="77777777" w:rsidR="003C51FD" w:rsidRPr="003C51FD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Dakle, ovo poskupljenje je apsolutno nelogično. Prvenstveno iz perspektive samog višestrukog povećanja jer za isto nema opravdanja. Također, i iz perspektive da HT više košta vlastiti, dijelom amortizirani prostor, od prostora koji se nalazi u najmu/zakupu i/ili na javnoj površini, a za što se plaća naknada trećima i za što je potrebno, u određenim slučajevima postaviti novi distribucijski čvor. </w:t>
      </w:r>
    </w:p>
    <w:p w14:paraId="6A630BA8" w14:textId="77777777" w:rsidR="003C51FD" w:rsidRPr="003C51FD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Dodatno, u odnosu na izneseni navod HAKOM-a sukladno kojem se naknade za najam prostora u distribucijskom čvoru zasnivaju na troškovima distribucijskih čvorova iz 2014. kada su troškovi izgradnje distribucijskih čvorova bili značajno niži, </w:t>
      </w:r>
      <w:proofErr w:type="spellStart"/>
      <w:r w:rsidRPr="003C51FD">
        <w:rPr>
          <w:rFonts w:cstheme="minorHAnsi"/>
        </w:rPr>
        <w:t>Telemach</w:t>
      </w:r>
      <w:proofErr w:type="spellEnd"/>
      <w:r w:rsidRPr="003C51FD">
        <w:rPr>
          <w:rFonts w:cstheme="minorHAnsi"/>
        </w:rPr>
        <w:t xml:space="preserve"> predlaže da HAKOM pozove HT da dostavi podatak o novoizgrađenim HT prostorima u kojima su smješteni čvorovi te vanjskim DČ-ovima po godinama, a koji su izgrađeni nakon 2014. godine. </w:t>
      </w:r>
    </w:p>
    <w:p w14:paraId="1519CAB1" w14:textId="5D448719" w:rsidR="003C51FD" w:rsidRDefault="003C51FD" w:rsidP="003C51FD">
      <w:pPr>
        <w:jc w:val="both"/>
        <w:rPr>
          <w:rFonts w:cstheme="minorHAnsi"/>
        </w:rPr>
      </w:pPr>
      <w:r w:rsidRPr="003C51FD">
        <w:rPr>
          <w:rFonts w:cstheme="minorHAnsi"/>
        </w:rPr>
        <w:t xml:space="preserve">Slijedom navedenog, </w:t>
      </w:r>
      <w:proofErr w:type="spellStart"/>
      <w:r w:rsidRPr="003C51FD">
        <w:rPr>
          <w:rFonts w:cstheme="minorHAnsi"/>
        </w:rPr>
        <w:t>Telemach</w:t>
      </w:r>
      <w:proofErr w:type="spellEnd"/>
      <w:r w:rsidRPr="003C51FD">
        <w:rPr>
          <w:rFonts w:cstheme="minorHAnsi"/>
        </w:rPr>
        <w:t xml:space="preserve"> poziva HAKOM da izvrši reviziju izračuna svih ulaznih troškova obiju naknada za najam prostora u distribucijskom čvoru obzirom da se radi o nelogičnom i neutemeljenom povećanju.</w:t>
      </w:r>
    </w:p>
    <w:p w14:paraId="28FFC185" w14:textId="2DAE4464" w:rsidR="00057D32" w:rsidRDefault="00057D32" w:rsidP="003C51FD">
      <w:pPr>
        <w:jc w:val="both"/>
        <w:rPr>
          <w:rFonts w:cstheme="minorHAnsi"/>
        </w:rPr>
      </w:pPr>
    </w:p>
    <w:p w14:paraId="11828DFE" w14:textId="37E6898E" w:rsidR="00057D32" w:rsidRDefault="00057D32" w:rsidP="003C51FD">
      <w:pPr>
        <w:jc w:val="both"/>
        <w:rPr>
          <w:rFonts w:cstheme="minorHAnsi"/>
        </w:rPr>
      </w:pPr>
      <w:r>
        <w:rPr>
          <w:rFonts w:cstheme="minorHAnsi"/>
        </w:rPr>
        <w:t xml:space="preserve">HT je u svom komentaru na javnom pozivu samo naveo kako </w:t>
      </w:r>
      <w:r w:rsidRPr="00057D32">
        <w:rPr>
          <w:rFonts w:cstheme="minorHAnsi"/>
        </w:rPr>
        <w:t xml:space="preserve">HT smatra da </w:t>
      </w:r>
      <w:r>
        <w:rPr>
          <w:rFonts w:cstheme="minorHAnsi"/>
        </w:rPr>
        <w:t xml:space="preserve">je </w:t>
      </w:r>
      <w:r w:rsidRPr="00057D32">
        <w:rPr>
          <w:rFonts w:cstheme="minorHAnsi"/>
        </w:rPr>
        <w:t xml:space="preserve">podatak </w:t>
      </w:r>
      <w:r>
        <w:rPr>
          <w:rFonts w:cstheme="minorHAnsi"/>
        </w:rPr>
        <w:t>„</w:t>
      </w:r>
      <w:proofErr w:type="spellStart"/>
      <w:r w:rsidRPr="00057D32">
        <w:rPr>
          <w:rFonts w:cstheme="minorHAnsi"/>
          <w:i/>
        </w:rPr>
        <w:t>Outdoor</w:t>
      </w:r>
      <w:proofErr w:type="spellEnd"/>
      <w:r w:rsidRPr="00057D32">
        <w:rPr>
          <w:rFonts w:cstheme="minorHAnsi"/>
          <w:i/>
        </w:rPr>
        <w:t xml:space="preserve"> site </w:t>
      </w:r>
      <w:proofErr w:type="spellStart"/>
      <w:r w:rsidRPr="00057D32">
        <w:rPr>
          <w:rFonts w:cstheme="minorHAnsi"/>
          <w:i/>
        </w:rPr>
        <w:t>belonging</w:t>
      </w:r>
      <w:proofErr w:type="spellEnd"/>
      <w:r w:rsidRPr="00057D32">
        <w:rPr>
          <w:rFonts w:cstheme="minorHAnsi"/>
          <w:i/>
        </w:rPr>
        <w:t xml:space="preserve"> to HT </w:t>
      </w:r>
      <w:proofErr w:type="spellStart"/>
      <w:r w:rsidRPr="00057D32">
        <w:rPr>
          <w:rFonts w:cstheme="minorHAnsi"/>
          <w:i/>
        </w:rPr>
        <w:t>used</w:t>
      </w:r>
      <w:proofErr w:type="spellEnd"/>
      <w:r w:rsidRPr="00057D32">
        <w:rPr>
          <w:rFonts w:cstheme="minorHAnsi"/>
          <w:i/>
        </w:rPr>
        <w:t xml:space="preserve"> for </w:t>
      </w:r>
      <w:proofErr w:type="spellStart"/>
      <w:r w:rsidRPr="00057D32">
        <w:rPr>
          <w:rFonts w:cstheme="minorHAnsi"/>
          <w:i/>
        </w:rPr>
        <w:t>placing</w:t>
      </w:r>
      <w:proofErr w:type="spellEnd"/>
      <w:r w:rsidRPr="00057D32">
        <w:rPr>
          <w:rFonts w:cstheme="minorHAnsi"/>
          <w:i/>
        </w:rPr>
        <w:t xml:space="preserve"> </w:t>
      </w:r>
      <w:proofErr w:type="spellStart"/>
      <w:r w:rsidRPr="00057D32">
        <w:rPr>
          <w:rFonts w:cstheme="minorHAnsi"/>
          <w:i/>
        </w:rPr>
        <w:t>Distribution</w:t>
      </w:r>
      <w:proofErr w:type="spellEnd"/>
      <w:r w:rsidRPr="00057D32">
        <w:rPr>
          <w:rFonts w:cstheme="minorHAnsi"/>
          <w:i/>
        </w:rPr>
        <w:t xml:space="preserve"> </w:t>
      </w:r>
      <w:proofErr w:type="spellStart"/>
      <w:r w:rsidRPr="00057D32">
        <w:rPr>
          <w:rFonts w:cstheme="minorHAnsi"/>
          <w:i/>
        </w:rPr>
        <w:t>Node</w:t>
      </w:r>
      <w:proofErr w:type="spellEnd"/>
      <w:r w:rsidRPr="00057D32">
        <w:rPr>
          <w:rFonts w:cstheme="minorHAnsi"/>
          <w:i/>
        </w:rPr>
        <w:t xml:space="preserve"> (DN)</w:t>
      </w:r>
      <w:r>
        <w:rPr>
          <w:rFonts w:cstheme="minorHAnsi"/>
        </w:rPr>
        <w:t xml:space="preserve">“ </w:t>
      </w:r>
      <w:r w:rsidRPr="00057D32">
        <w:rPr>
          <w:rFonts w:cstheme="minorHAnsi"/>
        </w:rPr>
        <w:t>iznos po m</w:t>
      </w:r>
      <w:r w:rsidRPr="00057D32">
        <w:rPr>
          <w:rFonts w:cstheme="minorHAnsi"/>
          <w:vertAlign w:val="superscript"/>
        </w:rPr>
        <w:t>2</w:t>
      </w:r>
      <w:r w:rsidRPr="00057D32">
        <w:rPr>
          <w:rFonts w:cstheme="minorHAnsi"/>
        </w:rPr>
        <w:t xml:space="preserve"> i </w:t>
      </w:r>
      <w:r>
        <w:rPr>
          <w:rFonts w:cstheme="minorHAnsi"/>
        </w:rPr>
        <w:t>da ga je potrebno</w:t>
      </w:r>
      <w:r w:rsidRPr="00057D32">
        <w:rPr>
          <w:rFonts w:cstheme="minorHAnsi"/>
        </w:rPr>
        <w:t xml:space="preserve"> množiti sa 2 (prosječna površina u m</w:t>
      </w:r>
      <w:r w:rsidRPr="00057D32">
        <w:rPr>
          <w:rFonts w:cstheme="minorHAnsi"/>
          <w:vertAlign w:val="superscript"/>
        </w:rPr>
        <w:t>2</w:t>
      </w:r>
      <w:r w:rsidRPr="00057D32">
        <w:rPr>
          <w:rFonts w:cstheme="minorHAnsi"/>
        </w:rPr>
        <w:t>) kako bi ispravno bio implementiran u troškovni model.</w:t>
      </w:r>
      <w:r>
        <w:rPr>
          <w:rFonts w:cstheme="minorHAnsi"/>
        </w:rPr>
        <w:t xml:space="preserve"> Dodatnih komentara na način izračuna HT nije imao.</w:t>
      </w:r>
    </w:p>
    <w:p w14:paraId="2237CDA0" w14:textId="17C7446E" w:rsidR="00057D32" w:rsidRDefault="00057D32" w:rsidP="003C51FD">
      <w:pPr>
        <w:jc w:val="both"/>
        <w:rPr>
          <w:rFonts w:cstheme="minorHAnsi"/>
        </w:rPr>
      </w:pPr>
    </w:p>
    <w:p w14:paraId="5298F797" w14:textId="6C97F565" w:rsidR="007373F6" w:rsidRDefault="007373F6" w:rsidP="003C51FD">
      <w:pPr>
        <w:jc w:val="both"/>
        <w:rPr>
          <w:rFonts w:cstheme="minorHAnsi"/>
        </w:rPr>
      </w:pPr>
      <w:r>
        <w:rPr>
          <w:rFonts w:cstheme="minorHAnsi"/>
        </w:rPr>
        <w:t>HAKOM je komentare s javnog poziva u najvećoj mogućoj mjeri uzeo u obzir.</w:t>
      </w:r>
    </w:p>
    <w:p w14:paraId="1CAE03D4" w14:textId="2A78F7EC" w:rsidR="007373F6" w:rsidRDefault="007373F6" w:rsidP="003C51FD">
      <w:pPr>
        <w:jc w:val="both"/>
        <w:rPr>
          <w:rFonts w:cstheme="minorHAnsi"/>
        </w:rPr>
      </w:pPr>
    </w:p>
    <w:p w14:paraId="1E0A2B47" w14:textId="77777777" w:rsidR="007E0D6A" w:rsidRDefault="005E20CE" w:rsidP="003C51FD">
      <w:pPr>
        <w:jc w:val="both"/>
        <w:rPr>
          <w:rFonts w:cstheme="minorHAnsi"/>
        </w:rPr>
      </w:pPr>
      <w:r>
        <w:rPr>
          <w:rFonts w:cstheme="minorHAnsi"/>
        </w:rPr>
        <w:t>U</w:t>
      </w:r>
      <w:r w:rsidR="007373F6">
        <w:rPr>
          <w:rFonts w:cstheme="minorHAnsi"/>
        </w:rPr>
        <w:t xml:space="preserve"> izračunu</w:t>
      </w:r>
      <w:r w:rsidR="00EB6A6B">
        <w:rPr>
          <w:rFonts w:cstheme="minorHAnsi"/>
        </w:rPr>
        <w:t xml:space="preserve"> </w:t>
      </w:r>
      <w:r>
        <w:rPr>
          <w:rFonts w:cstheme="minorHAnsi"/>
        </w:rPr>
        <w:t xml:space="preserve">se </w:t>
      </w:r>
      <w:r w:rsidR="00EB6A6B">
        <w:rPr>
          <w:rFonts w:cstheme="minorHAnsi"/>
        </w:rPr>
        <w:t xml:space="preserve">koriste </w:t>
      </w:r>
      <w:r>
        <w:rPr>
          <w:rFonts w:cstheme="minorHAnsi"/>
        </w:rPr>
        <w:t>metodološka načela koja su utvrđena i prim</w:t>
      </w:r>
      <w:r w:rsidR="005122AF">
        <w:rPr>
          <w:rFonts w:cstheme="minorHAnsi"/>
        </w:rPr>
        <w:t>i</w:t>
      </w:r>
      <w:r>
        <w:rPr>
          <w:rFonts w:cstheme="minorHAnsi"/>
        </w:rPr>
        <w:t xml:space="preserve">jenjena u izradi Troškovnog modela. </w:t>
      </w:r>
    </w:p>
    <w:p w14:paraId="10558BD9" w14:textId="77777777" w:rsidR="007E0D6A" w:rsidRDefault="007E0D6A" w:rsidP="003C51FD">
      <w:pPr>
        <w:jc w:val="both"/>
        <w:rPr>
          <w:rFonts w:cstheme="minorHAnsi"/>
        </w:rPr>
      </w:pPr>
    </w:p>
    <w:p w14:paraId="7DCBF39E" w14:textId="6396194D" w:rsidR="007373F6" w:rsidRDefault="005E20CE" w:rsidP="003C51FD">
      <w:pPr>
        <w:jc w:val="both"/>
        <w:rPr>
          <w:rFonts w:cstheme="minorHAnsi"/>
        </w:rPr>
      </w:pPr>
      <w:r>
        <w:rPr>
          <w:rFonts w:cstheme="minorHAnsi"/>
        </w:rPr>
        <w:t>U</w:t>
      </w:r>
      <w:r w:rsidR="00EB6A6B">
        <w:rPr>
          <w:rFonts w:cstheme="minorHAnsi"/>
        </w:rPr>
        <w:t>lazni podaci</w:t>
      </w:r>
      <w:r>
        <w:rPr>
          <w:rFonts w:cstheme="minorHAnsi"/>
        </w:rPr>
        <w:t xml:space="preserve"> koji se koriste</w:t>
      </w:r>
      <w:r w:rsidR="00EB6A6B">
        <w:rPr>
          <w:rFonts w:cstheme="minorHAnsi"/>
        </w:rPr>
        <w:t xml:space="preserve"> opisani </w:t>
      </w:r>
      <w:r>
        <w:rPr>
          <w:rFonts w:cstheme="minorHAnsi"/>
        </w:rPr>
        <w:t xml:space="preserve">su </w:t>
      </w:r>
      <w:r w:rsidR="00EB6A6B">
        <w:rPr>
          <w:rFonts w:cstheme="minorHAnsi"/>
        </w:rPr>
        <w:t>u nastavku.</w:t>
      </w:r>
    </w:p>
    <w:p w14:paraId="10B77BC5" w14:textId="77777777" w:rsidR="003902DE" w:rsidRDefault="003902DE" w:rsidP="003C51FD">
      <w:pPr>
        <w:jc w:val="both"/>
        <w:rPr>
          <w:rFonts w:cstheme="minorHAnsi"/>
        </w:rPr>
      </w:pPr>
    </w:p>
    <w:p w14:paraId="13AC37B0" w14:textId="604FFA6E" w:rsidR="007373F6" w:rsidRDefault="007373F6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 w:rsidRPr="007373F6">
        <w:rPr>
          <w:rFonts w:cstheme="minorHAnsi"/>
          <w:b/>
        </w:rPr>
        <w:t>Prosječan broj modula (RU) po lokaciji za unutarnje i vanjske distribucijske čvorove (</w:t>
      </w:r>
      <w:proofErr w:type="spellStart"/>
      <w:r w:rsidRPr="007373F6">
        <w:rPr>
          <w:rFonts w:cstheme="minorHAnsi"/>
          <w:b/>
          <w:i/>
        </w:rPr>
        <w:t>Average</w:t>
      </w:r>
      <w:proofErr w:type="spellEnd"/>
      <w:r w:rsidRPr="007373F6">
        <w:rPr>
          <w:rFonts w:cstheme="minorHAnsi"/>
          <w:b/>
          <w:i/>
        </w:rPr>
        <w:t xml:space="preserve"> </w:t>
      </w:r>
      <w:proofErr w:type="spellStart"/>
      <w:r w:rsidRPr="007373F6">
        <w:rPr>
          <w:rFonts w:cstheme="minorHAnsi"/>
          <w:b/>
          <w:i/>
        </w:rPr>
        <w:t>number</w:t>
      </w:r>
      <w:proofErr w:type="spellEnd"/>
      <w:r w:rsidRPr="007373F6">
        <w:rPr>
          <w:rFonts w:cstheme="minorHAnsi"/>
          <w:b/>
          <w:i/>
        </w:rPr>
        <w:t xml:space="preserve"> </w:t>
      </w:r>
      <w:proofErr w:type="spellStart"/>
      <w:r w:rsidRPr="007373F6">
        <w:rPr>
          <w:rFonts w:cstheme="minorHAnsi"/>
          <w:b/>
          <w:i/>
        </w:rPr>
        <w:t>of</w:t>
      </w:r>
      <w:proofErr w:type="spellEnd"/>
      <w:r w:rsidRPr="007373F6">
        <w:rPr>
          <w:rFonts w:cstheme="minorHAnsi"/>
          <w:b/>
          <w:i/>
        </w:rPr>
        <w:t xml:space="preserve"> </w:t>
      </w:r>
      <w:proofErr w:type="spellStart"/>
      <w:r w:rsidRPr="007373F6">
        <w:rPr>
          <w:rFonts w:cstheme="minorHAnsi"/>
          <w:b/>
          <w:i/>
        </w:rPr>
        <w:t>Rack</w:t>
      </w:r>
      <w:proofErr w:type="spellEnd"/>
      <w:r w:rsidRPr="007373F6">
        <w:rPr>
          <w:rFonts w:cstheme="minorHAnsi"/>
          <w:b/>
          <w:i/>
        </w:rPr>
        <w:t xml:space="preserve"> </w:t>
      </w:r>
      <w:proofErr w:type="spellStart"/>
      <w:r w:rsidRPr="007373F6">
        <w:rPr>
          <w:rFonts w:cstheme="minorHAnsi"/>
          <w:b/>
          <w:i/>
        </w:rPr>
        <w:t>Units</w:t>
      </w:r>
      <w:proofErr w:type="spellEnd"/>
      <w:r w:rsidRPr="007373F6">
        <w:rPr>
          <w:rFonts w:cstheme="minorHAnsi"/>
          <w:b/>
          <w:i/>
        </w:rPr>
        <w:t xml:space="preserve"> </w:t>
      </w:r>
      <w:proofErr w:type="spellStart"/>
      <w:r w:rsidRPr="007373F6">
        <w:rPr>
          <w:rFonts w:cstheme="minorHAnsi"/>
          <w:b/>
          <w:i/>
        </w:rPr>
        <w:t>of</w:t>
      </w:r>
      <w:proofErr w:type="spellEnd"/>
      <w:r w:rsidRPr="007373F6">
        <w:rPr>
          <w:rFonts w:cstheme="minorHAnsi"/>
          <w:b/>
          <w:i/>
        </w:rPr>
        <w:t xml:space="preserve"> DN </w:t>
      </w:r>
      <w:proofErr w:type="spellStart"/>
      <w:r w:rsidRPr="007373F6">
        <w:rPr>
          <w:rFonts w:cstheme="minorHAnsi"/>
          <w:b/>
          <w:i/>
        </w:rPr>
        <w:t>per</w:t>
      </w:r>
      <w:proofErr w:type="spellEnd"/>
      <w:r w:rsidRPr="007373F6">
        <w:rPr>
          <w:rFonts w:cstheme="minorHAnsi"/>
          <w:b/>
          <w:i/>
        </w:rPr>
        <w:t xml:space="preserve"> site</w:t>
      </w:r>
      <w:r w:rsidRPr="007373F6">
        <w:rPr>
          <w:rFonts w:cstheme="minorHAnsi"/>
          <w:b/>
        </w:rPr>
        <w:t>)</w:t>
      </w:r>
      <w:r>
        <w:rPr>
          <w:rFonts w:cstheme="minorHAnsi"/>
        </w:rPr>
        <w:t xml:space="preserve"> – izračunava se na temelju stvarnih podataka HT-a o lokacijama, vrsti (unutarnji/vanjski) te kapacitetu svakog pojedinog distribucijskog čvora</w:t>
      </w:r>
      <w:r w:rsidR="001F7315">
        <w:rPr>
          <w:rFonts w:cstheme="minorHAnsi"/>
        </w:rPr>
        <w:t>.</w:t>
      </w:r>
    </w:p>
    <w:p w14:paraId="77474638" w14:textId="77777777" w:rsidR="00833780" w:rsidRPr="00833780" w:rsidRDefault="00833780" w:rsidP="00833780">
      <w:pPr>
        <w:jc w:val="both"/>
        <w:rPr>
          <w:rFonts w:cstheme="minorHAnsi"/>
        </w:rPr>
      </w:pPr>
    </w:p>
    <w:p w14:paraId="3727109E" w14:textId="7A7D4F5B" w:rsidR="00833780" w:rsidRDefault="00833780" w:rsidP="00EB6A6B">
      <w:pPr>
        <w:pStyle w:val="Caption"/>
        <w:keepNext/>
      </w:pPr>
      <w:r>
        <w:t xml:space="preserve">Tablica </w:t>
      </w:r>
      <w:r w:rsidR="00474093">
        <w:fldChar w:fldCharType="begin"/>
      </w:r>
      <w:r w:rsidR="00474093">
        <w:instrText xml:space="preserve"> SEQ Tablica \* ARABIC </w:instrText>
      </w:r>
      <w:r w:rsidR="00474093">
        <w:fldChar w:fldCharType="separate"/>
      </w:r>
      <w:r>
        <w:rPr>
          <w:noProof/>
        </w:rPr>
        <w:t>2</w:t>
      </w:r>
      <w:r w:rsidR="00474093">
        <w:rPr>
          <w:noProof/>
        </w:rPr>
        <w:fldChar w:fldCharType="end"/>
      </w:r>
      <w:r>
        <w:t>-Prosječni broj modula (RU) po lokaciji (Izvor: Troškovni model)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2410"/>
        <w:gridCol w:w="3402"/>
      </w:tblGrid>
      <w:tr w:rsidR="00833780" w:rsidRPr="00833780" w14:paraId="5F30010B" w14:textId="77777777" w:rsidTr="00EB6A6B">
        <w:trPr>
          <w:trHeight w:val="285"/>
        </w:trPr>
        <w:tc>
          <w:tcPr>
            <w:tcW w:w="4106" w:type="dxa"/>
            <w:tcBorders>
              <w:top w:val="single" w:sz="4" w:space="0" w:color="auto"/>
              <w:bottom w:val="nil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690A0354" w14:textId="77777777" w:rsidR="00833780" w:rsidRPr="00833780" w:rsidRDefault="00833780" w:rsidP="00EB6A6B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Type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of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site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402EAA7F" w14:textId="77777777" w:rsidR="00833780" w:rsidRPr="00833780" w:rsidRDefault="00833780" w:rsidP="00EB6A6B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Indoor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FFFFFF" w:themeColor="background1"/>
              <w:bottom w:val="nil"/>
            </w:tcBorders>
            <w:shd w:val="clear" w:color="000000" w:fill="0C2749"/>
            <w:vAlign w:val="center"/>
            <w:hideMark/>
          </w:tcPr>
          <w:p w14:paraId="594FA313" w14:textId="77777777" w:rsidR="00833780" w:rsidRPr="00833780" w:rsidRDefault="00833780" w:rsidP="00EB6A6B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Outdoor</w:t>
            </w:r>
            <w:proofErr w:type="spellEnd"/>
          </w:p>
        </w:tc>
      </w:tr>
      <w:tr w:rsidR="00833780" w:rsidRPr="00833780" w14:paraId="11A33893" w14:textId="77777777" w:rsidTr="00EB6A6B">
        <w:trPr>
          <w:trHeight w:val="285"/>
        </w:trPr>
        <w:tc>
          <w:tcPr>
            <w:tcW w:w="410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FA4E779" w14:textId="77777777" w:rsidR="00833780" w:rsidRPr="00EB6A6B" w:rsidRDefault="00833780" w:rsidP="00EB6A6B">
            <w:pPr>
              <w:jc w:val="center"/>
              <w:rPr>
                <w:sz w:val="20"/>
                <w:szCs w:val="20"/>
              </w:rPr>
            </w:pPr>
            <w:proofErr w:type="spellStart"/>
            <w:r w:rsidRPr="00EB6A6B">
              <w:rPr>
                <w:sz w:val="20"/>
                <w:szCs w:val="20"/>
              </w:rPr>
              <w:t>Average</w:t>
            </w:r>
            <w:proofErr w:type="spellEnd"/>
            <w:r w:rsidRPr="00EB6A6B">
              <w:rPr>
                <w:sz w:val="20"/>
                <w:szCs w:val="20"/>
              </w:rPr>
              <w:t xml:space="preserve"> </w:t>
            </w:r>
            <w:proofErr w:type="spellStart"/>
            <w:r w:rsidRPr="00EB6A6B">
              <w:rPr>
                <w:sz w:val="20"/>
                <w:szCs w:val="20"/>
              </w:rPr>
              <w:t>number</w:t>
            </w:r>
            <w:proofErr w:type="spellEnd"/>
            <w:r w:rsidRPr="00EB6A6B">
              <w:rPr>
                <w:sz w:val="20"/>
                <w:szCs w:val="20"/>
              </w:rPr>
              <w:t xml:space="preserve"> </w:t>
            </w:r>
            <w:proofErr w:type="spellStart"/>
            <w:r w:rsidRPr="00EB6A6B">
              <w:rPr>
                <w:sz w:val="20"/>
                <w:szCs w:val="20"/>
              </w:rPr>
              <w:t>of</w:t>
            </w:r>
            <w:proofErr w:type="spellEnd"/>
            <w:r w:rsidRPr="00EB6A6B">
              <w:rPr>
                <w:sz w:val="20"/>
                <w:szCs w:val="20"/>
              </w:rPr>
              <w:t xml:space="preserve"> </w:t>
            </w:r>
            <w:proofErr w:type="spellStart"/>
            <w:r w:rsidRPr="00EB6A6B">
              <w:rPr>
                <w:sz w:val="20"/>
                <w:szCs w:val="20"/>
              </w:rPr>
              <w:t>Rack</w:t>
            </w:r>
            <w:proofErr w:type="spellEnd"/>
            <w:r w:rsidRPr="00EB6A6B">
              <w:rPr>
                <w:sz w:val="20"/>
                <w:szCs w:val="20"/>
              </w:rPr>
              <w:t xml:space="preserve"> </w:t>
            </w:r>
            <w:proofErr w:type="spellStart"/>
            <w:r w:rsidRPr="00EB6A6B">
              <w:rPr>
                <w:sz w:val="20"/>
                <w:szCs w:val="20"/>
              </w:rPr>
              <w:t>Units</w:t>
            </w:r>
            <w:proofErr w:type="spellEnd"/>
            <w:r w:rsidRPr="00EB6A6B">
              <w:rPr>
                <w:sz w:val="20"/>
                <w:szCs w:val="20"/>
              </w:rPr>
              <w:t xml:space="preserve"> </w:t>
            </w:r>
            <w:proofErr w:type="spellStart"/>
            <w:r w:rsidRPr="00EB6A6B">
              <w:rPr>
                <w:sz w:val="20"/>
                <w:szCs w:val="20"/>
              </w:rPr>
              <w:t>of</w:t>
            </w:r>
            <w:proofErr w:type="spellEnd"/>
            <w:r w:rsidRPr="00EB6A6B">
              <w:rPr>
                <w:sz w:val="20"/>
                <w:szCs w:val="20"/>
              </w:rPr>
              <w:t xml:space="preserve"> DN </w:t>
            </w:r>
            <w:proofErr w:type="spellStart"/>
            <w:r w:rsidRPr="00EB6A6B">
              <w:rPr>
                <w:sz w:val="20"/>
                <w:szCs w:val="20"/>
              </w:rPr>
              <w:t>per</w:t>
            </w:r>
            <w:proofErr w:type="spellEnd"/>
            <w:r w:rsidRPr="00EB6A6B">
              <w:rPr>
                <w:sz w:val="20"/>
                <w:szCs w:val="20"/>
              </w:rPr>
              <w:t xml:space="preserve"> site</w:t>
            </w:r>
          </w:p>
        </w:tc>
        <w:tc>
          <w:tcPr>
            <w:tcW w:w="2410" w:type="dxa"/>
            <w:tcBorders>
              <w:top w:val="nil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0450FD0E" w14:textId="41589665" w:rsidR="00833780" w:rsidRPr="00EB6A6B" w:rsidRDefault="004644A1" w:rsidP="00EB6A6B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3402" w:type="dxa"/>
            <w:tcBorders>
              <w:top w:val="nil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3208AB5F" w14:textId="1055282A" w:rsidR="00833780" w:rsidRPr="00EB6A6B" w:rsidRDefault="004644A1" w:rsidP="00EB6A6B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</w:tr>
    </w:tbl>
    <w:p w14:paraId="33995686" w14:textId="77777777" w:rsidR="003902DE" w:rsidRDefault="003902DE" w:rsidP="003902DE">
      <w:pPr>
        <w:pStyle w:val="ListParagraph"/>
        <w:jc w:val="both"/>
        <w:rPr>
          <w:rFonts w:cstheme="minorHAnsi"/>
        </w:rPr>
      </w:pPr>
    </w:p>
    <w:p w14:paraId="46EF4800" w14:textId="4D7CE742" w:rsidR="00E65398" w:rsidRDefault="0088273A" w:rsidP="00EB6A6B">
      <w:pPr>
        <w:pStyle w:val="ListParagraph"/>
        <w:numPr>
          <w:ilvl w:val="0"/>
          <w:numId w:val="29"/>
        </w:numPr>
        <w:jc w:val="both"/>
      </w:pPr>
      <w:r>
        <w:rPr>
          <w:rFonts w:cstheme="minorHAnsi"/>
          <w:b/>
        </w:rPr>
        <w:t xml:space="preserve">Prosječni </w:t>
      </w:r>
      <w:proofErr w:type="spellStart"/>
      <w:r w:rsidR="007373F6">
        <w:rPr>
          <w:rFonts w:cstheme="minorHAnsi"/>
          <w:b/>
        </w:rPr>
        <w:t>C</w:t>
      </w:r>
      <w:r>
        <w:rPr>
          <w:rFonts w:cstheme="minorHAnsi"/>
          <w:b/>
        </w:rPr>
        <w:t>AP</w:t>
      </w:r>
      <w:r w:rsidR="007373F6">
        <w:rPr>
          <w:rFonts w:cstheme="minorHAnsi"/>
          <w:b/>
        </w:rPr>
        <w:t>Ex</w:t>
      </w:r>
      <w:proofErr w:type="spellEnd"/>
      <w:r w:rsidR="007373F6">
        <w:rPr>
          <w:rFonts w:cstheme="minorHAnsi"/>
          <w:b/>
        </w:rPr>
        <w:t xml:space="preserve"> trošak modula</w:t>
      </w:r>
      <w:r>
        <w:rPr>
          <w:rFonts w:cstheme="minorHAnsi"/>
          <w:b/>
        </w:rPr>
        <w:t xml:space="preserve"> (RU) za unutarnje i vanjske distribucijske čvorove- </w:t>
      </w:r>
      <w:r>
        <w:rPr>
          <w:rFonts w:cstheme="minorHAnsi"/>
        </w:rPr>
        <w:t>izračunat je iz izračuna troška distribucijskih čvorova koji je dostavio HT za potrebe ažuriranja Troškovnog modela. Potrebno j</w:t>
      </w:r>
      <w:r w:rsidR="00EB6A6B">
        <w:rPr>
          <w:rFonts w:cstheme="minorHAnsi"/>
        </w:rPr>
        <w:t>e napomenuti da je jedinični CAPEX</w:t>
      </w:r>
      <w:r>
        <w:rPr>
          <w:rFonts w:cstheme="minorHAnsi"/>
        </w:rPr>
        <w:t xml:space="preserve"> trošak distribucijskih čvorova koji je unesen u Troškovni model korigiran na način da je uklonjena nelogičnost porasta jediničnog troška po konekciji s porastom kapaciteta distribucijskog čvora. Također su za potrebe izračuna prosječnih troškova modula (RU) iz izračuna uklonjene stavke koje se plaćaju prilikom uspostave pristupa na distribucijskom čvoru, a iz troška vanjskih distribucijskih čvorova je izuzet trošak lokacije koji se zasebno račun</w:t>
      </w:r>
      <w:r w:rsidR="00917E2C">
        <w:rPr>
          <w:rFonts w:cstheme="minorHAnsi"/>
        </w:rPr>
        <w:t>a</w:t>
      </w:r>
      <w:r>
        <w:rPr>
          <w:rFonts w:cstheme="minorHAnsi"/>
        </w:rPr>
        <w:t xml:space="preserve"> i dodaje ukupnom trošku usluge najma prostora u vanjskom distribucijskom čvoru.</w:t>
      </w:r>
      <w:r w:rsidR="00E65398">
        <w:rPr>
          <w:rFonts w:cstheme="minorHAnsi"/>
        </w:rPr>
        <w:t xml:space="preserve"> </w:t>
      </w:r>
      <w:r w:rsidR="00EB6A6B">
        <w:rPr>
          <w:rFonts w:cstheme="minorHAnsi"/>
        </w:rPr>
        <w:t>Naime, n</w:t>
      </w:r>
      <w:r w:rsidR="00EB6A6B" w:rsidRPr="00EB6A6B">
        <w:rPr>
          <w:rFonts w:cstheme="minorHAnsi"/>
        </w:rPr>
        <w:t xml:space="preserve">astavno na komentare s javnog poziva HAKOM je </w:t>
      </w:r>
      <w:r w:rsidR="00FC70BA">
        <w:rPr>
          <w:rFonts w:cstheme="minorHAnsi"/>
        </w:rPr>
        <w:t xml:space="preserve">dodatno </w:t>
      </w:r>
      <w:r w:rsidR="00EB6A6B" w:rsidRPr="00EB6A6B">
        <w:rPr>
          <w:rFonts w:cstheme="minorHAnsi"/>
        </w:rPr>
        <w:t>preispitao ulazne podatke</w:t>
      </w:r>
      <w:r w:rsidR="00FC70BA">
        <w:rPr>
          <w:rFonts w:cstheme="minorHAnsi"/>
        </w:rPr>
        <w:t xml:space="preserve"> za izračun jediničnog troška distribucijskih čvorova</w:t>
      </w:r>
      <w:r w:rsidR="00EB6A6B" w:rsidRPr="00EB6A6B">
        <w:rPr>
          <w:rFonts w:cstheme="minorHAnsi"/>
        </w:rPr>
        <w:t xml:space="preserve">, posebice uzimajući u obzir troškove koje operatori korisnici FA-PON usluge plaćaju prilikom uspostave pristupa u distribucijskom čvoru. U tu svrhu HAKOM je porukom </w:t>
      </w:r>
      <w:r w:rsidR="00EB6A6B" w:rsidRPr="00EB6A6B">
        <w:rPr>
          <w:rFonts w:cstheme="minorHAnsi"/>
        </w:rPr>
        <w:lastRenderedPageBreak/>
        <w:t xml:space="preserve">elektroničke pošte od 8. prosinca 2023. od operatora korisnika veleprodajne usluge FA-PON (A1 i </w:t>
      </w:r>
      <w:proofErr w:type="spellStart"/>
      <w:r w:rsidR="00EB6A6B" w:rsidRPr="00EB6A6B">
        <w:rPr>
          <w:rFonts w:cstheme="minorHAnsi"/>
        </w:rPr>
        <w:t>Telemach</w:t>
      </w:r>
      <w:proofErr w:type="spellEnd"/>
      <w:r w:rsidR="00EB6A6B" w:rsidRPr="00EB6A6B">
        <w:rPr>
          <w:rFonts w:cstheme="minorHAnsi"/>
        </w:rPr>
        <w:t>) zatražio dostavu specifikacije stavki troškova koji se plaćaju kroz jednokratne naknade prilikom uspostave pristupa na distribucijskim čvorovima HT-a (unutarnjim i vanjskim), te pripadajuće račune.</w:t>
      </w:r>
      <w:r w:rsidR="00EB6A6B">
        <w:rPr>
          <w:rFonts w:cstheme="minorHAnsi"/>
        </w:rPr>
        <w:t xml:space="preserve"> Analizom dostavljenih podataka od strane A1 i </w:t>
      </w:r>
      <w:proofErr w:type="spellStart"/>
      <w:r w:rsidR="00EB6A6B">
        <w:rPr>
          <w:rFonts w:cstheme="minorHAnsi"/>
        </w:rPr>
        <w:t>Telemacha</w:t>
      </w:r>
      <w:proofErr w:type="spellEnd"/>
      <w:r w:rsidR="00EB6A6B">
        <w:rPr>
          <w:rFonts w:cstheme="minorHAnsi"/>
        </w:rPr>
        <w:t xml:space="preserve"> o troškovima koji se plaćaju prilikom </w:t>
      </w:r>
      <w:proofErr w:type="spellStart"/>
      <w:r w:rsidR="00EB6A6B">
        <w:rPr>
          <w:rFonts w:cstheme="minorHAnsi"/>
        </w:rPr>
        <w:t>incijalne</w:t>
      </w:r>
      <w:proofErr w:type="spellEnd"/>
      <w:r w:rsidR="00EB6A6B">
        <w:rPr>
          <w:rFonts w:cstheme="minorHAnsi"/>
        </w:rPr>
        <w:t xml:space="preserve"> uspostave pristupa u distribucijskom čvoru utvrđene su stavke izračuna koje se radi izbjegavanja dvostruke nadoknade troškova trebaju ukloniti kod izračuna troška modula (RU). </w:t>
      </w:r>
      <w:r w:rsidR="00E65398">
        <w:rPr>
          <w:rFonts w:cstheme="minorHAnsi"/>
        </w:rPr>
        <w:t>U donjim tablicama</w:t>
      </w:r>
      <w:r w:rsidR="00FB4D75">
        <w:rPr>
          <w:rFonts w:cstheme="minorHAnsi"/>
        </w:rPr>
        <w:t xml:space="preserve"> dane su</w:t>
      </w:r>
      <w:r w:rsidR="00EB6A6B">
        <w:rPr>
          <w:rFonts w:cstheme="minorHAnsi"/>
        </w:rPr>
        <w:t xml:space="preserve"> konačne</w:t>
      </w:r>
      <w:r w:rsidR="00FB4D75">
        <w:rPr>
          <w:rFonts w:cstheme="minorHAnsi"/>
        </w:rPr>
        <w:t xml:space="preserve"> stavke </w:t>
      </w:r>
      <w:r w:rsidR="00E65398">
        <w:rPr>
          <w:rFonts w:cstheme="minorHAnsi"/>
        </w:rPr>
        <w:t>materijala</w:t>
      </w:r>
      <w:r w:rsidR="00EB6A6B">
        <w:rPr>
          <w:rFonts w:cstheme="minorHAnsi"/>
        </w:rPr>
        <w:t xml:space="preserve"> i radova</w:t>
      </w:r>
      <w:r w:rsidR="00E65398">
        <w:rPr>
          <w:rFonts w:cstheme="minorHAnsi"/>
        </w:rPr>
        <w:t xml:space="preserve"> </w:t>
      </w:r>
      <w:r w:rsidR="00FB4D75">
        <w:rPr>
          <w:rFonts w:cstheme="minorHAnsi"/>
        </w:rPr>
        <w:t>koje su</w:t>
      </w:r>
      <w:r w:rsidR="00F75236">
        <w:rPr>
          <w:rFonts w:cstheme="minorHAnsi"/>
        </w:rPr>
        <w:t>, ovisno o tipu i kapacitetu distribu</w:t>
      </w:r>
      <w:r w:rsidR="00917E2C">
        <w:rPr>
          <w:rFonts w:cstheme="minorHAnsi"/>
        </w:rPr>
        <w:t>c</w:t>
      </w:r>
      <w:r w:rsidR="00F75236">
        <w:rPr>
          <w:rFonts w:cstheme="minorHAnsi"/>
        </w:rPr>
        <w:t>ijskog čvora,</w:t>
      </w:r>
      <w:r w:rsidR="00FB4D75">
        <w:rPr>
          <w:rFonts w:cstheme="minorHAnsi"/>
        </w:rPr>
        <w:t xml:space="preserve"> uključene u izračun </w:t>
      </w:r>
      <w:r w:rsidR="00E65398">
        <w:rPr>
          <w:rFonts w:cstheme="minorHAnsi"/>
        </w:rPr>
        <w:t xml:space="preserve">jediničnih </w:t>
      </w:r>
      <w:r w:rsidR="00FB4D75">
        <w:rPr>
          <w:rFonts w:cstheme="minorHAnsi"/>
        </w:rPr>
        <w:t>trošk</w:t>
      </w:r>
      <w:r w:rsidR="00E65398">
        <w:rPr>
          <w:rFonts w:cstheme="minorHAnsi"/>
        </w:rPr>
        <w:t>ova</w:t>
      </w:r>
      <w:r w:rsidR="00FB4D75">
        <w:rPr>
          <w:rFonts w:cstheme="minorHAnsi"/>
        </w:rPr>
        <w:t xml:space="preserve"> dist</w:t>
      </w:r>
      <w:r w:rsidR="00E65398">
        <w:rPr>
          <w:rFonts w:cstheme="minorHAnsi"/>
        </w:rPr>
        <w:t>ribucijskih čvorova, odnosno</w:t>
      </w:r>
      <w:r w:rsidR="00FC70BA">
        <w:rPr>
          <w:rFonts w:cstheme="minorHAnsi"/>
        </w:rPr>
        <w:t xml:space="preserve"> za izračun</w:t>
      </w:r>
      <w:r w:rsidR="00E65398">
        <w:rPr>
          <w:rFonts w:cstheme="minorHAnsi"/>
        </w:rPr>
        <w:t xml:space="preserve"> je</w:t>
      </w:r>
      <w:r w:rsidR="00FB4D75">
        <w:rPr>
          <w:rFonts w:cstheme="minorHAnsi"/>
        </w:rPr>
        <w:t>d</w:t>
      </w:r>
      <w:r w:rsidR="00EB6A6B">
        <w:rPr>
          <w:rFonts w:cstheme="minorHAnsi"/>
        </w:rPr>
        <w:t>i</w:t>
      </w:r>
      <w:r w:rsidR="00FB4D75">
        <w:rPr>
          <w:rFonts w:cstheme="minorHAnsi"/>
        </w:rPr>
        <w:t>ničnih troškova modula (RU)</w:t>
      </w:r>
      <w:r w:rsidR="00E65398">
        <w:rPr>
          <w:rFonts w:cstheme="minorHAnsi"/>
        </w:rPr>
        <w:t xml:space="preserve"> za unutarnje i vanjske distribucijske čvorove</w:t>
      </w:r>
      <w:r w:rsidR="00FB4D75">
        <w:rPr>
          <w:rFonts w:cstheme="minorHAnsi"/>
        </w:rPr>
        <w:t>.</w:t>
      </w:r>
      <w:r w:rsidR="00FB4D75" w:rsidRPr="00FB4D75">
        <w:t xml:space="preserve"> </w:t>
      </w:r>
      <w:r w:rsidR="00B161DB">
        <w:t xml:space="preserve">Nastavno na navedeno ispravljeni su prosječni jedinični troškovi modula (RU) unutarnjih i vanjskih </w:t>
      </w:r>
      <w:proofErr w:type="spellStart"/>
      <w:r w:rsidR="00B161DB">
        <w:t>distribucisjkih</w:t>
      </w:r>
      <w:proofErr w:type="spellEnd"/>
      <w:r w:rsidR="00B161DB">
        <w:t xml:space="preserve"> čvorova te prosječni troškovi lokacija u na koje se smještaju vanjski distribucijski čvorovi (</w:t>
      </w:r>
      <w:r w:rsidR="00B161DB">
        <w:fldChar w:fldCharType="begin"/>
      </w:r>
      <w:r w:rsidR="00B161DB">
        <w:instrText xml:space="preserve"> REF _Ref166682796 \h </w:instrText>
      </w:r>
      <w:r w:rsidR="00B161DB">
        <w:fldChar w:fldCharType="separate"/>
      </w:r>
      <w:r w:rsidR="00B161DB">
        <w:t xml:space="preserve">Tablica </w:t>
      </w:r>
      <w:r w:rsidR="00B161DB">
        <w:rPr>
          <w:noProof/>
        </w:rPr>
        <w:t>5</w:t>
      </w:r>
      <w:r w:rsidR="00B161DB">
        <w:fldChar w:fldCharType="end"/>
      </w:r>
      <w:r w:rsidR="00B161DB">
        <w:t>).</w:t>
      </w:r>
    </w:p>
    <w:p w14:paraId="3E550510" w14:textId="3BC68507" w:rsidR="00FB4D75" w:rsidRPr="00E65398" w:rsidRDefault="00FB4D75" w:rsidP="00E65398"/>
    <w:p w14:paraId="1A616CA0" w14:textId="009D63D8" w:rsidR="00E65398" w:rsidRDefault="00E65398" w:rsidP="00E65398">
      <w:pPr>
        <w:pStyle w:val="Caption"/>
        <w:keepNext/>
      </w:pPr>
      <w:r>
        <w:t xml:space="preserve">Tablica </w:t>
      </w:r>
      <w:r w:rsidR="00474093">
        <w:fldChar w:fldCharType="begin"/>
      </w:r>
      <w:r w:rsidR="00474093">
        <w:instrText xml:space="preserve"> SEQ Tablica \* ARABIC </w:instrText>
      </w:r>
      <w:r w:rsidR="00474093">
        <w:fldChar w:fldCharType="separate"/>
      </w:r>
      <w:r w:rsidR="00833780">
        <w:rPr>
          <w:noProof/>
        </w:rPr>
        <w:t>3</w:t>
      </w:r>
      <w:r w:rsidR="00474093">
        <w:rPr>
          <w:noProof/>
        </w:rPr>
        <w:fldChar w:fldCharType="end"/>
      </w:r>
      <w:r>
        <w:t>-Specifikacija stavki izračuna jediničnog troška unutarnjeg DČ-a (Izvor: HAKOM na temelju podataka HT-a)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3544"/>
        <w:gridCol w:w="2346"/>
      </w:tblGrid>
      <w:tr w:rsidR="00833780" w:rsidRPr="006C4C24" w14:paraId="05773C0D" w14:textId="77777777" w:rsidTr="00B161DB">
        <w:trPr>
          <w:jc w:val="center"/>
        </w:trPr>
        <w:tc>
          <w:tcPr>
            <w:tcW w:w="396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0B49EB2A" w14:textId="7F27E1F5" w:rsidR="00F94A12" w:rsidRPr="00833780" w:rsidRDefault="00F94A12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r w:rsidRPr="00833780">
              <w:rPr>
                <w:b/>
                <w:bCs/>
                <w:color w:val="FFFFFF"/>
                <w:sz w:val="20"/>
                <w:szCs w:val="20"/>
              </w:rPr>
              <w:t>Naziv stavke</w:t>
            </w:r>
          </w:p>
        </w:tc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0C2749"/>
            <w:vAlign w:val="center"/>
          </w:tcPr>
          <w:p w14:paraId="5BD13D49" w14:textId="480E3B87" w:rsidR="00F94A12" w:rsidRPr="00833780" w:rsidRDefault="00F94A12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r w:rsidRPr="00833780">
              <w:rPr>
                <w:b/>
                <w:bCs/>
                <w:color w:val="FFFFFF"/>
                <w:sz w:val="20"/>
                <w:szCs w:val="20"/>
              </w:rPr>
              <w:t>Uključeno u i</w:t>
            </w:r>
            <w:r w:rsidR="00E65398" w:rsidRPr="00833780">
              <w:rPr>
                <w:b/>
                <w:bCs/>
                <w:color w:val="FFFFFF"/>
                <w:sz w:val="20"/>
                <w:szCs w:val="20"/>
              </w:rPr>
              <w:t>z</w:t>
            </w:r>
            <w:r w:rsidRPr="00833780">
              <w:rPr>
                <w:b/>
                <w:bCs/>
                <w:color w:val="FFFFFF"/>
                <w:sz w:val="20"/>
                <w:szCs w:val="20"/>
              </w:rPr>
              <w:t>račun jediničnog troška distribucijskog čvora (DA/NE)</w:t>
            </w:r>
          </w:p>
        </w:tc>
        <w:tc>
          <w:tcPr>
            <w:tcW w:w="23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2DCF5186" w14:textId="79EE62B6" w:rsidR="00F94A12" w:rsidRPr="00833780" w:rsidRDefault="00F94A12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r w:rsidRPr="00833780">
              <w:rPr>
                <w:b/>
                <w:bCs/>
                <w:color w:val="FFFFFF"/>
                <w:sz w:val="20"/>
                <w:szCs w:val="20"/>
              </w:rPr>
              <w:t>Uključeno u izračun jediničnog troška modula (DA/NE)</w:t>
            </w:r>
          </w:p>
        </w:tc>
      </w:tr>
      <w:tr w:rsidR="00F94A12" w:rsidRPr="006C4C24" w14:paraId="67D7324D" w14:textId="77777777" w:rsidTr="00B161DB">
        <w:trPr>
          <w:jc w:val="center"/>
        </w:trPr>
        <w:tc>
          <w:tcPr>
            <w:tcW w:w="3964" w:type="dxa"/>
            <w:tcBorders>
              <w:top w:val="single" w:sz="4" w:space="0" w:color="FFFFFF" w:themeColor="background1"/>
            </w:tcBorders>
            <w:shd w:val="clear" w:color="000000" w:fill="auto"/>
            <w:vAlign w:val="center"/>
            <w:hideMark/>
          </w:tcPr>
          <w:p w14:paraId="34D1DF39" w14:textId="767E059F" w:rsidR="00F94A12" w:rsidRPr="006C4C24" w:rsidRDefault="00F94A12" w:rsidP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Stalak za prihvat modula za spajanje i monitoring + stalak za smještaj viška </w:t>
            </w:r>
            <w:proofErr w:type="spellStart"/>
            <w:r w:rsidRPr="006C4C24">
              <w:rPr>
                <w:sz w:val="20"/>
                <w:szCs w:val="20"/>
              </w:rPr>
              <w:t>prespojnih</w:t>
            </w:r>
            <w:proofErr w:type="spellEnd"/>
            <w:r w:rsidRPr="006C4C24">
              <w:rPr>
                <w:sz w:val="20"/>
                <w:szCs w:val="20"/>
              </w:rPr>
              <w:t xml:space="preserve"> vrpci</w:t>
            </w:r>
          </w:p>
        </w:tc>
        <w:tc>
          <w:tcPr>
            <w:tcW w:w="3544" w:type="dxa"/>
            <w:tcBorders>
              <w:top w:val="single" w:sz="4" w:space="0" w:color="FFFFFF" w:themeColor="background1"/>
            </w:tcBorders>
            <w:vAlign w:val="center"/>
          </w:tcPr>
          <w:p w14:paraId="0FD0594E" w14:textId="38BC2370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tcBorders>
              <w:top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726D5808" w14:textId="2EC31C7B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75236" w:rsidRPr="006C4C24" w14:paraId="388AB379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</w:tcPr>
          <w:p w14:paraId="50D210F7" w14:textId="3E978B4F" w:rsidR="00F75236" w:rsidRPr="006C4C24" w:rsidRDefault="00F75236" w:rsidP="00F94A12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Montaža stalaka za prihvat modula za spajanje i monitoring + stalak za smještaj viška </w:t>
            </w:r>
            <w:proofErr w:type="spellStart"/>
            <w:r w:rsidRPr="00F75236">
              <w:rPr>
                <w:sz w:val="20"/>
                <w:szCs w:val="20"/>
              </w:rPr>
              <w:t>prespojnih</w:t>
            </w:r>
            <w:proofErr w:type="spellEnd"/>
            <w:r w:rsidRPr="00F75236">
              <w:rPr>
                <w:sz w:val="20"/>
                <w:szCs w:val="20"/>
              </w:rPr>
              <w:t xml:space="preserve"> vrpci</w:t>
            </w:r>
          </w:p>
        </w:tc>
        <w:tc>
          <w:tcPr>
            <w:tcW w:w="3544" w:type="dxa"/>
            <w:vAlign w:val="center"/>
          </w:tcPr>
          <w:p w14:paraId="25E1A76D" w14:textId="348A94A2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5CE0D650" w14:textId="2FDDE81B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94A12" w:rsidRPr="006C4C24" w14:paraId="0A73D830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  <w:hideMark/>
          </w:tcPr>
          <w:p w14:paraId="48E7A73B" w14:textId="6E7A7FFB" w:rsidR="00F94A12" w:rsidRPr="006C4C24" w:rsidRDefault="00F94A12" w:rsidP="00833780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Modul za</w:t>
            </w:r>
            <w:r w:rsidR="00833780">
              <w:rPr>
                <w:sz w:val="20"/>
                <w:szCs w:val="20"/>
              </w:rPr>
              <w:t xml:space="preserve"> konektorsko spajanje</w:t>
            </w:r>
            <w:r w:rsidRPr="006C4C24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14:paraId="33332A30" w14:textId="359FB2B4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7A077080" w14:textId="402C5140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NE</w:t>
            </w:r>
          </w:p>
        </w:tc>
      </w:tr>
      <w:tr w:rsidR="00F75236" w:rsidRPr="006C4C24" w14:paraId="2C5B9FFC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</w:tcPr>
          <w:p w14:paraId="7DBB616D" w14:textId="484E2F95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Montaža modula za </w:t>
            </w:r>
            <w:r w:rsidR="003902DE">
              <w:rPr>
                <w:sz w:val="20"/>
                <w:szCs w:val="20"/>
              </w:rPr>
              <w:t>konektorsko spajanje</w:t>
            </w:r>
          </w:p>
        </w:tc>
        <w:tc>
          <w:tcPr>
            <w:tcW w:w="3544" w:type="dxa"/>
            <w:vAlign w:val="center"/>
          </w:tcPr>
          <w:p w14:paraId="1895908E" w14:textId="593F8C34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3CD7581A" w14:textId="7179BFB0" w:rsidR="00F75236" w:rsidRPr="006C4C24" w:rsidRDefault="001F64FB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94A12" w:rsidRPr="006C4C24" w14:paraId="175E5A8D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  <w:hideMark/>
          </w:tcPr>
          <w:p w14:paraId="48974FB7" w14:textId="0D0D0B7A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Modul za spajanje (6U=12 kazeta za spajanje) za DS modul</w:t>
            </w:r>
          </w:p>
        </w:tc>
        <w:tc>
          <w:tcPr>
            <w:tcW w:w="3544" w:type="dxa"/>
            <w:vAlign w:val="center"/>
          </w:tcPr>
          <w:p w14:paraId="36AE96D1" w14:textId="3E4691AD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6FD9F379" w14:textId="620610CA" w:rsidR="00F94A12" w:rsidRPr="006C4C24" w:rsidRDefault="001F64FB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75236" w:rsidRPr="006C4C24" w14:paraId="0B10255D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</w:tcPr>
          <w:p w14:paraId="0BCD02C9" w14:textId="680D0BC4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Montaža modula za spajanje (6U)</w:t>
            </w:r>
          </w:p>
        </w:tc>
        <w:tc>
          <w:tcPr>
            <w:tcW w:w="3544" w:type="dxa"/>
            <w:vAlign w:val="center"/>
          </w:tcPr>
          <w:p w14:paraId="52F09A5B" w14:textId="2CB24649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735E7DE1" w14:textId="48B51C9C" w:rsidR="00F75236" w:rsidRPr="006C4C24" w:rsidRDefault="001F64FB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94A12" w:rsidRPr="006C4C24" w14:paraId="35D39B38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  <w:hideMark/>
          </w:tcPr>
          <w:p w14:paraId="258CBA63" w14:textId="659A6D75" w:rsidR="00F94A12" w:rsidRPr="006C4C24" w:rsidRDefault="00F94A12" w:rsidP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Modul za spajanje (2U=4 kazete za spajanje) za DS modul</w:t>
            </w:r>
          </w:p>
        </w:tc>
        <w:tc>
          <w:tcPr>
            <w:tcW w:w="3544" w:type="dxa"/>
            <w:vAlign w:val="center"/>
          </w:tcPr>
          <w:p w14:paraId="438F76B9" w14:textId="61E0B6D2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22D739DD" w14:textId="75ABB937" w:rsidR="00F94A12" w:rsidRPr="006C4C24" w:rsidRDefault="001F64FB" w:rsidP="001F64F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75236" w:rsidRPr="006C4C24" w14:paraId="1BD0AB8E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</w:tcPr>
          <w:p w14:paraId="12ACBE0C" w14:textId="2DD23EF6" w:rsidR="00F75236" w:rsidRPr="006C4C24" w:rsidRDefault="00F75236" w:rsidP="00F94A12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Montaža modula za spajanje (2U)</w:t>
            </w:r>
          </w:p>
        </w:tc>
        <w:tc>
          <w:tcPr>
            <w:tcW w:w="3544" w:type="dxa"/>
            <w:vAlign w:val="center"/>
          </w:tcPr>
          <w:p w14:paraId="08038098" w14:textId="572CFC8D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0968FD78" w14:textId="3274971E" w:rsidR="00F75236" w:rsidRPr="006C4C24" w:rsidRDefault="001F64FB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94A12" w:rsidRPr="006C4C24" w14:paraId="40A374A2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  <w:hideMark/>
          </w:tcPr>
          <w:p w14:paraId="36FB3F22" w14:textId="6B230646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Kazeta za spajanje </w:t>
            </w:r>
            <w:r w:rsidR="001F64FB">
              <w:rPr>
                <w:sz w:val="20"/>
                <w:szCs w:val="20"/>
              </w:rPr>
              <w:t>i smještaj adaptera</w:t>
            </w:r>
          </w:p>
        </w:tc>
        <w:tc>
          <w:tcPr>
            <w:tcW w:w="3544" w:type="dxa"/>
            <w:vAlign w:val="center"/>
          </w:tcPr>
          <w:p w14:paraId="7FF218EC" w14:textId="697B5BFE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5FB1BCC3" w14:textId="7BD51713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NE</w:t>
            </w:r>
          </w:p>
        </w:tc>
      </w:tr>
      <w:tr w:rsidR="00F75236" w:rsidRPr="006C4C24" w14:paraId="2C9C3FDF" w14:textId="77777777" w:rsidTr="00833780">
        <w:trPr>
          <w:jc w:val="center"/>
        </w:trPr>
        <w:tc>
          <w:tcPr>
            <w:tcW w:w="3964" w:type="dxa"/>
            <w:shd w:val="clear" w:color="000000" w:fill="auto"/>
            <w:vAlign w:val="center"/>
          </w:tcPr>
          <w:p w14:paraId="7DC9E649" w14:textId="12DE0F78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Montaža kazeta za spajanje i smještaj adaptera, spajanje </w:t>
            </w:r>
            <w:proofErr w:type="spellStart"/>
            <w:r w:rsidRPr="00F75236">
              <w:rPr>
                <w:sz w:val="20"/>
                <w:szCs w:val="20"/>
              </w:rPr>
              <w:t>pigtaila</w:t>
            </w:r>
            <w:proofErr w:type="spellEnd"/>
            <w:r w:rsidRPr="00F75236">
              <w:rPr>
                <w:sz w:val="20"/>
                <w:szCs w:val="20"/>
              </w:rPr>
              <w:t xml:space="preserve"> i izrada dokumentacije</w:t>
            </w:r>
          </w:p>
        </w:tc>
        <w:tc>
          <w:tcPr>
            <w:tcW w:w="3544" w:type="dxa"/>
            <w:vAlign w:val="center"/>
          </w:tcPr>
          <w:p w14:paraId="45947488" w14:textId="482B0F46" w:rsidR="00F75236" w:rsidRPr="006C4C24" w:rsidRDefault="003902DE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6B47628A" w14:textId="7FAE032B" w:rsidR="00F75236" w:rsidRPr="006C4C24" w:rsidRDefault="001F64FB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94A12" w:rsidRPr="006C4C24" w14:paraId="33A31BF2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73698B74" w14:textId="0530C7F2" w:rsidR="00F94A12" w:rsidRPr="006C4C24" w:rsidRDefault="00F94A12" w:rsidP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ODF - izdvojeni stalak za toplinsko spajanje i smještaj modula sa kazetama za pohranu spojeva, bez modula</w:t>
            </w:r>
          </w:p>
        </w:tc>
        <w:tc>
          <w:tcPr>
            <w:tcW w:w="3544" w:type="dxa"/>
            <w:vAlign w:val="center"/>
          </w:tcPr>
          <w:p w14:paraId="42186D0A" w14:textId="1D723971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3317D069" w14:textId="56BFE5AB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94A12" w:rsidRPr="006C4C24" w14:paraId="521DF9FC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5E20FE62" w14:textId="7B460CE6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Modul kapaciteta 96 niti s kazetama za pohranu </w:t>
            </w:r>
            <w:r w:rsidR="00833780">
              <w:rPr>
                <w:sz w:val="20"/>
                <w:szCs w:val="20"/>
              </w:rPr>
              <w:t xml:space="preserve">12 toplinskih spojeva </w:t>
            </w:r>
          </w:p>
        </w:tc>
        <w:tc>
          <w:tcPr>
            <w:tcW w:w="3544" w:type="dxa"/>
            <w:vAlign w:val="center"/>
          </w:tcPr>
          <w:p w14:paraId="4FBF0E50" w14:textId="116D3112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32CBDE5A" w14:textId="1E5A7552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94A12" w:rsidRPr="006C4C24" w14:paraId="35E5892F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759271B7" w14:textId="77777777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IFC kabel kapaciteta 96 niti </w:t>
            </w:r>
            <w:proofErr w:type="spellStart"/>
            <w:r w:rsidRPr="006C4C24">
              <w:rPr>
                <w:sz w:val="20"/>
                <w:szCs w:val="20"/>
              </w:rPr>
              <w:t>predkonektoriziran</w:t>
            </w:r>
            <w:proofErr w:type="spellEnd"/>
            <w:r w:rsidRPr="006C4C24">
              <w:rPr>
                <w:sz w:val="20"/>
                <w:szCs w:val="20"/>
              </w:rPr>
              <w:t xml:space="preserve"> sa jedne strane sa LC/UPC konektorima duljine 30 m</w:t>
            </w:r>
          </w:p>
        </w:tc>
        <w:tc>
          <w:tcPr>
            <w:tcW w:w="3544" w:type="dxa"/>
            <w:vAlign w:val="center"/>
          </w:tcPr>
          <w:p w14:paraId="5FF49587" w14:textId="43C8DF74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0E217DD8" w14:textId="0DD7D578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94A12" w:rsidRPr="006C4C24" w14:paraId="67C4E460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5F97561B" w14:textId="1F56350D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Sustav kanala za vođenje optičkih </w:t>
            </w:r>
            <w:proofErr w:type="spellStart"/>
            <w:r w:rsidRPr="006C4C24">
              <w:rPr>
                <w:sz w:val="20"/>
                <w:szCs w:val="20"/>
              </w:rPr>
              <w:t>prespojnih</w:t>
            </w:r>
            <w:proofErr w:type="spellEnd"/>
            <w:r w:rsidRPr="006C4C24">
              <w:rPr>
                <w:sz w:val="20"/>
                <w:szCs w:val="20"/>
              </w:rPr>
              <w:t xml:space="preserve"> vrpci (</w:t>
            </w:r>
            <w:proofErr w:type="spellStart"/>
            <w:r w:rsidRPr="006C4C24">
              <w:rPr>
                <w:sz w:val="20"/>
                <w:szCs w:val="20"/>
              </w:rPr>
              <w:t>patch-cordova</w:t>
            </w:r>
            <w:proofErr w:type="spellEnd"/>
            <w:r w:rsidRPr="006C4C24">
              <w:rPr>
                <w:sz w:val="20"/>
                <w:szCs w:val="20"/>
              </w:rPr>
              <w:t xml:space="preserve">) sa pripadajućim izvodima, </w:t>
            </w:r>
            <w:proofErr w:type="spellStart"/>
            <w:r w:rsidRPr="006C4C24">
              <w:rPr>
                <w:sz w:val="20"/>
                <w:szCs w:val="20"/>
              </w:rPr>
              <w:t>zakrivljenjima</w:t>
            </w:r>
            <w:proofErr w:type="spellEnd"/>
            <w:r w:rsidRPr="006C4C24">
              <w:rPr>
                <w:sz w:val="20"/>
                <w:szCs w:val="20"/>
              </w:rPr>
              <w:t xml:space="preserve"> -lukovima te elementima za učvršćenje, montažu i grananje </w:t>
            </w:r>
            <w:r w:rsidR="001F64FB">
              <w:rPr>
                <w:sz w:val="20"/>
                <w:szCs w:val="20"/>
              </w:rPr>
              <w:t>širine do 40 cm</w:t>
            </w:r>
          </w:p>
        </w:tc>
        <w:tc>
          <w:tcPr>
            <w:tcW w:w="3544" w:type="dxa"/>
            <w:vAlign w:val="center"/>
          </w:tcPr>
          <w:p w14:paraId="75993539" w14:textId="4B33A687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4BCF38DA" w14:textId="627E0937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94A12" w:rsidRPr="006C4C24" w14:paraId="1B4C0603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3DCF510B" w14:textId="02754093" w:rsidR="00F94A12" w:rsidRPr="006C4C24" w:rsidRDefault="00F94A12">
            <w:pPr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 xml:space="preserve">Optički </w:t>
            </w:r>
            <w:proofErr w:type="spellStart"/>
            <w:r w:rsidRPr="006C4C24">
              <w:rPr>
                <w:sz w:val="20"/>
                <w:szCs w:val="20"/>
              </w:rPr>
              <w:t>patch</w:t>
            </w:r>
            <w:proofErr w:type="spellEnd"/>
            <w:r w:rsidRPr="006C4C24">
              <w:rPr>
                <w:sz w:val="20"/>
                <w:szCs w:val="20"/>
              </w:rPr>
              <w:t xml:space="preserve"> </w:t>
            </w:r>
            <w:proofErr w:type="spellStart"/>
            <w:r w:rsidRPr="006C4C24">
              <w:rPr>
                <w:sz w:val="20"/>
                <w:szCs w:val="20"/>
              </w:rPr>
              <w:t>Cord</w:t>
            </w:r>
            <w:proofErr w:type="spellEnd"/>
            <w:r w:rsidRPr="006C4C24">
              <w:rPr>
                <w:sz w:val="20"/>
                <w:szCs w:val="20"/>
              </w:rPr>
              <w:t xml:space="preserve"> kabe</w:t>
            </w:r>
            <w:r w:rsidR="00833780">
              <w:rPr>
                <w:sz w:val="20"/>
                <w:szCs w:val="20"/>
              </w:rPr>
              <w:t xml:space="preserve">l LC/UPC-LC/UPC (SM 2 mm) 10 </w:t>
            </w:r>
            <w:proofErr w:type="spellStart"/>
            <w:r w:rsidR="00833780">
              <w:rPr>
                <w:sz w:val="20"/>
                <w:szCs w:val="20"/>
              </w:rPr>
              <w:t>m_</w:t>
            </w:r>
            <w:r w:rsidRPr="006C4C24">
              <w:rPr>
                <w:sz w:val="20"/>
                <w:szCs w:val="20"/>
              </w:rPr>
              <w:t>za</w:t>
            </w:r>
            <w:proofErr w:type="spellEnd"/>
            <w:r w:rsidRPr="006C4C24">
              <w:rPr>
                <w:sz w:val="20"/>
                <w:szCs w:val="20"/>
              </w:rPr>
              <w:t xml:space="preserve"> DP modul</w:t>
            </w:r>
          </w:p>
        </w:tc>
        <w:tc>
          <w:tcPr>
            <w:tcW w:w="3544" w:type="dxa"/>
            <w:vAlign w:val="center"/>
          </w:tcPr>
          <w:p w14:paraId="2188945B" w14:textId="35B503E8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5564E903" w14:textId="0C9DCE9E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94A12" w:rsidRPr="006C4C24" w14:paraId="3117FC8B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14:paraId="1BDD57D1" w14:textId="519D60D0" w:rsidR="00F94A12" w:rsidRPr="006C4C24" w:rsidRDefault="00F94A12" w:rsidP="003902DE">
            <w:pPr>
              <w:rPr>
                <w:iCs/>
                <w:sz w:val="20"/>
                <w:szCs w:val="20"/>
              </w:rPr>
            </w:pPr>
            <w:r w:rsidRPr="006C4C24">
              <w:rPr>
                <w:iCs/>
                <w:sz w:val="20"/>
                <w:szCs w:val="20"/>
              </w:rPr>
              <w:t>Instalacijski kit za povišeni pod</w:t>
            </w:r>
          </w:p>
        </w:tc>
        <w:tc>
          <w:tcPr>
            <w:tcW w:w="3544" w:type="dxa"/>
            <w:vAlign w:val="center"/>
          </w:tcPr>
          <w:p w14:paraId="36DC8004" w14:textId="65F8B82F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  <w:hideMark/>
          </w:tcPr>
          <w:p w14:paraId="157EAECA" w14:textId="586D7994" w:rsidR="00F94A12" w:rsidRPr="006C4C24" w:rsidRDefault="00F94A12" w:rsidP="00F94A12">
            <w:pPr>
              <w:jc w:val="center"/>
              <w:rPr>
                <w:sz w:val="20"/>
                <w:szCs w:val="20"/>
              </w:rPr>
            </w:pPr>
            <w:r w:rsidRPr="006C4C24">
              <w:rPr>
                <w:sz w:val="20"/>
                <w:szCs w:val="20"/>
              </w:rPr>
              <w:t>DA</w:t>
            </w:r>
          </w:p>
        </w:tc>
      </w:tr>
      <w:tr w:rsidR="00F75236" w:rsidRPr="00F94A12" w14:paraId="55D14F5E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</w:tcPr>
          <w:p w14:paraId="780B975B" w14:textId="79091E4F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Usluga izrade projektne dokumentacije za ODF sustav sa izdvojenim stalkom za toplinsko </w:t>
            </w:r>
            <w:r w:rsidR="001F64FB">
              <w:rPr>
                <w:sz w:val="20"/>
                <w:szCs w:val="20"/>
              </w:rPr>
              <w:t>spajanje</w:t>
            </w:r>
            <w:r w:rsidRPr="00F75236">
              <w:rPr>
                <w:sz w:val="20"/>
                <w:szCs w:val="20"/>
              </w:rPr>
              <w:t xml:space="preserve">- (tehnički opis, tehničko </w:t>
            </w:r>
            <w:r w:rsidRPr="00F75236">
              <w:rPr>
                <w:sz w:val="20"/>
                <w:szCs w:val="20"/>
              </w:rPr>
              <w:lastRenderedPageBreak/>
              <w:t xml:space="preserve">rješenje sa skicama, </w:t>
            </w:r>
            <w:proofErr w:type="spellStart"/>
            <w:r w:rsidRPr="00F75236">
              <w:rPr>
                <w:sz w:val="20"/>
                <w:szCs w:val="20"/>
              </w:rPr>
              <w:t>postavne</w:t>
            </w:r>
            <w:proofErr w:type="spellEnd"/>
            <w:r w:rsidRPr="00F75236">
              <w:rPr>
                <w:sz w:val="20"/>
                <w:szCs w:val="20"/>
              </w:rPr>
              <w:t xml:space="preserve"> planove, shemu spajanja, tabelu </w:t>
            </w:r>
            <w:proofErr w:type="spellStart"/>
            <w:r w:rsidRPr="00F75236">
              <w:rPr>
                <w:sz w:val="20"/>
                <w:szCs w:val="20"/>
              </w:rPr>
              <w:t>prespajanja</w:t>
            </w:r>
            <w:proofErr w:type="spellEnd"/>
            <w:r w:rsidRPr="00F75236">
              <w:rPr>
                <w:sz w:val="20"/>
                <w:szCs w:val="20"/>
              </w:rPr>
              <w:t>, detaljni troškovnik u skladu sa ugovorom)</w:t>
            </w:r>
          </w:p>
        </w:tc>
        <w:tc>
          <w:tcPr>
            <w:tcW w:w="3544" w:type="dxa"/>
            <w:vAlign w:val="center"/>
          </w:tcPr>
          <w:p w14:paraId="6FBA63A9" w14:textId="6E46D0DF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5C8E2FEC" w14:textId="040B21BB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75236" w:rsidRPr="00F94A12" w14:paraId="7E15D48A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</w:tcPr>
          <w:p w14:paraId="126A3B5E" w14:textId="64C5A80B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Usluga izrade dokumentacije izvedenog stanja (izvedbene dokumentacije) za ODF sustav sa izdvojenim stalkom za </w:t>
            </w:r>
            <w:r w:rsidR="001F64FB">
              <w:rPr>
                <w:sz w:val="20"/>
                <w:szCs w:val="20"/>
              </w:rPr>
              <w:t>toplinsko spajanje</w:t>
            </w:r>
            <w:r w:rsidRPr="00F75236">
              <w:rPr>
                <w:sz w:val="20"/>
                <w:szCs w:val="20"/>
              </w:rPr>
              <w:t xml:space="preserve"> -(tehnički opis, tabela spajanja, shema spajanja, ovlaštenje izvođača radova od strane proizvođača opreme,  tabelu </w:t>
            </w:r>
            <w:proofErr w:type="spellStart"/>
            <w:r w:rsidRPr="00F75236">
              <w:rPr>
                <w:sz w:val="20"/>
                <w:szCs w:val="20"/>
              </w:rPr>
              <w:t>prespajanja</w:t>
            </w:r>
            <w:proofErr w:type="spellEnd"/>
            <w:r w:rsidRPr="00F75236">
              <w:rPr>
                <w:sz w:val="20"/>
                <w:szCs w:val="20"/>
              </w:rPr>
              <w:t xml:space="preserve">, </w:t>
            </w:r>
            <w:proofErr w:type="spellStart"/>
            <w:r w:rsidRPr="00F75236">
              <w:rPr>
                <w:sz w:val="20"/>
                <w:szCs w:val="20"/>
              </w:rPr>
              <w:t>postavni</w:t>
            </w:r>
            <w:proofErr w:type="spellEnd"/>
            <w:r w:rsidRPr="00F75236">
              <w:rPr>
                <w:sz w:val="20"/>
                <w:szCs w:val="20"/>
              </w:rPr>
              <w:t xml:space="preserve"> nacrt,  ateste ugrađene opreme)</w:t>
            </w:r>
          </w:p>
        </w:tc>
        <w:tc>
          <w:tcPr>
            <w:tcW w:w="3544" w:type="dxa"/>
            <w:vAlign w:val="center"/>
          </w:tcPr>
          <w:p w14:paraId="107435DB" w14:textId="691E7AB6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5542C895" w14:textId="69B558D3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75236" w:rsidRPr="00F94A12" w14:paraId="7586F9F6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</w:tcPr>
          <w:p w14:paraId="47623B24" w14:textId="0F1B0ED1" w:rsidR="00F75236" w:rsidRPr="006C4C24" w:rsidRDefault="00F75236">
            <w:pPr>
              <w:rPr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Usluga dostave na lokaciju i montaže ODF sustava  sa izdvojenim stalkom za toplinsko spajanje ( ODF i I-ODF) sa povlačenjem IFC kabela, montažom konektora na ODF-u i uvlačenjem IFC kabela  u kazete na I-</w:t>
            </w:r>
            <w:proofErr w:type="spellStart"/>
            <w:r w:rsidRPr="00F75236">
              <w:rPr>
                <w:sz w:val="20"/>
                <w:szCs w:val="20"/>
              </w:rPr>
              <w:t>ODFu</w:t>
            </w:r>
            <w:proofErr w:type="spellEnd"/>
            <w:r w:rsidRPr="00F75236">
              <w:rPr>
                <w:sz w:val="20"/>
                <w:szCs w:val="20"/>
              </w:rPr>
              <w:t xml:space="preserve">  te  pripremom za </w:t>
            </w:r>
            <w:r w:rsidR="001F64FB">
              <w:rPr>
                <w:sz w:val="20"/>
                <w:szCs w:val="20"/>
              </w:rPr>
              <w:t>toplinsko spajanje</w:t>
            </w:r>
          </w:p>
        </w:tc>
        <w:tc>
          <w:tcPr>
            <w:tcW w:w="3544" w:type="dxa"/>
            <w:vAlign w:val="center"/>
          </w:tcPr>
          <w:p w14:paraId="1E83AEE5" w14:textId="00E8E6F9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3CD9405D" w14:textId="24B4CA2E" w:rsidR="00F75236" w:rsidRPr="006C4C24" w:rsidRDefault="00F75236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0862FC" w:rsidRPr="00F94A12" w14:paraId="2BE1BA70" w14:textId="77777777" w:rsidTr="00833780">
        <w:trPr>
          <w:jc w:val="center"/>
        </w:trPr>
        <w:tc>
          <w:tcPr>
            <w:tcW w:w="3964" w:type="dxa"/>
            <w:shd w:val="clear" w:color="auto" w:fill="auto"/>
            <w:vAlign w:val="center"/>
          </w:tcPr>
          <w:p w14:paraId="35070221" w14:textId="4A05900F" w:rsidR="000862FC" w:rsidRPr="00F75236" w:rsidRDefault="000862FC" w:rsidP="000862FC">
            <w:pPr>
              <w:rPr>
                <w:sz w:val="20"/>
                <w:szCs w:val="20"/>
              </w:rPr>
            </w:pPr>
            <w:r w:rsidRPr="000862FC">
              <w:rPr>
                <w:sz w:val="20"/>
                <w:szCs w:val="20"/>
              </w:rPr>
              <w:t xml:space="preserve">Usluga dostave na lokaciju i montaže sustav kanala za vođenje optičkih </w:t>
            </w:r>
            <w:proofErr w:type="spellStart"/>
            <w:r w:rsidRPr="000862FC">
              <w:rPr>
                <w:sz w:val="20"/>
                <w:szCs w:val="20"/>
              </w:rPr>
              <w:t>prespojnih</w:t>
            </w:r>
            <w:proofErr w:type="spellEnd"/>
            <w:r w:rsidRPr="000862FC">
              <w:rPr>
                <w:sz w:val="20"/>
                <w:szCs w:val="20"/>
              </w:rPr>
              <w:t xml:space="preserve"> vrpci (</w:t>
            </w:r>
            <w:proofErr w:type="spellStart"/>
            <w:r w:rsidRPr="000862FC">
              <w:rPr>
                <w:sz w:val="20"/>
                <w:szCs w:val="20"/>
              </w:rPr>
              <w:t>patch-cordova</w:t>
            </w:r>
            <w:proofErr w:type="spellEnd"/>
            <w:r w:rsidRPr="000862FC">
              <w:rPr>
                <w:sz w:val="20"/>
                <w:szCs w:val="20"/>
              </w:rPr>
              <w:t xml:space="preserve">) sa pripadajućim izvodima, </w:t>
            </w:r>
            <w:proofErr w:type="spellStart"/>
            <w:r w:rsidRPr="000862FC">
              <w:rPr>
                <w:sz w:val="20"/>
                <w:szCs w:val="20"/>
              </w:rPr>
              <w:t>zakrivljenjima</w:t>
            </w:r>
            <w:proofErr w:type="spellEnd"/>
            <w:r w:rsidRPr="000862FC">
              <w:rPr>
                <w:sz w:val="20"/>
                <w:szCs w:val="20"/>
              </w:rPr>
              <w:t xml:space="preserve"> -lukovima te elementima za učvršćenje, montažu i grananje širine do 40 cm na </w:t>
            </w:r>
            <w:proofErr w:type="spellStart"/>
            <w:r w:rsidRPr="000862FC">
              <w:rPr>
                <w:sz w:val="20"/>
                <w:szCs w:val="20"/>
              </w:rPr>
              <w:t>vicini</w:t>
            </w:r>
            <w:proofErr w:type="spellEnd"/>
            <w:r w:rsidRPr="000862FC">
              <w:rPr>
                <w:sz w:val="20"/>
                <w:szCs w:val="20"/>
              </w:rPr>
              <w:t xml:space="preserve"> od cca 2,5 m</w:t>
            </w:r>
          </w:p>
        </w:tc>
        <w:tc>
          <w:tcPr>
            <w:tcW w:w="3544" w:type="dxa"/>
            <w:vAlign w:val="center"/>
          </w:tcPr>
          <w:p w14:paraId="68E985C0" w14:textId="16F19671" w:rsidR="000862FC" w:rsidRDefault="000862FC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  <w:tc>
          <w:tcPr>
            <w:tcW w:w="2346" w:type="dxa"/>
            <w:shd w:val="clear" w:color="auto" w:fill="auto"/>
            <w:noWrap/>
            <w:vAlign w:val="center"/>
          </w:tcPr>
          <w:p w14:paraId="61BD07D1" w14:textId="024749ED" w:rsidR="000862FC" w:rsidRDefault="000862FC" w:rsidP="00F94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</w:tbl>
    <w:p w14:paraId="68A718CE" w14:textId="77777777" w:rsidR="00FB4D75" w:rsidRPr="00FB4D75" w:rsidRDefault="00FB4D75" w:rsidP="00FB4D75">
      <w:pPr>
        <w:jc w:val="both"/>
        <w:rPr>
          <w:rFonts w:cstheme="minorHAnsi"/>
        </w:rPr>
      </w:pPr>
    </w:p>
    <w:p w14:paraId="587B0598" w14:textId="7F99E660" w:rsidR="00FB4D75" w:rsidRDefault="00FB4D75" w:rsidP="00FB4D75">
      <w:pPr>
        <w:jc w:val="both"/>
        <w:rPr>
          <w:rFonts w:cstheme="minorHAnsi"/>
        </w:rPr>
      </w:pPr>
    </w:p>
    <w:p w14:paraId="7A7F2C22" w14:textId="24E777B4" w:rsidR="00F75236" w:rsidRDefault="00F75236" w:rsidP="00F75236">
      <w:pPr>
        <w:pStyle w:val="Caption"/>
        <w:keepNext/>
      </w:pPr>
      <w:r>
        <w:t xml:space="preserve">Tablica </w:t>
      </w:r>
      <w:r w:rsidR="00474093">
        <w:fldChar w:fldCharType="begin"/>
      </w:r>
      <w:r w:rsidR="00474093">
        <w:instrText xml:space="preserve"> SEQ Tablica \* ARABIC </w:instrText>
      </w:r>
      <w:r w:rsidR="00474093">
        <w:fldChar w:fldCharType="separate"/>
      </w:r>
      <w:r w:rsidR="00833780">
        <w:rPr>
          <w:noProof/>
        </w:rPr>
        <w:t>4</w:t>
      </w:r>
      <w:r w:rsidR="00474093">
        <w:rPr>
          <w:noProof/>
        </w:rPr>
        <w:fldChar w:fldCharType="end"/>
      </w:r>
      <w:r>
        <w:t xml:space="preserve">- </w:t>
      </w:r>
      <w:r w:rsidRPr="00E23A66">
        <w:t xml:space="preserve">Specifikacija stavki izračuna </w:t>
      </w:r>
      <w:r>
        <w:t>jediničnog troška vanjskog</w:t>
      </w:r>
      <w:r w:rsidRPr="00E23A66">
        <w:t xml:space="preserve"> DČ-a (Izvor: HAKOM na temelju podataka HT-a)</w:t>
      </w: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3544"/>
        <w:gridCol w:w="2268"/>
      </w:tblGrid>
      <w:tr w:rsidR="00833780" w:rsidRPr="00833780" w14:paraId="6995CB34" w14:textId="77777777" w:rsidTr="00B161DB">
        <w:trPr>
          <w:trHeight w:val="300"/>
          <w:jc w:val="center"/>
        </w:trPr>
        <w:tc>
          <w:tcPr>
            <w:tcW w:w="410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C2749"/>
            <w:noWrap/>
            <w:vAlign w:val="center"/>
          </w:tcPr>
          <w:p w14:paraId="5F5ACC66" w14:textId="48AC9199" w:rsidR="00E65398" w:rsidRPr="00833780" w:rsidRDefault="00E65398" w:rsidP="00E6539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33780">
              <w:rPr>
                <w:b/>
                <w:color w:val="FFFFFF" w:themeColor="background1"/>
                <w:sz w:val="20"/>
                <w:szCs w:val="20"/>
              </w:rPr>
              <w:t>Naziv stavke</w:t>
            </w:r>
          </w:p>
        </w:tc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C2749"/>
            <w:vAlign w:val="center"/>
          </w:tcPr>
          <w:p w14:paraId="39605EBD" w14:textId="1F5A7420" w:rsidR="00E65398" w:rsidRPr="00833780" w:rsidRDefault="00E65398" w:rsidP="00E6539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33780">
              <w:rPr>
                <w:b/>
                <w:color w:val="FFFFFF" w:themeColor="background1"/>
                <w:sz w:val="20"/>
                <w:szCs w:val="20"/>
              </w:rPr>
              <w:t>Uključeno u izračun jediničnog troška distribucijskog čvora (DA/NE)</w:t>
            </w:r>
          </w:p>
        </w:tc>
        <w:tc>
          <w:tcPr>
            <w:tcW w:w="226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C2749"/>
            <w:vAlign w:val="center"/>
          </w:tcPr>
          <w:p w14:paraId="411F51E6" w14:textId="6C25A56C" w:rsidR="00E65398" w:rsidRPr="00833780" w:rsidRDefault="00E65398" w:rsidP="00E6539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33780">
              <w:rPr>
                <w:b/>
                <w:color w:val="FFFFFF" w:themeColor="background1"/>
                <w:sz w:val="20"/>
                <w:szCs w:val="20"/>
              </w:rPr>
              <w:t>Uključeno u izračun jediničnog troška modula (DA/NE)</w:t>
            </w:r>
          </w:p>
        </w:tc>
      </w:tr>
      <w:tr w:rsidR="00F75236" w:rsidRPr="00F75236" w14:paraId="211D97D0" w14:textId="384C76A4" w:rsidTr="00B161DB">
        <w:trPr>
          <w:trHeight w:val="300"/>
          <w:jc w:val="center"/>
        </w:trPr>
        <w:tc>
          <w:tcPr>
            <w:tcW w:w="4106" w:type="dxa"/>
            <w:tcBorders>
              <w:top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0186880A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Ormarić SVK Stup RO vanjski 5SK-48 adaptera</w:t>
            </w:r>
          </w:p>
        </w:tc>
        <w:tc>
          <w:tcPr>
            <w:tcW w:w="3544" w:type="dxa"/>
            <w:tcBorders>
              <w:top w:val="single" w:sz="4" w:space="0" w:color="FFFFFF" w:themeColor="background1"/>
            </w:tcBorders>
            <w:vAlign w:val="center"/>
          </w:tcPr>
          <w:p w14:paraId="7A680760" w14:textId="616281B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tcBorders>
              <w:top w:val="single" w:sz="4" w:space="0" w:color="FFFFFF" w:themeColor="background1"/>
            </w:tcBorders>
            <w:vAlign w:val="center"/>
          </w:tcPr>
          <w:p w14:paraId="687052C2" w14:textId="01AD0E76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0360DA2D" w14:textId="3823CCDF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0755D88A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Montaža unutarnjeg ili vanjskog optičkog ormarića kapaciteta do 72 vlakana na zid ili stup</w:t>
            </w:r>
          </w:p>
        </w:tc>
        <w:tc>
          <w:tcPr>
            <w:tcW w:w="3544" w:type="dxa"/>
            <w:vAlign w:val="center"/>
          </w:tcPr>
          <w:p w14:paraId="26BB44F2" w14:textId="658A1AFA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50774C2B" w14:textId="67106323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1FFBAE8A" w14:textId="0BB20091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359E9660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Stup drveni 7m</w:t>
            </w:r>
          </w:p>
        </w:tc>
        <w:tc>
          <w:tcPr>
            <w:tcW w:w="3544" w:type="dxa"/>
            <w:vAlign w:val="center"/>
          </w:tcPr>
          <w:p w14:paraId="2963EF21" w14:textId="06350D7F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46CC6037" w14:textId="7AB81E3D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2D2B7A43" w14:textId="2993F7E5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1563B535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Nogar betonski</w:t>
            </w:r>
          </w:p>
        </w:tc>
        <w:tc>
          <w:tcPr>
            <w:tcW w:w="3544" w:type="dxa"/>
            <w:vAlign w:val="center"/>
          </w:tcPr>
          <w:p w14:paraId="27F1F344" w14:textId="0EA07656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2C99E4D5" w14:textId="046D09EB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6BE4D1BD" w14:textId="26EC94A6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77FE252B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Obujmica za betonski nogar</w:t>
            </w:r>
          </w:p>
        </w:tc>
        <w:tc>
          <w:tcPr>
            <w:tcW w:w="3544" w:type="dxa"/>
            <w:vAlign w:val="center"/>
          </w:tcPr>
          <w:p w14:paraId="2472C02D" w14:textId="696BA75B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5D0F72E7" w14:textId="6622244E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2BB9FC6B" w14:textId="34B7F683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444F27E3" w14:textId="74C66AE9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 xml:space="preserve">Postavljanje stupa ili </w:t>
            </w:r>
            <w:proofErr w:type="spellStart"/>
            <w:r w:rsidRPr="00F75236">
              <w:rPr>
                <w:color w:val="000000"/>
                <w:sz w:val="20"/>
                <w:szCs w:val="20"/>
              </w:rPr>
              <w:t>podupora</w:t>
            </w:r>
            <w:proofErr w:type="spellEnd"/>
            <w:r w:rsidRPr="00F75236">
              <w:rPr>
                <w:color w:val="000000"/>
                <w:sz w:val="20"/>
                <w:szCs w:val="20"/>
              </w:rPr>
              <w:t xml:space="preserve"> s betonskim nogarom</w:t>
            </w:r>
          </w:p>
        </w:tc>
        <w:tc>
          <w:tcPr>
            <w:tcW w:w="3544" w:type="dxa"/>
            <w:vAlign w:val="center"/>
          </w:tcPr>
          <w:p w14:paraId="6BFD64C0" w14:textId="6CB2FA30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1078DD54" w14:textId="46D7BD6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63A74BEC" w14:textId="07CF9BE9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19155D41" w14:textId="1ED19DDE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Iskop i zatrpavanje tla grupe V i VI kategorije do 3 m3; jedinica mjere 3 m3 = 1 komad</w:t>
            </w:r>
          </w:p>
        </w:tc>
        <w:tc>
          <w:tcPr>
            <w:tcW w:w="3544" w:type="dxa"/>
            <w:vAlign w:val="center"/>
          </w:tcPr>
          <w:p w14:paraId="22F69353" w14:textId="34DFC89A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429CFC8E" w14:textId="5D8AA01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59A395E9" w14:textId="1B91B54C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24187740" w14:textId="25980CA6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Kabinet DČ K1/K2-Va 624-432_bez postolja prazan + cjevčica</w:t>
            </w:r>
          </w:p>
        </w:tc>
        <w:tc>
          <w:tcPr>
            <w:tcW w:w="3544" w:type="dxa"/>
            <w:vAlign w:val="center"/>
          </w:tcPr>
          <w:p w14:paraId="5BC0FB54" w14:textId="7139A505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3FE4D2B1" w14:textId="2A2C739D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6422364B" w14:textId="48739EFA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73BAE64E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Postolje za kabinet DČ K1/K2-Va</w:t>
            </w:r>
          </w:p>
        </w:tc>
        <w:tc>
          <w:tcPr>
            <w:tcW w:w="3544" w:type="dxa"/>
            <w:vAlign w:val="center"/>
          </w:tcPr>
          <w:p w14:paraId="04E2DFAE" w14:textId="272AF741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16A6AC06" w14:textId="065C1F09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359AE920" w14:textId="1322156F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0F89D41C" w14:textId="6EF7349F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 xml:space="preserve">Kabinet DČ K2-Va 1056-756_bez postolja </w:t>
            </w:r>
            <w:proofErr w:type="spellStart"/>
            <w:r w:rsidRPr="00F75236">
              <w:rPr>
                <w:color w:val="000000"/>
                <w:sz w:val="20"/>
                <w:szCs w:val="20"/>
              </w:rPr>
              <w:t>prazan+cjevčica</w:t>
            </w:r>
            <w:proofErr w:type="spellEnd"/>
          </w:p>
        </w:tc>
        <w:tc>
          <w:tcPr>
            <w:tcW w:w="3544" w:type="dxa"/>
            <w:vAlign w:val="center"/>
          </w:tcPr>
          <w:p w14:paraId="6F70B617" w14:textId="05BB6FEF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1D9D0018" w14:textId="171F5D4F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57E2A8F9" w14:textId="2B19581C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12EE37E3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Postolje za kabinet DČ K2-Va</w:t>
            </w:r>
          </w:p>
        </w:tc>
        <w:tc>
          <w:tcPr>
            <w:tcW w:w="3544" w:type="dxa"/>
            <w:vAlign w:val="center"/>
          </w:tcPr>
          <w:p w14:paraId="5E5AECEC" w14:textId="3CDB79E9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0655F747" w14:textId="294B6CA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2128F5A4" w14:textId="2AFC0EC0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2D794A6D" w14:textId="6B49FB02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Kabinet DČ K3-Va 1824-1308_bez postolja prazan+ cjevčica</w:t>
            </w:r>
          </w:p>
        </w:tc>
        <w:tc>
          <w:tcPr>
            <w:tcW w:w="3544" w:type="dxa"/>
            <w:vAlign w:val="center"/>
          </w:tcPr>
          <w:p w14:paraId="70026275" w14:textId="05A9B102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22CE98D2" w14:textId="4D940B0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13777861" w14:textId="6AC96530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3B645757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Postolje za kabinet DČ K3-Va</w:t>
            </w:r>
          </w:p>
        </w:tc>
        <w:tc>
          <w:tcPr>
            <w:tcW w:w="3544" w:type="dxa"/>
            <w:vAlign w:val="center"/>
          </w:tcPr>
          <w:p w14:paraId="4C24940E" w14:textId="58D7FE6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4B3BC56B" w14:textId="4378B708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03C77D3E" w14:textId="4F1171C3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6951D78F" w14:textId="01B120E1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Instalacija vanjskog kabin</w:t>
            </w:r>
            <w:r w:rsidR="001F64FB">
              <w:rPr>
                <w:color w:val="000000"/>
                <w:sz w:val="20"/>
                <w:szCs w:val="20"/>
              </w:rPr>
              <w:t>eta i postolja (iskop,  ugradnja</w:t>
            </w:r>
            <w:r w:rsidRPr="00F75236">
              <w:rPr>
                <w:color w:val="000000"/>
                <w:sz w:val="20"/>
                <w:szCs w:val="20"/>
              </w:rPr>
              <w:t>, zatrpavanje, montaža)</w:t>
            </w:r>
          </w:p>
        </w:tc>
        <w:tc>
          <w:tcPr>
            <w:tcW w:w="3544" w:type="dxa"/>
            <w:vAlign w:val="center"/>
          </w:tcPr>
          <w:p w14:paraId="5D611573" w14:textId="7254DB8A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6B462226" w14:textId="0912886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53C58B4B" w14:textId="77777777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</w:tcPr>
          <w:p w14:paraId="7D589817" w14:textId="401EF173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Moduli sa kazetama, adapterima i </w:t>
            </w:r>
            <w:proofErr w:type="spellStart"/>
            <w:r w:rsidRPr="00F75236">
              <w:rPr>
                <w:sz w:val="20"/>
                <w:szCs w:val="20"/>
              </w:rPr>
              <w:t>pig-tail</w:t>
            </w:r>
            <w:proofErr w:type="spellEnd"/>
            <w:r w:rsidRPr="00F75236">
              <w:rPr>
                <w:sz w:val="20"/>
                <w:szCs w:val="20"/>
              </w:rPr>
              <w:t xml:space="preserve"> kabelima kapaciteta 24'' (</w:t>
            </w:r>
            <w:proofErr w:type="spellStart"/>
            <w:r w:rsidRPr="00F75236">
              <w:rPr>
                <w:sz w:val="20"/>
                <w:szCs w:val="20"/>
              </w:rPr>
              <w:t>splice</w:t>
            </w:r>
            <w:proofErr w:type="spellEnd"/>
            <w:r w:rsidRPr="00F75236">
              <w:rPr>
                <w:sz w:val="20"/>
                <w:szCs w:val="20"/>
              </w:rPr>
              <w:t xml:space="preserve">- </w:t>
            </w:r>
            <w:proofErr w:type="spellStart"/>
            <w:r w:rsidRPr="00F75236">
              <w:rPr>
                <w:sz w:val="20"/>
                <w:szCs w:val="20"/>
              </w:rPr>
              <w:t>patch</w:t>
            </w:r>
            <w:proofErr w:type="spellEnd"/>
            <w:r w:rsidRPr="00F75236">
              <w:rPr>
                <w:sz w:val="20"/>
                <w:szCs w:val="20"/>
              </w:rPr>
              <w:t xml:space="preserve"> moduli)</w:t>
            </w:r>
          </w:p>
        </w:tc>
        <w:tc>
          <w:tcPr>
            <w:tcW w:w="3544" w:type="dxa"/>
            <w:vAlign w:val="center"/>
          </w:tcPr>
          <w:p w14:paraId="4ACFB0A0" w14:textId="343249BE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1CB7D726" w14:textId="69F38BB5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NE</w:t>
            </w:r>
          </w:p>
        </w:tc>
      </w:tr>
      <w:tr w:rsidR="00F75236" w:rsidRPr="00F75236" w14:paraId="672605F2" w14:textId="77777777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</w:tcPr>
          <w:p w14:paraId="0BB960E4" w14:textId="4332279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 xml:space="preserve">Montaža modula za spajanje i smještaj adaptera, ugradnja </w:t>
            </w:r>
            <w:proofErr w:type="spellStart"/>
            <w:r w:rsidRPr="00F75236">
              <w:rPr>
                <w:sz w:val="20"/>
                <w:szCs w:val="20"/>
              </w:rPr>
              <w:t>pigtaila</w:t>
            </w:r>
            <w:proofErr w:type="spellEnd"/>
            <w:r w:rsidRPr="00F75236">
              <w:rPr>
                <w:sz w:val="20"/>
                <w:szCs w:val="20"/>
              </w:rPr>
              <w:t xml:space="preserve"> i priprema</w:t>
            </w:r>
          </w:p>
        </w:tc>
        <w:tc>
          <w:tcPr>
            <w:tcW w:w="3544" w:type="dxa"/>
            <w:vAlign w:val="center"/>
          </w:tcPr>
          <w:p w14:paraId="61C6C545" w14:textId="5560BB36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218ADBFC" w14:textId="734A0F03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NE</w:t>
            </w:r>
          </w:p>
        </w:tc>
      </w:tr>
      <w:tr w:rsidR="00F75236" w:rsidRPr="00F75236" w14:paraId="0D1EC480" w14:textId="7C99039D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0DCD03FD" w14:textId="1A2843E5" w:rsidR="00F75236" w:rsidRPr="00F75236" w:rsidRDefault="00F75236" w:rsidP="001F64FB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lastRenderedPageBreak/>
              <w:t>Usluge izrade projektne dokumentacije za DN sa komb</w:t>
            </w:r>
            <w:r w:rsidR="001F64FB">
              <w:rPr>
                <w:color w:val="000000"/>
                <w:sz w:val="20"/>
                <w:szCs w:val="20"/>
              </w:rPr>
              <w:t xml:space="preserve">iniranim stalkom / </w:t>
            </w:r>
            <w:r w:rsidRPr="00F75236">
              <w:rPr>
                <w:color w:val="000000"/>
                <w:sz w:val="20"/>
                <w:szCs w:val="20"/>
              </w:rPr>
              <w:t xml:space="preserve">tabela </w:t>
            </w:r>
            <w:proofErr w:type="spellStart"/>
            <w:r w:rsidRPr="00F75236">
              <w:rPr>
                <w:color w:val="000000"/>
                <w:sz w:val="20"/>
                <w:szCs w:val="20"/>
              </w:rPr>
              <w:t>razbrajanja</w:t>
            </w:r>
            <w:proofErr w:type="spellEnd"/>
            <w:r w:rsidRPr="00F75236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14:paraId="1720E399" w14:textId="43C2137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152C88F6" w14:textId="71B2EC2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701D3418" w14:textId="688F00A2" w:rsidTr="00833780">
        <w:trPr>
          <w:trHeight w:val="705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70650FD4" w14:textId="28A70777" w:rsidR="00F75236" w:rsidRPr="00F75236" w:rsidRDefault="00F75236" w:rsidP="001F64FB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Usluge izrade dokumentacije izvedenog stanja za DN  sa kom</w:t>
            </w:r>
            <w:r w:rsidR="001F64FB">
              <w:rPr>
                <w:color w:val="000000"/>
                <w:sz w:val="20"/>
                <w:szCs w:val="20"/>
              </w:rPr>
              <w:t>biniranim stalkom /</w:t>
            </w:r>
            <w:r w:rsidRPr="00F75236">
              <w:rPr>
                <w:color w:val="000000"/>
                <w:sz w:val="20"/>
                <w:szCs w:val="20"/>
              </w:rPr>
              <w:t xml:space="preserve"> tabela </w:t>
            </w:r>
            <w:proofErr w:type="spellStart"/>
            <w:r w:rsidRPr="00F75236">
              <w:rPr>
                <w:color w:val="000000"/>
                <w:sz w:val="20"/>
                <w:szCs w:val="20"/>
              </w:rPr>
              <w:t>razbrajanja</w:t>
            </w:r>
            <w:proofErr w:type="spellEnd"/>
            <w:r w:rsidRPr="00F75236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14:paraId="0D52D481" w14:textId="51E4E4E8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51183AB1" w14:textId="781A8CF3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47EE48EE" w14:textId="29906B19" w:rsidTr="00833780">
        <w:trPr>
          <w:trHeight w:val="51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2B647521" w14:textId="553C49C2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Građ</w:t>
            </w:r>
            <w:r w:rsidR="00B13407">
              <w:rPr>
                <w:color w:val="000000"/>
                <w:sz w:val="20"/>
                <w:szCs w:val="20"/>
              </w:rPr>
              <w:t>evinska</w:t>
            </w:r>
            <w:r w:rsidRPr="00F75236">
              <w:rPr>
                <w:color w:val="000000"/>
                <w:sz w:val="20"/>
                <w:szCs w:val="20"/>
              </w:rPr>
              <w:t xml:space="preserve"> proj</w:t>
            </w:r>
            <w:r>
              <w:rPr>
                <w:color w:val="000000"/>
                <w:sz w:val="20"/>
                <w:szCs w:val="20"/>
              </w:rPr>
              <w:t>ektna dokumentacija i geodetsko snima</w:t>
            </w:r>
            <w:r w:rsidRPr="00F75236">
              <w:rPr>
                <w:color w:val="000000"/>
                <w:sz w:val="20"/>
                <w:szCs w:val="20"/>
              </w:rPr>
              <w:t>nje</w:t>
            </w:r>
          </w:p>
        </w:tc>
        <w:tc>
          <w:tcPr>
            <w:tcW w:w="3544" w:type="dxa"/>
            <w:vAlign w:val="center"/>
          </w:tcPr>
          <w:p w14:paraId="0202DA0E" w14:textId="4487A36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24696CE9" w14:textId="2D9E3EFD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4E85E103" w14:textId="7B83DD6A" w:rsidTr="00833780">
        <w:trPr>
          <w:trHeight w:val="30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1B70B96A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Izgradnja uvodnog zdenca MZD3 ( MZD2; MZD3; MZD4)</w:t>
            </w:r>
          </w:p>
        </w:tc>
        <w:tc>
          <w:tcPr>
            <w:tcW w:w="3544" w:type="dxa"/>
            <w:vAlign w:val="center"/>
          </w:tcPr>
          <w:p w14:paraId="75503F20" w14:textId="123FE008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0CD2233F" w14:textId="2AE33B5D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469E9497" w14:textId="749EE58D" w:rsidTr="00833780">
        <w:trPr>
          <w:trHeight w:val="300"/>
          <w:jc w:val="center"/>
        </w:trPr>
        <w:tc>
          <w:tcPr>
            <w:tcW w:w="410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61133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 xml:space="preserve">Izgradnja </w:t>
            </w:r>
            <w:proofErr w:type="spellStart"/>
            <w:r w:rsidRPr="00F75236">
              <w:rPr>
                <w:color w:val="000000"/>
                <w:sz w:val="20"/>
                <w:szCs w:val="20"/>
              </w:rPr>
              <w:t>privodne</w:t>
            </w:r>
            <w:proofErr w:type="spellEnd"/>
            <w:r w:rsidRPr="00F75236">
              <w:rPr>
                <w:color w:val="000000"/>
                <w:sz w:val="20"/>
                <w:szCs w:val="20"/>
              </w:rPr>
              <w:t xml:space="preserve"> KK tipa MZD3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14:paraId="6D55CEB3" w14:textId="6E43A09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ED93EDF" w14:textId="6A693540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  <w:tr w:rsidR="00F75236" w:rsidRPr="00F75236" w14:paraId="2A71CC62" w14:textId="3F4DB32C" w:rsidTr="00833780">
        <w:trPr>
          <w:trHeight w:val="270"/>
          <w:jc w:val="center"/>
        </w:trPr>
        <w:tc>
          <w:tcPr>
            <w:tcW w:w="4106" w:type="dxa"/>
            <w:shd w:val="clear" w:color="000000" w:fill="auto"/>
            <w:noWrap/>
            <w:vAlign w:val="center"/>
            <w:hideMark/>
          </w:tcPr>
          <w:p w14:paraId="4CB72E23" w14:textId="1CA0E2D6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Naknada za prostor</w:t>
            </w:r>
          </w:p>
        </w:tc>
        <w:tc>
          <w:tcPr>
            <w:tcW w:w="3544" w:type="dxa"/>
            <w:shd w:val="clear" w:color="000000" w:fill="auto"/>
            <w:vAlign w:val="center"/>
          </w:tcPr>
          <w:p w14:paraId="40F5E090" w14:textId="4574C0E8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shd w:val="clear" w:color="000000" w:fill="auto"/>
            <w:vAlign w:val="center"/>
          </w:tcPr>
          <w:p w14:paraId="22DF87BC" w14:textId="7EC9FEE7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  <w:r>
              <w:rPr>
                <w:rStyle w:val="FootnoteReference"/>
                <w:sz w:val="20"/>
                <w:szCs w:val="20"/>
              </w:rPr>
              <w:footnoteReference w:id="3"/>
            </w:r>
          </w:p>
        </w:tc>
      </w:tr>
      <w:tr w:rsidR="00F75236" w:rsidRPr="00F75236" w14:paraId="12A6918A" w14:textId="74670E96" w:rsidTr="00833780">
        <w:trPr>
          <w:trHeight w:val="390"/>
          <w:jc w:val="center"/>
        </w:trPr>
        <w:tc>
          <w:tcPr>
            <w:tcW w:w="4106" w:type="dxa"/>
            <w:shd w:val="clear" w:color="auto" w:fill="auto"/>
            <w:noWrap/>
            <w:vAlign w:val="center"/>
            <w:hideMark/>
          </w:tcPr>
          <w:p w14:paraId="6ABA9302" w14:textId="77777777" w:rsidR="00F75236" w:rsidRPr="00F75236" w:rsidRDefault="00F75236" w:rsidP="00F75236">
            <w:pPr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Izgradnja dodatne veze između kabineta</w:t>
            </w:r>
          </w:p>
        </w:tc>
        <w:tc>
          <w:tcPr>
            <w:tcW w:w="3544" w:type="dxa"/>
            <w:vAlign w:val="center"/>
          </w:tcPr>
          <w:p w14:paraId="3B2196A9" w14:textId="3DAE767E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color w:val="000000"/>
                <w:sz w:val="20"/>
                <w:szCs w:val="20"/>
              </w:rPr>
              <w:t>DA</w:t>
            </w:r>
          </w:p>
        </w:tc>
        <w:tc>
          <w:tcPr>
            <w:tcW w:w="2268" w:type="dxa"/>
            <w:vAlign w:val="center"/>
          </w:tcPr>
          <w:p w14:paraId="30A781C9" w14:textId="0E3F856C" w:rsidR="00F75236" w:rsidRPr="00F75236" w:rsidRDefault="00F75236" w:rsidP="00202DE5">
            <w:pPr>
              <w:jc w:val="center"/>
              <w:rPr>
                <w:color w:val="000000"/>
                <w:sz w:val="20"/>
                <w:szCs w:val="20"/>
              </w:rPr>
            </w:pPr>
            <w:r w:rsidRPr="00F75236">
              <w:rPr>
                <w:sz w:val="20"/>
                <w:szCs w:val="20"/>
              </w:rPr>
              <w:t>DA</w:t>
            </w:r>
          </w:p>
        </w:tc>
      </w:tr>
    </w:tbl>
    <w:p w14:paraId="37E4AEA5" w14:textId="3E9E00DA" w:rsidR="00B161DB" w:rsidRPr="00FB4D75" w:rsidRDefault="00B161DB" w:rsidP="00FB4D75">
      <w:pPr>
        <w:jc w:val="both"/>
        <w:rPr>
          <w:rFonts w:cstheme="minorHAnsi"/>
        </w:rPr>
      </w:pPr>
    </w:p>
    <w:p w14:paraId="157FB572" w14:textId="5A45C59C" w:rsidR="0088273A" w:rsidRDefault="0088273A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t>Prosječni CAPEX</w:t>
      </w:r>
      <w:r w:rsidR="00290F0C">
        <w:rPr>
          <w:rFonts w:cstheme="minorHAnsi"/>
          <w:b/>
        </w:rPr>
        <w:t xml:space="preserve"> trošak lokacije na kojoj je sm</w:t>
      </w:r>
      <w:r w:rsidR="00833780">
        <w:rPr>
          <w:rFonts w:cstheme="minorHAnsi"/>
          <w:b/>
        </w:rPr>
        <w:t>ješten distribuci</w:t>
      </w:r>
      <w:r>
        <w:rPr>
          <w:rFonts w:cstheme="minorHAnsi"/>
          <w:b/>
        </w:rPr>
        <w:t>j</w:t>
      </w:r>
      <w:r w:rsidR="00833780">
        <w:rPr>
          <w:rFonts w:cstheme="minorHAnsi"/>
          <w:b/>
        </w:rPr>
        <w:t>s</w:t>
      </w:r>
      <w:r>
        <w:rPr>
          <w:rFonts w:cstheme="minorHAnsi"/>
          <w:b/>
        </w:rPr>
        <w:t>ki čvor –</w:t>
      </w:r>
      <w:r>
        <w:rPr>
          <w:rFonts w:cstheme="minorHAnsi"/>
        </w:rPr>
        <w:t xml:space="preserve"> distribucijski čvorovi s</w:t>
      </w:r>
      <w:r w:rsidR="00917E2C">
        <w:rPr>
          <w:rFonts w:cstheme="minorHAnsi"/>
        </w:rPr>
        <w:t>u</w:t>
      </w:r>
      <w:r>
        <w:rPr>
          <w:rFonts w:cstheme="minorHAnsi"/>
        </w:rPr>
        <w:t xml:space="preserve"> smješteni u unutarnje HT-ove prostore (</w:t>
      </w:r>
      <w:r w:rsidR="00EB6A6B">
        <w:rPr>
          <w:rFonts w:cstheme="minorHAnsi"/>
        </w:rPr>
        <w:t xml:space="preserve">ukupno ih je </w:t>
      </w:r>
      <w:r>
        <w:rPr>
          <w:rFonts w:cstheme="minorHAnsi"/>
        </w:rPr>
        <w:t xml:space="preserve">151) </w:t>
      </w:r>
      <w:r w:rsidR="00290F0C">
        <w:rPr>
          <w:rFonts w:cstheme="minorHAnsi"/>
        </w:rPr>
        <w:t xml:space="preserve">ili </w:t>
      </w:r>
      <w:r>
        <w:rPr>
          <w:rFonts w:cstheme="minorHAnsi"/>
        </w:rPr>
        <w:t>na vanjske lokacije (</w:t>
      </w:r>
      <w:r w:rsidR="00EB6A6B">
        <w:rPr>
          <w:rFonts w:cstheme="minorHAnsi"/>
        </w:rPr>
        <w:t xml:space="preserve">ukupno ih je </w:t>
      </w:r>
      <w:r>
        <w:rPr>
          <w:rFonts w:cstheme="minorHAnsi"/>
        </w:rPr>
        <w:t>127)</w:t>
      </w:r>
      <w:r w:rsidR="00290F0C">
        <w:rPr>
          <w:rFonts w:cstheme="minorHAnsi"/>
        </w:rPr>
        <w:t xml:space="preserve">. S obzirom da se CAPEX trošak </w:t>
      </w:r>
      <w:proofErr w:type="spellStart"/>
      <w:r w:rsidR="00290F0C">
        <w:rPr>
          <w:rFonts w:cstheme="minorHAnsi"/>
        </w:rPr>
        <w:t>unutranjih</w:t>
      </w:r>
      <w:proofErr w:type="spellEnd"/>
      <w:r w:rsidR="00290F0C">
        <w:rPr>
          <w:rFonts w:cstheme="minorHAnsi"/>
        </w:rPr>
        <w:t xml:space="preserve"> HT-ovih lokacija u cijelosti nadoknađuje kroz ostale veleprodajne i maloprodajne usluge iz Troškovnog modela taj trošak nije uključen u izračun troška najma prostora u </w:t>
      </w:r>
      <w:proofErr w:type="spellStart"/>
      <w:r w:rsidR="00290F0C">
        <w:rPr>
          <w:rFonts w:cstheme="minorHAnsi"/>
        </w:rPr>
        <w:t>unutranjem</w:t>
      </w:r>
      <w:proofErr w:type="spellEnd"/>
      <w:r w:rsidR="00290F0C">
        <w:rPr>
          <w:rFonts w:cstheme="minorHAnsi"/>
        </w:rPr>
        <w:t xml:space="preserve"> distribucijskom čvoru. S druge strane iz podataka o stvarnim troškovima izračunat je prosječni trošak po lokaciji koji HT plaća za smještaj distribucijskog čvora na vanjsku površinu.</w:t>
      </w:r>
    </w:p>
    <w:p w14:paraId="1E878FBE" w14:textId="77777777" w:rsidR="003902DE" w:rsidRDefault="003902DE" w:rsidP="003902DE">
      <w:pPr>
        <w:pStyle w:val="ListParagraph"/>
        <w:jc w:val="both"/>
        <w:rPr>
          <w:rFonts w:cstheme="minorHAnsi"/>
        </w:rPr>
      </w:pPr>
    </w:p>
    <w:p w14:paraId="37534507" w14:textId="0E8D4315" w:rsidR="00833780" w:rsidRDefault="0088273A" w:rsidP="00833780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t>Prosječni OPEX trošak (% od CAPEX-a)–</w:t>
      </w:r>
      <w:r>
        <w:rPr>
          <w:rFonts w:cstheme="minorHAnsi"/>
        </w:rPr>
        <w:t xml:space="preserve"> za sve stavke u izračunu primjenjuje se isti postotak kao u Troškovnom modelu.</w:t>
      </w:r>
    </w:p>
    <w:p w14:paraId="5C53380C" w14:textId="77777777" w:rsidR="00833780" w:rsidRDefault="00833780" w:rsidP="00833780">
      <w:pPr>
        <w:pStyle w:val="ListParagraph"/>
        <w:jc w:val="both"/>
        <w:rPr>
          <w:rFonts w:cstheme="minorHAnsi"/>
        </w:rPr>
      </w:pPr>
    </w:p>
    <w:p w14:paraId="21FFA30D" w14:textId="1B0D0152" w:rsidR="00833780" w:rsidRPr="009D5E19" w:rsidRDefault="00833780" w:rsidP="009D5E19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 w:rsidRPr="009D5E19">
        <w:rPr>
          <w:rFonts w:cstheme="minorHAnsi"/>
          <w:b/>
        </w:rPr>
        <w:t>Korisni životni vijek</w:t>
      </w:r>
      <w:r w:rsidR="009D5E19">
        <w:rPr>
          <w:rFonts w:cstheme="minorHAnsi"/>
          <w:b/>
        </w:rPr>
        <w:t xml:space="preserve"> (</w:t>
      </w:r>
      <w:proofErr w:type="spellStart"/>
      <w:r w:rsidR="009D5E19">
        <w:rPr>
          <w:rFonts w:cstheme="minorHAnsi"/>
          <w:b/>
        </w:rPr>
        <w:t>Useful</w:t>
      </w:r>
      <w:proofErr w:type="spellEnd"/>
      <w:r w:rsidR="009D5E19">
        <w:rPr>
          <w:rFonts w:cstheme="minorHAnsi"/>
          <w:b/>
        </w:rPr>
        <w:t xml:space="preserve"> </w:t>
      </w:r>
      <w:proofErr w:type="spellStart"/>
      <w:r w:rsidR="009D5E19">
        <w:rPr>
          <w:rFonts w:cstheme="minorHAnsi"/>
          <w:b/>
        </w:rPr>
        <w:t>life</w:t>
      </w:r>
      <w:proofErr w:type="spellEnd"/>
      <w:r w:rsidR="009D5E19">
        <w:rPr>
          <w:rFonts w:cstheme="minorHAnsi"/>
          <w:b/>
        </w:rPr>
        <w:t>)</w:t>
      </w:r>
      <w:r w:rsidRPr="009D5E19">
        <w:rPr>
          <w:rFonts w:cstheme="minorHAnsi"/>
          <w:b/>
        </w:rPr>
        <w:t xml:space="preserve"> –</w:t>
      </w:r>
      <w:r>
        <w:rPr>
          <w:rFonts w:cstheme="minorHAnsi"/>
        </w:rPr>
        <w:t xml:space="preserve"> primjenjuje se korisni životni vijek resursa iz T</w:t>
      </w:r>
      <w:r w:rsidR="009D5E19">
        <w:rPr>
          <w:rFonts w:cstheme="minorHAnsi"/>
        </w:rPr>
        <w:t>roškovnog modela</w:t>
      </w:r>
      <w:r w:rsidR="00EB6A6B">
        <w:rPr>
          <w:rFonts w:cstheme="minorHAnsi"/>
        </w:rPr>
        <w:t>.</w:t>
      </w:r>
    </w:p>
    <w:p w14:paraId="5E88EC31" w14:textId="77777777" w:rsidR="00833780" w:rsidRPr="00833780" w:rsidRDefault="00833780" w:rsidP="00833780">
      <w:pPr>
        <w:jc w:val="both"/>
        <w:rPr>
          <w:rFonts w:cstheme="minorHAnsi"/>
        </w:rPr>
      </w:pPr>
    </w:p>
    <w:p w14:paraId="04899681" w14:textId="5728A88F" w:rsidR="00833780" w:rsidRDefault="00833780" w:rsidP="00917E2C">
      <w:pPr>
        <w:pStyle w:val="Caption"/>
        <w:keepNext/>
        <w:jc w:val="both"/>
      </w:pPr>
      <w:bookmarkStart w:id="7" w:name="_Ref166682796"/>
      <w:r>
        <w:t xml:space="preserve">Tablica </w:t>
      </w:r>
      <w:r w:rsidR="00474093">
        <w:fldChar w:fldCharType="begin"/>
      </w:r>
      <w:r w:rsidR="00474093">
        <w:instrText xml:space="preserve"> SEQ Tablica \* ARABIC </w:instrText>
      </w:r>
      <w:r w:rsidR="00474093">
        <w:fldChar w:fldCharType="separate"/>
      </w:r>
      <w:r>
        <w:rPr>
          <w:noProof/>
        </w:rPr>
        <w:t>5</w:t>
      </w:r>
      <w:r w:rsidR="00474093">
        <w:rPr>
          <w:noProof/>
        </w:rPr>
        <w:fldChar w:fldCharType="end"/>
      </w:r>
      <w:bookmarkEnd w:id="7"/>
      <w:r>
        <w:t xml:space="preserve">-Prosječni </w:t>
      </w:r>
      <w:r w:rsidR="00B161DB">
        <w:t>jedinični CAPEX i</w:t>
      </w:r>
      <w:r>
        <w:t xml:space="preserve"> OPEX</w:t>
      </w:r>
      <w:r w:rsidR="00B161DB">
        <w:t xml:space="preserve"> troškovi</w:t>
      </w:r>
      <w:r w:rsidR="00B161DB" w:rsidRPr="00B161DB">
        <w:t xml:space="preserve"> </w:t>
      </w:r>
      <w:r w:rsidR="00B161DB">
        <w:t>te CAPEX trend i</w:t>
      </w:r>
      <w:r>
        <w:t xml:space="preserve"> korisni životni vijek</w:t>
      </w:r>
      <w:r w:rsidR="009D5E19">
        <w:t xml:space="preserve"> modula (RU) i lokacija na kojima su smješteni DČ-ovi</w:t>
      </w:r>
      <w:r>
        <w:t xml:space="preserve"> (Izvor: Troškovni model)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1560"/>
        <w:gridCol w:w="1842"/>
        <w:gridCol w:w="1560"/>
        <w:gridCol w:w="1842"/>
      </w:tblGrid>
      <w:tr w:rsidR="00833780" w:rsidRPr="00833780" w14:paraId="3E41A4C5" w14:textId="77777777" w:rsidTr="00B161DB">
        <w:trPr>
          <w:trHeight w:val="570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581C9211" w14:textId="77777777" w:rsidR="00833780" w:rsidRPr="00833780" w:rsidRDefault="00833780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Resource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5B1C89CA" w14:textId="77777777" w:rsidR="00833780" w:rsidRPr="00833780" w:rsidRDefault="00833780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Average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Unit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CAPEX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70DEEEA2" w14:textId="77777777" w:rsidR="00833780" w:rsidRPr="00833780" w:rsidRDefault="00833780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Average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Unit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OPEX (%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over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CAPEX)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000000" w:fill="0C2749"/>
            <w:vAlign w:val="center"/>
            <w:hideMark/>
          </w:tcPr>
          <w:p w14:paraId="3375BE67" w14:textId="77777777" w:rsidR="00833780" w:rsidRPr="00833780" w:rsidRDefault="00833780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Useful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life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shd w:val="clear" w:color="000000" w:fill="0C2749"/>
            <w:vAlign w:val="center"/>
            <w:hideMark/>
          </w:tcPr>
          <w:p w14:paraId="47165181" w14:textId="77777777" w:rsidR="00833780" w:rsidRPr="00833780" w:rsidRDefault="00833780">
            <w:pPr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CAPEX </w:t>
            </w:r>
            <w:proofErr w:type="spellStart"/>
            <w:r w:rsidRPr="00833780">
              <w:rPr>
                <w:b/>
                <w:bCs/>
                <w:color w:val="FFFFFF"/>
                <w:sz w:val="20"/>
                <w:szCs w:val="20"/>
              </w:rPr>
              <w:t>cost</w:t>
            </w:r>
            <w:proofErr w:type="spellEnd"/>
            <w:r w:rsidRPr="00833780">
              <w:rPr>
                <w:b/>
                <w:bCs/>
                <w:color w:val="FFFFFF"/>
                <w:sz w:val="20"/>
                <w:szCs w:val="20"/>
              </w:rPr>
              <w:t xml:space="preserve"> trend</w:t>
            </w:r>
          </w:p>
        </w:tc>
      </w:tr>
      <w:tr w:rsidR="000C60D7" w:rsidRPr="00833780" w14:paraId="04EF59D0" w14:textId="77777777" w:rsidTr="00EF3CB3">
        <w:trPr>
          <w:trHeight w:val="285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AEA69" w14:textId="7D6750BF" w:rsidR="000C60D7" w:rsidRPr="00833780" w:rsidRDefault="000C60D7" w:rsidP="000C60D7">
            <w:pPr>
              <w:rPr>
                <w:color w:val="000000"/>
                <w:sz w:val="20"/>
                <w:szCs w:val="20"/>
              </w:rPr>
            </w:pPr>
            <w:proofErr w:type="spellStart"/>
            <w:r w:rsidRPr="00833780">
              <w:rPr>
                <w:color w:val="000000"/>
                <w:sz w:val="20"/>
                <w:szCs w:val="20"/>
              </w:rPr>
              <w:t>Indoor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site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belonging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to HT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used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for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placing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Distribution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Node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(DN)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hideMark/>
          </w:tcPr>
          <w:p w14:paraId="75DFBDF8" w14:textId="78A959DC" w:rsidR="000C60D7" w:rsidRPr="000C60D7" w:rsidRDefault="000C60D7" w:rsidP="000C60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2387CECD" w14:textId="2C9199ED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2C15641E" w14:textId="2B4E1FFA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4BAE9DFA" w14:textId="717C591B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</w:tr>
      <w:tr w:rsidR="000C60D7" w:rsidRPr="00833780" w14:paraId="48955427" w14:textId="77777777" w:rsidTr="00EF3CB3">
        <w:trPr>
          <w:trHeight w:val="285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539CE" w14:textId="188635BF" w:rsidR="000C60D7" w:rsidRPr="00833780" w:rsidRDefault="000C60D7" w:rsidP="000C60D7">
            <w:pPr>
              <w:rPr>
                <w:color w:val="000000"/>
                <w:sz w:val="20"/>
                <w:szCs w:val="20"/>
              </w:rPr>
            </w:pPr>
            <w:proofErr w:type="spellStart"/>
            <w:r w:rsidRPr="00833780">
              <w:rPr>
                <w:color w:val="000000"/>
                <w:sz w:val="20"/>
                <w:szCs w:val="20"/>
              </w:rPr>
              <w:t>Outdoor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site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belonging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to HT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used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for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placing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Distribution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Node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(DN)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hideMark/>
          </w:tcPr>
          <w:p w14:paraId="79978B58" w14:textId="2EC7B032" w:rsidR="000C60D7" w:rsidRPr="000C60D7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45C9A462" w14:textId="7BB1AB62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63B40F5A" w14:textId="0FE367FD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0DBDE20A" w14:textId="67D31053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</w:tr>
      <w:tr w:rsidR="000C60D7" w:rsidRPr="00833780" w14:paraId="223BBE5F" w14:textId="77777777" w:rsidTr="00EF3CB3">
        <w:trPr>
          <w:trHeight w:val="285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A30B0" w14:textId="7E6B365B" w:rsidR="000C60D7" w:rsidRPr="00833780" w:rsidRDefault="000C60D7" w:rsidP="000C60D7">
            <w:pPr>
              <w:rPr>
                <w:color w:val="000000"/>
                <w:sz w:val="20"/>
                <w:szCs w:val="20"/>
              </w:rPr>
            </w:pPr>
            <w:proofErr w:type="spellStart"/>
            <w:r w:rsidRPr="00833780">
              <w:rPr>
                <w:color w:val="000000"/>
                <w:sz w:val="20"/>
                <w:szCs w:val="20"/>
              </w:rPr>
              <w:t>Rack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Unit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of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DN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Indoor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hideMark/>
          </w:tcPr>
          <w:p w14:paraId="1EBAA595" w14:textId="0524F1FD" w:rsidR="000C60D7" w:rsidRPr="000C60D7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796F1034" w14:textId="3E581DED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34CD9B3E" w14:textId="2FE4A756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4EC97935" w14:textId="3EEB19CF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</w:tr>
      <w:tr w:rsidR="000C60D7" w:rsidRPr="00833780" w14:paraId="6D570709" w14:textId="77777777" w:rsidTr="00EF3CB3">
        <w:trPr>
          <w:trHeight w:val="285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0D5D" w14:textId="6461F320" w:rsidR="000C60D7" w:rsidRPr="00833780" w:rsidRDefault="000C60D7" w:rsidP="000C60D7">
            <w:pPr>
              <w:rPr>
                <w:color w:val="000000"/>
                <w:sz w:val="20"/>
                <w:szCs w:val="20"/>
              </w:rPr>
            </w:pPr>
            <w:proofErr w:type="spellStart"/>
            <w:r w:rsidRPr="00833780">
              <w:rPr>
                <w:color w:val="000000"/>
                <w:sz w:val="20"/>
                <w:szCs w:val="20"/>
              </w:rPr>
              <w:t>Rack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Unit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of</w:t>
            </w:r>
            <w:proofErr w:type="spellEnd"/>
            <w:r w:rsidRPr="00833780">
              <w:rPr>
                <w:color w:val="000000"/>
                <w:sz w:val="20"/>
                <w:szCs w:val="20"/>
              </w:rPr>
              <w:t xml:space="preserve"> DN </w:t>
            </w:r>
            <w:proofErr w:type="spellStart"/>
            <w:r w:rsidRPr="00833780">
              <w:rPr>
                <w:color w:val="000000"/>
                <w:sz w:val="20"/>
                <w:szCs w:val="20"/>
              </w:rPr>
              <w:t>Outdoor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hideMark/>
          </w:tcPr>
          <w:p w14:paraId="3524943C" w14:textId="731A84B9" w:rsidR="000C60D7" w:rsidRPr="000C60D7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57578767" w14:textId="22B3A77C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53F270CE" w14:textId="74611C82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16DE6861" w14:textId="2D735C0F" w:rsidR="000C60D7" w:rsidRPr="00EB6A6B" w:rsidRDefault="004644A1" w:rsidP="000C60D7">
            <w:pPr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>
              <w:rPr>
                <w:color w:val="000000"/>
                <w:sz w:val="20"/>
                <w:szCs w:val="20"/>
                <w:lang w:val="en-US"/>
              </w:rPr>
              <w:sym w:font="Wingdings" w:char="F022"/>
            </w:r>
            <w:r w:rsidR="000C60D7" w:rsidRPr="00EB6A6B">
              <w:rPr>
                <w:sz w:val="20"/>
                <w:szCs w:val="20"/>
              </w:rPr>
              <w:t>%</w:t>
            </w:r>
          </w:p>
        </w:tc>
      </w:tr>
    </w:tbl>
    <w:p w14:paraId="10AAD7A6" w14:textId="77777777" w:rsidR="00833780" w:rsidRPr="00833780" w:rsidRDefault="00833780" w:rsidP="00833780">
      <w:pPr>
        <w:jc w:val="both"/>
        <w:rPr>
          <w:rFonts w:cstheme="minorHAnsi"/>
        </w:rPr>
      </w:pPr>
    </w:p>
    <w:p w14:paraId="0315040B" w14:textId="77777777" w:rsidR="003902DE" w:rsidRDefault="003902DE" w:rsidP="003902DE">
      <w:pPr>
        <w:pStyle w:val="ListParagraph"/>
        <w:jc w:val="both"/>
        <w:rPr>
          <w:rFonts w:cstheme="minorHAnsi"/>
        </w:rPr>
      </w:pPr>
    </w:p>
    <w:p w14:paraId="52B84E9E" w14:textId="005E02B5" w:rsidR="007373F6" w:rsidRDefault="007373F6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t>Dodatak na O</w:t>
      </w:r>
      <w:r w:rsidR="0088273A">
        <w:rPr>
          <w:rFonts w:cstheme="minorHAnsi"/>
          <w:b/>
        </w:rPr>
        <w:t>PE</w:t>
      </w:r>
      <w:r>
        <w:rPr>
          <w:rFonts w:cstheme="minorHAnsi"/>
          <w:b/>
        </w:rPr>
        <w:t xml:space="preserve">X za veleprodajne specifične troškove </w:t>
      </w:r>
      <w:r>
        <w:rPr>
          <w:rFonts w:cstheme="minorHAnsi"/>
        </w:rPr>
        <w:t xml:space="preserve">– </w:t>
      </w:r>
      <w:r w:rsidR="00EB6A6B">
        <w:rPr>
          <w:rFonts w:cstheme="minorHAnsi"/>
        </w:rPr>
        <w:t>primjenjuje se dodatak (</w:t>
      </w:r>
      <w:proofErr w:type="spellStart"/>
      <w:r w:rsidR="00EB6A6B" w:rsidRPr="00EB6A6B">
        <w:rPr>
          <w:rFonts w:cstheme="minorHAnsi"/>
          <w:i/>
        </w:rPr>
        <w:t>mark</w:t>
      </w:r>
      <w:proofErr w:type="spellEnd"/>
      <w:r w:rsidR="00EB6A6B" w:rsidRPr="00EB6A6B">
        <w:rPr>
          <w:rFonts w:cstheme="minorHAnsi"/>
          <w:i/>
        </w:rPr>
        <w:t xml:space="preserve"> </w:t>
      </w:r>
      <w:proofErr w:type="spellStart"/>
      <w:r w:rsidR="00EB6A6B" w:rsidRPr="00EB6A6B">
        <w:rPr>
          <w:rFonts w:cstheme="minorHAnsi"/>
          <w:i/>
        </w:rPr>
        <w:t>up</w:t>
      </w:r>
      <w:proofErr w:type="spellEnd"/>
      <w:r w:rsidR="00EB6A6B">
        <w:rPr>
          <w:rFonts w:cstheme="minorHAnsi"/>
        </w:rPr>
        <w:t xml:space="preserve">) koji se dodaje na OPEX troškove i </w:t>
      </w:r>
      <w:r>
        <w:rPr>
          <w:rFonts w:cstheme="minorHAnsi"/>
        </w:rPr>
        <w:t>izračunava se iz Troškovnog modela</w:t>
      </w:r>
      <w:r w:rsidR="00EB6A6B">
        <w:rPr>
          <w:rFonts w:cstheme="minorHAnsi"/>
        </w:rPr>
        <w:t>.</w:t>
      </w:r>
    </w:p>
    <w:p w14:paraId="75048FDB" w14:textId="77777777" w:rsidR="003902DE" w:rsidRDefault="003902DE" w:rsidP="003902DE">
      <w:pPr>
        <w:pStyle w:val="ListParagraph"/>
        <w:jc w:val="both"/>
        <w:rPr>
          <w:rFonts w:cstheme="minorHAnsi"/>
        </w:rPr>
      </w:pPr>
    </w:p>
    <w:p w14:paraId="3BA36A3C" w14:textId="6D7FCB6F" w:rsidR="00290F0C" w:rsidRDefault="00290F0C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lastRenderedPageBreak/>
        <w:t xml:space="preserve">Prosječni ponderirani trošak </w:t>
      </w:r>
      <w:proofErr w:type="spellStart"/>
      <w:r>
        <w:rPr>
          <w:rFonts w:cstheme="minorHAnsi"/>
          <w:b/>
        </w:rPr>
        <w:t>capitala</w:t>
      </w:r>
      <w:proofErr w:type="spellEnd"/>
      <w:r>
        <w:rPr>
          <w:rFonts w:cstheme="minorHAnsi"/>
          <w:b/>
        </w:rPr>
        <w:t xml:space="preserve"> (WACC) </w:t>
      </w:r>
      <w:r>
        <w:rPr>
          <w:rFonts w:cstheme="minorHAnsi"/>
        </w:rPr>
        <w:t xml:space="preserve">– koristi se </w:t>
      </w:r>
      <w:r w:rsidR="009D5E19">
        <w:rPr>
          <w:rFonts w:cstheme="minorHAnsi"/>
        </w:rPr>
        <w:t xml:space="preserve">trenutno važeća </w:t>
      </w:r>
      <w:r>
        <w:rPr>
          <w:rFonts w:cstheme="minorHAnsi"/>
        </w:rPr>
        <w:t>vrijednost WACC-a (4,82%) uveć</w:t>
      </w:r>
      <w:r w:rsidR="009D5E19">
        <w:rPr>
          <w:rFonts w:cstheme="minorHAnsi"/>
        </w:rPr>
        <w:t>ana za trenutno važeću premiju rizika (1,59%) koja se primjenjuje u ažuriranom Troškovnom modelu</w:t>
      </w:r>
      <w:r w:rsidR="009D5E19">
        <w:rPr>
          <w:rStyle w:val="FootnoteReference"/>
          <w:rFonts w:cstheme="minorHAnsi"/>
        </w:rPr>
        <w:footnoteReference w:id="4"/>
      </w:r>
      <w:r>
        <w:rPr>
          <w:rFonts w:cstheme="minorHAnsi"/>
        </w:rPr>
        <w:t>.</w:t>
      </w:r>
    </w:p>
    <w:p w14:paraId="458C4FA1" w14:textId="77777777" w:rsidR="003902DE" w:rsidRDefault="003902DE" w:rsidP="003902DE">
      <w:pPr>
        <w:pStyle w:val="ListParagraph"/>
        <w:jc w:val="both"/>
        <w:rPr>
          <w:rFonts w:cstheme="minorHAnsi"/>
        </w:rPr>
      </w:pPr>
    </w:p>
    <w:p w14:paraId="65D2DC75" w14:textId="45B16B0F" w:rsidR="001F7315" w:rsidRDefault="001F7315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t xml:space="preserve">OPEX trend </w:t>
      </w:r>
      <w:r>
        <w:rPr>
          <w:rFonts w:cstheme="minorHAnsi"/>
        </w:rPr>
        <w:t>– primjenjuje se OPEX trend iz Troškovnog modela odnosno pretpostavlja se da će OPEX rasti u skladu s prosječnom stopom inflacije u Republici Hrvatskoj</w:t>
      </w:r>
      <w:r w:rsidR="009D5E19">
        <w:rPr>
          <w:rStyle w:val="FootnoteReference"/>
          <w:rFonts w:cstheme="minorHAnsi"/>
        </w:rPr>
        <w:footnoteReference w:id="5"/>
      </w:r>
      <w:r>
        <w:rPr>
          <w:rFonts w:cstheme="minorHAnsi"/>
        </w:rPr>
        <w:t>.</w:t>
      </w:r>
    </w:p>
    <w:p w14:paraId="4264F331" w14:textId="77777777" w:rsidR="009D5E19" w:rsidRDefault="009D5E19" w:rsidP="009D5E19">
      <w:pPr>
        <w:pStyle w:val="ListParagraph"/>
        <w:jc w:val="both"/>
        <w:rPr>
          <w:rFonts w:cstheme="minorHAnsi"/>
        </w:rPr>
      </w:pPr>
    </w:p>
    <w:p w14:paraId="4377234C" w14:textId="17CF61D1" w:rsidR="009D5E19" w:rsidRDefault="009D5E19" w:rsidP="007373F6">
      <w:pPr>
        <w:pStyle w:val="ListParagraph"/>
        <w:numPr>
          <w:ilvl w:val="0"/>
          <w:numId w:val="29"/>
        </w:numPr>
        <w:jc w:val="both"/>
        <w:rPr>
          <w:rFonts w:cstheme="minorHAnsi"/>
        </w:rPr>
      </w:pPr>
      <w:r>
        <w:rPr>
          <w:rFonts w:cstheme="minorHAnsi"/>
          <w:b/>
        </w:rPr>
        <w:t xml:space="preserve">Opći i administrativni troškovi (G&amp;A) </w:t>
      </w:r>
      <w:r>
        <w:rPr>
          <w:rFonts w:cstheme="minorHAnsi"/>
        </w:rPr>
        <w:t>–primjenjuje se dodatak (</w:t>
      </w:r>
      <w:proofErr w:type="spellStart"/>
      <w:r w:rsidRPr="00EB6A6B">
        <w:rPr>
          <w:rFonts w:cstheme="minorHAnsi"/>
          <w:i/>
        </w:rPr>
        <w:t>mark</w:t>
      </w:r>
      <w:proofErr w:type="spellEnd"/>
      <w:r w:rsidRPr="00EB6A6B">
        <w:rPr>
          <w:rFonts w:cstheme="minorHAnsi"/>
          <w:i/>
        </w:rPr>
        <w:t xml:space="preserve"> </w:t>
      </w:r>
      <w:proofErr w:type="spellStart"/>
      <w:r w:rsidRPr="00EB6A6B">
        <w:rPr>
          <w:rFonts w:cstheme="minorHAnsi"/>
          <w:i/>
        </w:rPr>
        <w:t>up</w:t>
      </w:r>
      <w:proofErr w:type="spellEnd"/>
      <w:r>
        <w:rPr>
          <w:rFonts w:cstheme="minorHAnsi"/>
        </w:rPr>
        <w:t>)</w:t>
      </w:r>
      <w:r w:rsidR="00EB6A6B" w:rsidRPr="00EB6A6B">
        <w:rPr>
          <w:rFonts w:cstheme="minorHAnsi"/>
        </w:rPr>
        <w:t xml:space="preserve"> iz Troškovnog modela</w:t>
      </w:r>
      <w:r w:rsidR="00EB6A6B">
        <w:rPr>
          <w:rFonts w:cstheme="minorHAnsi"/>
        </w:rPr>
        <w:t xml:space="preserve"> koji se dodaje</w:t>
      </w:r>
      <w:r>
        <w:rPr>
          <w:rFonts w:cstheme="minorHAnsi"/>
        </w:rPr>
        <w:t xml:space="preserve"> na OPEX</w:t>
      </w:r>
      <w:r w:rsidR="00EB6A6B">
        <w:rPr>
          <w:rFonts w:cstheme="minorHAnsi"/>
        </w:rPr>
        <w:t xml:space="preserve"> troškove.</w:t>
      </w:r>
    </w:p>
    <w:p w14:paraId="67361640" w14:textId="50AAF538" w:rsidR="007373F6" w:rsidRDefault="007373F6" w:rsidP="003C51FD">
      <w:pPr>
        <w:jc w:val="both"/>
        <w:rPr>
          <w:rFonts w:cstheme="minorHAnsi"/>
        </w:rPr>
      </w:pPr>
    </w:p>
    <w:p w14:paraId="307030C0" w14:textId="71A55038" w:rsidR="00B161DB" w:rsidRPr="00B161DB" w:rsidRDefault="00B161DB" w:rsidP="00B161DB">
      <w:pPr>
        <w:jc w:val="both"/>
      </w:pPr>
      <w:r>
        <w:t>U</w:t>
      </w:r>
      <w:r w:rsidRPr="00B161DB">
        <w:t xml:space="preserve"> radnom listu </w:t>
      </w:r>
      <w:r>
        <w:t xml:space="preserve">Troškovnog modela </w:t>
      </w:r>
      <w:r w:rsidRPr="00B161DB">
        <w:t xml:space="preserve">„ADD. MOD. COLLOC DN“ </w:t>
      </w:r>
      <w:r>
        <w:t xml:space="preserve">se </w:t>
      </w:r>
      <w:r w:rsidRPr="00B161DB">
        <w:t xml:space="preserve">na temelju </w:t>
      </w:r>
      <w:r>
        <w:t xml:space="preserve">gore opisanih </w:t>
      </w:r>
      <w:r w:rsidRPr="00B161DB">
        <w:t xml:space="preserve">ulaznih podataka </w:t>
      </w:r>
      <w:r>
        <w:t>izračunavaju ukupni troškovi za svaku pojedinu godinu</w:t>
      </w:r>
      <w:r w:rsidRPr="00B161DB">
        <w:t xml:space="preserve">. </w:t>
      </w:r>
      <w:r>
        <w:t xml:space="preserve">Najprije se </w:t>
      </w:r>
      <w:r w:rsidR="00195A15">
        <w:t>p</w:t>
      </w:r>
      <w:r w:rsidRPr="00B161DB">
        <w:t>rimjenom metode kosih anuiteta, primjenjujući formulu:</w:t>
      </w:r>
    </w:p>
    <w:p w14:paraId="5B0AF630" w14:textId="77777777" w:rsidR="00B161DB" w:rsidRPr="00B161DB" w:rsidRDefault="00B161DB" w:rsidP="00B161DB">
      <w:pPr>
        <w:jc w:val="both"/>
      </w:pPr>
    </w:p>
    <w:p w14:paraId="4E93715E" w14:textId="6DE1F700" w:rsidR="00B161DB" w:rsidRPr="00B161DB" w:rsidRDefault="00474093" w:rsidP="00B161DB">
      <w:pPr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d</m:t>
              </m: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w:rPr>
              <w:rFonts w:ascii="Cambria Math" w:hAnsi="Cambria Math"/>
            </w:rPr>
            <m:t>=GR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C</m:t>
              </m: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w:rPr>
              <w:rFonts w:ascii="Cambria Math" w:hAnsi="Cambria Math"/>
            </w:rPr>
            <m:t>·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WACC-Price trend</m:t>
              </m:r>
            </m:num>
            <m:den>
              <m:r>
                <w:rPr>
                  <w:rFonts w:ascii="Cambria Math" w:hAnsi="Cambria Math"/>
                </w:rPr>
                <m:t>1-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1+Price trend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1+WACC</m:t>
                          </m:r>
                        </m:den>
                      </m:f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UL</m:t>
                  </m:r>
                </m:sup>
              </m:sSup>
            </m:den>
          </m:f>
        </m:oMath>
      </m:oMathPara>
    </w:p>
    <w:p w14:paraId="09710C80" w14:textId="21299B11" w:rsidR="00B161DB" w:rsidRDefault="00B161DB" w:rsidP="00B161DB">
      <w:pPr>
        <w:jc w:val="both"/>
      </w:pPr>
      <w:r w:rsidRPr="00B161DB">
        <w:t>i ulaznih parametara opisanih gore, a gdje su:</w:t>
      </w:r>
    </w:p>
    <w:p w14:paraId="542E8D60" w14:textId="77777777" w:rsidR="00195A15" w:rsidRPr="00B161DB" w:rsidRDefault="00195A15" w:rsidP="00B161DB">
      <w:pPr>
        <w:jc w:val="both"/>
      </w:pPr>
    </w:p>
    <w:p w14:paraId="50F94CD0" w14:textId="6C43013C" w:rsidR="00B161DB" w:rsidRPr="00B161DB" w:rsidRDefault="00B161DB" w:rsidP="00B161DB">
      <w:pPr>
        <w:numPr>
          <w:ilvl w:val="0"/>
          <w:numId w:val="30"/>
        </w:numPr>
        <w:jc w:val="both"/>
      </w:pPr>
      <w:r w:rsidRPr="00B161DB">
        <w:rPr>
          <w:b/>
        </w:rPr>
        <w:t>GRC</w:t>
      </w:r>
      <w:r w:rsidRPr="00B161DB">
        <w:t xml:space="preserve"> </w:t>
      </w:r>
      <w:r w:rsidRPr="00B161DB">
        <w:rPr>
          <w:i/>
        </w:rPr>
        <w:t xml:space="preserve">(Bruto trošak zamjene, </w:t>
      </w:r>
      <w:proofErr w:type="spellStart"/>
      <w:r w:rsidRPr="00B161DB">
        <w:rPr>
          <w:i/>
        </w:rPr>
        <w:t>eng</w:t>
      </w:r>
      <w:proofErr w:type="spellEnd"/>
      <w:r w:rsidRPr="00B161DB">
        <w:rPr>
          <w:i/>
        </w:rPr>
        <w:t xml:space="preserve">. </w:t>
      </w:r>
      <w:proofErr w:type="spellStart"/>
      <w:r w:rsidRPr="00B161DB">
        <w:rPr>
          <w:i/>
        </w:rPr>
        <w:t>Gross</w:t>
      </w:r>
      <w:proofErr w:type="spellEnd"/>
      <w:r w:rsidRPr="00B161DB">
        <w:rPr>
          <w:i/>
        </w:rPr>
        <w:t xml:space="preserve"> </w:t>
      </w:r>
      <w:proofErr w:type="spellStart"/>
      <w:r w:rsidRPr="00B161DB">
        <w:rPr>
          <w:i/>
        </w:rPr>
        <w:t>Replacement</w:t>
      </w:r>
      <w:proofErr w:type="spellEnd"/>
      <w:r w:rsidRPr="00B161DB">
        <w:rPr>
          <w:i/>
        </w:rPr>
        <w:t xml:space="preserve"> </w:t>
      </w:r>
      <w:proofErr w:type="spellStart"/>
      <w:r w:rsidRPr="00B161DB">
        <w:rPr>
          <w:i/>
        </w:rPr>
        <w:t>Cost</w:t>
      </w:r>
      <w:proofErr w:type="spellEnd"/>
      <w:r w:rsidRPr="00B161DB">
        <w:t>) –</w:t>
      </w:r>
      <w:r w:rsidRPr="00B161DB">
        <w:rPr>
          <w:b/>
        </w:rPr>
        <w:t xml:space="preserve"> </w:t>
      </w:r>
      <w:r w:rsidR="00195A15" w:rsidRPr="00195A15">
        <w:t>jednak ulaznim</w:t>
      </w:r>
      <w:r w:rsidR="00195A15">
        <w:rPr>
          <w:b/>
        </w:rPr>
        <w:t xml:space="preserve"> </w:t>
      </w:r>
      <w:r w:rsidR="00195A15">
        <w:t xml:space="preserve">jediničnim CAPEX troškovima </w:t>
      </w:r>
      <w:r w:rsidR="00195A15" w:rsidRPr="00195A15">
        <w:t>za module (RU) unutarnjih i vanjskih distribucijskih čvorova te lokacija na koje s</w:t>
      </w:r>
      <w:r w:rsidR="00195A15">
        <w:t>u smješteni vanjski distribuci</w:t>
      </w:r>
      <w:r w:rsidR="00195A15" w:rsidRPr="00195A15">
        <w:t>j</w:t>
      </w:r>
      <w:r w:rsidR="00195A15">
        <w:t>s</w:t>
      </w:r>
      <w:r w:rsidR="00195A15" w:rsidRPr="00195A15">
        <w:t>ki čvorovi</w:t>
      </w:r>
      <w:r w:rsidRPr="00B161DB">
        <w:t>,</w:t>
      </w:r>
    </w:p>
    <w:p w14:paraId="070497E4" w14:textId="77777777" w:rsidR="00B161DB" w:rsidRPr="00B161DB" w:rsidRDefault="00B161DB" w:rsidP="00B161DB">
      <w:pPr>
        <w:numPr>
          <w:ilvl w:val="0"/>
          <w:numId w:val="30"/>
        </w:numPr>
        <w:jc w:val="both"/>
      </w:pPr>
      <w:r w:rsidRPr="00B161DB">
        <w:rPr>
          <w:b/>
        </w:rPr>
        <w:t>d</w:t>
      </w:r>
      <w:r w:rsidRPr="00B161DB">
        <w:rPr>
          <w:b/>
          <w:vertAlign w:val="subscript"/>
        </w:rPr>
        <w:t>i</w:t>
      </w:r>
      <w:r w:rsidRPr="00B161DB">
        <w:rPr>
          <w:b/>
        </w:rPr>
        <w:t xml:space="preserve"> </w:t>
      </w:r>
      <w:r w:rsidRPr="00B161DB">
        <w:t>–</w:t>
      </w:r>
      <w:r w:rsidRPr="00B161DB">
        <w:rPr>
          <w:b/>
        </w:rPr>
        <w:t xml:space="preserve"> </w:t>
      </w:r>
      <w:proofErr w:type="spellStart"/>
      <w:r w:rsidRPr="00B161DB">
        <w:t>anualizirani</w:t>
      </w:r>
      <w:proofErr w:type="spellEnd"/>
      <w:r w:rsidRPr="00B161DB">
        <w:t xml:space="preserve"> trošak u godini </w:t>
      </w:r>
      <w:r w:rsidRPr="00B161DB">
        <w:rPr>
          <w:i/>
        </w:rPr>
        <w:t>i</w:t>
      </w:r>
      <w:r w:rsidRPr="00B161DB">
        <w:t xml:space="preserve"> (unutar korisnog vijeka upotrebe),</w:t>
      </w:r>
    </w:p>
    <w:p w14:paraId="5643AE83" w14:textId="627EDDB9" w:rsidR="00B161DB" w:rsidRPr="00B161DB" w:rsidRDefault="00B161DB" w:rsidP="00B161DB">
      <w:pPr>
        <w:numPr>
          <w:ilvl w:val="0"/>
          <w:numId w:val="30"/>
        </w:numPr>
        <w:jc w:val="both"/>
      </w:pPr>
      <w:r w:rsidRPr="00B161DB">
        <w:rPr>
          <w:b/>
        </w:rPr>
        <w:t>WACC</w:t>
      </w:r>
      <w:r w:rsidRPr="00B161DB">
        <w:t xml:space="preserve"> (</w:t>
      </w:r>
      <w:proofErr w:type="spellStart"/>
      <w:r w:rsidRPr="00B161DB">
        <w:t>eng</w:t>
      </w:r>
      <w:proofErr w:type="spellEnd"/>
      <w:r w:rsidRPr="00B161DB">
        <w:t xml:space="preserve">. </w:t>
      </w:r>
      <w:proofErr w:type="spellStart"/>
      <w:r w:rsidRPr="00B161DB">
        <w:rPr>
          <w:i/>
        </w:rPr>
        <w:t>Weighted</w:t>
      </w:r>
      <w:proofErr w:type="spellEnd"/>
      <w:r w:rsidRPr="00B161DB">
        <w:rPr>
          <w:i/>
        </w:rPr>
        <w:t xml:space="preserve"> </w:t>
      </w:r>
      <w:proofErr w:type="spellStart"/>
      <w:r w:rsidRPr="00B161DB">
        <w:rPr>
          <w:i/>
        </w:rPr>
        <w:t>Average</w:t>
      </w:r>
      <w:proofErr w:type="spellEnd"/>
      <w:r w:rsidRPr="00B161DB">
        <w:rPr>
          <w:i/>
        </w:rPr>
        <w:t xml:space="preserve"> </w:t>
      </w:r>
      <w:proofErr w:type="spellStart"/>
      <w:r w:rsidRPr="00B161DB">
        <w:rPr>
          <w:i/>
        </w:rPr>
        <w:t>Cost</w:t>
      </w:r>
      <w:proofErr w:type="spellEnd"/>
      <w:r w:rsidRPr="00B161DB">
        <w:rPr>
          <w:i/>
        </w:rPr>
        <w:t xml:space="preserve"> </w:t>
      </w:r>
      <w:proofErr w:type="spellStart"/>
      <w:r w:rsidRPr="00B161DB">
        <w:rPr>
          <w:i/>
        </w:rPr>
        <w:t>of</w:t>
      </w:r>
      <w:proofErr w:type="spellEnd"/>
      <w:r w:rsidRPr="00B161DB">
        <w:rPr>
          <w:i/>
        </w:rPr>
        <w:t xml:space="preserve"> Capital</w:t>
      </w:r>
      <w:r w:rsidRPr="00B161DB">
        <w:t>) –</w:t>
      </w:r>
      <w:r w:rsidRPr="00B161DB">
        <w:rPr>
          <w:b/>
        </w:rPr>
        <w:t xml:space="preserve"> </w:t>
      </w:r>
      <w:r w:rsidRPr="00B161DB">
        <w:t>trošak kapitala</w:t>
      </w:r>
      <w:r w:rsidR="00195A15">
        <w:t xml:space="preserve"> uvećan za premiju rizika</w:t>
      </w:r>
      <w:r w:rsidRPr="00B161DB">
        <w:t>,</w:t>
      </w:r>
    </w:p>
    <w:p w14:paraId="7D8AC9A1" w14:textId="05B91ACC" w:rsidR="00B161DB" w:rsidRPr="00B161DB" w:rsidRDefault="00B161DB" w:rsidP="00B161DB">
      <w:pPr>
        <w:numPr>
          <w:ilvl w:val="0"/>
          <w:numId w:val="30"/>
        </w:numPr>
        <w:jc w:val="both"/>
      </w:pPr>
      <w:r w:rsidRPr="00B161DB">
        <w:rPr>
          <w:b/>
        </w:rPr>
        <w:t>Price trend</w:t>
      </w:r>
      <w:r w:rsidRPr="00B161DB">
        <w:t xml:space="preserve"> – stopa promjene cijena imovine</w:t>
      </w:r>
      <w:r w:rsidR="00195A15">
        <w:t xml:space="preserve"> jednak ulazno podatku CAPEX trend</w:t>
      </w:r>
      <w:r w:rsidRPr="00B161DB">
        <w:t>,</w:t>
      </w:r>
    </w:p>
    <w:p w14:paraId="506610DC" w14:textId="77777777" w:rsidR="00B161DB" w:rsidRPr="00B161DB" w:rsidRDefault="00B161DB" w:rsidP="00B161DB">
      <w:pPr>
        <w:numPr>
          <w:ilvl w:val="0"/>
          <w:numId w:val="30"/>
        </w:numPr>
        <w:jc w:val="both"/>
      </w:pPr>
      <w:r w:rsidRPr="00B161DB">
        <w:rPr>
          <w:b/>
        </w:rPr>
        <w:t>UL</w:t>
      </w:r>
      <w:r w:rsidRPr="00B161DB">
        <w:t xml:space="preserve"> – korisni vijek upotrebe imovine,</w:t>
      </w:r>
    </w:p>
    <w:p w14:paraId="28EEBD10" w14:textId="77777777" w:rsidR="00195A15" w:rsidRDefault="00195A15" w:rsidP="00B161DB">
      <w:pPr>
        <w:jc w:val="both"/>
      </w:pPr>
    </w:p>
    <w:p w14:paraId="76A1ACFF" w14:textId="43BE357A" w:rsidR="00B161DB" w:rsidRDefault="00195A15" w:rsidP="00B161DB">
      <w:pPr>
        <w:jc w:val="both"/>
      </w:pPr>
      <w:r>
        <w:t>za svaku pojedinu godinu izračunava godišnji trošak CAPEX-a za module (RU) unutarnjih i vanjskih distribucijskih čvorova te lokacija na koje su smješteni vanjski distribucijski čvorovi</w:t>
      </w:r>
      <w:r w:rsidR="00B161DB" w:rsidRPr="00B161DB">
        <w:t xml:space="preserve">. </w:t>
      </w:r>
    </w:p>
    <w:p w14:paraId="77E16C02" w14:textId="2F0D3A13" w:rsidR="00195A15" w:rsidRDefault="00195A15" w:rsidP="00B161DB">
      <w:pPr>
        <w:jc w:val="both"/>
      </w:pPr>
    </w:p>
    <w:p w14:paraId="2979B203" w14:textId="7F3969B4" w:rsidR="00195A15" w:rsidRDefault="00195A15" w:rsidP="00B161DB">
      <w:pPr>
        <w:jc w:val="both"/>
      </w:pPr>
      <w:r>
        <w:t>Potom se za svaku pojedinu godinu računaju godišnji OPEX troškovi na koje se dodaju, primjenom odgovarajućih dodataka (</w:t>
      </w:r>
      <w:proofErr w:type="spellStart"/>
      <w:r>
        <w:t>mark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), veleprodajni specifični troškovi te opći i administrativni troškovi. Za godine nakon 2022.tako izračunati OPEX troškovi se uvećavaju u skladu s </w:t>
      </w:r>
      <w:proofErr w:type="spellStart"/>
      <w:r>
        <w:t>primjenjenim</w:t>
      </w:r>
      <w:proofErr w:type="spellEnd"/>
      <w:r>
        <w:t xml:space="preserve"> OPEX trendom.</w:t>
      </w:r>
    </w:p>
    <w:p w14:paraId="58992749" w14:textId="02771E6B" w:rsidR="00195A15" w:rsidRDefault="00195A15" w:rsidP="00B161DB">
      <w:pPr>
        <w:jc w:val="both"/>
      </w:pPr>
    </w:p>
    <w:p w14:paraId="3ABCE78F" w14:textId="2A471486" w:rsidR="00433438" w:rsidRDefault="00195A15" w:rsidP="00B161DB">
      <w:pPr>
        <w:jc w:val="both"/>
      </w:pPr>
      <w:r>
        <w:t>Ukupni troškovi</w:t>
      </w:r>
      <w:r w:rsidRPr="00195A15">
        <w:t xml:space="preserve"> za module (RU) unutarnjih i vanjskih distribucijskih čvorova te lokacija na koje su smješteni vanjski distribucijski čvorovi</w:t>
      </w:r>
      <w:r>
        <w:t xml:space="preserve"> za svaku pojedinu godinu računaju se zbrajanjem godišnjih CAPEX i OPEX troškova. </w:t>
      </w:r>
    </w:p>
    <w:p w14:paraId="03EB1347" w14:textId="41467026" w:rsidR="00C6528D" w:rsidRDefault="00C6528D" w:rsidP="00B161DB">
      <w:pPr>
        <w:jc w:val="both"/>
      </w:pPr>
    </w:p>
    <w:p w14:paraId="6AB6CEC3" w14:textId="553E8B3D" w:rsidR="00433438" w:rsidRPr="00433438" w:rsidRDefault="00433438" w:rsidP="00433438">
      <w:pPr>
        <w:jc w:val="both"/>
      </w:pPr>
      <w:r w:rsidRPr="00433438">
        <w:t xml:space="preserve">Nakon toga se izračunaju </w:t>
      </w:r>
      <w:r>
        <w:t xml:space="preserve">mjesečni </w:t>
      </w:r>
      <w:r w:rsidRPr="00433438">
        <w:t xml:space="preserve">troškovi </w:t>
      </w:r>
      <w:r>
        <w:t>modula (RU)</w:t>
      </w:r>
      <w:r w:rsidRPr="00433438">
        <w:t xml:space="preserve"> unutarnjih i vanjskih distribucijskih čvorova te lokacija na koje su smješteni vanjski distribucijski čvorovi</w:t>
      </w:r>
      <w:r>
        <w:t xml:space="preserve">. </w:t>
      </w:r>
      <w:r w:rsidRPr="00433438">
        <w:t xml:space="preserve">Konačne cijene iz točke </w:t>
      </w:r>
      <w:r w:rsidRPr="00433438">
        <w:fldChar w:fldCharType="begin"/>
      </w:r>
      <w:r w:rsidRPr="00433438">
        <w:instrText xml:space="preserve"> REF _Ref53989237 \r \h </w:instrText>
      </w:r>
      <w:r w:rsidRPr="00433438">
        <w:fldChar w:fldCharType="separate"/>
      </w:r>
      <w:r w:rsidRPr="00433438">
        <w:t>I</w:t>
      </w:r>
      <w:r w:rsidRPr="00433438">
        <w:fldChar w:fldCharType="end"/>
      </w:r>
      <w:r w:rsidRPr="00433438">
        <w:t>. izreke ove odluke računaju se kao prosjek mjesečnih troškova modula</w:t>
      </w:r>
      <w:r>
        <w:t xml:space="preserve"> za 2024., 2025. i 2026. godinu </w:t>
      </w:r>
      <w:r w:rsidRPr="00433438">
        <w:t>na sljedeći način:</w:t>
      </w:r>
    </w:p>
    <w:p w14:paraId="0226F831" w14:textId="77777777" w:rsidR="00433438" w:rsidRPr="00433438" w:rsidRDefault="00433438" w:rsidP="00433438">
      <w:pPr>
        <w:jc w:val="both"/>
      </w:pPr>
    </w:p>
    <w:p w14:paraId="2C0C321D" w14:textId="71573D17" w:rsidR="00433438" w:rsidRPr="00433438" w:rsidRDefault="00CF31B3" w:rsidP="00433438">
      <w:pPr>
        <w:jc w:val="both"/>
        <w:rPr>
          <w:b/>
        </w:rPr>
      </w:pPr>
      <m:oMathPara>
        <m:oMath>
          <m:r>
            <m:rPr>
              <m:sty m:val="p"/>
            </m:rPr>
            <w:rPr>
              <w:rFonts w:ascii="Cambria Math" w:hAnsi="Cambria Math"/>
            </w:rPr>
            <m:t>Cijena modula (RU) =</m:t>
          </m:r>
          <m:r>
            <w:rPr>
              <w:rFonts w:ascii="Cambria Math" w:hAnsi="Cambria Math"/>
            </w:rPr>
            <m:t xml:space="preserve">Trošak modula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RU</m:t>
              </m:r>
            </m:e>
          </m:d>
          <m:r>
            <w:rPr>
              <w:rFonts w:ascii="Cambria Math" w:hAnsi="Cambria Math"/>
            </w:rPr>
            <m:t xml:space="preserve">+ 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 xml:space="preserve"> Trošak lokacije 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site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 xml:space="preserve">Prosječan broj modula 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RU</m:t>
                  </m:r>
                </m:e>
              </m:d>
              <m:r>
                <w:rPr>
                  <w:rFonts w:ascii="Cambria Math" w:hAnsi="Cambria Math"/>
                </w:rPr>
                <m:t xml:space="preserve"> po lokaciji</m:t>
              </m:r>
            </m:den>
          </m:f>
        </m:oMath>
      </m:oMathPara>
    </w:p>
    <w:p w14:paraId="68D1EF95" w14:textId="5C4D879E" w:rsidR="000C1A94" w:rsidRDefault="000C1A94" w:rsidP="00BC43BE">
      <w:pPr>
        <w:jc w:val="both"/>
      </w:pPr>
    </w:p>
    <w:p w14:paraId="7A74972E" w14:textId="77777777" w:rsidR="008561D9" w:rsidRDefault="008561D9" w:rsidP="00FA0B2E">
      <w:pPr>
        <w:jc w:val="both"/>
      </w:pPr>
    </w:p>
    <w:p w14:paraId="137F1EA2" w14:textId="4DB00A95" w:rsidR="00FD74AE" w:rsidRDefault="00FA0B2E" w:rsidP="008579E9">
      <w:pPr>
        <w:jc w:val="both"/>
      </w:pPr>
      <w:r w:rsidRPr="00FA0B2E">
        <w:t>Slijedom svega navedenog, HAKOM je temeljem članka 16. stavka 1. točke 4. i članka 107. stavak 1. ZEK-a odlučio kao u izreci ove odluke.</w:t>
      </w:r>
    </w:p>
    <w:p w14:paraId="7592E279" w14:textId="77777777" w:rsidR="006C11A8" w:rsidRDefault="006C11A8" w:rsidP="008579E9">
      <w:pPr>
        <w:jc w:val="both"/>
      </w:pPr>
    </w:p>
    <w:p w14:paraId="01E3EAD5" w14:textId="77777777" w:rsidR="006C11A8" w:rsidRPr="006C11A8" w:rsidRDefault="006C11A8" w:rsidP="006C11A8">
      <w:pPr>
        <w:jc w:val="both"/>
      </w:pPr>
      <w:r w:rsidRPr="006C11A8">
        <w:t xml:space="preserve">Sukladno članku 30. ZEK-a o ovom prijedlogu provest će se javno savjetovanje. </w:t>
      </w:r>
    </w:p>
    <w:p w14:paraId="3CA50EDE" w14:textId="77777777" w:rsidR="008A50B5" w:rsidRDefault="008A50B5" w:rsidP="008638F5">
      <w:pPr>
        <w:jc w:val="both"/>
      </w:pPr>
    </w:p>
    <w:p w14:paraId="0E4BDA05" w14:textId="77777777" w:rsidR="003F4365" w:rsidRDefault="003F4365" w:rsidP="000F79E0">
      <w:pPr>
        <w:jc w:val="both"/>
      </w:pPr>
    </w:p>
    <w:p w14:paraId="7733C42B" w14:textId="4F962A41" w:rsidR="00CB4BB1" w:rsidRPr="00B30976" w:rsidRDefault="00CB4BB1" w:rsidP="00CB4BB1">
      <w:pPr>
        <w:rPr>
          <w:rFonts w:eastAsiaTheme="minorHAn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4A5506" w14:paraId="6F59CA80" w14:textId="77777777" w:rsidTr="004A5506">
        <w:tc>
          <w:tcPr>
            <w:tcW w:w="4801" w:type="dxa"/>
            <w:shd w:val="clear" w:color="auto" w:fill="auto"/>
          </w:tcPr>
          <w:p w14:paraId="17F9A048" w14:textId="77777777" w:rsidR="004A5506" w:rsidRDefault="004A5506" w:rsidP="004A5506"/>
        </w:tc>
        <w:tc>
          <w:tcPr>
            <w:tcW w:w="4837" w:type="dxa"/>
            <w:shd w:val="clear" w:color="auto" w:fill="auto"/>
          </w:tcPr>
          <w:p w14:paraId="5E86AAF8" w14:textId="77777777" w:rsidR="004A5506" w:rsidRDefault="004A5506" w:rsidP="004A5506">
            <w:pPr>
              <w:pStyle w:val="Uloga"/>
              <w:jc w:val="center"/>
            </w:pPr>
            <w:r>
              <w:t>Predsjednik Vijeća</w:t>
            </w:r>
          </w:p>
        </w:tc>
      </w:tr>
      <w:tr w:rsidR="004A5506" w14:paraId="46BFCD82" w14:textId="77777777" w:rsidTr="004A5506">
        <w:tc>
          <w:tcPr>
            <w:tcW w:w="4801" w:type="dxa"/>
            <w:shd w:val="clear" w:color="auto" w:fill="auto"/>
          </w:tcPr>
          <w:p w14:paraId="62BA8B9B" w14:textId="77777777" w:rsidR="004A5506" w:rsidRDefault="004A5506" w:rsidP="004A5506"/>
        </w:tc>
        <w:tc>
          <w:tcPr>
            <w:tcW w:w="4837" w:type="dxa"/>
            <w:shd w:val="clear" w:color="auto" w:fill="auto"/>
          </w:tcPr>
          <w:p w14:paraId="298AA3EF" w14:textId="77777777" w:rsidR="004A5506" w:rsidRDefault="004A5506" w:rsidP="004A5506">
            <w:pPr>
              <w:pStyle w:val="Uloga-ime"/>
              <w:jc w:val="center"/>
            </w:pPr>
            <w:r>
              <w:t>Tonko Obuljen</w:t>
            </w:r>
          </w:p>
        </w:tc>
      </w:tr>
    </w:tbl>
    <w:p w14:paraId="473BCB38" w14:textId="77777777" w:rsidR="00A615C9" w:rsidRDefault="00A615C9" w:rsidP="00335BCE"/>
    <w:p w14:paraId="72059BB0" w14:textId="77777777" w:rsidR="00A27BF2" w:rsidRDefault="00A27BF2" w:rsidP="00335BCE">
      <w:pPr>
        <w:rPr>
          <w:sz w:val="20"/>
          <w:szCs w:val="20"/>
        </w:rPr>
      </w:pPr>
    </w:p>
    <w:p w14:paraId="72FAED23" w14:textId="77777777" w:rsidR="00A27BF2" w:rsidRDefault="00A27BF2" w:rsidP="00335BCE">
      <w:pPr>
        <w:rPr>
          <w:sz w:val="20"/>
          <w:szCs w:val="20"/>
        </w:rPr>
      </w:pPr>
    </w:p>
    <w:p w14:paraId="01FFE535" w14:textId="77777777" w:rsidR="00A27BF2" w:rsidRDefault="00A27BF2" w:rsidP="00335BCE">
      <w:pPr>
        <w:rPr>
          <w:sz w:val="20"/>
          <w:szCs w:val="20"/>
        </w:rPr>
      </w:pPr>
    </w:p>
    <w:p w14:paraId="007BB541" w14:textId="77777777" w:rsidR="00A27BF2" w:rsidRDefault="00A27BF2" w:rsidP="00335BCE">
      <w:pPr>
        <w:rPr>
          <w:sz w:val="20"/>
          <w:szCs w:val="20"/>
        </w:rPr>
      </w:pPr>
    </w:p>
    <w:p w14:paraId="1BDD650B" w14:textId="77777777" w:rsidR="00A27BF2" w:rsidRDefault="00A27BF2" w:rsidP="00335BCE">
      <w:pPr>
        <w:rPr>
          <w:sz w:val="20"/>
          <w:szCs w:val="20"/>
        </w:rPr>
      </w:pPr>
    </w:p>
    <w:p w14:paraId="5BEFF8C3" w14:textId="1715013E" w:rsidR="003939F5" w:rsidRPr="00E46299" w:rsidRDefault="00263632" w:rsidP="00335BCE">
      <w:pPr>
        <w:rPr>
          <w:sz w:val="20"/>
          <w:szCs w:val="20"/>
        </w:rPr>
      </w:pPr>
      <w:r w:rsidRPr="00E46299">
        <w:rPr>
          <w:sz w:val="20"/>
          <w:szCs w:val="20"/>
        </w:rPr>
        <w:t>Privitak</w:t>
      </w:r>
      <w:r w:rsidR="00A82459">
        <w:rPr>
          <w:sz w:val="20"/>
          <w:szCs w:val="20"/>
        </w:rPr>
        <w:t xml:space="preserve"> 1</w:t>
      </w:r>
      <w:r w:rsidRPr="00E46299">
        <w:rPr>
          <w:sz w:val="20"/>
          <w:szCs w:val="20"/>
        </w:rPr>
        <w:t>: Dokument „Izvještaj o ažuriranju BU LRIC+ modela“</w:t>
      </w:r>
    </w:p>
    <w:p w14:paraId="09FF71D8" w14:textId="48781A83" w:rsidR="00542A80" w:rsidRDefault="00A82459" w:rsidP="00EC20BC">
      <w:pPr>
        <w:rPr>
          <w:sz w:val="20"/>
          <w:szCs w:val="20"/>
        </w:rPr>
      </w:pPr>
      <w:r>
        <w:rPr>
          <w:sz w:val="20"/>
          <w:szCs w:val="20"/>
        </w:rPr>
        <w:t>Privitak</w:t>
      </w:r>
      <w:r w:rsidR="00860892">
        <w:rPr>
          <w:sz w:val="20"/>
          <w:szCs w:val="20"/>
        </w:rPr>
        <w:t xml:space="preserve"> 2: Radni list </w:t>
      </w:r>
      <w:r w:rsidR="00860892" w:rsidRPr="00860892">
        <w:rPr>
          <w:sz w:val="20"/>
          <w:szCs w:val="20"/>
        </w:rPr>
        <w:t>„ADD. MOD. COLLOC DN“</w:t>
      </w:r>
    </w:p>
    <w:p w14:paraId="093E4A46" w14:textId="042C580B" w:rsidR="00AA391B" w:rsidRDefault="00AA391B" w:rsidP="00EC20BC">
      <w:pPr>
        <w:rPr>
          <w:sz w:val="20"/>
          <w:szCs w:val="20"/>
        </w:rPr>
      </w:pPr>
    </w:p>
    <w:p w14:paraId="6A22314A" w14:textId="40199789" w:rsidR="00D55164" w:rsidRDefault="00D55164" w:rsidP="00EC20BC">
      <w:pPr>
        <w:rPr>
          <w:sz w:val="20"/>
          <w:szCs w:val="20"/>
        </w:rPr>
      </w:pPr>
    </w:p>
    <w:p w14:paraId="01F918CE" w14:textId="77777777" w:rsidR="00542A80" w:rsidRPr="009B41C2" w:rsidRDefault="00542A80" w:rsidP="004229AD">
      <w:pPr>
        <w:rPr>
          <w:sz w:val="22"/>
          <w:szCs w:val="22"/>
        </w:rPr>
      </w:pPr>
    </w:p>
    <w:sectPr w:rsidR="00542A80" w:rsidRPr="009B41C2" w:rsidSect="00860892">
      <w:footerReference w:type="default" r:id="rId14"/>
      <w:headerReference w:type="first" r:id="rId15"/>
      <w:pgSz w:w="11906" w:h="16838" w:code="9"/>
      <w:pgMar w:top="1644" w:right="1021" w:bottom="1644" w:left="1021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DD1C9A" w14:textId="77777777" w:rsidR="00E564FC" w:rsidRDefault="00E564FC">
      <w:r>
        <w:separator/>
      </w:r>
    </w:p>
  </w:endnote>
  <w:endnote w:type="continuationSeparator" w:id="0">
    <w:p w14:paraId="5F8DE9A4" w14:textId="77777777" w:rsidR="00E564FC" w:rsidRDefault="00E564FC">
      <w:r>
        <w:continuationSeparator/>
      </w:r>
    </w:p>
  </w:endnote>
  <w:endnote w:type="continuationNotice" w:id="1">
    <w:p w14:paraId="2D39AC29" w14:textId="77777777" w:rsidR="00E564FC" w:rsidRDefault="00E564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ele-GroteskNor">
    <w:altName w:val="Times New Roman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24354241"/>
      <w:docPartObj>
        <w:docPartGallery w:val="Page Numbers (Bottom of Page)"/>
        <w:docPartUnique/>
      </w:docPartObj>
    </w:sdtPr>
    <w:sdtEndPr>
      <w:rPr>
        <w:rFonts w:ascii="Times New Roman" w:hAnsi="Times New Roman"/>
        <w:noProof/>
      </w:rPr>
    </w:sdtEndPr>
    <w:sdtContent>
      <w:p w14:paraId="6B604564" w14:textId="2F8BBA70" w:rsidR="009C4AA6" w:rsidRPr="009C4AA6" w:rsidRDefault="009C4AA6">
        <w:pPr>
          <w:pStyle w:val="Footer"/>
          <w:jc w:val="right"/>
          <w:rPr>
            <w:rFonts w:ascii="Times New Roman" w:hAnsi="Times New Roman"/>
          </w:rPr>
        </w:pPr>
        <w:r w:rsidRPr="009C4AA6">
          <w:rPr>
            <w:rFonts w:ascii="Times New Roman" w:hAnsi="Times New Roman"/>
          </w:rPr>
          <w:fldChar w:fldCharType="begin"/>
        </w:r>
        <w:r w:rsidRPr="009C4AA6">
          <w:rPr>
            <w:rFonts w:ascii="Times New Roman" w:hAnsi="Times New Roman"/>
          </w:rPr>
          <w:instrText xml:space="preserve"> PAGE   \* MERGEFORMAT </w:instrText>
        </w:r>
        <w:r w:rsidRPr="009C4AA6">
          <w:rPr>
            <w:rFonts w:ascii="Times New Roman" w:hAnsi="Times New Roman"/>
          </w:rPr>
          <w:fldChar w:fldCharType="separate"/>
        </w:r>
        <w:r w:rsidR="00474093">
          <w:rPr>
            <w:rFonts w:ascii="Times New Roman" w:hAnsi="Times New Roman"/>
            <w:noProof/>
          </w:rPr>
          <w:t>11</w:t>
        </w:r>
        <w:r w:rsidRPr="009C4AA6">
          <w:rPr>
            <w:rFonts w:ascii="Times New Roman" w:hAnsi="Times New Roman"/>
            <w:noProof/>
          </w:rPr>
          <w:fldChar w:fldCharType="end"/>
        </w:r>
      </w:p>
    </w:sdtContent>
  </w:sdt>
  <w:p w14:paraId="631C7F63" w14:textId="77777777" w:rsidR="009C4AA6" w:rsidRDefault="009C4A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8DC96" w14:textId="77777777" w:rsidR="00E564FC" w:rsidRDefault="00E564FC">
      <w:r>
        <w:separator/>
      </w:r>
    </w:p>
  </w:footnote>
  <w:footnote w:type="continuationSeparator" w:id="0">
    <w:p w14:paraId="57944B0B" w14:textId="77777777" w:rsidR="00E564FC" w:rsidRDefault="00E564FC">
      <w:r>
        <w:continuationSeparator/>
      </w:r>
    </w:p>
  </w:footnote>
  <w:footnote w:type="continuationNotice" w:id="1">
    <w:p w14:paraId="499A6F1B" w14:textId="77777777" w:rsidR="00E564FC" w:rsidRDefault="00E564FC"/>
  </w:footnote>
  <w:footnote w:id="2">
    <w:p w14:paraId="510BAFE5" w14:textId="58C17E28" w:rsidR="00860892" w:rsidRDefault="00860892" w:rsidP="00A33ECA">
      <w:pPr>
        <w:pStyle w:val="FootnoteText"/>
        <w:jc w:val="both"/>
      </w:pPr>
      <w:r>
        <w:rPr>
          <w:rStyle w:val="FootnoteReference"/>
        </w:rPr>
        <w:footnoteRef/>
      </w:r>
      <w:r>
        <w:t xml:space="preserve"> Odlukom KLASA: </w:t>
      </w:r>
      <w:r w:rsidRPr="0075671F">
        <w:t>UP/I-344-01/20-05/04, URBROJ: 376-05-1-21-2</w:t>
      </w:r>
      <w:r>
        <w:t>8 su određene veleprodajne naknade za usluge veleprodajnog širokopojasnog pristupa na DSLAM/OLT razini</w:t>
      </w:r>
    </w:p>
  </w:footnote>
  <w:footnote w:id="3">
    <w:p w14:paraId="2644DF2D" w14:textId="302FF0D9" w:rsidR="00860892" w:rsidRDefault="0086089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Troškovi naknade za prostor se računaju izdvojeno te </w:t>
      </w:r>
      <w:r w:rsidR="00917E2C">
        <w:t xml:space="preserve">se </w:t>
      </w:r>
      <w:r>
        <w:t>dodaju naknadi za modul (</w:t>
      </w:r>
      <w:proofErr w:type="spellStart"/>
      <w:r>
        <w:t>Rack</w:t>
      </w:r>
      <w:proofErr w:type="spellEnd"/>
      <w:r>
        <w:t xml:space="preserve"> </w:t>
      </w:r>
      <w:proofErr w:type="spellStart"/>
      <w:r>
        <w:t>Unit</w:t>
      </w:r>
      <w:proofErr w:type="spellEnd"/>
      <w:r>
        <w:t>)</w:t>
      </w:r>
    </w:p>
  </w:footnote>
  <w:footnote w:id="4">
    <w:p w14:paraId="4B28EEF3" w14:textId="73A7DB6A" w:rsidR="00860892" w:rsidRDefault="00860892" w:rsidP="00917E2C">
      <w:pPr>
        <w:pStyle w:val="FootnoteText"/>
        <w:jc w:val="both"/>
      </w:pPr>
      <w:r>
        <w:rPr>
          <w:rStyle w:val="FootnoteReference"/>
        </w:rPr>
        <w:footnoteRef/>
      </w:r>
      <w:r>
        <w:t xml:space="preserve"> </w:t>
      </w:r>
      <w:r>
        <w:t xml:space="preserve">Važeći WACC i dodatna premija rizika određeni su odlukom HAKOM-a </w:t>
      </w:r>
      <w:r w:rsidRPr="009D5E19">
        <w:t>KLASA: UP/I-344-01/23-05/02</w:t>
      </w:r>
      <w:r>
        <w:t>,</w:t>
      </w:r>
      <w:r w:rsidRPr="009D5E19">
        <w:t xml:space="preserve"> URBROJ: 376-05-1-23-3</w:t>
      </w:r>
      <w:r>
        <w:t xml:space="preserve"> od 13. listopada 2023.</w:t>
      </w:r>
    </w:p>
  </w:footnote>
  <w:footnote w:id="5">
    <w:p w14:paraId="27B95912" w14:textId="54C4A5B9" w:rsidR="00860892" w:rsidRDefault="00860892" w:rsidP="00917E2C">
      <w:pPr>
        <w:pStyle w:val="FootnoteText"/>
        <w:jc w:val="both"/>
      </w:pPr>
      <w:r>
        <w:rPr>
          <w:rStyle w:val="FootnoteReference"/>
        </w:rPr>
        <w:footnoteRef/>
      </w:r>
      <w:r>
        <w:t xml:space="preserve"> </w:t>
      </w:r>
      <w:r>
        <w:t>Z</w:t>
      </w:r>
      <w:r w:rsidRPr="009D5E19">
        <w:t>a 2023. korišten</w:t>
      </w:r>
      <w:r w:rsidR="00917E2C">
        <w:t xml:space="preserve"> je</w:t>
      </w:r>
      <w:r w:rsidRPr="009D5E19">
        <w:t xml:space="preserve"> podatak o visini ostvarene prosječne stope inflacije u R</w:t>
      </w:r>
      <w:r>
        <w:t xml:space="preserve">epublici </w:t>
      </w:r>
      <w:r w:rsidRPr="009D5E19">
        <w:t>H</w:t>
      </w:r>
      <w:r>
        <w:t>rvatskoj</w:t>
      </w:r>
      <w:r w:rsidRPr="009D5E19">
        <w:t xml:space="preserve"> objavljen od strane Državnog zavoda za statistiku (DZS), dok je za buduća razdoblja (2024. - 2027.) korišten podatak o visini očekivane stope inflacije za R</w:t>
      </w:r>
      <w:r>
        <w:t xml:space="preserve">epubliku </w:t>
      </w:r>
      <w:r w:rsidRPr="009D5E19">
        <w:t>H</w:t>
      </w:r>
      <w:r>
        <w:t>rvatsku</w:t>
      </w:r>
      <w:r w:rsidRPr="009D5E19">
        <w:t xml:space="preserve"> objavljen </w:t>
      </w:r>
      <w:r>
        <w:t>od strane Europske komisije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549A9" w14:textId="2B31E8F6" w:rsidR="00860892" w:rsidRDefault="00860892" w:rsidP="00192D15">
    <w:pPr>
      <w:pStyle w:val="Header"/>
      <w:tabs>
        <w:tab w:val="clear" w:pos="4536"/>
        <w:tab w:val="clear" w:pos="9072"/>
      </w:tabs>
      <w:ind w:left="-357" w:right="-357"/>
      <w:jc w:val="center"/>
    </w:pPr>
  </w:p>
  <w:p w14:paraId="116253B9" w14:textId="77777777" w:rsidR="0016132E" w:rsidRDefault="0016132E" w:rsidP="0016132E">
    <w:pPr>
      <w:pStyle w:val="Header"/>
      <w:tabs>
        <w:tab w:val="clear" w:pos="4536"/>
        <w:tab w:val="clear" w:pos="9072"/>
      </w:tabs>
      <w:ind w:left="-357" w:right="-357"/>
      <w:jc w:val="center"/>
    </w:pPr>
    <w:r w:rsidRPr="009F6CDB">
      <w:rPr>
        <w:noProof/>
      </w:rPr>
      <w:drawing>
        <wp:inline distT="0" distB="0" distL="0" distR="0" wp14:anchorId="4E243FE7" wp14:editId="5FB45E21">
          <wp:extent cx="1057523" cy="1025220"/>
          <wp:effectExtent l="0" t="0" r="0" b="3810"/>
          <wp:docPr id="2" name="Picture 2" descr="\\hzt.local\hakom\Mape_Odjela\KIS\Vizualni identitet HAKOM - javno\HAKOM color logotip 1 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\\hzt.local\hakom\Mape_Odjela\KIS\Vizualni identitet HAKOM - javno\HAKOM color logotip 1 mali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3152" cy="10306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3296AF" w14:textId="77777777" w:rsidR="0016132E" w:rsidRDefault="0016132E" w:rsidP="0016132E">
    <w:pPr>
      <w:pStyle w:val="Header"/>
      <w:tabs>
        <w:tab w:val="clear" w:pos="4536"/>
        <w:tab w:val="clear" w:pos="9072"/>
      </w:tabs>
      <w:ind w:left="-357" w:right="-357"/>
      <w:jc w:val="center"/>
    </w:pPr>
  </w:p>
  <w:p w14:paraId="23CB6D13" w14:textId="77777777" w:rsidR="0016132E" w:rsidRDefault="0016132E" w:rsidP="0016132E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JAVNO SAVJETOVANJE</w:t>
    </w:r>
  </w:p>
  <w:p w14:paraId="0FA7AA4B" w14:textId="77777777" w:rsidR="00860892" w:rsidRDefault="00860892" w:rsidP="00192D15">
    <w:pPr>
      <w:pStyle w:val="Header"/>
      <w:tabs>
        <w:tab w:val="clear" w:pos="4536"/>
        <w:tab w:val="clear" w:pos="9072"/>
      </w:tabs>
      <w:ind w:left="-357" w:right="-357"/>
      <w:jc w:val="center"/>
    </w:pPr>
  </w:p>
  <w:p w14:paraId="6CB1F192" w14:textId="77777777" w:rsidR="00860892" w:rsidRDefault="00860892" w:rsidP="006C77C3">
    <w:pPr>
      <w:pStyle w:val="Header"/>
      <w:tabs>
        <w:tab w:val="clear" w:pos="4536"/>
        <w:tab w:val="clear" w:pos="9072"/>
      </w:tabs>
      <w:spacing w:after="60"/>
      <w:ind w:right="9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0479"/>
    <w:multiLevelType w:val="hybridMultilevel"/>
    <w:tmpl w:val="48CAEF00"/>
    <w:lvl w:ilvl="0" w:tplc="2C74AF4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EDA"/>
    <w:multiLevelType w:val="hybridMultilevel"/>
    <w:tmpl w:val="1E2CC7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7E1D55"/>
    <w:multiLevelType w:val="hybridMultilevel"/>
    <w:tmpl w:val="323805DC"/>
    <w:lvl w:ilvl="0" w:tplc="D988C6DA">
      <w:numFmt w:val="bullet"/>
      <w:lvlText w:val="•"/>
      <w:lvlJc w:val="left"/>
      <w:pPr>
        <w:ind w:left="1068" w:hanging="708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C470FE"/>
    <w:multiLevelType w:val="multilevel"/>
    <w:tmpl w:val="0409001F"/>
    <w:styleLink w:val="Style2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5BC7CBB"/>
    <w:multiLevelType w:val="hybridMultilevel"/>
    <w:tmpl w:val="C66004B8"/>
    <w:lvl w:ilvl="0" w:tplc="041A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A5E0A"/>
    <w:multiLevelType w:val="multilevel"/>
    <w:tmpl w:val="0409001F"/>
    <w:numStyleLink w:val="Style2"/>
  </w:abstractNum>
  <w:abstractNum w:abstractNumId="6" w15:restartNumberingAfterBreak="0">
    <w:nsid w:val="19F02F5B"/>
    <w:multiLevelType w:val="hybridMultilevel"/>
    <w:tmpl w:val="CECAB0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D32272"/>
    <w:multiLevelType w:val="hybridMultilevel"/>
    <w:tmpl w:val="60806D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0D163D"/>
    <w:multiLevelType w:val="hybridMultilevel"/>
    <w:tmpl w:val="A21EC0E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7844BB"/>
    <w:multiLevelType w:val="hybridMultilevel"/>
    <w:tmpl w:val="89C48A62"/>
    <w:lvl w:ilvl="0" w:tplc="2C1EF4D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A26D8C"/>
    <w:multiLevelType w:val="hybridMultilevel"/>
    <w:tmpl w:val="C578314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AB357A"/>
    <w:multiLevelType w:val="multilevel"/>
    <w:tmpl w:val="0F62A7E6"/>
    <w:numStyleLink w:val="Style1"/>
  </w:abstractNum>
  <w:abstractNum w:abstractNumId="12" w15:restartNumberingAfterBreak="0">
    <w:nsid w:val="37A5669C"/>
    <w:multiLevelType w:val="hybridMultilevel"/>
    <w:tmpl w:val="555876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E4A8A"/>
    <w:multiLevelType w:val="hybridMultilevel"/>
    <w:tmpl w:val="CED2F9D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2A1D6D"/>
    <w:multiLevelType w:val="hybridMultilevel"/>
    <w:tmpl w:val="28FCB0D2"/>
    <w:lvl w:ilvl="0" w:tplc="CB08A01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657A62"/>
    <w:multiLevelType w:val="hybridMultilevel"/>
    <w:tmpl w:val="8BE44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39590A"/>
    <w:multiLevelType w:val="multilevel"/>
    <w:tmpl w:val="0409001F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8EE153A"/>
    <w:multiLevelType w:val="multilevel"/>
    <w:tmpl w:val="0409001F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17073DB"/>
    <w:multiLevelType w:val="multilevel"/>
    <w:tmpl w:val="0409001F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28219BE"/>
    <w:multiLevelType w:val="hybridMultilevel"/>
    <w:tmpl w:val="2B802E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496184"/>
    <w:multiLevelType w:val="hybridMultilevel"/>
    <w:tmpl w:val="950EB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394FA6"/>
    <w:multiLevelType w:val="hybridMultilevel"/>
    <w:tmpl w:val="3B520C0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694703A8"/>
    <w:multiLevelType w:val="hybridMultilevel"/>
    <w:tmpl w:val="E60CF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DC65D4"/>
    <w:multiLevelType w:val="hybridMultilevel"/>
    <w:tmpl w:val="A7249F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5031AD"/>
    <w:multiLevelType w:val="hybridMultilevel"/>
    <w:tmpl w:val="DB500F1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411401"/>
    <w:multiLevelType w:val="multilevel"/>
    <w:tmpl w:val="E26611E8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709636F"/>
    <w:multiLevelType w:val="hybridMultilevel"/>
    <w:tmpl w:val="ACC6B0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095429"/>
    <w:multiLevelType w:val="multilevel"/>
    <w:tmpl w:val="0F62A7E6"/>
    <w:styleLink w:val="Style1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  <w:b/>
      </w:rPr>
    </w:lvl>
    <w:lvl w:ilvl="1">
      <w:numFmt w:val="bullet"/>
      <w:lvlText w:val="-"/>
      <w:lvlJc w:val="left"/>
      <w:pPr>
        <w:ind w:left="4058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4778" w:hanging="180"/>
      </w:pPr>
    </w:lvl>
    <w:lvl w:ilvl="3">
      <w:start w:val="1"/>
      <w:numFmt w:val="decimal"/>
      <w:lvlText w:val="%4."/>
      <w:lvlJc w:val="left"/>
      <w:pPr>
        <w:ind w:left="5498" w:hanging="360"/>
      </w:pPr>
    </w:lvl>
    <w:lvl w:ilvl="4">
      <w:start w:val="1"/>
      <w:numFmt w:val="lowerLetter"/>
      <w:lvlText w:val="%5."/>
      <w:lvlJc w:val="left"/>
      <w:pPr>
        <w:ind w:left="6218" w:hanging="360"/>
      </w:pPr>
    </w:lvl>
    <w:lvl w:ilvl="5">
      <w:start w:val="1"/>
      <w:numFmt w:val="lowerRoman"/>
      <w:lvlText w:val="%6."/>
      <w:lvlJc w:val="right"/>
      <w:pPr>
        <w:ind w:left="6938" w:hanging="180"/>
      </w:pPr>
    </w:lvl>
    <w:lvl w:ilvl="6">
      <w:start w:val="1"/>
      <w:numFmt w:val="decimal"/>
      <w:lvlText w:val="%7."/>
      <w:lvlJc w:val="left"/>
      <w:pPr>
        <w:ind w:left="7658" w:hanging="360"/>
      </w:pPr>
    </w:lvl>
    <w:lvl w:ilvl="7">
      <w:start w:val="1"/>
      <w:numFmt w:val="lowerLetter"/>
      <w:lvlText w:val="%8."/>
      <w:lvlJc w:val="left"/>
      <w:pPr>
        <w:ind w:left="8378" w:hanging="360"/>
      </w:pPr>
    </w:lvl>
    <w:lvl w:ilvl="8">
      <w:start w:val="1"/>
      <w:numFmt w:val="lowerRoman"/>
      <w:lvlText w:val="%9."/>
      <w:lvlJc w:val="right"/>
      <w:pPr>
        <w:ind w:left="9098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20"/>
  </w:num>
  <w:num w:numId="5">
    <w:abstractNumId w:val="27"/>
  </w:num>
  <w:num w:numId="6">
    <w:abstractNumId w:val="3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21"/>
  </w:num>
  <w:num w:numId="10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lvl w:ilvl="0">
        <w:start w:val="1"/>
        <w:numFmt w:val="upperRoman"/>
        <w:lvlText w:val="%1."/>
        <w:lvlJc w:val="left"/>
        <w:pPr>
          <w:ind w:left="360" w:hanging="360"/>
        </w:pPr>
        <w:rPr>
          <w:b/>
        </w:rPr>
      </w:lvl>
    </w:lvlOverride>
  </w:num>
  <w:num w:numId="12">
    <w:abstractNumId w:val="25"/>
  </w:num>
  <w:num w:numId="13">
    <w:abstractNumId w:val="16"/>
  </w:num>
  <w:num w:numId="14">
    <w:abstractNumId w:val="17"/>
  </w:num>
  <w:num w:numId="15">
    <w:abstractNumId w:val="18"/>
  </w:num>
  <w:num w:numId="16">
    <w:abstractNumId w:val="22"/>
  </w:num>
  <w:num w:numId="17">
    <w:abstractNumId w:val="23"/>
  </w:num>
  <w:num w:numId="18">
    <w:abstractNumId w:val="8"/>
  </w:num>
  <w:num w:numId="19">
    <w:abstractNumId w:val="1"/>
  </w:num>
  <w:num w:numId="20">
    <w:abstractNumId w:val="13"/>
  </w:num>
  <w:num w:numId="21">
    <w:abstractNumId w:val="14"/>
  </w:num>
  <w:num w:numId="22">
    <w:abstractNumId w:val="15"/>
  </w:num>
  <w:num w:numId="23">
    <w:abstractNumId w:val="0"/>
  </w:num>
  <w:num w:numId="24">
    <w:abstractNumId w:val="10"/>
  </w:num>
  <w:num w:numId="25">
    <w:abstractNumId w:val="9"/>
  </w:num>
  <w:num w:numId="26">
    <w:abstractNumId w:val="4"/>
  </w:num>
  <w:num w:numId="27">
    <w:abstractNumId w:val="26"/>
  </w:num>
  <w:num w:numId="28">
    <w:abstractNumId w:val="19"/>
  </w:num>
  <w:num w:numId="29">
    <w:abstractNumId w:val="24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2529">
      <o:colormru v:ext="edit" colors="#024182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217E"/>
    <w:rsid w:val="00005741"/>
    <w:rsid w:val="00005A6A"/>
    <w:rsid w:val="00012A08"/>
    <w:rsid w:val="00013A21"/>
    <w:rsid w:val="00017189"/>
    <w:rsid w:val="00017603"/>
    <w:rsid w:val="000213E0"/>
    <w:rsid w:val="00031F0C"/>
    <w:rsid w:val="000347B9"/>
    <w:rsid w:val="00034C01"/>
    <w:rsid w:val="000363FA"/>
    <w:rsid w:val="00040D85"/>
    <w:rsid w:val="0005023A"/>
    <w:rsid w:val="00056A8A"/>
    <w:rsid w:val="00057D32"/>
    <w:rsid w:val="0006010F"/>
    <w:rsid w:val="00064A4F"/>
    <w:rsid w:val="0006690E"/>
    <w:rsid w:val="00073C41"/>
    <w:rsid w:val="00080528"/>
    <w:rsid w:val="000862FC"/>
    <w:rsid w:val="00086536"/>
    <w:rsid w:val="000917F6"/>
    <w:rsid w:val="00092530"/>
    <w:rsid w:val="00097FDB"/>
    <w:rsid w:val="000C0A11"/>
    <w:rsid w:val="000C1A94"/>
    <w:rsid w:val="000C4706"/>
    <w:rsid w:val="000C60D7"/>
    <w:rsid w:val="000D41FE"/>
    <w:rsid w:val="000E7CA8"/>
    <w:rsid w:val="000F79E0"/>
    <w:rsid w:val="00102A27"/>
    <w:rsid w:val="00102E51"/>
    <w:rsid w:val="00103151"/>
    <w:rsid w:val="00116965"/>
    <w:rsid w:val="00120AA8"/>
    <w:rsid w:val="00121580"/>
    <w:rsid w:val="00124418"/>
    <w:rsid w:val="00125753"/>
    <w:rsid w:val="00134FE6"/>
    <w:rsid w:val="00143E74"/>
    <w:rsid w:val="001444A9"/>
    <w:rsid w:val="00145C97"/>
    <w:rsid w:val="00155AFF"/>
    <w:rsid w:val="00156378"/>
    <w:rsid w:val="0016132E"/>
    <w:rsid w:val="001617C9"/>
    <w:rsid w:val="00165B16"/>
    <w:rsid w:val="0017155C"/>
    <w:rsid w:val="00175C6D"/>
    <w:rsid w:val="00186930"/>
    <w:rsid w:val="00192148"/>
    <w:rsid w:val="00192D15"/>
    <w:rsid w:val="00193BFD"/>
    <w:rsid w:val="001941B2"/>
    <w:rsid w:val="00195A15"/>
    <w:rsid w:val="001971E6"/>
    <w:rsid w:val="001A148E"/>
    <w:rsid w:val="001A21EF"/>
    <w:rsid w:val="001A592A"/>
    <w:rsid w:val="001A7140"/>
    <w:rsid w:val="001C685D"/>
    <w:rsid w:val="001E2259"/>
    <w:rsid w:val="001E4BB9"/>
    <w:rsid w:val="001E4C0F"/>
    <w:rsid w:val="001F64FB"/>
    <w:rsid w:val="001F6ABA"/>
    <w:rsid w:val="001F7315"/>
    <w:rsid w:val="002014FF"/>
    <w:rsid w:val="00202DE5"/>
    <w:rsid w:val="00205563"/>
    <w:rsid w:val="00206F40"/>
    <w:rsid w:val="0021043F"/>
    <w:rsid w:val="00211FC2"/>
    <w:rsid w:val="00212C24"/>
    <w:rsid w:val="002275F8"/>
    <w:rsid w:val="002307B2"/>
    <w:rsid w:val="00232E77"/>
    <w:rsid w:val="00233215"/>
    <w:rsid w:val="00233962"/>
    <w:rsid w:val="002342D3"/>
    <w:rsid w:val="00234A38"/>
    <w:rsid w:val="00244A64"/>
    <w:rsid w:val="00245B3E"/>
    <w:rsid w:val="00246E20"/>
    <w:rsid w:val="00262FBA"/>
    <w:rsid w:val="00263632"/>
    <w:rsid w:val="002709D4"/>
    <w:rsid w:val="0027541D"/>
    <w:rsid w:val="002848D3"/>
    <w:rsid w:val="00287CEF"/>
    <w:rsid w:val="00290F0C"/>
    <w:rsid w:val="00294490"/>
    <w:rsid w:val="0029456A"/>
    <w:rsid w:val="00296A6A"/>
    <w:rsid w:val="002B0A43"/>
    <w:rsid w:val="002B1C67"/>
    <w:rsid w:val="002B6E48"/>
    <w:rsid w:val="002C0848"/>
    <w:rsid w:val="002C5253"/>
    <w:rsid w:val="002C7E41"/>
    <w:rsid w:val="002D66E3"/>
    <w:rsid w:val="002E133D"/>
    <w:rsid w:val="002E66C2"/>
    <w:rsid w:val="002F12B7"/>
    <w:rsid w:val="002F3914"/>
    <w:rsid w:val="002F7806"/>
    <w:rsid w:val="00310964"/>
    <w:rsid w:val="00313223"/>
    <w:rsid w:val="00313F16"/>
    <w:rsid w:val="00316395"/>
    <w:rsid w:val="0032262F"/>
    <w:rsid w:val="0032305A"/>
    <w:rsid w:val="00335BCE"/>
    <w:rsid w:val="00336599"/>
    <w:rsid w:val="0034450F"/>
    <w:rsid w:val="003462FD"/>
    <w:rsid w:val="00354549"/>
    <w:rsid w:val="003663A0"/>
    <w:rsid w:val="00370283"/>
    <w:rsid w:val="0037227A"/>
    <w:rsid w:val="0037609A"/>
    <w:rsid w:val="003766B4"/>
    <w:rsid w:val="00386683"/>
    <w:rsid w:val="003902DE"/>
    <w:rsid w:val="003939F5"/>
    <w:rsid w:val="003955C7"/>
    <w:rsid w:val="003A6B22"/>
    <w:rsid w:val="003A75B4"/>
    <w:rsid w:val="003B0664"/>
    <w:rsid w:val="003B1D25"/>
    <w:rsid w:val="003C51FD"/>
    <w:rsid w:val="003D1BD8"/>
    <w:rsid w:val="003D22A9"/>
    <w:rsid w:val="003D6073"/>
    <w:rsid w:val="003D77EC"/>
    <w:rsid w:val="003D7AE9"/>
    <w:rsid w:val="003F37AE"/>
    <w:rsid w:val="003F4365"/>
    <w:rsid w:val="003F5D9E"/>
    <w:rsid w:val="00406EAB"/>
    <w:rsid w:val="00407BB1"/>
    <w:rsid w:val="00414A9E"/>
    <w:rsid w:val="004161EC"/>
    <w:rsid w:val="00421F34"/>
    <w:rsid w:val="004229AD"/>
    <w:rsid w:val="004244A6"/>
    <w:rsid w:val="00425124"/>
    <w:rsid w:val="00426033"/>
    <w:rsid w:val="00430977"/>
    <w:rsid w:val="00431576"/>
    <w:rsid w:val="004321CA"/>
    <w:rsid w:val="00433315"/>
    <w:rsid w:val="00433438"/>
    <w:rsid w:val="00434FB3"/>
    <w:rsid w:val="00440399"/>
    <w:rsid w:val="00441FAE"/>
    <w:rsid w:val="00445383"/>
    <w:rsid w:val="00446D5D"/>
    <w:rsid w:val="00461622"/>
    <w:rsid w:val="00461F81"/>
    <w:rsid w:val="004644A1"/>
    <w:rsid w:val="00467F65"/>
    <w:rsid w:val="00467FA6"/>
    <w:rsid w:val="00474093"/>
    <w:rsid w:val="004802ED"/>
    <w:rsid w:val="004807E0"/>
    <w:rsid w:val="004842B7"/>
    <w:rsid w:val="004873AC"/>
    <w:rsid w:val="004A5506"/>
    <w:rsid w:val="004A6DDC"/>
    <w:rsid w:val="004B5D02"/>
    <w:rsid w:val="004C5382"/>
    <w:rsid w:val="004C621E"/>
    <w:rsid w:val="004D2C9B"/>
    <w:rsid w:val="004D346F"/>
    <w:rsid w:val="004D5B98"/>
    <w:rsid w:val="004D5BF5"/>
    <w:rsid w:val="004E1AFD"/>
    <w:rsid w:val="004E3197"/>
    <w:rsid w:val="004F2A44"/>
    <w:rsid w:val="004F2D4F"/>
    <w:rsid w:val="0050076C"/>
    <w:rsid w:val="00504284"/>
    <w:rsid w:val="00506462"/>
    <w:rsid w:val="00507DEB"/>
    <w:rsid w:val="0051069A"/>
    <w:rsid w:val="005122AF"/>
    <w:rsid w:val="00530B7B"/>
    <w:rsid w:val="005347E9"/>
    <w:rsid w:val="0053636E"/>
    <w:rsid w:val="00542A80"/>
    <w:rsid w:val="005457F5"/>
    <w:rsid w:val="00551520"/>
    <w:rsid w:val="005673CA"/>
    <w:rsid w:val="005717DC"/>
    <w:rsid w:val="00572354"/>
    <w:rsid w:val="00572A77"/>
    <w:rsid w:val="00597F74"/>
    <w:rsid w:val="005A003E"/>
    <w:rsid w:val="005A3610"/>
    <w:rsid w:val="005A7E8C"/>
    <w:rsid w:val="005B0E43"/>
    <w:rsid w:val="005B3E1E"/>
    <w:rsid w:val="005B460B"/>
    <w:rsid w:val="005B56E5"/>
    <w:rsid w:val="005B7122"/>
    <w:rsid w:val="005D00F7"/>
    <w:rsid w:val="005D3C53"/>
    <w:rsid w:val="005D633C"/>
    <w:rsid w:val="005D7CAB"/>
    <w:rsid w:val="005E20CE"/>
    <w:rsid w:val="005F357B"/>
    <w:rsid w:val="005F3BAF"/>
    <w:rsid w:val="006057B8"/>
    <w:rsid w:val="0061038E"/>
    <w:rsid w:val="00613FAF"/>
    <w:rsid w:val="00616BF1"/>
    <w:rsid w:val="006208C6"/>
    <w:rsid w:val="00623919"/>
    <w:rsid w:val="00630342"/>
    <w:rsid w:val="00632B76"/>
    <w:rsid w:val="0065292C"/>
    <w:rsid w:val="006560D9"/>
    <w:rsid w:val="00661004"/>
    <w:rsid w:val="00662682"/>
    <w:rsid w:val="006659A1"/>
    <w:rsid w:val="00667974"/>
    <w:rsid w:val="00670C71"/>
    <w:rsid w:val="00676F84"/>
    <w:rsid w:val="00693ADD"/>
    <w:rsid w:val="006A082D"/>
    <w:rsid w:val="006A160D"/>
    <w:rsid w:val="006B1850"/>
    <w:rsid w:val="006B573D"/>
    <w:rsid w:val="006B78DA"/>
    <w:rsid w:val="006C11A8"/>
    <w:rsid w:val="006C4C24"/>
    <w:rsid w:val="006C77C3"/>
    <w:rsid w:val="006D43DD"/>
    <w:rsid w:val="006D461E"/>
    <w:rsid w:val="006D6631"/>
    <w:rsid w:val="006E0B9D"/>
    <w:rsid w:val="006E1B99"/>
    <w:rsid w:val="006F1EFD"/>
    <w:rsid w:val="006F32B7"/>
    <w:rsid w:val="006F3312"/>
    <w:rsid w:val="006F52B6"/>
    <w:rsid w:val="00702429"/>
    <w:rsid w:val="007147BD"/>
    <w:rsid w:val="0072124E"/>
    <w:rsid w:val="00725EA1"/>
    <w:rsid w:val="00726B17"/>
    <w:rsid w:val="00731423"/>
    <w:rsid w:val="007326C5"/>
    <w:rsid w:val="00734753"/>
    <w:rsid w:val="007373F6"/>
    <w:rsid w:val="00741C05"/>
    <w:rsid w:val="007447D5"/>
    <w:rsid w:val="007512D0"/>
    <w:rsid w:val="00751C99"/>
    <w:rsid w:val="007539DD"/>
    <w:rsid w:val="00755380"/>
    <w:rsid w:val="0075671F"/>
    <w:rsid w:val="00764FF0"/>
    <w:rsid w:val="0077730E"/>
    <w:rsid w:val="0078260B"/>
    <w:rsid w:val="00787BF2"/>
    <w:rsid w:val="00793180"/>
    <w:rsid w:val="00794EF8"/>
    <w:rsid w:val="00795CD5"/>
    <w:rsid w:val="00797CF7"/>
    <w:rsid w:val="007A08B5"/>
    <w:rsid w:val="007A381C"/>
    <w:rsid w:val="007B24A0"/>
    <w:rsid w:val="007B4C0E"/>
    <w:rsid w:val="007B7291"/>
    <w:rsid w:val="007C0336"/>
    <w:rsid w:val="007C504C"/>
    <w:rsid w:val="007D24E5"/>
    <w:rsid w:val="007D5182"/>
    <w:rsid w:val="007E0D6A"/>
    <w:rsid w:val="007E42BA"/>
    <w:rsid w:val="007E5A69"/>
    <w:rsid w:val="007F2FD7"/>
    <w:rsid w:val="007F4D9A"/>
    <w:rsid w:val="007F4F92"/>
    <w:rsid w:val="008014F3"/>
    <w:rsid w:val="00803542"/>
    <w:rsid w:val="00805473"/>
    <w:rsid w:val="00814EA6"/>
    <w:rsid w:val="00816926"/>
    <w:rsid w:val="008316AB"/>
    <w:rsid w:val="00833780"/>
    <w:rsid w:val="00847836"/>
    <w:rsid w:val="008501D6"/>
    <w:rsid w:val="008552EF"/>
    <w:rsid w:val="008561D9"/>
    <w:rsid w:val="008579E9"/>
    <w:rsid w:val="00860892"/>
    <w:rsid w:val="008638F5"/>
    <w:rsid w:val="008639AE"/>
    <w:rsid w:val="00865520"/>
    <w:rsid w:val="00865FFD"/>
    <w:rsid w:val="00871283"/>
    <w:rsid w:val="008762A4"/>
    <w:rsid w:val="008765E4"/>
    <w:rsid w:val="008806C0"/>
    <w:rsid w:val="0088273A"/>
    <w:rsid w:val="00895989"/>
    <w:rsid w:val="008A078D"/>
    <w:rsid w:val="008A3DA5"/>
    <w:rsid w:val="008A50B5"/>
    <w:rsid w:val="008C0B8A"/>
    <w:rsid w:val="008C0E42"/>
    <w:rsid w:val="008C50C7"/>
    <w:rsid w:val="008D1FA7"/>
    <w:rsid w:val="008D3944"/>
    <w:rsid w:val="008D49E0"/>
    <w:rsid w:val="008D5604"/>
    <w:rsid w:val="008D5F63"/>
    <w:rsid w:val="008E0C2A"/>
    <w:rsid w:val="008E1E03"/>
    <w:rsid w:val="008E53DC"/>
    <w:rsid w:val="008F0941"/>
    <w:rsid w:val="008F1418"/>
    <w:rsid w:val="008F15EA"/>
    <w:rsid w:val="008F1E8B"/>
    <w:rsid w:val="008F32E5"/>
    <w:rsid w:val="00903F7D"/>
    <w:rsid w:val="0091001E"/>
    <w:rsid w:val="00914CC5"/>
    <w:rsid w:val="00917E2C"/>
    <w:rsid w:val="009210C6"/>
    <w:rsid w:val="00934408"/>
    <w:rsid w:val="00935CFC"/>
    <w:rsid w:val="00936D16"/>
    <w:rsid w:val="00943DC3"/>
    <w:rsid w:val="009568E1"/>
    <w:rsid w:val="00963254"/>
    <w:rsid w:val="00964B0D"/>
    <w:rsid w:val="0096737E"/>
    <w:rsid w:val="0097796B"/>
    <w:rsid w:val="00977F66"/>
    <w:rsid w:val="00984483"/>
    <w:rsid w:val="00986F67"/>
    <w:rsid w:val="009A57FC"/>
    <w:rsid w:val="009A7313"/>
    <w:rsid w:val="009B41C2"/>
    <w:rsid w:val="009B524F"/>
    <w:rsid w:val="009B6CB6"/>
    <w:rsid w:val="009C4AA6"/>
    <w:rsid w:val="009C6A67"/>
    <w:rsid w:val="009D2B49"/>
    <w:rsid w:val="009D5E19"/>
    <w:rsid w:val="009E7FB9"/>
    <w:rsid w:val="009F0B1C"/>
    <w:rsid w:val="009F3FBB"/>
    <w:rsid w:val="009F4BBF"/>
    <w:rsid w:val="00A03BA2"/>
    <w:rsid w:val="00A03CA8"/>
    <w:rsid w:val="00A12DA3"/>
    <w:rsid w:val="00A13E23"/>
    <w:rsid w:val="00A14969"/>
    <w:rsid w:val="00A24D14"/>
    <w:rsid w:val="00A2576A"/>
    <w:rsid w:val="00A27BF2"/>
    <w:rsid w:val="00A27C06"/>
    <w:rsid w:val="00A31AE4"/>
    <w:rsid w:val="00A33ECA"/>
    <w:rsid w:val="00A41300"/>
    <w:rsid w:val="00A446C5"/>
    <w:rsid w:val="00A45B84"/>
    <w:rsid w:val="00A5276E"/>
    <w:rsid w:val="00A55535"/>
    <w:rsid w:val="00A57BA7"/>
    <w:rsid w:val="00A615C9"/>
    <w:rsid w:val="00A651B0"/>
    <w:rsid w:val="00A65C08"/>
    <w:rsid w:val="00A70522"/>
    <w:rsid w:val="00A7509E"/>
    <w:rsid w:val="00A82459"/>
    <w:rsid w:val="00A82D16"/>
    <w:rsid w:val="00A87EE6"/>
    <w:rsid w:val="00A9120B"/>
    <w:rsid w:val="00AA391B"/>
    <w:rsid w:val="00AB23BC"/>
    <w:rsid w:val="00AC089E"/>
    <w:rsid w:val="00AC2648"/>
    <w:rsid w:val="00AD3E6A"/>
    <w:rsid w:val="00AE2703"/>
    <w:rsid w:val="00AF02D7"/>
    <w:rsid w:val="00AF7935"/>
    <w:rsid w:val="00B01212"/>
    <w:rsid w:val="00B13407"/>
    <w:rsid w:val="00B161DB"/>
    <w:rsid w:val="00B24673"/>
    <w:rsid w:val="00B31870"/>
    <w:rsid w:val="00B42A6A"/>
    <w:rsid w:val="00B42F5E"/>
    <w:rsid w:val="00B66E6A"/>
    <w:rsid w:val="00B71500"/>
    <w:rsid w:val="00B832AA"/>
    <w:rsid w:val="00B972D7"/>
    <w:rsid w:val="00BA2BD4"/>
    <w:rsid w:val="00BB4EEE"/>
    <w:rsid w:val="00BC1C56"/>
    <w:rsid w:val="00BC2283"/>
    <w:rsid w:val="00BC3566"/>
    <w:rsid w:val="00BC3E15"/>
    <w:rsid w:val="00BC43BE"/>
    <w:rsid w:val="00BC5BC2"/>
    <w:rsid w:val="00BD144C"/>
    <w:rsid w:val="00BD3224"/>
    <w:rsid w:val="00BD365F"/>
    <w:rsid w:val="00BE10C2"/>
    <w:rsid w:val="00BE1764"/>
    <w:rsid w:val="00C00627"/>
    <w:rsid w:val="00C009C4"/>
    <w:rsid w:val="00C014A3"/>
    <w:rsid w:val="00C10025"/>
    <w:rsid w:val="00C11AF6"/>
    <w:rsid w:val="00C157B8"/>
    <w:rsid w:val="00C16B18"/>
    <w:rsid w:val="00C20CE9"/>
    <w:rsid w:val="00C255B6"/>
    <w:rsid w:val="00C31729"/>
    <w:rsid w:val="00C36904"/>
    <w:rsid w:val="00C511C1"/>
    <w:rsid w:val="00C51CE0"/>
    <w:rsid w:val="00C52865"/>
    <w:rsid w:val="00C548F8"/>
    <w:rsid w:val="00C56F5F"/>
    <w:rsid w:val="00C6528D"/>
    <w:rsid w:val="00C71216"/>
    <w:rsid w:val="00C97DD2"/>
    <w:rsid w:val="00CA47AB"/>
    <w:rsid w:val="00CB4BB1"/>
    <w:rsid w:val="00CB65AD"/>
    <w:rsid w:val="00CC3566"/>
    <w:rsid w:val="00CD240F"/>
    <w:rsid w:val="00CF09E5"/>
    <w:rsid w:val="00CF2C31"/>
    <w:rsid w:val="00CF31B3"/>
    <w:rsid w:val="00CF6054"/>
    <w:rsid w:val="00D075A6"/>
    <w:rsid w:val="00D11282"/>
    <w:rsid w:val="00D146FE"/>
    <w:rsid w:val="00D26DFB"/>
    <w:rsid w:val="00D40346"/>
    <w:rsid w:val="00D55164"/>
    <w:rsid w:val="00D84AE2"/>
    <w:rsid w:val="00D91324"/>
    <w:rsid w:val="00D925CA"/>
    <w:rsid w:val="00DA4028"/>
    <w:rsid w:val="00DA436C"/>
    <w:rsid w:val="00DA4BEB"/>
    <w:rsid w:val="00DC2C85"/>
    <w:rsid w:val="00DC4BA7"/>
    <w:rsid w:val="00DC6B7A"/>
    <w:rsid w:val="00DD243E"/>
    <w:rsid w:val="00DD3999"/>
    <w:rsid w:val="00DD3D21"/>
    <w:rsid w:val="00DE6EA9"/>
    <w:rsid w:val="00DF50CA"/>
    <w:rsid w:val="00DF565B"/>
    <w:rsid w:val="00DF755C"/>
    <w:rsid w:val="00E05C7C"/>
    <w:rsid w:val="00E06889"/>
    <w:rsid w:val="00E12428"/>
    <w:rsid w:val="00E131D8"/>
    <w:rsid w:val="00E17104"/>
    <w:rsid w:val="00E17353"/>
    <w:rsid w:val="00E218A9"/>
    <w:rsid w:val="00E23278"/>
    <w:rsid w:val="00E24BB1"/>
    <w:rsid w:val="00E307FE"/>
    <w:rsid w:val="00E35E24"/>
    <w:rsid w:val="00E46299"/>
    <w:rsid w:val="00E51307"/>
    <w:rsid w:val="00E53561"/>
    <w:rsid w:val="00E564FC"/>
    <w:rsid w:val="00E56F04"/>
    <w:rsid w:val="00E57DCB"/>
    <w:rsid w:val="00E65398"/>
    <w:rsid w:val="00E744D6"/>
    <w:rsid w:val="00E8066C"/>
    <w:rsid w:val="00E846DE"/>
    <w:rsid w:val="00E9407B"/>
    <w:rsid w:val="00EA42DC"/>
    <w:rsid w:val="00EA56A5"/>
    <w:rsid w:val="00EB6A6B"/>
    <w:rsid w:val="00EC1CBB"/>
    <w:rsid w:val="00EC20BC"/>
    <w:rsid w:val="00EC3E1E"/>
    <w:rsid w:val="00EC68D2"/>
    <w:rsid w:val="00ED08CB"/>
    <w:rsid w:val="00ED1300"/>
    <w:rsid w:val="00EE6009"/>
    <w:rsid w:val="00EF5818"/>
    <w:rsid w:val="00EF5F19"/>
    <w:rsid w:val="00F06E1A"/>
    <w:rsid w:val="00F11CCE"/>
    <w:rsid w:val="00F11D1F"/>
    <w:rsid w:val="00F15C71"/>
    <w:rsid w:val="00F1796F"/>
    <w:rsid w:val="00F17B68"/>
    <w:rsid w:val="00F33775"/>
    <w:rsid w:val="00F4764B"/>
    <w:rsid w:val="00F506B2"/>
    <w:rsid w:val="00F523CC"/>
    <w:rsid w:val="00F55C6F"/>
    <w:rsid w:val="00F569BD"/>
    <w:rsid w:val="00F633BE"/>
    <w:rsid w:val="00F65DE9"/>
    <w:rsid w:val="00F665AB"/>
    <w:rsid w:val="00F751EE"/>
    <w:rsid w:val="00F75236"/>
    <w:rsid w:val="00F94A12"/>
    <w:rsid w:val="00FA0B2E"/>
    <w:rsid w:val="00FA1EDE"/>
    <w:rsid w:val="00FA3130"/>
    <w:rsid w:val="00FA67E0"/>
    <w:rsid w:val="00FB4D75"/>
    <w:rsid w:val="00FC0886"/>
    <w:rsid w:val="00FC392C"/>
    <w:rsid w:val="00FC6319"/>
    <w:rsid w:val="00FC70BA"/>
    <w:rsid w:val="00FD1707"/>
    <w:rsid w:val="00FD23B1"/>
    <w:rsid w:val="00FD2517"/>
    <w:rsid w:val="00FD74AE"/>
    <w:rsid w:val="00FD7E3B"/>
    <w:rsid w:val="00FE5A85"/>
    <w:rsid w:val="00FF339A"/>
    <w:rsid w:val="00FF57AC"/>
    <w:rsid w:val="00FF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>
      <o:colormru v:ext="edit" colors="#024182"/>
    </o:shapedefaults>
    <o:shapelayout v:ext="edit">
      <o:idmap v:ext="edit" data="1"/>
    </o:shapelayout>
  </w:shapeDefaults>
  <w:decimalSymbol w:val=","/>
  <w:listSeparator w:val=";"/>
  <w14:docId w14:val="0EC7D3A7"/>
  <w15:docId w15:val="{78199B3E-ABC5-46E5-99F7-B9956E167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rsid w:val="00A615C9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3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AF02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F02D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4D2C9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795C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C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95CD5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95C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95CD5"/>
    <w:rPr>
      <w:b/>
      <w:bCs/>
    </w:rPr>
  </w:style>
  <w:style w:type="numbering" w:customStyle="1" w:styleId="Style1">
    <w:name w:val="Style1"/>
    <w:uiPriority w:val="99"/>
    <w:rsid w:val="00F17B68"/>
    <w:pPr>
      <w:numPr>
        <w:numId w:val="5"/>
      </w:numPr>
    </w:pPr>
  </w:style>
  <w:style w:type="numbering" w:customStyle="1" w:styleId="Style2">
    <w:name w:val="Style2"/>
    <w:uiPriority w:val="99"/>
    <w:rsid w:val="00F17B68"/>
    <w:pPr>
      <w:numPr>
        <w:numId w:val="6"/>
      </w:numPr>
    </w:pPr>
  </w:style>
  <w:style w:type="paragraph" w:styleId="NormalWeb">
    <w:name w:val="Normal (Web)"/>
    <w:basedOn w:val="Normal"/>
    <w:uiPriority w:val="99"/>
    <w:semiHidden/>
    <w:unhideWhenUsed/>
    <w:rsid w:val="002709D4"/>
    <w:pPr>
      <w:spacing w:before="100" w:beforeAutospacing="1" w:after="100" w:afterAutospacing="1"/>
    </w:pPr>
    <w:rPr>
      <w:lang w:val="en-US" w:eastAsia="en-US"/>
    </w:rPr>
  </w:style>
  <w:style w:type="paragraph" w:styleId="FootnoteText">
    <w:name w:val="footnote text"/>
    <w:basedOn w:val="Normal"/>
    <w:link w:val="FootnoteTextChar"/>
    <w:unhideWhenUsed/>
    <w:rsid w:val="004F2A4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4F2A44"/>
  </w:style>
  <w:style w:type="character" w:styleId="FootnoteReference">
    <w:name w:val="footnote reference"/>
    <w:aliases w:val="Footnote Reference Superscript,Ref,de nota al pie,FC,Appel note de bas de p,referencia nota al pie,Footnote symbol,Texto de nota al pie,Footnotes refss,Appel note de bas de page,fr,o,Style 6,Style 12,(NECG) Footnote Reference,Nota"/>
    <w:basedOn w:val="DefaultParagraphFont"/>
    <w:uiPriority w:val="99"/>
    <w:unhideWhenUsed/>
    <w:qFormat/>
    <w:rsid w:val="004F2A44"/>
    <w:rPr>
      <w:vertAlign w:val="superscript"/>
    </w:rPr>
  </w:style>
  <w:style w:type="paragraph" w:styleId="Revision">
    <w:name w:val="Revision"/>
    <w:hidden/>
    <w:uiPriority w:val="99"/>
    <w:semiHidden/>
    <w:rsid w:val="008638F5"/>
    <w:rPr>
      <w:sz w:val="24"/>
      <w:szCs w:val="24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1C685D"/>
    <w:pPr>
      <w:spacing w:after="200"/>
    </w:pPr>
    <w:rPr>
      <w:i/>
      <w:iCs/>
      <w:color w:val="1F497D" w:themeColor="text2"/>
      <w:sz w:val="18"/>
      <w:szCs w:val="18"/>
    </w:rPr>
  </w:style>
  <w:style w:type="character" w:customStyle="1" w:styleId="CaptionChar">
    <w:name w:val="Caption Char"/>
    <w:link w:val="Caption"/>
    <w:rsid w:val="00E56F04"/>
    <w:rPr>
      <w:i/>
      <w:iCs/>
      <w:color w:val="1F497D" w:themeColor="text2"/>
      <w:sz w:val="18"/>
      <w:szCs w:val="18"/>
    </w:rPr>
  </w:style>
  <w:style w:type="table" w:customStyle="1" w:styleId="TableGrid31">
    <w:name w:val="Table Grid31"/>
    <w:basedOn w:val="TableNormal"/>
    <w:next w:val="TableGrid"/>
    <w:uiPriority w:val="39"/>
    <w:rsid w:val="00CC35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  <w:rsid w:val="006D6631"/>
    <w:rPr>
      <w:rFonts w:ascii="Calibri" w:hAnsi="Calibri"/>
      <w:color w:val="024182"/>
      <w:sz w:val="16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6D6631"/>
    <w:rPr>
      <w:rFonts w:ascii="Calibri" w:hAnsi="Calibri"/>
      <w:color w:val="024182"/>
      <w:sz w:val="16"/>
    </w:rPr>
  </w:style>
  <w:style w:type="table" w:customStyle="1" w:styleId="export-amendments-table">
    <w:name w:val="export-amendments-table"/>
    <w:rsid w:val="009B41C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istParagraphChar">
    <w:name w:val="List Paragraph Char"/>
    <w:link w:val="ListParagraph"/>
    <w:uiPriority w:val="34"/>
    <w:rsid w:val="009B41C2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B41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hart" Target="charts/chart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Sheet1!$H$10</c:f>
              <c:strCache>
                <c:ptCount val="1"/>
                <c:pt idx="0">
                  <c:v>FA-PON usluga HT-a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Sheet1!$I$9:$K$9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Sheet1!$I$10:$K$10</c:f>
              <c:numCache>
                <c:formatCode>#,##0;\-#,##0;\-</c:formatCode>
                <c:ptCount val="3"/>
                <c:pt idx="0">
                  <c:v>148</c:v>
                </c:pt>
                <c:pt idx="1">
                  <c:v>938</c:v>
                </c:pt>
                <c:pt idx="2">
                  <c:v>2345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75E-4D87-8A5A-E7DDD7D1E665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400759408"/>
        <c:axId val="400733616"/>
      </c:lineChart>
      <c:catAx>
        <c:axId val="4007594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sr-Latn-RS"/>
          </a:p>
        </c:txPr>
        <c:crossAx val="400733616"/>
        <c:crosses val="autoZero"/>
        <c:auto val="1"/>
        <c:lblAlgn val="ctr"/>
        <c:lblOffset val="100"/>
        <c:noMultiLvlLbl val="0"/>
      </c:catAx>
      <c:valAx>
        <c:axId val="4007336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hr-HR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Prosječni broj</a:t>
                </a:r>
                <a:r>
                  <a:rPr lang="hr-HR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linija</a:t>
                </a:r>
                <a:endParaRPr lang="hr-HR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sr-Latn-RS"/>
            </a:p>
          </c:txPr>
        </c:title>
        <c:numFmt formatCode="#,##0;\-#,##0;\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sr-Latn-RS"/>
          </a:p>
        </c:txPr>
        <c:crossAx val="4007594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45d8b5b-b624-41fb-afb8-da03212d0f19">
      <UserInfo>
        <DisplayName>Stjepan Vodolšak</DisplayName>
        <AccountId>168</AccountId>
        <AccountType/>
      </UserInfo>
      <UserInfo>
        <DisplayName>Nenad Belošević</DisplayName>
        <AccountId>244</AccountId>
        <AccountType/>
      </UserInfo>
      <UserInfo>
        <DisplayName>Ivana Bikić</DisplayName>
        <AccountId>59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D06513E61F7742953E5F36630C0129" ma:contentTypeVersion="1" ma:contentTypeDescription="Create a new document." ma:contentTypeScope="" ma:versionID="fccb79ad1e30c92e09224b4e854748e9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3d3acb70d8d5d7ae7aad90d7712f8723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21F885-87C8-419C-A7E2-6E6EF0AD4B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55666A3-FCF7-43B2-9553-FBAAAB389D5E}">
  <ds:schemaRefs>
    <ds:schemaRef ds:uri="http://purl.org/dc/dcmitype/"/>
    <ds:schemaRef ds:uri="http://schemas.microsoft.com/office/infopath/2007/PartnerControls"/>
    <ds:schemaRef ds:uri="http://www.w3.org/XML/1998/namespace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f45d8b5b-b624-41fb-afb8-da03212d0f19"/>
  </ds:schemaRefs>
</ds:datastoreItem>
</file>

<file path=customXml/itemProps3.xml><?xml version="1.0" encoding="utf-8"?>
<ds:datastoreItem xmlns:ds="http://schemas.openxmlformats.org/officeDocument/2006/customXml" ds:itemID="{1D60532D-22EE-4440-9FEC-C556C95DF6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E7B1489-7097-4F94-9C66-D2015117D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4016</Words>
  <Characters>24348</Characters>
  <Application>Microsoft Office Word</Application>
  <DocSecurity>0</DocSecurity>
  <Lines>202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HAKOM</Company>
  <LinksUpToDate>false</LinksUpToDate>
  <CharactersWithSpaces>28308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Memorandum</dc:subject>
  <dc:creator>HAKOM</dc:creator>
  <cp:keywords>English version</cp:keywords>
  <cp:lastModifiedBy>Mladen Sikirica</cp:lastModifiedBy>
  <cp:revision>6</cp:revision>
  <cp:lastPrinted>2021-02-24T10:36:00Z</cp:lastPrinted>
  <dcterms:created xsi:type="dcterms:W3CDTF">2024-05-23T07:46:00Z</dcterms:created>
  <dcterms:modified xsi:type="dcterms:W3CDTF">2024-05-29T11:44:00Z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Odjel">
    <vt:lpwstr>Zajednički poslovi</vt:lpwstr>
  </property>
  <property fmtid="{D5CDD505-2E9C-101B-9397-08002B2CF9AE}" pid="6" name="Office">
    <vt:lpwstr>HAKOM</vt:lpwstr>
  </property>
  <property fmtid="{D5CDD505-2E9C-101B-9397-08002B2CF9AE}" pid="7" name="Provjerio">
    <vt:lpwstr>Mirjana Todorić</vt:lpwstr>
  </property>
  <property fmtid="{D5CDD505-2E9C-101B-9397-08002B2CF9AE}" pid="8" name="Uređivač">
    <vt:lpwstr>Cornelia Krušlin</vt:lpwstr>
  </property>
  <property fmtid="{D5CDD505-2E9C-101B-9397-08002B2CF9AE}" pid="9" name="Vlasnik">
    <vt:lpwstr>HAKOM</vt:lpwstr>
  </property>
  <property fmtid="{D5CDD505-2E9C-101B-9397-08002B2CF9AE}" pid="10" name="Jezik">
    <vt:lpwstr>engleski</vt:lpwstr>
  </property>
  <property fmtid="{D5CDD505-2E9C-101B-9397-08002B2CF9AE}" pid="11" name="ContentTypeId">
    <vt:lpwstr>0x0101004FD06513E61F7742953E5F36630C0129</vt:lpwstr>
  </property>
  <property fmtid="{D5CDD505-2E9C-101B-9397-08002B2CF9AE}" pid="12" name="Order">
    <vt:r8>249100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